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40" w:lineRule="atLeast"/>
        <w:jc w:val="center"/>
        <w:outlineLvl w:val="1"/>
        <w:rPr>
          <w:rFonts w:ascii="å®‹ä½“" w:hAnsi="微软雅黑" w:eastAsia="å®‹ä½“" w:cs="宋体"/>
          <w:b/>
          <w:bCs/>
          <w:color w:val="333333"/>
          <w:kern w:val="0"/>
          <w:sz w:val="57"/>
          <w:szCs w:val="57"/>
        </w:rPr>
      </w:pPr>
      <w:r>
        <w:rPr>
          <w:rFonts w:hint="eastAsia" w:ascii="å®‹ä½“" w:hAnsi="微软雅黑" w:eastAsia="å®‹ä½“" w:cs="宋体"/>
          <w:b/>
          <w:bCs/>
          <w:color w:val="333333"/>
          <w:kern w:val="0"/>
          <w:sz w:val="57"/>
          <w:szCs w:val="57"/>
        </w:rPr>
        <w:t>2018年度昌吉市人民武装部决算公开</w:t>
      </w: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完成军地两地下达的年度征兵任务；按规定完成组织民兵集训；完成军区及上级部门下达的各项任务；有效地配合地方政府完成各项任务；按规定完成各类宣传及培训工作。</w:t>
      </w:r>
    </w:p>
    <w:p>
      <w:pPr>
        <w:tabs>
          <w:tab w:val="left" w:pos="4830"/>
        </w:tabs>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二、机构设置情况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从决算单位构成看，昌吉市人民武装部部门决算包括：昌吉市人民武装部部门本级决算。</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纳入昌吉市人民武装部2018年部门决算编制范围的单位名单见下表：</w:t>
      </w:r>
    </w:p>
    <w:tbl>
      <w:tblPr>
        <w:tblStyle w:val="6"/>
        <w:tblW w:w="762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109"/>
        <w:gridCol w:w="5402"/>
        <w:gridCol w:w="1109"/>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762" w:hRule="atLeast"/>
        </w:trPr>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序号</w:t>
            </w:r>
          </w:p>
        </w:tc>
        <w:tc>
          <w:tcPr>
            <w:tcW w:w="540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单位名称</w:t>
            </w:r>
          </w:p>
        </w:tc>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87" w:hRule="atLeast"/>
        </w:trPr>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1</w:t>
            </w:r>
          </w:p>
        </w:tc>
        <w:tc>
          <w:tcPr>
            <w:tcW w:w="540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昌吉市人民武装部本级</w:t>
            </w:r>
          </w:p>
        </w:tc>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87" w:hRule="atLeast"/>
        </w:trPr>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w:t>
            </w:r>
          </w:p>
        </w:tc>
        <w:tc>
          <w:tcPr>
            <w:tcW w:w="540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87" w:hRule="atLeast"/>
        </w:trPr>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w:t>
            </w:r>
          </w:p>
        </w:tc>
        <w:tc>
          <w:tcPr>
            <w:tcW w:w="540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397" w:hRule="atLeast"/>
        </w:trPr>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c>
          <w:tcPr>
            <w:tcW w:w="540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c>
          <w:tcPr>
            <w:tcW w:w="110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40" w:lineRule="exact"/>
              <w:ind w:firstLine="640" w:firstLineChars="200"/>
              <w:rPr>
                <w:rFonts w:hint="eastAsia" w:ascii="仿宋_GB2312" w:eastAsia="仿宋_GB2312"/>
                <w:sz w:val="32"/>
                <w:szCs w:val="32"/>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300.47万元,与上年相比，减少297.91万元，下降49.79%，增减变化主要原因是：2018年无项目支出,人员调出工资福利、社会保险缴费、公积金等相关费用相应减少。支出300.47万元,与上年相比，减少297.91万元，下降49.79%，增减变化主要原因是：2018年无项目支出,人员调出工资福利、社会保险缴费、公积金等相关费用相应减少。结余0万元，与上年相比，减少0万元，降低0%。增减变化主要原因是：2018年无结余。</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本年收入合计300.47万元，其中：财政拨款收入300.47万元，占100%；上级补助收入0万元，占0%；事业收入0万元，占0%；经营收入0万元，占0%；附属单位缴款0万元，占0%；其他收入0万元，占0%。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与年初预算数相比情况：本年收入年初预算数270.94万元，决算数300.47万元，预决算差异率10.90%，差异主要原因：追加办公经费和人员增资绩效奖等经费。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本年支出合计300.47万元，其中：基本支出300.47万元，占100%；项目支出0万元，占0%；上缴上级支出0万元，占0%；经营支出0万元，占0%；对附属单位补助支出0万元，占0%。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与年初预算数相比情况：本年支出年初预算数270.94万元，决算数300.47万元，预决算差异率10.90%，差异主要原因：追加办公经费和人员增资绩效奖等经费。</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财政拨款收入300.47万元,与上年相比，减少297.91万元，下降49.79%，增减变化主要原因是：2018年无项目支出,人员调出工资福利、社会保险缴费、公积金等相关费用相应减少。财政拨款支出300.47万元,与上年相比，减少297.91万元，下降49.78%，增减变化主要原因是：2018年无项目支出,人员调出工资福利、社会保险缴费、公积金等相关费用相应减少。其中：基本支出300.47万元，项目支出0万元。财政拨款结转结余0万元，与上年相比，减少0万元，降低0%。增减变化的主要原因是：2018年无结余。</w:t>
      </w:r>
    </w:p>
    <w:p>
      <w:pPr>
        <w:spacing w:line="540" w:lineRule="exact"/>
        <w:ind w:firstLine="643" w:firstLineChars="200"/>
        <w:rPr>
          <w:rFonts w:hint="eastAsia" w:ascii="楷体_GB2312" w:eastAsia="楷体_GB2312"/>
          <w:b/>
          <w:bCs/>
          <w:sz w:val="32"/>
          <w:szCs w:val="32"/>
        </w:rPr>
      </w:pPr>
      <w:r>
        <w:rPr>
          <w:rFonts w:hint="eastAsia" w:ascii="仿宋_GB2312" w:eastAsia="仿宋_GB2312"/>
          <w:sz w:val="32"/>
          <w:szCs w:val="32"/>
        </w:rPr>
        <w:t>与年初预算数相比情况:财政拨款收入年初预算数270.94万元，决算数300.47万元，预决算差异率10.90%，差异主要原因：追加办公经费和人员增资绩效奖等经费。财政拨款支出年初预算数270.94万元，决算数300.47万元，预决算差异率10.90%，差异主要原因：追加办公经费和人员</w:t>
      </w:r>
      <w:r>
        <w:rPr>
          <w:rFonts w:hint="eastAsia" w:ascii="楷体_GB2312" w:eastAsia="楷体_GB2312"/>
          <w:b w:val="0"/>
          <w:bCs w:val="0"/>
          <w:sz w:val="32"/>
          <w:szCs w:val="32"/>
        </w:rPr>
        <w:t>增资绩效奖等经费。</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财政拨款收入300.47万元。与上年相比，减少297.91万元，下降49.79%，增减变化主要原因是：2018年无项目支出,人员调出工资福利、社会保险缴费、公积金等相关费用相应减少。一般公共预算财政拨款支出300.47万元。与上年相比，减少297.91万元，下降49.79%，增减变化主要原因是：2018年无项目支出,人员调出工资福利、社会保险缴费、公积金等相关费用相应减少。其中：按功能分类科目，201类一般公共服务支出258.27万元，203类国防支出17.42万元，208类社会保障和就业支出24.78万元。按经济分类科目工资福利支出249.59万元，对个人和家庭的补助支出0.34万元，商品和服务支出50.54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财政拨款收入年初预算数270.94万元，决算数300.47万元，预决算差异率10.90%，差异主要原因：追加办公经费和人员增资绩效奖等经费。一般公共预算财政拨款支出年初预算数270.94万元，决算数300.47万元，预决算差异率10.90%，差异主要原因：追加办公经费和人员增资绩效奖等经费。</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性基金预算财政拨款收入0万元，与上年相比，增加0万元，增长0%。增减变化主要原因是：预算未安排。政府性基金预算财政拨款支出0万元，与上年相比，增加0万元，增长0%。增减变化主要原因是：预算未安排。其中：按功能分类科目，支出0万元。按经济分类科目，支出0万元。</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政府性基金预算财政拨款收入年初预算数0万元，决算数0万元，预决算差异率0%。增减变化主要原因是：预算未安排。政府性基金预算财政拨款支出年初预算数0万元，决算数0万元，预决算差异率0%。增减变化主要原因是：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年末结转结余0万元。与上年相比，减少0万元，降低0%。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其中财政拨款结转结余0万元。与上年相比，减少0万元，降低0%。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一般公共预算“三公”经费支出决算3.01万元，比上年增加1.66万元，增长123.99%。其中，因公出国（境）费支出0万元，占0%，比上年增加0万元，增长0%，增加原因是预算未安排；公务用车购置及运行维护费支出3.01万元，占100%，比上年增加1.66万元，增长123.99%，增加原因是车辆维修费增加；公务接待费支出0万元，占0%，比上年增加0万元，增长0%，增加原因是预算未安排。具体情况如下：</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因公出国（境）费支出0万元。昌吉市人民武装部全年使用一般公共预算财政拨款安排的出国（境）团组0个，累计0人次。开支内容包括：无开支。</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用车购置及运行维护费3.01万元,其中，公务用车购置0万元，公务用车运行维护费3.01万元。主要用于车辆加油、加气、车辆维护、车辆保险费等。单位一般公共财政拨款安排的公务用车购置量0辆，保有量为2辆。</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公务接待费0万元。具体是：国内公务接待支出0万元，主要是无公务接待。昌吉市人民武装部国内公务接待0批次，0人次。</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与年初预算数相比情况：一般公共预算“三公”经费支出年初预算数5.2万元，决算数3.01万元，预决算差异率-42.19%，差异主要原因是减少车辆费用，压缩维修、燃油等开支。其中：因公出国（境）费预算数0万元，决算数0万元，预决算差异率0%，差异主要原因本年无增减。公务用车购置预算数0万元，决算数0万元，预决算差异率0%；公务用车运行费预算数5.2万元，决算数3.01万元，预决算差异率-42.19%，差异主要原因是减少车辆费用，压缩维修、燃油等开支。公务接待费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昌吉市人民武装部日常公用经费支出50.54万元，比上年增加2.59万元，增加5.4%，主要原因是追加了八一军事日办公经费。</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2018年度政府采购支出总额0万元，其中：政府采购货物支出0万元、政府采购工程支出0万元、政府采购服务支出0万元。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0" w:firstLineChars="200"/>
        <w:rPr>
          <w:rFonts w:hint="eastAsia" w:ascii="仿宋_GB2312" w:eastAsia="仿宋_GB2312"/>
          <w:b/>
          <w:bCs/>
          <w:sz w:val="32"/>
          <w:szCs w:val="32"/>
        </w:rPr>
      </w:pPr>
      <w:r>
        <w:rPr>
          <w:rFonts w:hint="eastAsia" w:ascii="仿宋_GB2312" w:eastAsia="仿宋_GB2312"/>
          <w:b/>
          <w:bCs/>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截至2018年12月31日，单位共有车辆2辆，其中：部级领导干部用车0辆、主要领导干部用车0辆、机要通信用车0辆、应急保障用车2辆、执法执勤用车0辆、特种专业技术用车0辆、离退休干部用车0辆、其他用车0辆，其他用车主要是：一般公务用车；单位价值50万元以上通用设备0台（套）、单位价值100万元以上专用设备0台（套）。</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2018年度本部门单位预算绩效自评情况：无</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0项目绩效自评综述：根据年初设定的绩效目标，0项目绩效自评得分0分，项目全年预算数为0万元，执行数为0万元，完成预算的0%。主要产出和效果：无；发现的问题及原因：无。下一步改进措施：无。</w:t>
      </w: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本单位支出功能分类说明。201（类）03（款）01（项）：指行政运行。201（类）03（款）50（项）：指事业运行；208（类）05（款）05（项）机关事业单位基本养老保险。</w:t>
      </w:r>
    </w:p>
    <w:p>
      <w:pPr>
        <w:spacing w:line="540" w:lineRule="exact"/>
        <w:ind w:firstLine="0"/>
        <w:jc w:val="center"/>
        <w:rPr>
          <w:rFonts w:hint="eastAsia" w:ascii="黑体" w:hAnsi="黑体" w:eastAsia="黑体"/>
          <w:sz w:val="32"/>
          <w:szCs w:val="32"/>
        </w:rPr>
      </w:pPr>
      <w:bookmarkStart w:id="0" w:name="_GoBack"/>
      <w:r>
        <w:rPr>
          <w:rFonts w:hint="eastAsia" w:ascii="黑体" w:hAnsi="黑体" w:eastAsia="黑体"/>
          <w:sz w:val="32"/>
          <w:szCs w:val="32"/>
        </w:rPr>
        <w:t>第四部分 部门决算公开的8张报表（见附表）</w:t>
      </w:r>
    </w:p>
    <w:bookmarkEnd w:id="0"/>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DC2"/>
    <w:rsid w:val="00393DC2"/>
    <w:rsid w:val="005C1A0D"/>
    <w:rsid w:val="009F39F5"/>
    <w:rsid w:val="0B1F206E"/>
    <w:rsid w:val="13540D1A"/>
    <w:rsid w:val="201B7DC8"/>
    <w:rsid w:val="2B876C34"/>
    <w:rsid w:val="32DB65F5"/>
    <w:rsid w:val="671B3CE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730</Words>
  <Characters>4165</Characters>
  <Lines>34</Lines>
  <Paragraphs>9</Paragraphs>
  <ScaleCrop>false</ScaleCrop>
  <LinksUpToDate>false</LinksUpToDate>
  <CharactersWithSpaces>4886</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2021-05-21T12:37:00Z</dcterms:created>
  <dc:creator>Lenovo</dc:creator>
  <cp:lastModifiedBy>Administrator</cp:lastModifiedBy>
  <dcterms:modified xsi:type="dcterms:W3CDTF">2021-05-31T05:00:19Z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y fmtid="{D5CDD505-2E9C-101B-9397-08002B2CF9AE}" pid="3" name="ICV">
    <vt:lpwstr>1ACA56642DB546C3B1C4D0DF07E3109E</vt:lpwstr>
  </property>
</Properties>
</file>