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2018年度昌吉市煤炭工业管理局决算公开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贯彻执行国家、区、州有关发展煤炭工业的方针、政策、法律、法规，研究并制定昌吉市煤炭行业规章及规范，落实行业技术标准。研究并制定昌吉市煤炭工业发展战略、中长期规划和年度计划，组织对煤炭资源的合理开发与利用，引导行业结构调整，统筹规划昌吉市煤炭工业布局，对全市煤炭工业实行行业管理。依法整顿昌吉市煤炭生产与经营秩序，协调煤炭行业内部关系，维护公平竞争秩序，组织协调昌吉市煤炭企业产、运、销和煤炭行业对外协作。强化煤炭市场监管，促进煤炭市场规范发展。负责昌吉市煤炭行业的技术开发、推广和适用先进技术的引进、合作与交流。负责昌吉市煤炭产量统计、煤炭工业经济运行和安全生产动态统计及分析，收集、发布煤炭经济技术和市场信息，提供信息技术管理、咨询服务。负责对煤矿安全生产进行监督检查，对煤矿违法违规行为依法作出现场处理或实施行政处罚；监督煤矿企业事故隐患整改并组织复查；负责组织煤矿安全专项整治，依法组织关闭不具备安全生产条件的矿井，关停违法开办的各类煤矿。指导和协调煤矿安全事故抢险救灾，参与权限内煤矿安全事故的调查处理。负责煤矿新建、改扩建矿井项目设计方案的审核上报；负责煤矿建设工程质量监督检查。负责煤炭行业安全生产宣传教育和普法工作，制定昌吉市煤炭行业管理人员培训规划，对煤矿管理人员、职工培训情况进行监督检查。</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宋体" w:hAnsi="宋体" w:eastAsia="宋体" w:cs="宋体"/>
          <w:color w:val="333333"/>
          <w:kern w:val="0"/>
          <w:sz w:val="24"/>
          <w:szCs w:val="24"/>
        </w:rPr>
        <w:t>从</w:t>
      </w:r>
      <w:r>
        <w:rPr>
          <w:rFonts w:hint="eastAsia" w:ascii="仿宋_GB2312" w:eastAsia="仿宋_GB2312"/>
          <w:sz w:val="32"/>
          <w:szCs w:val="32"/>
        </w:rPr>
        <w:t>决算单位构成看，昌吉市煤炭工业管理局部门决算包括：昌吉市煤炭工业管理局部门本级决算。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纳入昌吉市煤炭工业管理局2018年部门决算编制范围的单位名单见下表：</w:t>
      </w:r>
    </w:p>
    <w:tbl>
      <w:tblPr>
        <w:tblStyle w:val="6"/>
        <w:tblW w:w="388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289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昌吉市煤炭工业管理局本级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426.65万元,与上年相比，减少29.81万元，降低6.53%，增减变化主要原因是：2018年减少项目资金；支出426.65万元,与上年相比，减少69.46万元，降低14%，增减变化主要原因是：项目经费减少；结余0万元，与上年相比，减少0万元，降低0%。增减变化主要原因是：本年无增减。</w:t>
      </w:r>
    </w:p>
    <w:p>
      <w:pPr>
        <w:spacing w:line="5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本年收入合计426.65万元，其中：财政拨款收入426.65万元，占100%；上级补助收入0万元，占0%；事业收入0万元，占0%；经营收入0万元，占0%；附属单位缴款0万元，占0%；其他收入0万元，占0%。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与年初预算数相比情况：本年收入年初预算数357.42万元，决算数426.65万元，预决算差异率19.37%，差异主要原因是人员经费增加。</w:t>
      </w:r>
    </w:p>
    <w:p>
      <w:pPr>
        <w:spacing w:line="5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本年支出合计426.65万元，其中：基本支出391.75万元，占91.82%；项目支出34.90万元，占8.18%；上缴上级支出0万元，占0%；经营支出0万元，占0%；对附属单位补助支出0万元，占0%。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与年初预算数相比情况：本年支出年初预算数357.42万元，决算数426.65万元，预决算差异率19.37%，差异主要原因人员经费增加。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2018年度财政拨款收入426.65万元，与上年相比，减少29.82万元，降低6.53%。增减变化的主要原因是</w:t>
      </w:r>
      <w:r>
        <w:rPr>
          <w:rFonts w:hint="eastAsia" w:ascii="仿宋_GB2312" w:eastAsia="仿宋_GB2312"/>
          <w:sz w:val="32"/>
          <w:szCs w:val="32"/>
          <w:lang w:eastAsia="zh-CN"/>
        </w:rPr>
        <w:t>：</w:t>
      </w:r>
      <w:r>
        <w:rPr>
          <w:rFonts w:hint="eastAsia" w:ascii="仿宋_GB2312" w:eastAsia="仿宋_GB2312"/>
          <w:sz w:val="32"/>
          <w:szCs w:val="32"/>
        </w:rPr>
        <w:t>2018年减少项目资金。财政拨款支出426.65万元，与上年相比，减少69.46万元，减少14%，增减变化的主要原因是：项目经费减少。其中：基本支出391.75万元，项目支出0万元。财政拨款结转结余0万元，与上年相比，减少0万元，降低0%。增减变化的主要原因是：本年无增减。</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357.42万元，决算数426.65万元，预决算差异率19.37%，差异主要原因人员经费增加。财政拨款支出年初预算数357.42万元，决算数426.65万元，预决算差异率19.37%，差异主要原因人员经费增加。</w:t>
      </w:r>
    </w:p>
    <w:p>
      <w:pPr>
        <w:spacing w:line="5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426.65万元。与上年相比，减少29.82万元，降低6.53%。增减变化的主要原因是：项目减少。一般公共预算财政拨款支出426.65万元。与上年相比，减少69.46万元，减少14%，增减变化的主要原因是：项目经费减少。其中：按功能分类科目，208类社会保障和就业支出34.78万元，215类资源勘探信息等支出391.88万元。按经济分类科目，工资福利支出314.78万元；对个人和家庭补助支出25.36万元；商品和服务支出86.51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357.42万元，决算数426.65万元，预决算差异率19.37%，差异主要原因人员经费增加。一般公共预算财政拨款支出年初预算数357.42万元，决算数426.65万元，预决算差异率19.37%，差异主要原因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年末结转结余0万元。与上年相比，减少0万元，降低0%。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其中财政拨款结转结余0万元。与上年相比，减少0万元，降低0%。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7.8万元，比上年增加0万元，增长0%，增加原因是本年无增减。其中，因公出国（境）费支出0万元，占0%，比上年增加0万元，增长0%，增加原因是本年无增减；公务用车购置及运行维护费支出7.8万元，占100%，比上年增加0万元，增长0%，增加原因是本年无增减；公务接待费支出0万元，占0%，比上年增加0万元，增长0%，增加原因是无。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因公出国（境）费支出0万元。昌吉市煤炭工业管理局全年使用一般公共预算财政拨款安排的出国（境）团组0个，累计0人次。开支内容包括：无开支。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公务用车购置及运行维护费7.8万元,其中，公务用车购置0万元，公务用车运行维护费7.8万元。主要用于车辆加油、加气、维修、保养、审验费用。单位一般公共财政拨款安排的公务用车购置量0辆，保有量为3辆。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公务接待费0万元。具体是：国内公务接待支出0万元，主要是无公务接待。昌吉市煤炭工业管理局国内公务接待0批次，0人次。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7.8万元，决算数7.8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7.8万元，决算数7.8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2018年度昌吉市煤炭工业管理局机关运行经费支出75.96万元，比上年增加75.96万元，增长100%，主要原因是工作量增加。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2018年度政府采购支出总额17.19万元，其中：政府采购货物支出1.21万元、政府采购工程支出0万元、政府采购服务支出15.99万元。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3辆，价值59.82万元，其中：部级领导干部用车0辆、主要领导干部用车0辆、机要通信用车0辆、应急保障用车0辆、执法执勤用车0辆、特种专业技术用车0辆、离退休干部用车0辆、其他用车3辆，其他用车主要是：一般公务用车；单位价值50万元以上通用设备1台（套）、单位价值100万元以上专用设备0台（套），其他固定资产价值75.69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2018年度，本部门单位预算绩效自评情况：我单位2018年共有1个项目，为煤矿企业安全监督，经费34.9万元。我单位能够严格按照财政预算执行，本着厉行节约的原则开展各项工作。</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煤矿企业安全监察项目绩效自评综述：根据年初设定的绩效目标，煤矿企业安全监察项目绩效自评得分88分，项目全年预算数为34.9万元，执行数为34.9万元，完成预算的100%。主要产出和效果：一是五个以上的煤矿企业正常运行；二是有效监控偷挖乱采矿产资源；发现的问题及原因：无问题。下一步改进措施：无措施。</w:t>
      </w:r>
    </w:p>
    <w:tbl>
      <w:tblPr>
        <w:tblStyle w:val="6"/>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昌吉市煤炭工业管理局项目支出绩效自评表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3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煤矿企业安全监察</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昌吉市煤炭工业管理局</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34.9</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34.9</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34.9</w:t>
            </w:r>
          </w:p>
        </w:tc>
        <w:tc>
          <w:tcPr>
            <w:tcW w:w="1946"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34.9</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90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煤矿企业安全监察项目经费349016.45元。2018年财政本级拨款349016.45元。</w:t>
            </w: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财政本级拨款全额及时到位，煤炭局严格按照项目书约定条款规定进行开支。该项目当年支出349016.45元，无结余。</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项目经费全部支付</w:t>
            </w:r>
          </w:p>
        </w:tc>
        <w:tc>
          <w:tcPr>
            <w:tcW w:w="19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当年支付金额</w:t>
            </w:r>
            <w:r>
              <w:rPr>
                <w:rFonts w:hint="eastAsia" w:ascii="宋体" w:hAnsi="宋体" w:eastAsia="宋体" w:cs="宋体"/>
                <w:kern w:val="0"/>
                <w:sz w:val="20"/>
                <w:szCs w:val="20"/>
                <w:lang w:eastAsia="zh-CN"/>
              </w:rPr>
              <w:t>≦</w:t>
            </w:r>
            <w:r>
              <w:rPr>
                <w:rFonts w:hint="eastAsia" w:ascii="宋体" w:hAnsi="宋体" w:cs="宋体"/>
                <w:kern w:val="0"/>
                <w:sz w:val="20"/>
                <w:szCs w:val="20"/>
                <w:lang w:val="en-US" w:eastAsia="zh-CN"/>
              </w:rPr>
              <w:t>349016.45元</w:t>
            </w:r>
          </w:p>
        </w:tc>
        <w:tc>
          <w:tcPr>
            <w:tcW w:w="16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已支付金额</w:t>
            </w:r>
            <w:r>
              <w:rPr>
                <w:rFonts w:hint="eastAsia" w:ascii="宋体" w:hAnsi="宋体" w:cs="宋体"/>
                <w:kern w:val="0"/>
                <w:sz w:val="20"/>
                <w:szCs w:val="20"/>
                <w:lang w:val="en-US" w:eastAsia="zh-CN"/>
              </w:rPr>
              <w:t>=349016.45元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完成率</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按要求支付</w:t>
            </w:r>
            <w:r>
              <w:rPr>
                <w:rFonts w:hint="default" w:ascii="Arial" w:hAnsi="Arial" w:cs="Arial"/>
                <w:kern w:val="0"/>
                <w:sz w:val="20"/>
                <w:szCs w:val="20"/>
                <w:lang w:eastAsia="zh-CN"/>
              </w:rPr>
              <w:t>≥</w:t>
            </w:r>
            <w:r>
              <w:rPr>
                <w:rFonts w:hint="eastAsia" w:ascii="宋体" w:hAnsi="宋体" w:cs="宋体"/>
                <w:kern w:val="0"/>
                <w:sz w:val="20"/>
                <w:szCs w:val="20"/>
                <w:lang w:val="en-US" w:eastAsia="zh-CN"/>
              </w:rPr>
              <w:t>98%</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按相关要求分类支付</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合格率</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按要求合格率达</w:t>
            </w:r>
            <w:r>
              <w:rPr>
                <w:rFonts w:hint="default" w:ascii="Arial" w:hAnsi="Arial" w:cs="Arial"/>
                <w:kern w:val="0"/>
                <w:sz w:val="20"/>
                <w:szCs w:val="20"/>
                <w:lang w:eastAsia="zh-CN"/>
              </w:rPr>
              <w:t>≥</w:t>
            </w:r>
            <w:r>
              <w:rPr>
                <w:rFonts w:hint="eastAsia" w:ascii="宋体" w:hAnsi="宋体" w:cs="宋体"/>
                <w:kern w:val="0"/>
                <w:sz w:val="20"/>
                <w:szCs w:val="20"/>
                <w:lang w:val="en-US" w:eastAsia="zh-CN"/>
              </w:rPr>
              <w:t>98%</w:t>
            </w:r>
            <w:r>
              <w:rPr>
                <w:rFonts w:hint="eastAsia" w:ascii="宋体" w:hAnsi="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合格率达</w:t>
            </w:r>
            <w:r>
              <w:rPr>
                <w:rFonts w:hint="eastAsia" w:ascii="宋体" w:hAnsi="宋体" w:cs="宋体"/>
                <w:kern w:val="0"/>
                <w:sz w:val="20"/>
                <w:szCs w:val="20"/>
                <w:lang w:val="en-US" w:eastAsia="zh-CN"/>
              </w:rPr>
              <w:t>99%</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项目开始时间</w:t>
            </w:r>
            <w:r>
              <w:rPr>
                <w:rFonts w:hint="eastAsia" w:ascii="宋体" w:hAnsi="宋体" w:cs="宋体"/>
                <w:kern w:val="0"/>
                <w:sz w:val="20"/>
                <w:szCs w:val="20"/>
                <w:lang w:val="en-US" w:eastAsia="zh-CN"/>
              </w:rPr>
              <w:t>2018年1月</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2018年1月开始</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2018年1月启动</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项目完成时限</w:t>
            </w:r>
            <w:r>
              <w:rPr>
                <w:rFonts w:hint="eastAsia" w:ascii="宋体" w:hAnsi="宋体" w:cs="宋体"/>
                <w:kern w:val="0"/>
                <w:sz w:val="20"/>
                <w:szCs w:val="20"/>
                <w:lang w:val="en-US" w:eastAsia="zh-CN"/>
              </w:rPr>
              <w:t>2018年12月</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2018年12月结束</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2018年12月结束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专家费</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专家费</w:t>
            </w:r>
            <w:r>
              <w:rPr>
                <w:rFonts w:hint="eastAsia" w:ascii="宋体" w:hAnsi="宋体" w:eastAsia="宋体" w:cs="宋体"/>
                <w:kern w:val="0"/>
                <w:sz w:val="20"/>
                <w:szCs w:val="20"/>
                <w:lang w:eastAsia="zh-CN"/>
              </w:rPr>
              <w:t>≦</w:t>
            </w:r>
            <w:r>
              <w:rPr>
                <w:rFonts w:hint="eastAsia" w:ascii="宋体" w:hAnsi="宋体" w:cs="宋体"/>
                <w:kern w:val="0"/>
                <w:sz w:val="20"/>
                <w:szCs w:val="20"/>
                <w:lang w:val="en-US" w:eastAsia="zh-CN"/>
              </w:rPr>
              <w:t>8万元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专家费</w:t>
            </w:r>
            <w:r>
              <w:rPr>
                <w:rFonts w:hint="eastAsia" w:ascii="宋体" w:hAnsi="宋体" w:eastAsia="宋体" w:cs="宋体"/>
                <w:kern w:val="0"/>
                <w:sz w:val="20"/>
                <w:szCs w:val="20"/>
                <w:lang w:eastAsia="zh-CN"/>
              </w:rPr>
              <w:t>≦</w:t>
            </w:r>
            <w:r>
              <w:rPr>
                <w:rFonts w:hint="eastAsia" w:ascii="宋体" w:hAnsi="宋体" w:cs="宋体"/>
                <w:kern w:val="0"/>
                <w:sz w:val="20"/>
                <w:szCs w:val="20"/>
                <w:lang w:val="en-US" w:eastAsia="zh-CN"/>
              </w:rPr>
              <w:t>7万元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煤矿企业正常运行</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煤矿个数</w:t>
            </w:r>
            <w:r>
              <w:rPr>
                <w:rFonts w:hint="default" w:ascii="Arial" w:hAnsi="Arial" w:cs="Arial"/>
                <w:kern w:val="0"/>
                <w:sz w:val="20"/>
                <w:szCs w:val="20"/>
                <w:lang w:eastAsia="zh-CN"/>
              </w:rPr>
              <w:t>≥</w:t>
            </w:r>
            <w:r>
              <w:rPr>
                <w:rFonts w:hint="eastAsia" w:ascii="宋体" w:hAnsi="宋体" w:cs="宋体"/>
                <w:kern w:val="0"/>
                <w:sz w:val="20"/>
                <w:szCs w:val="20"/>
                <w:lang w:val="en-US" w:eastAsia="zh-CN"/>
              </w:rPr>
              <w:t>4</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eastAsia="zh-CN"/>
              </w:rPr>
              <w:t>煤矿个数</w:t>
            </w:r>
            <w:r>
              <w:rPr>
                <w:rFonts w:hint="default" w:ascii="Arial" w:hAnsi="Arial" w:cs="Arial"/>
                <w:kern w:val="0"/>
                <w:sz w:val="20"/>
                <w:szCs w:val="20"/>
                <w:lang w:eastAsia="zh-CN"/>
              </w:rPr>
              <w:t>≥</w:t>
            </w:r>
            <w:r>
              <w:rPr>
                <w:rFonts w:hint="eastAsia" w:ascii="Arial" w:hAnsi="Arial" w:cs="Arial"/>
                <w:kern w:val="0"/>
                <w:sz w:val="20"/>
                <w:szCs w:val="20"/>
                <w:lang w:val="en-US" w:eastAsia="zh-CN"/>
              </w:rPr>
              <w:t>5</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有效防范煤矿事故发生</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w:t>
            </w:r>
            <w:r>
              <w:rPr>
                <w:rFonts w:hint="eastAsia" w:ascii="宋体" w:hAnsi="宋体" w:cs="宋体"/>
                <w:kern w:val="0"/>
                <w:sz w:val="20"/>
                <w:szCs w:val="20"/>
                <w:lang w:val="en-US" w:eastAsia="zh-CN"/>
              </w:rPr>
              <w:t>1</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w:t>
            </w:r>
            <w:r>
              <w:rPr>
                <w:rFonts w:hint="eastAsia" w:ascii="宋体" w:hAnsi="宋体" w:cs="宋体"/>
                <w:kern w:val="0"/>
                <w:sz w:val="20"/>
                <w:szCs w:val="20"/>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有效监控偷挖乱采矿产资源</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监控率</w:t>
            </w:r>
            <w:r>
              <w:rPr>
                <w:rFonts w:hint="default" w:ascii="Arial" w:hAnsi="Arial" w:cs="Arial"/>
                <w:kern w:val="0"/>
                <w:sz w:val="20"/>
                <w:szCs w:val="20"/>
                <w:lang w:eastAsia="zh-CN"/>
              </w:rPr>
              <w:t>≥</w:t>
            </w:r>
            <w:r>
              <w:rPr>
                <w:rFonts w:hint="eastAsia" w:ascii="宋体" w:hAnsi="宋体" w:cs="宋体"/>
                <w:kern w:val="0"/>
                <w:sz w:val="20"/>
                <w:szCs w:val="20"/>
                <w:lang w:val="en-US" w:eastAsia="zh-CN"/>
              </w:rPr>
              <w:t>90%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eastAsia="zh-CN"/>
              </w:rPr>
              <w:t>监控率</w:t>
            </w:r>
            <w:r>
              <w:rPr>
                <w:rFonts w:hint="default" w:ascii="Arial" w:hAnsi="Arial" w:cs="Arial"/>
                <w:kern w:val="0"/>
                <w:sz w:val="20"/>
                <w:szCs w:val="20"/>
                <w:lang w:eastAsia="zh-CN"/>
              </w:rPr>
              <w:t>≥</w:t>
            </w:r>
            <w:r>
              <w:rPr>
                <w:rFonts w:hint="eastAsia" w:ascii="宋体" w:hAnsi="宋体" w:cs="宋体"/>
                <w:kern w:val="0"/>
                <w:sz w:val="20"/>
                <w:szCs w:val="20"/>
                <w:lang w:val="en-US" w:eastAsia="zh-CN"/>
              </w:rPr>
              <w:t>95%</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煤矿健康可持续发展</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default" w:ascii="Arial" w:hAnsi="Arial" w:cs="Arial"/>
                <w:kern w:val="0"/>
                <w:sz w:val="20"/>
                <w:szCs w:val="20"/>
              </w:rPr>
              <w:t>≥</w:t>
            </w:r>
            <w:r>
              <w:rPr>
                <w:rFonts w:hint="eastAsia" w:ascii="宋体" w:hAnsi="宋体" w:cs="宋体"/>
                <w:kern w:val="0"/>
                <w:sz w:val="20"/>
                <w:szCs w:val="20"/>
                <w:lang w:val="en-US" w:eastAsia="zh-CN"/>
              </w:rPr>
              <w:t>60%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default" w:ascii="Arial" w:hAnsi="Arial" w:cs="Arial"/>
                <w:kern w:val="0"/>
                <w:sz w:val="20"/>
                <w:szCs w:val="20"/>
              </w:rPr>
              <w:t>≥</w:t>
            </w:r>
            <w:r>
              <w:rPr>
                <w:rFonts w:hint="eastAsia" w:ascii="宋体" w:hAnsi="宋体" w:cs="宋体"/>
                <w:kern w:val="0"/>
                <w:sz w:val="20"/>
                <w:szCs w:val="20"/>
                <w:lang w:val="en-US" w:eastAsia="zh-CN"/>
              </w:rPr>
              <w:t>80%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煤矿企业满意率</w:t>
            </w:r>
          </w:p>
        </w:tc>
        <w:tc>
          <w:tcPr>
            <w:tcW w:w="1946"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default" w:ascii="Arial" w:hAnsi="Arial" w:cs="Arial"/>
                <w:kern w:val="0"/>
                <w:sz w:val="20"/>
                <w:szCs w:val="20"/>
              </w:rPr>
              <w:t>≥</w:t>
            </w:r>
            <w:r>
              <w:rPr>
                <w:rFonts w:hint="eastAsia" w:ascii="宋体" w:hAnsi="宋体" w:cs="宋体"/>
                <w:kern w:val="0"/>
                <w:sz w:val="20"/>
                <w:szCs w:val="20"/>
                <w:lang w:val="en-US" w:eastAsia="zh-CN"/>
              </w:rPr>
              <w:t>95%</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满意率</w:t>
            </w:r>
            <w:r>
              <w:rPr>
                <w:rFonts w:hint="eastAsia" w:ascii="宋体" w:hAnsi="宋体" w:cs="宋体"/>
                <w:kern w:val="0"/>
                <w:sz w:val="20"/>
                <w:szCs w:val="20"/>
                <w:lang w:val="en-US" w:eastAsia="zh-CN"/>
              </w:rPr>
              <w:t>98%</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上级主管单位考核</w:t>
            </w:r>
          </w:p>
        </w:tc>
        <w:tc>
          <w:tcPr>
            <w:tcW w:w="1946"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≥良</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优</w:t>
            </w:r>
          </w:p>
        </w:tc>
      </w:tr>
    </w:tbl>
    <w:p>
      <w:pPr>
        <w:spacing w:line="540" w:lineRule="exact"/>
        <w:ind w:firstLine="640" w:firstLineChars="200"/>
        <w:rPr>
          <w:rFonts w:hint="eastAsia" w:ascii="仿宋_GB2312" w:eastAsia="仿宋_GB2312"/>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本单位支出功能分类说明。208（类）05（款）05（项）：指机关事业单位基本养老保险缴费支出。215（类）06（款）01（项）：指行政运行。215（类）06（款）07（项）：指煤炭安全。</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bookmarkStart w:id="0" w:name="_GoBack"/>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FE5"/>
    <w:rsid w:val="004F4DA1"/>
    <w:rsid w:val="00643FE5"/>
    <w:rsid w:val="008E0385"/>
    <w:rsid w:val="19220C4B"/>
    <w:rsid w:val="29270FE5"/>
    <w:rsid w:val="2975608E"/>
    <w:rsid w:val="2D0F6F98"/>
    <w:rsid w:val="509F67A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912</Words>
  <Characters>5199</Characters>
  <Lines>43</Lines>
  <Paragraphs>12</Paragraphs>
  <TotalTime>0</TotalTime>
  <ScaleCrop>false</ScaleCrop>
  <LinksUpToDate>false</LinksUpToDate>
  <CharactersWithSpaces>6099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2021-05-21T12:38:00Z</dcterms:created>
  <dc:creator>Lenovo</dc:creator>
  <cp:lastModifiedBy>Administrator</cp:lastModifiedBy>
  <dcterms:modified xsi:type="dcterms:W3CDTF">2021-05-31T09:53:19Z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C38EB77D5BA84CCAA398EC0996369AB7</vt:lpwstr>
  </property>
</Properties>
</file>