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2018年度昌吉市商务和经济信息化委员会决算公开</w:t>
      </w:r>
    </w:p>
    <w:p>
      <w:pPr>
        <w:spacing w:line="540" w:lineRule="exact"/>
        <w:jc w:val="center"/>
        <w:rPr>
          <w:rFonts w:hint="eastAsia" w:ascii="黑体" w:hAnsi="黑体" w:eastAsia="黑体"/>
          <w:b w:val="0"/>
          <w:bCs/>
          <w:kern w:val="0"/>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贯彻执行国家、自治区、州经济信息化、有关内外贸易、国内外经济技术合作和外商投资的法律法规和方针政策，提出昌吉市商务发展、新型工业化、信息化发展战略和建议；制定昌吉市对外贸易、吸引国内外投资与合作的政策及经济信息化发展的政策措施；贯彻落实国家、自治区、州产业政策，制定昌吉市内外贸易、国内外经济技术合作、外商投资、经济和信息化发展规划、年度计划并组织实施；制定昌吉市工业和信息产业优化布局、结构调整的政策措施并组织实施，组织实施重点产业调整和振兴规划，协调解决工业化和信息化进程中的重大问题；推进信息化和工业化融合发展。</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监测分析昌吉市国民经济运行态势，调节国民经济日常运行；制定经济运行调控目标、政策措施并组织实施；负责统计并发布相关信息，进行预测预警和信息引导；组织解决昌吉市经济运行中重大问题并提出政策措施和建议；负责组织协调昌吉市能源保障和重要物资供需平衡有关工作；负责管理境内石油天然气勘探、开发工作；负责协调油地关系；负责经济运行应急管理和产业安全有关工作。负责昌吉市经济和信息化领域各行业的管理，组织实施行业专项规划、计划、技术规范和标准；负责协调做好昌吉市园区招商引资、产业发展及相关建设管理工作；负责民爆行业管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指导大宗产品批发市场规划和商业网点规划、商业体系建设工作，促进城乡市场发展，推进有关农村市场体系建设，组织实施农村现代流通网络工程；研究提出昌吉市流通行业和生活服务业重点设施布局意见，协调昌吉市商业中心、特色商业街和各类商品交易市场的规划与建设；组织协调商贸流通领域的科技开发、技术引进和科技成果推广，推进商贸流通现代化。</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负责推进流通产业结构调整，指导流通企业改革、商贸服务业和社区商业发展，提出促进商贸中小企业发展的政策建议，推动流通标准化和连锁经营、商业特许经营、物流配送、电子商务等现代流通方式的发展；制订昌吉市规范市场运行、流通秩序的政策，推动商务领域信用建设，指导商业信用销售，按有关规定对特殊流通行业进行监督管理。负责酒类流通、畜禽屠宰、盐业专营、特许经营、美容美发、会展等行业的监督管理；指导再生资源流通管理工作；负责成品油流通监督管理工作。承担组织实施重要消费品市场调控和重要生产资料流通管理的责任，负责建立健全生活必需品市场供应应急管理机制，监测分析市场运行、商品供求状况，调查分析商品价格信息，进行预测预警和信息引导，按分工负责重要消费品储备管理和市场调控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负责昌吉市工业、信息产业及信息化建设的技术改造、投资管理工作；制定技术改造、投资的有关政策措施，并组织实施；研究和规划技术改造投资方向和布局，引导企业、金融机构及社会资金投向；负责技术改造、投资项目的审核上报、核准、备案工作；监督管理重点技术改造项目招投标活动。培育和扶持特色产业。制定昌吉市经济和信息化领域技术进步及自主创新的政策措施，推进技术创新和产学研相结合，推进科研成果产业化；制定推进战略性新兴产业发展政策措施，负责组织实施重大产业技术开发项目；组织实施新产品开发、新技术推广及鉴定、奖励工作；负责振兴装备制造业工作，推进重大技术装备国产化。</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负责推进昌吉市经济和信息化领域管理创新；负责对昌吉市各类经济成份企业的宏观指导和服务，组织推进大企业大集团战略的实施；制定促进中小企业改革与发展政策措施，推动建立完善中小企业服务体系，协调解决有关重大问题；负责市经济和信息化领域人员的培训，会同有关部门实施企业智力引进工作；联系经济和信息化领域社会团体组织，指导其改革与调整；指导有关行业协会、学会工作；承担昌吉市减轻企业负担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负责昌吉市工业节能减排综合协调和监督管理工作，落实能源资源节约和综合利用法规、规划、政策；负责推进昌吉市循环经济发展；组织协调昌吉市有关清洁生产和节能环保产业发展工作；负责昌吉市工业节能执法工作。负责墙体材料改革和管理，组织和指导企业实施墙体材料革新、建筑节能、散装水泥、包装新材料等资源节约和综合利用工作，配合有关部门做好工业企业环境保护工作。负责执行国家、自治区、州电力行业规章、行业技术规范和标准；负责权限范围内的电力行政执法、监督和行政许可；参与电力体制改革工作；负责拟订年度电力行业运行调控目标；组织解决电力生产、运营和供应中的重大问题；负责保障重点用电，指导电力调度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统筹推进昌吉市信息化工作；指导、协调昌吉市经济社会各领域信息技术的推广应用工作；组织协调重大信息化工程；负责推进跨行业、跨部门面向社会服务的互联互通及重要信息资源开发利用和共享，协调通信业有关工作；监督管理信息服务市场；推进信息化知识、技能的普及教育。组织指导昌吉市电子信息产业的发展；组织推进昌吉市电子信息产品制造业、软件业、信息服务业的发展；指导电子信息产业基地建设工作；组织协调电子信息产业重大专项实施；监督管理昌吉市电子信息产品市场。负责归口管理、指导、协调昌吉市电子政务建设和应用工作；负责指导、协调、管理昌吉市有关网络与信息安全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9.负责昌吉市外商投资工作；审核上报昌吉市外商投资企业合同、章程及变更事项，限制投资和涉及配额、许可证管理的外商投资企业的设立及其变更事项的审核上报工作；负责管理、监督我市外商投资企业执行有关法律、法规、合同情况。负责指导、协调昌吉市对外经济技术合作工作；审核上报市属企业（组织）在境外投资项目和驻外机构，申报多边、双边国际及民间无偿援助项目。</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10.负责昌吉市对外贸易的管理工作；贯彻执行国家进出口商品管理办法和进出口商品目录；负责进出口商品计划配额的申领及管理，组织企业参加出口配额招标活动。贯彻国家加工贸易政策。贯彻执行国家有关边境贸易的各项政策并组织实施；指导昌吉市企业积极参与国外针对我市出口商品的反倾销、反补贴、保障措施的应诉等相关工作。负责外经贸统计及其信息发布，提供咨询服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11.负责执行国家和区、州招商引资政策、法规和条例。研究制定、落实昌吉市招商引资政策和规定、办法，制定昌吉市外引内联、招商引资中长期规划和年度计划。承担招商引资项目的规划工作。负责昌吉市招商引资项目的打造包装、征集筛选、推介发布；负责招商项目库建设；负责落实重大招商项目跟进责任制；负责招商项目的对接洽谈、跟踪服务、推进落实；参与评审论证重大招商项目；负责招商引资立项督查、目标考核和统计通报工作；负责区内地州、县市及与各省市之间的横向经济联合协作；负责推进和发展区域经济联合与协作，指导和协调跨行业、跨部门的联合协作；开展外引内联、对口支援及有关项目的对接落实工作，负责外设和涉外办事机构的归口管理工作。组织和参与各领域交易会、洽谈会、博览会、展览会和有关招商活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12.负责企业党组织的组建及规范化管理。指导所属党组织做好发展党员工作、党员党费收缴管理工作和民主评议党员以及先进党组织、优秀共产党员、优秀党务工作者的评选表彰工作；负责企业党组织对属党员干部职工的培训工作。配合市委组织部做好所属企业领导干部的考察、考核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13.负责抓好所属企业党组织的宣传思想政治工作，指导企业党组织贯彻落实党的路线、方针、政策和区、州、市党委、人民政府有关指示、决定；负责对所属企业党组织工作中重大问题调查研究。负责实施商务和经济信息化工作的宣传报道、信息编辑上报和统筹宣传协调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14.领导所属企业党组织开展工青妇，基层组织建设工作；督促指导企业开展工会、妇女、共青团和关心下一代工作，指导他们依照法律和各自章程独立负责地开展工作。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15.配合街道、社区督促协调所属企业党组织开展精神文明建设、城乡解困、综合治理、依法普法、爱国卫生、双拥、人口与计划生育等工作。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16.完成市委交办的其它工作。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17.监督检查党的路线、方针、政策以及区、州、市党委、人民政府和纪委的有关指示、决定在市商务经信系统中贯彻执行情况。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18.指导所属企业党组织党风廉政建设检和纪检、监察以及反腐败工作。负责机关作风建设、纠风、企业减负工作。及时向市委反映所属企业党组织领导班子和领导干部廉洁自律情况。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19.受理市商务经信系统党组织和党员的控告和申诉。</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贯彻执行国家、自治区、州经济信息化、有关内外贸易、国内外经济技术合作和外商投资的法律法规和方针政策，提出昌吉市商务发展、新型工业化、信息化发展战略和建议；制定昌吉市对外贸易、吸引国内外投资与合作的政策及经济信息化发展的政策措施；贯彻落实国建、自治区、州产业政策，制定昌吉市内外贸易。</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21.监测分析昌吉市国民经济运行态势，调节国民经济日常运行；制定经济运行调控目标、政策措施并组织实施；负责统计并发布相关信息，进行预测预警和信息引导；组织解决昌吉市经济运行中重大问题并提出政策措施和建议；负责组织协调昌吉市能源保障和重要物资供需平衡有关工作；负责管理境内石油天然气勘探、开发工作；负责协调油地关系；负责经济运行应急管理和产业安全有关工作。负责昌吉市经济和信息化领域各行业的管理，组织实施行业专项规划、计划、技术规范和标准；负责协调做好昌吉市园区招商引资、产业发展及相关建设管理工作，负责民爆行业管理。</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从决算单位构成看，昌吉市商务和经济信息化委员会部门决算包括：昌吉市商务和经济信息化委员会部门本级决算。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纳入昌吉市商务和经济信息化委员会2018年部门决算编制范围的单位名单见下表：</w:t>
      </w:r>
    </w:p>
    <w:tbl>
      <w:tblPr>
        <w:tblStyle w:val="8"/>
        <w:tblW w:w="8301"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2243"/>
        <w:gridCol w:w="3385"/>
        <w:gridCol w:w="2673"/>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PrEx>
        <w:tc>
          <w:tcPr>
            <w:tcW w:w="22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22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昌吉市商务和经济信息化委员会本级</w:t>
            </w: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58" w:hRule="atLeast"/>
        </w:trPr>
        <w:tc>
          <w:tcPr>
            <w:tcW w:w="22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716" w:hRule="atLeast"/>
        </w:trPr>
        <w:tc>
          <w:tcPr>
            <w:tcW w:w="22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3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rPr>
          <w:trHeight w:val="673" w:hRule="atLeast"/>
        </w:trPr>
        <w:tc>
          <w:tcPr>
            <w:tcW w:w="224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38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67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1086.48万元,与上年相比，减少1036.23万元，降低48.82%，增减变化主要原因是：项目经费减少；支出1161.36万元,与上年相比，减少935.40万元，降低44%，增减变化主要原因是：项目经费减少，机构划出；结余31.94万元，与上年相比，减少130.26万元，降低80.31%。增减变化主要原因是：加快资金支出进度。</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本年收入合计1086.48万元，其中：财政拨款收入1076.93万元，占99%；上级补助收入0万元，占0%；事业收入0万元，占0%；经营收入0万元，占0%；附属单位缴款0万元，占0%；其他收入9.55万元，占1%。</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与年初预算数相比情况：本年收入年初预算数721.45万元，决算数1086.48万元，预决算差异率51%，差异主要原因追加了专项经费及人员增资等。</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本年支出合计1161.36万元，其中：基本支出839.59万元，占72%；项目支出321.78万元，占28%。上缴上级支出0万元，占0%；经营支出0万元，占0%；对附属单位补助支出0万元，占0%。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与年初预算数相比情况：本年支出年初预算数721.45万元，决算数1161.36万元，预决算差异率61%，差异主要原因追加了专项经费及人员增资等。</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二、部门财政拨款收支情况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（一）财政拨款收支总体情况说明</w:t>
      </w:r>
    </w:p>
    <w:p>
      <w:pPr>
        <w:widowControl/>
        <w:shd w:val="clear" w:color="auto" w:fill="FFFFFF"/>
        <w:spacing w:before="225" w:line="450" w:lineRule="atLeast"/>
        <w:ind w:firstLine="48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1076.93万元，与上年相比，减少1045.12万元，降低49%。增减变化的主要原因是：项目经费减少，机构划出。财政拨款支出1151.15万元，与上年相比，减少945.61万元，降低45.10%，增减变化的主要原因是：项目经费减少，机构划出。其中：基本支出838.93万元，项目支出312.22万元。财政拨款结转结余31.94万元，与上年相比，减少74.</w:t>
      </w:r>
      <w:r>
        <w:rPr>
          <w:rFonts w:hint="eastAsia" w:ascii="仿宋_GB2312" w:hAnsi="Times New Roman" w:eastAsia="仿宋_GB2312" w:cs="Times New Roman"/>
          <w:sz w:val="32"/>
          <w:szCs w:val="32"/>
          <w:lang w:val="en-US" w:eastAsia="zh-CN"/>
        </w:rPr>
        <w:t>23</w:t>
      </w:r>
      <w:r>
        <w:rPr>
          <w:rFonts w:hint="eastAsia" w:ascii="仿宋_GB2312" w:hAnsi="Times New Roman" w:eastAsia="仿宋_GB2312" w:cs="Times New Roman"/>
          <w:sz w:val="32"/>
          <w:szCs w:val="32"/>
        </w:rPr>
        <w:t>万元，降低</w:t>
      </w:r>
      <w:r>
        <w:rPr>
          <w:rFonts w:hint="eastAsia" w:ascii="仿宋_GB2312" w:hAnsi="Times New Roman" w:eastAsia="仿宋_GB2312" w:cs="Times New Roman"/>
          <w:sz w:val="32"/>
          <w:szCs w:val="32"/>
          <w:lang w:val="en-US" w:eastAsia="zh-CN"/>
        </w:rPr>
        <w:t>69.92</w:t>
      </w:r>
      <w:r>
        <w:rPr>
          <w:rFonts w:hint="eastAsia" w:ascii="仿宋_GB2312" w:hAnsi="Times New Roman" w:eastAsia="仿宋_GB2312" w:cs="Times New Roman"/>
          <w:sz w:val="32"/>
          <w:szCs w:val="32"/>
        </w:rPr>
        <w:t>%。增减变化的主要原因是：追加了专项经费及人员增资等。</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721.45万元，决算数1076.93万元，预决算差异率49%，差异主要原因专项经费的追加。财政拨款支出年初预算数721.45万元，决算数1151.15万元，预决算差异率59.56%，差异主要原因追加了专项经费及人员增资等。</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1076.93万元。与上年相比，减少1045.12万元，降低49%。增减变化的主要原因是：项目经费减少，机构划出。一般公共预算财政拨款支出1151.15万元。与上年相比，减少945.61万元，降低45%。增减变化的主要原因是：项目经费减少，机构划出。其中：按功能分类科目，201类一般公共服务支出891.45万元，208类社会保障和就业支出66.95万元，211类节能环保支出187.5万元，212类城乡社区支出5.25万元。按经济分类科目，工资福利支出635.18万元，商品和服务支出408.62万元，对个人和家庭补助支出99.07万元，资本性支出8.28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721.45万元，决算数1076.93万元，预决算差异率49%，差异主要原因专项经费的追加。一般公共预算财政拨款支出年初预算数721.45万元，决算数1151.15万元，预决算差异率59%，差异主要原因专项经费的追加。</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年末结转结余31.94万元。与上年相比，减少130.26万元，降低80.31%。</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其中财政拨款结转结余31.94万元。与上年相比，减少129.60万元，降低80.23%。</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13万元，比上年减少2.6万元，降低16%，减少原因是编制车辆减少。其中，因公出国（境）费支出0万元，占0%，比上年增加0万元，增长0%，增加原因是本年无增减；公务用车购置及运行维护费支出13万元，占100%，比上年减少2.6万元，降低16%，减少原因是编制车辆减少；公务接待费支出0万元，占0%，比上年增加0万元，增长0%，增加原因是本年无增减。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因公出国（境）费支出0万元。昌吉市商务和经济信息化委员会全年使用一般公共预算财政拨款安排的出国（境）团组0个，累计0人次。开支内容包括：无开支。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公务用车购置及运行维护费13万元,其中，公务用车购置0万元，公务用车运行维护费13万元。主要用于车辆维修、加油、加气、保养、保险等。单位一般公共财政拨款安排的公务用车购置量0辆，保有量为5辆。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公务接待费0万元。具体是：国内公务接待支出0万元，主要是无开支等。昌吉市商务和经济信息化委员会国内公务接待0批次，0人次。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13万元，决算数13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13万元，决算数13万元，预决算差异率0%，差异主要原因本年无增减；公务接待费预算数0万元，决算数0万元，预决算差异率0%，差异主要原因本年无增减。</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2018年度昌吉市商务和经济信息化委员会机关运行经费支出104.68万元，比上年减少171.17万元，降低62%，主要原因是人员减少，压缩开支。</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2018年度政府采购支出总额43.37万元，其中：政府采购货物支出11.15万元、政府采购工程支出0万元、政府采购服务支出32.22万元。</w:t>
      </w:r>
    </w:p>
    <w:p>
      <w:pPr>
        <w:widowControl w:val="0"/>
        <w:spacing w:line="540" w:lineRule="exact"/>
        <w:ind w:firstLine="640" w:firstLineChars="200"/>
        <w:jc w:val="both"/>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10辆，价值266.52万元，其中：部级领导干部用车0辆、主要领导干部用车0辆、机要通信用车0辆、应急保障用车0辆、执法执勤用车0辆、特种专业技术用车0辆、离退休干部用车0辆、其他用车10辆，其他用车主要是：单位和驻外各办事处公务用车；单位价值50万元以上通用设备0台（套）、单位价值100万元以上专用设备0台（套），其他固定资产价值108.95万元。</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本单位2018年度共有5个项目，分别是2018年度自治区节能减排专项资金187.5万元，美食节工作支出79.86万元、经济工作业务支出7.87万元、昌吉市园区基础建设项目24.25万元、招商引资项目推进43.72万元，总计343.20万元。项目严格按照国家有关财政法律法规、规章制度进行管理，所有项目分工明确，决策、执行、监督相互独立；经费支出严格按照程序规范管理，严格经过相应层级审核，确保资金支付岸却、合规、合法，保证资金专款专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根据《昌吉州财政局关于做好2018年预算绩效自评工作的通知》文件精神，我办对该项工作高度重视，认真对照各实施项目逐条逐项进行了自评。通过核实数据、查阅资料、归纳汇总、讨论分析等环节，形成绩效评价报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2018年度自治区节能减排项目绩效自评综述：根据年初设定的绩效目标，2018年度自治区节能减排项目绩效自评得分92分，项目全年预算数为187.5万元，执行数为187.5万元，完成预算的100%。主要产出和效果：一是完成自治区申报项目任务，促进企业发展；二是区域内环境质量指标提升2%；发现的问题及原因：无问题。下一步改进措施：无措施。</w:t>
      </w:r>
    </w:p>
    <w:tbl>
      <w:tblPr>
        <w:tblStyle w:val="8"/>
        <w:tblpPr w:leftFromText="180" w:rightFromText="180" w:vertAnchor="text" w:horzAnchor="page" w:tblpXSpec="center" w:tblpY="248"/>
        <w:tblOverlap w:val="never"/>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昌吉市商务和经济信息化委员会项目支出绩效自评表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hAnsi="宋体" w:cs="宋体"/>
                <w:kern w:val="0"/>
                <w:sz w:val="24"/>
              </w:rPr>
            </w:pPr>
          </w:p>
        </w:tc>
        <w:tc>
          <w:tcPr>
            <w:tcW w:w="1077" w:type="dxa"/>
            <w:tcBorders>
              <w:top w:val="nil"/>
              <w:left w:val="nil"/>
              <w:bottom w:val="nil"/>
              <w:right w:val="nil"/>
            </w:tcBorders>
            <w:vAlign w:val="center"/>
          </w:tcPr>
          <w:p>
            <w:pPr>
              <w:widowControl/>
              <w:jc w:val="center"/>
              <w:rPr>
                <w:rFonts w:ascii="宋体" w:hAnsi="宋体" w:cs="宋体"/>
                <w:kern w:val="0"/>
                <w:sz w:val="24"/>
              </w:rPr>
            </w:pPr>
          </w:p>
        </w:tc>
        <w:tc>
          <w:tcPr>
            <w:tcW w:w="1285" w:type="dxa"/>
            <w:tcBorders>
              <w:top w:val="nil"/>
              <w:left w:val="nil"/>
              <w:bottom w:val="nil"/>
              <w:right w:val="nil"/>
            </w:tcBorders>
            <w:vAlign w:val="center"/>
          </w:tcPr>
          <w:p>
            <w:pPr>
              <w:widowControl/>
              <w:jc w:val="center"/>
              <w:rPr>
                <w:rFonts w:ascii="宋体" w:hAnsi="宋体" w:cs="宋体"/>
                <w:kern w:val="0"/>
                <w:sz w:val="24"/>
              </w:rPr>
            </w:pPr>
          </w:p>
        </w:tc>
        <w:tc>
          <w:tcPr>
            <w:tcW w:w="1021" w:type="dxa"/>
            <w:tcBorders>
              <w:top w:val="nil"/>
              <w:left w:val="nil"/>
              <w:bottom w:val="nil"/>
              <w:right w:val="nil"/>
            </w:tcBorders>
            <w:vAlign w:val="center"/>
          </w:tcPr>
          <w:p>
            <w:pPr>
              <w:widowControl/>
              <w:jc w:val="center"/>
              <w:rPr>
                <w:rFonts w:ascii="宋体" w:hAnsi="宋体" w:cs="宋体"/>
                <w:kern w:val="0"/>
                <w:sz w:val="24"/>
              </w:rPr>
            </w:pPr>
          </w:p>
        </w:tc>
        <w:tc>
          <w:tcPr>
            <w:tcW w:w="831" w:type="dxa"/>
            <w:tcBorders>
              <w:top w:val="nil"/>
              <w:left w:val="nil"/>
              <w:bottom w:val="nil"/>
              <w:right w:val="nil"/>
            </w:tcBorders>
            <w:vAlign w:val="center"/>
          </w:tcPr>
          <w:p>
            <w:pPr>
              <w:widowControl/>
              <w:jc w:val="center"/>
              <w:rPr>
                <w:rFonts w:ascii="宋体" w:hAnsi="宋体" w:cs="宋体"/>
                <w:kern w:val="0"/>
                <w:sz w:val="24"/>
              </w:rPr>
            </w:pPr>
          </w:p>
        </w:tc>
        <w:tc>
          <w:tcPr>
            <w:tcW w:w="1946" w:type="dxa"/>
            <w:tcBorders>
              <w:top w:val="nil"/>
              <w:left w:val="nil"/>
              <w:bottom w:val="nil"/>
              <w:right w:val="nil"/>
            </w:tcBorders>
            <w:vAlign w:val="center"/>
          </w:tcPr>
          <w:p>
            <w:pPr>
              <w:widowControl/>
              <w:jc w:val="center"/>
              <w:rPr>
                <w:rFonts w:ascii="宋体" w:hAnsi="宋体" w:cs="宋体"/>
                <w:kern w:val="0"/>
                <w:sz w:val="24"/>
              </w:rPr>
            </w:pPr>
          </w:p>
        </w:tc>
        <w:tc>
          <w:tcPr>
            <w:tcW w:w="1682"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633"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spacing w:line="700" w:lineRule="exact"/>
              <w:ind w:left="1000" w:hanging="1000" w:hangingChars="500"/>
              <w:jc w:val="center"/>
              <w:rPr>
                <w:rFonts w:ascii="宋体" w:hAnsi="宋体" w:cs="宋体"/>
                <w:kern w:val="0"/>
                <w:sz w:val="20"/>
                <w:szCs w:val="20"/>
              </w:rPr>
            </w:pPr>
            <w:r>
              <w:rPr>
                <w:rFonts w:hint="eastAsia" w:ascii="宋体" w:hAnsi="宋体" w:cs="宋体"/>
                <w:kern w:val="0"/>
                <w:sz w:val="20"/>
                <w:szCs w:val="20"/>
              </w:rPr>
              <w:t>2018年自治区节能减排项目</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昌吉市商务和经济信息化委员会</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187.5万元</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187.5万元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187.5万元</w:t>
            </w:r>
          </w:p>
        </w:tc>
        <w:tc>
          <w:tcPr>
            <w:tcW w:w="1946"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187.5万元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p>
        </w:tc>
        <w:tc>
          <w:tcPr>
            <w:tcW w:w="1946"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932"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企业按照要求做好节能减排项目预算执行工作，加强对资金使用情况监管，依据专款专用原则，对预算执行跟踪反馈。</w:t>
            </w:r>
          </w:p>
        </w:tc>
        <w:tc>
          <w:tcPr>
            <w:tcW w:w="3628"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企业按照要求做好节能减排项目预算执行工作，加强对资金使用情况监管，依据专款专用原则，对预算执行跟踪反馈。</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07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8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4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85" w:type="dxa"/>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指标1：支持节能减排项目申报企业8家</w:t>
            </w:r>
          </w:p>
        </w:tc>
        <w:tc>
          <w:tcPr>
            <w:tcW w:w="19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投入资金支持8家</w:t>
            </w:r>
          </w:p>
        </w:tc>
        <w:tc>
          <w:tcPr>
            <w:tcW w:w="1682"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完成率100%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指标1：区域内环境质量指标提升2%</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区域内环境质量指标提升2%</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区域内环境质量指标提升2%</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指标1：2018年12月开始</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2018年12月开始</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2018年12月开始</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指标2：2019年12月结束</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2019年12月结束</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2019年12月结束</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指标1：187.5万元</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支持资金187.5万元</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资金到位率100%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指标1：工业增加值3%</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项目完成投入使用促进工业增加值3%</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待项目完成</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指标1：GDP增加值比重0.5%</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项目完成投入使用促进工业增加值占当年GDP增加值0.5%</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完成自治区申报项目任务，促进企业发展</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指标2：区域内环境质量指标提升2%</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区域内环境质量指标提升2%</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区域内环境质量指标提升2%</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生态效益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指标1：区域内生态环境提升2%</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区域内生态环境提升2%</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区域内生态环境提升2%</w:t>
            </w:r>
          </w:p>
        </w:tc>
      </w:tr>
    </w:tbl>
    <w:p>
      <w:pPr>
        <w:numPr>
          <w:ilvl w:val="0"/>
          <w:numId w:val="1"/>
        </w:num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第十届、第十一届美食文化旅游节专项经费项目绩效自评综述：根据年初设定的绩效目标，第十届、第十一届美食文化旅游节专项经费项目绩效自评得分90分，项目全年预算数为77.45万元，执行数为77.45万元，完成预算的100%。主要产出和效果：一是完成2018年度一次美食节；二是促进商贸流通消费增长率10%；发现的问题及原因：无问题。下一步改进措施：无措施。</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昌吉市商务和经济信息化委员会项目支出绩效自评表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hAnsi="宋体" w:cs="宋体"/>
                <w:kern w:val="0"/>
                <w:sz w:val="24"/>
              </w:rPr>
            </w:pPr>
          </w:p>
        </w:tc>
        <w:tc>
          <w:tcPr>
            <w:tcW w:w="1077" w:type="dxa"/>
            <w:tcBorders>
              <w:top w:val="nil"/>
              <w:left w:val="nil"/>
              <w:bottom w:val="nil"/>
              <w:right w:val="nil"/>
            </w:tcBorders>
            <w:vAlign w:val="center"/>
          </w:tcPr>
          <w:p>
            <w:pPr>
              <w:widowControl/>
              <w:jc w:val="center"/>
              <w:rPr>
                <w:rFonts w:ascii="宋体" w:hAnsi="宋体" w:cs="宋体"/>
                <w:kern w:val="0"/>
                <w:sz w:val="24"/>
              </w:rPr>
            </w:pPr>
          </w:p>
        </w:tc>
        <w:tc>
          <w:tcPr>
            <w:tcW w:w="1285" w:type="dxa"/>
            <w:tcBorders>
              <w:top w:val="nil"/>
              <w:left w:val="nil"/>
              <w:bottom w:val="nil"/>
              <w:right w:val="nil"/>
            </w:tcBorders>
            <w:vAlign w:val="center"/>
          </w:tcPr>
          <w:p>
            <w:pPr>
              <w:widowControl/>
              <w:jc w:val="center"/>
              <w:rPr>
                <w:rFonts w:ascii="宋体" w:hAnsi="宋体" w:cs="宋体"/>
                <w:kern w:val="0"/>
                <w:sz w:val="24"/>
              </w:rPr>
            </w:pPr>
          </w:p>
        </w:tc>
        <w:tc>
          <w:tcPr>
            <w:tcW w:w="1021" w:type="dxa"/>
            <w:tcBorders>
              <w:top w:val="nil"/>
              <w:left w:val="nil"/>
              <w:bottom w:val="nil"/>
              <w:right w:val="nil"/>
            </w:tcBorders>
            <w:vAlign w:val="center"/>
          </w:tcPr>
          <w:p>
            <w:pPr>
              <w:widowControl/>
              <w:jc w:val="center"/>
              <w:rPr>
                <w:rFonts w:ascii="宋体" w:hAnsi="宋体" w:cs="宋体"/>
                <w:kern w:val="0"/>
                <w:sz w:val="24"/>
              </w:rPr>
            </w:pPr>
          </w:p>
        </w:tc>
        <w:tc>
          <w:tcPr>
            <w:tcW w:w="831" w:type="dxa"/>
            <w:tcBorders>
              <w:top w:val="nil"/>
              <w:left w:val="nil"/>
              <w:bottom w:val="nil"/>
              <w:right w:val="nil"/>
            </w:tcBorders>
            <w:vAlign w:val="center"/>
          </w:tcPr>
          <w:p>
            <w:pPr>
              <w:widowControl/>
              <w:jc w:val="center"/>
              <w:rPr>
                <w:rFonts w:ascii="宋体" w:hAnsi="宋体" w:cs="宋体"/>
                <w:kern w:val="0"/>
                <w:sz w:val="24"/>
              </w:rPr>
            </w:pPr>
          </w:p>
        </w:tc>
        <w:tc>
          <w:tcPr>
            <w:tcW w:w="1946" w:type="dxa"/>
            <w:tcBorders>
              <w:top w:val="nil"/>
              <w:left w:val="nil"/>
              <w:bottom w:val="nil"/>
              <w:right w:val="nil"/>
            </w:tcBorders>
            <w:vAlign w:val="center"/>
          </w:tcPr>
          <w:p>
            <w:pPr>
              <w:widowControl/>
              <w:jc w:val="center"/>
              <w:rPr>
                <w:rFonts w:ascii="宋体" w:hAnsi="宋体" w:cs="宋体"/>
                <w:kern w:val="0"/>
                <w:sz w:val="24"/>
              </w:rPr>
            </w:pPr>
          </w:p>
        </w:tc>
        <w:tc>
          <w:tcPr>
            <w:tcW w:w="1682"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ind w:firstLine="500" w:firstLineChars="250"/>
              <w:rPr>
                <w:rFonts w:ascii="宋体" w:hAnsi="宋体" w:cs="宋体"/>
                <w:kern w:val="0"/>
                <w:sz w:val="20"/>
                <w:szCs w:val="20"/>
              </w:rPr>
            </w:pPr>
            <w:r>
              <w:rPr>
                <w:rFonts w:hint="eastAsia" w:ascii="宋体" w:hAnsi="宋体" w:cs="宋体"/>
                <w:kern w:val="0"/>
                <w:sz w:val="20"/>
                <w:szCs w:val="20"/>
              </w:rPr>
              <w:t>第十届、第十一届美食文化旅游节</w:t>
            </w:r>
            <w:r>
              <w:rPr>
                <w:rFonts w:hint="eastAsia" w:ascii="宋体" w:hAnsi="宋体" w:cs="宋体"/>
                <w:kern w:val="0"/>
                <w:sz w:val="20"/>
                <w:szCs w:val="20"/>
                <w:lang w:eastAsia="zh-CN"/>
              </w:rPr>
              <w:t>专项经费</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ind w:firstLine="400" w:firstLineChars="200"/>
              <w:rPr>
                <w:rFonts w:ascii="宋体" w:hAnsi="宋体" w:cs="宋体"/>
                <w:kern w:val="0"/>
                <w:sz w:val="20"/>
                <w:szCs w:val="20"/>
              </w:rPr>
            </w:pPr>
            <w:r>
              <w:rPr>
                <w:rFonts w:hint="eastAsia" w:ascii="宋体" w:hAnsi="宋体" w:cs="宋体"/>
                <w:kern w:val="0"/>
                <w:sz w:val="20"/>
                <w:szCs w:val="20"/>
              </w:rPr>
              <w:t>昌吉市商务和经济信息化委员会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77.45</w:t>
            </w:r>
            <w:r>
              <w:rPr>
                <w:rFonts w:hint="eastAsia" w:ascii="宋体" w:hAnsi="宋体" w:cs="宋体"/>
                <w:kern w:val="0"/>
                <w:sz w:val="20"/>
                <w:szCs w:val="20"/>
              </w:rPr>
              <w:t>万元　</w:t>
            </w:r>
          </w:p>
        </w:tc>
        <w:tc>
          <w:tcPr>
            <w:tcW w:w="19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77.45</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lang w:val="en-US" w:eastAsia="zh-CN"/>
              </w:rPr>
              <w:t>77.45</w:t>
            </w:r>
            <w:r>
              <w:rPr>
                <w:rFonts w:hint="eastAsia" w:ascii="宋体" w:hAnsi="宋体" w:cs="宋体"/>
                <w:kern w:val="0"/>
                <w:sz w:val="20"/>
                <w:szCs w:val="20"/>
              </w:rPr>
              <w:t>万元</w:t>
            </w:r>
          </w:p>
        </w:tc>
        <w:tc>
          <w:tcPr>
            <w:tcW w:w="1946"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lang w:val="en-US" w:eastAsia="zh-CN"/>
              </w:rPr>
              <w:t>77.45</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　</w:t>
            </w:r>
          </w:p>
        </w:tc>
        <w:tc>
          <w:tcPr>
            <w:tcW w:w="1946"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658"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214" w:type="dxa"/>
            <w:gridSpan w:val="4"/>
            <w:tcBorders>
              <w:top w:val="single" w:color="auto" w:sz="4" w:space="0"/>
              <w:left w:val="single" w:color="auto" w:sz="4" w:space="0"/>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　完成第十一届后期及第十二届美食文化旅游节</w:t>
            </w:r>
          </w:p>
        </w:tc>
        <w:tc>
          <w:tcPr>
            <w:tcW w:w="3628" w:type="dxa"/>
            <w:gridSpan w:val="2"/>
            <w:tcBorders>
              <w:top w:val="single" w:color="auto" w:sz="4" w:space="0"/>
              <w:left w:val="nil"/>
              <w:bottom w:val="single" w:color="auto" w:sz="4" w:space="0"/>
              <w:right w:val="single" w:color="auto"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完成第十一届后期及第十二届美食文化旅游节</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077" w:type="dxa"/>
            <w:tcBorders>
              <w:top w:val="nil"/>
              <w:left w:val="single" w:color="auto" w:sz="4" w:space="0"/>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指标1：举办美食节1次</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完成2018年度一次美食节</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完成2018年度一次美食节</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指标2：接待游客人1000人</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接待游客同比增长10%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接待游客同比增长10%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指标1：美食消费零售增长率10%</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促进商贸流通消费增长率10%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促进商贸流通消费增长率10%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指标1：促进三产增长率0.5%</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促进三产增长率0.5%</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促进三产增长率0.5%</w:t>
            </w:r>
          </w:p>
        </w:tc>
      </w:tr>
    </w:tbl>
    <w:p>
      <w:pPr>
        <w:numPr>
          <w:numId w:val="0"/>
        </w:numPr>
        <w:spacing w:line="540" w:lineRule="exact"/>
        <w:rPr>
          <w:rFonts w:hint="eastAsia" w:ascii="仿宋_GB2312" w:hAnsi="Times New Roman" w:eastAsia="仿宋_GB2312" w:cs="Times New Roman"/>
          <w:sz w:val="32"/>
          <w:szCs w:val="32"/>
        </w:rPr>
      </w:pPr>
    </w:p>
    <w:p>
      <w:pPr>
        <w:numPr>
          <w:ilvl w:val="0"/>
          <w:numId w:val="1"/>
        </w:numPr>
        <w:spacing w:line="540" w:lineRule="exact"/>
        <w:ind w:left="0" w:leftChars="0"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济工作业务支出项目绩效自评综述：根据年初设定的绩效目标，经济工作业务支出项目绩效自评得分90分，项目全年预算数为7.87万元，执行数为7.87万元，完成预算的100%。主要产出和效果：一是业务保障提升率30%；二是调查中满意度占100%；发现的问题及原因：无问题。下一步改进措施：无措施。</w:t>
      </w:r>
    </w:p>
    <w:tbl>
      <w:tblPr>
        <w:tblStyle w:val="8"/>
        <w:tblW w:w="8522" w:type="dxa"/>
        <w:jc w:val="center"/>
        <w:tblInd w:w="0" w:type="dxa"/>
        <w:tblLayout w:type="fixed"/>
        <w:tblCellMar>
          <w:top w:w="0" w:type="dxa"/>
          <w:left w:w="108" w:type="dxa"/>
          <w:bottom w:w="0" w:type="dxa"/>
          <w:right w:w="108" w:type="dxa"/>
        </w:tblCellMar>
      </w:tblPr>
      <w:tblGrid>
        <w:gridCol w:w="680"/>
        <w:gridCol w:w="669"/>
        <w:gridCol w:w="408"/>
        <w:gridCol w:w="584"/>
        <w:gridCol w:w="701"/>
        <w:gridCol w:w="1021"/>
        <w:gridCol w:w="831"/>
        <w:gridCol w:w="253"/>
        <w:gridCol w:w="1693"/>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10"/>
            <w:tcBorders>
              <w:top w:val="nil"/>
              <w:left w:val="nil"/>
              <w:bottom w:val="nil"/>
              <w:right w:val="nil"/>
            </w:tcBorders>
            <w:vAlign w:val="center"/>
          </w:tcPr>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昌吉市商务和经济信息化委员会项目支出绩效自评表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10"/>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hAnsi="宋体" w:cs="宋体"/>
                <w:kern w:val="0"/>
                <w:sz w:val="24"/>
              </w:rPr>
            </w:pPr>
          </w:p>
        </w:tc>
        <w:tc>
          <w:tcPr>
            <w:tcW w:w="1077" w:type="dxa"/>
            <w:gridSpan w:val="2"/>
            <w:tcBorders>
              <w:top w:val="nil"/>
              <w:left w:val="nil"/>
              <w:bottom w:val="nil"/>
              <w:right w:val="nil"/>
            </w:tcBorders>
            <w:vAlign w:val="center"/>
          </w:tcPr>
          <w:p>
            <w:pPr>
              <w:widowControl/>
              <w:jc w:val="center"/>
              <w:rPr>
                <w:rFonts w:ascii="宋体" w:hAnsi="宋体" w:cs="宋体"/>
                <w:kern w:val="0"/>
                <w:sz w:val="24"/>
              </w:rPr>
            </w:pPr>
          </w:p>
        </w:tc>
        <w:tc>
          <w:tcPr>
            <w:tcW w:w="1285" w:type="dxa"/>
            <w:gridSpan w:val="2"/>
            <w:tcBorders>
              <w:top w:val="nil"/>
              <w:left w:val="nil"/>
              <w:bottom w:val="nil"/>
              <w:right w:val="nil"/>
            </w:tcBorders>
            <w:vAlign w:val="center"/>
          </w:tcPr>
          <w:p>
            <w:pPr>
              <w:widowControl/>
              <w:jc w:val="center"/>
              <w:rPr>
                <w:rFonts w:ascii="宋体" w:hAnsi="宋体" w:cs="宋体"/>
                <w:kern w:val="0"/>
                <w:sz w:val="24"/>
              </w:rPr>
            </w:pPr>
          </w:p>
        </w:tc>
        <w:tc>
          <w:tcPr>
            <w:tcW w:w="1021" w:type="dxa"/>
            <w:tcBorders>
              <w:top w:val="nil"/>
              <w:left w:val="nil"/>
              <w:bottom w:val="nil"/>
              <w:right w:val="nil"/>
            </w:tcBorders>
            <w:vAlign w:val="center"/>
          </w:tcPr>
          <w:p>
            <w:pPr>
              <w:widowControl/>
              <w:jc w:val="center"/>
              <w:rPr>
                <w:rFonts w:ascii="宋体" w:hAnsi="宋体" w:cs="宋体"/>
                <w:kern w:val="0"/>
                <w:sz w:val="24"/>
              </w:rPr>
            </w:pPr>
          </w:p>
        </w:tc>
        <w:tc>
          <w:tcPr>
            <w:tcW w:w="831" w:type="dxa"/>
            <w:tcBorders>
              <w:top w:val="nil"/>
              <w:left w:val="nil"/>
              <w:bottom w:val="nil"/>
              <w:right w:val="nil"/>
            </w:tcBorders>
            <w:vAlign w:val="center"/>
          </w:tcPr>
          <w:p>
            <w:pPr>
              <w:widowControl/>
              <w:jc w:val="center"/>
              <w:rPr>
                <w:rFonts w:ascii="宋体" w:hAnsi="宋体" w:cs="宋体"/>
                <w:kern w:val="0"/>
                <w:sz w:val="24"/>
              </w:rPr>
            </w:pPr>
          </w:p>
        </w:tc>
        <w:tc>
          <w:tcPr>
            <w:tcW w:w="1946" w:type="dxa"/>
            <w:gridSpan w:val="2"/>
            <w:tcBorders>
              <w:top w:val="nil"/>
              <w:left w:val="nil"/>
              <w:bottom w:val="nil"/>
              <w:right w:val="nil"/>
            </w:tcBorders>
            <w:vAlign w:val="center"/>
          </w:tcPr>
          <w:p>
            <w:pPr>
              <w:widowControl/>
              <w:jc w:val="center"/>
              <w:rPr>
                <w:rFonts w:ascii="宋体" w:hAnsi="宋体" w:cs="宋体"/>
                <w:kern w:val="0"/>
                <w:sz w:val="24"/>
              </w:rPr>
            </w:pPr>
          </w:p>
        </w:tc>
        <w:tc>
          <w:tcPr>
            <w:tcW w:w="1682"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265" w:hRule="atLeast"/>
          <w:jc w:val="center"/>
        </w:trPr>
        <w:tc>
          <w:tcPr>
            <w:tcW w:w="3042"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经济工作业务支出　</w:t>
            </w:r>
          </w:p>
        </w:tc>
      </w:tr>
      <w:tr>
        <w:tblPrEx>
          <w:tblLayout w:type="fixed"/>
          <w:tblCellMar>
            <w:top w:w="0" w:type="dxa"/>
            <w:left w:w="108" w:type="dxa"/>
            <w:bottom w:w="0" w:type="dxa"/>
            <w:right w:w="108" w:type="dxa"/>
          </w:tblCellMar>
        </w:tblPrEx>
        <w:trPr>
          <w:trHeight w:val="260" w:hRule="atLeast"/>
          <w:jc w:val="center"/>
        </w:trPr>
        <w:tc>
          <w:tcPr>
            <w:tcW w:w="3042"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5"/>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昌吉市商务和经济信息化委员会　</w:t>
            </w:r>
          </w:p>
        </w:tc>
      </w:tr>
      <w:tr>
        <w:tblPrEx>
          <w:tblLayout w:type="fixed"/>
          <w:tblCellMar>
            <w:top w:w="0" w:type="dxa"/>
            <w:left w:w="108" w:type="dxa"/>
            <w:bottom w:w="0" w:type="dxa"/>
            <w:right w:w="108" w:type="dxa"/>
          </w:tblCellMar>
        </w:tblPrEx>
        <w:trPr>
          <w:trHeight w:val="9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2105" w:type="dxa"/>
            <w:gridSpan w:val="3"/>
            <w:tcBorders>
              <w:top w:val="single" w:color="auto" w:sz="4" w:space="0"/>
              <w:left w:val="nil"/>
              <w:bottom w:val="single" w:color="auto" w:sz="4" w:space="0"/>
              <w:right w:val="single" w:color="000000" w:sz="4" w:space="0"/>
            </w:tcBorders>
            <w:vAlign w:val="center"/>
          </w:tcPr>
          <w:p>
            <w:pPr>
              <w:widowControl/>
              <w:jc w:val="both"/>
              <w:rPr>
                <w:rFonts w:ascii="宋体" w:hAnsi="宋体" w:cs="宋体"/>
                <w:kern w:val="0"/>
                <w:sz w:val="20"/>
                <w:szCs w:val="20"/>
              </w:rPr>
            </w:pPr>
            <w:r>
              <w:rPr>
                <w:rFonts w:hint="eastAsia" w:ascii="宋体" w:hAnsi="宋体" w:cs="宋体"/>
                <w:kern w:val="0"/>
                <w:sz w:val="20"/>
                <w:szCs w:val="20"/>
                <w:lang w:val="en-US" w:eastAsia="zh-CN"/>
              </w:rPr>
              <w:t xml:space="preserve">      </w:t>
            </w:r>
            <w:r>
              <w:rPr>
                <w:rFonts w:hint="eastAsia" w:ascii="宋体" w:hAnsi="宋体" w:cs="宋体"/>
                <w:kern w:val="0"/>
                <w:sz w:val="20"/>
                <w:szCs w:val="20"/>
              </w:rPr>
              <w:t>7.87</w:t>
            </w:r>
            <w:r>
              <w:rPr>
                <w:rFonts w:hint="eastAsia" w:ascii="宋体" w:hAnsi="宋体" w:cs="宋体"/>
                <w:kern w:val="0"/>
                <w:sz w:val="20"/>
                <w:szCs w:val="20"/>
                <w:lang w:eastAsia="zh-CN"/>
              </w:rPr>
              <w:t>万</w:t>
            </w:r>
            <w:r>
              <w:rPr>
                <w:rFonts w:hint="eastAsia" w:ascii="宋体" w:hAnsi="宋体" w:cs="宋体"/>
                <w:kern w:val="0"/>
                <w:sz w:val="20"/>
                <w:szCs w:val="20"/>
              </w:rPr>
              <w:t>元</w:t>
            </w:r>
          </w:p>
        </w:tc>
        <w:tc>
          <w:tcPr>
            <w:tcW w:w="1693"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7.87万元　</w:t>
            </w:r>
          </w:p>
        </w:tc>
      </w:tr>
      <w:tr>
        <w:tblPrEx>
          <w:tblLayout w:type="fixed"/>
          <w:tblCellMar>
            <w:top w:w="0" w:type="dxa"/>
            <w:left w:w="108" w:type="dxa"/>
            <w:bottom w:w="0" w:type="dxa"/>
            <w:right w:w="108" w:type="dxa"/>
          </w:tblCellMar>
        </w:tblPrEx>
        <w:trPr>
          <w:trHeight w:val="334"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4"/>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2105"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7.87万元</w:t>
            </w:r>
          </w:p>
        </w:tc>
        <w:tc>
          <w:tcPr>
            <w:tcW w:w="1693" w:type="dxa"/>
            <w:tcBorders>
              <w:top w:val="nil"/>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7.87万元　</w:t>
            </w:r>
          </w:p>
        </w:tc>
      </w:tr>
      <w:tr>
        <w:tblPrEx>
          <w:tblLayout w:type="fixed"/>
          <w:tblCellMar>
            <w:top w:w="0" w:type="dxa"/>
            <w:left w:w="108" w:type="dxa"/>
            <w:bottom w:w="0" w:type="dxa"/>
            <w:right w:w="108" w:type="dxa"/>
          </w:tblCellMar>
        </w:tblPrEx>
        <w:trPr>
          <w:trHeight w:val="451"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4"/>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2105"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p>
        </w:tc>
        <w:tc>
          <w:tcPr>
            <w:tcW w:w="1693"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225"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467"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37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120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467" w:type="dxa"/>
            <w:gridSpan w:val="7"/>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加强对工业经济运行管理、商贸流通三产工作管理、商务执法、园区建设工作、党工委工作</w:t>
            </w:r>
          </w:p>
        </w:tc>
        <w:tc>
          <w:tcPr>
            <w:tcW w:w="3375"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Fonts w:hint="eastAsia" w:ascii="宋体" w:hAnsi="宋体" w:cs="宋体"/>
                <w:kern w:val="0"/>
                <w:sz w:val="20"/>
                <w:szCs w:val="20"/>
              </w:rPr>
              <w:t>加强对工业经济运行管理、商贸流通三产工作管理、商务执法、园区建设工作、党工委工作，积极做好市委、政府临时性安排各项经济类工作</w:t>
            </w:r>
          </w:p>
        </w:tc>
      </w:tr>
      <w:tr>
        <w:tblPrEx>
          <w:tblLayout w:type="fixed"/>
          <w:tblCellMar>
            <w:top w:w="0" w:type="dxa"/>
            <w:left w:w="108" w:type="dxa"/>
            <w:bottom w:w="0" w:type="dxa"/>
            <w:right w:w="108" w:type="dxa"/>
          </w:tblCellMar>
        </w:tblPrEx>
        <w:trPr>
          <w:trHeight w:val="811"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669"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992"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80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693"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29"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99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指标1：购置车辆油费1次</w:t>
            </w:r>
          </w:p>
        </w:tc>
        <w:tc>
          <w:tcPr>
            <w:tcW w:w="1693"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购置车辆油费1次</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购置车辆油费1次</w:t>
            </w:r>
          </w:p>
        </w:tc>
      </w:tr>
      <w:tr>
        <w:tblPrEx>
          <w:tblLayout w:type="fixed"/>
          <w:tblCellMar>
            <w:top w:w="0" w:type="dxa"/>
            <w:left w:w="108" w:type="dxa"/>
            <w:bottom w:w="0" w:type="dxa"/>
            <w:right w:w="108" w:type="dxa"/>
          </w:tblCellMar>
        </w:tblPrEx>
        <w:trPr>
          <w:trHeight w:val="375"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9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指标2：车辆运行维修2次</w:t>
            </w:r>
          </w:p>
        </w:tc>
        <w:tc>
          <w:tcPr>
            <w:tcW w:w="1693"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车辆运行维修2次</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车辆运行维修2次</w:t>
            </w:r>
          </w:p>
        </w:tc>
      </w:tr>
      <w:tr>
        <w:tblPrEx>
          <w:tblLayout w:type="fixed"/>
          <w:tblCellMar>
            <w:top w:w="0" w:type="dxa"/>
            <w:left w:w="108" w:type="dxa"/>
            <w:bottom w:w="0" w:type="dxa"/>
            <w:right w:w="108" w:type="dxa"/>
          </w:tblCellMar>
        </w:tblPrEx>
        <w:trPr>
          <w:trHeight w:val="36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92"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指标1：政府采购率100%</w:t>
            </w:r>
          </w:p>
        </w:tc>
        <w:tc>
          <w:tcPr>
            <w:tcW w:w="1693"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政府采购率100%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政府采购率100%</w:t>
            </w:r>
          </w:p>
        </w:tc>
      </w:tr>
      <w:tr>
        <w:tblPrEx>
          <w:tblLayout w:type="fixed"/>
          <w:tblCellMar>
            <w:top w:w="0" w:type="dxa"/>
            <w:left w:w="108" w:type="dxa"/>
            <w:bottom w:w="0" w:type="dxa"/>
            <w:right w:w="108" w:type="dxa"/>
          </w:tblCellMar>
        </w:tblPrEx>
        <w:trPr>
          <w:trHeight w:val="315"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92" w:type="dxa"/>
            <w:gridSpan w:val="2"/>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指标1：车辆运行半年</w:t>
            </w:r>
          </w:p>
        </w:tc>
        <w:tc>
          <w:tcPr>
            <w:tcW w:w="1693"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车辆运行半年</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车辆运行半年</w:t>
            </w:r>
          </w:p>
        </w:tc>
      </w:tr>
      <w:tr>
        <w:tblPrEx>
          <w:tblLayout w:type="fixed"/>
          <w:tblCellMar>
            <w:top w:w="0" w:type="dxa"/>
            <w:left w:w="108" w:type="dxa"/>
            <w:bottom w:w="0" w:type="dxa"/>
            <w:right w:w="108" w:type="dxa"/>
          </w:tblCellMar>
        </w:tblPrEx>
        <w:trPr>
          <w:trHeight w:val="324"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9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成本指标</w:t>
            </w:r>
          </w:p>
        </w:tc>
        <w:tc>
          <w:tcPr>
            <w:tcW w:w="2806"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指标1：购油1万元</w:t>
            </w:r>
          </w:p>
        </w:tc>
        <w:tc>
          <w:tcPr>
            <w:tcW w:w="169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购油1万元</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购油1万元</w:t>
            </w:r>
          </w:p>
        </w:tc>
      </w:tr>
      <w:tr>
        <w:tblPrEx>
          <w:tblLayout w:type="fixed"/>
          <w:tblCellMar>
            <w:top w:w="0" w:type="dxa"/>
            <w:left w:w="108" w:type="dxa"/>
            <w:bottom w:w="0" w:type="dxa"/>
            <w:right w:w="108" w:type="dxa"/>
          </w:tblCellMar>
        </w:tblPrEx>
        <w:trPr>
          <w:trHeight w:val="474"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92" w:type="dxa"/>
            <w:gridSpan w:val="2"/>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指标1：业务保障提升率30%</w:t>
            </w:r>
          </w:p>
        </w:tc>
        <w:tc>
          <w:tcPr>
            <w:tcW w:w="169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业务保障提升率30%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业务保障提升率30%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9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指标2：公共服务水平提升30%</w:t>
            </w:r>
          </w:p>
        </w:tc>
        <w:tc>
          <w:tcPr>
            <w:tcW w:w="1693"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公共服务水平提升30%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公共服务水平提升30%</w:t>
            </w:r>
          </w:p>
        </w:tc>
      </w:tr>
      <w:tr>
        <w:tblPrEx>
          <w:tblLayout w:type="fixed"/>
          <w:tblCellMar>
            <w:top w:w="0" w:type="dxa"/>
            <w:left w:w="108" w:type="dxa"/>
            <w:bottom w:w="0" w:type="dxa"/>
            <w:right w:w="108" w:type="dxa"/>
          </w:tblCellMar>
        </w:tblPrEx>
        <w:trPr>
          <w:trHeight w:val="796"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669"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992"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280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指标1：使用人满意度100%</w:t>
            </w:r>
          </w:p>
        </w:tc>
        <w:tc>
          <w:tcPr>
            <w:tcW w:w="1693"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调查中满意度占100%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调查中满意度占100%</w:t>
            </w:r>
          </w:p>
        </w:tc>
      </w:tr>
    </w:tbl>
    <w:p>
      <w:pPr>
        <w:numPr>
          <w:numId w:val="0"/>
        </w:numPr>
        <w:spacing w:line="540" w:lineRule="exact"/>
        <w:ind w:leftChars="200"/>
        <w:rPr>
          <w:rFonts w:hint="eastAsia" w:ascii="仿宋_GB2312" w:hAnsi="Times New Roman" w:eastAsia="仿宋_GB2312" w:cs="Times New Roman"/>
          <w:sz w:val="32"/>
          <w:szCs w:val="32"/>
        </w:rPr>
      </w:pPr>
    </w:p>
    <w:p>
      <w:pPr>
        <w:numPr>
          <w:ilvl w:val="0"/>
          <w:numId w:val="1"/>
        </w:numPr>
        <w:spacing w:line="540" w:lineRule="exact"/>
        <w:ind w:left="0" w:leftChars="0"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园区基础设施建设项目绩效自评综述：根据年初设定的绩效目标，昌吉市园区基础设施建设项目绩效自评得分91分，项目全年预算数为24.25万元，执行数为5.25万元，完成预算的21.65%。主要产出和效果：改善环境质量；发现的问题及原因：无问题。下一步改进措施：无措施。</w:t>
      </w:r>
    </w:p>
    <w:tbl>
      <w:tblPr>
        <w:tblStyle w:val="8"/>
        <w:tblW w:w="8522" w:type="dxa"/>
        <w:jc w:val="center"/>
        <w:tblInd w:w="0" w:type="dxa"/>
        <w:tblLayout w:type="fixed"/>
        <w:tblCellMar>
          <w:top w:w="0" w:type="dxa"/>
          <w:left w:w="108" w:type="dxa"/>
          <w:bottom w:w="0" w:type="dxa"/>
          <w:right w:w="108" w:type="dxa"/>
        </w:tblCellMar>
      </w:tblPr>
      <w:tblGrid>
        <w:gridCol w:w="680"/>
        <w:gridCol w:w="626"/>
        <w:gridCol w:w="451"/>
        <w:gridCol w:w="499"/>
        <w:gridCol w:w="786"/>
        <w:gridCol w:w="1021"/>
        <w:gridCol w:w="831"/>
        <w:gridCol w:w="1946"/>
        <w:gridCol w:w="1682"/>
      </w:tblGrid>
      <w:tr>
        <w:tblPrEx>
          <w:tblLayout w:type="fixed"/>
          <w:tblCellMar>
            <w:top w:w="0" w:type="dxa"/>
            <w:left w:w="108" w:type="dxa"/>
            <w:bottom w:w="0" w:type="dxa"/>
            <w:right w:w="108" w:type="dxa"/>
          </w:tblCellMar>
        </w:tblPrEx>
        <w:trPr>
          <w:trHeight w:val="489" w:hRule="atLeast"/>
          <w:jc w:val="center"/>
        </w:trPr>
        <w:tc>
          <w:tcPr>
            <w:tcW w:w="8522" w:type="dxa"/>
            <w:gridSpan w:val="9"/>
            <w:tcBorders>
              <w:top w:val="nil"/>
              <w:left w:val="nil"/>
              <w:bottom w:val="nil"/>
              <w:right w:val="nil"/>
            </w:tcBorders>
            <w:vAlign w:val="center"/>
          </w:tcPr>
          <w:p>
            <w:pPr>
              <w:widowControl/>
              <w:jc w:val="center"/>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昌吉市商务和经济信息化委员会项目支出绩效自评表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9"/>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192" w:hRule="atLeast"/>
          <w:jc w:val="center"/>
        </w:trPr>
        <w:tc>
          <w:tcPr>
            <w:tcW w:w="680" w:type="dxa"/>
            <w:tcBorders>
              <w:top w:val="nil"/>
              <w:left w:val="nil"/>
              <w:bottom w:val="nil"/>
              <w:right w:val="nil"/>
            </w:tcBorders>
            <w:vAlign w:val="center"/>
          </w:tcPr>
          <w:p>
            <w:pPr>
              <w:widowControl/>
              <w:jc w:val="center"/>
              <w:rPr>
                <w:rFonts w:ascii="宋体" w:hAnsi="宋体" w:cs="宋体"/>
                <w:kern w:val="0"/>
                <w:sz w:val="24"/>
              </w:rPr>
            </w:pPr>
          </w:p>
        </w:tc>
        <w:tc>
          <w:tcPr>
            <w:tcW w:w="1077" w:type="dxa"/>
            <w:gridSpan w:val="2"/>
            <w:tcBorders>
              <w:top w:val="nil"/>
              <w:left w:val="nil"/>
              <w:bottom w:val="nil"/>
              <w:right w:val="nil"/>
            </w:tcBorders>
            <w:vAlign w:val="center"/>
          </w:tcPr>
          <w:p>
            <w:pPr>
              <w:widowControl/>
              <w:jc w:val="center"/>
              <w:rPr>
                <w:rFonts w:ascii="宋体" w:hAnsi="宋体" w:cs="宋体"/>
                <w:kern w:val="0"/>
                <w:sz w:val="24"/>
              </w:rPr>
            </w:pPr>
          </w:p>
        </w:tc>
        <w:tc>
          <w:tcPr>
            <w:tcW w:w="1285" w:type="dxa"/>
            <w:gridSpan w:val="2"/>
            <w:tcBorders>
              <w:top w:val="nil"/>
              <w:left w:val="nil"/>
              <w:bottom w:val="nil"/>
              <w:right w:val="nil"/>
            </w:tcBorders>
            <w:vAlign w:val="center"/>
          </w:tcPr>
          <w:p>
            <w:pPr>
              <w:widowControl/>
              <w:jc w:val="center"/>
              <w:rPr>
                <w:rFonts w:ascii="宋体" w:hAnsi="宋体" w:cs="宋体"/>
                <w:kern w:val="0"/>
                <w:sz w:val="24"/>
              </w:rPr>
            </w:pPr>
          </w:p>
        </w:tc>
        <w:tc>
          <w:tcPr>
            <w:tcW w:w="1021" w:type="dxa"/>
            <w:tcBorders>
              <w:top w:val="nil"/>
              <w:left w:val="nil"/>
              <w:bottom w:val="nil"/>
              <w:right w:val="nil"/>
            </w:tcBorders>
            <w:vAlign w:val="center"/>
          </w:tcPr>
          <w:p>
            <w:pPr>
              <w:widowControl/>
              <w:jc w:val="center"/>
              <w:rPr>
                <w:rFonts w:ascii="宋体" w:hAnsi="宋体" w:cs="宋体"/>
                <w:kern w:val="0"/>
                <w:sz w:val="24"/>
              </w:rPr>
            </w:pPr>
          </w:p>
        </w:tc>
        <w:tc>
          <w:tcPr>
            <w:tcW w:w="831" w:type="dxa"/>
            <w:tcBorders>
              <w:top w:val="nil"/>
              <w:left w:val="nil"/>
              <w:bottom w:val="nil"/>
              <w:right w:val="nil"/>
            </w:tcBorders>
            <w:vAlign w:val="center"/>
          </w:tcPr>
          <w:p>
            <w:pPr>
              <w:widowControl/>
              <w:jc w:val="center"/>
              <w:rPr>
                <w:rFonts w:ascii="宋体" w:hAnsi="宋体" w:cs="宋体"/>
                <w:kern w:val="0"/>
                <w:sz w:val="24"/>
              </w:rPr>
            </w:pPr>
          </w:p>
        </w:tc>
        <w:tc>
          <w:tcPr>
            <w:tcW w:w="1946" w:type="dxa"/>
            <w:tcBorders>
              <w:top w:val="nil"/>
              <w:left w:val="nil"/>
              <w:bottom w:val="nil"/>
              <w:right w:val="nil"/>
            </w:tcBorders>
            <w:vAlign w:val="center"/>
          </w:tcPr>
          <w:p>
            <w:pPr>
              <w:widowControl/>
              <w:jc w:val="center"/>
              <w:rPr>
                <w:rFonts w:ascii="宋体" w:hAnsi="宋体" w:cs="宋体"/>
                <w:kern w:val="0"/>
                <w:sz w:val="24"/>
              </w:rPr>
            </w:pPr>
          </w:p>
        </w:tc>
        <w:tc>
          <w:tcPr>
            <w:tcW w:w="1682"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305" w:hRule="atLeast"/>
          <w:jc w:val="center"/>
        </w:trPr>
        <w:tc>
          <w:tcPr>
            <w:tcW w:w="3042"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昌吉市园区基础设施建设项目　</w:t>
            </w:r>
          </w:p>
        </w:tc>
      </w:tr>
      <w:tr>
        <w:tblPrEx>
          <w:tblLayout w:type="fixed"/>
          <w:tblCellMar>
            <w:top w:w="0" w:type="dxa"/>
            <w:left w:w="108" w:type="dxa"/>
            <w:bottom w:w="0" w:type="dxa"/>
            <w:right w:w="108" w:type="dxa"/>
          </w:tblCellMar>
        </w:tblPrEx>
        <w:trPr>
          <w:trHeight w:val="260" w:hRule="atLeast"/>
          <w:jc w:val="center"/>
        </w:trPr>
        <w:tc>
          <w:tcPr>
            <w:tcW w:w="3042" w:type="dxa"/>
            <w:gridSpan w:val="5"/>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昌吉市商务和经济信息化委员会　</w:t>
            </w:r>
          </w:p>
        </w:tc>
      </w:tr>
      <w:tr>
        <w:tblPrEx>
          <w:tblLayout w:type="fixed"/>
          <w:tblCellMar>
            <w:top w:w="0" w:type="dxa"/>
            <w:left w:w="108" w:type="dxa"/>
            <w:bottom w:w="0" w:type="dxa"/>
            <w:right w:w="108" w:type="dxa"/>
          </w:tblCellMar>
        </w:tblPrEx>
        <w:trPr>
          <w:trHeight w:val="345"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24.25万元</w:t>
            </w:r>
          </w:p>
        </w:tc>
        <w:tc>
          <w:tcPr>
            <w:tcW w:w="19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5.25万元　</w:t>
            </w:r>
          </w:p>
        </w:tc>
      </w:tr>
      <w:tr>
        <w:tblPrEx>
          <w:tblLayout w:type="fixed"/>
          <w:tblCellMar>
            <w:top w:w="0" w:type="dxa"/>
            <w:left w:w="108" w:type="dxa"/>
            <w:bottom w:w="0" w:type="dxa"/>
            <w:right w:w="108" w:type="dxa"/>
          </w:tblCellMar>
        </w:tblPrEx>
        <w:trPr>
          <w:trHeight w:val="444"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4"/>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24.25万元</w:t>
            </w:r>
          </w:p>
        </w:tc>
        <w:tc>
          <w:tcPr>
            <w:tcW w:w="1946"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5.25万元　</w:t>
            </w:r>
          </w:p>
        </w:tc>
      </w:tr>
      <w:tr>
        <w:tblPrEx>
          <w:tblLayout w:type="fixed"/>
          <w:tblCellMar>
            <w:top w:w="0" w:type="dxa"/>
            <w:left w:w="108" w:type="dxa"/>
            <w:bottom w:w="0" w:type="dxa"/>
            <w:right w:w="108" w:type="dxa"/>
          </w:tblCellMar>
        </w:tblPrEx>
        <w:trPr>
          <w:trHeight w:val="466"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4"/>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p>
        </w:tc>
        <w:tc>
          <w:tcPr>
            <w:tcW w:w="1946"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330"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14"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855"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214" w:type="dxa"/>
            <w:gridSpan w:val="6"/>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Style w:val="5"/>
                <w:rFonts w:hint="eastAsia" w:ascii="宋体" w:hAnsi="宋体" w:cs="宋体"/>
                <w:b w:val="0"/>
                <w:spacing w:val="-4"/>
                <w:sz w:val="20"/>
                <w:szCs w:val="20"/>
              </w:rPr>
              <w:t>完成自治州政府下达的招商引资任务目标，全年落实招商引资到位资金80亿元，按照项目进度及时进行跟踪验收</w:t>
            </w:r>
          </w:p>
        </w:tc>
        <w:tc>
          <w:tcPr>
            <w:tcW w:w="3628"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Style w:val="5"/>
                <w:rFonts w:hint="eastAsia" w:ascii="宋体" w:hAnsi="宋体" w:cs="宋体"/>
                <w:b w:val="0"/>
                <w:spacing w:val="-4"/>
                <w:sz w:val="20"/>
                <w:szCs w:val="20"/>
              </w:rPr>
              <w:t>完成自治州政府下达的招商引资任务目标，全年落实招商引资到位资金80亿元，按照项目合同进度及时进行验收</w:t>
            </w:r>
          </w:p>
        </w:tc>
      </w:tr>
      <w:tr>
        <w:tblPrEx>
          <w:tblLayout w:type="fixed"/>
          <w:tblCellMar>
            <w:top w:w="0" w:type="dxa"/>
            <w:left w:w="108" w:type="dxa"/>
            <w:bottom w:w="0" w:type="dxa"/>
            <w:right w:w="108" w:type="dxa"/>
          </w:tblCellMar>
        </w:tblPrEx>
        <w:trPr>
          <w:trHeight w:val="698"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626" w:type="dxa"/>
            <w:tcBorders>
              <w:top w:val="nil"/>
              <w:left w:val="nil"/>
              <w:bottom w:val="nil"/>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950"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263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2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950"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263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指标1：物流园规划环评项目开工率80%</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物流园规划环评项目年度实际实施数量占年度既定目标80%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80%</w:t>
            </w:r>
          </w:p>
        </w:tc>
      </w:tr>
      <w:tr>
        <w:tblPrEx>
          <w:tblLayout w:type="fixed"/>
          <w:tblCellMar>
            <w:top w:w="0" w:type="dxa"/>
            <w:left w:w="108" w:type="dxa"/>
            <w:bottom w:w="0" w:type="dxa"/>
            <w:right w:w="108" w:type="dxa"/>
          </w:tblCellMar>
        </w:tblPrEx>
        <w:trPr>
          <w:trHeight w:val="621"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50"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质量指标</w:t>
            </w:r>
          </w:p>
        </w:tc>
        <w:tc>
          <w:tcPr>
            <w:tcW w:w="263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指标1：年度规划执行率80%</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2018年执行的规划数占全年规划总数的20%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2018年执行的规划数占全年规划总数的20%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50"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时效指标</w:t>
            </w:r>
          </w:p>
        </w:tc>
        <w:tc>
          <w:tcPr>
            <w:tcW w:w="263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指标1：物流园规划环评项目完成80%</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年度完成物流园规划环评项目占年度任务20%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年度完成物流园规划环评项目占年度任务20%</w:t>
            </w:r>
          </w:p>
        </w:tc>
      </w:tr>
      <w:tr>
        <w:tblPrEx>
          <w:tblLayout w:type="fixed"/>
          <w:tblCellMar>
            <w:top w:w="0" w:type="dxa"/>
            <w:left w:w="108" w:type="dxa"/>
            <w:bottom w:w="0" w:type="dxa"/>
            <w:right w:w="108" w:type="dxa"/>
          </w:tblCellMar>
        </w:tblPrEx>
        <w:trPr>
          <w:trHeight w:val="29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6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950" w:type="dxa"/>
            <w:gridSpan w:val="2"/>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社会效益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2638" w:type="dxa"/>
            <w:gridSpan w:val="3"/>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指标1：物流园环境评估测评</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改善环境质量</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改善环境质量</w:t>
            </w:r>
          </w:p>
        </w:tc>
      </w:tr>
    </w:tbl>
    <w:p>
      <w:pPr>
        <w:numPr>
          <w:numId w:val="0"/>
        </w:numPr>
        <w:spacing w:line="540" w:lineRule="exact"/>
        <w:ind w:leftChars="200"/>
        <w:rPr>
          <w:rFonts w:hint="eastAsia" w:ascii="仿宋_GB2312" w:hAnsi="Times New Roman" w:eastAsia="仿宋_GB2312" w:cs="Times New Roman"/>
          <w:sz w:val="32"/>
          <w:szCs w:val="32"/>
        </w:rPr>
      </w:pP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招商引资推进项目绩效自评综述：根据年初设定的绩效目标，招商引资推进项目绩效自评得分91分，项目全年预算数为43.72万元，执行数为43.72万元，完成预算的100%。主要产出和效果：一是引资金额85亿元；二是招商签约项目60个；发现的问题及原因：无问题。下一步改进措施：无措施。</w:t>
      </w:r>
    </w:p>
    <w:tbl>
      <w:tblPr>
        <w:tblStyle w:val="8"/>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昌吉市商务和经济信息化委员会项目支出绩效自评表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ascii="宋体" w:hAnsi="宋体" w:cs="宋体"/>
                <w:kern w:val="0"/>
                <w:sz w:val="24"/>
              </w:rPr>
            </w:pPr>
            <w:r>
              <w:rPr>
                <w:rFonts w:hint="eastAsia" w:ascii="宋体" w:hAnsi="宋体" w:cs="宋体"/>
                <w:kern w:val="0"/>
                <w:sz w:val="24"/>
              </w:rPr>
              <w:t>（2018年度）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hAnsi="宋体" w:cs="宋体"/>
                <w:kern w:val="0"/>
                <w:sz w:val="24"/>
              </w:rPr>
            </w:pPr>
          </w:p>
        </w:tc>
        <w:tc>
          <w:tcPr>
            <w:tcW w:w="1077" w:type="dxa"/>
            <w:tcBorders>
              <w:top w:val="nil"/>
              <w:left w:val="nil"/>
              <w:bottom w:val="nil"/>
              <w:right w:val="nil"/>
            </w:tcBorders>
            <w:vAlign w:val="center"/>
          </w:tcPr>
          <w:p>
            <w:pPr>
              <w:widowControl/>
              <w:jc w:val="center"/>
              <w:rPr>
                <w:rFonts w:ascii="宋体" w:hAnsi="宋体" w:cs="宋体"/>
                <w:kern w:val="0"/>
                <w:sz w:val="24"/>
              </w:rPr>
            </w:pPr>
          </w:p>
        </w:tc>
        <w:tc>
          <w:tcPr>
            <w:tcW w:w="1285" w:type="dxa"/>
            <w:tcBorders>
              <w:top w:val="nil"/>
              <w:left w:val="nil"/>
              <w:bottom w:val="nil"/>
              <w:right w:val="nil"/>
            </w:tcBorders>
            <w:vAlign w:val="center"/>
          </w:tcPr>
          <w:p>
            <w:pPr>
              <w:widowControl/>
              <w:jc w:val="center"/>
              <w:rPr>
                <w:rFonts w:ascii="宋体" w:hAnsi="宋体" w:cs="宋体"/>
                <w:kern w:val="0"/>
                <w:sz w:val="24"/>
              </w:rPr>
            </w:pPr>
          </w:p>
        </w:tc>
        <w:tc>
          <w:tcPr>
            <w:tcW w:w="1021" w:type="dxa"/>
            <w:tcBorders>
              <w:top w:val="nil"/>
              <w:left w:val="nil"/>
              <w:bottom w:val="nil"/>
              <w:right w:val="nil"/>
            </w:tcBorders>
            <w:vAlign w:val="center"/>
          </w:tcPr>
          <w:p>
            <w:pPr>
              <w:widowControl/>
              <w:jc w:val="center"/>
              <w:rPr>
                <w:rFonts w:ascii="宋体" w:hAnsi="宋体" w:cs="宋体"/>
                <w:kern w:val="0"/>
                <w:sz w:val="24"/>
              </w:rPr>
            </w:pPr>
          </w:p>
        </w:tc>
        <w:tc>
          <w:tcPr>
            <w:tcW w:w="831" w:type="dxa"/>
            <w:tcBorders>
              <w:top w:val="nil"/>
              <w:left w:val="nil"/>
              <w:bottom w:val="nil"/>
              <w:right w:val="nil"/>
            </w:tcBorders>
            <w:vAlign w:val="center"/>
          </w:tcPr>
          <w:p>
            <w:pPr>
              <w:widowControl/>
              <w:jc w:val="center"/>
              <w:rPr>
                <w:rFonts w:ascii="宋体" w:hAnsi="宋体" w:cs="宋体"/>
                <w:kern w:val="0"/>
                <w:sz w:val="24"/>
              </w:rPr>
            </w:pPr>
          </w:p>
        </w:tc>
        <w:tc>
          <w:tcPr>
            <w:tcW w:w="1946" w:type="dxa"/>
            <w:tcBorders>
              <w:top w:val="nil"/>
              <w:left w:val="nil"/>
              <w:bottom w:val="nil"/>
              <w:right w:val="nil"/>
            </w:tcBorders>
            <w:vAlign w:val="center"/>
          </w:tcPr>
          <w:p>
            <w:pPr>
              <w:widowControl/>
              <w:jc w:val="center"/>
              <w:rPr>
                <w:rFonts w:ascii="宋体" w:hAnsi="宋体" w:cs="宋体"/>
                <w:kern w:val="0"/>
                <w:sz w:val="24"/>
              </w:rPr>
            </w:pPr>
          </w:p>
        </w:tc>
        <w:tc>
          <w:tcPr>
            <w:tcW w:w="1682" w:type="dxa"/>
            <w:tcBorders>
              <w:top w:val="nil"/>
              <w:left w:val="nil"/>
              <w:bottom w:val="nil"/>
              <w:right w:val="nil"/>
            </w:tcBorders>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23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招商引资推进项目　</w:t>
            </w:r>
          </w:p>
        </w:tc>
      </w:tr>
      <w:tr>
        <w:tblPrEx>
          <w:tblLayout w:type="fixed"/>
          <w:tblCellMar>
            <w:top w:w="0" w:type="dxa"/>
            <w:left w:w="108" w:type="dxa"/>
            <w:bottom w:w="0" w:type="dxa"/>
            <w:right w:w="108" w:type="dxa"/>
          </w:tblCellMar>
        </w:tblPrEx>
        <w:trPr>
          <w:trHeight w:val="41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昌吉市商务和经济信息化委员会　</w:t>
            </w:r>
          </w:p>
        </w:tc>
      </w:tr>
      <w:tr>
        <w:tblPrEx>
          <w:tblLayout w:type="fixed"/>
          <w:tblCellMar>
            <w:top w:w="0" w:type="dxa"/>
            <w:left w:w="108" w:type="dxa"/>
            <w:bottom w:w="0" w:type="dxa"/>
            <w:right w:w="108" w:type="dxa"/>
          </w:tblCellMar>
        </w:tblPrEx>
        <w:trPr>
          <w:trHeight w:val="390"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预算</w:t>
            </w:r>
            <w:r>
              <w:rPr>
                <w:rFonts w:hint="eastAsia" w:ascii="宋体" w:hAnsi="宋体" w:cs="宋体"/>
                <w:kern w:val="0"/>
                <w:sz w:val="20"/>
                <w:szCs w:val="20"/>
              </w:rPr>
              <w:br w:type="textWrapping"/>
            </w:r>
            <w:r>
              <w:rPr>
                <w:rFonts w:hint="eastAsia" w:ascii="宋体" w:hAnsi="宋体" w:cs="宋体"/>
                <w:kern w:val="0"/>
                <w:sz w:val="20"/>
                <w:szCs w:val="20"/>
              </w:rPr>
              <w:t>执行</w:t>
            </w:r>
            <w:r>
              <w:rPr>
                <w:rFonts w:hint="eastAsia" w:ascii="宋体" w:hAnsi="宋体" w:cs="宋体"/>
                <w:kern w:val="0"/>
                <w:sz w:val="20"/>
                <w:szCs w:val="20"/>
              </w:rPr>
              <w:br w:type="textWrapping"/>
            </w:r>
            <w:r>
              <w:rPr>
                <w:rFonts w:hint="eastAsia" w:ascii="宋体" w:hAnsi="宋体" w:cs="宋体"/>
                <w:kern w:val="0"/>
                <w:sz w:val="20"/>
                <w:szCs w:val="20"/>
              </w:rPr>
              <w:t>情况</w:t>
            </w:r>
            <w:r>
              <w:rPr>
                <w:rFonts w:hint="eastAsia" w:ascii="宋体" w:hAnsi="宋体" w:cs="宋体"/>
                <w:kern w:val="0"/>
                <w:sz w:val="20"/>
                <w:szCs w:val="20"/>
              </w:rPr>
              <w:br w:type="textWrapping"/>
            </w:r>
            <w:r>
              <w:rPr>
                <w:rFonts w:hint="eastAsia" w:ascii="宋体" w:hAnsi="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43.7</w:t>
            </w:r>
            <w:r>
              <w:rPr>
                <w:rFonts w:ascii="宋体" w:hAnsi="宋体" w:cs="宋体"/>
                <w:kern w:val="0"/>
                <w:sz w:val="20"/>
                <w:szCs w:val="20"/>
              </w:rPr>
              <w:t>2</w:t>
            </w:r>
            <w:r>
              <w:rPr>
                <w:rFonts w:hint="eastAsia" w:ascii="宋体" w:hAnsi="宋体" w:cs="宋体"/>
                <w:kern w:val="0"/>
                <w:sz w:val="20"/>
                <w:szCs w:val="20"/>
              </w:rPr>
              <w:t>万元</w:t>
            </w:r>
          </w:p>
        </w:tc>
        <w:tc>
          <w:tcPr>
            <w:tcW w:w="194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执行数：</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43.7</w:t>
            </w:r>
            <w:r>
              <w:rPr>
                <w:rFonts w:ascii="宋体" w:hAnsi="宋体" w:cs="宋体"/>
                <w:kern w:val="0"/>
                <w:sz w:val="20"/>
                <w:szCs w:val="20"/>
              </w:rPr>
              <w:t>2</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399"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43.7</w:t>
            </w:r>
            <w:r>
              <w:rPr>
                <w:rFonts w:ascii="宋体" w:hAnsi="宋体" w:cs="宋体"/>
                <w:kern w:val="0"/>
                <w:sz w:val="20"/>
                <w:szCs w:val="20"/>
              </w:rPr>
              <w:t>2</w:t>
            </w:r>
            <w:r>
              <w:rPr>
                <w:rFonts w:hint="eastAsia" w:ascii="宋体" w:hAnsi="宋体" w:cs="宋体"/>
                <w:kern w:val="0"/>
                <w:sz w:val="20"/>
                <w:szCs w:val="20"/>
              </w:rPr>
              <w:t>万元</w:t>
            </w:r>
          </w:p>
        </w:tc>
        <w:tc>
          <w:tcPr>
            <w:tcW w:w="1946"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其中：财政拨款</w:t>
            </w:r>
          </w:p>
        </w:tc>
        <w:tc>
          <w:tcPr>
            <w:tcW w:w="1682" w:type="dxa"/>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43.7</w:t>
            </w:r>
            <w:r>
              <w:rPr>
                <w:rFonts w:ascii="宋体" w:hAnsi="宋体" w:cs="宋体"/>
                <w:kern w:val="0"/>
                <w:sz w:val="20"/>
                <w:szCs w:val="20"/>
              </w:rPr>
              <w:t>2</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406"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kern w:val="0"/>
                <w:sz w:val="20"/>
                <w:szCs w:val="20"/>
              </w:rPr>
            </w:pPr>
          </w:p>
        </w:tc>
        <w:tc>
          <w:tcPr>
            <w:tcW w:w="1946" w:type="dxa"/>
            <w:tcBorders>
              <w:top w:val="single" w:color="auto" w:sz="4" w:space="0"/>
              <w:left w:val="nil"/>
              <w:bottom w:val="nil"/>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28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目标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731"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Style w:val="5"/>
                <w:rFonts w:hint="eastAsia" w:ascii="宋体" w:hAnsi="宋体" w:cs="宋体"/>
                <w:b w:val="0"/>
                <w:spacing w:val="-4"/>
                <w:sz w:val="20"/>
                <w:szCs w:val="20"/>
              </w:rPr>
              <w:t>完成自治州政府下达的招商引资任务目标，全年落实招商引资到位资金80亿元</w:t>
            </w:r>
          </w:p>
        </w:tc>
        <w:tc>
          <w:tcPr>
            <w:tcW w:w="3628" w:type="dxa"/>
            <w:gridSpan w:val="2"/>
            <w:tcBorders>
              <w:top w:val="single" w:color="auto" w:sz="4" w:space="0"/>
              <w:left w:val="nil"/>
              <w:bottom w:val="single" w:color="auto" w:sz="4" w:space="0"/>
              <w:right w:val="single" w:color="000000" w:sz="4" w:space="0"/>
            </w:tcBorders>
            <w:vAlign w:val="top"/>
          </w:tcPr>
          <w:p>
            <w:pPr>
              <w:widowControl/>
              <w:jc w:val="left"/>
              <w:rPr>
                <w:rFonts w:ascii="宋体" w:hAnsi="宋体" w:cs="宋体"/>
                <w:kern w:val="0"/>
                <w:sz w:val="20"/>
                <w:szCs w:val="20"/>
              </w:rPr>
            </w:pPr>
            <w:r>
              <w:rPr>
                <w:rStyle w:val="5"/>
                <w:rFonts w:hint="eastAsia" w:ascii="宋体" w:hAnsi="宋体" w:cs="宋体"/>
                <w:b w:val="0"/>
                <w:spacing w:val="-4"/>
                <w:sz w:val="20"/>
                <w:szCs w:val="20"/>
              </w:rPr>
              <w:t>完成自治州政府下达的招商引资任务目标，全年落实招商引资到位资金80亿元</w:t>
            </w:r>
          </w:p>
        </w:tc>
      </w:tr>
      <w:tr>
        <w:tblPrEx>
          <w:tblLayout w:type="fixed"/>
          <w:tblCellMar>
            <w:top w:w="0" w:type="dxa"/>
            <w:left w:w="108" w:type="dxa"/>
            <w:bottom w:w="0" w:type="dxa"/>
            <w:right w:w="108" w:type="dxa"/>
          </w:tblCellMar>
        </w:tblPrEx>
        <w:trPr>
          <w:trHeight w:val="756" w:hRule="atLeast"/>
          <w:jc w:val="center"/>
        </w:trPr>
        <w:tc>
          <w:tcPr>
            <w:tcW w:w="68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年度</w:t>
            </w:r>
            <w:r>
              <w:rPr>
                <w:rFonts w:hint="eastAsia" w:ascii="宋体" w:hAnsi="宋体" w:cs="宋体"/>
                <w:kern w:val="0"/>
                <w:sz w:val="20"/>
                <w:szCs w:val="20"/>
              </w:rPr>
              <w:br w:type="textWrapping"/>
            </w:r>
            <w:r>
              <w:rPr>
                <w:rFonts w:hint="eastAsia" w:ascii="宋体" w:hAnsi="宋体" w:cs="宋体"/>
                <w:kern w:val="0"/>
                <w:sz w:val="20"/>
                <w:szCs w:val="20"/>
              </w:rPr>
              <w:t>绩效</w:t>
            </w:r>
            <w:r>
              <w:rPr>
                <w:rFonts w:hint="eastAsia" w:ascii="宋体" w:hAnsi="宋体" w:cs="宋体"/>
                <w:kern w:val="0"/>
                <w:sz w:val="20"/>
                <w:szCs w:val="20"/>
              </w:rPr>
              <w:br w:type="textWrapping"/>
            </w:r>
            <w:r>
              <w:rPr>
                <w:rFonts w:hint="eastAsia" w:ascii="宋体" w:hAnsi="宋体" w:cs="宋体"/>
                <w:kern w:val="0"/>
                <w:sz w:val="20"/>
                <w:szCs w:val="20"/>
              </w:rPr>
              <w:t>指标</w:t>
            </w:r>
            <w:r>
              <w:rPr>
                <w:rFonts w:hint="eastAsia" w:ascii="宋体" w:hAnsi="宋体" w:cs="宋体"/>
                <w:kern w:val="0"/>
                <w:sz w:val="20"/>
                <w:szCs w:val="20"/>
              </w:rPr>
              <w:br w:type="textWrapping"/>
            </w:r>
            <w:r>
              <w:rPr>
                <w:rFonts w:hint="eastAsia" w:ascii="宋体" w:hAnsi="宋体" w:cs="宋体"/>
                <w:kern w:val="0"/>
                <w:sz w:val="20"/>
                <w:szCs w:val="20"/>
              </w:rPr>
              <w:t>完成</w:t>
            </w:r>
            <w:r>
              <w:rPr>
                <w:rFonts w:hint="eastAsia" w:ascii="宋体" w:hAnsi="宋体" w:cs="宋体"/>
                <w:kern w:val="0"/>
                <w:sz w:val="20"/>
                <w:szCs w:val="20"/>
              </w:rPr>
              <w:br w:type="textWrapping"/>
            </w:r>
            <w:r>
              <w:rPr>
                <w:rFonts w:hint="eastAsia" w:ascii="宋体" w:hAnsi="宋体" w:cs="宋体"/>
                <w:kern w:val="0"/>
                <w:sz w:val="20"/>
                <w:szCs w:val="20"/>
              </w:rPr>
              <w:t>情况</w:t>
            </w:r>
          </w:p>
        </w:tc>
        <w:tc>
          <w:tcPr>
            <w:tcW w:w="10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一级指标</w:t>
            </w:r>
          </w:p>
        </w:tc>
        <w:tc>
          <w:tcPr>
            <w:tcW w:w="12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二级指标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项目完成指标</w:t>
            </w:r>
          </w:p>
        </w:tc>
        <w:tc>
          <w:tcPr>
            <w:tcW w:w="12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数量指标</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指标1：举办大型项目对接1次</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举办大型项目对接1次</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举办大型项目对接1次</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指标2：参加商贸洽谈会1次</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参加展会企业10家</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参加展会企业10家</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指标3：走出去招商活动2次</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走出去招商活动2次</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走出去招商活动2次</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项目效果指标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经济效益</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指标1：招商签约项目60个</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招商签约项目60个</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招商签约项目60个</w:t>
            </w:r>
          </w:p>
        </w:tc>
      </w:tr>
      <w:tr>
        <w:tblPrEx>
          <w:tblLayout w:type="fixed"/>
          <w:tblCellMar>
            <w:top w:w="0" w:type="dxa"/>
            <w:left w:w="108" w:type="dxa"/>
            <w:bottom w:w="0" w:type="dxa"/>
            <w:right w:w="108" w:type="dxa"/>
          </w:tblCellMar>
        </w:tblPrEx>
        <w:trPr>
          <w:trHeight w:val="549"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指标2：引资金额85亿元</w:t>
            </w:r>
            <w:bookmarkStart w:id="0" w:name="_GoBack"/>
            <w:bookmarkEnd w:id="0"/>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引资金额85亿元</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引资金额85亿元</w:t>
            </w:r>
          </w:p>
        </w:tc>
      </w:tr>
      <w:tr>
        <w:tblPrEx>
          <w:tblLayout w:type="fixed"/>
          <w:tblCellMar>
            <w:top w:w="0" w:type="dxa"/>
            <w:left w:w="108" w:type="dxa"/>
            <w:bottom w:w="0" w:type="dxa"/>
            <w:right w:w="108" w:type="dxa"/>
          </w:tblCellMar>
        </w:tblPrEx>
        <w:trPr>
          <w:trHeight w:val="544"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w:t>
            </w:r>
            <w:r>
              <w:rPr>
                <w:rFonts w:hint="eastAsia" w:ascii="宋体" w:hAnsi="宋体" w:cs="宋体"/>
                <w:kern w:val="0"/>
                <w:sz w:val="20"/>
                <w:szCs w:val="20"/>
              </w:rPr>
              <w:br w:type="textWrapping"/>
            </w:r>
            <w:r>
              <w:rPr>
                <w:rFonts w:hint="eastAsia" w:ascii="宋体" w:hAnsi="宋体" w:cs="宋体"/>
                <w:kern w:val="0"/>
                <w:sz w:val="20"/>
                <w:szCs w:val="20"/>
              </w:rPr>
              <w:t>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0"/>
                <w:szCs w:val="20"/>
              </w:rPr>
            </w:pPr>
            <w:r>
              <w:rPr>
                <w:rFonts w:hint="eastAsia" w:ascii="宋体" w:hAnsi="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 xml:space="preserve"> 指标1：参与率100%</w:t>
            </w:r>
          </w:p>
        </w:tc>
        <w:tc>
          <w:tcPr>
            <w:tcW w:w="1946"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活动参与率满意率100%</w:t>
            </w:r>
          </w:p>
        </w:tc>
        <w:tc>
          <w:tcPr>
            <w:tcW w:w="1682" w:type="dxa"/>
            <w:tcBorders>
              <w:top w:val="nil"/>
              <w:left w:val="nil"/>
              <w:bottom w:val="single" w:color="auto" w:sz="4" w:space="0"/>
              <w:right w:val="single" w:color="auto" w:sz="4" w:space="0"/>
            </w:tcBorders>
            <w:vAlign w:val="center"/>
          </w:tcPr>
          <w:p>
            <w:pPr>
              <w:widowControl/>
              <w:jc w:val="left"/>
              <w:rPr>
                <w:rFonts w:ascii="宋体" w:hAnsi="宋体" w:cs="宋体"/>
                <w:kern w:val="0"/>
                <w:sz w:val="20"/>
                <w:szCs w:val="20"/>
              </w:rPr>
            </w:pPr>
            <w:r>
              <w:rPr>
                <w:rFonts w:hint="eastAsia" w:ascii="宋体" w:hAnsi="宋体" w:cs="宋体"/>
                <w:kern w:val="0"/>
                <w:sz w:val="20"/>
                <w:szCs w:val="20"/>
              </w:rPr>
              <w:t>活动参与率满意率100%</w:t>
            </w:r>
          </w:p>
        </w:tc>
      </w:tr>
    </w:tbl>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03（款）01（项）：指行政运行。201（类）03（款）05（项）：指专项业务活动。201（类）03（款）50（项）：指事业运行。201（类）03（款）99（项）：指其他政府办公厅（室）及相关机构事务支出。201（类）13（款）08（项）：指招商引资。208（类）05（款）05（项）：指机关事业单位基本养老保险缴费支出。211（类）10（款）01（项）：指能源节约利用。212（类）03（款）99（项）：指其他城乡社区公共设施支出。</w:t>
      </w:r>
    </w:p>
    <w:p>
      <w:pPr>
        <w:spacing w:line="540" w:lineRule="exact"/>
        <w:jc w:val="center"/>
        <w:rPr>
          <w:rFonts w:hint="eastAsia" w:ascii="黑体" w:hAnsi="黑体" w:eastAsia="黑体" w:cs="Times New Roman"/>
          <w:sz w:val="32"/>
          <w:szCs w:val="32"/>
        </w:rPr>
      </w:pPr>
    </w:p>
    <w:p>
      <w:pPr>
        <w:spacing w:line="540" w:lineRule="exact"/>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82FB6D"/>
    <w:multiLevelType w:val="singleLevel"/>
    <w:tmpl w:val="AE82FB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B9D"/>
    <w:rsid w:val="00796C2C"/>
    <w:rsid w:val="00A54B9D"/>
    <w:rsid w:val="00FD0B3F"/>
    <w:rsid w:val="24892DC2"/>
    <w:rsid w:val="36F540ED"/>
    <w:rsid w:val="456220B0"/>
    <w:rsid w:val="55023DE5"/>
    <w:rsid w:val="5E0C7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0"/>
    <w:rPr>
      <w:rFonts w:cs="Times New Roman"/>
      <w:b/>
      <w:bCs/>
    </w:rPr>
  </w:style>
  <w:style w:type="character" w:styleId="6">
    <w:name w:val="FollowedHyperlink"/>
    <w:basedOn w:val="4"/>
    <w:semiHidden/>
    <w:unhideWhenUsed/>
    <w:qFormat/>
    <w:uiPriority w:val="99"/>
    <w:rPr>
      <w:color w:val="800080"/>
      <w:u w:val="single"/>
    </w:rPr>
  </w:style>
  <w:style w:type="character" w:styleId="7">
    <w:name w:val="Hyperlink"/>
    <w:basedOn w:val="4"/>
    <w:semiHidden/>
    <w:unhideWhenUsed/>
    <w:qFormat/>
    <w:uiPriority w:val="99"/>
    <w:rPr>
      <w:color w:val="0000FF"/>
      <w:u w:val="single"/>
    </w:rPr>
  </w:style>
  <w:style w:type="character" w:customStyle="1" w:styleId="9">
    <w:name w:val="标题 2 字符"/>
    <w:basedOn w:val="4"/>
    <w:link w:val="2"/>
    <w:qFormat/>
    <w:uiPriority w:val="9"/>
    <w:rPr>
      <w:rFonts w:ascii="宋体" w:hAnsi="宋体" w:eastAsia="宋体" w:cs="宋体"/>
      <w:b/>
      <w:bCs/>
      <w:kern w:val="0"/>
      <w:sz w:val="36"/>
      <w:szCs w:val="36"/>
    </w:rPr>
  </w:style>
  <w:style w:type="paragraph" w:customStyle="1" w:styleId="10">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pages_print_font"/>
    <w:basedOn w:val="4"/>
    <w:qFormat/>
    <w:uiPriority w:val="0"/>
  </w:style>
  <w:style w:type="character" w:customStyle="1" w:styleId="12">
    <w:name w:val="am-margin-right-sm"/>
    <w:basedOn w:val="4"/>
    <w:qFormat/>
    <w:uiPriority w:val="0"/>
  </w:style>
  <w:style w:type="character" w:customStyle="1" w:styleId="13">
    <w:name w:val="pointer"/>
    <w:basedOn w:val="4"/>
    <w:qFormat/>
    <w:uiPriority w:val="0"/>
  </w:style>
  <w:style w:type="character" w:customStyle="1" w:styleId="14">
    <w:name w:val="btnprint"/>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1970</Words>
  <Characters>11229</Characters>
  <Lines>93</Lines>
  <Paragraphs>26</Paragraphs>
  <TotalTime>1</TotalTime>
  <ScaleCrop>false</ScaleCrop>
  <LinksUpToDate>false</LinksUpToDate>
  <CharactersWithSpaces>13173</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2021-05-21T14:02:00Z</dcterms:created>
  <dc:creator>Lenovo</dc:creator>
  <cp:lastModifiedBy>Administrator</cp:lastModifiedBy>
  <dcterms:modified xsi:type="dcterms:W3CDTF">2021-05-31T08:49:51Z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30A3EBA86AC84E3CBE14BC540923CF81</vt:lpwstr>
  </property>
</Properties>
</file>