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2018年度昌吉市旅游局决算公开</w:t>
      </w:r>
    </w:p>
    <w:p>
      <w:pPr>
        <w:spacing w:line="540" w:lineRule="exact"/>
        <w:ind w:firstLine="0" w:firstLineChars="0"/>
        <w:rPr>
          <w:rFonts w:hint="eastAsia" w:ascii="仿宋_GB2312" w:hAnsi="宋体" w:eastAsia="仿宋_GB2312"/>
          <w:sz w:val="32"/>
          <w:szCs w:val="32"/>
        </w:rPr>
      </w:pP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sz w:val="32"/>
          <w:szCs w:val="32"/>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1、贯彻执行国家、自治区、自治州旅游行业行政法规、行业标准规范；结合昌吉市实际研究拟订昌吉市旅游业发展规划和措施并组织实施。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2、研究拟订昌吉市旅游市场开发战略，组织昌吉市旅游整体形象的策划、宣传和重大促销活动；组织、指导重要旅游产品的开发。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加强昌吉市旅游安全的综合协调和应急救援职责，指导应急救援工作。组织昌吉市旅游资源的普查、规划、开发和相关保护工作；引导旅游产业的社会投资和利用外资工作；指导全市旅游基础设施建设，会同有关部门组织全市旅游基本建设项目的申报、监督、验收工作；负责全市旅游统计、行业信息发布及信息化建设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承担辖区内经营旅游业务企事业单位的行业管理工作。会同有关部门初审旅游建设项目建议书，初审外商投资旅游建设项目建议书，论证初审市级度假区和其他重点旅游建设项目及配套设施（含旅游宾馆、饭店）；负责旅游商品设计开发、旅游商业街建设和产品品牌营销的业务指导工作；承担特种旅游、红色旅游、特色旅游等旅游项目的规划及相关管理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负责初审和申报昌吉市三星级以上（包含三星级）旅游饭店；负责审批和复核昌吉市辖区内二星级以下（含二星级）旅游饭店；负责推荐和初审3A以上（包含3A）的旅游景区（点）；负责初评和申报国家级2A、1A级旅游景区（点）；负责推荐和初审三星级以上（包含三星级）“农家乐”；负责复核和审批昌吉市辖区内二星级以下（包含二星级）“农家乐”；负责推荐和申报S级滑雪场；负责旅行社的申报工作及昌吉市辖区内旅行社分社、门市部审批备案和管理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6、承担规范旅游市场秩序、监督管理服务质量、维护旅游消费者和经营者合法权益的责任，规范旅游企业和从业人员的经营和服务行为。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7、拟订并组织实施旅游人才规划，指导旅游教育、培训工作，组织实施从业人员的职业资格制度和等级制度；指导旅游行业精神文明建设及评先创优工作。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8、承办昌吉市人民政府交办的其它事项。</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从决算单位构成看，昌吉市旅游局部门决算包括：昌吉市旅游局部门本级决算。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纳入昌吉市旅游局2018年部门决算编制范围的单位名单见下表：</w:t>
      </w:r>
    </w:p>
    <w:tbl>
      <w:tblPr>
        <w:tblStyle w:val="8"/>
        <w:tblW w:w="8282"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147"/>
        <w:gridCol w:w="3404"/>
        <w:gridCol w:w="273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昌吉市旅游局本级</w:t>
            </w:r>
          </w:p>
        </w:tc>
        <w:tc>
          <w:tcPr>
            <w:tcW w:w="2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4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322.15万元,与上年相比，减少253.82万元，降低44.07%，增减变化主要原因是：项目经费减少；支出359.08万元,与上年相比，增加59.49万元，增长19.86%，增减变化主要原因是：业务量及人员经费增加；结余240.63万元，与上年相比，减少36.93万元，降低13.3%。增减变化主要原因是：加快资金支出进度。</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本年收入合计322.15万元，其中：财政拨款收入322.15万元，占100%；上级补助收入0万元，占0%；事业收入0万元，占0%；经营收入0万元，占0%；附属单位缴款0万元，占0%；其他收入0万元，占0%。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与年初预算数相比情况：本年收入年初预算数210.98万元，决算数322.15万元，预决算差异率52.7%，差异主要原因2018年人员经费增加。</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本年支出合计359.08万元，其中：基本支出268.55万元，占74.79%；项目支出90.52万元，占25.21%；上缴上级支出0万元，占0%；经营支出0万元，占0%；对附属单位补助支出0万元，占0%。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与年初预算数相比情况：本年支出年初预算数210.98万元，决算数359.08万元，预决算差异率70.2%，差异主要原因2018年人员经费增加。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322.15万元，与上年相比，减少253.82万元，降低44.07%。增减变化的主要原因是：项目经费减少。财政拨款支出359.08万元，与上年相比，增加59.49万元，增长19.86%，增减变化的主要原因是：业务量及人员经费增加。其中：基本支出268.55万元，项目支出90.52万元。财政拨款结转结余240.63万元，与上年相比，减少36.93万元，降低13.30%。增减变化的主要原因是：加快资金支出进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210.98万元，决算数322.15万元，预决算差异率52.7%，差异主要原因2018年人员经费增加。财政拨款支出年初预算数210.98万元，决算数359.08万元，预决算差异率70.2%，差异主要原因2018年人员经费增加。</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279.15万元。与上年相比，减少275.82万元，降低49.70%。增减变化的主要原因是：项目经费减少。一般公共预算财政拨款支出295.08万元。与上年相比，减少4.51万元，降低1.50%。增减变化的主要原因是：项目经费减少。其中：按功能分类科目，208类社会保障和就业支出25.92万元；216类商业服务业等支出269.15万元。按经济分类科目，工资福利支出208.01万元，商品和服务支出66.52万元，对个人和家庭补助支出18.03万元，资本性支出2.52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210.98万元，决算数279.15万元，预决算差异率32.31%，差异主要原因业务量增加。一般公共预算财政拨款支出年初预算数210.98万元，决算数295.08万元，预决算差异率39.86%，差异主要原因业务量增加。</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43万元，与上年相比，增加22万元，增长104.76%。增减变化的主要原因是：项目补助增加。政府性基金预算财政拨款支出64万元，与上年相比，增加64万元，增长100%。增减变化的主要原因是：项目补助增加。其中：按功能分类科目，216类商业服务业等支出64万元。按经济分类科目，商品和服务支出64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43万元，预决算差异率100%，差异主要原因追加了项目支出。政府性基金预算财政拨款支出年初预算数0万元，决算数64万元，预决算差异率100%，差异主要原因追加了项目支出。</w:t>
      </w:r>
    </w:p>
    <w:p>
      <w:pPr>
        <w:spacing w:line="540" w:lineRule="exact"/>
        <w:ind w:firstLine="640" w:firstLineChars="200"/>
        <w:rPr>
          <w:rFonts w:hint="eastAsia" w:ascii="仿宋_GB2312" w:hAnsi="Times New Roman" w:eastAsia="仿宋_GB2312"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年末结转结余240.63万元。与上年相比，减少36.93万元，降低13.3%。</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其中财政拨款结转结余240.63万元。与上年相比，减少36.93万元，降低13.3%。</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7.8万元，比上年增加3.19万元，增长69.05%，增加原因是公务用车运行维护费增加。其中，因公出国（境）费支出0万元，占0%，比上年增加0万元，增长0%，增加原因是预算未安排；公务用车购置及运行维护费支出7.8万元，占100%，比上年增加3.19万元，增长69.05%，增加原因是执法次数增加；公务接待费支出0万元，占0%，比上年增加0万元，增长0%，增加原因是预算未安排。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因公出国（境）费支出0万元。昌吉市旅游局全年使用一般公共预算财政拨款安排的出国（境）团组0个，累计0人次。开支内容包括：无开支。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公务用车购置及运行维护费7.8万元,其中，公务用车购置0万元，公务用车运行维护费7.8万元。主要用于车辆加油等。单位一般公共财政拨款安排的公务用车购置量0辆，保有量为3辆。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公务接待费0万元。具体是：国内公务接待支出0万元，主要是无公务接待。昌吉市旅游局国内公务接待0批次，0人次。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7.8万元，决算数7.8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7.8万元，决算数7.8万元，预决算差异率0%，差异主要原因：本年无增减；公务接待费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2018年度昌吉市旅游局机关运行经费支出42.52万元，比上年增加28.31万元，增长199.38%，主要原因是业务量增加。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2018年度政府采购支出总额22.04万元，其中：政府采购货物支出9.23万元、政府采购工程支出0万元、政府采购服务支出12.81万元。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3辆，价值40.75万元，其中：部级领导干部用车0辆、主要领导干部用车0辆、机要通信用车0辆、应急保障用车0辆、执法执勤用车1辆、特种专业技术用车0辆、离退休干部用车0辆、其他用车2辆，其他用车主要是：一般公务用车；单位价值50万元以上通用设备0台（套）、单位价值100万元以上专用设备0台（套），其他固定资产价值18.95万元。</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本单位全年共有3个项目，分别为旅游执法费项目，旅游品牌创建资金项目，旅游景点补助资金项目。项目支出均严格按照旅游专项资金的使用范围和资金用途规范标准执行。在使用前填报资金绩效申报表，使用过程中填报资金使用跟踪监控表，年末填报绩效评价表，切实落实了事前、事中、事后的有效监管。</w:t>
      </w:r>
    </w:p>
    <w:p>
      <w:pPr>
        <w:numPr>
          <w:ilvl w:val="0"/>
          <w:numId w:val="1"/>
        </w:num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旅游执法费用项目绩效自评综述：根据年初设定的绩效目标，旅游执法费用项目绩效自评得分96分，项目全年预算数为3.57万元，执行数为3.57万元，完成预算的100%。主要产出和效果：一是全年安全生产大检查13次；二是全年旅游行业无安全事故发生；三是已完成2018年内旅游执法各项工作任务。四是在预算拨款金额内完成旅游执法。发现的问题及原因：无。下一步改进措施：无。</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昌吉市旅游局项目支出绩效自评表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 2018 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旅游执法费用</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昌吉市旅游局</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3.57　</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tcPr>
          <w:p>
            <w:pPr>
              <w:jc w:val="right"/>
              <w:rPr>
                <w:rFonts w:hint="eastAsia" w:ascii="宋体" w:hAnsi="宋体" w:eastAsia="宋体" w:cs="宋体"/>
              </w:rPr>
            </w:pPr>
            <w:r>
              <w:rPr>
                <w:rFonts w:hint="eastAsia" w:ascii="宋体" w:hAnsi="宋体" w:eastAsia="宋体" w:cs="宋体"/>
                <w:kern w:val="0"/>
                <w:sz w:val="20"/>
                <w:szCs w:val="20"/>
              </w:rPr>
              <w:t>3.57</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3.57　</w:t>
            </w:r>
          </w:p>
        </w:tc>
        <w:tc>
          <w:tcPr>
            <w:tcW w:w="1946" w:type="dxa"/>
            <w:tcBorders>
              <w:top w:val="nil"/>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tcPr>
          <w:p>
            <w:pPr>
              <w:jc w:val="right"/>
              <w:rPr>
                <w:rFonts w:hint="eastAsia" w:ascii="宋体" w:hAnsi="宋体" w:eastAsia="宋体" w:cs="宋体"/>
              </w:rPr>
            </w:pPr>
            <w:r>
              <w:rPr>
                <w:rFonts w:hint="eastAsia" w:ascii="宋体" w:hAnsi="宋体" w:eastAsia="宋体" w:cs="宋体"/>
                <w:kern w:val="0"/>
                <w:sz w:val="20"/>
                <w:szCs w:val="20"/>
              </w:rPr>
              <w:t>3.57</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458"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确保全年旅游市场有序经营</w:t>
            </w: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旅游行业发展保持良好态势</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指标1：安全生产大检查次数</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安全生产大检查不少于10次</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全年安全生产大检查13次</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指标1：旅游市场安全生产</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确保旅游市场不出安全事故</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旅游行业无安全事故发生</w:t>
            </w:r>
          </w:p>
        </w:tc>
      </w:tr>
      <w:tr>
        <w:tblPrEx>
          <w:tblLayout w:type="fixed"/>
          <w:tblCellMar>
            <w:top w:w="0" w:type="dxa"/>
            <w:left w:w="108" w:type="dxa"/>
            <w:bottom w:w="0" w:type="dxa"/>
            <w:right w:w="108" w:type="dxa"/>
          </w:tblCellMar>
        </w:tblPrEx>
        <w:trPr>
          <w:trHeight w:val="756"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指标1：旅游执法任务</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完成2018年内旅游执法各项工作任务</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已完成2018年内旅游执法各项工作任务</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指标1：人均执法成本</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人均执法成本不超过预算均值</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在预算拨款金额内完成旅游执法</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指标1：游客投诉</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处理游客投诉，确保解决问题</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游客投诉圆满解决</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指标1：消防检查</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各旅游景区景点、星级饭店、农家乐消防检查符合要求</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各旅游景区景点、星级饭店、农家乐消防检查符合要求</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指标1：旅游景区景点、星级饭店、农家乐满意度</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各旅游景区景点、星级饭店、农家乐满意度95%以上</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各旅游景区景点、星级饭店、农家乐满意度98%</w:t>
            </w:r>
          </w:p>
        </w:tc>
      </w:tr>
    </w:tbl>
    <w:p>
      <w:pPr>
        <w:numPr>
          <w:numId w:val="0"/>
        </w:numPr>
        <w:spacing w:line="540" w:lineRule="exact"/>
        <w:rPr>
          <w:rFonts w:hint="eastAsia" w:ascii="仿宋_GB2312" w:hAnsi="Times New Roman" w:eastAsia="仿宋_GB2312" w:cs="Times New Roman"/>
          <w:sz w:val="32"/>
          <w:szCs w:val="32"/>
        </w:rPr>
      </w:pPr>
    </w:p>
    <w:p>
      <w:pPr>
        <w:numPr>
          <w:ilvl w:val="0"/>
          <w:numId w:val="1"/>
        </w:numPr>
        <w:spacing w:line="540" w:lineRule="exact"/>
        <w:ind w:left="0" w:leftChars="0"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旅游品牌创建资金项目绩效自评综述：根据年初设定的绩效目标，旅游品牌创建资金项目绩效自评得分80分，项目全年预算数为263.44万元，执行数为22.94万元，完成预算的8.71%。主要产出和效果：一是申报3A级景区进行评定4家；二是全市共接待游客569.98万人次，同比增长132.9%。发现的问题及原因：无。下一步改进措施：无。</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昌吉市旅游局项目支出绩效自评表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3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旅游品牌创建资金</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昌吉市旅游局</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lang w:val="en-US" w:eastAsia="zh-CN"/>
              </w:rPr>
            </w:pPr>
            <w:r>
              <w:rPr>
                <w:rFonts w:hint="eastAsia" w:ascii="宋体" w:hAnsi="宋体" w:cs="宋体"/>
                <w:kern w:val="0"/>
                <w:sz w:val="20"/>
                <w:szCs w:val="20"/>
              </w:rPr>
              <w:t>263.4</w:t>
            </w:r>
            <w:r>
              <w:rPr>
                <w:rFonts w:hint="eastAsia" w:ascii="宋体" w:hAnsi="宋体" w:cs="宋体"/>
                <w:kern w:val="0"/>
                <w:sz w:val="20"/>
                <w:szCs w:val="20"/>
                <w:lang w:val="en-US" w:eastAsia="zh-CN"/>
              </w:rPr>
              <w:t>4</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22.9</w:t>
            </w:r>
            <w:r>
              <w:rPr>
                <w:rFonts w:hint="eastAsia" w:ascii="宋体" w:hAnsi="宋体" w:cs="宋体"/>
                <w:kern w:val="0"/>
                <w:sz w:val="20"/>
                <w:szCs w:val="20"/>
                <w:lang w:val="en-US" w:eastAsia="zh-CN"/>
              </w:rPr>
              <w:t>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lang w:val="en-US" w:eastAsia="zh-CN"/>
              </w:rPr>
            </w:pPr>
            <w:r>
              <w:rPr>
                <w:rFonts w:hint="eastAsia" w:ascii="宋体" w:hAnsi="宋体" w:cs="宋体"/>
                <w:kern w:val="0"/>
                <w:sz w:val="20"/>
                <w:szCs w:val="20"/>
              </w:rPr>
              <w:t>263.4</w:t>
            </w:r>
            <w:r>
              <w:rPr>
                <w:rFonts w:hint="eastAsia" w:ascii="宋体" w:hAnsi="宋体" w:cs="宋体"/>
                <w:kern w:val="0"/>
                <w:sz w:val="20"/>
                <w:szCs w:val="20"/>
                <w:lang w:val="en-US" w:eastAsia="zh-CN"/>
              </w:rPr>
              <w:t>4</w:t>
            </w:r>
          </w:p>
        </w:tc>
        <w:tc>
          <w:tcPr>
            <w:tcW w:w="1946"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22.9</w:t>
            </w:r>
            <w:r>
              <w:rPr>
                <w:rFonts w:hint="eastAsia" w:ascii="宋体" w:hAnsi="宋体" w:cs="宋体"/>
                <w:kern w:val="0"/>
                <w:sz w:val="20"/>
                <w:szCs w:val="20"/>
                <w:lang w:val="en-US" w:eastAsia="zh-CN"/>
              </w:rPr>
              <w:t>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72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完成创建指标，确保验收成功</w:t>
            </w: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顺利完成创建任务指标，农家乐酒店景区均符合创建要求，正式挂牌运营。</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077"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8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指标1：3A级景区评定</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对景点申报3A级景区进行评定不少于3家</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申报3A级景区进行评定4家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指标2：星级酒店评定</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对酒店进行星级酒店评定5家</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对华东容锦酒店、鸿都国际酒店进行五星级酒店评定辅导，陌么·逸尚精品酒店、美美主题酒店、海棠酒店进行三星级酒店评定辅导6家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指标3：旅游示范点的申报</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完成旅游示范点的申报任务5家</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申报特变电工、笑厨食品、中粮（昌吉）公司为工业旅游示范基地。完成华阳特酒庄、印象戈壁酒庄、一韵酒庄、葡城酒业旅游示范点辅导工作6家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指标1：申报国家休闲观光农业示范基地、自驾营地</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国家休闲观光农业示范基地≧1家，自驾营地≧2家</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朗青畜牧已成功创建成为国家休闲观光农业示范基地1家，华兴房车自驾营地、芸农庄房车自驾营地初步形成规模2家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指标1：创建任务</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2018年内完成创建任务</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已全部完成，验收完毕</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指标1：接待旅客人数</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比2017年接待游客增加70%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全市共接待游客569.98万人次，同比增长132.9%。</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指标2：消费收入</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消费收入增加80%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实现旅游消费96.89亿元，同比增长达132.9%，</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指标3：过夜游客人数</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过夜游客增加30%</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接待过夜游客78.3万人次，同比增长56.29%。</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指标1：乡镇生态旅游</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确保乡镇生态旅游发展</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完成芸农庄、朗青畜牧、清馨园等20家民宿评定辅导工作，积极推进硫磺沟镇州级乡村旅游示范镇及佃坝镇二畦六区、六工镇十三户村州级旅游示范村创建工作。</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指标1：招商引资</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加大招商引资</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围绕“一城两河三园一涟”，以“旅游+”为途径，大力推进旅游业与一、二、三产业的融合，大力丰富旅游内涵，全面提升旅游功能。</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指标1：游客满意度</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游客满意度不低于95%</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游客满意度达到98%</w:t>
            </w:r>
          </w:p>
        </w:tc>
      </w:tr>
    </w:tbl>
    <w:p>
      <w:pPr>
        <w:numPr>
          <w:numId w:val="0"/>
        </w:numPr>
        <w:spacing w:line="540" w:lineRule="exact"/>
        <w:ind w:leftChars="200"/>
        <w:rPr>
          <w:rFonts w:hint="eastAsia" w:ascii="仿宋_GB2312" w:hAnsi="Times New Roman" w:eastAsia="仿宋_GB2312" w:cs="Times New Roman"/>
          <w:sz w:val="32"/>
          <w:szCs w:val="32"/>
        </w:rPr>
      </w:pPr>
    </w:p>
    <w:p>
      <w:pPr>
        <w:numPr>
          <w:ilvl w:val="0"/>
          <w:numId w:val="1"/>
        </w:numPr>
        <w:spacing w:line="540" w:lineRule="exact"/>
        <w:ind w:left="0" w:leftChars="0"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旅游景点补助资金项目绩效自评综述：根据年初设定的绩效目标，旅游景点补助资金项目绩效自评得分96分，项目全年预算数为64万元，执行数为64万元，完成预算的100%。主要产出和效果：通过旅游度假村的补助资金，发掘旅游市场资源，带动旅游收入以及旅游人次。发现的问题及原因：无。下一步改进措施：无。</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b/>
                <w:bCs/>
                <w:kern w:val="0"/>
                <w:sz w:val="32"/>
                <w:szCs w:val="32"/>
              </w:rPr>
            </w:pPr>
          </w:p>
          <w:p>
            <w:pPr>
              <w:widowControl/>
              <w:jc w:val="center"/>
              <w:rPr>
                <w:rFonts w:hint="eastAsia" w:ascii="宋体" w:hAnsi="宋体" w:eastAsia="宋体" w:cs="宋体"/>
                <w:b/>
                <w:bCs/>
                <w:kern w:val="0"/>
                <w:sz w:val="32"/>
                <w:szCs w:val="32"/>
              </w:rPr>
            </w:pPr>
          </w:p>
          <w:p>
            <w:pPr>
              <w:widowControl/>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昌吉市旅游局项目支出绩效自评表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 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旅游景点补助资金</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昌吉市旅游局</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w:t>
            </w:r>
          </w:p>
        </w:tc>
        <w:tc>
          <w:tcPr>
            <w:tcW w:w="1946" w:type="dxa"/>
            <w:tcBorders>
              <w:top w:val="nil"/>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621"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完成创建指标，确保验收成功</w:t>
            </w: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顺利完成创建任务指标，农家乐景区厕所等基础设施均符合要求，正式使用。</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指标1：新建改建旅游厕所数量</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新建改建旅游厕所≧50座</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旅游厕所新建、改建55座</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旅游厕所标准</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新建和改建旅游厕所标准</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A级</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w:t>
            </w:r>
            <w:r>
              <w:rPr>
                <w:rFonts w:hint="eastAsia" w:ascii="宋体" w:hAnsi="宋体" w:eastAsia="宋体" w:cs="宋体"/>
                <w:sz w:val="20"/>
                <w:szCs w:val="20"/>
              </w:rPr>
              <w:t>旅游厕所质量</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新建和改建旅游厕所质量达标率</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≥98%</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旅游厕所完工率</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旅游厕所完成及时率</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≥98%</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补助标准</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旅游厕所补助标准</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≥3.5万元/座</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接待游客数量</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旅游景区接待游客数量</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≥300000人</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w:t>
            </w:r>
            <w:r>
              <w:rPr>
                <w:rFonts w:hint="eastAsia" w:ascii="宋体" w:hAnsi="宋体" w:eastAsia="宋体" w:cs="宋体"/>
                <w:sz w:val="20"/>
                <w:szCs w:val="20"/>
              </w:rPr>
              <w:t>旅游消费收入</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旅游消费收入</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≥5.1亿元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带动低收入人口就业人数</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旅游项目带动低收入人口就业人数</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≥4人</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w:t>
            </w:r>
            <w:r>
              <w:rPr>
                <w:rFonts w:hint="eastAsia" w:ascii="宋体" w:hAnsi="宋体" w:eastAsia="宋体" w:cs="宋体"/>
                <w:sz w:val="20"/>
                <w:szCs w:val="20"/>
              </w:rPr>
              <w:t>带动低收入人口就业人口人均收入</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旅游产业带动低收入人口就业人口人均收入</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≥24000元/年</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解决乡村旅游厕所卫生问题人数</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解决乡村旅游厕所卫生问题人数</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≥300000人</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旅游厕所配套设施使用年限</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旅游厕所配套设施使用年限</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≥15年</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w:t>
            </w:r>
            <w:r>
              <w:rPr>
                <w:rFonts w:hint="eastAsia" w:ascii="宋体" w:hAnsi="宋体" w:eastAsia="宋体" w:cs="宋体"/>
                <w:sz w:val="20"/>
                <w:szCs w:val="20"/>
              </w:rPr>
              <w:t>游客满意度</w:t>
            </w:r>
          </w:p>
        </w:tc>
        <w:tc>
          <w:tcPr>
            <w:tcW w:w="1946" w:type="dxa"/>
            <w:tcBorders>
              <w:top w:val="single" w:color="auto" w:sz="4" w:space="0"/>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游客满意度</w:t>
            </w:r>
          </w:p>
        </w:tc>
        <w:tc>
          <w:tcPr>
            <w:tcW w:w="1682" w:type="dxa"/>
            <w:tcBorders>
              <w:top w:val="single" w:color="auto" w:sz="4" w:space="0"/>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≥98%</w:t>
            </w:r>
          </w:p>
        </w:tc>
      </w:tr>
      <w:tr>
        <w:tblPrEx>
          <w:tblLayout w:type="fixed"/>
          <w:tblCellMar>
            <w:top w:w="0" w:type="dxa"/>
            <w:left w:w="108" w:type="dxa"/>
            <w:bottom w:w="0" w:type="dxa"/>
            <w:right w:w="108" w:type="dxa"/>
          </w:tblCellMar>
        </w:tblPrEx>
        <w:trPr>
          <w:trHeight w:val="9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sz w:val="20"/>
                <w:szCs w:val="20"/>
              </w:rPr>
              <w:t>解决乡村旅游厕所卫生问题人数</w:t>
            </w:r>
          </w:p>
        </w:tc>
        <w:tc>
          <w:tcPr>
            <w:tcW w:w="1946"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解决乡村旅游厕所卫生问题人数</w:t>
            </w:r>
          </w:p>
        </w:tc>
        <w:tc>
          <w:tcPr>
            <w:tcW w:w="1682"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sz w:val="20"/>
                <w:szCs w:val="20"/>
              </w:rPr>
            </w:pPr>
            <w:r>
              <w:rPr>
                <w:rFonts w:hint="eastAsia" w:ascii="宋体" w:hAnsi="宋体" w:eastAsia="宋体" w:cs="宋体"/>
                <w:sz w:val="20"/>
                <w:szCs w:val="20"/>
              </w:rPr>
              <w:t>≥300000人</w:t>
            </w:r>
          </w:p>
        </w:tc>
      </w:tr>
    </w:tbl>
    <w:p>
      <w:pPr>
        <w:spacing w:line="540" w:lineRule="exact"/>
        <w:ind w:firstLine="567"/>
        <w:rPr>
          <w:rStyle w:val="5"/>
          <w:rFonts w:ascii="仿宋" w:hAnsi="仿宋" w:eastAsia="仿宋"/>
          <w:b w:val="0"/>
          <w:spacing w:val="-4"/>
          <w:sz w:val="32"/>
          <w:szCs w:val="32"/>
        </w:rPr>
      </w:pPr>
    </w:p>
    <w:p>
      <w:pPr>
        <w:numPr>
          <w:numId w:val="0"/>
        </w:numPr>
        <w:spacing w:line="540" w:lineRule="exact"/>
        <w:ind w:leftChars="200"/>
        <w:rPr>
          <w:rFonts w:hint="eastAsia" w:ascii="仿宋_GB2312" w:hAnsi="Times New Roman" w:eastAsia="仿宋_GB2312" w:cs="Times New Roman"/>
          <w:sz w:val="32"/>
          <w:szCs w:val="32"/>
        </w:rPr>
      </w:pPr>
      <w:bookmarkStart w:id="0" w:name="_GoBack"/>
      <w:bookmarkEnd w:id="0"/>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208（类）05（款）05（项）：指机关事业单位基本养老保险缴费支出。216（类）05（款）01（项）：指行政运行经费支出。216（类）05（款）02（项）：指一般行政管理事务支出。216（类）05（款）99（项）：指其他旅游业管理与服务支出。</w:t>
      </w:r>
    </w:p>
    <w:p>
      <w:pPr>
        <w:spacing w:line="540" w:lineRule="exact"/>
        <w:ind w:firstLine="0"/>
        <w:jc w:val="center"/>
        <w:rPr>
          <w:rFonts w:hint="eastAsia" w:ascii="黑体" w:hAnsi="黑体" w:eastAsia="黑体" w:cs="Times New Roman"/>
          <w:sz w:val="32"/>
          <w:szCs w:val="32"/>
        </w:rPr>
      </w:pP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91A1B"/>
    <w:multiLevelType w:val="singleLevel"/>
    <w:tmpl w:val="6AD91A1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44"/>
    <w:rsid w:val="003E2744"/>
    <w:rsid w:val="00776257"/>
    <w:rsid w:val="00F00FBF"/>
    <w:rsid w:val="07652B26"/>
    <w:rsid w:val="475D16AD"/>
    <w:rsid w:val="72C61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0"/>
    <w:rPr>
      <w:b/>
      <w:bCs/>
    </w:rPr>
  </w:style>
  <w:style w:type="character" w:styleId="6">
    <w:name w:val="FollowedHyperlink"/>
    <w:basedOn w:val="4"/>
    <w:semiHidden/>
    <w:unhideWhenUsed/>
    <w:qFormat/>
    <w:uiPriority w:val="99"/>
    <w:rPr>
      <w:color w:val="800080"/>
      <w:u w:val="single"/>
    </w:rPr>
  </w:style>
  <w:style w:type="character" w:styleId="7">
    <w:name w:val="Hyperlink"/>
    <w:basedOn w:val="4"/>
    <w:semiHidden/>
    <w:unhideWhenUsed/>
    <w:qFormat/>
    <w:uiPriority w:val="99"/>
    <w:rPr>
      <w:color w:val="0000FF"/>
      <w:u w:val="single"/>
    </w:rPr>
  </w:style>
  <w:style w:type="character" w:customStyle="1" w:styleId="9">
    <w:name w:val="标题 2 字符"/>
    <w:basedOn w:val="4"/>
    <w:link w:val="2"/>
    <w:qFormat/>
    <w:uiPriority w:val="9"/>
    <w:rPr>
      <w:rFonts w:ascii="宋体" w:hAnsi="宋体" w:eastAsia="宋体" w:cs="宋体"/>
      <w:b/>
      <w:bCs/>
      <w:kern w:val="0"/>
      <w:sz w:val="36"/>
      <w:szCs w:val="36"/>
    </w:rPr>
  </w:style>
  <w:style w:type="paragraph" w:customStyle="1" w:styleId="1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pages_print_font"/>
    <w:basedOn w:val="4"/>
    <w:qFormat/>
    <w:uiPriority w:val="0"/>
  </w:style>
  <w:style w:type="character" w:customStyle="1" w:styleId="12">
    <w:name w:val="am-margin-right-sm"/>
    <w:basedOn w:val="4"/>
    <w:qFormat/>
    <w:uiPriority w:val="0"/>
  </w:style>
  <w:style w:type="character" w:customStyle="1" w:styleId="13">
    <w:name w:val="pointer"/>
    <w:basedOn w:val="4"/>
    <w:qFormat/>
    <w:uiPriority w:val="0"/>
  </w:style>
  <w:style w:type="character" w:customStyle="1" w:styleId="14">
    <w:name w:val="btnprint"/>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1290</Words>
  <Characters>7358</Characters>
  <Lines>61</Lines>
  <Paragraphs>17</Paragraphs>
  <TotalTime>0</TotalTime>
  <ScaleCrop>false</ScaleCrop>
  <LinksUpToDate>false</LinksUpToDate>
  <CharactersWithSpaces>8631</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2021-05-21T14:04:00Z</dcterms:created>
  <dc:creator>Lenovo</dc:creator>
  <cp:lastModifiedBy>Administrator</cp:lastModifiedBy>
  <dcterms:modified xsi:type="dcterms:W3CDTF">2021-05-31T08:54:45Z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27A2A76207F14A39AAE10125D7F51954</vt:lpwstr>
  </property>
</Properties>
</file>