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2018年度昌吉市财政国库支付中心</w:t>
      </w:r>
    </w:p>
    <w:p>
      <w:pPr>
        <w:spacing w:line="540" w:lineRule="exact"/>
        <w:jc w:val="center"/>
        <w:rPr>
          <w:rFonts w:hint="eastAsia" w:ascii="方正小标宋_GBK" w:hAnsi="宋体" w:eastAsia="方正小标宋_GBK" w:cs="Times New Roman"/>
          <w:sz w:val="44"/>
          <w:szCs w:val="44"/>
        </w:rPr>
      </w:pPr>
      <w:r>
        <w:rPr>
          <w:rFonts w:hint="eastAsia" w:ascii="方正小标宋_GBK" w:hAnsi="宋体" w:eastAsia="方正小标宋_GBK" w:cs="Times New Roman"/>
          <w:sz w:val="44"/>
          <w:szCs w:val="44"/>
        </w:rPr>
        <w:t>决算公开</w:t>
      </w:r>
    </w:p>
    <w:p>
      <w:pPr>
        <w:spacing w:line="540" w:lineRule="exact"/>
        <w:jc w:val="center"/>
        <w:rPr>
          <w:rFonts w:hint="eastAsia" w:ascii="方正小标宋_GBK" w:hAnsi="宋体" w:eastAsia="方正小标宋_GBK" w:cs="Times New Roman"/>
          <w:sz w:val="44"/>
          <w:szCs w:val="44"/>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hint="eastAsia" w:ascii="黑体" w:hAnsi="黑体" w:eastAsia="黑体" w:cs="宋体"/>
          <w:bCs/>
          <w:kern w:val="0"/>
          <w:sz w:val="32"/>
          <w:szCs w:val="32"/>
          <w:lang w:eastAsia="zh-CN"/>
        </w:rPr>
      </w:pPr>
      <w:r>
        <w:rPr>
          <w:rFonts w:hint="eastAsia" w:ascii="黑体" w:hAnsi="黑体" w:eastAsia="黑体" w:cs="宋体"/>
          <w:bCs/>
          <w:kern w:val="0"/>
          <w:sz w:val="32"/>
          <w:szCs w:val="32"/>
          <w:lang w:eastAsia="zh-CN"/>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昌吉市财政国库支付中心隶属于昌吉市财政局，根据职责任务和工作实际，昌吉市财政国库支付中心内设审核科、支付科、综合科3个科室，具体办理财政资金的审核、支付等业务。</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从决算单位构成看，昌吉市财政国库支付中心部门决算包括：昌吉市财政国库支付中心部门本级决算。</w:t>
      </w:r>
    </w:p>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纳入昌吉市财政国库支付中心2018年部门决算编制范围的单位名单见下表：</w:t>
      </w:r>
    </w:p>
    <w:tbl>
      <w:tblPr>
        <w:tblStyle w:val="6"/>
        <w:tblW w:w="8316"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412"/>
        <w:gridCol w:w="4039"/>
        <w:gridCol w:w="286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4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286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4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昌吉市财政国库支付中心（本级）</w:t>
            </w:r>
          </w:p>
        </w:tc>
        <w:tc>
          <w:tcPr>
            <w:tcW w:w="286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4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6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12"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w:t>
            </w:r>
          </w:p>
        </w:tc>
        <w:tc>
          <w:tcPr>
            <w:tcW w:w="4039"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286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一、部门收支总体情况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229.94万元,与上年相比，减少129.38万元，降低36.01%，增减变化主要原因是：压缩开支，经费减少；支出259.44万元,与上年相比，减少15.06万元，降低5.49%，增减变化主要原因是：节约开支；结余70万元，与上年相比，减少83.38万元，降低54.36%。增减变化主要原因是：加快了资金支出进度。</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本年收入合计229.94万元，其中：财政拨款收入229.94万元，占100%；上级补助收入0万元，占0%；事业收入0万元，占0%；经营收入0万元，占0%；附属单位缴款0万元，占0%；其他收入0万元，占0%。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与年初预算数相比情况：本年收入年初预算数214万元，决算数229.94万元，预决算差异率7.45%，差异主要原因为人员增资。</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本年支出合计259.44万元，其中：基本支出253.87万元，占97.86%；项目支出5.56万元，占2.14%；上缴上级支出0万元，占0%；经营支出0万元，占0%；对附属单位补助支出0万元，占0%。</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与年初预算数相比情况：本年支出年初预算数214万元，决算数259.44万元，预决算差异率21.23%，差异主要原因为人员增资。</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二、部门财政拨款收支情况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229.94万元，与上年相比，减少129.38万元，降低36.01%。增减变化的主要原因是：压缩开支，经费减少。财政拨款支出259.44万元,与上年相比，减少15.06万元，降低5.49%，增减变化主要原因是：节约开支。其中：基本支出253.87万元，项目支出5.56万元。财政拨款结转结余70万元，与上年相比，减少83.38万元，降低54.36%。增减变化主要原因是：加快了资金支出进度。</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214万元，决算数229.94万元，预决算差异率7.45%，差异主要原因为人员增资。财政拨款支出年初预算数214万元，决算数259.44万元，预决算差异率21.23%，差异主要原因为人员增资。</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229.94万元。与上年相比，减少129.38万元，降低36.01%，增减变化主要原因是：压缩开支，经费减少。一般公共预算财政拨款支出259.44万元,与上年相比，减少15.06万元，降低5.49%，增减变化主要原因是：节约开支。其中：按功能分类科目，201类一般公共服务支出支出237.2万元，208类社会保障和就业支出支出22.24万元。按经济分类科目，工资福利支出226.81万元，商品和服务支出13.66万元，对个人和家庭的补助支出18.7万元,资本性支出0.27万元。</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214万元，决算数229.94万元，预决算差异率7.45%，差异主要原因为人员增资。一般公共预算财政拨款支出年初预算数214万元，决算数259.44万元，预决算差异率21.23%，差异主要原因为人员增资。</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三、部门结转结余情况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年末结转结余70万元。与上年相比，减少83.38万元，降低54.36%。</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其中财政拨款结转结余70万元。与上年相比，减少83.38万元，降低54.36%。</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四、一般公共预算“三公”经费支出情况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2.6万元，比上年增加0万元，增长0%，增加原因是本年无增减。其中，因公出国（境）费支出0万元，占0%，比上年增加0万元，增长0%，增加原因是预算未安排；公务用车购置及运行维护费支出2.6万元，占100%，比上年增加0万元，增长0%，增加原因是本年无增减；公务接待费支出0万元，占0%，比上年增加0万元，增长0%，增加原因是预算未安排。具体情况如下：</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因公出国（境）费支出0万元。昌吉市财政国库支付中心全年使用一般公共预算财政拨款安排的出国（境）团组0个，累计0人次。开支内容包括：无开支。</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公务用车购置及运行维护费2.6万元,其中，公务用车购置0万元，公务用车运行维护费2.6万元。主要用于车辆加油、加气、维修、保养、审验等。单位一般公共财政拨款安排的公务用车购置量0辆，保有量为2辆。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公务接待费0万元。具体是：国内公务接待支出0万元，主要是无公务接待。昌吉市财政国库支付中心国内公务接待0批次，0人次。</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2.6万元，决算数2.6万元，预决算差异率0%，差异主要原因本年无增减。其中：因公出国（境）费预算数0万元，决算数0万元，预决算差异率0%，差异主要原因本年无增减；公务用车购置预算数0万元，决算数0万元，预决算差异率0%，差异主要原因本年无增减；公务用车运行费预算数2.6万元，决算数2.6万元，预决算差异率0%，差异主要原因本年无增减；公务接待费预算数0万元，决算数0万元，预决算差异率0%，差异主要原因本年无增减。</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五、机关运行经费支出情况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2018年度昌吉市财政国库支付中心机关运行经费支出8.36万元，比上年减少0.32万元，降低3.63%，主要原因是节约开支。</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六、政府采购情况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2018年度政府采购支出总额2.6万元，其中：政府采购货物支出0万元、政府采购工程支出0万元、政府采购服务支出2.6万元。</w:t>
      </w:r>
    </w:p>
    <w:p>
      <w:pPr>
        <w:spacing w:line="540" w:lineRule="exact"/>
        <w:ind w:firstLine="640" w:firstLineChars="200"/>
        <w:rPr>
          <w:rFonts w:hint="eastAsia" w:ascii="黑体" w:hAnsi="黑体" w:eastAsia="黑体" w:cs="Times New Roman"/>
          <w:sz w:val="32"/>
          <w:szCs w:val="32"/>
        </w:rPr>
      </w:pPr>
      <w:r>
        <w:rPr>
          <w:rFonts w:hint="eastAsia" w:ascii="黑体" w:hAnsi="黑体" w:eastAsia="黑体" w:cs="Times New Roman"/>
          <w:sz w:val="32"/>
          <w:szCs w:val="32"/>
        </w:rPr>
        <w:t>七、其他重要事项的情况</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2辆，价值33.33万元，其中：部级领导干部用车0辆、主要领导干部用车0辆、机要通信用车0辆、应急保障用车0辆、执法执勤用车0辆、特种专业技术用车0辆、离退休干部用车0辆、其他用车2辆，其他用车主要是：为单位办理国库集中支付业务服务；单位价值50万元以上通用设备0台（套）、单位价值100万元以上专用设备0台（套），其他固定资产价值22.86万元。</w:t>
      </w:r>
    </w:p>
    <w:p>
      <w:pPr>
        <w:widowControl w:val="0"/>
        <w:spacing w:line="540" w:lineRule="exact"/>
        <w:ind w:firstLine="643" w:firstLineChars="200"/>
        <w:jc w:val="both"/>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我单位全年共有1个项目，为银行代理手续费及业务费项目，经费75.57万元。资金的管理与使用，严格按年初预算的目标进行。对项目资金的使用，单位出台了对各商业银行考核办法，及代理手续费支付标准。对各代理银行进行日常考核和年底考核相结合办法，及时发现问题及时要求银行进行整改，通过对代理银行进行考核，加强对支付业务的监督管理，对符合考核目标标准的银行按时支付代理手续费，圆满完成年初对预算资金的绩效目标。对办理支付业务必须配备的软硬件设施按要求配备完善，并严格管理。</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银行代理手续费及业务费项目绩效自评综述：根据年初设定的绩效目标，银行代理手续费及业务费项目绩效自评得分99分，项目全年预算数为75.57万元，执行数为5.56万元，完成预算的7.36%。主要产出和效果：一是保证国库集中支付业务的正常开展；二是按各代理银行的支付业务量及时拨付代理手续费；发现的问题及原因：无问题。下一步改进措施：无。</w:t>
      </w:r>
    </w:p>
    <w:tbl>
      <w:tblPr>
        <w:tblStyle w:val="6"/>
        <w:tblW w:w="8522" w:type="dxa"/>
        <w:jc w:val="center"/>
        <w:tblInd w:w="0" w:type="dxa"/>
        <w:tblLayout w:type="fixed"/>
        <w:tblCellMar>
          <w:top w:w="0" w:type="dxa"/>
          <w:left w:w="108" w:type="dxa"/>
          <w:bottom w:w="0" w:type="dxa"/>
          <w:right w:w="108" w:type="dxa"/>
        </w:tblCellMar>
      </w:tblPr>
      <w:tblGrid>
        <w:gridCol w:w="680"/>
        <w:gridCol w:w="1077"/>
        <w:gridCol w:w="1117"/>
        <w:gridCol w:w="168"/>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8"/>
            <w:tcBorders>
              <w:top w:val="nil"/>
              <w:left w:val="nil"/>
              <w:bottom w:val="nil"/>
              <w:right w:val="nil"/>
            </w:tcBorders>
            <w:vAlign w:val="center"/>
          </w:tcPr>
          <w:p>
            <w:pPr>
              <w:widowControl/>
              <w:jc w:val="center"/>
              <w:rPr>
                <w:rFonts w:hint="eastAsia" w:ascii="宋体" w:hAnsi="宋体" w:cs="宋体"/>
                <w:b/>
                <w:bCs/>
                <w:kern w:val="0"/>
                <w:sz w:val="32"/>
                <w:szCs w:val="32"/>
              </w:rPr>
            </w:pPr>
          </w:p>
          <w:p>
            <w:pPr>
              <w:widowControl/>
              <w:jc w:val="center"/>
              <w:rPr>
                <w:rFonts w:ascii="宋体"/>
                <w:b/>
                <w:bCs/>
                <w:kern w:val="0"/>
                <w:sz w:val="32"/>
                <w:szCs w:val="32"/>
              </w:rPr>
            </w:pPr>
            <w:r>
              <w:rPr>
                <w:rFonts w:hint="eastAsia" w:ascii="宋体" w:hAnsi="宋体" w:cs="宋体"/>
                <w:b/>
                <w:bCs/>
                <w:kern w:val="0"/>
                <w:sz w:val="32"/>
                <w:szCs w:val="32"/>
              </w:rPr>
              <w:t>昌吉市财政国库支付中心项目支出绩效自评表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8"/>
            <w:tcBorders>
              <w:top w:val="nil"/>
              <w:left w:val="nil"/>
              <w:bottom w:val="nil"/>
              <w:right w:val="nil"/>
            </w:tcBorders>
            <w:vAlign w:val="center"/>
          </w:tcPr>
          <w:p>
            <w:pPr>
              <w:widowControl/>
              <w:jc w:val="center"/>
              <w:rPr>
                <w:rFonts w:ascii="宋体"/>
                <w:kern w:val="0"/>
                <w:sz w:val="24"/>
                <w:szCs w:val="24"/>
              </w:rPr>
            </w:pPr>
            <w:r>
              <w:rPr>
                <w:rFonts w:hint="eastAsia" w:ascii="宋体" w:hAnsi="宋体" w:cs="宋体"/>
                <w:kern w:val="0"/>
                <w:sz w:val="24"/>
                <w:szCs w:val="24"/>
              </w:rPr>
              <w:t>（</w:t>
            </w:r>
            <w:r>
              <w:rPr>
                <w:kern w:val="0"/>
                <w:sz w:val="24"/>
                <w:szCs w:val="24"/>
              </w:rPr>
              <w:t>2018</w:t>
            </w:r>
            <w:r>
              <w:rPr>
                <w:rFonts w:hint="eastAsia" w:ascii="宋体" w:hAnsi="宋体" w:cs="宋体"/>
                <w:kern w:val="0"/>
                <w:sz w:val="24"/>
                <w:szCs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ascii="宋体"/>
                <w:kern w:val="0"/>
                <w:sz w:val="24"/>
                <w:szCs w:val="24"/>
              </w:rPr>
            </w:pPr>
          </w:p>
        </w:tc>
        <w:tc>
          <w:tcPr>
            <w:tcW w:w="1077" w:type="dxa"/>
            <w:tcBorders>
              <w:top w:val="nil"/>
              <w:left w:val="nil"/>
              <w:bottom w:val="nil"/>
              <w:right w:val="nil"/>
            </w:tcBorders>
            <w:vAlign w:val="center"/>
          </w:tcPr>
          <w:p>
            <w:pPr>
              <w:widowControl/>
              <w:jc w:val="center"/>
              <w:rPr>
                <w:rFonts w:ascii="宋体"/>
                <w:kern w:val="0"/>
                <w:sz w:val="24"/>
                <w:szCs w:val="24"/>
              </w:rPr>
            </w:pPr>
          </w:p>
        </w:tc>
        <w:tc>
          <w:tcPr>
            <w:tcW w:w="1285" w:type="dxa"/>
            <w:gridSpan w:val="2"/>
            <w:tcBorders>
              <w:top w:val="nil"/>
              <w:left w:val="nil"/>
              <w:bottom w:val="nil"/>
              <w:right w:val="nil"/>
            </w:tcBorders>
            <w:vAlign w:val="center"/>
          </w:tcPr>
          <w:p>
            <w:pPr>
              <w:widowControl/>
              <w:jc w:val="center"/>
              <w:rPr>
                <w:rFonts w:ascii="宋体"/>
                <w:kern w:val="0"/>
                <w:sz w:val="24"/>
                <w:szCs w:val="24"/>
              </w:rPr>
            </w:pPr>
          </w:p>
        </w:tc>
        <w:tc>
          <w:tcPr>
            <w:tcW w:w="1021" w:type="dxa"/>
            <w:tcBorders>
              <w:top w:val="nil"/>
              <w:left w:val="nil"/>
              <w:bottom w:val="nil"/>
              <w:right w:val="nil"/>
            </w:tcBorders>
            <w:vAlign w:val="center"/>
          </w:tcPr>
          <w:p>
            <w:pPr>
              <w:widowControl/>
              <w:jc w:val="center"/>
              <w:rPr>
                <w:rFonts w:ascii="宋体"/>
                <w:kern w:val="0"/>
                <w:sz w:val="24"/>
                <w:szCs w:val="24"/>
              </w:rPr>
            </w:pPr>
          </w:p>
        </w:tc>
        <w:tc>
          <w:tcPr>
            <w:tcW w:w="831" w:type="dxa"/>
            <w:tcBorders>
              <w:top w:val="nil"/>
              <w:left w:val="nil"/>
              <w:bottom w:val="nil"/>
              <w:right w:val="nil"/>
            </w:tcBorders>
            <w:vAlign w:val="center"/>
          </w:tcPr>
          <w:p>
            <w:pPr>
              <w:widowControl/>
              <w:jc w:val="center"/>
              <w:rPr>
                <w:rFonts w:ascii="宋体"/>
                <w:kern w:val="0"/>
                <w:sz w:val="24"/>
                <w:szCs w:val="24"/>
              </w:rPr>
            </w:pPr>
          </w:p>
        </w:tc>
        <w:tc>
          <w:tcPr>
            <w:tcW w:w="1946" w:type="dxa"/>
            <w:tcBorders>
              <w:top w:val="nil"/>
              <w:left w:val="nil"/>
              <w:bottom w:val="nil"/>
              <w:right w:val="nil"/>
            </w:tcBorders>
            <w:vAlign w:val="center"/>
          </w:tcPr>
          <w:p>
            <w:pPr>
              <w:widowControl/>
              <w:jc w:val="center"/>
              <w:rPr>
                <w:rFonts w:ascii="宋体"/>
                <w:kern w:val="0"/>
                <w:sz w:val="24"/>
                <w:szCs w:val="24"/>
              </w:rPr>
            </w:pPr>
          </w:p>
        </w:tc>
        <w:tc>
          <w:tcPr>
            <w:tcW w:w="1682" w:type="dxa"/>
            <w:tcBorders>
              <w:top w:val="nil"/>
              <w:left w:val="nil"/>
              <w:bottom w:val="nil"/>
              <w:right w:val="nil"/>
            </w:tcBorders>
            <w:vAlign w:val="center"/>
          </w:tcPr>
          <w:p>
            <w:pPr>
              <w:widowControl/>
              <w:jc w:val="center"/>
              <w:rPr>
                <w:rFonts w:ascii="宋体"/>
                <w:kern w:val="0"/>
                <w:sz w:val="24"/>
                <w:szCs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银行代理手续费及业务费　</w:t>
            </w:r>
          </w:p>
        </w:tc>
      </w:tr>
      <w:tr>
        <w:tblPrEx>
          <w:tblLayout w:type="fixed"/>
          <w:tblCellMar>
            <w:top w:w="0" w:type="dxa"/>
            <w:left w:w="108" w:type="dxa"/>
            <w:bottom w:w="0" w:type="dxa"/>
            <w:right w:w="108" w:type="dxa"/>
          </w:tblCellMar>
        </w:tblPrEx>
        <w:trPr>
          <w:trHeight w:val="435" w:hRule="atLeast"/>
          <w:jc w:val="center"/>
        </w:trPr>
        <w:tc>
          <w:tcPr>
            <w:tcW w:w="304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r>
              <w:rPr>
                <w:rFonts w:hint="eastAsia" w:ascii="宋体" w:hAnsi="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昌吉市财政国库支付中心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预算</w:t>
            </w:r>
            <w:r>
              <w:rPr>
                <w:rFonts w:ascii="宋体"/>
                <w:kern w:val="0"/>
                <w:sz w:val="20"/>
                <w:szCs w:val="20"/>
              </w:rPr>
              <w:br w:type="textWrapping"/>
            </w:r>
            <w:r>
              <w:rPr>
                <w:rFonts w:hint="eastAsia" w:ascii="宋体" w:hAnsi="宋体" w:cs="宋体"/>
                <w:kern w:val="0"/>
                <w:sz w:val="20"/>
                <w:szCs w:val="20"/>
              </w:rPr>
              <w:t>执行</w:t>
            </w:r>
            <w:r>
              <w:rPr>
                <w:rFonts w:ascii="宋体"/>
                <w:kern w:val="0"/>
                <w:sz w:val="20"/>
                <w:szCs w:val="20"/>
              </w:rPr>
              <w:br w:type="textWrapping"/>
            </w:r>
            <w:r>
              <w:rPr>
                <w:rFonts w:hint="eastAsia" w:ascii="宋体" w:hAnsi="宋体" w:cs="宋体"/>
                <w:kern w:val="0"/>
                <w:sz w:val="20"/>
                <w:szCs w:val="20"/>
              </w:rPr>
              <w:t>情况</w:t>
            </w:r>
            <w:r>
              <w:rPr>
                <w:rFonts w:ascii="宋体"/>
                <w:kern w:val="0"/>
                <w:sz w:val="20"/>
                <w:szCs w:val="20"/>
              </w:rPr>
              <w:br w:type="textWrapping"/>
            </w:r>
            <w:r>
              <w:rPr>
                <w:rFonts w:hint="eastAsia" w:ascii="宋体" w:hAnsi="宋体" w:cs="宋体"/>
                <w:kern w:val="0"/>
                <w:sz w:val="20"/>
                <w:szCs w:val="20"/>
              </w:rPr>
              <w:t>（万元）</w:t>
            </w:r>
          </w:p>
        </w:tc>
        <w:tc>
          <w:tcPr>
            <w:tcW w:w="2362"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7</w:t>
            </w:r>
            <w:r>
              <w:rPr>
                <w:rFonts w:ascii="宋体" w:hAnsi="宋体" w:cs="宋体"/>
                <w:kern w:val="0"/>
                <w:sz w:val="20"/>
                <w:szCs w:val="20"/>
              </w:rPr>
              <w:t>5.5</w:t>
            </w:r>
            <w:r>
              <w:rPr>
                <w:rFonts w:ascii="宋体" w:hAnsi="宋体" w:cs="宋体"/>
                <w:kern w:val="0"/>
                <w:sz w:val="20"/>
                <w:szCs w:val="20"/>
                <w:lang w:val="en-US"/>
              </w:rPr>
              <w:t>7</w:t>
            </w:r>
            <w:r>
              <w:rPr>
                <w:rFonts w:hint="eastAsia" w:ascii="宋体" w:hAnsi="宋体" w:cs="宋体"/>
                <w:kern w:val="0"/>
                <w:sz w:val="20"/>
                <w:szCs w:val="20"/>
              </w:rPr>
              <w:t>万元</w:t>
            </w:r>
          </w:p>
        </w:tc>
        <w:tc>
          <w:tcPr>
            <w:tcW w:w="1946" w:type="dxa"/>
            <w:tcBorders>
              <w:top w:val="nil"/>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执行数：</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5.5</w:t>
            </w:r>
            <w:r>
              <w:rPr>
                <w:rFonts w:hint="eastAsia" w:ascii="宋体" w:hAnsi="宋体" w:cs="宋体"/>
                <w:kern w:val="0"/>
                <w:sz w:val="20"/>
                <w:szCs w:val="20"/>
                <w:lang w:val="en-US" w:eastAsia="zh-CN"/>
              </w:rPr>
              <w:t>6</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362" w:type="dxa"/>
            <w:gridSpan w:val="3"/>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r>
              <w:rPr>
                <w:rFonts w:hint="eastAsia" w:ascii="宋体" w:hAnsi="宋体" w:cs="宋体"/>
                <w:kern w:val="0"/>
                <w:sz w:val="20"/>
                <w:szCs w:val="20"/>
              </w:rPr>
              <w:t>7</w:t>
            </w:r>
            <w:r>
              <w:rPr>
                <w:rFonts w:ascii="宋体" w:hAnsi="宋体" w:cs="宋体"/>
                <w:kern w:val="0"/>
                <w:sz w:val="20"/>
                <w:szCs w:val="20"/>
              </w:rPr>
              <w:t>5.5</w:t>
            </w:r>
            <w:r>
              <w:rPr>
                <w:rFonts w:ascii="宋体" w:hAnsi="宋体" w:cs="宋体"/>
                <w:kern w:val="0"/>
                <w:sz w:val="20"/>
                <w:szCs w:val="20"/>
                <w:lang w:val="en-US"/>
              </w:rPr>
              <w:t>7</w:t>
            </w:r>
            <w:r>
              <w:rPr>
                <w:rFonts w:hint="eastAsia" w:ascii="宋体" w:hAnsi="宋体" w:cs="宋体"/>
                <w:kern w:val="0"/>
                <w:sz w:val="20"/>
                <w:szCs w:val="20"/>
              </w:rPr>
              <w:t>万元</w:t>
            </w:r>
          </w:p>
        </w:tc>
        <w:tc>
          <w:tcPr>
            <w:tcW w:w="1946" w:type="dxa"/>
            <w:tcBorders>
              <w:top w:val="nil"/>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ascii="宋体" w:hAnsi="宋体" w:cs="宋体"/>
                <w:kern w:val="0"/>
                <w:sz w:val="20"/>
                <w:szCs w:val="20"/>
              </w:rPr>
              <w:t>5.5</w:t>
            </w:r>
            <w:r>
              <w:rPr>
                <w:rFonts w:hint="eastAsia" w:ascii="宋体" w:hAnsi="宋体" w:cs="宋体"/>
                <w:kern w:val="0"/>
                <w:sz w:val="20"/>
                <w:szCs w:val="20"/>
                <w:lang w:val="en-US" w:eastAsia="zh-CN"/>
              </w:rPr>
              <w:t>6</w:t>
            </w:r>
            <w:r>
              <w:rPr>
                <w:rFonts w:hint="eastAsia" w:ascii="宋体" w:hAnsi="宋体" w:cs="宋体"/>
                <w:kern w:val="0"/>
                <w:sz w:val="20"/>
                <w:szCs w:val="20"/>
              </w:rPr>
              <w:t>万元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362" w:type="dxa"/>
            <w:gridSpan w:val="3"/>
            <w:tcBorders>
              <w:top w:val="single" w:color="auto" w:sz="4" w:space="0"/>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ascii="宋体"/>
                <w:kern w:val="0"/>
                <w:sz w:val="20"/>
                <w:szCs w:val="20"/>
              </w:rPr>
            </w:pPr>
          </w:p>
        </w:tc>
        <w:tc>
          <w:tcPr>
            <w:tcW w:w="1946" w:type="dxa"/>
            <w:tcBorders>
              <w:top w:val="single" w:color="auto" w:sz="4" w:space="0"/>
              <w:left w:val="nil"/>
              <w:bottom w:val="nil"/>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ascii="宋体"/>
                <w:kern w:val="0"/>
                <w:sz w:val="20"/>
                <w:szCs w:val="20"/>
              </w:rPr>
            </w:pPr>
            <w:r>
              <w:rPr>
                <w:rFonts w:hint="eastAsia" w:ascii="宋体" w:hAnsi="宋体" w:cs="宋体"/>
                <w:kern w:val="0"/>
                <w:sz w:val="20"/>
                <w:szCs w:val="20"/>
              </w:rPr>
              <w:t>　</w:t>
            </w: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目标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4214" w:type="dxa"/>
            <w:gridSpan w:val="5"/>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实际完成目标</w:t>
            </w:r>
          </w:p>
        </w:tc>
      </w:tr>
      <w:tr>
        <w:tblPrEx>
          <w:tblLayout w:type="fixed"/>
          <w:tblCellMar>
            <w:top w:w="0" w:type="dxa"/>
            <w:left w:w="108" w:type="dxa"/>
            <w:bottom w:w="0" w:type="dxa"/>
            <w:right w:w="108" w:type="dxa"/>
          </w:tblCellMar>
        </w:tblPrEx>
        <w:trPr>
          <w:trHeight w:val="90"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4214" w:type="dxa"/>
            <w:gridSpan w:val="5"/>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　通过与商业银行的配合，完成对全市实行国库集中支付业务的单位的业务办理。</w:t>
            </w:r>
          </w:p>
        </w:tc>
        <w:tc>
          <w:tcPr>
            <w:tcW w:w="3628" w:type="dxa"/>
            <w:gridSpan w:val="2"/>
            <w:tcBorders>
              <w:top w:val="single" w:color="auto" w:sz="4" w:space="0"/>
              <w:left w:val="nil"/>
              <w:bottom w:val="single" w:color="auto" w:sz="4" w:space="0"/>
              <w:right w:val="single" w:color="000000" w:sz="4" w:space="0"/>
            </w:tcBorders>
          </w:tcPr>
          <w:p>
            <w:pPr>
              <w:widowControl/>
              <w:jc w:val="left"/>
              <w:rPr>
                <w:rFonts w:ascii="宋体"/>
                <w:kern w:val="0"/>
                <w:sz w:val="20"/>
                <w:szCs w:val="20"/>
              </w:rPr>
            </w:pPr>
            <w:r>
              <w:rPr>
                <w:rFonts w:hint="eastAsia" w:ascii="宋体" w:hAnsi="宋体" w:cs="宋体"/>
                <w:kern w:val="0"/>
                <w:sz w:val="20"/>
                <w:szCs w:val="20"/>
              </w:rPr>
              <w:t>通过与商业银行的紧密配合，圆满完成了对全市实行国库集中支付业务的单位的业务办理。</w:t>
            </w: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年度</w:t>
            </w:r>
            <w:r>
              <w:rPr>
                <w:rFonts w:ascii="宋体"/>
                <w:kern w:val="0"/>
                <w:sz w:val="20"/>
                <w:szCs w:val="20"/>
              </w:rPr>
              <w:br w:type="textWrapping"/>
            </w:r>
            <w:r>
              <w:rPr>
                <w:rFonts w:hint="eastAsia" w:ascii="宋体" w:hAnsi="宋体" w:cs="宋体"/>
                <w:kern w:val="0"/>
                <w:sz w:val="20"/>
                <w:szCs w:val="20"/>
              </w:rPr>
              <w:t>绩效</w:t>
            </w:r>
            <w:r>
              <w:rPr>
                <w:rFonts w:ascii="宋体"/>
                <w:kern w:val="0"/>
                <w:sz w:val="20"/>
                <w:szCs w:val="20"/>
              </w:rPr>
              <w:br w:type="textWrapping"/>
            </w:r>
            <w:r>
              <w:rPr>
                <w:rFonts w:hint="eastAsia" w:ascii="宋体" w:hAnsi="宋体" w:cs="宋体"/>
                <w:kern w:val="0"/>
                <w:sz w:val="20"/>
                <w:szCs w:val="20"/>
              </w:rPr>
              <w:t>指标</w:t>
            </w:r>
            <w:r>
              <w:rPr>
                <w:rFonts w:ascii="宋体"/>
                <w:kern w:val="0"/>
                <w:sz w:val="20"/>
                <w:szCs w:val="20"/>
              </w:rPr>
              <w:br w:type="textWrapping"/>
            </w:r>
            <w:r>
              <w:rPr>
                <w:rFonts w:hint="eastAsia" w:ascii="宋体" w:hAnsi="宋体" w:cs="宋体"/>
                <w:kern w:val="0"/>
                <w:sz w:val="20"/>
                <w:szCs w:val="20"/>
              </w:rPr>
              <w:t>完成</w:t>
            </w:r>
            <w:r>
              <w:rPr>
                <w:rFonts w:ascii="宋体"/>
                <w:kern w:val="0"/>
                <w:sz w:val="20"/>
                <w:szCs w:val="20"/>
              </w:rPr>
              <w:br w:type="textWrapping"/>
            </w:r>
            <w:r>
              <w:rPr>
                <w:rFonts w:hint="eastAsia" w:ascii="宋体" w:hAnsi="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一级指标</w:t>
            </w:r>
          </w:p>
        </w:tc>
        <w:tc>
          <w:tcPr>
            <w:tcW w:w="1117"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二级指标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项目完成指标</w:t>
            </w:r>
          </w:p>
        </w:tc>
        <w:tc>
          <w:tcPr>
            <w:tcW w:w="1117"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数量指标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宋体" w:eastAsia="宋体"/>
                <w:kern w:val="0"/>
                <w:sz w:val="20"/>
                <w:szCs w:val="20"/>
                <w:lang w:val="en-US" w:eastAsia="zh-CN"/>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：完成国库集中支付授权及直接支付业务</w:t>
            </w:r>
            <w:r>
              <w:rPr>
                <w:rFonts w:hint="eastAsia" w:ascii="宋体" w:hAnsi="宋体" w:cs="宋体"/>
                <w:kern w:val="0"/>
                <w:sz w:val="20"/>
                <w:szCs w:val="20"/>
                <w:lang w:val="en-US" w:eastAsia="zh-CN"/>
              </w:rPr>
              <w:t>数量</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完成全部应受理的国库集中支付业务</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完成全部应受理的集中支付业务。授权</w:t>
            </w:r>
            <w:r>
              <w:rPr>
                <w:rFonts w:ascii="宋体" w:hAnsi="宋体" w:cs="宋体"/>
                <w:kern w:val="0"/>
                <w:sz w:val="20"/>
                <w:szCs w:val="20"/>
              </w:rPr>
              <w:t>54669</w:t>
            </w:r>
            <w:r>
              <w:rPr>
                <w:rFonts w:hint="eastAsia" w:ascii="宋体" w:hAnsi="宋体" w:cs="宋体"/>
                <w:kern w:val="0"/>
                <w:sz w:val="20"/>
                <w:szCs w:val="20"/>
              </w:rPr>
              <w:t>笔，直接</w:t>
            </w:r>
            <w:r>
              <w:rPr>
                <w:rFonts w:ascii="宋体" w:hAnsi="宋体" w:cs="宋体"/>
                <w:kern w:val="0"/>
                <w:sz w:val="20"/>
                <w:szCs w:val="20"/>
              </w:rPr>
              <w:t>21018</w:t>
            </w:r>
            <w:r>
              <w:rPr>
                <w:rFonts w:hint="eastAsia" w:ascii="宋体" w:hAnsi="宋体" w:cs="宋体"/>
                <w:kern w:val="0"/>
                <w:sz w:val="20"/>
                <w:szCs w:val="20"/>
              </w:rPr>
              <w:t>笔</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：对5家银行进行考核，对考核合格的银行支付手续费</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对完成代理支付业务的5家银行进行考核</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年底实际已完成对5家银行的考核</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bookmarkStart w:id="0" w:name="_GoBack" w:colFirst="2" w:colLast="6"/>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质量指标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：考核银行合格率</w:t>
            </w:r>
          </w:p>
        </w:tc>
        <w:tc>
          <w:tcPr>
            <w:tcW w:w="1946" w:type="dxa"/>
            <w:tcBorders>
              <w:top w:val="single" w:color="auto" w:sz="4" w:space="0"/>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考核银行合格率</w:t>
            </w:r>
            <w:r>
              <w:rPr>
                <w:rFonts w:ascii="宋体" w:hAnsi="宋体" w:cs="宋体"/>
                <w:kern w:val="0"/>
                <w:sz w:val="20"/>
                <w:szCs w:val="20"/>
              </w:rPr>
              <w:t>100%</w:t>
            </w:r>
          </w:p>
        </w:tc>
        <w:tc>
          <w:tcPr>
            <w:tcW w:w="1682" w:type="dxa"/>
            <w:tcBorders>
              <w:top w:val="single" w:color="auto" w:sz="4" w:space="0"/>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考核完成合格率</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2</w:t>
            </w:r>
            <w:r>
              <w:rPr>
                <w:rFonts w:hint="eastAsia" w:ascii="宋体" w:hAnsi="宋体" w:cs="宋体"/>
                <w:kern w:val="0"/>
                <w:sz w:val="20"/>
                <w:szCs w:val="20"/>
              </w:rPr>
              <w:t>：业务办理准确率</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支付业务准确率</w:t>
            </w:r>
            <w:r>
              <w:rPr>
                <w:rFonts w:ascii="宋体" w:hAnsi="宋体" w:cs="宋体"/>
                <w:kern w:val="0"/>
                <w:sz w:val="20"/>
                <w:szCs w:val="20"/>
              </w:rPr>
              <w:t>100%</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支付准确率实现</w:t>
            </w:r>
            <w:r>
              <w:rPr>
                <w:rFonts w:ascii="宋体" w:hAnsi="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时效指标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：业务处理及时率</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支付业务处理及时性</w:t>
            </w:r>
            <w:r>
              <w:rPr>
                <w:rFonts w:ascii="宋体" w:hAnsi="宋体" w:cs="宋体"/>
                <w:kern w:val="0"/>
                <w:sz w:val="20"/>
                <w:szCs w:val="20"/>
              </w:rPr>
              <w:t>9</w:t>
            </w:r>
            <w:r>
              <w:rPr>
                <w:rFonts w:hint="eastAsia" w:ascii="宋体" w:hAnsi="宋体" w:cs="宋体"/>
                <w:kern w:val="0"/>
                <w:sz w:val="20"/>
                <w:szCs w:val="20"/>
              </w:rPr>
              <w:t>8</w:t>
            </w:r>
            <w:r>
              <w:rPr>
                <w:rFonts w:ascii="宋体" w:hAnsi="宋体" w:cs="宋体"/>
                <w:kern w:val="0"/>
                <w:sz w:val="20"/>
                <w:szCs w:val="20"/>
              </w:rPr>
              <w:t>%</w:t>
            </w:r>
            <w:r>
              <w:rPr>
                <w:rFonts w:hint="eastAsia" w:ascii="宋体" w:hAnsi="宋体" w:cs="宋体"/>
                <w:kern w:val="0"/>
                <w:sz w:val="20"/>
                <w:szCs w:val="20"/>
              </w:rPr>
              <w:t>以上</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业务处理及时性100</w:t>
            </w:r>
            <w:r>
              <w:rPr>
                <w:rFonts w:ascii="宋体" w:hAnsi="宋体" w:cs="宋体"/>
                <w:kern w:val="0"/>
                <w:sz w:val="20"/>
                <w:szCs w:val="20"/>
              </w:rPr>
              <w:t>%</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成本指标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：按国家规定的支付标准计算手续费金额。</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授权支付每笔</w:t>
            </w:r>
            <w:r>
              <w:rPr>
                <w:rFonts w:ascii="宋体" w:hAnsi="宋体" w:cs="宋体"/>
                <w:kern w:val="0"/>
                <w:sz w:val="20"/>
                <w:szCs w:val="20"/>
              </w:rPr>
              <w:t>1</w:t>
            </w:r>
            <w:r>
              <w:rPr>
                <w:rFonts w:hint="eastAsia" w:ascii="宋体" w:hAnsi="宋体" w:cs="宋体"/>
                <w:kern w:val="0"/>
                <w:sz w:val="20"/>
                <w:szCs w:val="20"/>
              </w:rPr>
              <w:t>元资金量千分之</w:t>
            </w:r>
            <w:r>
              <w:rPr>
                <w:rFonts w:ascii="宋体" w:hAnsi="宋体" w:cs="宋体"/>
                <w:kern w:val="0"/>
                <w:sz w:val="20"/>
                <w:szCs w:val="20"/>
              </w:rPr>
              <w:t>0.2</w:t>
            </w:r>
            <w:r>
              <w:rPr>
                <w:rFonts w:hint="eastAsia" w:ascii="宋体" w:hAnsi="宋体" w:cs="宋体"/>
                <w:kern w:val="0"/>
                <w:sz w:val="20"/>
                <w:szCs w:val="20"/>
              </w:rPr>
              <w:t>元直接支付按资金量分段计算</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支付2017年度2万元，2018年度尚未支付，</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项目效果指标</w:t>
            </w:r>
          </w:p>
        </w:tc>
        <w:tc>
          <w:tcPr>
            <w:tcW w:w="111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经济效益</w:t>
            </w:r>
            <w:r>
              <w:rPr>
                <w:rFonts w:ascii="宋体"/>
                <w:kern w:val="0"/>
                <w:sz w:val="20"/>
                <w:szCs w:val="20"/>
              </w:rPr>
              <w:br w:type="textWrapping"/>
            </w:r>
            <w:r>
              <w:rPr>
                <w:rFonts w:hint="eastAsia" w:ascii="宋体" w:hAnsi="宋体" w:cs="宋体"/>
                <w:kern w:val="0"/>
                <w:sz w:val="20"/>
                <w:szCs w:val="20"/>
              </w:rPr>
              <w:t>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：及时受理业务，为昌吉市经济建设提供有力保障</w:t>
            </w:r>
            <w:r>
              <w:rPr>
                <w:rFonts w:ascii="宋体"/>
                <w:kern w:val="0"/>
                <w:sz w:val="20"/>
                <w:szCs w:val="20"/>
              </w:rPr>
              <w:t xml:space="preserve"> </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在保证业务开展的同时，最大限度地节约资金</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在保证业务正常开展的情况下，做到了尽可能节约资金</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kern w:val="0"/>
                <w:sz w:val="20"/>
                <w:szCs w:val="20"/>
              </w:rPr>
            </w:pPr>
          </w:p>
        </w:tc>
        <w:tc>
          <w:tcPr>
            <w:tcW w:w="111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社会效益</w:t>
            </w:r>
            <w:r>
              <w:rPr>
                <w:rFonts w:ascii="宋体"/>
                <w:kern w:val="0"/>
                <w:sz w:val="20"/>
                <w:szCs w:val="20"/>
              </w:rPr>
              <w:br w:type="textWrapping"/>
            </w:r>
            <w:r>
              <w:rPr>
                <w:rFonts w:hint="eastAsia" w:ascii="宋体" w:hAnsi="宋体" w:cs="宋体"/>
                <w:kern w:val="0"/>
                <w:sz w:val="20"/>
                <w:szCs w:val="20"/>
              </w:rPr>
              <w:t>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：为昌吉市经济建设提供有力保障，为银行的可持续发展填砖加瓦</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加强对银行的管理，保障集中支付业务快捷准确率</w:t>
            </w:r>
            <w:r>
              <w:rPr>
                <w:rFonts w:ascii="宋体" w:hAnsi="宋体" w:cs="宋体"/>
                <w:kern w:val="0"/>
                <w:sz w:val="20"/>
                <w:szCs w:val="20"/>
              </w:rPr>
              <w:t>9</w:t>
            </w:r>
            <w:r>
              <w:rPr>
                <w:rFonts w:hint="eastAsia" w:ascii="宋体" w:hAnsi="宋体" w:cs="宋体"/>
                <w:kern w:val="0"/>
                <w:sz w:val="20"/>
                <w:szCs w:val="20"/>
              </w:rPr>
              <w:t>8</w:t>
            </w:r>
            <w:r>
              <w:rPr>
                <w:rFonts w:ascii="宋体" w:hAnsi="宋体" w:cs="宋体"/>
                <w:kern w:val="0"/>
                <w:sz w:val="20"/>
                <w:szCs w:val="20"/>
              </w:rPr>
              <w:t>%</w:t>
            </w:r>
            <w:r>
              <w:rPr>
                <w:rFonts w:hint="eastAsia" w:ascii="宋体" w:hAnsi="宋体" w:cs="宋体"/>
                <w:kern w:val="0"/>
                <w:sz w:val="20"/>
                <w:szCs w:val="20"/>
              </w:rPr>
              <w:t>以上</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集中支付业务快捷准确率达100</w:t>
            </w:r>
            <w:r>
              <w:rPr>
                <w:rFonts w:ascii="宋体" w:hAnsi="宋体" w:cs="宋体"/>
                <w:kern w:val="0"/>
                <w:sz w:val="20"/>
                <w:szCs w:val="20"/>
              </w:rPr>
              <w:t>%</w:t>
            </w:r>
            <w:r>
              <w:rPr>
                <w:rFonts w:hint="eastAsia" w:ascii="宋体" w:hAnsi="宋体" w:cs="宋体"/>
                <w:kern w:val="0"/>
                <w:sz w:val="20"/>
                <w:szCs w:val="20"/>
              </w:rPr>
              <w:t>，保障昌吉市资金使用</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kern w:val="0"/>
                <w:sz w:val="20"/>
                <w:szCs w:val="20"/>
              </w:rPr>
            </w:pPr>
          </w:p>
        </w:tc>
        <w:tc>
          <w:tcPr>
            <w:tcW w:w="1077" w:type="dxa"/>
            <w:tcBorders>
              <w:top w:val="nil"/>
              <w:left w:val="single" w:color="auto" w:sz="4" w:space="0"/>
              <w:bottom w:val="single" w:color="000000"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w:t>
            </w:r>
            <w:r>
              <w:rPr>
                <w:rFonts w:ascii="宋体"/>
                <w:kern w:val="0"/>
                <w:sz w:val="20"/>
                <w:szCs w:val="20"/>
              </w:rPr>
              <w:br w:type="textWrapping"/>
            </w:r>
            <w:r>
              <w:rPr>
                <w:rFonts w:hint="eastAsia" w:ascii="宋体" w:hAnsi="宋体" w:cs="宋体"/>
                <w:kern w:val="0"/>
                <w:sz w:val="20"/>
                <w:szCs w:val="20"/>
              </w:rPr>
              <w:t>指标</w:t>
            </w:r>
          </w:p>
        </w:tc>
        <w:tc>
          <w:tcPr>
            <w:tcW w:w="1117" w:type="dxa"/>
            <w:tcBorders>
              <w:top w:val="nil"/>
              <w:left w:val="single" w:color="auto" w:sz="4" w:space="0"/>
              <w:bottom w:val="single" w:color="auto" w:sz="4" w:space="0"/>
              <w:right w:val="single" w:color="auto" w:sz="4" w:space="0"/>
            </w:tcBorders>
            <w:vAlign w:val="center"/>
          </w:tcPr>
          <w:p>
            <w:pPr>
              <w:widowControl/>
              <w:jc w:val="center"/>
              <w:rPr>
                <w:rFonts w:ascii="宋体"/>
                <w:kern w:val="0"/>
                <w:sz w:val="20"/>
                <w:szCs w:val="20"/>
              </w:rPr>
            </w:pPr>
            <w:r>
              <w:rPr>
                <w:rFonts w:hint="eastAsia" w:ascii="宋体" w:hAnsi="宋体" w:cs="宋体"/>
                <w:kern w:val="0"/>
                <w:sz w:val="20"/>
                <w:szCs w:val="20"/>
              </w:rPr>
              <w:t>满意度指标</w:t>
            </w:r>
          </w:p>
        </w:tc>
        <w:tc>
          <w:tcPr>
            <w:tcW w:w="2020" w:type="dxa"/>
            <w:gridSpan w:val="3"/>
            <w:tcBorders>
              <w:top w:val="single" w:color="auto" w:sz="4" w:space="0"/>
              <w:left w:val="nil"/>
              <w:bottom w:val="single" w:color="auto" w:sz="4" w:space="0"/>
              <w:right w:val="single" w:color="auto" w:sz="4" w:space="0"/>
            </w:tcBorders>
            <w:vAlign w:val="center"/>
          </w:tcPr>
          <w:p>
            <w:pPr>
              <w:widowControl/>
              <w:jc w:val="left"/>
              <w:rPr>
                <w:rFonts w:ascii="宋体"/>
                <w:kern w:val="0"/>
                <w:sz w:val="20"/>
                <w:szCs w:val="20"/>
              </w:rPr>
            </w:pPr>
            <w:r>
              <w:rPr>
                <w:rFonts w:ascii="宋体" w:hAnsi="宋体" w:cs="宋体"/>
                <w:kern w:val="0"/>
                <w:sz w:val="20"/>
                <w:szCs w:val="20"/>
              </w:rPr>
              <w:t xml:space="preserve"> </w:t>
            </w:r>
            <w:r>
              <w:rPr>
                <w:rFonts w:hint="eastAsia" w:ascii="宋体" w:hAnsi="宋体" w:cs="宋体"/>
                <w:kern w:val="0"/>
                <w:sz w:val="20"/>
                <w:szCs w:val="20"/>
              </w:rPr>
              <w:t>指标</w:t>
            </w:r>
            <w:r>
              <w:rPr>
                <w:rFonts w:ascii="宋体" w:hAnsi="宋体" w:cs="宋体"/>
                <w:kern w:val="0"/>
                <w:sz w:val="20"/>
                <w:szCs w:val="20"/>
              </w:rPr>
              <w:t>1</w:t>
            </w:r>
            <w:r>
              <w:rPr>
                <w:rFonts w:hint="eastAsia" w:ascii="宋体" w:hAnsi="宋体" w:cs="宋体"/>
                <w:kern w:val="0"/>
                <w:sz w:val="20"/>
                <w:szCs w:val="20"/>
              </w:rPr>
              <w:t>：被服务单位满意度</w:t>
            </w:r>
          </w:p>
        </w:tc>
        <w:tc>
          <w:tcPr>
            <w:tcW w:w="1946"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被服务单位满意度</w:t>
            </w:r>
            <w:r>
              <w:rPr>
                <w:rFonts w:ascii="宋体" w:hAnsi="宋体" w:cs="宋体"/>
                <w:kern w:val="0"/>
                <w:sz w:val="20"/>
                <w:szCs w:val="20"/>
              </w:rPr>
              <w:t>98%</w:t>
            </w:r>
            <w:r>
              <w:rPr>
                <w:rFonts w:hint="eastAsia" w:ascii="宋体" w:hAnsi="宋体" w:cs="宋体"/>
                <w:kern w:val="0"/>
                <w:sz w:val="20"/>
                <w:szCs w:val="20"/>
              </w:rPr>
              <w:t>以上　</w:t>
            </w:r>
          </w:p>
        </w:tc>
        <w:tc>
          <w:tcPr>
            <w:tcW w:w="1682" w:type="dxa"/>
            <w:tcBorders>
              <w:top w:val="nil"/>
              <w:left w:val="nil"/>
              <w:bottom w:val="single" w:color="auto" w:sz="4" w:space="0"/>
              <w:right w:val="single" w:color="auto" w:sz="4" w:space="0"/>
            </w:tcBorders>
            <w:vAlign w:val="center"/>
          </w:tcPr>
          <w:p>
            <w:pPr>
              <w:widowControl/>
              <w:jc w:val="both"/>
              <w:rPr>
                <w:rFonts w:ascii="宋体"/>
                <w:kern w:val="0"/>
                <w:sz w:val="20"/>
                <w:szCs w:val="20"/>
              </w:rPr>
            </w:pPr>
            <w:r>
              <w:rPr>
                <w:rFonts w:hint="eastAsia" w:ascii="宋体" w:hAnsi="宋体" w:cs="宋体"/>
                <w:kern w:val="0"/>
                <w:sz w:val="20"/>
                <w:szCs w:val="20"/>
              </w:rPr>
              <w:t>　经调查被服务单位满意度100</w:t>
            </w:r>
            <w:r>
              <w:rPr>
                <w:rFonts w:ascii="宋体" w:hAnsi="宋体" w:cs="宋体"/>
                <w:kern w:val="0"/>
                <w:sz w:val="20"/>
                <w:szCs w:val="20"/>
              </w:rPr>
              <w:t>%</w:t>
            </w:r>
            <w:r>
              <w:rPr>
                <w:rFonts w:hint="eastAsia" w:ascii="宋体" w:hAnsi="宋体" w:cs="宋体"/>
                <w:kern w:val="0"/>
                <w:sz w:val="20"/>
                <w:szCs w:val="20"/>
              </w:rPr>
              <w:t>　</w:t>
            </w:r>
          </w:p>
        </w:tc>
      </w:tr>
      <w:bookmarkEnd w:id="0"/>
    </w:tbl>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第三部分 专业名词解释</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财政拨款收入：指同级财政当年拨付的资金。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上级补助收入：指事业单位从主管部门和上级单位取得的非财政补助收入。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事业收入：指事业单位开展专业业务活动及其辅助活动所取得的收入。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经营收入：指事业单位在专业业务活动及其辅助活动之外开展非独立核算经营活动取得的收入。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附属单位上缴收入：指事业单位附属的独立核算单位按有关规定上缴的收入。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其他收入：指除上述“财政拨款收入”、“事业收入”、“经营收入”、“附属单位上缴收入”等之外取得的收入。</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结余分配：反映单位当年结余的分配情况。</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基本支出：指为保障机构正常运转、完成日常工作任务而发生的人员支出和公用支出。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项目支出：指在基本支出之外为完成特定行政任务和事业发展目标所发生的支出。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经营支出：指事业单位在专业业务活动及其辅助活动之外开展非独立核算经营活动发生的支出。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对附属单位补助支出：指事业单位发生的用非财政预算资金对附属单位的补助支出。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06（款）01（项）：指：行政运行，201（类）06（款）05（项）：指财政国库业务，201（类）06（款）99（项）：指其他财政事务支出，208（类）05（款）05（项）：指机关事业单位基本养老保险缴费支出。</w:t>
      </w:r>
    </w:p>
    <w:p>
      <w:pPr>
        <w:spacing w:line="540" w:lineRule="exact"/>
        <w:ind w:firstLine="0"/>
        <w:jc w:val="center"/>
        <w:rPr>
          <w:rFonts w:hint="eastAsia" w:ascii="黑体" w:hAnsi="黑体" w:eastAsia="黑体" w:cs="Times New Roman"/>
          <w:sz w:val="32"/>
          <w:szCs w:val="32"/>
        </w:rPr>
      </w:pPr>
      <w:r>
        <w:rPr>
          <w:rFonts w:hint="eastAsia" w:ascii="黑体" w:hAnsi="黑体" w:eastAsia="黑体" w:cs="Times New Roman"/>
          <w:sz w:val="32"/>
          <w:szCs w:val="32"/>
        </w:rPr>
        <w:t>第四部分 部门决算公开的8张报表（见附表）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二、《收入决算表》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三、《支出决算表》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四、《财政拨款收入支出决算总表》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五、《一般公共预算财政拨款支出决算明细表》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六、《一般公共预算财政拨款基本支出决算明细表》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七、《一般公共预算财政拨款“三公”经费支出决算表》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八、《政府性基金预算财政拨款收入支出决算表》</w:t>
      </w:r>
    </w:p>
    <w:p>
      <w:pPr>
        <w:spacing w:line="540" w:lineRule="exact"/>
        <w:ind w:firstLine="640" w:firstLineChars="200"/>
        <w:rPr>
          <w:rFonts w:hint="eastAsia"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F84"/>
    <w:rsid w:val="00305C68"/>
    <w:rsid w:val="00B37F84"/>
    <w:rsid w:val="00D71279"/>
    <w:rsid w:val="1BCF3897"/>
    <w:rsid w:val="556B4BCE"/>
    <w:rsid w:val="5D5F4B97"/>
    <w:rsid w:val="6A8F5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qFormat/>
    <w:uiPriority w:val="9"/>
    <w:rPr>
      <w:rFonts w:ascii="宋体" w:hAnsi="宋体" w:eastAsia="宋体" w:cs="宋体"/>
      <w:b/>
      <w:bCs/>
      <w:kern w:val="0"/>
      <w:sz w:val="36"/>
      <w:szCs w:val="36"/>
    </w:rPr>
  </w:style>
  <w:style w:type="character" w:customStyle="1" w:styleId="8">
    <w:name w:val="pages_print_font"/>
    <w:basedOn w:val="4"/>
    <w:qFormat/>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883</Words>
  <Characters>5039</Characters>
  <Lines>41</Lines>
  <Paragraphs>11</Paragraphs>
  <TotalTime>0</TotalTime>
  <ScaleCrop>false</ScaleCrop>
  <LinksUpToDate>false</LinksUpToDate>
  <CharactersWithSpaces>5911</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2021-05-21T14:09:00Z</dcterms:created>
  <dc:creator>Lenovo</dc:creator>
  <cp:lastModifiedBy>Administrator</cp:lastModifiedBy>
  <dcterms:modified xsi:type="dcterms:W3CDTF">2021-05-31T09:03:46Z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7CEC997089004C9AA663974E91041069</vt:lpwstr>
  </property>
</Properties>
</file>