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1320" w:firstLineChars="300"/>
        <w:jc w:val="both"/>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2018年度昌吉市督查室决算公开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1、根据市委全委会议精神和政府工作报告确定的决策和重点，制订年度综合目标管理工作实施意见。</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2、负责在半年、年终组织考核责任单位对乡镇、街道和市直部门综合目标任务落实情况进行考核。</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3、负责收集、整理、汇总考核责任单位的考核评估报告和考核分值；综合评定各乡镇、街道和市直部门考核成绩，向相关领导和会议提交考核工作情况报告。</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4、负责收集、整理、汇总各单位年度获得州级以上含州级的各类荣誉。</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根据市四大班子领导分管工作在自治州综合目标管理考核中取得的成绩、四大班子领导工作联系点在市综合目标管理考核工作中取得的成绩及市领导联系重点项目的落实情况，综合评定市四大班子领导综合目标管理考核成绩，向相关领导和会议汇报考核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6、负责迎接自治州考核办对昌吉市的综合目标管理考核工作，做好制订迎检方案，组织责任单位，汇集总结材料等相关准备工作。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7、负责发放市四大班子和各乡镇、街道及市直部门综合目标管理考核奖金,概述部门（单位）工作开展情况及主要事业成效。</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从决算单位构成看，昌吉市督查室部门决算包括：昌吉市督查室部门本级决算。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纳入昌吉市督查室2018年部门决算编制范围的单位名单见下表：</w:t>
      </w:r>
    </w:p>
    <w:tbl>
      <w:tblPr>
        <w:tblStyle w:val="6"/>
        <w:tblW w:w="825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192"/>
        <w:gridCol w:w="2759"/>
        <w:gridCol w:w="330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27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27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昌吉市督查室本级</w:t>
            </w: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19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75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0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259.88万元,与上年相比，减少40.67万元，降低13.53%，增减变化主要原因是：减少项目经费；支出259.88万元,与上年相比，减少42.04万元，降低13.93%，增减变化主要原因是：减少项目经费；结余0万元，与上年相比，增加0万元，增长0%。增减变化主要原因是：无变化。</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本年收入合计259.88万元，其中：财政拨款收入259.88万元，占100%；上级补助收入0万元，占0%；事业收入0万元，占0%；经营收入0万元，占0%；附属单位缴款0万元，占0%；其他收入0万元，占0%。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与年初预算数相比情况：本年收入年初预算数146.92万元，决算数259.88万元，预决算差异率76.88%，差异主要原因增加绩效考核经费。</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本年支出合计259.88万元，其中：基本支出164.98万元，占63.48%；项目支出94.9万元，占36.52%；上缴上级支出0万元，占0%；经营支出0万元，占0%；对附属单位补助支出0万元，占0%。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与年初预算数相比情况：本年支出年初预算数146.92万元，决算数259.88万元，预决算差异率76.88%，差异主要原因增加绩效考核经费。</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259.88万元，与上年相比，减少40.67万元，降低13.53%。增减变化的主要原因是：减少项目经费。财政拨款支出259.88万元，与上年相比，减少42.04万元，降低13.93%，增减变化的主要原因是：减少项目经费支出。其中：基本支出164.98万元，项目支出94.9万元。财政拨款结转结余0万元，与上年相比，增加0万元，增长0%。增减变化的主要原因是：无变化。</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146.92万元，决算数259.88万元，预决算差异率76.88%，差异主要原因增加绩效考核经费。财政拨款支出年初预算数146.92万元，决算数259.88万元，预决算差异率76.88%，差异主要原因增加绩效考核经费支出。</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259.88万元。与上年相比，减少40.67万元，降低13.53%。增减变化的主要原因是：减少项目经费。一般公共预算财政拨款支出259.88万元。与上年相比，减少42.04万元，降低13.93%。增减变化的主要原因是：减少项目经费支出。其中：按功能分类科目，201类一般公共服务支出208.73万元，208类社会保障和就业支出16.15万元，229类其他支出35万元。按经济分类科目，工资福利支出122.5万元，商品和服务支出106.99万元，对个人和家庭的补助支出30.12万元，资本性支出0.26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146.92万元，决算数259.88万元，预决算差异率76.88%，差异主要原因增加绩效考核经费支出。一般公共预算财政拨款支出年初预算数146.92万元，决算数259.88万元，预决算差异率76.88%，差异主要原因增加绩效考核经费支出。</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年末结转结余0万元。与上年相比，增加0万元，增长0%。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其中财政拨款结转结余0万元。与上年相比，增加0万元，增长0%。</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8.1万元，比上年增加1.6万元，增长24.62%，增加原因是车辆老旧维修费增加。其中，因公出国（境）费支出0万元，占0%，比上年增加0万元，增长0%，增加原因是本年无增减；公务用车购置及运行维护费支出8.1万元，占100%，比上年增加1.6万元，增长24.62%，增加原因是车辆老旧维修费增加；公务接待费支出0万元，占0%，比上年增加0万元，增长0%，增加原因是是预算未安排。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因公出国（境）费支出0万元。昌吉市督查室全年使用一般公共预算财政拨款安排的出国（境）团组0个，累计0人次。开支内容包括：无开支。</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公务用车购置及运行维护费8.1万元,其中，公务用车购置0万元，公务用车运行维护费8.1万元。主要用于车辆加油、加气、维修、保养、审验等。单位一般公共财政拨款安排的公务用车购置量0辆，保有量为2辆。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公务接待费0万元。具体是：国内公务接待支出0万元，主要是无公务接待。昌吉市督查室国内公务接待0批次，0人次。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8.1万元，决算数8.1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8.1万元，决算数8.1万元，预决算差异率0%，差异主要原因本年无增减；公务接待费预算数0万元，决算数0万元，预决算差异率0%，差异主要原因本年无增减。</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2018年度昌吉市督查室机关运行经费支出22.35万元，比上年减少4.84万元，降低17.8%，主要原因是厉行节约，减少开支。</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2018年度政府采购支出总额0万元，其中：政府采购货物支出0万元、政府采购工程支出0万元、政府采购服务支出0万元。</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七、其他重要事项的情况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2辆，价值28.85万元，其中：部级领导干部用车0辆、主要领导干部用车0辆、机要通信用车0辆、应急保障用车0辆、执法执勤用车0辆、特种专业技术用车0辆、离退休干部用车0辆、其他用车2辆，其他用车主要是：公务用车2辆；单位价值50万元以上通用设备0台（套）、单位价值100万元以上专用设备0台（套），其他固定资产价值55.08万元。</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实施预算绩效管理项目1个，即：绩效考核经费及考核奖项目，项目资金94.9万元，用于绩效考核经费及考核，该项目资金全部由财政拨款。市督查室严格按照相关制度执行，全过程对资金程序严格把关，把好各个廉政风险，确保资金安全高效。</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绩效考核经费及考核奖项目绩效自评综述：根据年初设定的绩效目标，绩效考核经费及考核奖项目项目绩效自评得分94分，项目全年预算数为94.9万元，执行数为94.9万元，完成预算的100%。主要产出和效果：一是本年年底前已完成绩效考核工作；二是有效地促进了干部职工争先创优的积极性，提高了政府管理能力水平；发现的问题及原因：无问题。下一步改进措施：无改进措施。</w:t>
      </w:r>
    </w:p>
    <w:tbl>
      <w:tblPr>
        <w:tblStyle w:val="6"/>
        <w:tblW w:w="8522" w:type="dxa"/>
        <w:jc w:val="center"/>
        <w:tblInd w:w="0" w:type="dxa"/>
        <w:tblLayout w:type="fixed"/>
        <w:tblCellMar>
          <w:top w:w="0" w:type="dxa"/>
          <w:left w:w="108" w:type="dxa"/>
          <w:bottom w:w="0" w:type="dxa"/>
          <w:right w:w="108" w:type="dxa"/>
        </w:tblCellMar>
      </w:tblPr>
      <w:tblGrid>
        <w:gridCol w:w="639"/>
        <w:gridCol w:w="1011"/>
        <w:gridCol w:w="1207"/>
        <w:gridCol w:w="958"/>
        <w:gridCol w:w="475"/>
        <w:gridCol w:w="30"/>
        <w:gridCol w:w="275"/>
        <w:gridCol w:w="1828"/>
        <w:gridCol w:w="2099"/>
      </w:tblGrid>
      <w:tr>
        <w:tblPrEx>
          <w:tblLayout w:type="fixed"/>
          <w:tblCellMar>
            <w:top w:w="0" w:type="dxa"/>
            <w:left w:w="108" w:type="dxa"/>
            <w:bottom w:w="0" w:type="dxa"/>
            <w:right w:w="108" w:type="dxa"/>
          </w:tblCellMar>
        </w:tblPrEx>
        <w:trPr>
          <w:trHeight w:val="429" w:hRule="atLeast"/>
          <w:jc w:val="center"/>
        </w:trPr>
        <w:tc>
          <w:tcPr>
            <w:tcW w:w="8522" w:type="dxa"/>
            <w:gridSpan w:val="9"/>
            <w:tcBorders>
              <w:top w:val="nil"/>
              <w:left w:val="nil"/>
              <w:bottom w:val="nil"/>
              <w:right w:val="nil"/>
            </w:tcBorders>
            <w:vAlign w:val="center"/>
          </w:tcPr>
          <w:p>
            <w:pPr>
              <w:widowControl/>
              <w:jc w:val="center"/>
              <w:rPr>
                <w:rFonts w:hint="eastAsia" w:ascii="宋体" w:hAnsi="宋体"/>
                <w:b/>
                <w:sz w:val="32"/>
                <w:szCs w:val="20"/>
                <w:lang w:val="zh-CN"/>
              </w:rPr>
            </w:pPr>
          </w:p>
          <w:p>
            <w:pPr>
              <w:widowControl/>
              <w:jc w:val="center"/>
              <w:rPr>
                <w:rFonts w:ascii="宋体" w:hAnsi="宋体"/>
                <w:sz w:val="22"/>
                <w:szCs w:val="20"/>
                <w:lang w:val="zh-CN"/>
              </w:rPr>
            </w:pPr>
            <w:r>
              <w:rPr>
                <w:rFonts w:hint="eastAsia" w:ascii="宋体" w:hAnsi="宋体"/>
                <w:b/>
                <w:sz w:val="32"/>
                <w:szCs w:val="20"/>
                <w:lang w:val="zh-CN"/>
              </w:rPr>
              <w:t>昌吉市</w:t>
            </w:r>
            <w:r>
              <w:rPr>
                <w:rFonts w:hint="eastAsia" w:ascii="宋体" w:hAnsi="宋体"/>
                <w:b/>
                <w:sz w:val="32"/>
                <w:szCs w:val="20"/>
              </w:rPr>
              <w:t>督查室</w:t>
            </w:r>
            <w:r>
              <w:rPr>
                <w:rFonts w:hint="eastAsia" w:ascii="宋体" w:hAnsi="宋体"/>
                <w:b/>
                <w:sz w:val="32"/>
                <w:szCs w:val="20"/>
                <w:lang w:val="zh-CN"/>
              </w:rPr>
              <w:t>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9"/>
            <w:tcBorders>
              <w:top w:val="nil"/>
              <w:left w:val="nil"/>
              <w:bottom w:val="nil"/>
              <w:right w:val="nil"/>
            </w:tcBorders>
            <w:vAlign w:val="center"/>
          </w:tcPr>
          <w:p>
            <w:pPr>
              <w:widowControl/>
              <w:jc w:val="center"/>
              <w:rPr>
                <w:rFonts w:ascii="宋体" w:hAnsi="宋体"/>
                <w:sz w:val="22"/>
                <w:szCs w:val="20"/>
                <w:lang w:val="zh-CN"/>
              </w:rPr>
            </w:pPr>
            <w:r>
              <w:rPr>
                <w:rFonts w:hint="eastAsia" w:ascii="宋体" w:hAnsi="宋体"/>
                <w:sz w:val="24"/>
                <w:szCs w:val="20"/>
                <w:lang w:val="zh-CN"/>
              </w:rPr>
              <w:t>（</w:t>
            </w:r>
            <w:r>
              <w:rPr>
                <w:rFonts w:hint="eastAsia" w:ascii="宋体" w:hAnsi="宋体"/>
                <w:sz w:val="24"/>
                <w:szCs w:val="20"/>
              </w:rPr>
              <w:t>2018</w:t>
            </w:r>
            <w:r>
              <w:rPr>
                <w:rFonts w:hint="eastAsia" w:ascii="宋体" w:hAnsi="宋体"/>
                <w:sz w:val="24"/>
                <w:szCs w:val="20"/>
                <w:lang w:val="zh-CN"/>
              </w:rPr>
              <w:t>年度）</w:t>
            </w:r>
          </w:p>
        </w:tc>
      </w:tr>
      <w:tr>
        <w:tblPrEx>
          <w:tblLayout w:type="fixed"/>
          <w:tblCellMar>
            <w:top w:w="0" w:type="dxa"/>
            <w:left w:w="108" w:type="dxa"/>
            <w:bottom w:w="0" w:type="dxa"/>
            <w:right w:w="108" w:type="dxa"/>
          </w:tblCellMar>
        </w:tblPrEx>
        <w:trPr>
          <w:trHeight w:val="192" w:hRule="atLeast"/>
          <w:jc w:val="center"/>
        </w:trPr>
        <w:tc>
          <w:tcPr>
            <w:tcW w:w="639" w:type="dxa"/>
            <w:tcBorders>
              <w:top w:val="nil"/>
              <w:left w:val="nil"/>
              <w:bottom w:val="single" w:color="auto" w:sz="4" w:space="0"/>
              <w:right w:val="nil"/>
            </w:tcBorders>
            <w:vAlign w:val="center"/>
          </w:tcPr>
          <w:p>
            <w:pPr>
              <w:widowControl/>
              <w:jc w:val="center"/>
              <w:rPr>
                <w:rFonts w:ascii="宋体" w:hAnsi="宋体"/>
                <w:sz w:val="22"/>
                <w:szCs w:val="20"/>
                <w:lang w:val="zh-CN"/>
              </w:rPr>
            </w:pPr>
          </w:p>
        </w:tc>
        <w:tc>
          <w:tcPr>
            <w:tcW w:w="1011" w:type="dxa"/>
            <w:tcBorders>
              <w:top w:val="nil"/>
              <w:left w:val="nil"/>
              <w:bottom w:val="single" w:color="auto" w:sz="4" w:space="0"/>
              <w:right w:val="nil"/>
            </w:tcBorders>
            <w:vAlign w:val="center"/>
          </w:tcPr>
          <w:p>
            <w:pPr>
              <w:widowControl/>
              <w:jc w:val="center"/>
              <w:rPr>
                <w:rFonts w:ascii="宋体" w:hAnsi="宋体"/>
                <w:sz w:val="22"/>
                <w:szCs w:val="20"/>
                <w:lang w:val="zh-CN"/>
              </w:rPr>
            </w:pPr>
          </w:p>
        </w:tc>
        <w:tc>
          <w:tcPr>
            <w:tcW w:w="1207" w:type="dxa"/>
            <w:tcBorders>
              <w:top w:val="nil"/>
              <w:left w:val="nil"/>
              <w:bottom w:val="single" w:color="auto" w:sz="4" w:space="0"/>
              <w:right w:val="nil"/>
            </w:tcBorders>
            <w:vAlign w:val="center"/>
          </w:tcPr>
          <w:p>
            <w:pPr>
              <w:widowControl/>
              <w:jc w:val="center"/>
              <w:rPr>
                <w:rFonts w:ascii="宋体" w:hAnsi="宋体"/>
                <w:sz w:val="22"/>
                <w:szCs w:val="20"/>
                <w:lang w:val="zh-CN"/>
              </w:rPr>
            </w:pPr>
          </w:p>
        </w:tc>
        <w:tc>
          <w:tcPr>
            <w:tcW w:w="958" w:type="dxa"/>
            <w:tcBorders>
              <w:top w:val="nil"/>
              <w:left w:val="nil"/>
              <w:bottom w:val="single" w:color="auto" w:sz="4" w:space="0"/>
              <w:right w:val="nil"/>
            </w:tcBorders>
            <w:vAlign w:val="center"/>
          </w:tcPr>
          <w:p>
            <w:pPr>
              <w:widowControl/>
              <w:jc w:val="center"/>
              <w:rPr>
                <w:rFonts w:ascii="宋体" w:hAnsi="宋体"/>
                <w:sz w:val="22"/>
                <w:szCs w:val="20"/>
                <w:lang w:val="zh-CN"/>
              </w:rPr>
            </w:pPr>
          </w:p>
        </w:tc>
        <w:tc>
          <w:tcPr>
            <w:tcW w:w="780" w:type="dxa"/>
            <w:gridSpan w:val="3"/>
            <w:tcBorders>
              <w:top w:val="nil"/>
              <w:left w:val="nil"/>
              <w:bottom w:val="single" w:color="auto" w:sz="4" w:space="0"/>
              <w:right w:val="nil"/>
            </w:tcBorders>
            <w:vAlign w:val="center"/>
          </w:tcPr>
          <w:p>
            <w:pPr>
              <w:widowControl/>
              <w:jc w:val="center"/>
              <w:rPr>
                <w:rFonts w:ascii="宋体" w:hAnsi="宋体"/>
                <w:sz w:val="22"/>
                <w:szCs w:val="20"/>
                <w:lang w:val="zh-CN"/>
              </w:rPr>
            </w:pPr>
          </w:p>
        </w:tc>
        <w:tc>
          <w:tcPr>
            <w:tcW w:w="1828" w:type="dxa"/>
            <w:tcBorders>
              <w:top w:val="nil"/>
              <w:left w:val="nil"/>
              <w:bottom w:val="single" w:color="auto" w:sz="4" w:space="0"/>
              <w:right w:val="nil"/>
            </w:tcBorders>
            <w:vAlign w:val="center"/>
          </w:tcPr>
          <w:p>
            <w:pPr>
              <w:widowControl/>
              <w:jc w:val="center"/>
              <w:rPr>
                <w:rFonts w:ascii="宋体" w:hAnsi="宋体"/>
                <w:sz w:val="22"/>
                <w:szCs w:val="20"/>
                <w:lang w:val="zh-CN"/>
              </w:rPr>
            </w:pPr>
          </w:p>
        </w:tc>
        <w:tc>
          <w:tcPr>
            <w:tcW w:w="2099" w:type="dxa"/>
            <w:tcBorders>
              <w:top w:val="nil"/>
              <w:left w:val="nil"/>
              <w:bottom w:val="single" w:color="auto" w:sz="4" w:space="0"/>
              <w:right w:val="nil"/>
            </w:tcBorders>
            <w:vAlign w:val="center"/>
          </w:tcPr>
          <w:p>
            <w:pPr>
              <w:widowControl/>
              <w:jc w:val="center"/>
              <w:rPr>
                <w:rFonts w:ascii="宋体" w:hAnsi="宋体"/>
                <w:sz w:val="22"/>
                <w:szCs w:val="20"/>
                <w:lang w:val="zh-CN"/>
              </w:rPr>
            </w:pPr>
          </w:p>
        </w:tc>
      </w:tr>
      <w:tr>
        <w:tblPrEx>
          <w:tblLayout w:type="fixed"/>
          <w:tblCellMar>
            <w:top w:w="0" w:type="dxa"/>
            <w:left w:w="108" w:type="dxa"/>
            <w:bottom w:w="0" w:type="dxa"/>
            <w:right w:w="108" w:type="dxa"/>
          </w:tblCellMar>
        </w:tblPrEx>
        <w:trPr>
          <w:trHeight w:val="396" w:hRule="atLeast"/>
          <w:jc w:val="center"/>
        </w:trPr>
        <w:tc>
          <w:tcPr>
            <w:tcW w:w="28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Ansi="宋体" w:eastAsia="仿宋_GB2312" w:cs="宋体"/>
                <w:kern w:val="0"/>
                <w:sz w:val="36"/>
                <w:szCs w:val="36"/>
              </w:rPr>
            </w:pPr>
            <w:r>
              <w:rPr>
                <w:rFonts w:hint="eastAsia" w:ascii="宋体" w:hAnsi="宋体" w:cs="宋体"/>
                <w:kern w:val="0"/>
                <w:sz w:val="20"/>
                <w:szCs w:val="20"/>
              </w:rPr>
              <w:t>项目名称</w:t>
            </w:r>
          </w:p>
        </w:tc>
        <w:tc>
          <w:tcPr>
            <w:tcW w:w="566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sz w:val="20"/>
                <w:szCs w:val="20"/>
                <w:lang w:val="zh-CN"/>
              </w:rPr>
              <w:t>昌吉市督查室绩效考核经费及考核奖项目</w:t>
            </w:r>
          </w:p>
        </w:tc>
      </w:tr>
      <w:tr>
        <w:tblPrEx>
          <w:tblLayout w:type="fixed"/>
          <w:tblCellMar>
            <w:top w:w="0" w:type="dxa"/>
            <w:left w:w="108" w:type="dxa"/>
            <w:bottom w:w="0" w:type="dxa"/>
            <w:right w:w="108" w:type="dxa"/>
          </w:tblCellMar>
        </w:tblPrEx>
        <w:trPr>
          <w:trHeight w:val="285" w:hRule="atLeast"/>
          <w:jc w:val="center"/>
        </w:trPr>
        <w:tc>
          <w:tcPr>
            <w:tcW w:w="28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sz w:val="22"/>
                <w:szCs w:val="20"/>
                <w:lang w:val="zh-CN"/>
              </w:rPr>
            </w:pPr>
            <w:r>
              <w:rPr>
                <w:rFonts w:hint="eastAsia" w:ascii="宋体" w:hAnsi="宋体" w:cs="宋体"/>
                <w:kern w:val="0"/>
                <w:sz w:val="20"/>
                <w:szCs w:val="20"/>
              </w:rPr>
              <w:t>预算单位</w:t>
            </w:r>
          </w:p>
        </w:tc>
        <w:tc>
          <w:tcPr>
            <w:tcW w:w="566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sz w:val="20"/>
                <w:szCs w:val="20"/>
                <w:lang w:val="zh-CN"/>
              </w:rPr>
              <w:t>昌吉市督查室</w:t>
            </w:r>
          </w:p>
        </w:tc>
      </w:tr>
      <w:tr>
        <w:tblPrEx>
          <w:tblLayout w:type="fixed"/>
          <w:tblCellMar>
            <w:top w:w="0" w:type="dxa"/>
            <w:left w:w="108" w:type="dxa"/>
            <w:bottom w:w="0" w:type="dxa"/>
            <w:right w:w="108" w:type="dxa"/>
          </w:tblCellMar>
        </w:tblPrEx>
        <w:trPr>
          <w:trHeight w:val="345"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预算</w:t>
            </w:r>
            <w:r>
              <w:rPr>
                <w:rFonts w:hint="eastAsia" w:ascii="宋体" w:hAnsi="宋体"/>
                <w:sz w:val="20"/>
                <w:szCs w:val="20"/>
                <w:lang w:val="zh-CN"/>
              </w:rPr>
              <w:br w:type="textWrapping"/>
            </w:r>
            <w:r>
              <w:rPr>
                <w:rFonts w:hint="eastAsia" w:ascii="宋体" w:hAnsi="宋体"/>
                <w:sz w:val="20"/>
                <w:szCs w:val="20"/>
                <w:lang w:val="zh-CN"/>
              </w:rPr>
              <w:t>执行</w:t>
            </w:r>
            <w:r>
              <w:rPr>
                <w:rFonts w:hint="eastAsia" w:ascii="宋体" w:hAnsi="宋体"/>
                <w:sz w:val="20"/>
                <w:szCs w:val="20"/>
                <w:lang w:val="zh-CN"/>
              </w:rPr>
              <w:br w:type="textWrapping"/>
            </w:r>
            <w:r>
              <w:rPr>
                <w:rFonts w:hint="eastAsia" w:ascii="宋体" w:hAnsi="宋体"/>
                <w:sz w:val="20"/>
                <w:szCs w:val="20"/>
                <w:lang w:val="zh-CN"/>
              </w:rPr>
              <w:t>情况</w:t>
            </w:r>
            <w:r>
              <w:rPr>
                <w:rFonts w:hint="eastAsia" w:ascii="宋体" w:hAnsi="宋体"/>
                <w:sz w:val="20"/>
                <w:szCs w:val="20"/>
                <w:lang w:val="zh-CN"/>
              </w:rPr>
              <w:br w:type="textWrapping"/>
            </w:r>
            <w:r>
              <w:rPr>
                <w:rFonts w:hint="eastAsia" w:ascii="宋体" w:hAnsi="宋体"/>
                <w:sz w:val="20"/>
                <w:szCs w:val="20"/>
                <w:lang w:val="zh-CN"/>
              </w:rPr>
              <w:t>（万元）</w:t>
            </w:r>
          </w:p>
        </w:tc>
        <w:tc>
          <w:tcPr>
            <w:tcW w:w="221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 xml:space="preserve"> 预算数：</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2"/>
                <w:szCs w:val="20"/>
                <w:lang w:val="en-US" w:eastAsia="zh-CN"/>
              </w:rPr>
              <w:t>94.9</w:t>
            </w:r>
          </w:p>
        </w:tc>
        <w:tc>
          <w:tcPr>
            <w:tcW w:w="213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 xml:space="preserve"> 执行数：</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2"/>
                <w:szCs w:val="20"/>
                <w:lang w:val="en-US" w:eastAsia="zh-CN"/>
              </w:rPr>
              <w:t>94.9</w:t>
            </w:r>
          </w:p>
        </w:tc>
      </w:tr>
      <w:tr>
        <w:tblPrEx>
          <w:tblLayout w:type="fixed"/>
          <w:tblCellMar>
            <w:top w:w="0" w:type="dxa"/>
            <w:left w:w="108" w:type="dxa"/>
            <w:bottom w:w="0" w:type="dxa"/>
            <w:right w:w="108" w:type="dxa"/>
          </w:tblCellMar>
        </w:tblPrEx>
        <w:trPr>
          <w:trHeight w:val="354"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221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0"/>
                <w:szCs w:val="20"/>
                <w:lang w:val="zh-CN"/>
              </w:rPr>
              <w:t>其中：财政拨款</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2"/>
                <w:szCs w:val="20"/>
                <w:lang w:val="zh-CN"/>
              </w:rPr>
              <w:t>94.9</w:t>
            </w:r>
          </w:p>
        </w:tc>
        <w:tc>
          <w:tcPr>
            <w:tcW w:w="2133" w:type="dxa"/>
            <w:gridSpan w:val="3"/>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0"/>
                <w:szCs w:val="20"/>
                <w:lang w:val="zh-CN"/>
              </w:rPr>
              <w:t>其中：财政拨款</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2"/>
                <w:szCs w:val="20"/>
                <w:lang w:val="en-US" w:eastAsia="zh-CN"/>
              </w:rPr>
              <w:t>94.9</w:t>
            </w:r>
          </w:p>
        </w:tc>
      </w:tr>
      <w:tr>
        <w:tblPrEx>
          <w:tblLayout w:type="fixed"/>
          <w:tblCellMar>
            <w:top w:w="0" w:type="dxa"/>
            <w:left w:w="108" w:type="dxa"/>
            <w:bottom w:w="0" w:type="dxa"/>
            <w:right w:w="108" w:type="dxa"/>
          </w:tblCellMar>
        </w:tblPrEx>
        <w:trPr>
          <w:trHeight w:val="581"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2218"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0"/>
                <w:szCs w:val="20"/>
                <w:lang w:val="zh-CN"/>
              </w:rPr>
              <w:t>其他资金</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sz w:val="22"/>
                <w:szCs w:val="20"/>
                <w:lang w:val="zh-CN"/>
              </w:rPr>
            </w:pPr>
          </w:p>
        </w:tc>
        <w:tc>
          <w:tcPr>
            <w:tcW w:w="2133" w:type="dxa"/>
            <w:gridSpan w:val="3"/>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sz w:val="22"/>
                <w:szCs w:val="20"/>
                <w:lang w:val="zh-CN"/>
              </w:rPr>
            </w:pPr>
            <w:r>
              <w:rPr>
                <w:rFonts w:hint="eastAsia" w:ascii="宋体" w:hAnsi="宋体"/>
                <w:sz w:val="20"/>
                <w:szCs w:val="20"/>
                <w:lang w:val="zh-CN"/>
              </w:rPr>
              <w:t>其他资金</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sz w:val="22"/>
                <w:szCs w:val="20"/>
                <w:lang w:val="zh-CN"/>
              </w:rPr>
            </w:pPr>
            <w:r>
              <w:rPr>
                <w:rFonts w:hint="eastAsia" w:ascii="宋体" w:hAnsi="宋体"/>
                <w:sz w:val="20"/>
                <w:szCs w:val="20"/>
                <w:lang w:val="zh-CN"/>
              </w:rPr>
              <w:t>　</w:t>
            </w:r>
          </w:p>
        </w:tc>
      </w:tr>
      <w:tr>
        <w:tblPrEx>
          <w:tblLayout w:type="fixed"/>
          <w:tblCellMar>
            <w:top w:w="0" w:type="dxa"/>
            <w:left w:w="108" w:type="dxa"/>
            <w:bottom w:w="0" w:type="dxa"/>
            <w:right w:w="108" w:type="dxa"/>
          </w:tblCellMar>
        </w:tblPrEx>
        <w:trPr>
          <w:trHeight w:val="300"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年度</w:t>
            </w:r>
            <w:r>
              <w:rPr>
                <w:rFonts w:hint="eastAsia" w:ascii="宋体" w:hAnsi="宋体"/>
                <w:sz w:val="20"/>
                <w:szCs w:val="20"/>
                <w:lang w:val="zh-CN"/>
              </w:rPr>
              <w:br w:type="textWrapping"/>
            </w:r>
            <w:r>
              <w:rPr>
                <w:rFonts w:hint="eastAsia" w:ascii="宋体" w:hAnsi="宋体"/>
                <w:sz w:val="20"/>
                <w:szCs w:val="20"/>
                <w:lang w:val="zh-CN"/>
              </w:rPr>
              <w:t>目标</w:t>
            </w:r>
            <w:r>
              <w:rPr>
                <w:rFonts w:hint="eastAsia" w:ascii="宋体" w:hAnsi="宋体"/>
                <w:sz w:val="20"/>
                <w:szCs w:val="20"/>
                <w:lang w:val="zh-CN"/>
              </w:rPr>
              <w:br w:type="textWrapping"/>
            </w:r>
            <w:r>
              <w:rPr>
                <w:rFonts w:hint="eastAsia" w:ascii="宋体" w:hAnsi="宋体"/>
                <w:sz w:val="20"/>
                <w:szCs w:val="20"/>
                <w:lang w:val="zh-CN"/>
              </w:rPr>
              <w:t>完成</w:t>
            </w:r>
            <w:r>
              <w:rPr>
                <w:rFonts w:hint="eastAsia" w:ascii="宋体" w:hAnsi="宋体"/>
                <w:sz w:val="20"/>
                <w:szCs w:val="20"/>
                <w:lang w:val="zh-CN"/>
              </w:rPr>
              <w:br w:type="textWrapping"/>
            </w:r>
            <w:r>
              <w:rPr>
                <w:rFonts w:hint="eastAsia" w:ascii="宋体" w:hAnsi="宋体"/>
                <w:sz w:val="20"/>
                <w:szCs w:val="20"/>
                <w:lang w:val="zh-CN"/>
              </w:rPr>
              <w:t>情况</w:t>
            </w:r>
          </w:p>
        </w:tc>
        <w:tc>
          <w:tcPr>
            <w:tcW w:w="365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预期目标</w:t>
            </w:r>
          </w:p>
        </w:tc>
        <w:tc>
          <w:tcPr>
            <w:tcW w:w="423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实际完成目标</w:t>
            </w:r>
          </w:p>
        </w:tc>
      </w:tr>
      <w:tr>
        <w:tblPrEx>
          <w:tblLayout w:type="fixed"/>
          <w:tblCellMar>
            <w:top w:w="0" w:type="dxa"/>
            <w:left w:w="108" w:type="dxa"/>
            <w:bottom w:w="0" w:type="dxa"/>
            <w:right w:w="108" w:type="dxa"/>
          </w:tblCellMar>
        </w:tblPrEx>
        <w:trPr>
          <w:trHeight w:val="1157"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3651" w:type="dxa"/>
            <w:gridSpan w:val="4"/>
            <w:tcBorders>
              <w:top w:val="single" w:color="auto" w:sz="4" w:space="0"/>
              <w:left w:val="single" w:color="auto" w:sz="4" w:space="0"/>
              <w:bottom w:val="single" w:color="auto" w:sz="4" w:space="0"/>
              <w:right w:val="single" w:color="auto" w:sz="4" w:space="0"/>
            </w:tcBorders>
          </w:tcPr>
          <w:p>
            <w:pPr>
              <w:widowControl/>
              <w:spacing w:line="560" w:lineRule="exact"/>
              <w:rPr>
                <w:rFonts w:ascii="宋体" w:hAnsi="宋体" w:cs="宋体"/>
                <w:kern w:val="0"/>
                <w:sz w:val="20"/>
                <w:szCs w:val="20"/>
              </w:rPr>
            </w:pPr>
            <w:r>
              <w:rPr>
                <w:rFonts w:hint="eastAsia" w:ascii="宋体" w:hAnsi="宋体" w:cs="宋体"/>
                <w:kern w:val="0"/>
                <w:sz w:val="20"/>
                <w:szCs w:val="20"/>
              </w:rPr>
              <w:t>立项督查、专项督查、绩效管理信息平台建设</w:t>
            </w:r>
          </w:p>
          <w:p>
            <w:pPr>
              <w:widowControl/>
              <w:jc w:val="left"/>
              <w:rPr>
                <w:rFonts w:ascii="宋体" w:hAnsi="宋体" w:cs="宋体"/>
                <w:kern w:val="0"/>
                <w:sz w:val="20"/>
                <w:szCs w:val="20"/>
              </w:rPr>
            </w:pPr>
          </w:p>
        </w:tc>
        <w:tc>
          <w:tcPr>
            <w:tcW w:w="4232" w:type="dxa"/>
            <w:gridSpan w:val="4"/>
            <w:tcBorders>
              <w:top w:val="single" w:color="auto" w:sz="4" w:space="0"/>
              <w:left w:val="single" w:color="auto" w:sz="4" w:space="0"/>
              <w:bottom w:val="single" w:color="auto" w:sz="4" w:space="0"/>
              <w:right w:val="single" w:color="auto" w:sz="4" w:space="0"/>
            </w:tcBorders>
          </w:tcPr>
          <w:p>
            <w:pPr>
              <w:widowControl/>
              <w:spacing w:line="560" w:lineRule="exact"/>
              <w:rPr>
                <w:rFonts w:ascii="宋体" w:hAnsi="宋体" w:cs="宋体"/>
                <w:kern w:val="0"/>
                <w:sz w:val="20"/>
                <w:szCs w:val="20"/>
              </w:rPr>
            </w:pPr>
            <w:r>
              <w:rPr>
                <w:rFonts w:hint="eastAsia" w:ascii="宋体" w:hAnsi="宋体" w:cs="宋体"/>
                <w:kern w:val="0"/>
                <w:sz w:val="20"/>
                <w:szCs w:val="20"/>
              </w:rPr>
              <w:t>通过立项督查、专项督查、绩效管理信息平台建设，提高了政府管理能力水平</w:t>
            </w:r>
          </w:p>
        </w:tc>
      </w:tr>
      <w:tr>
        <w:tblPrEx>
          <w:tblLayout w:type="fixed"/>
          <w:tblCellMar>
            <w:top w:w="0" w:type="dxa"/>
            <w:left w:w="108" w:type="dxa"/>
            <w:bottom w:w="0" w:type="dxa"/>
            <w:right w:w="108" w:type="dxa"/>
          </w:tblCellMar>
        </w:tblPrEx>
        <w:trPr>
          <w:trHeight w:val="720" w:hRule="atLeast"/>
          <w:jc w:val="center"/>
        </w:trPr>
        <w:tc>
          <w:tcPr>
            <w:tcW w:w="63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年度</w:t>
            </w:r>
            <w:r>
              <w:rPr>
                <w:rFonts w:hint="eastAsia" w:ascii="宋体" w:hAnsi="宋体"/>
                <w:sz w:val="20"/>
                <w:szCs w:val="20"/>
                <w:lang w:val="zh-CN"/>
              </w:rPr>
              <w:br w:type="textWrapping"/>
            </w:r>
            <w:r>
              <w:rPr>
                <w:rFonts w:hint="eastAsia" w:ascii="宋体" w:hAnsi="宋体"/>
                <w:sz w:val="20"/>
                <w:szCs w:val="20"/>
                <w:lang w:val="zh-CN"/>
              </w:rPr>
              <w:t>绩效</w:t>
            </w:r>
            <w:r>
              <w:rPr>
                <w:rFonts w:hint="eastAsia" w:ascii="宋体" w:hAnsi="宋体"/>
                <w:sz w:val="20"/>
                <w:szCs w:val="20"/>
                <w:lang w:val="zh-CN"/>
              </w:rPr>
              <w:br w:type="textWrapping"/>
            </w:r>
            <w:r>
              <w:rPr>
                <w:rFonts w:hint="eastAsia" w:ascii="宋体" w:hAnsi="宋体"/>
                <w:sz w:val="20"/>
                <w:szCs w:val="20"/>
                <w:lang w:val="zh-CN"/>
              </w:rPr>
              <w:t>指标</w:t>
            </w:r>
            <w:r>
              <w:rPr>
                <w:rFonts w:hint="eastAsia" w:ascii="宋体" w:hAnsi="宋体"/>
                <w:sz w:val="20"/>
                <w:szCs w:val="20"/>
                <w:lang w:val="zh-CN"/>
              </w:rPr>
              <w:br w:type="textWrapping"/>
            </w:r>
            <w:r>
              <w:rPr>
                <w:rFonts w:hint="eastAsia" w:ascii="宋体" w:hAnsi="宋体"/>
                <w:sz w:val="20"/>
                <w:szCs w:val="20"/>
                <w:lang w:val="zh-CN"/>
              </w:rPr>
              <w:t>完成</w:t>
            </w:r>
            <w:r>
              <w:rPr>
                <w:rFonts w:hint="eastAsia" w:ascii="宋体" w:hAnsi="宋体"/>
                <w:sz w:val="20"/>
                <w:szCs w:val="20"/>
                <w:lang w:val="zh-CN"/>
              </w:rPr>
              <w:br w:type="textWrapping"/>
            </w:r>
            <w:r>
              <w:rPr>
                <w:rFonts w:hint="eastAsia" w:ascii="宋体" w:hAnsi="宋体"/>
                <w:sz w:val="20"/>
                <w:szCs w:val="20"/>
                <w:lang w:val="zh-CN"/>
              </w:rPr>
              <w:t>情况</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一级指标</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二级指标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三级指标</w:t>
            </w:r>
          </w:p>
        </w:tc>
        <w:tc>
          <w:tcPr>
            <w:tcW w:w="213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预期指标值（包含数字及文字描述）</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项目完成指标</w:t>
            </w:r>
          </w:p>
        </w:tc>
        <w:tc>
          <w:tcPr>
            <w:tcW w:w="12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数量指标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0"/>
                <w:szCs w:val="20"/>
                <w:lang w:val="zh-CN"/>
              </w:rPr>
            </w:pPr>
            <w:r>
              <w:rPr>
                <w:rFonts w:hint="eastAsia" w:ascii="宋体" w:hAnsi="宋体"/>
                <w:sz w:val="20"/>
                <w:szCs w:val="20"/>
                <w:lang w:val="zh-CN"/>
              </w:rPr>
              <w:t xml:space="preserve"> 指标1：绩效考核经费及考核奖</w:t>
            </w:r>
          </w:p>
        </w:tc>
        <w:tc>
          <w:tcPr>
            <w:tcW w:w="213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绩效考核经费及考核奖59.9万元</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0"/>
                <w:szCs w:val="20"/>
                <w:lang w:val="zh-CN"/>
              </w:rPr>
            </w:pPr>
            <w:r>
              <w:rPr>
                <w:rFonts w:hint="eastAsia" w:ascii="宋体" w:hAnsi="宋体"/>
                <w:sz w:val="20"/>
                <w:szCs w:val="20"/>
                <w:lang w:val="zh-CN"/>
              </w:rPr>
              <w:t>2018年底前已完成59.9万元。</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207"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0"/>
                <w:szCs w:val="20"/>
                <w:lang w:val="zh-CN"/>
              </w:rPr>
            </w:pPr>
            <w:r>
              <w:rPr>
                <w:rFonts w:hint="eastAsia" w:ascii="宋体" w:hAnsi="宋体"/>
                <w:sz w:val="20"/>
                <w:szCs w:val="20"/>
                <w:lang w:val="zh-CN"/>
              </w:rPr>
              <w:t xml:space="preserve"> 指标2：绩效考核经费</w:t>
            </w:r>
          </w:p>
        </w:tc>
        <w:tc>
          <w:tcPr>
            <w:tcW w:w="213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绩效考核经费35万元</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0"/>
                <w:szCs w:val="20"/>
                <w:lang w:val="zh-CN"/>
              </w:rPr>
            </w:pPr>
            <w:r>
              <w:rPr>
                <w:rFonts w:hint="eastAsia" w:ascii="宋体" w:hAnsi="宋体"/>
                <w:sz w:val="20"/>
                <w:szCs w:val="20"/>
                <w:lang w:val="zh-CN"/>
              </w:rPr>
              <w:t>2018年底前已完成35万元。</w:t>
            </w:r>
          </w:p>
        </w:tc>
      </w:tr>
      <w:tr>
        <w:tblPrEx>
          <w:tblLayout w:type="fixed"/>
          <w:tblCellMar>
            <w:top w:w="0" w:type="dxa"/>
            <w:left w:w="108" w:type="dxa"/>
            <w:bottom w:w="0" w:type="dxa"/>
            <w:right w:w="108" w:type="dxa"/>
          </w:tblCellMar>
        </w:tblPrEx>
        <w:trPr>
          <w:trHeight w:val="1053"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207"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时效指标</w:t>
            </w:r>
          </w:p>
        </w:tc>
        <w:tc>
          <w:tcPr>
            <w:tcW w:w="146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 xml:space="preserve"> 指标</w:t>
            </w:r>
            <w:r>
              <w:rPr>
                <w:rFonts w:hint="eastAsia" w:ascii="宋体" w:hAnsi="宋体"/>
                <w:sz w:val="20"/>
                <w:szCs w:val="20"/>
                <w:lang w:val="en-US" w:eastAsia="zh-CN"/>
              </w:rPr>
              <w:t>1：项目完成时间</w:t>
            </w:r>
          </w:p>
        </w:tc>
        <w:tc>
          <w:tcPr>
            <w:tcW w:w="210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sz w:val="20"/>
                <w:szCs w:val="20"/>
                <w:lang w:val="en-US" w:eastAsia="zh-CN"/>
              </w:rPr>
            </w:pPr>
            <w:r>
              <w:rPr>
                <w:rFonts w:hint="eastAsia" w:ascii="宋体" w:hAnsi="宋体"/>
                <w:sz w:val="20"/>
                <w:szCs w:val="20"/>
                <w:lang w:val="en-US" w:eastAsia="zh-CN"/>
              </w:rPr>
              <w:t>2018年12月31日</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sz w:val="20"/>
                <w:szCs w:val="20"/>
                <w:lang w:val="zh-CN" w:eastAsia="zh-CN"/>
              </w:rPr>
            </w:pPr>
            <w:r>
              <w:rPr>
                <w:rFonts w:hint="eastAsia" w:ascii="宋体" w:hAnsi="宋体"/>
                <w:sz w:val="20"/>
                <w:szCs w:val="20"/>
                <w:lang w:val="en-US" w:eastAsia="zh-CN"/>
              </w:rPr>
              <w:t>2018年12月31日</w:t>
            </w:r>
          </w:p>
        </w:tc>
      </w:tr>
      <w:tr>
        <w:tblPrEx>
          <w:tblLayout w:type="fixed"/>
          <w:tblCellMar>
            <w:top w:w="0" w:type="dxa"/>
            <w:left w:w="108" w:type="dxa"/>
            <w:bottom w:w="0" w:type="dxa"/>
            <w:right w:w="108" w:type="dxa"/>
          </w:tblCellMar>
        </w:tblPrEx>
        <w:trPr>
          <w:trHeight w:val="423"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207" w:type="dxa"/>
            <w:vMerge w:val="continue"/>
            <w:tcBorders>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46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0"/>
                <w:szCs w:val="20"/>
                <w:lang w:val="zh-CN"/>
              </w:rPr>
            </w:pPr>
            <w:r>
              <w:rPr>
                <w:rFonts w:hint="eastAsia" w:ascii="宋体" w:hAnsi="宋体"/>
                <w:sz w:val="20"/>
                <w:szCs w:val="20"/>
                <w:lang w:val="zh-CN"/>
              </w:rPr>
              <w:t xml:space="preserve"> 指标：资金付款及时性</w:t>
            </w:r>
          </w:p>
        </w:tc>
        <w:tc>
          <w:tcPr>
            <w:tcW w:w="210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sz w:val="20"/>
                <w:szCs w:val="20"/>
                <w:lang w:val="en-US" w:eastAsia="zh-CN"/>
              </w:rPr>
            </w:pPr>
            <w:r>
              <w:rPr>
                <w:rFonts w:hint="eastAsia" w:ascii="宋体" w:hAnsi="宋体"/>
                <w:sz w:val="20"/>
                <w:szCs w:val="20"/>
                <w:lang w:val="en-US" w:eastAsia="zh-CN"/>
              </w:rPr>
              <w:t>100%</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sz w:val="20"/>
                <w:szCs w:val="20"/>
                <w:lang w:val="en-US" w:eastAsia="zh-CN"/>
              </w:rPr>
            </w:pPr>
            <w:r>
              <w:rPr>
                <w:rFonts w:hint="eastAsia" w:ascii="宋体" w:hAnsi="宋体"/>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成本指标</w:t>
            </w:r>
          </w:p>
        </w:tc>
        <w:tc>
          <w:tcPr>
            <w:tcW w:w="146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 xml:space="preserve"> 指标1：项目经费</w:t>
            </w:r>
          </w:p>
        </w:tc>
        <w:tc>
          <w:tcPr>
            <w:tcW w:w="210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2"/>
                <w:szCs w:val="20"/>
                <w:lang w:val="zh-CN"/>
              </w:rPr>
              <w:t>94.9万元</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2"/>
                <w:szCs w:val="20"/>
                <w:lang w:val="zh-CN"/>
              </w:rPr>
              <w:t>94.9万元</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项目效果指标</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社会效益</w:t>
            </w:r>
            <w:r>
              <w:rPr>
                <w:rFonts w:hint="eastAsia" w:ascii="宋体" w:hAnsi="宋体"/>
                <w:sz w:val="20"/>
                <w:szCs w:val="20"/>
                <w:lang w:val="zh-CN"/>
              </w:rPr>
              <w:br w:type="textWrapping"/>
            </w:r>
            <w:r>
              <w:rPr>
                <w:rFonts w:hint="eastAsia" w:ascii="宋体" w:hAnsi="宋体"/>
                <w:sz w:val="20"/>
                <w:szCs w:val="20"/>
                <w:lang w:val="zh-CN"/>
              </w:rPr>
              <w:t>指标</w:t>
            </w:r>
          </w:p>
        </w:tc>
        <w:tc>
          <w:tcPr>
            <w:tcW w:w="146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sz w:val="20"/>
                <w:szCs w:val="20"/>
                <w:lang w:val="zh-CN"/>
              </w:rPr>
              <w:t xml:space="preserve"> 指标1：</w:t>
            </w:r>
            <w:r>
              <w:rPr>
                <w:rFonts w:hint="eastAsia" w:ascii="宋体" w:hAnsi="宋体"/>
                <w:sz w:val="20"/>
                <w:szCs w:val="20"/>
              </w:rPr>
              <w:t>政府管理水平提升情况</w:t>
            </w:r>
          </w:p>
        </w:tc>
        <w:tc>
          <w:tcPr>
            <w:tcW w:w="210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cs="宋体"/>
                <w:kern w:val="0"/>
                <w:sz w:val="20"/>
                <w:szCs w:val="20"/>
              </w:rPr>
              <w:t>提高了政府管理能力水平</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lang w:val="zh-CN"/>
              </w:rPr>
            </w:pPr>
            <w:r>
              <w:rPr>
                <w:rFonts w:hint="eastAsia" w:ascii="宋体" w:hAnsi="宋体" w:cs="宋体"/>
                <w:kern w:val="0"/>
                <w:sz w:val="20"/>
                <w:szCs w:val="20"/>
              </w:rPr>
              <w:t>提高了政府管理能力水平</w:t>
            </w:r>
          </w:p>
        </w:tc>
      </w:tr>
      <w:tr>
        <w:tblPrEx>
          <w:tblLayout w:type="fixed"/>
          <w:tblCellMar>
            <w:top w:w="0" w:type="dxa"/>
            <w:left w:w="108" w:type="dxa"/>
            <w:bottom w:w="0" w:type="dxa"/>
            <w:right w:w="108" w:type="dxa"/>
          </w:tblCellMar>
        </w:tblPrEx>
        <w:trPr>
          <w:trHeight w:val="480" w:hRule="atLeast"/>
          <w:jc w:val="center"/>
        </w:trPr>
        <w:tc>
          <w:tcPr>
            <w:tcW w:w="639"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after="200" w:line="276" w:lineRule="auto"/>
              <w:jc w:val="left"/>
              <w:rPr>
                <w:rFonts w:ascii="宋体" w:hAnsi="宋体"/>
                <w:sz w:val="22"/>
                <w:szCs w:val="20"/>
                <w:lang w:val="zh-CN"/>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满意度</w:t>
            </w:r>
            <w:r>
              <w:rPr>
                <w:rFonts w:hint="eastAsia" w:ascii="宋体" w:hAnsi="宋体"/>
                <w:sz w:val="20"/>
                <w:szCs w:val="20"/>
                <w:lang w:val="zh-CN"/>
              </w:rPr>
              <w:br w:type="textWrapping"/>
            </w:r>
            <w:r>
              <w:rPr>
                <w:rFonts w:hint="eastAsia" w:ascii="宋体" w:hAnsi="宋体"/>
                <w:sz w:val="20"/>
                <w:szCs w:val="20"/>
                <w:lang w:val="zh-CN"/>
              </w:rPr>
              <w:t>指标</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0"/>
                <w:lang w:val="zh-CN"/>
              </w:rPr>
            </w:pPr>
            <w:r>
              <w:rPr>
                <w:rFonts w:hint="eastAsia" w:ascii="宋体" w:hAnsi="宋体"/>
                <w:sz w:val="20"/>
                <w:szCs w:val="20"/>
                <w:lang w:val="zh-CN"/>
              </w:rPr>
              <w:t>满意度指标</w:t>
            </w:r>
          </w:p>
        </w:tc>
        <w:tc>
          <w:tcPr>
            <w:tcW w:w="146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0"/>
              </w:rPr>
            </w:pPr>
            <w:r>
              <w:rPr>
                <w:rFonts w:hint="eastAsia" w:ascii="宋体" w:hAnsi="宋体"/>
                <w:sz w:val="20"/>
                <w:szCs w:val="20"/>
                <w:lang w:val="zh-CN"/>
              </w:rPr>
              <w:t xml:space="preserve"> 指标1：</w:t>
            </w:r>
            <w:r>
              <w:rPr>
                <w:rFonts w:hint="eastAsia" w:ascii="宋体" w:hAnsi="宋体"/>
                <w:sz w:val="20"/>
                <w:szCs w:val="20"/>
              </w:rPr>
              <w:t>群众满意度</w:t>
            </w:r>
          </w:p>
        </w:tc>
        <w:tc>
          <w:tcPr>
            <w:tcW w:w="210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lang w:val="zh-CN"/>
              </w:rPr>
            </w:pPr>
            <w:r>
              <w:rPr>
                <w:rFonts w:hint="eastAsia" w:ascii="宋体" w:hAnsi="宋体" w:cs="宋体"/>
                <w:color w:val="000000"/>
                <w:kern w:val="0"/>
                <w:sz w:val="20"/>
                <w:szCs w:val="20"/>
                <w:lang w:val="zh-CN"/>
              </w:rPr>
              <w:t>群众满意率达到100%　</w:t>
            </w:r>
          </w:p>
        </w:tc>
        <w:tc>
          <w:tcPr>
            <w:tcW w:w="209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lang w:val="zh-CN"/>
              </w:rPr>
            </w:pPr>
            <w:r>
              <w:rPr>
                <w:rFonts w:hint="eastAsia" w:ascii="宋体" w:hAnsi="宋体" w:cs="宋体"/>
                <w:color w:val="000000"/>
                <w:kern w:val="0"/>
                <w:sz w:val="20"/>
                <w:szCs w:val="20"/>
                <w:lang w:val="zh-CN"/>
              </w:rPr>
              <w:t>群众满意率达到100%　</w:t>
            </w:r>
          </w:p>
        </w:tc>
      </w:tr>
    </w:tbl>
    <w:p>
      <w:pPr>
        <w:widowControl w:val="0"/>
        <w:spacing w:line="540" w:lineRule="exact"/>
        <w:ind w:firstLine="640" w:firstLineChars="200"/>
        <w:jc w:val="both"/>
        <w:rPr>
          <w:rFonts w:hint="eastAsia" w:ascii="仿宋_GB2312" w:hAnsi="Times New Roman" w:eastAsia="仿宋_GB2312" w:cs="Times New Roman"/>
          <w:sz w:val="32"/>
          <w:szCs w:val="32"/>
        </w:rPr>
      </w:pPr>
    </w:p>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36（款）01（项）：指行政运行。201（类）36（款）50（项）：指事业运行。201（类）36（款）99（项）：指其他共产党事务支出。208（类）05（款）05（项）：指机关事业单位基本养老保险缴费支出。229（类）99（款）01（项）：指其他支出。</w:t>
      </w:r>
    </w:p>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bookmarkStart w:id="0" w:name="_GoBack"/>
      <w:bookmarkEnd w:id="0"/>
      <w:r>
        <w:rPr>
          <w:rFonts w:hint="eastAsia" w:ascii="黑体" w:hAnsi="黑体" w:eastAsia="黑体" w:cs="Times New Roman"/>
          <w:sz w:val="32"/>
          <w:szCs w:val="32"/>
        </w:rPr>
        <w:t>第四部分 部门决算公开的8张报表（见附表）</w:t>
      </w:r>
    </w:p>
    <w:p>
      <w:pPr>
        <w:spacing w:line="540" w:lineRule="exact"/>
        <w:jc w:val="center"/>
        <w:rPr>
          <w:rFonts w:hint="eastAsia" w:ascii="黑体" w:hAnsi="黑体" w:eastAsia="黑体" w:cs="Times New Roman"/>
          <w:sz w:val="32"/>
          <w:szCs w:val="32"/>
        </w:rPr>
      </w:pP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w:t>
      </w:r>
      <w:r>
        <w:rPr>
          <w:rFonts w:hint="eastAsia" w:ascii="楷体_GB2312" w:hAnsi="Calibri" w:eastAsia="楷体_GB2312" w:cs="Times New Roman"/>
          <w:b/>
          <w:bCs/>
          <w:sz w:val="32"/>
          <w:szCs w:val="32"/>
        </w:rPr>
        <w:t>决算</w:t>
      </w:r>
      <w:r>
        <w:rPr>
          <w:rFonts w:hint="eastAsia" w:ascii="仿宋_GB2312" w:hAnsi="Times New Roman" w:eastAsia="仿宋_GB2312" w:cs="Times New Roman"/>
          <w:sz w:val="32"/>
          <w:szCs w:val="32"/>
        </w:rPr>
        <w:t>明细表》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widowControl w:val="0"/>
        <w:spacing w:line="540" w:lineRule="exact"/>
        <w:ind w:firstLine="640" w:firstLineChars="200"/>
        <w:jc w:val="both"/>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D8"/>
    <w:rsid w:val="003A292A"/>
    <w:rsid w:val="005320D8"/>
    <w:rsid w:val="00714292"/>
    <w:rsid w:val="2CBB2091"/>
    <w:rsid w:val="6A0B1084"/>
    <w:rsid w:val="7AA91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uiPriority w:val="0"/>
  </w:style>
  <w:style w:type="character" w:customStyle="1" w:styleId="11">
    <w:name w:val="btnprin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873</Words>
  <Characters>4980</Characters>
  <Lines>41</Lines>
  <Paragraphs>11</Paragraphs>
  <TotalTime>1</TotalTime>
  <ScaleCrop>false</ScaleCrop>
  <LinksUpToDate>false</LinksUpToDate>
  <CharactersWithSpaces>5842</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2021-05-21T14:25:00Z</dcterms:created>
  <dc:creator>Lenovo</dc:creator>
  <cp:lastModifiedBy>Administrator</cp:lastModifiedBy>
  <dcterms:modified xsi:type="dcterms:W3CDTF">2021-05-31T09:05:48Z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0294DECD08844495B7581256AB3F74D5</vt:lpwstr>
  </property>
</Properties>
</file>