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2018年度昌吉市军粮供应站决算公开</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cs="Times New Roman"/>
          <w:b w:val="0"/>
          <w:bCs/>
          <w:kern w:val="0"/>
          <w:sz w:val="32"/>
          <w:szCs w:val="32"/>
        </w:rPr>
      </w:pPr>
      <w:r>
        <w:rPr>
          <w:rFonts w:hint="eastAsia" w:ascii="黑体" w:hAnsi="黑体" w:eastAsia="黑体" w:cs="Times New Roman"/>
          <w:b w:val="0"/>
          <w:bCs/>
          <w:kern w:val="0"/>
          <w:sz w:val="32"/>
          <w:szCs w:val="32"/>
        </w:rPr>
        <w:t>目  录</w:t>
      </w:r>
    </w:p>
    <w:p>
      <w:pPr>
        <w:spacing w:line="540" w:lineRule="exact"/>
        <w:ind w:firstLine="640" w:firstLineChars="200"/>
        <w:rPr>
          <w:rFonts w:hint="eastAsia" w:ascii="仿宋_GB2312" w:hAnsi="Times New Roman" w:eastAsia="仿宋_GB2312" w:cs="Times New Roman"/>
          <w:sz w:val="32"/>
          <w:szCs w:val="32"/>
        </w:rPr>
      </w:pP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第一部分 部门单位概况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一、主要职能</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二、机构设置情况</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第二部分 部门决算情况说明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一、部门收支总体情况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二、部门财政拨款收支情况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（一）财政拨款收支总体情况说明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（二）一般公共预算收支决算情况说明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七、其他重要事项的情况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（二）预算绩效情况的说明</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第三部分 专业名词解释</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第四部分 部门决算公开的8张报表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《收入决算表》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《一般公共预算财政拨款支出决算表》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《一般公共预算财政拨款基本支出决算表》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《一般公共预算财政拨款“三公”经费支出决算表》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《政府性基金预算财政拨款收入支出决算表》</w:t>
      </w:r>
    </w:p>
    <w:p>
      <w:pPr>
        <w:spacing w:line="540" w:lineRule="exact"/>
        <w:ind w:firstLine="640" w:firstLineChars="200"/>
        <w:rPr>
          <w:rFonts w:hint="eastAsia" w:ascii="仿宋_GB2312" w:hAnsi="Times New Roman" w:eastAsia="仿宋_GB2312" w:cs="Times New Roman"/>
          <w:sz w:val="32"/>
          <w:szCs w:val="32"/>
        </w:rPr>
      </w:pP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第一部分 部门单位概况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一、主要职能</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昌吉市军粮供应站主要职能是为保障部门供应粮油。军供站内设营业室、站长室、保管室、财务室。2018年末在职在编4人，实有人数4人，退休5人。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二、机构设置情况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从决算单位构成看，昌吉市军粮供应站部门决算包括：昌吉市军粮供应站部门本级决算。</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纳入昌吉市军粮供应站2018年部门决算编制范围的单位名单见下表：</w:t>
      </w:r>
    </w:p>
    <w:tbl>
      <w:tblPr>
        <w:tblStyle w:val="6"/>
        <w:tblW w:w="834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782"/>
        <w:gridCol w:w="3519"/>
        <w:gridCol w:w="3039"/>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7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35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303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7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35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昌吉市军粮供应站本级</w:t>
            </w:r>
          </w:p>
        </w:tc>
        <w:tc>
          <w:tcPr>
            <w:tcW w:w="303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7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w:t>
            </w:r>
          </w:p>
        </w:tc>
        <w:tc>
          <w:tcPr>
            <w:tcW w:w="35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p>
        </w:tc>
        <w:tc>
          <w:tcPr>
            <w:tcW w:w="303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7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w:t>
            </w:r>
          </w:p>
        </w:tc>
        <w:tc>
          <w:tcPr>
            <w:tcW w:w="35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p>
        </w:tc>
        <w:tc>
          <w:tcPr>
            <w:tcW w:w="303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7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p>
        </w:tc>
        <w:tc>
          <w:tcPr>
            <w:tcW w:w="35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p>
        </w:tc>
        <w:tc>
          <w:tcPr>
            <w:tcW w:w="303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hAnsi="Times New Roman" w:eastAsia="仿宋_GB2312" w:cs="Times New Roman"/>
                <w:sz w:val="32"/>
                <w:szCs w:val="32"/>
              </w:rPr>
            </w:pPr>
          </w:p>
        </w:tc>
      </w:tr>
    </w:tbl>
    <w:p>
      <w:pPr>
        <w:spacing w:line="540" w:lineRule="exact"/>
        <w:ind w:firstLine="640" w:firstLineChars="200"/>
        <w:rPr>
          <w:rFonts w:hint="eastAsia" w:ascii="仿宋_GB2312" w:hAnsi="Times New Roman" w:eastAsia="仿宋_GB2312" w:cs="Times New Roman"/>
          <w:sz w:val="32"/>
          <w:szCs w:val="32"/>
        </w:rPr>
      </w:pP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第二部分 部门决算情况说明</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一、部门收支总体情况</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80.13万元,与上年相比，减少945.87万元，降低92%，增减变化主要原因是：2018年减少项目资金；支出87.13万元,与上年相比，减少13.87万元，降低13.74%，增减变化主要原因是：人员减少；结余918万元，与上年相比，减少7万元，降低0.76%。增减变化主要原因是：支付项目前期费。</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本年收入合计80.13万元，其中：财政拨款收入80.13万元，占100%；上级补助收入0万元，占0%；事业收入0万元，占0%；经营收入0万元，占0%；附属单位缴款0万元，占0%；其他收入0万元，占0%。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与年初预算数相比情况：本年收入年初预算数86.42万元，决算数80.13万元，预决算差异率7.28%，差异主要原因是人员减少。</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本年支出合计87.13万元，其中：基本支出80.13万元，占91.97%；项目支出7万元，占8.03%；上缴上级支出0万元，占0%；经营支出0万元，占0%；对附属单位补助支出0万元，占0%。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与年初预算数相比情况：本年支出年初预算数86.42万元，决算数87.13万元，预决算差异率0.8%，差异主要原因人员减少。</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二、部门财政拨款收支情况</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（一）财政拨款收支总体情况说明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80.13万元，与上年相比，减少945.87万元，降低92%。增减变化的主要原因是：2018年减少项目资金。财政拨款支出87.13万元，与上年相比，减少13.87万元，降低13.74%，增减变化的主要原因是：人员减少。其中：基本支出80.13万元，项目支出7万元。财政拨款结转结余918万元，与上年相比，减少7万元，降低0.76%。增减变化的主要原因是：支付项目前期费。</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86.42万元，决算数80.13万元，预决算差异率7.28%，差异主要原因人员减少。财政拨款支出年初预算数86.42万元，决算数87.13万元，预决算差异率0.82%，差异主要原因业务量加大。</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（二）一般公共预算收支决算情况说明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80.13万元。与上年相比，减少945.87万元，降低92%。增减变化的主要原因是：项目减少。一般公共预算财政拨款支出87.13万元，与上年相比，减少13.87万元，降低13.74%，增减变化的主要原因是：人员减少。其中：按功能分类科目，208类社会保障和就业支出7.41万元，222类粮油物资储备支出79.71万元。按经济分类科目，工资福利支出70.88万元，商品和服务支出11.28万元，303对个人和家庭的补助支出4.96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86.42万元，决算数80.13万元，预决算差异率-7.28%，差异主要原因人员减少。一般公共预算财政拨款支出年初预算数86.42万元，决算数87.13万元，预决算差异率0.82%，差异主要原因业务量加大。</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年末结转结余918万元。与上年相比，减少7万元，减少0.76%。</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其中财政拨款结转结余918万元。与上年相比，减少7万元，减少0.76%。</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2.6万元，比上年增加2.3万元，增长766.67%，增加原因是公务用车费用增加。其中，因公出国（境）费支出0万元，占0%，比上年增加0万元，增长0%，增加原因是预算未安排；公务用车购置及运行维护费支出2.6万元，占100%，比上年增加2.3万元，增长766.67%，增加原因是公务用车费用增加；公务接待费支出0万元，占0%，比上年增加0万元，增长0%，增加原因是预算未安排。具体情况如下：</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因公出国（境）费支出0万元。昌吉市军粮供应站全年使用一般公共预算财政拨款安排的出国（境）团组0个，累计0人次。开支内容包括：无。</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公务用车购置及运行维护费2.6万元,其中，公务用车购置0万元，公务用车运行维护费2.6万元。主要用于公务用车费用。单位一般公共财政拨款安排的公务用车购置量0辆，保有量为1辆。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公务接待费0万元。具体是：国内公务接待支出0万元，主要是无公务接待。昌吉市军粮供应站国内公务接待0批次，0人次。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2.6万元，决算数2.6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2.6万元，决算数2.6万元，预决算差异率0%，差异主要原因本年无增减；公务接待费预算数0万元，决算数0万元，预决算差异率0%，差异主要原因预算未安排。</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2018年度昌吉市军粮供应站日常公用经费支出4.28万元，比上年减少20.40万元，减少82.66%，主要原因是专项经费减少。</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2018年度政府采购支出总额0万元，其中：政府采购货物支出0万元、政府采购工程支出0万元、政府采购服务支出0万元。</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七、其他重要事项的情况</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1辆，价值14.39万元，其中：部级领导干部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其他固定资产价值48.32万元。</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（二）预算绩效情况的说明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2018年度，本部门单位预算绩效自评情况：2018年共有1个项目</w:t>
      </w:r>
      <w:r>
        <w:rPr>
          <w:rFonts w:hint="eastAsia" w:ascii="仿宋_GB2312" w:hAnsi="Times New Roman" w:eastAsia="仿宋_GB2312" w:cs="Times New Roman"/>
          <w:sz w:val="32"/>
          <w:szCs w:val="32"/>
          <w:lang w:eastAsia="zh-CN"/>
        </w:rPr>
        <w:t>（均涉密，不予公开</w:t>
      </w:r>
      <w:bookmarkStart w:id="0" w:name="_GoBack"/>
      <w:bookmarkEnd w:id="0"/>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w:t>
      </w: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第三部分 专业名词解释</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本单位支出功能分类说明。208（类）05（款）05（项）：指机关事业单位基本养老保险缴费支出。222（类）01（款）50（项）：指事业运行。222（类）04（款）03（项）：指储备粮（油）库建设。</w:t>
      </w: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第四部分 部门决算公开的8张报表（见附表）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F50"/>
    <w:rsid w:val="009C15EC"/>
    <w:rsid w:val="00DA5F50"/>
    <w:rsid w:val="00FC2444"/>
    <w:rsid w:val="28CE4E86"/>
    <w:rsid w:val="636170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uiPriority w:val="0"/>
  </w:style>
  <w:style w:type="character" w:customStyle="1" w:styleId="9">
    <w:name w:val="am-margin-right-sm"/>
    <w:basedOn w:val="4"/>
    <w:uiPriority w:val="0"/>
  </w:style>
  <w:style w:type="character" w:customStyle="1" w:styleId="10">
    <w:name w:val="pointer"/>
    <w:basedOn w:val="4"/>
    <w:qFormat/>
    <w:uiPriority w:val="0"/>
  </w:style>
  <w:style w:type="character" w:customStyle="1" w:styleId="11">
    <w:name w:val="btnprint"/>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663</Words>
  <Characters>3781</Characters>
  <Lines>31</Lines>
  <Paragraphs>8</Paragraphs>
  <TotalTime>6</TotalTime>
  <ScaleCrop>false</ScaleCrop>
  <LinksUpToDate>false</LinksUpToDate>
  <CharactersWithSpaces>4436</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2021-05-21T14:27:00Z</dcterms:created>
  <dc:creator>Lenovo</dc:creator>
  <cp:lastModifiedBy>Administrator</cp:lastModifiedBy>
  <dcterms:modified xsi:type="dcterms:W3CDTF">2021-05-31T04:14:37Z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B49BC6799CA04EE695C3FDF15CF3378D</vt:lpwstr>
  </property>
</Properties>
</file>