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_GBK" w:hAnsi="宋体" w:eastAsia="方正小标宋_GBK"/>
          <w:sz w:val="44"/>
          <w:szCs w:val="44"/>
        </w:rPr>
      </w:pPr>
      <w:r>
        <w:rPr>
          <w:rFonts w:hint="eastAsia" w:ascii="方正小标宋_GBK" w:hAnsi="宋体" w:eastAsia="方正小标宋_GBK" w:cs="Times New Roman"/>
          <w:sz w:val="44"/>
          <w:szCs w:val="44"/>
        </w:rPr>
        <w:t>2018年度昌吉市质量技术监督局决算公开</w:t>
      </w:r>
    </w:p>
    <w:p>
      <w:pPr>
        <w:spacing w:line="540" w:lineRule="exact"/>
        <w:ind w:firstLine="0" w:firstLineChars="0"/>
        <w:rPr>
          <w:rFonts w:hint="eastAsia" w:ascii="仿宋_GB2312" w:hAnsi="宋体" w:eastAsia="仿宋_GB2312"/>
          <w:sz w:val="32"/>
          <w:szCs w:val="32"/>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0" w:firstLineChars="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jc w:val="both"/>
        <w:rPr>
          <w:rFonts w:hint="eastAsia" w:ascii="黑体" w:hAnsi="黑体" w:eastAsia="黑体"/>
          <w:sz w:val="32"/>
          <w:szCs w:val="32"/>
        </w:rPr>
      </w:pP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1、负责宣传并贯彻执行国家和自治区有关质量技术监督工作的法律、法规和方针、政策，研究制定并组织实施昌吉市质量技术监督相关政策措施，并对落实情况进行监督检查。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负责全市质量管理工作。组织实施《质量振兴纲要》，负责推进产品质量诚信体系建设，提高质量水平发展战略，推广先进质量管理经验和方法，推进名牌战略，组织实施质量奖励制度。组织产品质量事故调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3、负责全市质量安全监督管理工作，组织全市产品质量监督检查、风险监控工作，依法对检验机构、生产许可证产品进行监督检查。负责组织开展产品质量安全专项整治工作，依据昌吉市人民政府授权，组织协调全市产品质量专项打假活动。</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4、负责全市标准化管理工作。负责对强制性标准的实施进行监督检查。推行采用国际标准和国外先进标准，受理企业产品标准备案；负责组织昌吉市地方标准的制定；负责实施商品条码监督检查。</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5、负责全市计量监督管理工作。推行法定计量单位和国家计量制度，依法管理计量标准、计量器具及量值传递、溯源工作，规范和监督商品量和市场计量行为。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6、负责全市认证认可工作。依法对检验机构及其检验服务活动进行监督管理；负责认证认可监督和管理工作。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7、负责地理标志产品监督管理工作。</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8、负责全市特种设备安全的综合管理，监督检查高能耗特种设备节能标准执行情况。组织查处特种设备违法行为。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9、负责全市的纤维质量监督管理和行政执法工作。对棉、麻、毛、绒、服装、纺织品等各类纤维及其制品生产、经营进行质量监督管理，依法查处各类纤维违法行为。</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10、承办昌吉市人民政府交办的其他事项。</w:t>
      </w:r>
    </w:p>
    <w:p>
      <w:pPr>
        <w:widowControl w:val="0"/>
        <w:spacing w:line="540" w:lineRule="exact"/>
        <w:ind w:firstLine="640" w:firstLineChars="200"/>
        <w:jc w:val="both"/>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从决算单位构成看，昌吉市质量技术监督局决算包括：昌吉市质量技术监督局本级决算。</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纳入昌吉市质量技术监督局2018年部门决算编制范围的单位名单见下表：</w:t>
      </w:r>
    </w:p>
    <w:tbl>
      <w:tblPr>
        <w:tblStyle w:val="6"/>
        <w:tblW w:w="8320" w:type="dxa"/>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
      <w:tblGrid>
        <w:gridCol w:w="1493"/>
        <w:gridCol w:w="3250"/>
        <w:gridCol w:w="3577"/>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序号</w:t>
            </w:r>
          </w:p>
        </w:tc>
        <w:tc>
          <w:tcPr>
            <w:tcW w:w="32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单位名称</w:t>
            </w: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备注</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w:t>
            </w:r>
          </w:p>
        </w:tc>
        <w:tc>
          <w:tcPr>
            <w:tcW w:w="32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昌吉市质量技术监督局本级</w:t>
            </w: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w:t>
            </w:r>
          </w:p>
        </w:tc>
        <w:tc>
          <w:tcPr>
            <w:tcW w:w="32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spacing w:line="500" w:lineRule="exact"/>
              <w:ind w:firstLine="640" w:firstLineChars="200"/>
              <w:rPr>
                <w:rFonts w:hint="eastAsia" w:ascii="仿宋_GB2312" w:hAnsi="Times New Roman" w:eastAsia="仿宋_GB2312" w:cs="Times New Roman"/>
                <w:sz w:val="32"/>
                <w:szCs w:val="32"/>
              </w:rPr>
            </w:pP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24" w:type="dxa"/>
            <w:left w:w="24" w:type="dxa"/>
            <w:bottom w:w="24" w:type="dxa"/>
            <w:right w:w="24" w:type="dxa"/>
          </w:tblCellMar>
        </w:tblPrEx>
        <w:tc>
          <w:tcPr>
            <w:tcW w:w="1493"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spacing w:before="225" w:line="450" w:lineRule="atLeast"/>
              <w:jc w:val="left"/>
              <w:rPr>
                <w:rFonts w:ascii="宋体" w:hAnsi="宋体" w:eastAsia="宋体" w:cs="宋体"/>
                <w:color w:val="333333"/>
                <w:kern w:val="0"/>
                <w:sz w:val="24"/>
                <w:szCs w:val="24"/>
              </w:rPr>
            </w:pPr>
            <w:r>
              <w:rPr>
                <w:rFonts w:hint="eastAsia" w:ascii="宋体" w:hAnsi="宋体" w:eastAsia="宋体" w:cs="宋体"/>
                <w:color w:val="333333"/>
                <w:kern w:val="0"/>
                <w:sz w:val="24"/>
                <w:szCs w:val="24"/>
              </w:rPr>
              <w:t>…</w:t>
            </w:r>
          </w:p>
        </w:tc>
        <w:tc>
          <w:tcPr>
            <w:tcW w:w="3250"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hint="eastAsia" w:ascii="宋体" w:hAnsi="宋体" w:eastAsia="宋体" w:cs="宋体"/>
                <w:color w:val="333333"/>
                <w:kern w:val="0"/>
                <w:sz w:val="24"/>
                <w:szCs w:val="24"/>
              </w:rPr>
            </w:pPr>
          </w:p>
        </w:tc>
        <w:tc>
          <w:tcPr>
            <w:tcW w:w="3577"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center"/>
          </w:tcPr>
          <w:p>
            <w:pPr>
              <w:widowControl/>
              <w:jc w:val="left"/>
              <w:rPr>
                <w:rFonts w:ascii="Times New Roman" w:hAnsi="Times New Roman" w:eastAsia="Times New Roman" w:cs="Times New Roman"/>
                <w:kern w:val="0"/>
                <w:sz w:val="20"/>
                <w:szCs w:val="20"/>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（一）部门收入支出决算总体情况说明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收入266.45万元,与上年相比，减少52.61万元，降低16.49%，增减变化主要原因是：未安排项目经费，人员退休，人员经费减少；支出304.08万元,与上年相比，增加22.66万元，增长8.05%，增减变化主要原因是：支出上年抽检费；结余0万元，与上年相比，减少37.64万元，降低100%。增减变化主要原因是：2018年无结余。</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（二）部门收入总体情况说明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本年收入合计266.45万元，其中：财政拨款收入258.45万元，占97%；上级补助收入0万元，占0%；事业收入0万元，占0%；经营收入0万元，占0%；附属单位缴款0万元，占0%；其他收入8万元，占3%。</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与年初预算数相比情况：本年收入年初预算数210.35万元，决算数266.45万元，预决算差异率26.67%，差异主要原因追加经费和人员增资绩效及上年结余等经费。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（三）部门支出总体情况说明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本年支出合计304.08万元，其中：基本支出233.44万元，占76.77%；项目支出70.64万元，占23.23%；上缴上级支出0万元，占0%；经营支出0万元，占0%；对附属单位补助支出0万元，占0%。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与年初预算数相比情况：本年支出年初预算数210.35万元，决算数304.08万元，预决算差异率44.56%，差异主要原因追加了项目经费和人员增资绩效及上年结余等经费。</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（一）财政拨款收支总体情况说明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财政拨款收入258.45万元，与上年相比，减少60.61万元，降低19%。增减变化的主要原因是：未安排项目经费，人员退休，人员经费减少。财政拨款支出296.08万元，与上年相比，增加14.66万元，增长5.21%，增减变化的主要原因是：支出上年抽检费。其中：基本支出233.44万元，项目支出62.64万元。财政拨款结转结余0万元，与上年相比，减少37.64万元，降低100%。增减变化的主要原因是：2018年无结余。</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财政拨款收入年初预算数210.35万元，决算数258.45万元，预决算差异率22.87%，差异主要原因追加人员增资及上年结余等经费。财政拨款支出年初预算数210.35万元，决算数296.08万元，预决算差异率40.76%，差异主要原因追加经费和人员增资绩效及上年结余等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（二）一般公共预算收支决算情况说明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财政拨款收入258.45万元。与上年相比，减少60.61万元，降低19%。增减变化的主要原因是：未安排项目经费，人员退休，人员经费减少。一般公共预算财政拨款支出296.08万元。与上年相比，增加14.66万元，增长5.21%。增减变化的主要原因是支出上年抽检费。其中：按功能分类科目，201类一般公共服务支出274.47万元，208类社会保障和就业支出21.61万元。按经济分类科目，工资福利支出200.79万元，商品和服务支出81.10万元，对个人和家庭的补助支出14.19万元。</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财政拨款收入年初预算数210.35万元，决算数258.45万元，预决算差异率22.87%，差异主要原因追加了项目支出及上年结余等经费。一般公共预算财政拨款支出年初预算数210.35万元，决算数296.08万元，预决算差异率40.76%，差异主要原因追加了经费和人员增资绩效及上年结余等经费。</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（三）政府性基金预算收支决算情况说明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性基金预算财政拨款收入0万元，与上年相比，增加0万元，增长0%。增减变化的主要原因是：预算未安排。政府性基金预算财政拨款支出0万元，与上年相比，增加0万元，增长0%。增减变化的主要原因是：预算未安排。</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政府性基金预算财政拨款收入年初预算数0万元，决算数0万元，预决算差异率0%，差异主要原因预算未安排。政府性基金预算财政拨款支出年初预算数0万元，决算数0万元，预决算差异率0%，差异主要原因预算未安排。</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年末结转结余0万元。与上年相比，减少37.64万元，降低100%。</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其中财政拨款结转结余0万元。与上年相比，减少37.64万元，降低100%。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一般公共预算“三公”经费支出决算2.98万元，比上年减少0.02万元，降低0.51%，降低原因是压缩车辆支出。其中，因公出国（境）费支出0万元，占0%，比上年增加0万元，增长0%，增加原因是本年无安排；公务用车购置及运行维护费支出2.98万元，占100%，比上年减少0.02万元，降低0.51%，降低原因是压缩车辆支出。公务接待费支出0万元，占0%，比上年增加0万元，增长0%，增加原因是本年无安排。具体情况如下：</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因公出国（境）费支出0万元。昌吉市质量技术监督局全年使用一般公共预算财政拨款安排的出国（境）团组0个，累计0人次。开支内容包括：无开支。</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公务用车购置及运行维护费2.98万元,其中，公务用车购置0万元，公务用车运行维护费2.98万元。主要用于车辆加油、加气、维修、保养、审验等等。单位一般公共财政拨款安排的公务用车购置量0辆，保有量为3辆。</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公务接待费0万元。具体是：国内公务接待支出0万元，主要是无公务接待等。昌吉市质量技术监督局国内公务接待0批次，0人次。</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与年初预算数相比情况：一般公共预算“三公”经费支出年初预算数5.2万元，决算数2.98万元，预决算差异率-42.71%，差异主要原因压缩车辆支出。其中：因公出国（境）费预算数0万元，决算数0万元，预决算差异率0%，差异主要原因本年无安排，无差异；公务用车购置预算数0万元，决算数0万元，预决算差异率0%，差异主要原因无购置车辆；公务用车运行费预算数5.2万元，决算数2.98万元，预决算差异率-42.71%，差异主要原因压缩车辆支出；公务接待费预算数0万元，决算数0万元，预决算差异率0%，差异主要原因本年无增减。</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2018年度昌吉市质量技术监督局机关运行经费支出18.46万元，比上年减少0.86万元，降低4.46%，主要原因是压缩日常公用经费开支。</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2018年度政府采购支出总额1.93万元，其中：政府采购货物支出1.2万元、政府采购工程支出0万元、政府采购服务支出0.73万元。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（一）国有资产占用情况说明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截至2018年12月31日，单位共有车辆3辆，价值50.95万元，其中：部级领导干部用车0辆、主要领导干部用车0辆、机要通信用车0辆、应急保障用车0辆、执法执勤用车3辆、特种专业技术用车0辆、离退休干部用车0辆、其他用车0辆，其他用车主要是：无单位价值50万元以上通用设备0台（套）、单位价值100万元以上专用设备0台（套），其他固定资产价值28.14万元。</w:t>
      </w:r>
    </w:p>
    <w:p>
      <w:pPr>
        <w:spacing w:line="540" w:lineRule="exact"/>
        <w:ind w:firstLine="643" w:firstLineChars="200"/>
        <w:rPr>
          <w:rFonts w:hint="eastAsia" w:ascii="楷体_GB2312" w:hAnsi="Calibri" w:eastAsia="楷体_GB2312" w:cs="Times New Roman"/>
          <w:b/>
          <w:bCs/>
          <w:sz w:val="32"/>
          <w:szCs w:val="32"/>
        </w:rPr>
      </w:pPr>
      <w:r>
        <w:rPr>
          <w:rFonts w:hint="eastAsia" w:ascii="楷体_GB2312" w:hAnsi="Calibri" w:eastAsia="楷体_GB2312" w:cs="Times New Roman"/>
          <w:b/>
          <w:bCs/>
          <w:sz w:val="32"/>
          <w:szCs w:val="32"/>
        </w:rPr>
        <w:t>（二）预算绩效情况的说明</w:t>
      </w:r>
    </w:p>
    <w:p>
      <w:pPr>
        <w:widowControl w:val="0"/>
        <w:spacing w:line="540" w:lineRule="exact"/>
        <w:ind w:firstLine="640" w:firstLineChars="200"/>
        <w:jc w:val="both"/>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2018年度，本部门单位预算绩效自评情况：2018年我单位共有1个项目，预算项目经费70.64万元，为质量技术监督行政执法业务费，主要用煤炭质量管控和车用汽柴油质量监督检验费等。资金由昌吉市质量技术监督局财务室统一安排，合理分配。委托自治区产品质量监督检验研究院开展对煤炭和成品油开展了抽检工作。</w:t>
      </w:r>
    </w:p>
    <w:p>
      <w:pPr>
        <w:widowControl w:val="0"/>
        <w:spacing w:line="540" w:lineRule="exact"/>
        <w:ind w:firstLine="640" w:firstLineChars="200"/>
        <w:jc w:val="both"/>
        <w:rPr>
          <w:rFonts w:hint="eastAsia" w:ascii="黑体" w:hAnsi="黑体" w:eastAsia="黑体"/>
          <w:sz w:val="32"/>
          <w:szCs w:val="32"/>
        </w:rPr>
      </w:pPr>
      <w:r>
        <w:rPr>
          <w:rFonts w:hint="eastAsia" w:ascii="仿宋_GB2312" w:hAnsi="Times New Roman" w:eastAsia="仿宋_GB2312" w:cs="Times New Roman"/>
          <w:sz w:val="32"/>
          <w:szCs w:val="32"/>
        </w:rPr>
        <w:t>质量技术监督行政执法业务费项目绩效自评综述：根据年初设定的绩效目标，质量技术监督行政执法业务费项目自评得分95分，项目全年经费70.64万元，执行数为70.64万元，完成预算的100%。主要产出和效果：一根据昌吉市开展大气污染防治攻行动的要求，进一步加强全市煤炭和成品油质量监管。二是提高全市煤炭质量和成品油质量水平。发现的问题及原因：无。下一步改进措施：无。</w:t>
      </w:r>
    </w:p>
    <w:tbl>
      <w:tblPr>
        <w:tblStyle w:val="6"/>
        <w:tblW w:w="8522" w:type="dxa"/>
        <w:jc w:val="center"/>
        <w:tblInd w:w="0" w:type="dxa"/>
        <w:tblLayout w:type="fixed"/>
        <w:tblCellMar>
          <w:top w:w="0" w:type="dxa"/>
          <w:left w:w="108" w:type="dxa"/>
          <w:bottom w:w="0" w:type="dxa"/>
          <w:right w:w="108" w:type="dxa"/>
        </w:tblCellMar>
      </w:tblPr>
      <w:tblGrid>
        <w:gridCol w:w="680"/>
        <w:gridCol w:w="1077"/>
        <w:gridCol w:w="1285"/>
        <w:gridCol w:w="1021"/>
        <w:gridCol w:w="831"/>
        <w:gridCol w:w="1946"/>
        <w:gridCol w:w="1682"/>
      </w:tblGrid>
      <w:tr>
        <w:tblPrEx>
          <w:tblLayout w:type="fixed"/>
          <w:tblCellMar>
            <w:top w:w="0" w:type="dxa"/>
            <w:left w:w="108" w:type="dxa"/>
            <w:bottom w:w="0" w:type="dxa"/>
            <w:right w:w="108" w:type="dxa"/>
          </w:tblCellMar>
        </w:tblPrEx>
        <w:trPr>
          <w:trHeight w:val="405" w:hRule="atLeast"/>
          <w:jc w:val="center"/>
        </w:trPr>
        <w:tc>
          <w:tcPr>
            <w:tcW w:w="8522" w:type="dxa"/>
            <w:gridSpan w:val="7"/>
            <w:tcBorders>
              <w:top w:val="nil"/>
              <w:left w:val="nil"/>
              <w:bottom w:val="nil"/>
              <w:right w:val="nil"/>
            </w:tcBorders>
            <w:vAlign w:val="center"/>
          </w:tcPr>
          <w:p>
            <w:pPr>
              <w:widowControl/>
              <w:jc w:val="both"/>
              <w:rPr>
                <w:rFonts w:hint="eastAsia" w:ascii="宋体" w:hAnsi="宋体" w:cs="宋体"/>
                <w:b/>
                <w:bCs/>
                <w:kern w:val="0"/>
                <w:sz w:val="32"/>
                <w:szCs w:val="32"/>
              </w:rPr>
            </w:pPr>
          </w:p>
          <w:p>
            <w:pPr>
              <w:widowControl/>
              <w:jc w:val="center"/>
              <w:rPr>
                <w:rFonts w:ascii="宋体" w:hAnsi="宋体" w:cs="宋体"/>
                <w:b/>
                <w:bCs/>
                <w:kern w:val="0"/>
                <w:sz w:val="32"/>
                <w:szCs w:val="32"/>
              </w:rPr>
            </w:pPr>
            <w:r>
              <w:rPr>
                <w:rFonts w:hint="eastAsia" w:ascii="宋体" w:hAnsi="宋体" w:cs="宋体"/>
                <w:b/>
                <w:bCs/>
                <w:kern w:val="0"/>
                <w:sz w:val="32"/>
                <w:szCs w:val="32"/>
                <w:lang w:eastAsia="zh-CN"/>
              </w:rPr>
              <w:t>昌吉市</w:t>
            </w:r>
            <w:r>
              <w:rPr>
                <w:rFonts w:hint="eastAsia" w:ascii="宋体" w:hAnsi="宋体" w:cs="宋体"/>
                <w:b/>
                <w:bCs/>
                <w:kern w:val="0"/>
                <w:sz w:val="32"/>
                <w:szCs w:val="32"/>
              </w:rPr>
              <w:t>质量技术监督局项目支出绩效自评表</w:t>
            </w:r>
          </w:p>
        </w:tc>
      </w:tr>
      <w:tr>
        <w:tblPrEx>
          <w:tblLayout w:type="fixed"/>
          <w:tblCellMar>
            <w:top w:w="0" w:type="dxa"/>
            <w:left w:w="108" w:type="dxa"/>
            <w:bottom w:w="0" w:type="dxa"/>
            <w:right w:w="108" w:type="dxa"/>
          </w:tblCellMar>
        </w:tblPrEx>
        <w:trPr>
          <w:trHeight w:val="285" w:hRule="atLeast"/>
          <w:jc w:val="center"/>
        </w:trPr>
        <w:tc>
          <w:tcPr>
            <w:tcW w:w="8522" w:type="dxa"/>
            <w:gridSpan w:val="7"/>
            <w:tcBorders>
              <w:top w:val="nil"/>
              <w:left w:val="nil"/>
              <w:bottom w:val="nil"/>
              <w:right w:val="nil"/>
            </w:tcBorders>
            <w:vAlign w:val="center"/>
          </w:tcPr>
          <w:p>
            <w:pPr>
              <w:widowControl/>
              <w:jc w:val="center"/>
              <w:rPr>
                <w:rFonts w:hint="eastAsia" w:ascii="宋体" w:hAnsi="宋体" w:eastAsia="宋体" w:cs="宋体"/>
                <w:kern w:val="0"/>
                <w:sz w:val="24"/>
              </w:rPr>
            </w:pPr>
            <w:r>
              <w:rPr>
                <w:rFonts w:hint="eastAsia" w:ascii="宋体" w:hAnsi="宋体" w:eastAsia="宋体" w:cs="宋体"/>
                <w:kern w:val="0"/>
                <w:sz w:val="24"/>
              </w:rPr>
              <w:t>（201</w:t>
            </w:r>
            <w:r>
              <w:rPr>
                <w:rFonts w:hint="eastAsia" w:ascii="宋体" w:hAnsi="宋体" w:eastAsia="宋体" w:cs="宋体"/>
                <w:kern w:val="0"/>
                <w:sz w:val="24"/>
                <w:lang w:val="en-US" w:eastAsia="zh-CN"/>
              </w:rPr>
              <w:t>8</w:t>
            </w:r>
            <w:r>
              <w:rPr>
                <w:rFonts w:hint="eastAsia" w:ascii="宋体" w:hAnsi="宋体" w:eastAsia="宋体" w:cs="宋体"/>
                <w:kern w:val="0"/>
                <w:sz w:val="24"/>
              </w:rPr>
              <w:t>年度）</w:t>
            </w:r>
          </w:p>
        </w:tc>
      </w:tr>
      <w:tr>
        <w:tblPrEx>
          <w:tblLayout w:type="fixed"/>
          <w:tblCellMar>
            <w:top w:w="0" w:type="dxa"/>
            <w:left w:w="108" w:type="dxa"/>
            <w:bottom w:w="0" w:type="dxa"/>
            <w:right w:w="108" w:type="dxa"/>
          </w:tblCellMar>
        </w:tblPrEx>
        <w:trPr>
          <w:trHeight w:val="285" w:hRule="atLeast"/>
          <w:jc w:val="center"/>
        </w:trPr>
        <w:tc>
          <w:tcPr>
            <w:tcW w:w="680"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077"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285"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021"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831"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946" w:type="dxa"/>
            <w:tcBorders>
              <w:top w:val="nil"/>
              <w:left w:val="nil"/>
              <w:bottom w:val="nil"/>
              <w:right w:val="nil"/>
            </w:tcBorders>
            <w:vAlign w:val="center"/>
          </w:tcPr>
          <w:p>
            <w:pPr>
              <w:widowControl/>
              <w:jc w:val="center"/>
              <w:rPr>
                <w:rFonts w:hint="eastAsia" w:ascii="宋体" w:hAnsi="宋体" w:eastAsia="宋体" w:cs="宋体"/>
                <w:kern w:val="0"/>
                <w:sz w:val="24"/>
              </w:rPr>
            </w:pPr>
          </w:p>
        </w:tc>
        <w:tc>
          <w:tcPr>
            <w:tcW w:w="1682" w:type="dxa"/>
            <w:tcBorders>
              <w:top w:val="nil"/>
              <w:left w:val="nil"/>
              <w:bottom w:val="nil"/>
              <w:right w:val="nil"/>
            </w:tcBorders>
            <w:vAlign w:val="center"/>
          </w:tcPr>
          <w:p>
            <w:pPr>
              <w:widowControl/>
              <w:jc w:val="center"/>
              <w:rPr>
                <w:rFonts w:hint="eastAsia" w:ascii="宋体" w:hAnsi="宋体" w:eastAsia="宋体" w:cs="宋体"/>
                <w:kern w:val="0"/>
                <w:sz w:val="24"/>
              </w:rPr>
            </w:pPr>
          </w:p>
        </w:tc>
      </w:tr>
      <w:tr>
        <w:tblPrEx>
          <w:tblLayout w:type="fixed"/>
          <w:tblCellMar>
            <w:top w:w="0" w:type="dxa"/>
            <w:left w:w="108" w:type="dxa"/>
            <w:bottom w:w="0" w:type="dxa"/>
            <w:right w:w="108" w:type="dxa"/>
          </w:tblCellMar>
        </w:tblPrEx>
        <w:trPr>
          <w:trHeight w:val="420"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项目名称</w:t>
            </w:r>
          </w:p>
        </w:tc>
        <w:tc>
          <w:tcPr>
            <w:tcW w:w="5480"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质量技术监督行政执法业务费</w:t>
            </w:r>
          </w:p>
        </w:tc>
      </w:tr>
      <w:tr>
        <w:tblPrEx>
          <w:tblLayout w:type="fixed"/>
          <w:tblCellMar>
            <w:top w:w="0" w:type="dxa"/>
            <w:left w:w="108" w:type="dxa"/>
            <w:bottom w:w="0" w:type="dxa"/>
            <w:right w:w="108" w:type="dxa"/>
          </w:tblCellMar>
        </w:tblPrEx>
        <w:trPr>
          <w:trHeight w:val="435" w:hRule="atLeast"/>
          <w:jc w:val="center"/>
        </w:trPr>
        <w:tc>
          <w:tcPr>
            <w:tcW w:w="3042" w:type="dxa"/>
            <w:gridSpan w:val="3"/>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预算单位</w:t>
            </w:r>
          </w:p>
        </w:tc>
        <w:tc>
          <w:tcPr>
            <w:tcW w:w="5480" w:type="dxa"/>
            <w:gridSpan w:val="4"/>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lang w:eastAsia="zh-CN"/>
              </w:rPr>
              <w:t>昌吉市</w:t>
            </w:r>
            <w:r>
              <w:rPr>
                <w:rFonts w:hint="eastAsia" w:ascii="宋体" w:hAnsi="宋体" w:eastAsia="宋体" w:cs="宋体"/>
                <w:kern w:val="0"/>
                <w:sz w:val="20"/>
                <w:szCs w:val="20"/>
              </w:rPr>
              <w:t>质量技术监督局　</w:t>
            </w:r>
          </w:p>
        </w:tc>
      </w:tr>
      <w:tr>
        <w:tblPrEx>
          <w:tblLayout w:type="fixed"/>
          <w:tblCellMar>
            <w:top w:w="0" w:type="dxa"/>
            <w:left w:w="108" w:type="dxa"/>
            <w:bottom w:w="0" w:type="dxa"/>
            <w:right w:w="108" w:type="dxa"/>
          </w:tblCellMar>
        </w:tblPrEx>
        <w:trPr>
          <w:trHeight w:val="465"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预算</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执行</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（万元）</w:t>
            </w:r>
          </w:p>
        </w:tc>
        <w:tc>
          <w:tcPr>
            <w:tcW w:w="236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预算数：</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70.64</w:t>
            </w: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执行数：</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70.64</w:t>
            </w:r>
          </w:p>
        </w:tc>
      </w:tr>
      <w:tr>
        <w:tblPrEx>
          <w:tblLayout w:type="fixed"/>
          <w:tblCellMar>
            <w:top w:w="0" w:type="dxa"/>
            <w:left w:w="108" w:type="dxa"/>
            <w:bottom w:w="0" w:type="dxa"/>
            <w:right w:w="108" w:type="dxa"/>
          </w:tblCellMar>
        </w:tblPrEx>
        <w:trPr>
          <w:trHeight w:val="509"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70.64</w:t>
            </w:r>
          </w:p>
        </w:tc>
        <w:tc>
          <w:tcPr>
            <w:tcW w:w="1946" w:type="dxa"/>
            <w:tcBorders>
              <w:top w:val="nil"/>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其中：财政拨款</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70.64</w:t>
            </w:r>
            <w:r>
              <w:rPr>
                <w:rFonts w:hint="eastAsia" w:ascii="宋体" w:hAnsi="宋体" w:eastAsia="宋体" w:cs="宋体"/>
                <w:kern w:val="0"/>
                <w:sz w:val="20"/>
                <w:szCs w:val="20"/>
              </w:rPr>
              <w:t>　</w:t>
            </w:r>
          </w:p>
        </w:tc>
      </w:tr>
      <w:tr>
        <w:tblPrEx>
          <w:tblLayout w:type="fixed"/>
          <w:tblCellMar>
            <w:top w:w="0" w:type="dxa"/>
            <w:left w:w="108" w:type="dxa"/>
            <w:bottom w:w="0" w:type="dxa"/>
            <w:right w:w="108" w:type="dxa"/>
          </w:tblCellMar>
        </w:tblPrEx>
        <w:trPr>
          <w:trHeight w:val="433"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2362" w:type="dxa"/>
            <w:gridSpan w:val="2"/>
            <w:tcBorders>
              <w:top w:val="single" w:color="auto" w:sz="4" w:space="0"/>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852" w:type="dxa"/>
            <w:gridSpan w:val="2"/>
            <w:tcBorders>
              <w:top w:val="single" w:color="auto" w:sz="4" w:space="0"/>
              <w:left w:val="nil"/>
              <w:bottom w:val="single" w:color="auto" w:sz="4" w:space="0"/>
              <w:right w:val="single" w:color="000000" w:sz="4" w:space="0"/>
            </w:tcBorders>
            <w:vAlign w:val="center"/>
          </w:tcPr>
          <w:p>
            <w:pPr>
              <w:widowControl/>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　</w:t>
            </w:r>
          </w:p>
        </w:tc>
        <w:tc>
          <w:tcPr>
            <w:tcW w:w="1946" w:type="dxa"/>
            <w:tcBorders>
              <w:top w:val="single" w:color="auto" w:sz="4" w:space="0"/>
              <w:left w:val="nil"/>
              <w:bottom w:val="nil"/>
              <w:right w:val="single" w:color="auto" w:sz="4" w:space="0"/>
            </w:tcBorders>
            <w:vAlign w:val="center"/>
          </w:tcPr>
          <w:p>
            <w:pPr>
              <w:widowControl/>
              <w:jc w:val="right"/>
              <w:rPr>
                <w:rFonts w:hint="eastAsia" w:ascii="宋体" w:hAnsi="宋体" w:eastAsia="宋体" w:cs="宋体"/>
                <w:kern w:val="0"/>
                <w:sz w:val="20"/>
                <w:szCs w:val="20"/>
              </w:rPr>
            </w:pPr>
            <w:r>
              <w:rPr>
                <w:rFonts w:hint="eastAsia" w:ascii="宋体" w:hAnsi="宋体" w:eastAsia="宋体" w:cs="宋体"/>
                <w:kern w:val="0"/>
                <w:sz w:val="20"/>
                <w:szCs w:val="20"/>
              </w:rPr>
              <w:t>其他资金</w:t>
            </w:r>
          </w:p>
        </w:tc>
        <w:tc>
          <w:tcPr>
            <w:tcW w:w="1682" w:type="dxa"/>
            <w:tcBorders>
              <w:top w:val="nil"/>
              <w:left w:val="nil"/>
              <w:bottom w:val="single" w:color="auto" w:sz="4" w:space="0"/>
              <w:right w:val="single" w:color="auto" w:sz="4" w:space="0"/>
            </w:tcBorders>
            <w:vAlign w:val="center"/>
          </w:tcPr>
          <w:p>
            <w:pPr>
              <w:widowControl/>
              <w:jc w:val="right"/>
              <w:rPr>
                <w:rFonts w:hint="eastAsia" w:ascii="宋体" w:hAnsi="宋体" w:eastAsia="宋体" w:cs="宋体"/>
                <w:kern w:val="0"/>
                <w:sz w:val="20"/>
                <w:szCs w:val="20"/>
                <w:lang w:val="en-US" w:eastAsia="zh-CN"/>
              </w:rPr>
            </w:pPr>
          </w:p>
        </w:tc>
      </w:tr>
      <w:tr>
        <w:tblPrEx>
          <w:tblLayout w:type="fixed"/>
          <w:tblCellMar>
            <w:top w:w="0" w:type="dxa"/>
            <w:left w:w="108" w:type="dxa"/>
            <w:bottom w:w="0" w:type="dxa"/>
            <w:right w:w="108" w:type="dxa"/>
          </w:tblCellMar>
        </w:tblPrEx>
        <w:trPr>
          <w:trHeight w:val="450" w:hRule="atLeast"/>
          <w:jc w:val="center"/>
        </w:trPr>
        <w:tc>
          <w:tcPr>
            <w:tcW w:w="680" w:type="dxa"/>
            <w:vMerge w:val="restart"/>
            <w:tcBorders>
              <w:top w:val="nil"/>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目标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4214" w:type="dxa"/>
            <w:gridSpan w:val="4"/>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预期目标</w:t>
            </w:r>
          </w:p>
        </w:tc>
        <w:tc>
          <w:tcPr>
            <w:tcW w:w="3628"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实际完成目标</w:t>
            </w:r>
          </w:p>
        </w:tc>
      </w:tr>
      <w:tr>
        <w:tblPrEx>
          <w:tblLayout w:type="fixed"/>
          <w:tblCellMar>
            <w:top w:w="0" w:type="dxa"/>
            <w:left w:w="108" w:type="dxa"/>
            <w:bottom w:w="0" w:type="dxa"/>
            <w:right w:w="108" w:type="dxa"/>
          </w:tblCellMar>
        </w:tblPrEx>
        <w:trPr>
          <w:trHeight w:val="1692" w:hRule="atLeast"/>
          <w:jc w:val="center"/>
        </w:trPr>
        <w:tc>
          <w:tcPr>
            <w:tcW w:w="680"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4214" w:type="dxa"/>
            <w:gridSpan w:val="4"/>
            <w:tcBorders>
              <w:top w:val="single" w:color="auto" w:sz="4" w:space="0"/>
              <w:left w:val="nil"/>
              <w:bottom w:val="single" w:color="auto" w:sz="4" w:space="0"/>
              <w:right w:val="single" w:color="000000" w:sz="4" w:space="0"/>
            </w:tcBorders>
            <w:vAlign w:val="top"/>
          </w:tcPr>
          <w:p>
            <w:pPr>
              <w:numPr>
                <w:ilvl w:val="0"/>
                <w:numId w:val="0"/>
              </w:numPr>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根据</w:t>
            </w:r>
            <w:r>
              <w:rPr>
                <w:rFonts w:hint="eastAsia" w:ascii="宋体" w:hAnsi="宋体" w:eastAsia="宋体" w:cs="宋体"/>
                <w:sz w:val="20"/>
                <w:szCs w:val="20"/>
              </w:rPr>
              <w:t>昌吉市</w:t>
            </w:r>
            <w:r>
              <w:rPr>
                <w:rFonts w:hint="eastAsia" w:ascii="宋体" w:hAnsi="宋体" w:eastAsia="宋体" w:cs="宋体"/>
                <w:sz w:val="20"/>
                <w:szCs w:val="20"/>
                <w:lang w:eastAsia="zh-CN"/>
              </w:rPr>
              <w:t>开展大气</w:t>
            </w:r>
            <w:r>
              <w:rPr>
                <w:rFonts w:hint="eastAsia" w:ascii="宋体" w:hAnsi="宋体" w:eastAsia="宋体" w:cs="宋体"/>
                <w:sz w:val="20"/>
                <w:szCs w:val="20"/>
              </w:rPr>
              <w:t>污染防治攻</w:t>
            </w:r>
            <w:r>
              <w:rPr>
                <w:rFonts w:hint="eastAsia" w:ascii="宋体" w:hAnsi="宋体" w:eastAsia="宋体" w:cs="宋体"/>
                <w:sz w:val="20"/>
                <w:szCs w:val="20"/>
                <w:lang w:eastAsia="zh-CN"/>
              </w:rPr>
              <w:t>行动的要求</w:t>
            </w:r>
            <w:r>
              <w:rPr>
                <w:rFonts w:hint="eastAsia" w:ascii="宋体" w:hAnsi="宋体" w:eastAsia="宋体" w:cs="宋体"/>
                <w:sz w:val="20"/>
                <w:szCs w:val="20"/>
              </w:rPr>
              <w:t>，</w:t>
            </w:r>
            <w:r>
              <w:rPr>
                <w:rFonts w:hint="eastAsia" w:ascii="宋体" w:hAnsi="宋体" w:eastAsia="宋体" w:cs="宋体"/>
                <w:sz w:val="20"/>
                <w:szCs w:val="20"/>
                <w:lang w:eastAsia="zh-CN"/>
              </w:rPr>
              <w:t>进一步</w:t>
            </w:r>
            <w:r>
              <w:rPr>
                <w:rFonts w:hint="eastAsia" w:ascii="宋体" w:hAnsi="宋体" w:eastAsia="宋体" w:cs="宋体"/>
                <w:sz w:val="20"/>
                <w:szCs w:val="20"/>
              </w:rPr>
              <w:t>加强</w:t>
            </w:r>
            <w:r>
              <w:rPr>
                <w:rFonts w:hint="eastAsia" w:ascii="宋体" w:hAnsi="宋体" w:eastAsia="宋体" w:cs="宋体"/>
                <w:sz w:val="20"/>
                <w:szCs w:val="20"/>
                <w:lang w:eastAsia="zh-CN"/>
              </w:rPr>
              <w:t>全市煤炭和成品油质量监管</w:t>
            </w:r>
            <w:r>
              <w:rPr>
                <w:rFonts w:hint="eastAsia" w:ascii="宋体" w:hAnsi="宋体" w:eastAsia="宋体" w:cs="宋体"/>
                <w:sz w:val="20"/>
                <w:szCs w:val="20"/>
              </w:rPr>
              <w:t>，</w:t>
            </w:r>
            <w:r>
              <w:rPr>
                <w:rFonts w:hint="eastAsia" w:ascii="宋体" w:hAnsi="宋体" w:eastAsia="宋体" w:cs="宋体"/>
                <w:sz w:val="20"/>
                <w:szCs w:val="20"/>
                <w:lang w:eastAsia="zh-CN"/>
              </w:rPr>
              <w:t>提高全市煤炭质量和成品油质量水平，此项经费专用于煤炭和成品油质量检验，由政府财政予以支付。</w:t>
            </w:r>
          </w:p>
          <w:p>
            <w:pPr>
              <w:widowControl/>
              <w:jc w:val="left"/>
              <w:rPr>
                <w:rFonts w:hint="eastAsia" w:ascii="宋体" w:hAnsi="宋体" w:eastAsia="宋体" w:cs="宋体"/>
                <w:kern w:val="0"/>
                <w:sz w:val="20"/>
                <w:szCs w:val="20"/>
              </w:rPr>
            </w:pPr>
          </w:p>
        </w:tc>
        <w:tc>
          <w:tcPr>
            <w:tcW w:w="3628" w:type="dxa"/>
            <w:gridSpan w:val="2"/>
            <w:tcBorders>
              <w:top w:val="single" w:color="auto" w:sz="4" w:space="0"/>
              <w:left w:val="nil"/>
              <w:bottom w:val="single" w:color="auto" w:sz="4" w:space="0"/>
              <w:right w:val="single" w:color="000000" w:sz="4" w:space="0"/>
            </w:tcBorders>
            <w:vAlign w:val="top"/>
          </w:tcPr>
          <w:p>
            <w:pPr>
              <w:numPr>
                <w:ilvl w:val="0"/>
                <w:numId w:val="0"/>
              </w:numPr>
              <w:ind w:firstLine="400" w:firstLineChars="200"/>
              <w:rPr>
                <w:rFonts w:hint="eastAsia" w:ascii="宋体" w:hAnsi="宋体" w:eastAsia="宋体" w:cs="宋体"/>
                <w:sz w:val="20"/>
                <w:szCs w:val="20"/>
                <w:lang w:eastAsia="zh-CN"/>
              </w:rPr>
            </w:pPr>
            <w:r>
              <w:rPr>
                <w:rFonts w:hint="eastAsia" w:ascii="宋体" w:hAnsi="宋体" w:eastAsia="宋体" w:cs="宋体"/>
                <w:sz w:val="20"/>
                <w:szCs w:val="20"/>
                <w:lang w:eastAsia="zh-CN"/>
              </w:rPr>
              <w:t>根据</w:t>
            </w:r>
            <w:r>
              <w:rPr>
                <w:rFonts w:hint="eastAsia" w:ascii="宋体" w:hAnsi="宋体" w:eastAsia="宋体" w:cs="宋体"/>
                <w:sz w:val="20"/>
                <w:szCs w:val="20"/>
              </w:rPr>
              <w:t>昌吉市</w:t>
            </w:r>
            <w:r>
              <w:rPr>
                <w:rFonts w:hint="eastAsia" w:ascii="宋体" w:hAnsi="宋体" w:eastAsia="宋体" w:cs="宋体"/>
                <w:sz w:val="20"/>
                <w:szCs w:val="20"/>
                <w:lang w:eastAsia="zh-CN"/>
              </w:rPr>
              <w:t>开展大气</w:t>
            </w:r>
            <w:r>
              <w:rPr>
                <w:rFonts w:hint="eastAsia" w:ascii="宋体" w:hAnsi="宋体" w:eastAsia="宋体" w:cs="宋体"/>
                <w:sz w:val="20"/>
                <w:szCs w:val="20"/>
              </w:rPr>
              <w:t>污染防治攻</w:t>
            </w:r>
            <w:r>
              <w:rPr>
                <w:rFonts w:hint="eastAsia" w:ascii="宋体" w:hAnsi="宋体" w:eastAsia="宋体" w:cs="宋体"/>
                <w:sz w:val="20"/>
                <w:szCs w:val="20"/>
                <w:lang w:eastAsia="zh-CN"/>
              </w:rPr>
              <w:t>行动的要求</w:t>
            </w:r>
            <w:r>
              <w:rPr>
                <w:rFonts w:hint="eastAsia" w:ascii="宋体" w:hAnsi="宋体" w:eastAsia="宋体" w:cs="宋体"/>
                <w:sz w:val="20"/>
                <w:szCs w:val="20"/>
              </w:rPr>
              <w:t>，</w:t>
            </w:r>
            <w:r>
              <w:rPr>
                <w:rFonts w:hint="eastAsia" w:ascii="宋体" w:hAnsi="宋体" w:eastAsia="宋体" w:cs="宋体"/>
                <w:sz w:val="20"/>
                <w:szCs w:val="20"/>
                <w:lang w:eastAsia="zh-CN"/>
              </w:rPr>
              <w:t>进一步</w:t>
            </w:r>
            <w:r>
              <w:rPr>
                <w:rFonts w:hint="eastAsia" w:ascii="宋体" w:hAnsi="宋体" w:eastAsia="宋体" w:cs="宋体"/>
                <w:sz w:val="20"/>
                <w:szCs w:val="20"/>
              </w:rPr>
              <w:t>加强</w:t>
            </w:r>
            <w:r>
              <w:rPr>
                <w:rFonts w:hint="eastAsia" w:ascii="宋体" w:hAnsi="宋体" w:eastAsia="宋体" w:cs="宋体"/>
                <w:sz w:val="20"/>
                <w:szCs w:val="20"/>
                <w:lang w:eastAsia="zh-CN"/>
              </w:rPr>
              <w:t>全市煤炭和成品油质量监管</w:t>
            </w:r>
            <w:r>
              <w:rPr>
                <w:rFonts w:hint="eastAsia" w:ascii="宋体" w:hAnsi="宋体" w:eastAsia="宋体" w:cs="宋体"/>
                <w:sz w:val="20"/>
                <w:szCs w:val="20"/>
              </w:rPr>
              <w:t>，</w:t>
            </w:r>
            <w:r>
              <w:rPr>
                <w:rFonts w:hint="eastAsia" w:ascii="宋体" w:hAnsi="宋体" w:eastAsia="宋体" w:cs="宋体"/>
                <w:sz w:val="20"/>
                <w:szCs w:val="20"/>
                <w:lang w:eastAsia="zh-CN"/>
              </w:rPr>
              <w:t>提高全市煤炭质量和成品油质量水平，此项经费专用于煤炭和成品油质量检验，由政府财政予以支付。</w:t>
            </w:r>
          </w:p>
          <w:p>
            <w:pPr>
              <w:widowControl/>
              <w:jc w:val="left"/>
              <w:rPr>
                <w:rFonts w:hint="eastAsia" w:ascii="宋体" w:hAnsi="宋体" w:eastAsia="宋体" w:cs="宋体"/>
                <w:kern w:val="0"/>
                <w:sz w:val="20"/>
                <w:szCs w:val="20"/>
              </w:rPr>
            </w:pPr>
          </w:p>
        </w:tc>
      </w:tr>
      <w:tr>
        <w:tblPrEx>
          <w:tblLayout w:type="fixed"/>
          <w:tblCellMar>
            <w:top w:w="0" w:type="dxa"/>
            <w:left w:w="108" w:type="dxa"/>
            <w:bottom w:w="0" w:type="dxa"/>
            <w:right w:w="108" w:type="dxa"/>
          </w:tblCellMar>
        </w:tblPrEx>
        <w:trPr>
          <w:trHeight w:val="720" w:hRule="atLeast"/>
          <w:jc w:val="center"/>
        </w:trPr>
        <w:tc>
          <w:tcPr>
            <w:tcW w:w="680"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年度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绩效</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完成</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情况</w:t>
            </w:r>
          </w:p>
        </w:tc>
        <w:tc>
          <w:tcPr>
            <w:tcW w:w="1077" w:type="dxa"/>
            <w:tcBorders>
              <w:top w:val="nil"/>
              <w:left w:val="nil"/>
              <w:bottom w:val="nil"/>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一级指标</w:t>
            </w:r>
          </w:p>
        </w:tc>
        <w:tc>
          <w:tcPr>
            <w:tcW w:w="1285"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二级指标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三级指标</w:t>
            </w:r>
          </w:p>
        </w:tc>
        <w:tc>
          <w:tcPr>
            <w:tcW w:w="1946"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预期指标值（包含数字及文字描述）</w:t>
            </w:r>
          </w:p>
        </w:tc>
        <w:tc>
          <w:tcPr>
            <w:tcW w:w="1682" w:type="dxa"/>
            <w:tcBorders>
              <w:top w:val="nil"/>
              <w:left w:val="nil"/>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项目完成指标</w:t>
            </w:r>
          </w:p>
        </w:tc>
        <w:tc>
          <w:tcPr>
            <w:tcW w:w="1285" w:type="dxa"/>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数量指标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r>
              <w:rPr>
                <w:rFonts w:hint="eastAsia" w:ascii="宋体" w:hAnsi="宋体" w:eastAsia="宋体" w:cs="宋体"/>
                <w:kern w:val="0"/>
                <w:sz w:val="20"/>
                <w:szCs w:val="20"/>
                <w:lang w:eastAsia="zh-CN"/>
              </w:rPr>
              <w:t>质量技术监督行政执法业务费</w:t>
            </w: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70.64万元</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70.64万元</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质量指标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w:t>
            </w:r>
            <w:r>
              <w:rPr>
                <w:rFonts w:hint="eastAsia" w:ascii="宋体" w:hAnsi="宋体" w:eastAsia="宋体" w:cs="宋体"/>
                <w:kern w:val="0"/>
                <w:sz w:val="20"/>
                <w:szCs w:val="20"/>
                <w:lang w:eastAsia="zh-CN"/>
              </w:rPr>
              <w:t>质量技术监督行政执法业务费</w:t>
            </w:r>
          </w:p>
          <w:p>
            <w:pPr>
              <w:widowControl/>
              <w:jc w:val="left"/>
              <w:rPr>
                <w:rFonts w:hint="eastAsia" w:ascii="宋体" w:hAnsi="宋体" w:eastAsia="宋体" w:cs="宋体"/>
                <w:kern w:val="0"/>
                <w:sz w:val="20"/>
                <w:szCs w:val="20"/>
              </w:rPr>
            </w:pP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全额拨付， </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全额拨付</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w:t>
            </w:r>
            <w:r>
              <w:rPr>
                <w:rFonts w:hint="eastAsia" w:ascii="宋体" w:hAnsi="宋体" w:eastAsia="宋体" w:cs="宋体"/>
                <w:kern w:val="0"/>
                <w:sz w:val="20"/>
                <w:szCs w:val="20"/>
                <w:lang w:eastAsia="zh-CN"/>
              </w:rPr>
              <w:t>质量技术监督行政执法业务费</w:t>
            </w:r>
          </w:p>
          <w:p>
            <w:pPr>
              <w:widowControl/>
              <w:jc w:val="left"/>
              <w:rPr>
                <w:rFonts w:hint="eastAsia" w:ascii="宋体" w:hAnsi="宋体" w:eastAsia="宋体" w:cs="宋体"/>
                <w:kern w:val="0"/>
                <w:sz w:val="20"/>
                <w:szCs w:val="20"/>
              </w:rPr>
            </w:pPr>
          </w:p>
        </w:tc>
        <w:tc>
          <w:tcPr>
            <w:tcW w:w="1946"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按预期项目目标达到100%</w:t>
            </w:r>
          </w:p>
        </w:tc>
        <w:tc>
          <w:tcPr>
            <w:tcW w:w="1682"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按预期项目目标达到</w:t>
            </w:r>
            <w:r>
              <w:rPr>
                <w:rFonts w:hint="eastAsia" w:ascii="宋体" w:hAnsi="宋体" w:eastAsia="宋体" w:cs="宋体"/>
                <w:kern w:val="0"/>
                <w:sz w:val="20"/>
                <w:szCs w:val="20"/>
                <w:lang w:val="en-US" w:eastAsia="zh-CN"/>
              </w:rPr>
              <w:t>50</w:t>
            </w:r>
            <w:r>
              <w:rPr>
                <w:rFonts w:hint="eastAsia" w:ascii="宋体" w:hAnsi="宋体" w:eastAsia="宋体" w:cs="宋体"/>
                <w:kern w:val="0"/>
                <w:sz w:val="20"/>
                <w:szCs w:val="20"/>
              </w:rPr>
              <w:t>%</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时效指标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指标1：资金到位率</w:t>
            </w:r>
          </w:p>
        </w:tc>
        <w:tc>
          <w:tcPr>
            <w:tcW w:w="1946"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1682" w:type="dxa"/>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指标2：资金拨付率</w:t>
            </w:r>
          </w:p>
          <w:p>
            <w:pPr>
              <w:widowControl/>
              <w:jc w:val="left"/>
              <w:rPr>
                <w:rFonts w:hint="eastAsia" w:ascii="宋体" w:hAnsi="宋体" w:eastAsia="宋体" w:cs="宋体"/>
                <w:kern w:val="0"/>
                <w:sz w:val="20"/>
                <w:szCs w:val="20"/>
              </w:rPr>
            </w:pPr>
            <w:bookmarkStart w:id="0" w:name="_GoBack"/>
            <w:bookmarkEnd w:id="0"/>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100%</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lang w:val="en-US" w:eastAsia="zh-CN"/>
              </w:rPr>
              <w:t>50</w:t>
            </w:r>
            <w:r>
              <w:rPr>
                <w:rFonts w:hint="eastAsia" w:ascii="宋体" w:hAnsi="宋体" w:eastAsia="宋体" w:cs="宋体"/>
                <w:kern w:val="0"/>
                <w:sz w:val="20"/>
                <w:szCs w:val="20"/>
              </w:rPr>
              <w:t>%</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成本指标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r>
              <w:rPr>
                <w:rFonts w:hint="eastAsia" w:ascii="宋体" w:hAnsi="宋体" w:eastAsia="宋体" w:cs="宋体"/>
                <w:kern w:val="0"/>
                <w:sz w:val="20"/>
                <w:szCs w:val="20"/>
                <w:lang w:eastAsia="zh-CN"/>
              </w:rPr>
              <w:t>质量技术监督行政执法业务费</w:t>
            </w:r>
          </w:p>
          <w:p>
            <w:pPr>
              <w:widowControl/>
              <w:jc w:val="left"/>
              <w:rPr>
                <w:rFonts w:hint="eastAsia" w:ascii="宋体" w:hAnsi="宋体" w:eastAsia="宋体" w:cs="宋体"/>
                <w:kern w:val="0"/>
                <w:sz w:val="20"/>
                <w:szCs w:val="20"/>
              </w:rPr>
            </w:pP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严格按照项目绩效目标控制成本</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严格按照项目绩效目标控制成本</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指标2：是否达预期绩效目标</w:t>
            </w: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是</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是</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社会效益</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r>
              <w:rPr>
                <w:rFonts w:hint="eastAsia" w:ascii="宋体" w:hAnsi="宋体" w:eastAsia="宋体" w:cs="宋体"/>
                <w:sz w:val="20"/>
                <w:szCs w:val="20"/>
                <w:lang w:eastAsia="zh-CN"/>
              </w:rPr>
              <w:t>煤炭和成品油质量监管</w:t>
            </w: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有序开展</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有序开展</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w:t>
            </w:r>
            <w:r>
              <w:rPr>
                <w:rFonts w:hint="eastAsia" w:ascii="宋体" w:hAnsi="宋体" w:eastAsia="宋体" w:cs="宋体"/>
                <w:sz w:val="20"/>
                <w:szCs w:val="20"/>
                <w:lang w:eastAsia="zh-CN"/>
              </w:rPr>
              <w:t>煤炭和成品油质量监管</w:t>
            </w: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是</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是</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可持续影响</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指标1：</w:t>
            </w:r>
            <w:r>
              <w:rPr>
                <w:rFonts w:hint="eastAsia" w:ascii="宋体" w:hAnsi="宋体" w:eastAsia="宋体" w:cs="宋体"/>
                <w:sz w:val="20"/>
                <w:szCs w:val="20"/>
                <w:lang w:eastAsia="zh-CN"/>
              </w:rPr>
              <w:t>煤炭和成品油质量监管</w:t>
            </w: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常态化开展</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常态化开展</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 xml:space="preserve"> 指标2：</w:t>
            </w:r>
            <w:r>
              <w:rPr>
                <w:rFonts w:hint="eastAsia" w:ascii="宋体" w:hAnsi="宋体" w:eastAsia="宋体" w:cs="宋体"/>
                <w:sz w:val="20"/>
                <w:szCs w:val="20"/>
                <w:lang w:eastAsia="zh-CN"/>
              </w:rPr>
              <w:t>煤炭和成品油质量监管</w:t>
            </w:r>
          </w:p>
        </w:tc>
        <w:tc>
          <w:tcPr>
            <w:tcW w:w="1946"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是</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是</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指标</w:t>
            </w:r>
          </w:p>
        </w:tc>
        <w:tc>
          <w:tcPr>
            <w:tcW w:w="1285" w:type="dxa"/>
            <w:vMerge w:val="restart"/>
            <w:tcBorders>
              <w:top w:val="nil"/>
              <w:left w:val="single" w:color="auto" w:sz="4" w:space="0"/>
              <w:bottom w:val="single" w:color="000000" w:sz="4" w:space="0"/>
              <w:right w:val="single" w:color="auto" w:sz="4" w:space="0"/>
            </w:tcBorders>
            <w:vAlign w:val="center"/>
          </w:tcPr>
          <w:p>
            <w:pPr>
              <w:widowControl/>
              <w:jc w:val="center"/>
              <w:rPr>
                <w:rFonts w:hint="eastAsia" w:ascii="宋体" w:hAnsi="宋体" w:eastAsia="宋体" w:cs="宋体"/>
                <w:kern w:val="0"/>
                <w:sz w:val="20"/>
                <w:szCs w:val="20"/>
              </w:rPr>
            </w:pPr>
            <w:r>
              <w:rPr>
                <w:rFonts w:hint="eastAsia" w:ascii="宋体" w:hAnsi="宋体" w:eastAsia="宋体" w:cs="宋体"/>
                <w:kern w:val="0"/>
                <w:sz w:val="20"/>
                <w:szCs w:val="20"/>
              </w:rPr>
              <w:t>满意度指标</w:t>
            </w: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指标1：群众满意度</w:t>
            </w:r>
          </w:p>
        </w:tc>
        <w:tc>
          <w:tcPr>
            <w:tcW w:w="1946"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eastAsia="宋体" w:cs="宋体"/>
                <w:kern w:val="0"/>
                <w:sz w:val="20"/>
                <w:szCs w:val="20"/>
              </w:rPr>
              <w:t>93%　</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93%</w:t>
            </w:r>
          </w:p>
        </w:tc>
      </w:tr>
      <w:tr>
        <w:tblPrEx>
          <w:tblLayout w:type="fixed"/>
          <w:tblCellMar>
            <w:top w:w="0" w:type="dxa"/>
            <w:left w:w="108" w:type="dxa"/>
            <w:bottom w:w="0" w:type="dxa"/>
            <w:right w:w="108" w:type="dxa"/>
          </w:tblCellMar>
        </w:tblPrEx>
        <w:trPr>
          <w:trHeight w:val="480" w:hRule="atLeast"/>
          <w:jc w:val="center"/>
        </w:trPr>
        <w:tc>
          <w:tcPr>
            <w:tcW w:w="680"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077"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285" w:type="dxa"/>
            <w:vMerge w:val="continue"/>
            <w:tcBorders>
              <w:top w:val="nil"/>
              <w:left w:val="single" w:color="auto" w:sz="4" w:space="0"/>
              <w:bottom w:val="single" w:color="000000" w:sz="4" w:space="0"/>
              <w:right w:val="single" w:color="auto" w:sz="4" w:space="0"/>
            </w:tcBorders>
            <w:vAlign w:val="center"/>
          </w:tcPr>
          <w:p>
            <w:pPr>
              <w:widowControl/>
              <w:jc w:val="left"/>
              <w:rPr>
                <w:rFonts w:hint="eastAsia" w:ascii="宋体" w:hAnsi="宋体" w:eastAsia="宋体" w:cs="宋体"/>
                <w:kern w:val="0"/>
                <w:sz w:val="20"/>
                <w:szCs w:val="20"/>
              </w:rPr>
            </w:pPr>
          </w:p>
        </w:tc>
        <w:tc>
          <w:tcPr>
            <w:tcW w:w="1852" w:type="dxa"/>
            <w:gridSpan w:val="2"/>
            <w:tcBorders>
              <w:top w:val="single" w:color="auto" w:sz="4" w:space="0"/>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指标2：群众工作成效</w:t>
            </w:r>
          </w:p>
        </w:tc>
        <w:tc>
          <w:tcPr>
            <w:tcW w:w="1946" w:type="dxa"/>
            <w:tcBorders>
              <w:top w:val="nil"/>
              <w:left w:val="nil"/>
              <w:bottom w:val="single" w:color="auto" w:sz="4" w:space="0"/>
              <w:right w:val="single" w:color="auto" w:sz="4" w:space="0"/>
            </w:tcBorders>
            <w:vAlign w:val="center"/>
          </w:tcPr>
          <w:p>
            <w:pPr>
              <w:widowControl/>
              <w:rPr>
                <w:rFonts w:hint="eastAsia" w:ascii="宋体" w:hAnsi="宋体" w:eastAsia="宋体" w:cs="宋体"/>
                <w:kern w:val="0"/>
                <w:sz w:val="20"/>
                <w:szCs w:val="20"/>
              </w:rPr>
            </w:pPr>
            <w:r>
              <w:rPr>
                <w:rFonts w:hint="eastAsia" w:ascii="宋体" w:hAnsi="宋体" w:eastAsia="宋体" w:cs="宋体"/>
                <w:kern w:val="0"/>
                <w:sz w:val="20"/>
                <w:szCs w:val="20"/>
              </w:rPr>
              <w:t>95%　</w:t>
            </w:r>
          </w:p>
        </w:tc>
        <w:tc>
          <w:tcPr>
            <w:tcW w:w="1682" w:type="dxa"/>
            <w:tcBorders>
              <w:top w:val="nil"/>
              <w:left w:val="nil"/>
              <w:bottom w:val="single" w:color="auto" w:sz="4" w:space="0"/>
              <w:right w:val="single" w:color="auto" w:sz="4" w:space="0"/>
            </w:tcBorders>
            <w:vAlign w:val="center"/>
          </w:tcPr>
          <w:p>
            <w:pPr>
              <w:widowControl/>
              <w:jc w:val="left"/>
              <w:rPr>
                <w:rFonts w:hint="eastAsia" w:ascii="宋体" w:hAnsi="宋体" w:eastAsia="宋体" w:cs="宋体"/>
                <w:kern w:val="0"/>
                <w:sz w:val="20"/>
                <w:szCs w:val="20"/>
              </w:rPr>
            </w:pPr>
            <w:r>
              <w:rPr>
                <w:rFonts w:hint="eastAsia" w:ascii="宋体" w:hAnsi="宋体" w:eastAsia="宋体" w:cs="宋体"/>
                <w:kern w:val="0"/>
                <w:sz w:val="20"/>
                <w:szCs w:val="20"/>
              </w:rPr>
              <w:t>95%</w:t>
            </w:r>
          </w:p>
        </w:tc>
      </w:tr>
    </w:tbl>
    <w:p>
      <w:pPr>
        <w:spacing w:line="540" w:lineRule="exact"/>
        <w:ind w:firstLine="0"/>
        <w:jc w:val="center"/>
        <w:rPr>
          <w:rFonts w:hint="eastAsia" w:ascii="黑体" w:hAnsi="黑体" w:eastAsia="黑体"/>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本单位支出功能分类说明。201（类）17（款）01（项）：指行政运行。201（类）17（款）06（项）：指质量技术监督行政执法及业务管理。208（类）05（款）05（项）：指机关事业单位养老保险缴费支出。</w:t>
      </w:r>
    </w:p>
    <w:p>
      <w:pPr>
        <w:spacing w:line="540" w:lineRule="exact"/>
        <w:ind w:firstLine="640" w:firstLineChars="200"/>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0" w:firstLineChars="200"/>
        <w:rPr>
          <w:rFonts w:hint="eastAsia" w:ascii="仿宋_GB2312" w:hAnsi="Times New Roman" w:eastAsia="仿宋_GB2312" w:cs="Times New Roman"/>
          <w:sz w:val="32"/>
          <w:szCs w:val="32"/>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Segoe Print"/>
    <w:panose1 w:val="00000000000000000000"/>
    <w:charset w:val="86"/>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FA"/>
    <w:rsid w:val="000F04FA"/>
    <w:rsid w:val="006F774D"/>
    <w:rsid w:val="00B70AB4"/>
    <w:rsid w:val="50702D54"/>
    <w:rsid w:val="5E357ABF"/>
    <w:rsid w:val="66D21E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7"/>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basedOn w:val="4"/>
    <w:semiHidden/>
    <w:unhideWhenUsed/>
    <w:qFormat/>
    <w:uiPriority w:val="99"/>
    <w:rPr>
      <w:color w:val="0000FF"/>
      <w:u w:val="single"/>
    </w:rPr>
  </w:style>
  <w:style w:type="character" w:customStyle="1" w:styleId="7">
    <w:name w:val="标题 2 字符"/>
    <w:basedOn w:val="4"/>
    <w:link w:val="2"/>
    <w:uiPriority w:val="9"/>
    <w:rPr>
      <w:rFonts w:ascii="宋体" w:hAnsi="宋体" w:eastAsia="宋体" w:cs="宋体"/>
      <w:b/>
      <w:bCs/>
      <w:kern w:val="0"/>
      <w:sz w:val="36"/>
      <w:szCs w:val="36"/>
    </w:rPr>
  </w:style>
  <w:style w:type="character" w:customStyle="1" w:styleId="8">
    <w:name w:val="pages_print_font"/>
    <w:basedOn w:val="4"/>
    <w:uiPriority w:val="0"/>
  </w:style>
  <w:style w:type="character" w:customStyle="1" w:styleId="9">
    <w:name w:val="am-margin-right-sm"/>
    <w:basedOn w:val="4"/>
    <w:qFormat/>
    <w:uiPriority w:val="0"/>
  </w:style>
  <w:style w:type="character" w:customStyle="1" w:styleId="10">
    <w:name w:val="pointer"/>
    <w:basedOn w:val="4"/>
    <w:qFormat/>
    <w:uiPriority w:val="0"/>
  </w:style>
  <w:style w:type="character" w:customStyle="1" w:styleId="11">
    <w:name w:val="btnprint"/>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967</Words>
  <Characters>5513</Characters>
  <Lines>45</Lines>
  <Paragraphs>12</Paragraphs>
  <TotalTime>1</TotalTime>
  <ScaleCrop>false</ScaleCrop>
  <LinksUpToDate>false</LinksUpToDate>
  <CharactersWithSpaces>6468</CharactersWithSpaces>
  <Application>WPS Office_10.1.0.7566_F1E327BC-269C-435d-A152-05C5408002CA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2021-05-21T14:31:00Z</dcterms:created>
  <dc:creator>Lenovo</dc:creator>
  <cp:lastModifiedBy>Administrator</cp:lastModifiedBy>
  <dcterms:modified xsi:type="dcterms:W3CDTF">2021-05-31T09:11:05Z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y fmtid="{D5CDD505-2E9C-101B-9397-08002B2CF9AE}" pid="3" name="ICV">
    <vt:lpwstr>3343E81B01E94AB3AF640C49F8523A70</vt:lpwstr>
  </property>
</Properties>
</file>