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2018年度中共昌吉市委员会全面深化改革领导小组办公室决算公开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我办共承担全市8项职能工作，包括市委经济工作领导小组办公室、市委全面深化改革领导小组办公室、市委政策研究领导小组办公室、昌吉市总部经济工作领导小组办公室、昌吉市推进企业上市工作领导小组办公室、市委农业农村工作领导小组办公室、昌吉市推进社会主义新农村建设领导小组办公室、昌吉市葡萄酒及葡萄酒庄产业发展领导小组办公室职能。</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从决算单位构成看，中共昌吉市委员会全面深化改革领导小组办公室部门决算包括：中共昌吉市委员会全面深化改革领导小组办公室部门本级决算。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纳入中共昌吉市委员会全面深化改革领导小组办公室2018年部门决算编制范围的单位名单见下表：</w:t>
      </w:r>
    </w:p>
    <w:tbl>
      <w:tblPr>
        <w:tblStyle w:val="6"/>
        <w:tblW w:w="822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032"/>
        <w:gridCol w:w="4000"/>
        <w:gridCol w:w="219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40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40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中共昌吉市委员会全面深化改革领导小组办公室本级</w:t>
            </w:r>
          </w:p>
        </w:tc>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40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40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186.79万元,与上年相比，减少343.47万元，降低64.77%，增减变化主要原因是：减少项目资金；支出189.01万元,与上年相比，减少339.03万元，降低64.21%，增减变化主要原因是：减少项目资金；结余0万元，与上年相比，减少2.22万元，降低100%。增减变化主要原因是：本年度无结转结余。</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本年收入合计186.79万元，其中：财政拨款收入186.79万元，占100%；上级补助收入0万元，占0%；事业收入0万元，占0%；经营收入0万元，占0%；附属单位缴款0万元，占0%；其他收入0万元，占0%。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与年初预算数相比情况：本年收入年初预算数146.85万元，决算数186.79万元，预决算差异率27.2%，差异主要原因减少项目资金。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本年支出合计189.01万元，其中：基本支出188.36万元，占99.66%；项目支出0.65万元，占0.34%；上缴上级支出0万元，占0%；经营支出0万元，占0%；对附属单位补助支出0万元，占0%。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与年初预算数相比情况：本年支出年初预算数146.85万元，决算数189.01万元，预决算差异率28.71%，差异主要原因减少项目资金。</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186.79万元，与上年相比，减少343.47万元，降低64.77%，增减变化主要原因是：减少项目资金。财政拨款支出189.01万元,与上年相比，减少339.03万元，降低64.21%，增减变化主要原因是：减少项目资金。其中：基本支出188.36万元，项目支出0.65万元。财政拨款结转结余0万元，与上年相比，增减少2.22万元，降低100%。增减变化的主要原因是：本年无结转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146.85万元，决算数186.79万元，预决算差异率27.2%，差异主要原因减少项目资金。与年初预算数相比情况：本年支出年初预算数146.85万元，决算数189.01万元，预决算差异率28.71%，差异主要原因减少项目资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186.79万元。与上年相比，减少343.47万元，降低64.77%，增减变化主要原因是：减少项目资金。一般公共预算财政拨款支出189.01万元,与上年相比，减少339.03万元，降低64.21%，增减变化主要原因是：减少项目资金。其中：按功能分类科目，201类一般公共服务支出173.09万元，208类社会保障和就业支出15.91万元。按经济分类科目，工资福利支出137.48万元，商品和服务支出16.79万元，对个人和家庭的补助34.74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146.85万元，决算数186.79万元，预决算差异率27.2%，差异主要原因减少项目资金。一般公共预算财政拨款支出年初预算数146.85万元，决算数189.01万元，预决算差异率28.71%，差异主要原因减少项目资金。</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年末结转结余0万元。与上年相比，减少2.22万元，降低100%。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其中财政拨款结转结余0万元。与上年相比，减少2.22万元，降低100%。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2.6万元，比上年增加0.3万元，增长13.2%，增加原因是车辆老化维修多。其中，因公出国（境）费支出0万元，占0%，比上年增加0万元，增长0%，增加原因是预算未安排；公务用车购置及运行维护费支出2.6万元，占100%，比上年增加0.3万元，增长13.2%，增加原因是车辆老化维修多；公务接待费支出0万元，占0%，比上年增加0万元，增长0%，增加原因是预算未安排。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因公出国（境）费支出0万元。中共昌吉市委员会全面深化改革领导小组办公室全年使用一般公共预算财政拨款安排的出国（境）团组0个，累计0人次。开支内容包括：无。</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公务用车购置及运行维护费2.6万元,其中，公务用车购置0万元，公务用车运行维护费2.6万元。主要用于车辆维护等。单位一般公共财政拨款安排的公务用车购置量0辆，保有量为1辆。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公务接待费0万元。具体是：国内公务接待支出0万元，主要是无公务接待。中共昌吉市委员会全面深化改革领导小组办公室国内公务接待0批次，0人次。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万元，决算数2.6万元，预决算差异率0%，差异主要原因无差异。其中：因公出国（境）费预算数0万元，决算数0万元，预决算差异率0%，差异主要原因无差异；公务用车购置预算数0万元，决算数0万元，预决算差异率0%，差异主要原因无差异；公务用车运行费预算数2.6万元，决算数2.6万元，预决算差异率0%，差异主要原因无差异；公务接待费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2018年度中共昌吉市委员会全面深化改革领导小组办公室机关运行经费支出16.15万元，比上年减少22.79万元，降低58.53%，主要原因是压缩日常经费支出。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2018年度政府采购支出总额3.48万元，其中：政府采购货物支出2.38万元、政府采购工程支出0万元、政府采购服务支出1.1万元。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辆，价值19.85万元，其中：部级领导干部用车0辆、主要领导干部用车1辆、机要通信用车0辆、应急保障用车0辆、执法执勤用车0辆、特种专业技术用车0辆、离退休干部用车0辆、其他用车0辆，其他用车主要是无其他用车；单位价值50万元以上通用设备0台（套）、单位价值100万元以上专用设备0台（套），其他固定资产价值42.46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2018年共有1个项目，为深化改革决策、市委政策研究、推企上市项目，项目经费0.65万元。该项目所有资金支出均严格按照程序规范管理。根据国家有关财政法律法规和实际，制定了一系列的财务管理制度，全部资金由财务人员统一管理。在资金使用上一直按照国家及自治区、州、市法规和单位财政制度规定以及有关专项资金管理办法规定，有关报销发票和报销条据先由报账员审核后，再由领导签字审核。此次绩效评价过程中未发现有截留、挤占或挪用项目资金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昌吉州财政局关于做好2018年预算绩效自评工作的通知》文件精神，我办对该项工作高度重视，认真对照各实施项目逐条逐项进行了自评。通过核实数据、查阅资料、归纳汇总、讨论分析等环节，形成绩效评价报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深化改革决策、市委政策研究、推企上市项目绩效自评综述：根据年初设定的绩效目标，深化改革决策、市委政策研究、推企上市项目项目绩效自评得分95分，项目全年预算数为0.65万元，执行数为0.65万元，完成预算的100%。主要产出和效果：一是分类推进深化改革任务23项；二是出台政策扶持企业上市；发现的问题及原因：无。下一步改进措施：无。</w:t>
      </w:r>
    </w:p>
    <w:p>
      <w:pPr>
        <w:spacing w:line="540" w:lineRule="exact"/>
        <w:ind w:firstLine="640" w:firstLineChars="200"/>
        <w:rPr>
          <w:rFonts w:hint="eastAsia" w:ascii="仿宋_GB2312" w:hAnsi="Times New Roman" w:eastAsia="仿宋_GB2312" w:cs="Times New Roman"/>
          <w:sz w:val="32"/>
          <w:szCs w:val="32"/>
        </w:rPr>
      </w:pPr>
    </w:p>
    <w:tbl>
      <w:tblPr>
        <w:tblStyle w:val="6"/>
        <w:tblW w:w="8522" w:type="dxa"/>
        <w:jc w:val="center"/>
        <w:tblInd w:w="0" w:type="dxa"/>
        <w:tblLayout w:type="fixed"/>
        <w:tblCellMar>
          <w:top w:w="0" w:type="dxa"/>
          <w:left w:w="108" w:type="dxa"/>
          <w:bottom w:w="0" w:type="dxa"/>
          <w:right w:w="108" w:type="dxa"/>
        </w:tblCellMar>
      </w:tblPr>
      <w:tblGrid>
        <w:gridCol w:w="639"/>
        <w:gridCol w:w="1011"/>
        <w:gridCol w:w="948"/>
        <w:gridCol w:w="259"/>
        <w:gridCol w:w="958"/>
        <w:gridCol w:w="475"/>
        <w:gridCol w:w="305"/>
        <w:gridCol w:w="1828"/>
        <w:gridCol w:w="2099"/>
      </w:tblGrid>
      <w:tr>
        <w:tblPrEx>
          <w:tblLayout w:type="fixed"/>
          <w:tblCellMar>
            <w:top w:w="0" w:type="dxa"/>
            <w:left w:w="108" w:type="dxa"/>
            <w:bottom w:w="0" w:type="dxa"/>
            <w:right w:w="108" w:type="dxa"/>
          </w:tblCellMar>
        </w:tblPrEx>
        <w:trPr>
          <w:trHeight w:val="429" w:hRule="atLeast"/>
          <w:jc w:val="center"/>
        </w:trPr>
        <w:tc>
          <w:tcPr>
            <w:tcW w:w="8522" w:type="dxa"/>
            <w:gridSpan w:val="9"/>
            <w:tcBorders>
              <w:top w:val="nil"/>
              <w:left w:val="nil"/>
              <w:bottom w:val="nil"/>
              <w:right w:val="nil"/>
            </w:tcBorders>
            <w:vAlign w:val="center"/>
          </w:tcPr>
          <w:p>
            <w:pPr>
              <w:jc w:val="center"/>
              <w:rPr>
                <w:rFonts w:hint="eastAsia" w:ascii="宋体" w:hAnsi="宋体"/>
                <w:b/>
                <w:sz w:val="32"/>
                <w:lang w:val="zh-CN"/>
              </w:rPr>
            </w:pPr>
            <w:r>
              <w:rPr>
                <w:rFonts w:hint="eastAsia" w:ascii="宋体" w:hAnsi="宋体"/>
                <w:b/>
                <w:sz w:val="32"/>
                <w:lang w:val="zh-CN"/>
              </w:rPr>
              <w:t>中共昌吉市委员会全面深化改革领导小组办公室</w:t>
            </w:r>
          </w:p>
          <w:p>
            <w:pPr>
              <w:jc w:val="center"/>
              <w:rPr>
                <w:rFonts w:hint="eastAsia" w:ascii="宋体" w:hAnsi="宋体"/>
                <w:sz w:val="22"/>
                <w:lang w:val="zh-CN"/>
              </w:rPr>
            </w:pPr>
            <w:r>
              <w:rPr>
                <w:rFonts w:hint="eastAsia" w:ascii="宋体" w:hAnsi="宋体"/>
                <w:b/>
                <w:sz w:val="32"/>
                <w:lang w:val="zh-CN"/>
              </w:rPr>
              <w:t>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9"/>
            <w:tcBorders>
              <w:top w:val="nil"/>
              <w:left w:val="nil"/>
              <w:bottom w:val="nil"/>
              <w:right w:val="nil"/>
            </w:tcBorders>
            <w:vAlign w:val="center"/>
          </w:tcPr>
          <w:p>
            <w:pPr>
              <w:jc w:val="center"/>
              <w:rPr>
                <w:rFonts w:hint="eastAsia" w:ascii="宋体" w:hAnsi="宋体" w:eastAsia="宋体" w:cs="宋体"/>
                <w:sz w:val="22"/>
                <w:lang w:val="zh-CN"/>
              </w:rPr>
            </w:pPr>
            <w:bookmarkStart w:id="0" w:name="_GoBack" w:colFirst="0" w:colLast="6"/>
            <w:r>
              <w:rPr>
                <w:rFonts w:hint="eastAsia" w:ascii="宋体" w:hAnsi="宋体" w:eastAsia="宋体" w:cs="宋体"/>
                <w:sz w:val="24"/>
                <w:lang w:val="zh-CN"/>
              </w:rPr>
              <w:t>（</w:t>
            </w:r>
            <w:r>
              <w:rPr>
                <w:rFonts w:hint="eastAsia" w:ascii="宋体" w:hAnsi="宋体" w:eastAsia="宋体" w:cs="宋体"/>
                <w:sz w:val="24"/>
              </w:rPr>
              <w:t>2018</w:t>
            </w:r>
            <w:r>
              <w:rPr>
                <w:rFonts w:hint="eastAsia" w:ascii="宋体" w:hAnsi="宋体" w:eastAsia="宋体" w:cs="宋体"/>
                <w:sz w:val="24"/>
                <w:lang w:val="zh-CN"/>
              </w:rPr>
              <w:t>年度）</w:t>
            </w:r>
          </w:p>
        </w:tc>
      </w:tr>
      <w:tr>
        <w:tblPrEx>
          <w:tblLayout w:type="fixed"/>
          <w:tblCellMar>
            <w:top w:w="0" w:type="dxa"/>
            <w:left w:w="108" w:type="dxa"/>
            <w:bottom w:w="0" w:type="dxa"/>
            <w:right w:w="108" w:type="dxa"/>
          </w:tblCellMar>
        </w:tblPrEx>
        <w:trPr>
          <w:trHeight w:val="167" w:hRule="atLeast"/>
          <w:jc w:val="center"/>
        </w:trPr>
        <w:tc>
          <w:tcPr>
            <w:tcW w:w="639" w:type="dxa"/>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1011" w:type="dxa"/>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1207" w:type="dxa"/>
            <w:gridSpan w:val="2"/>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958" w:type="dxa"/>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780" w:type="dxa"/>
            <w:gridSpan w:val="2"/>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1828" w:type="dxa"/>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c>
          <w:tcPr>
            <w:tcW w:w="2099" w:type="dxa"/>
            <w:tcBorders>
              <w:top w:val="nil"/>
              <w:left w:val="nil"/>
              <w:bottom w:val="single" w:color="auto" w:sz="4" w:space="0"/>
              <w:right w:val="nil"/>
            </w:tcBorders>
            <w:vAlign w:val="center"/>
          </w:tcPr>
          <w:p>
            <w:pPr>
              <w:jc w:val="center"/>
              <w:rPr>
                <w:rFonts w:hint="eastAsia" w:ascii="宋体" w:hAnsi="宋体" w:eastAsia="宋体" w:cs="宋体"/>
                <w:sz w:val="22"/>
                <w:lang w:val="zh-CN"/>
              </w:rPr>
            </w:pPr>
          </w:p>
        </w:tc>
      </w:tr>
      <w:tr>
        <w:tblPrEx>
          <w:tblLayout w:type="fixed"/>
          <w:tblCellMar>
            <w:top w:w="0" w:type="dxa"/>
            <w:left w:w="108" w:type="dxa"/>
            <w:bottom w:w="0" w:type="dxa"/>
            <w:right w:w="108" w:type="dxa"/>
          </w:tblCellMar>
        </w:tblPrEx>
        <w:trPr>
          <w:trHeight w:val="355" w:hRule="atLeast"/>
          <w:jc w:val="center"/>
        </w:trPr>
        <w:tc>
          <w:tcPr>
            <w:tcW w:w="285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20"/>
                <w:szCs w:val="20"/>
                <w:lang w:val="zh-CN"/>
              </w:rPr>
            </w:pPr>
            <w:r>
              <w:rPr>
                <w:rFonts w:hint="eastAsia" w:ascii="宋体" w:hAnsi="宋体" w:eastAsia="宋体" w:cs="宋体"/>
                <w:kern w:val="0"/>
                <w:sz w:val="20"/>
                <w:szCs w:val="20"/>
              </w:rPr>
              <w:t>项目名称</w:t>
            </w:r>
          </w:p>
        </w:tc>
        <w:tc>
          <w:tcPr>
            <w:tcW w:w="566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sz w:val="20"/>
                <w:szCs w:val="20"/>
                <w:lang w:val="zh-CN"/>
              </w:rPr>
            </w:pPr>
            <w:r>
              <w:rPr>
                <w:rFonts w:hint="eastAsia" w:ascii="宋体" w:hAnsi="宋体" w:eastAsia="宋体" w:cs="宋体"/>
                <w:kern w:val="0"/>
                <w:sz w:val="20"/>
                <w:szCs w:val="20"/>
              </w:rPr>
              <w:t>深化改革决策、市委政策研究、推企上市项目</w:t>
            </w:r>
          </w:p>
        </w:tc>
      </w:tr>
      <w:tr>
        <w:tblPrEx>
          <w:tblLayout w:type="fixed"/>
          <w:tblCellMar>
            <w:top w:w="0" w:type="dxa"/>
            <w:left w:w="108" w:type="dxa"/>
            <w:bottom w:w="0" w:type="dxa"/>
            <w:right w:w="108" w:type="dxa"/>
          </w:tblCellMar>
        </w:tblPrEx>
        <w:trPr>
          <w:trHeight w:val="355" w:hRule="atLeast"/>
          <w:jc w:val="center"/>
        </w:trPr>
        <w:tc>
          <w:tcPr>
            <w:tcW w:w="2857"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预算单位</w:t>
            </w:r>
          </w:p>
        </w:tc>
        <w:tc>
          <w:tcPr>
            <w:tcW w:w="5665"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中共昌吉市委员会全面深化改革领导小组办公室</w:t>
            </w:r>
          </w:p>
        </w:tc>
      </w:tr>
      <w:tr>
        <w:tblPrEx>
          <w:tblLayout w:type="fixed"/>
          <w:tblCellMar>
            <w:top w:w="0" w:type="dxa"/>
            <w:left w:w="108" w:type="dxa"/>
            <w:bottom w:w="0" w:type="dxa"/>
            <w:right w:w="108" w:type="dxa"/>
          </w:tblCellMar>
        </w:tblPrEx>
        <w:trPr>
          <w:trHeight w:val="345"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预算</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执行</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（万元）</w:t>
            </w: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预算数：</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0.65</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执行数：</w:t>
            </w:r>
          </w:p>
        </w:tc>
        <w:tc>
          <w:tcPr>
            <w:tcW w:w="2099"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　</w:t>
            </w:r>
            <w:r>
              <w:rPr>
                <w:rFonts w:hint="eastAsia" w:ascii="宋体" w:hAnsi="宋体" w:eastAsia="宋体" w:cs="宋体"/>
                <w:sz w:val="20"/>
                <w:szCs w:val="20"/>
                <w:lang w:val="en-US" w:eastAsia="zh-CN"/>
              </w:rPr>
              <w:t>0.65</w:t>
            </w:r>
            <w:r>
              <w:rPr>
                <w:rFonts w:hint="eastAsia" w:ascii="宋体" w:hAnsi="宋体" w:eastAsia="宋体" w:cs="宋体"/>
                <w:sz w:val="20"/>
                <w:szCs w:val="20"/>
                <w:lang w:val="zh-CN"/>
              </w:rPr>
              <w:t>　</w:t>
            </w:r>
          </w:p>
        </w:tc>
      </w:tr>
      <w:tr>
        <w:tblPrEx>
          <w:tblLayout w:type="fixed"/>
          <w:tblCellMar>
            <w:top w:w="0" w:type="dxa"/>
            <w:left w:w="108" w:type="dxa"/>
            <w:bottom w:w="0" w:type="dxa"/>
            <w:right w:w="108" w:type="dxa"/>
          </w:tblCellMar>
        </w:tblPrEx>
        <w:trPr>
          <w:trHeight w:val="354"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其中：财政拨款</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0.65</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其中：财政拨款</w:t>
            </w:r>
          </w:p>
        </w:tc>
        <w:tc>
          <w:tcPr>
            <w:tcW w:w="2099"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　</w:t>
            </w:r>
            <w:r>
              <w:rPr>
                <w:rFonts w:hint="eastAsia" w:ascii="宋体" w:hAnsi="宋体" w:eastAsia="宋体" w:cs="宋体"/>
                <w:sz w:val="20"/>
                <w:szCs w:val="20"/>
                <w:lang w:val="en-US" w:eastAsia="zh-CN"/>
              </w:rPr>
              <w:t>0.65</w:t>
            </w:r>
            <w:r>
              <w:rPr>
                <w:rFonts w:hint="eastAsia" w:ascii="宋体" w:hAnsi="宋体" w:eastAsia="宋体" w:cs="宋体"/>
                <w:sz w:val="20"/>
                <w:szCs w:val="20"/>
                <w:lang w:val="zh-CN"/>
              </w:rPr>
              <w:t>　</w:t>
            </w:r>
          </w:p>
        </w:tc>
      </w:tr>
      <w:tr>
        <w:tblPrEx>
          <w:tblLayout w:type="fixed"/>
          <w:tblCellMar>
            <w:top w:w="0" w:type="dxa"/>
            <w:left w:w="108" w:type="dxa"/>
            <w:bottom w:w="0" w:type="dxa"/>
            <w:right w:w="108" w:type="dxa"/>
          </w:tblCellMar>
        </w:tblPrEx>
        <w:trPr>
          <w:trHeight w:val="581"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其他资金</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0"/>
                <w:szCs w:val="20"/>
                <w:lang w:val="zh-CN"/>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其他资金</w:t>
            </w:r>
          </w:p>
        </w:tc>
        <w:tc>
          <w:tcPr>
            <w:tcW w:w="209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0"/>
                <w:szCs w:val="20"/>
                <w:lang w:val="zh-CN"/>
              </w:rPr>
            </w:pPr>
          </w:p>
        </w:tc>
      </w:tr>
      <w:tr>
        <w:tblPrEx>
          <w:tblLayout w:type="fixed"/>
          <w:tblCellMar>
            <w:top w:w="0" w:type="dxa"/>
            <w:left w:w="108" w:type="dxa"/>
            <w:bottom w:w="0" w:type="dxa"/>
            <w:right w:w="108" w:type="dxa"/>
          </w:tblCellMar>
        </w:tblPrEx>
        <w:trPr>
          <w:trHeight w:val="30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目标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3651"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预期目标</w:t>
            </w:r>
          </w:p>
        </w:tc>
        <w:tc>
          <w:tcPr>
            <w:tcW w:w="423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实际完成目标</w:t>
            </w:r>
          </w:p>
        </w:tc>
      </w:tr>
      <w:tr>
        <w:tblPrEx>
          <w:tblLayout w:type="fixed"/>
          <w:tblCellMar>
            <w:top w:w="0" w:type="dxa"/>
            <w:left w:w="108" w:type="dxa"/>
            <w:bottom w:w="0" w:type="dxa"/>
            <w:right w:w="108" w:type="dxa"/>
          </w:tblCellMar>
        </w:tblPrEx>
        <w:trPr>
          <w:trHeight w:val="1607"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3651" w:type="dxa"/>
            <w:gridSpan w:val="5"/>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宋体" w:hAnsi="宋体" w:eastAsia="宋体" w:cs="宋体"/>
                <w:sz w:val="20"/>
                <w:szCs w:val="20"/>
                <w:lang w:val="zh-CN"/>
              </w:rPr>
            </w:pPr>
            <w:r>
              <w:rPr>
                <w:rFonts w:hint="eastAsia" w:ascii="宋体" w:hAnsi="宋体" w:eastAsia="宋体" w:cs="宋体"/>
                <w:color w:val="000000"/>
                <w:sz w:val="20"/>
                <w:szCs w:val="20"/>
                <w:highlight w:val="white"/>
              </w:rPr>
              <w:t>项目资金用于推进深化改革、政策研究，加大对企业的扶持力度，争取更多的企业进行股份制改造并成功上市等经费。</w:t>
            </w:r>
          </w:p>
        </w:tc>
        <w:tc>
          <w:tcPr>
            <w:tcW w:w="4232" w:type="dxa"/>
            <w:gridSpan w:val="3"/>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宋体" w:hAnsi="宋体" w:eastAsia="宋体" w:cs="宋体"/>
                <w:color w:val="000000"/>
                <w:kern w:val="0"/>
                <w:sz w:val="20"/>
                <w:szCs w:val="20"/>
                <w:lang w:val="zh-CN"/>
              </w:rPr>
            </w:pPr>
            <w:r>
              <w:rPr>
                <w:rFonts w:hint="eastAsia" w:ascii="宋体" w:hAnsi="宋体" w:eastAsia="宋体" w:cs="宋体"/>
                <w:color w:val="000000"/>
                <w:sz w:val="20"/>
                <w:szCs w:val="20"/>
                <w:highlight w:val="white"/>
              </w:rPr>
              <w:t>推进深化改革、政策研究，加大对企业的扶持力度，开展宣传培训等。</w:t>
            </w:r>
          </w:p>
        </w:tc>
      </w:tr>
      <w:tr>
        <w:tblPrEx>
          <w:tblLayout w:type="fixed"/>
          <w:tblCellMar>
            <w:top w:w="0" w:type="dxa"/>
            <w:left w:w="108" w:type="dxa"/>
            <w:bottom w:w="0" w:type="dxa"/>
            <w:right w:w="108" w:type="dxa"/>
          </w:tblCellMar>
        </w:tblPrEx>
        <w:trPr>
          <w:trHeight w:val="72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绩效</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一级指标</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二级指标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三级指标</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预期指标值（包含数字及文字描述）</w:t>
            </w:r>
          </w:p>
        </w:tc>
        <w:tc>
          <w:tcPr>
            <w:tcW w:w="209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项目完成指标</w:t>
            </w:r>
          </w:p>
        </w:tc>
        <w:tc>
          <w:tcPr>
            <w:tcW w:w="94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数量指标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指标1：</w:t>
            </w:r>
            <w:r>
              <w:rPr>
                <w:rFonts w:hint="eastAsia" w:ascii="宋体" w:hAnsi="宋体" w:eastAsia="宋体" w:cs="宋体"/>
                <w:color w:val="000000"/>
                <w:kern w:val="0"/>
                <w:sz w:val="20"/>
                <w:szCs w:val="20"/>
              </w:rPr>
              <w:t>分类推进深化改革</w:t>
            </w:r>
            <w:r>
              <w:rPr>
                <w:rFonts w:hint="eastAsia" w:ascii="宋体" w:hAnsi="宋体" w:eastAsia="宋体" w:cs="宋体"/>
                <w:color w:val="000000"/>
                <w:kern w:val="0"/>
                <w:sz w:val="20"/>
                <w:szCs w:val="20"/>
                <w:lang w:eastAsia="zh-CN"/>
              </w:rPr>
              <w:t>任务</w:t>
            </w:r>
            <w:r>
              <w:rPr>
                <w:rFonts w:hint="eastAsia" w:ascii="宋体" w:hAnsi="宋体" w:eastAsia="宋体" w:cs="宋体"/>
                <w:color w:val="000000"/>
                <w:kern w:val="0"/>
                <w:sz w:val="20"/>
                <w:szCs w:val="20"/>
                <w:lang w:val="en-US" w:eastAsia="zh-CN"/>
              </w:rPr>
              <w:t>23项</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23项</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23项</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948"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指标2：</w:t>
            </w:r>
            <w:r>
              <w:rPr>
                <w:rFonts w:hint="eastAsia" w:ascii="宋体" w:hAnsi="宋体" w:eastAsia="宋体" w:cs="宋体"/>
                <w:color w:val="000000"/>
                <w:kern w:val="0"/>
                <w:sz w:val="20"/>
                <w:szCs w:val="20"/>
              </w:rPr>
              <w:t>修改完善并出台</w:t>
            </w:r>
            <w:r>
              <w:rPr>
                <w:rFonts w:hint="eastAsia" w:ascii="宋体" w:hAnsi="宋体" w:eastAsia="宋体" w:cs="宋体"/>
                <w:color w:val="000000"/>
                <w:kern w:val="0"/>
                <w:sz w:val="20"/>
                <w:szCs w:val="20"/>
                <w:lang w:val="en-US" w:eastAsia="zh-CN"/>
              </w:rPr>
              <w:t>1个</w:t>
            </w:r>
            <w:r>
              <w:rPr>
                <w:rFonts w:hint="eastAsia" w:ascii="宋体" w:hAnsi="宋体" w:eastAsia="宋体" w:cs="宋体"/>
                <w:color w:val="000000"/>
                <w:kern w:val="0"/>
                <w:sz w:val="20"/>
                <w:szCs w:val="20"/>
                <w:lang w:eastAsia="zh-CN"/>
              </w:rPr>
              <w:t>总部经济</w:t>
            </w:r>
            <w:r>
              <w:rPr>
                <w:rFonts w:hint="eastAsia" w:ascii="宋体" w:hAnsi="宋体" w:eastAsia="宋体" w:cs="宋体"/>
                <w:color w:val="000000"/>
                <w:kern w:val="0"/>
                <w:sz w:val="20"/>
                <w:szCs w:val="20"/>
              </w:rPr>
              <w:t>文件</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1个</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1个</w:t>
            </w:r>
          </w:p>
        </w:tc>
      </w:tr>
      <w:tr>
        <w:tblPrEx>
          <w:tblLayout w:type="fixed"/>
          <w:tblCellMar>
            <w:top w:w="0" w:type="dxa"/>
            <w:left w:w="108" w:type="dxa"/>
            <w:bottom w:w="0" w:type="dxa"/>
            <w:right w:w="108" w:type="dxa"/>
          </w:tblCellMar>
        </w:tblPrEx>
        <w:trPr>
          <w:trHeight w:val="369"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948"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w:t>
            </w:r>
            <w:r>
              <w:rPr>
                <w:rFonts w:hint="eastAsia" w:ascii="宋体" w:hAnsi="宋体" w:eastAsia="宋体" w:cs="宋体"/>
                <w:sz w:val="20"/>
                <w:szCs w:val="20"/>
              </w:rPr>
              <w:t>3</w:t>
            </w:r>
            <w:r>
              <w:rPr>
                <w:rFonts w:hint="eastAsia" w:ascii="宋体" w:hAnsi="宋体" w:eastAsia="宋体" w:cs="宋体"/>
                <w:sz w:val="20"/>
                <w:szCs w:val="20"/>
                <w:lang w:val="zh-CN"/>
              </w:rPr>
              <w:t>：</w:t>
            </w:r>
            <w:r>
              <w:rPr>
                <w:rFonts w:hint="eastAsia" w:ascii="宋体" w:hAnsi="宋体" w:eastAsia="宋体" w:cs="宋体"/>
                <w:color w:val="000000"/>
                <w:kern w:val="0"/>
                <w:sz w:val="20"/>
                <w:szCs w:val="20"/>
                <w:lang w:val="zh-CN"/>
              </w:rPr>
              <w:t>出台</w:t>
            </w:r>
            <w:r>
              <w:rPr>
                <w:rFonts w:hint="eastAsia" w:ascii="宋体" w:hAnsi="宋体" w:eastAsia="宋体" w:cs="宋体"/>
                <w:color w:val="000000"/>
                <w:kern w:val="0"/>
                <w:sz w:val="20"/>
                <w:szCs w:val="20"/>
                <w:lang w:val="en-US" w:eastAsia="zh-CN"/>
              </w:rPr>
              <w:t>1项</w:t>
            </w:r>
            <w:r>
              <w:rPr>
                <w:rFonts w:hint="eastAsia" w:ascii="宋体" w:hAnsi="宋体" w:eastAsia="宋体" w:cs="宋体"/>
                <w:color w:val="000000"/>
                <w:kern w:val="0"/>
                <w:sz w:val="20"/>
                <w:szCs w:val="20"/>
                <w:lang w:val="zh-CN"/>
              </w:rPr>
              <w:t>政策扶持企业上市</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1项</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1项</w:t>
            </w:r>
          </w:p>
        </w:tc>
      </w:tr>
      <w:tr>
        <w:tblPrEx>
          <w:tblLayout w:type="fixed"/>
          <w:tblCellMar>
            <w:top w:w="0" w:type="dxa"/>
            <w:left w:w="108" w:type="dxa"/>
            <w:bottom w:w="0" w:type="dxa"/>
            <w:right w:w="108" w:type="dxa"/>
          </w:tblCellMar>
        </w:tblPrEx>
        <w:trPr>
          <w:trHeight w:val="593"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时效指标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w:t>
            </w:r>
            <w:r>
              <w:rPr>
                <w:rFonts w:hint="eastAsia" w:ascii="宋体" w:hAnsi="宋体" w:eastAsia="宋体" w:cs="宋体"/>
                <w:sz w:val="20"/>
                <w:szCs w:val="20"/>
                <w:lang w:val="en-US" w:eastAsia="zh-CN"/>
              </w:rPr>
              <w:t>1：任务完成时间</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2018年12月31日</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2018年12月31日</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成本指标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指标1：项目经费金额</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eastAsia="zh-CN"/>
              </w:rPr>
            </w:pPr>
            <w:r>
              <w:rPr>
                <w:rFonts w:hint="eastAsia" w:ascii="宋体" w:hAnsi="宋体" w:eastAsia="宋体" w:cs="宋体"/>
                <w:sz w:val="20"/>
                <w:szCs w:val="20"/>
                <w:lang w:val="en-US" w:eastAsia="zh-CN"/>
              </w:rPr>
              <w:t>0.65万元</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0.65万元</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项目效果指标</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社会效益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指标1：引商环境</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color w:val="000000"/>
                <w:kern w:val="0"/>
                <w:sz w:val="20"/>
                <w:szCs w:val="20"/>
                <w:lang w:val="zh-CN"/>
              </w:rPr>
              <w:t>营造良好的引商环境</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color w:val="000000"/>
                <w:kern w:val="0"/>
                <w:sz w:val="20"/>
                <w:szCs w:val="20"/>
                <w:lang w:val="zh-CN"/>
              </w:rPr>
              <w:t>吸引更多的企业进行股份制改造</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满意度指标</w:t>
            </w:r>
          </w:p>
        </w:tc>
        <w:tc>
          <w:tcPr>
            <w:tcW w:w="1692"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指标1：群众满意度</w:t>
            </w:r>
          </w:p>
        </w:tc>
        <w:tc>
          <w:tcPr>
            <w:tcW w:w="213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zh-CN"/>
              </w:rPr>
            </w:pPr>
            <w:r>
              <w:rPr>
                <w:rFonts w:hint="eastAsia" w:ascii="宋体" w:hAnsi="宋体" w:eastAsia="宋体" w:cs="宋体"/>
                <w:color w:val="000000"/>
                <w:kern w:val="0"/>
                <w:sz w:val="20"/>
                <w:szCs w:val="20"/>
                <w:lang w:val="zh-CN"/>
              </w:rPr>
              <w:t>群众满意率达到100%</w:t>
            </w:r>
          </w:p>
        </w:tc>
        <w:tc>
          <w:tcPr>
            <w:tcW w:w="2099"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000000"/>
                <w:kern w:val="0"/>
                <w:sz w:val="20"/>
                <w:szCs w:val="20"/>
                <w:lang w:val="zh-CN"/>
              </w:rPr>
            </w:pPr>
            <w:r>
              <w:rPr>
                <w:rFonts w:hint="eastAsia" w:ascii="宋体" w:hAnsi="宋体" w:eastAsia="宋体" w:cs="宋体"/>
                <w:color w:val="000000"/>
                <w:kern w:val="0"/>
                <w:sz w:val="20"/>
                <w:szCs w:val="20"/>
                <w:lang w:val="zh-CN"/>
              </w:rPr>
              <w:t>群众满意率达到100%</w:t>
            </w:r>
          </w:p>
        </w:tc>
      </w:tr>
      <w:bookmarkEnd w:id="0"/>
    </w:tbl>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31（款）01（项）：指行政运行。201（类）31（款）02（项）：指一般行政管理事务。201（类）31（款）02（项）：指一般行政管理事务。208（类）05（款）05（项）：指机关事业单位基本养老保险缴费支出。</w:t>
      </w:r>
    </w:p>
    <w:p>
      <w:pPr>
        <w:spacing w:line="540" w:lineRule="exact"/>
        <w:ind w:firstLine="640" w:firstLineChars="200"/>
        <w:rPr>
          <w:rFonts w:hint="eastAsia" w:ascii="仿宋_GB2312" w:eastAsia="仿宋_GB2312"/>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r>
        <w:rPr>
          <w:rFonts w:hint="eastAsia" w:ascii="仿宋_GB2312" w:hAnsi="宋体" w:eastAsia="仿宋_GB2312"/>
          <w:sz w:val="32"/>
          <w:szCs w:val="32"/>
        </w:rPr>
        <w:t>八、</w:t>
      </w:r>
      <w:r>
        <w:rPr>
          <w:rFonts w:hint="eastAsia" w:ascii="仿宋_GB2312" w:eastAsia="仿宋_GB2312"/>
          <w:sz w:val="32"/>
          <w:szCs w:val="32"/>
        </w:rPr>
        <w:t>《政府性基金预算财政拨款收入支出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26"/>
    <w:rsid w:val="00344272"/>
    <w:rsid w:val="00566526"/>
    <w:rsid w:val="00A17E81"/>
    <w:rsid w:val="06A83863"/>
    <w:rsid w:val="0E3211F9"/>
    <w:rsid w:val="520B7396"/>
    <w:rsid w:val="756C5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875</Words>
  <Characters>4993</Characters>
  <Lines>41</Lines>
  <Paragraphs>11</Paragraphs>
  <TotalTime>0</TotalTime>
  <ScaleCrop>false</ScaleCrop>
  <LinksUpToDate>false</LinksUpToDate>
  <CharactersWithSpaces>5857</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2021-05-21T14:33:00Z</dcterms:created>
  <dc:creator>Lenovo</dc:creator>
  <cp:lastModifiedBy>Administrator</cp:lastModifiedBy>
  <dcterms:modified xsi:type="dcterms:W3CDTF">2021-05-31T09:13:42Z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B7D7DA86BEE648699D0574DC20169F32</vt:lpwstr>
  </property>
</Properties>
</file>