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681" w:rsidRDefault="00E3334E">
      <w:pPr>
        <w:widowControl/>
        <w:shd w:val="clear" w:color="auto" w:fill="FFFFFF"/>
        <w:spacing w:line="840" w:lineRule="atLeast"/>
        <w:jc w:val="center"/>
        <w:outlineLvl w:val="1"/>
        <w:rPr>
          <w:rFonts w:ascii="å®‹ä½“" w:eastAsia="å®‹ä½“" w:hAnsi="微软雅黑" w:cs="宋体"/>
          <w:b/>
          <w:bCs/>
          <w:color w:val="333333"/>
          <w:kern w:val="0"/>
          <w:sz w:val="57"/>
          <w:szCs w:val="57"/>
        </w:rPr>
      </w:pPr>
      <w:r>
        <w:rPr>
          <w:rFonts w:ascii="å®‹ä½“" w:eastAsia="å®‹ä½“" w:hAnsi="微软雅黑" w:cs="宋体" w:hint="eastAsia"/>
          <w:b/>
          <w:bCs/>
          <w:color w:val="333333"/>
          <w:kern w:val="0"/>
          <w:sz w:val="57"/>
          <w:szCs w:val="57"/>
        </w:rPr>
        <w:t>2018年度昌吉市住房和城乡建设局决算公开</w:t>
      </w:r>
    </w:p>
    <w:p w:rsidR="00E3334E" w:rsidRPr="00C127E6" w:rsidRDefault="00E3334E" w:rsidP="00E3334E">
      <w:pPr>
        <w:widowControl/>
        <w:shd w:val="clear" w:color="auto" w:fill="FFFFFF"/>
        <w:spacing w:before="225" w:line="450" w:lineRule="atLeast"/>
        <w:ind w:firstLine="480"/>
        <w:jc w:val="center"/>
        <w:rPr>
          <w:rFonts w:ascii="宋体" w:hAnsi="宋体" w:cs="宋体" w:hint="eastAsia"/>
          <w:color w:val="333333"/>
          <w:kern w:val="0"/>
          <w:sz w:val="24"/>
          <w:szCs w:val="24"/>
        </w:rPr>
      </w:pPr>
      <w:bookmarkStart w:id="0" w:name="_GoBack"/>
      <w:r w:rsidRPr="00C127E6">
        <w:rPr>
          <w:rFonts w:ascii="宋体" w:hAnsi="宋体" w:cs="宋体" w:hint="eastAsia"/>
          <w:color w:val="333333"/>
          <w:kern w:val="0"/>
          <w:sz w:val="24"/>
          <w:szCs w:val="24"/>
        </w:rPr>
        <w:t>目</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录</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第一部分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部门单位概况</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一、主要职能</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二、机构设置情况</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第二部分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部门决算情况说明</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一、部门收支总体情况</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（一）部门收入支出决算总体情况说明</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（二）部门收入总体情况说明</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（三）部门支出总体情况说明</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二、部门财政拨款收支情况</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（一）财政拨款收支总体情况说明</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（二）一般公共预算收支决算情况说明</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（三）政府性基金预算收支决算情况说明</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三、部门结转结余情况</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lastRenderedPageBreak/>
        <w:t>四、一般公共预算“三公”经费支出情况</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五、机关运行经费支出情况</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六、政府采购情况</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七、其他重要事项的情况</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（一）国有资产占用情况说明</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（二）预算绩效情况的说明</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第三部分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专业名词解释</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第四部分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部门决算公开的</w:t>
      </w:r>
      <w:r w:rsidRPr="00C127E6">
        <w:rPr>
          <w:rFonts w:ascii="宋体" w:hAnsi="宋体" w:cs="宋体" w:hint="eastAsia"/>
          <w:color w:val="333333"/>
          <w:kern w:val="0"/>
          <w:sz w:val="24"/>
          <w:szCs w:val="24"/>
        </w:rPr>
        <w:t>8</w:t>
      </w:r>
      <w:r w:rsidRPr="00C127E6">
        <w:rPr>
          <w:rFonts w:ascii="宋体" w:hAnsi="宋体" w:cs="宋体" w:hint="eastAsia"/>
          <w:color w:val="333333"/>
          <w:kern w:val="0"/>
          <w:sz w:val="24"/>
          <w:szCs w:val="24"/>
        </w:rPr>
        <w:t>张报表</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《收入支出决算总表》</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《收入决算表》</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《支出决算表》</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《财政拨款收入支出决算总表》</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《一般公共预算财政拨款支出决算表》</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《一般公共预算财政拨款基本支出决算表》</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《一般公共预算财政拨款“三公”经费支出决算表》</w:t>
      </w:r>
    </w:p>
    <w:p w:rsidR="00E3334E" w:rsidRPr="00C127E6"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《政府性基金预算财政拨款收入支出决算表》</w:t>
      </w:r>
    </w:p>
    <w:p w:rsidR="00E3334E" w:rsidRPr="009A66BC"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9A66BC">
        <w:rPr>
          <w:rFonts w:ascii="宋体" w:hAnsi="宋体" w:cs="宋体" w:hint="eastAsia"/>
          <w:color w:val="333333"/>
          <w:kern w:val="0"/>
          <w:sz w:val="24"/>
          <w:szCs w:val="24"/>
        </w:rPr>
        <w:lastRenderedPageBreak/>
        <w:t>第一部分</w:t>
      </w:r>
      <w:r w:rsidRPr="009A66BC">
        <w:rPr>
          <w:rFonts w:ascii="宋体" w:hAnsi="宋体" w:cs="宋体" w:hint="eastAsia"/>
          <w:color w:val="333333"/>
          <w:kern w:val="0"/>
          <w:sz w:val="24"/>
          <w:szCs w:val="24"/>
        </w:rPr>
        <w:t xml:space="preserve"> </w:t>
      </w:r>
      <w:r w:rsidRPr="009A66BC">
        <w:rPr>
          <w:rFonts w:ascii="宋体" w:hAnsi="宋体" w:cs="宋体" w:hint="eastAsia"/>
          <w:color w:val="333333"/>
          <w:kern w:val="0"/>
          <w:sz w:val="24"/>
          <w:szCs w:val="24"/>
        </w:rPr>
        <w:t>部门单位概况</w:t>
      </w:r>
    </w:p>
    <w:p w:rsidR="00E3334E" w:rsidRPr="003646B4" w:rsidRDefault="00E3334E" w:rsidP="00E3334E">
      <w:pPr>
        <w:widowControl/>
        <w:shd w:val="clear" w:color="auto" w:fill="FFFFFF"/>
        <w:spacing w:before="225" w:line="450" w:lineRule="atLeast"/>
        <w:ind w:firstLine="480"/>
        <w:jc w:val="left"/>
        <w:rPr>
          <w:rFonts w:ascii="宋体" w:hAnsi="宋体" w:cs="宋体" w:hint="eastAsia"/>
          <w:color w:val="333333"/>
          <w:kern w:val="0"/>
          <w:sz w:val="24"/>
          <w:szCs w:val="24"/>
        </w:rPr>
      </w:pPr>
      <w:r w:rsidRPr="003646B4">
        <w:rPr>
          <w:rFonts w:ascii="宋体" w:hAnsi="宋体" w:cs="宋体" w:hint="eastAsia"/>
          <w:color w:val="333333"/>
          <w:kern w:val="0"/>
          <w:sz w:val="24"/>
          <w:szCs w:val="24"/>
        </w:rPr>
        <w:t>一、主要职能</w:t>
      </w:r>
    </w:p>
    <w:bookmarkEnd w:id="0"/>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1．根据机构改革三定方案，本单位承担的职能共十六项，具体是：</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2、承担保障城镇低收入家庭住房的责任。</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3、拟订适合市情的住房政策，指导住房建设和住房制度改革，拟订全市住房建设规划并指导实施。</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4、承担规范住房和城乡建设管理秩序的责任。</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5、承担规范房地产市场秩序、监督管理房地产市场的责任。</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6、负责全市建设行业资质审查、审核和审批工作，指导全市建筑业活动，培育和规范建筑市场，指导监督建筑市场准入，管理工程招标投标、工程监理、工程质量和施工安全；</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7、贯彻执行国家、自治区、自治州城市建设管理方面的法律、法规、政策；</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8.负责研究拟订村镇建设发展战略、政策措施并监督实施；承担规范和指导全市村镇建设的责任。</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9.综合管理城乡建设抗震减灾工作。</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10.承担全市地震监测预报、震灾防御、地震应急的责任。</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11.负责全市建筑节能和行业科技发展工作。</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12.负责城市基础设施有形资产和无形资产的经营运作。</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13.参与土地储备、转让和开发利用。</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14.负责全市住房和城乡建设领域人才建设规划并指导实施。</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t>15、负责城市基础设施建设项目的立项、可</w:t>
      </w:r>
      <w:proofErr w:type="gramStart"/>
      <w:r w:rsidRPr="00E3334E">
        <w:rPr>
          <w:rFonts w:ascii="宋体" w:eastAsia="宋体" w:hAnsi="宋体" w:cs="宋体" w:hint="eastAsia"/>
          <w:color w:val="333333"/>
          <w:kern w:val="0"/>
          <w:sz w:val="24"/>
          <w:szCs w:val="24"/>
        </w:rPr>
        <w:t>研</w:t>
      </w:r>
      <w:proofErr w:type="gramEnd"/>
      <w:r w:rsidRPr="00E3334E">
        <w:rPr>
          <w:rFonts w:ascii="宋体" w:eastAsia="宋体" w:hAnsi="宋体" w:cs="宋体" w:hint="eastAsia"/>
          <w:color w:val="333333"/>
          <w:kern w:val="0"/>
          <w:sz w:val="24"/>
          <w:szCs w:val="24"/>
        </w:rPr>
        <w:t>、评估工作。</w:t>
      </w:r>
    </w:p>
    <w:p w:rsidR="008F0681" w:rsidRPr="00E3334E"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sidRPr="00E3334E">
        <w:rPr>
          <w:rFonts w:ascii="宋体" w:eastAsia="宋体" w:hAnsi="宋体" w:cs="宋体" w:hint="eastAsia"/>
          <w:color w:val="333333"/>
          <w:kern w:val="0"/>
          <w:sz w:val="24"/>
          <w:szCs w:val="24"/>
        </w:rPr>
        <w:lastRenderedPageBreak/>
        <w:t>16、承办市委、市人民政府及上级业务主管部门交办的其他事项。</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二、机构设置情况</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从决算单位构成看，昌吉市住房和城乡建设局决算包括：昌吉市住房和城乡建设局本级决算。</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纳入昌吉市住房和城乡建设局2018年部门决算编制范围的单位名单见下表：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495"/>
        <w:gridCol w:w="3135"/>
        <w:gridCol w:w="495"/>
      </w:tblGrid>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序号</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单位名称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备注</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昌吉市住房和城乡建设局本级</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r>
    </w:tbl>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第二部分 部门决算情况说明</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一、部门收支总体情况</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（一）部门收入支出决算总体情况说明</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2018年度收入43635.71万元,与上年相比，增加15395.85万元，增长54.52%，增减变化主要原因是：2018年项目增加电采暖项目、美丽乡村建设、和谐广场地下通道、市区道路建设、清理工程欠款、</w:t>
      </w: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沿岸综合整治、莎车富裕劳动力转移、安居富民建设等9个项目及清偿历年工程欠款14300万元；支出44665.36万元,与上年相比，增加18112.22万元，增长68.21%，增减变化主要原因是：2018年城市建设项目增加及清偿历年工程欠款14300万元；结余916.35万元，与上年相比，减少1029.65万元，降低52.91%。减少主要原因是：2017年底安居富民工程尚未验收完毕，结余资金均属2017年安居富民尚未支付工程资金。</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（二）部门收入总体情况说明</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本年收入合计43635.71万元，其中：财政拨款收入23249.64万元，占53.28%；上级补助收入0万元，占0%；事业收入0万元，占0%；经营收入0万元，占0%；附属单位缴款0万元，占0%；其他收入20386.07万元，占46.72%。</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与年初预算数相比情况：本年收入年初预算数1175.87万元，决算数43635.71万元，预决算差异率3610.92%，差异主要原因预算未安排项目经费，决算数包含了追加的人员增资、电采暖项目、美丽乡村建设、和谐广场地下通道、市区道路建设、清理工程欠款、</w:t>
      </w: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沿岸综合整治、莎车富裕劳动力转移、安居富民建设等9个项目资金以及清偿历年工程欠款14300万元。</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（三）部门支出总体情况说明</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本年支出合计44665.36万元，其中：基本支出1312.1万元，占2.94%；项目支出43353.26万元，占97.06%；上缴上级支出0万元，占0%；经营支出0万元，占0%；对附属单位补助支出0万元，占0%。</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本年支出年初预算数1175.87万元，决算数44665.36万元，预决算差异率3698.49%，差异主要原因预算未安排项目经费，决算数包含了追加的人员增资、电采暖项目、美丽乡村建设、和谐广场地下通道、市区道路建设、清理工程欠款、</w:t>
      </w: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沿岸综合整治、莎车富裕劳动力转移、安居富民建设等9个项目资金以及清偿历年工程欠款14300万元。</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二、部门财政拨款收支情况</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（一）财政拨款收支总体情况说明</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财政拨款收入23249.64万元，与上年相比，减少4274.07万元，降低15.53%。增减变化的主要原因是：财政拨款项目减少，部分项目属于财政其他收入（盘活存量资金和地债资金）安排。财政拨款支出24279.29万元，与上年相比，减少1557.68万元，降低6.03%，增减变化的主要原因是：财政拨款项目减少，部分项目属于财政其他收入（盘活存量资金和地债资金）安排。其中：基本支出1312.1万元，项目支出22967.19万元。财政拨款结转结余916.35万元，与上年相比，减少1029.65万元，降低52.91%。增减变化的主要原因是：2018年安居富民项目较上年度安居富民项目进度快、按照项目进度及时付款，故年末结转资金少。</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与年初预算数相比情况:财政拨款收入年初预算数1175.87万元，决算数23249.64万元，预决算差异率1877.23%，差异主要原因年初财政安排基本支出</w:t>
      </w:r>
      <w:r>
        <w:rPr>
          <w:rFonts w:ascii="宋体" w:eastAsia="宋体" w:hAnsi="宋体" w:cs="宋体" w:hint="eastAsia"/>
          <w:color w:val="333333"/>
          <w:kern w:val="0"/>
          <w:sz w:val="24"/>
          <w:szCs w:val="24"/>
        </w:rPr>
        <w:lastRenderedPageBreak/>
        <w:t>预算，项目支出为年中追加指标。财政拨款支出年初预算数1175.87万元，决算数24279.29万元，预决算差异率1964.79%，差异主要原因年初财政安排基本支出预算，项目支出为年中追加指标。</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（二）一般公共预算收支决算情况说明</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一般公共预算财政拨款收入10854.34万元。与上年相比，减少16141.80万元，降低59.79%。增减变化的主要原因是：2018年度项目资金通过政府性基金和其他收入安排，故一般公共预算财政拨款收入减少。一般公共预算财政拨款支出11883.99万元。与上年相比，减少13425.42万元，降低53.05%。增减变化的主要原因是：2018年度项目资金通过政府性基金和其他收入安排，故一般公共预算财政拨款支出减少。其中：按功能分类科目，208类社会保障和就业支出97.13万元。211类节能环保支出1321万元，212类城乡社区支出6901.04万元，220类国土海洋气象等支出1.18万元。221类住房保障支出3563.65万元。按经济分类科目，工资福利支出1655.28万元，商品和服务支出1575.41万元，对个人和家庭的补助支出67.44万元，债务利息及费用支出48.67万元；资本性支出（基本建设）8537.19万元。</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一般公共预算财政拨款收入年初预算数1175.87万元，决算数10854.34万元，预决算差异率823.09%，差异主要原因预算未安排项目经费，决算数包含了追加的人员增资和项目资金。一般公共预算财政拨款支出年初预算数1175.87万元，决算数11883.99万元，预决算差异率910.66%，差异主要原因预算未安排项目经费，决算数包含了追加的人员增资和项目资金。</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（三）政府性基金预算收支决算情况说明</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政府性基金预算财政拨款收入12395.3万元，与上年相比，增加11867.74万元，增长2249.55%。增减变化的主要原因是：2018年项目增加电采暖项目、美丽乡村建设、和谐广场地下通道、市区道路建设、清理工程欠款、</w:t>
      </w: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沿岸综合整治、莎车富裕劳动力转移、安居富民建设等9个项目。政府性基金预算财政拨款支出12395.3万元，与上年相比，增加11867.74万元，增长2249.55%。增减变化的主要原因是：2018年项目增加电采暖项目、美丽乡村建设、和谐广场地下通道、市区道路建设、清理工程欠款、</w:t>
      </w: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沿岸综合整治、</w:t>
      </w:r>
      <w:r>
        <w:rPr>
          <w:rFonts w:ascii="宋体" w:eastAsia="宋体" w:hAnsi="宋体" w:cs="宋体" w:hint="eastAsia"/>
          <w:color w:val="333333"/>
          <w:kern w:val="0"/>
          <w:sz w:val="24"/>
          <w:szCs w:val="24"/>
        </w:rPr>
        <w:lastRenderedPageBreak/>
        <w:t>莎车富裕劳动力转移、安居富民建设等9个项目。其中：按功能分类科目212类城乡社区支出12395.3万元。按经济分类科目，资本性支出12395.3万元。</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政府性基金预算财政拨款收入年初预算数0万元，决算数12395.3万元，预决算差异率100%，差异主要原因预算未安排项目经费，决算数包含了追加的电采暖项目、美丽乡村建设、和谐广场地下通道、市区道路建设、清理工程欠款、</w:t>
      </w: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沿岸综合整治、莎车富裕劳动力转移、安居富民建设等9个项目资金。政府性基金预算财政拨款支出年初预算数0万元，决算数12395.3万元，预决算差异率100%，差异主要原因预算未安排项目经费，决算数包含了追加的电采暖项目、美丽乡村建设、和谐广场地下通道、市区道路建设、清理工程欠款、</w:t>
      </w: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沿岸综合整治、莎车富裕劳动力转移、安居富民建设等9个项目资金。</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三、部门结转结余情况</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年末结转结余916.35万元。与上年相比，减少1029.65万元，降低52.91%。</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其中财政拨款结转结余916.35万元。与上年相比，减少1029.65万元，降低52.91%。</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四、一般公共预算“三公”经费支出情况</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2018年度一般公共预算“三公”经费支出决算15.6万元，比上年增加6万元，增长62.53%，增加原因是2018年五站所</w:t>
      </w:r>
      <w:proofErr w:type="gramStart"/>
      <w:r>
        <w:rPr>
          <w:rFonts w:ascii="宋体" w:eastAsia="宋体" w:hAnsi="宋体" w:cs="宋体" w:hint="eastAsia"/>
          <w:color w:val="333333"/>
          <w:kern w:val="0"/>
          <w:sz w:val="24"/>
          <w:szCs w:val="24"/>
        </w:rPr>
        <w:t>车辆归住建局</w:t>
      </w:r>
      <w:proofErr w:type="gramEnd"/>
      <w:r>
        <w:rPr>
          <w:rFonts w:ascii="宋体" w:eastAsia="宋体" w:hAnsi="宋体" w:cs="宋体" w:hint="eastAsia"/>
          <w:color w:val="333333"/>
          <w:kern w:val="0"/>
          <w:sz w:val="24"/>
          <w:szCs w:val="24"/>
        </w:rPr>
        <w:t>统一管理，车辆数增加。其中，因公出国（境）费支出0万元，占0%，比上年增加0万元，增长0%，增加原因是本年度无增减；公务用车购置及运行维护费支出15.6万元，占100%，比上年增加6万元，增长62.53%，增加原因是2018年五站所</w:t>
      </w:r>
      <w:proofErr w:type="gramStart"/>
      <w:r>
        <w:rPr>
          <w:rFonts w:ascii="宋体" w:eastAsia="宋体" w:hAnsi="宋体" w:cs="宋体" w:hint="eastAsia"/>
          <w:color w:val="333333"/>
          <w:kern w:val="0"/>
          <w:sz w:val="24"/>
          <w:szCs w:val="24"/>
        </w:rPr>
        <w:t>车辆归住建局</w:t>
      </w:r>
      <w:proofErr w:type="gramEnd"/>
      <w:r>
        <w:rPr>
          <w:rFonts w:ascii="宋体" w:eastAsia="宋体" w:hAnsi="宋体" w:cs="宋体" w:hint="eastAsia"/>
          <w:color w:val="333333"/>
          <w:kern w:val="0"/>
          <w:sz w:val="24"/>
          <w:szCs w:val="24"/>
        </w:rPr>
        <w:t>统一管理，车辆数增加；公务接待费支出0万元，占0%，比上年增加0万元，增长0%，增加0原因是本年度无公务接待费用。具体情况如下：</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因公出国（境）费支出0万元。住房和城乡建设局全年使用一般公共预算财政拨款安排的出国（境）团组0个，累计0人次。开支内容包括：无。</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公务用车购置及运行维护费15.6万元,其中，公务用车购置0万元，公务用车运行维护费15.6万元。主要用于公务用车维修维护、车辆保险、车辆加油加气等。单位一般公共财政拨款安排的公务用车购置量0辆，保有量为9辆。</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公务接待费0万元。具体是：国内公务接待支出0万元，主要是无公务接待费。住房和城乡建设</w:t>
      </w:r>
      <w:proofErr w:type="gramStart"/>
      <w:r>
        <w:rPr>
          <w:rFonts w:ascii="宋体" w:eastAsia="宋体" w:hAnsi="宋体" w:cs="宋体" w:hint="eastAsia"/>
          <w:color w:val="333333"/>
          <w:kern w:val="0"/>
          <w:sz w:val="24"/>
          <w:szCs w:val="24"/>
        </w:rPr>
        <w:t>局国内</w:t>
      </w:r>
      <w:proofErr w:type="gramEnd"/>
      <w:r>
        <w:rPr>
          <w:rFonts w:ascii="宋体" w:eastAsia="宋体" w:hAnsi="宋体" w:cs="宋体" w:hint="eastAsia"/>
          <w:color w:val="333333"/>
          <w:kern w:val="0"/>
          <w:sz w:val="24"/>
          <w:szCs w:val="24"/>
        </w:rPr>
        <w:t>公务接待0批次，0人次。</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一般公共预算“三公”经费支出年初预算数15.6万元，决算数15.6万元，预决算差异率0%，差异主要原因本年度公务用车维护费和预算一致，无增减变化。其中：因公出国（境）费预算数0万元，决算数0万元，预决算差异率0%，差异主要原因预算未安排；公务用车购置预算数0万元，决算数0万元，预决算差异率0%，差异主要原因预算未安排；公务用车运行费预算数15.6万元，决算数15.6万元，预决算差异率0%，差异主要原因本年度车辆运营维护费和预算一致无增减变动；公务接待费预算数0万元，决算数0万元，预决算差异率0%，差异主要原因预算未安排。</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五、机关运行经费支出情况</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2018年度昌吉市住房和城乡建设局（行政单位和参照公务员法管理事业单位）机关运行经费支出126.12万元，比上年减少2.13万元，降低1.66%，主要原因是人员减少，经费减少。</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六、政府采购情况</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2018度政府采购支出总额48.31万元，其中：政府采购货物支出0万元、政府采购工程支出0万元、政府采购服务支出48.31万元。</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七、其他重要事项的情况</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（一）国有资产占用情况说明</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截至2018年12月31日，单位共有车辆22辆，价值356.5万元，其中：部级领导干部用车0辆、主要领导干部用车9辆、机要通信用车0辆、应急保障用车0辆、执法执勤用车0辆、特种专业技术用车0辆、离退休干部用车0辆、其他用车13辆，其他用车主要是：城建科、项目办项目用车；单位价值50万元以</w:t>
      </w:r>
      <w:r>
        <w:rPr>
          <w:rFonts w:ascii="宋体" w:eastAsia="宋体" w:hAnsi="宋体" w:cs="宋体" w:hint="eastAsia"/>
          <w:color w:val="333333"/>
          <w:kern w:val="0"/>
          <w:sz w:val="24"/>
          <w:szCs w:val="24"/>
        </w:rPr>
        <w:lastRenderedPageBreak/>
        <w:t>上通用设备0台（套）、单位价值100万元以上专用设备0台（套），其他固定资产价值98476.39万元。</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（二）预算绩效情况的说明</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2018年度，昌吉市住建局预算项目资金安排44269.60万元，实际执行项目资金43353.25万元，由昌吉市财政拨付，用于单位项目资金支付：1.节能环保（电采暖）项目资金321万元；2. 工程欠款（2013-2014）项目133.42万元；2017年安居富民项目财政安排数1744万元，执行数827.65万元；4.和谐广场地下通道项目资金672万元；5. 2018年美丽乡村建设项目资金166.8万元，6. 2018年安居富民工程项目资金2736万元；7. 市区道路建设项目资金24750.01万元；8.莎车富裕劳动力转移项目资金241.9万元；9. </w:t>
      </w: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沿岸综合整治项目资金13524.47万元。</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住房和城乡建设局按照年初预订目标逐步推进预算绩效管理，建立健全绩效运行机制，推进预算绩效管理制度化、规范化、提高财政资金使用效率。制定了《昌吉市住建局预算绩效管理的工作方案》，成立了以局长为组长、各个项目科室科长为成员的预算绩效监控领导小组、按照各科室工作职责进行分工，做到分工明确、责任到人。按照本年年度财政预算指标申报监控目标、制定监控计划、按照制定的计划及财政要求实施计划，较好完成了绩效目标预期值。</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节能环保（电采暖）项目绩效自评综述：根据年初设定的绩效目标，节能环保（电采暖）项目绩效自评得分90分，项目全年预算数为321万元，执行数为321万元，完成预算的100%。主要产出和效果：一是通过昌吉市电采暖项目的建设，降低了对大气的污染，有效缓解了城市集中供暖紧张的局面；二是提高了建筑供热质量，引进了一批技术先进，经济可行，运行良好电采暖设备厂家，使城市供热采取了多种方式。发现的问题及原因：无问题。下一步改进措施：无措施。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666"/>
        <w:gridCol w:w="432"/>
        <w:gridCol w:w="549"/>
        <w:gridCol w:w="620"/>
        <w:gridCol w:w="1407"/>
        <w:gridCol w:w="2378"/>
        <w:gridCol w:w="1129"/>
        <w:gridCol w:w="794"/>
        <w:gridCol w:w="347"/>
      </w:tblGrid>
      <w:tr w:rsidR="008F0681">
        <w:tc>
          <w:tcPr>
            <w:tcW w:w="0" w:type="auto"/>
            <w:gridSpan w:val="9"/>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昌吉市电采暖项目支出绩效自评表</w:t>
            </w:r>
          </w:p>
        </w:tc>
      </w:tr>
      <w:tr w:rsidR="008F0681">
        <w:tc>
          <w:tcPr>
            <w:tcW w:w="0" w:type="auto"/>
            <w:gridSpan w:val="9"/>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2018年度）</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项目名称</w:t>
            </w:r>
          </w:p>
        </w:tc>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昌吉市电采暖项目　</w:t>
            </w: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昌吉市住房和城乡建设局</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321　</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321</w:t>
            </w: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321</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321</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F0681">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完成昌吉市电采暖200万的项目建设</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项目分两年完成，其中2017年完成1100平方米，2018年完成14000平方米</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指标1：完成面积</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完成321万元“煤改电”电采暖项目</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指标1：供热标准</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验收合格率100%</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实际验收合格率100%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指标1：当年完成</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缓解昌吉市供热负荷不足的情况</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2018年10月20日前</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指标1：节约成本率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财政资金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321万元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项目效果指标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指标1：节约供热单位成本</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节省成本</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节省成本</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指标1：改善供暖环境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改善了城市居民生活环境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有基本保障</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指标1：节能环保绿</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符合环保基本要求</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基本符合</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w:t>
            </w:r>
            <w:r>
              <w:rPr>
                <w:rFonts w:ascii="宋体" w:eastAsia="宋体" w:hAnsi="宋体" w:cs="宋体" w:hint="eastAsia"/>
                <w:color w:val="333333"/>
                <w:kern w:val="0"/>
                <w:sz w:val="24"/>
                <w:szCs w:val="24"/>
              </w:rPr>
              <w:lastRenderedPageBreak/>
              <w:t>续影响</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指标1：</w:t>
            </w:r>
            <w:r>
              <w:rPr>
                <w:rFonts w:ascii="宋体" w:eastAsia="宋体" w:hAnsi="宋体" w:cs="宋体" w:hint="eastAsia"/>
                <w:color w:val="333333"/>
                <w:kern w:val="0"/>
                <w:sz w:val="24"/>
                <w:szCs w:val="24"/>
              </w:rPr>
              <w:lastRenderedPageBreak/>
              <w:t>节约能源，可持续发展</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环保效益显著，项</w:t>
            </w:r>
            <w:r>
              <w:rPr>
                <w:rFonts w:ascii="宋体" w:eastAsia="宋体" w:hAnsi="宋体" w:cs="宋体" w:hint="eastAsia"/>
                <w:color w:val="333333"/>
                <w:kern w:val="0"/>
                <w:sz w:val="24"/>
                <w:szCs w:val="24"/>
              </w:rPr>
              <w:lastRenderedPageBreak/>
              <w:t>目的实施明显改善城市人居环境，提高城市供热质量，减少了大气污染。</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项目投资科学，运行良好，民生、</w:t>
            </w:r>
            <w:r>
              <w:rPr>
                <w:rFonts w:ascii="宋体" w:eastAsia="宋体" w:hAnsi="宋体" w:cs="宋体" w:hint="eastAsia"/>
                <w:color w:val="333333"/>
                <w:kern w:val="0"/>
                <w:sz w:val="24"/>
                <w:szCs w:val="24"/>
              </w:rPr>
              <w:lastRenderedPageBreak/>
              <w:t>社会、实施电采暖后的建筑供热质量，可由未改造前燃煤小锅炉供热时的 16—18度提高到20—22度，达到人体比较舒适的供热温度。</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满意度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w:t>
            </w:r>
            <w:proofErr w:type="gramStart"/>
            <w:r>
              <w:rPr>
                <w:rFonts w:ascii="宋体" w:eastAsia="宋体" w:hAnsi="宋体" w:cs="宋体" w:hint="eastAsia"/>
                <w:color w:val="333333"/>
                <w:kern w:val="0"/>
                <w:sz w:val="24"/>
                <w:szCs w:val="24"/>
              </w:rPr>
              <w:t>供暖户满意</w:t>
            </w:r>
            <w:proofErr w:type="gramEnd"/>
            <w:r>
              <w:rPr>
                <w:rFonts w:ascii="宋体" w:eastAsia="宋体" w:hAnsi="宋体" w:cs="宋体" w:hint="eastAsia"/>
                <w:color w:val="333333"/>
                <w:kern w:val="0"/>
                <w:sz w:val="24"/>
                <w:szCs w:val="24"/>
              </w:rPr>
              <w:t>度</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受益人口满意度　</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受益人口满意度98%</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r>
    </w:tbl>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工程欠款（2013-2014）项目绩效自评综述：根据年初设定的绩效目标，工程欠款（2013-2014）项目绩效自评得分88分，项目全年预算数为113.42万元，执行数为113.42万元，完成预算的100%。主要产出和效果：为消除信访隐患，市级财政拨付工程欠款，用于“零”支付项目，杜绝农民工频繁上访及越级上访现象发生。支付工程款时，要求施工企业提供未发放农民工工资表，督促施工企业必须将工资发放到农民工手中，消除上访隐患。发现的问题及原因：未能及时清偿工程欠款，清理欠款时资金不足。下一步改进措施：积极争取自治区新增债券资金及中央预算资金，加大清欠力度。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729"/>
        <w:gridCol w:w="471"/>
        <w:gridCol w:w="422"/>
        <w:gridCol w:w="1916"/>
        <w:gridCol w:w="1747"/>
        <w:gridCol w:w="1200"/>
        <w:gridCol w:w="979"/>
        <w:gridCol w:w="858"/>
      </w:tblGrid>
      <w:tr w:rsidR="008F0681">
        <w:tc>
          <w:tcPr>
            <w:tcW w:w="0" w:type="auto"/>
            <w:gridSpan w:val="8"/>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昌吉市历年工程欠款项目支出绩效自评表</w:t>
            </w:r>
          </w:p>
        </w:tc>
      </w:tr>
      <w:tr w:rsidR="008F0681">
        <w:tc>
          <w:tcPr>
            <w:tcW w:w="0" w:type="auto"/>
            <w:gridSpan w:val="8"/>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2013-2014年项目款</w:t>
            </w: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昌吉市住房和城乡建设局　</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情况</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113.42　</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113.42</w:t>
            </w: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113.42　</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113.42　</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F0681">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偿还2013-2014年项目款113.42万元。体育馆北侧规划路（政府路-世纪大道）、森林公园东侧支路（石河子-森林公园支路）</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偿还2013-2014年项目款113.42万元。体育馆北侧规划路（政府路-世纪大道）、森林公园东侧支路（石河子-森林公园支路）</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w:t>
            </w:r>
            <w:r>
              <w:rPr>
                <w:rFonts w:ascii="宋体" w:eastAsia="宋体" w:hAnsi="宋体" w:cs="宋体" w:hint="eastAsia"/>
                <w:color w:val="333333"/>
                <w:kern w:val="0"/>
                <w:sz w:val="24"/>
                <w:szCs w:val="24"/>
              </w:rPr>
              <w:lastRenderedPageBreak/>
              <w:t>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指标1：项目内容</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偿还2013-2014年项目款113.42万元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偿还2013-2014年项目款113.42万元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指标1：合格率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还款工作合格率100%</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还款工作合格率100%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指标1：还款时间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还款日期</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2018年11月1日</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指标1：还款金额</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计划偿还2013-2014年项目款113.42万元。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偿还2013-2014年项目款113.42万元。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项目效果指标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指标1：城市经济</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城市道路建设，促进社会经济发展</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城市道路建设，促进社会经济发展0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指标1：城市保障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消除信访隐患</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杜绝农民工上访</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指标1：城市环境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符合环保基本要求</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基本符合</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指标1：城市保障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居民生活环境提供了重要保障</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≥20年</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满意度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受益人口满意度　　</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95%</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r>
    </w:tbl>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2017年安居富民项目绩效自评综述：根据年初设定的绩效目标，2017年安居富民项目绩效自评得分81分，项目全年预算数为1744万元，执行数为827.65万元，完成预算的47.45%。主要产出和效果：一是使农村居住环境得到了彻底的改变，更进一步达到新农村的标准要求；二是转移了部分农村剩余劳动力，为减轻社会就业压力</w:t>
      </w:r>
      <w:proofErr w:type="gramStart"/>
      <w:r>
        <w:rPr>
          <w:rFonts w:ascii="宋体" w:eastAsia="宋体" w:hAnsi="宋体" w:cs="宋体" w:hint="eastAsia"/>
          <w:color w:val="333333"/>
          <w:kern w:val="0"/>
          <w:sz w:val="24"/>
          <w:szCs w:val="24"/>
        </w:rPr>
        <w:t>作出</w:t>
      </w:r>
      <w:proofErr w:type="gramEnd"/>
      <w:r>
        <w:rPr>
          <w:rFonts w:ascii="宋体" w:eastAsia="宋体" w:hAnsi="宋体" w:cs="宋体" w:hint="eastAsia"/>
          <w:color w:val="333333"/>
          <w:kern w:val="0"/>
          <w:sz w:val="24"/>
          <w:szCs w:val="24"/>
        </w:rPr>
        <w:t>突出贡献；依托工程建设中</w:t>
      </w:r>
      <w:proofErr w:type="gramStart"/>
      <w:r>
        <w:rPr>
          <w:rFonts w:ascii="宋体" w:eastAsia="宋体" w:hAnsi="宋体" w:cs="宋体" w:hint="eastAsia"/>
          <w:color w:val="333333"/>
          <w:kern w:val="0"/>
          <w:sz w:val="24"/>
          <w:szCs w:val="24"/>
        </w:rPr>
        <w:t>”</w:t>
      </w:r>
      <w:proofErr w:type="gramEnd"/>
      <w:r>
        <w:rPr>
          <w:rFonts w:ascii="宋体" w:eastAsia="宋体" w:hAnsi="宋体" w:cs="宋体" w:hint="eastAsia"/>
          <w:color w:val="333333"/>
          <w:kern w:val="0"/>
          <w:sz w:val="24"/>
          <w:szCs w:val="24"/>
        </w:rPr>
        <w:t>村庄经济、庭院经济“等</w:t>
      </w:r>
      <w:proofErr w:type="gramStart"/>
      <w:r>
        <w:rPr>
          <w:rFonts w:ascii="宋体" w:eastAsia="宋体" w:hAnsi="宋体" w:cs="宋体" w:hint="eastAsia"/>
          <w:color w:val="333333"/>
          <w:kern w:val="0"/>
          <w:sz w:val="24"/>
          <w:szCs w:val="24"/>
        </w:rPr>
        <w:t>一</w:t>
      </w:r>
      <w:proofErr w:type="gramEnd"/>
      <w:r>
        <w:rPr>
          <w:rFonts w:ascii="宋体" w:eastAsia="宋体" w:hAnsi="宋体" w:cs="宋体" w:hint="eastAsia"/>
          <w:color w:val="333333"/>
          <w:kern w:val="0"/>
          <w:sz w:val="24"/>
          <w:szCs w:val="24"/>
        </w:rPr>
        <w:t>序列富民举措，调整了产业结构，促进了农村经济的发展，增加了农民的经济收入，辐射带动了区域内经济的增长。 发现的问题及原因：一是村民参与率不高；二是工程进度较慢。下一步改进措施：一是抓好培训，营造舆论氛围。广泛发动群众，大力宣传建房优惠政策营浓厚的造舆论氛围，鼓励和调动一切建房积极因素；二是昌吉市农村安居工程建设资金实行国家、自治区专项补助 、市财政补助与乡镇村和农牧民自筹相结合，以群众自筹为主要原则，坚持多渠道筹资。有关项目自评情况可以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741"/>
        <w:gridCol w:w="500"/>
        <w:gridCol w:w="1297"/>
        <w:gridCol w:w="1414"/>
        <w:gridCol w:w="1184"/>
        <w:gridCol w:w="1532"/>
        <w:gridCol w:w="1654"/>
      </w:tblGrid>
      <w:tr w:rsidR="008F0681">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昌吉市2017年农村安居工程财政项目支出绩效自评表</w:t>
            </w:r>
          </w:p>
        </w:tc>
      </w:tr>
      <w:tr w:rsidR="008F0681">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2018年度）</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昌吉市安居工程建设　</w:t>
            </w: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昌吉市住房和城乡建设局　</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情况</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1744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827.65　</w:t>
            </w: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1744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827.65　</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F0681">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2017年自治区下达我市安居富民工程1000户</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实际完成1000户。</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指标1：完工户数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建设农村安居工程1000户</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完成1000户</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指标1：竣工情况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房屋验收合格率100%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实际房屋验收</w:t>
            </w:r>
            <w:r>
              <w:rPr>
                <w:rFonts w:ascii="宋体" w:eastAsia="宋体" w:hAnsi="宋体" w:cs="宋体" w:hint="eastAsia"/>
                <w:color w:val="333333"/>
                <w:kern w:val="0"/>
                <w:sz w:val="24"/>
                <w:szCs w:val="24"/>
              </w:rPr>
              <w:lastRenderedPageBreak/>
              <w:t>合格率100%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指标1：开工时间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农村危房改造开工时间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2017年6月31日前</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指标2：竣工时间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农村危房改造竣工及县乡两级验收时间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2018年10月31日</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指标1：一般户补助</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一般户安居富民户均补助</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1.85万元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指标2：四类补助</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四类重点对象补助</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2.32万元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指标1：人居环境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人畜分离、卫生厕所等基本卫生条件</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有基本保障</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指标1：环保情况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符合环保基本要求</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基本符合</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指标1：改造房屋年限</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改造后房屋保证安全期限</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≥20年</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满意度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指标1：受益人口</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受益人口满意度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95%</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bl>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四）、和谐广场地下通道项目绩效自评综述：根据年初设定的绩效目标，和谐广场地下通道项目绩效自评得分90分，项目全年预算数为672万元，执行数为672万元，完成预算的100%。主要产出和效果：地下人行通道对于疏导交通、消除人车混行、保障行人安全起到了很大的作用，有效消除了交通隐患问题，这对于城市的发展是有着积极作用的。发现的问题及原因：无问题。下一步改进措施：无措施。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815"/>
        <w:gridCol w:w="576"/>
        <w:gridCol w:w="496"/>
        <w:gridCol w:w="1378"/>
        <w:gridCol w:w="1659"/>
        <w:gridCol w:w="1619"/>
        <w:gridCol w:w="1779"/>
      </w:tblGrid>
      <w:tr w:rsidR="008F0681">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昌吉市和谐广场地下通道</w:t>
            </w:r>
            <w:proofErr w:type="gramStart"/>
            <w:r>
              <w:rPr>
                <w:rFonts w:ascii="宋体" w:eastAsia="宋体" w:hAnsi="宋体" w:cs="宋体" w:hint="eastAsia"/>
                <w:color w:val="333333"/>
                <w:kern w:val="0"/>
                <w:sz w:val="24"/>
                <w:szCs w:val="24"/>
              </w:rPr>
              <w:t>项目项目</w:t>
            </w:r>
            <w:proofErr w:type="gramEnd"/>
            <w:r>
              <w:rPr>
                <w:rFonts w:ascii="宋体" w:eastAsia="宋体" w:hAnsi="宋体" w:cs="宋体" w:hint="eastAsia"/>
                <w:color w:val="333333"/>
                <w:kern w:val="0"/>
                <w:sz w:val="24"/>
                <w:szCs w:val="24"/>
              </w:rPr>
              <w:t>支出绩效自评表</w:t>
            </w:r>
          </w:p>
        </w:tc>
      </w:tr>
      <w:tr w:rsidR="008F0681">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和谐广场地下通道项目　</w:t>
            </w: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昌吉市住房和城乡建设局　</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672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672</w:t>
            </w: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672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672</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目标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F0681">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和谐广场地下通道项目资金672万元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和谐广场地下通道项目资金672万元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指标1：任务完成</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和谐广场地下通道 项目资金672万元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和谐广场地下道项目资金672万元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指标1：验收率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验收合格率100%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验收合格100%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指标1：开工时间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开工时间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2018年4月1日</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指标1：项目资金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市级财政投资</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672万元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项目效果指标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指标1：城市发展</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对于城市的发展有着积极作用</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社会效益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指标1：城市保障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有效保障了社会交通持续稳定</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有效保障</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指标1：城市环境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符合环保基本要求</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基本符合</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指标1：城市安全</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增强了群众的安全感</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≥20年</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受益人口满意度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95%</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bl>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(五) 2018年美丽乡村建设项目绩效自评综述：根据年初设定的绩效目标，2018年美丽乡村建设项目绩效自评得分90分，项目全年预算数为166.8万元，执行数为166.8万元，完成预算的100%。主要产出和效果：通过美丽乡村建设取得效果比较明显，村容村貌变化较大，许多村庄焕然一新，老百姓对美丽乡村建设的幸福感、获得</w:t>
      </w:r>
      <w:proofErr w:type="gramStart"/>
      <w:r>
        <w:rPr>
          <w:rFonts w:ascii="宋体" w:eastAsia="宋体" w:hAnsi="宋体" w:cs="宋体" w:hint="eastAsia"/>
          <w:color w:val="333333"/>
          <w:kern w:val="0"/>
          <w:sz w:val="24"/>
          <w:szCs w:val="24"/>
        </w:rPr>
        <w:t>感显著</w:t>
      </w:r>
      <w:proofErr w:type="gramEnd"/>
      <w:r>
        <w:rPr>
          <w:rFonts w:ascii="宋体" w:eastAsia="宋体" w:hAnsi="宋体" w:cs="宋体" w:hint="eastAsia"/>
          <w:color w:val="333333"/>
          <w:kern w:val="0"/>
          <w:sz w:val="24"/>
          <w:szCs w:val="24"/>
        </w:rPr>
        <w:t>提升；发现的问题及原因：一是广大村民共同参与美丽乡村建设积极性不高；二是各部资源分散，资源不能共享。下一步改进措施：一是各相关部门有效整合项目资源，本着统筹安排、各负其责的原则，加强沟通协调、形成合力；二是充分调动广大村民共同参与美丽乡村建设积极性，及时解决遇到的困难和问题，有序推动美丽乡村建设。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695"/>
        <w:gridCol w:w="455"/>
        <w:gridCol w:w="804"/>
        <w:gridCol w:w="1244"/>
        <w:gridCol w:w="2446"/>
        <w:gridCol w:w="1289"/>
        <w:gridCol w:w="1389"/>
      </w:tblGrid>
      <w:tr w:rsidR="008F0681">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昌吉市2018年美丽乡村建设财政项目支出绩效自评表</w:t>
            </w:r>
          </w:p>
        </w:tc>
      </w:tr>
      <w:tr w:rsidR="008F0681">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2018年度）</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w:t>
            </w:r>
            <w:proofErr w:type="gramStart"/>
            <w:r>
              <w:rPr>
                <w:rFonts w:ascii="宋体" w:eastAsia="宋体" w:hAnsi="宋体" w:cs="宋体" w:hint="eastAsia"/>
                <w:color w:val="333333"/>
                <w:kern w:val="0"/>
                <w:sz w:val="24"/>
                <w:szCs w:val="24"/>
              </w:rPr>
              <w:t>市美丽</w:t>
            </w:r>
            <w:proofErr w:type="gramEnd"/>
            <w:r>
              <w:rPr>
                <w:rFonts w:ascii="宋体" w:eastAsia="宋体" w:hAnsi="宋体" w:cs="宋体" w:hint="eastAsia"/>
                <w:color w:val="333333"/>
                <w:kern w:val="0"/>
                <w:sz w:val="24"/>
                <w:szCs w:val="24"/>
              </w:rPr>
              <w:t xml:space="preserve">乡村建设　</w:t>
            </w: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昌吉市住建局　</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166.8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166.8　</w:t>
            </w: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166.8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166.8　</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F0681">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完成全市15个创建村（示范村7个，培育村8个），6个集镇区进行重点打造建设。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完成全年任务的100%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指标1：总体任务</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完成全市15个创建村（示范村7个，培育村8个），6个集镇区进行重点打造建设。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完成100%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指标1：验收率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验收合格率100%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完工项目验收合格率100%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指标1：开工时间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开工时间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2018年6月31日前</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指标2：竣工时间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竣工及县乡两级验收时间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2018年10月31日</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指标1：项目投资</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美丽乡村项目投资</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166.8万元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指标1：人居环境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人畜分离、卫生厕所等基本卫生条件</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有基本保障</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指标1：生态环境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符合环保基本要求</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基本符合</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指标1：房屋年限</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改造后房屋保证安全期限</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≥20年</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满意度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指标1：收益率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受益人口满意度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95%</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bl>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2018年安居富民工程项目绩效自评综述：根据年初设定的绩效目标，2018年安居富民工程项目绩效自评得分90分，项目全年预算数为2736万元，执行数为2736万元，完成预算的100%。主要产出和效果昌吉市2018年农村安居工程建设任务1474户已全部完成（其中一般户1370、四类重点对象1370户），总体建设任务中各乡镇完成672户，剩余802户按照市委农村安居工程工作专题会安排部署，将3个涉农办事处（中山路、宁边路、建国路街道办）和</w:t>
      </w:r>
      <w:proofErr w:type="gramStart"/>
      <w:r>
        <w:rPr>
          <w:rFonts w:ascii="宋体" w:eastAsia="宋体" w:hAnsi="宋体" w:cs="宋体" w:hint="eastAsia"/>
          <w:color w:val="333333"/>
          <w:kern w:val="0"/>
          <w:sz w:val="24"/>
          <w:szCs w:val="24"/>
        </w:rPr>
        <w:t>三工镇</w:t>
      </w:r>
      <w:proofErr w:type="gramEnd"/>
      <w:r>
        <w:rPr>
          <w:rFonts w:ascii="宋体" w:eastAsia="宋体" w:hAnsi="宋体" w:cs="宋体" w:hint="eastAsia"/>
          <w:color w:val="333333"/>
          <w:kern w:val="0"/>
          <w:sz w:val="24"/>
          <w:szCs w:val="24"/>
        </w:rPr>
        <w:t>棚户区改造中具有农村户籍、集体土地、未享受农村安居工程补助政策的征收户纳入农村安居工程补助范围内，补助标准为一般户自治区补助1.85万元；四类重点对象中央补助1.52万元、自治区补助0.8万元。发现的问题及原因：一是广大村民共同参与安居富民建设积极性不高；下一步改进措施：对每户安居房建设进展情况进行造册登记跟踪督查，由安居富民工程领导小组每季度进行定期督查。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637"/>
        <w:gridCol w:w="396"/>
        <w:gridCol w:w="842"/>
        <w:gridCol w:w="984"/>
        <w:gridCol w:w="2223"/>
        <w:gridCol w:w="2223"/>
        <w:gridCol w:w="1017"/>
      </w:tblGrid>
      <w:tr w:rsidR="008F0681">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昌吉市2018年农村安居项目支出绩效自评表</w:t>
            </w:r>
          </w:p>
        </w:tc>
      </w:tr>
      <w:tr w:rsidR="008F0681">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2018 年度）</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昌吉市安居工程建设　</w:t>
            </w: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昌吉市住建局　</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情况</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2736万元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2736万元</w:t>
            </w: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中央119万元、自治区2617万元。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中央119万元、自治区2617万元。　</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F0681">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2017年自治区下达我市安居富民工程1474户，其中一般户1370户、四类重点对象104户。</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实际完成1474户。其中一般户1370户、四类重点对象104户。</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w:t>
            </w:r>
            <w:r>
              <w:rPr>
                <w:rFonts w:ascii="宋体" w:eastAsia="宋体" w:hAnsi="宋体" w:cs="宋体" w:hint="eastAsia"/>
                <w:color w:val="333333"/>
                <w:kern w:val="0"/>
                <w:sz w:val="24"/>
                <w:szCs w:val="24"/>
              </w:rPr>
              <w:lastRenderedPageBreak/>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数量</w:t>
            </w:r>
            <w:r>
              <w:rPr>
                <w:rFonts w:ascii="宋体" w:eastAsia="宋体" w:hAnsi="宋体" w:cs="宋体" w:hint="eastAsia"/>
                <w:color w:val="333333"/>
                <w:kern w:val="0"/>
                <w:sz w:val="24"/>
                <w:szCs w:val="24"/>
              </w:rPr>
              <w:lastRenderedPageBreak/>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指标1：任务完成情况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建设农村安居工程1474户，其中一般户</w:t>
            </w:r>
            <w:r>
              <w:rPr>
                <w:rFonts w:ascii="宋体" w:eastAsia="宋体" w:hAnsi="宋体" w:cs="宋体" w:hint="eastAsia"/>
                <w:color w:val="333333"/>
                <w:kern w:val="0"/>
                <w:sz w:val="24"/>
                <w:szCs w:val="24"/>
              </w:rPr>
              <w:lastRenderedPageBreak/>
              <w:t>1370户、四类重点对象104户。</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完成1474户，其中一般户1370户、四类</w:t>
            </w:r>
            <w:r>
              <w:rPr>
                <w:rFonts w:ascii="宋体" w:eastAsia="宋体" w:hAnsi="宋体" w:cs="宋体" w:hint="eastAsia"/>
                <w:color w:val="333333"/>
                <w:kern w:val="0"/>
                <w:sz w:val="24"/>
                <w:szCs w:val="24"/>
              </w:rPr>
              <w:lastRenderedPageBreak/>
              <w:t>重点对象104户。</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指标1：竣工率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房屋验收合格率100%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实际房屋验收合格率100%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指标1：开工时间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农村危房改造开工时间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2018年6月31日前</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指标2：验收时间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农村危房改造竣工及县乡两级验收时间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2018年10月31日</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指标1：一般户补助</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一般户安居富民户均补助</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2.85万元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指标2：四类补助</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四类重点对象补助</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4.32万元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项目效果指标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指标1：对农村经济受益情况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农民物质生活丰裕、精神生活也比较充实，居住环境得到改善，从而使人民的健康水平提高，农民生活安居乐业、安定繁荣</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农民物质生活丰裕、精神生活也比较充实，居住环境得到改善，从而使人民的健康水平提高，农民生活安居乐业、安定繁荣</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社会效益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指标1：人居环境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人畜分离、卫生厕所等基本卫生条件</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有基本保障</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指标2：受益人口</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四类重点对象危房改造收益对象人口数量</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≥500人</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指标3：住房条件改善情况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补助对象住房条件改善情况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人居环境、住房条件得到有效改善</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指标1：环保情况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符合环保基本要求</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基本符合并逐渐改善</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指标1：住房年限</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改造后房屋保证安全期限</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≥20年</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满意</w:t>
            </w:r>
            <w:r>
              <w:rPr>
                <w:rFonts w:ascii="宋体" w:eastAsia="宋体" w:hAnsi="宋体" w:cs="宋体" w:hint="eastAsia"/>
                <w:color w:val="333333"/>
                <w:kern w:val="0"/>
                <w:sz w:val="24"/>
                <w:szCs w:val="24"/>
              </w:rPr>
              <w:lastRenderedPageBreak/>
              <w:t>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指标1：受益人口满意率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受益人口满意度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95%</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bl>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(七) 市区道路建设项目绩效自评综述：根据年初设定的绩效目标，市区道路建设项目绩效自评得分90分，项目全年预算数为24750.01万元，执行数为24750.01万元，完成预算的100%。主要产出和效果：昌吉市市区范围内新建11条道路12.32公里，供水管网12.32公里，排水管网12.32公里；发现的问题及原因：一是竣工决算尚未出稿，工程决算价格尚未确定。下一步改进措施：要求施工单位对完工项目及时办理项目交（竣）工验收、工程结算审核和财务决算工作，实行工程竣工决算审计，做好内业资料整理及档案管理工作，根据市级财政资金拨付情况支付尾款。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812"/>
        <w:gridCol w:w="529"/>
        <w:gridCol w:w="643"/>
        <w:gridCol w:w="1665"/>
        <w:gridCol w:w="1698"/>
        <w:gridCol w:w="1811"/>
        <w:gridCol w:w="1164"/>
      </w:tblGrid>
      <w:tr w:rsidR="008F0681">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昌吉市财政市区道路项目支出绩效自评表</w:t>
            </w:r>
          </w:p>
        </w:tc>
      </w:tr>
      <w:tr w:rsidR="008F0681">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市区道路</w:t>
            </w: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昌吉市住房和城乡建设局　</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24750.01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24750.01</w:t>
            </w: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5444.17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5444.17</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19305.84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19305.84</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F0681">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新建11条道路12.32公里，供水管网12.32公里，排水管网12.32公里。州统建房三期中部规划路（北二路—北外环）、州统建房三期南侧规划路（滨河</w:t>
            </w:r>
            <w:proofErr w:type="gramStart"/>
            <w:r>
              <w:rPr>
                <w:rFonts w:ascii="宋体" w:eastAsia="宋体" w:hAnsi="宋体" w:cs="宋体" w:hint="eastAsia"/>
                <w:color w:val="333333"/>
                <w:kern w:val="0"/>
                <w:sz w:val="24"/>
                <w:szCs w:val="24"/>
              </w:rPr>
              <w:t>路—州统建</w:t>
            </w:r>
            <w:proofErr w:type="gramEnd"/>
            <w:r>
              <w:rPr>
                <w:rFonts w:ascii="宋体" w:eastAsia="宋体" w:hAnsi="宋体" w:cs="宋体" w:hint="eastAsia"/>
                <w:color w:val="333333"/>
                <w:kern w:val="0"/>
                <w:sz w:val="24"/>
                <w:szCs w:val="24"/>
              </w:rPr>
              <w:t>房三期西侧规划路）、州统建房三期西侧规划路（北外环—北二路）、北二路（中山路-北京路）、 北二路（西外环—中山路）、香水湾东侧规划路（北</w:t>
            </w:r>
            <w:proofErr w:type="gramStart"/>
            <w:r>
              <w:rPr>
                <w:rFonts w:ascii="宋体" w:eastAsia="宋体" w:hAnsi="宋体" w:cs="宋体" w:hint="eastAsia"/>
                <w:color w:val="333333"/>
                <w:kern w:val="0"/>
                <w:sz w:val="24"/>
                <w:szCs w:val="24"/>
              </w:rPr>
              <w:t>一路—</w:t>
            </w:r>
            <w:proofErr w:type="gramEnd"/>
            <w:r>
              <w:rPr>
                <w:rFonts w:ascii="宋体" w:eastAsia="宋体" w:hAnsi="宋体" w:cs="宋体" w:hint="eastAsia"/>
                <w:color w:val="333333"/>
                <w:kern w:val="0"/>
                <w:sz w:val="24"/>
                <w:szCs w:val="24"/>
              </w:rPr>
              <w:t>北二路）、南外环（北京路—黄河路）</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新建11道路12.32公里，供水管网12.32公里，排水管网12.32公里。州统建房三期中部规划路（北二路—北外环）、州统建房三期南侧规划路（滨河</w:t>
            </w:r>
            <w:proofErr w:type="gramStart"/>
            <w:r>
              <w:rPr>
                <w:rFonts w:ascii="宋体" w:eastAsia="宋体" w:hAnsi="宋体" w:cs="宋体" w:hint="eastAsia"/>
                <w:color w:val="333333"/>
                <w:kern w:val="0"/>
                <w:sz w:val="24"/>
                <w:szCs w:val="24"/>
              </w:rPr>
              <w:t>路—州统建</w:t>
            </w:r>
            <w:proofErr w:type="gramEnd"/>
            <w:r>
              <w:rPr>
                <w:rFonts w:ascii="宋体" w:eastAsia="宋体" w:hAnsi="宋体" w:cs="宋体" w:hint="eastAsia"/>
                <w:color w:val="333333"/>
                <w:kern w:val="0"/>
                <w:sz w:val="24"/>
                <w:szCs w:val="24"/>
              </w:rPr>
              <w:t>房三期西侧规划路）、州统建房三期西侧规划路（北外环—北二路）、北二路（中山路-北京路）、 北二路（西外环—中山路）、香水湾东侧规划路（北</w:t>
            </w:r>
            <w:proofErr w:type="gramStart"/>
            <w:r>
              <w:rPr>
                <w:rFonts w:ascii="宋体" w:eastAsia="宋体" w:hAnsi="宋体" w:cs="宋体" w:hint="eastAsia"/>
                <w:color w:val="333333"/>
                <w:kern w:val="0"/>
                <w:sz w:val="24"/>
                <w:szCs w:val="24"/>
              </w:rPr>
              <w:t>一路—</w:t>
            </w:r>
            <w:proofErr w:type="gramEnd"/>
            <w:r>
              <w:rPr>
                <w:rFonts w:ascii="宋体" w:eastAsia="宋体" w:hAnsi="宋体" w:cs="宋体" w:hint="eastAsia"/>
                <w:color w:val="333333"/>
                <w:kern w:val="0"/>
                <w:sz w:val="24"/>
                <w:szCs w:val="24"/>
              </w:rPr>
              <w:t>北二路）、南外环（北京路—黄河路）</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指标1：建设内容</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新建11条道路12.32公里，供水管网12.32公里，排水管网12.32公里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新建11条道路12.32公里，供水管网12.32公里，排水管网12.32公里</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指标1：验收率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验收合格率100%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验收合格100%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指标1：开工时间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开工时间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2018年4月1日</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指标2：竣工日期</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竣工日期</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2018年11月1日</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指标1：项目资金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市级财政投资</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5444.17万元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指标2：配套资金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其他资金投资</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19305.84万元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项目效果指标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指标1：城市发展</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吸引企业投资</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指标1：城市保障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有效保障了社会交通持续稳定</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为民便民</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指标1：城市环境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符合基本要求</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基本符合</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指标1：城市安全</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增强了群众的安全感</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≥20年</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满意度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受益人口满意度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95%</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bl>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(八) 莎车富裕劳动力转移项目绩效自评综述：根据年初设定的绩效目标，莎车富裕劳动力转移项目绩效自评得分90分，项目全年预算数为241.9万元，执行数为241.9万元，完成预算的100%。主要产出和效果把促进富余劳动力转移就业作为增加农民收入、实现脱贫致富的重要途径，作为开发、利用和储备人力资源的重大举措，作为统筹城乡经济社会发展，提高了农民素质，改善了农民生活，促进了社会和谐。出现了“转移一人，富裕一户，转移一批，富裕一村”的可喜现象；发现的问题及原因：日常支出成本核算机制不健全。下一步改进措施：完善成本核算机制，加强核算管理，节约成本。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770"/>
        <w:gridCol w:w="671"/>
        <w:gridCol w:w="575"/>
        <w:gridCol w:w="1116"/>
        <w:gridCol w:w="1753"/>
        <w:gridCol w:w="1753"/>
        <w:gridCol w:w="1684"/>
      </w:tblGrid>
      <w:tr w:rsidR="008F0681">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昌吉市莎车县富余劳动力就业项目支出绩效自评表</w:t>
            </w:r>
          </w:p>
        </w:tc>
      </w:tr>
      <w:tr w:rsidR="008F0681">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莎车县富余劳动力就业项目　</w:t>
            </w: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昌吉市住房和城乡建设局　</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241.9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241.9　</w:t>
            </w: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w:t>
            </w:r>
            <w:r>
              <w:rPr>
                <w:rFonts w:ascii="宋体" w:eastAsia="宋体" w:hAnsi="宋体" w:cs="宋体" w:hint="eastAsia"/>
                <w:color w:val="333333"/>
                <w:kern w:val="0"/>
                <w:sz w:val="24"/>
                <w:szCs w:val="24"/>
              </w:rPr>
              <w:lastRenderedPageBreak/>
              <w:t>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241.9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241.9</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F0681">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莎车县富余劳动力就业项目投资241.9万元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莎车县富余劳动力就业项目投资241.9万元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指标1：任务完成情况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莎车县富余劳动力就业项目投资241.9万元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莎车县富余劳动力就业项目投资241.9万元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指标1：验收率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验收合格率100%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验收合格100%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指标1：开工时间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开工时间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2018年4月1日</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指标2：竣工日期</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竣工日期</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2018年11月1日</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指标1：个人成本</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市级财政投资</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241.9万元</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指标1：脱贫致富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实现脱贫致富的重要途径</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脱贫致富</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指标1：对城市经济受益情况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符合民生保障基本要求</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基本符合</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指标1；城市环境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增强了群众生活质量</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≥20年</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指标1：市民满意度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受益人口满意度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95%</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bl>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(九)</w:t>
      </w:r>
      <w:proofErr w:type="gramStart"/>
      <w:r>
        <w:rPr>
          <w:rFonts w:ascii="宋体" w:eastAsia="宋体" w:hAnsi="宋体" w:cs="宋体" w:hint="eastAsia"/>
          <w:color w:val="333333"/>
          <w:kern w:val="0"/>
          <w:sz w:val="24"/>
          <w:szCs w:val="24"/>
        </w:rPr>
        <w:t> 头屯河</w:t>
      </w:r>
      <w:proofErr w:type="gramEnd"/>
      <w:r>
        <w:rPr>
          <w:rFonts w:ascii="宋体" w:eastAsia="宋体" w:hAnsi="宋体" w:cs="宋体" w:hint="eastAsia"/>
          <w:color w:val="333333"/>
          <w:kern w:val="0"/>
          <w:sz w:val="24"/>
          <w:szCs w:val="24"/>
        </w:rPr>
        <w:t>沿岸综合整治项目绩效自评综述：根据年初设定的绩效目标，</w:t>
      </w: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沿岸综合整治项目绩效自评得分90分，项目全年预算数为13524.4712万元，执行数为13524.4712万元，完成预算的100%。主要产出和效果：实现自治区</w:t>
      </w:r>
      <w:proofErr w:type="gramStart"/>
      <w:r>
        <w:rPr>
          <w:rFonts w:ascii="宋体" w:eastAsia="宋体" w:hAnsi="宋体" w:cs="宋体" w:hint="eastAsia"/>
          <w:color w:val="333333"/>
          <w:kern w:val="0"/>
          <w:sz w:val="24"/>
          <w:szCs w:val="24"/>
        </w:rPr>
        <w:t>将头屯河</w:t>
      </w:r>
      <w:proofErr w:type="gramEnd"/>
      <w:r>
        <w:rPr>
          <w:rFonts w:ascii="宋体" w:eastAsia="宋体" w:hAnsi="宋体" w:cs="宋体" w:hint="eastAsia"/>
          <w:color w:val="333333"/>
          <w:kern w:val="0"/>
          <w:sz w:val="24"/>
          <w:szCs w:val="24"/>
        </w:rPr>
        <w:t>建成“生态休闲水岸、都市文化长廊、国际交往窗口”的规划目标，有效改善两岸三地生态环境，</w:t>
      </w:r>
      <w:proofErr w:type="gramStart"/>
      <w:r>
        <w:rPr>
          <w:rFonts w:ascii="宋体" w:eastAsia="宋体" w:hAnsi="宋体" w:cs="宋体" w:hint="eastAsia"/>
          <w:color w:val="333333"/>
          <w:kern w:val="0"/>
          <w:sz w:val="24"/>
          <w:szCs w:val="24"/>
        </w:rPr>
        <w:t>提升兵地门户</w:t>
      </w:r>
      <w:proofErr w:type="gramEnd"/>
      <w:r>
        <w:rPr>
          <w:rFonts w:ascii="宋体" w:eastAsia="宋体" w:hAnsi="宋体" w:cs="宋体" w:hint="eastAsia"/>
          <w:color w:val="333333"/>
          <w:kern w:val="0"/>
          <w:sz w:val="24"/>
          <w:szCs w:val="24"/>
        </w:rPr>
        <w:t>形象，激发市场发展活力，推动乌昌一体化快速发展。下一阶段将不断完善产业，主动研究植入新产业、新业态，大力开展招商引资活动，为两岸三地长远发展奠定坚实的基础；发现的问题及原因：生态修复、景观建设工程量大、项目进度偏慢。下一步改进措施：为保证项目顺利开展，市人民政府</w:t>
      </w:r>
      <w:proofErr w:type="gramStart"/>
      <w:r>
        <w:rPr>
          <w:rFonts w:ascii="宋体" w:eastAsia="宋体" w:hAnsi="宋体" w:cs="宋体" w:hint="eastAsia"/>
          <w:color w:val="333333"/>
          <w:kern w:val="0"/>
          <w:sz w:val="24"/>
          <w:szCs w:val="24"/>
        </w:rPr>
        <w:t>成立头屯河</w:t>
      </w:r>
      <w:proofErr w:type="gramEnd"/>
      <w:r>
        <w:rPr>
          <w:rFonts w:ascii="宋体" w:eastAsia="宋体" w:hAnsi="宋体" w:cs="宋体" w:hint="eastAsia"/>
          <w:color w:val="333333"/>
          <w:kern w:val="0"/>
          <w:sz w:val="24"/>
          <w:szCs w:val="24"/>
        </w:rPr>
        <w:t>沿岸综合整治项目领导小组，</w:t>
      </w:r>
      <w:proofErr w:type="gramStart"/>
      <w:r>
        <w:rPr>
          <w:rFonts w:ascii="宋体" w:eastAsia="宋体" w:hAnsi="宋体" w:cs="宋体" w:hint="eastAsia"/>
          <w:color w:val="333333"/>
          <w:kern w:val="0"/>
          <w:sz w:val="24"/>
          <w:szCs w:val="24"/>
        </w:rPr>
        <w:t>组建头屯河</w:t>
      </w:r>
      <w:proofErr w:type="gramEnd"/>
      <w:r>
        <w:rPr>
          <w:rFonts w:ascii="宋体" w:eastAsia="宋体" w:hAnsi="宋体" w:cs="宋体" w:hint="eastAsia"/>
          <w:color w:val="333333"/>
          <w:kern w:val="0"/>
          <w:sz w:val="24"/>
          <w:szCs w:val="24"/>
        </w:rPr>
        <w:t>沿岸综合整治工程指挥部，由指挥部编制《指挥部工作制度》、《指挥部廉政制度》、</w:t>
      </w:r>
      <w:r>
        <w:rPr>
          <w:rFonts w:ascii="宋体" w:eastAsia="宋体" w:hAnsi="宋体" w:cs="宋体" w:hint="eastAsia"/>
          <w:color w:val="333333"/>
          <w:kern w:val="0"/>
          <w:sz w:val="24"/>
          <w:szCs w:val="24"/>
        </w:rPr>
        <w:lastRenderedPageBreak/>
        <w:t>《指挥部考核制度》、《项目公司及分公司考核规定》、《安全保卫值班制度》。有关项目自评情况可以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616"/>
        <w:gridCol w:w="1470"/>
        <w:gridCol w:w="1830"/>
        <w:gridCol w:w="1830"/>
        <w:gridCol w:w="1264"/>
        <w:gridCol w:w="1312"/>
      </w:tblGrid>
      <w:tr w:rsidR="008F0681">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w:t>
            </w:r>
            <w:proofErr w:type="gramStart"/>
            <w:r>
              <w:rPr>
                <w:rFonts w:ascii="宋体" w:eastAsia="宋体" w:hAnsi="宋体" w:cs="宋体" w:hint="eastAsia"/>
                <w:color w:val="333333"/>
                <w:kern w:val="0"/>
                <w:sz w:val="24"/>
                <w:szCs w:val="24"/>
              </w:rPr>
              <w:t>市头屯河</w:t>
            </w:r>
            <w:proofErr w:type="gramEnd"/>
            <w:r>
              <w:rPr>
                <w:rFonts w:ascii="宋体" w:eastAsia="宋体" w:hAnsi="宋体" w:cs="宋体" w:hint="eastAsia"/>
                <w:color w:val="333333"/>
                <w:kern w:val="0"/>
                <w:sz w:val="24"/>
                <w:szCs w:val="24"/>
              </w:rPr>
              <w:t>沿岸综合整治项目支出绩效自评表</w:t>
            </w:r>
          </w:p>
        </w:tc>
      </w:tr>
      <w:tr w:rsidR="008F0681">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2018年度）</w:t>
            </w: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w:t>
            </w:r>
            <w:proofErr w:type="gramStart"/>
            <w:r>
              <w:rPr>
                <w:rFonts w:ascii="宋体" w:eastAsia="宋体" w:hAnsi="宋体" w:cs="宋体" w:hint="eastAsia"/>
                <w:color w:val="333333"/>
                <w:kern w:val="0"/>
                <w:sz w:val="24"/>
                <w:szCs w:val="24"/>
              </w:rPr>
              <w:t>市头屯河</w:t>
            </w:r>
            <w:proofErr w:type="gramEnd"/>
            <w:r>
              <w:rPr>
                <w:rFonts w:ascii="宋体" w:eastAsia="宋体" w:hAnsi="宋体" w:cs="宋体" w:hint="eastAsia"/>
                <w:color w:val="333333"/>
                <w:kern w:val="0"/>
                <w:sz w:val="24"/>
                <w:szCs w:val="24"/>
              </w:rPr>
              <w:t>沿岸综合整治项目</w:t>
            </w: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昌吉市住房和城乡建设局</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13524.47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13524.47</w:t>
            </w: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12724.47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12724.47</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800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F0681">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沿岸综合整治项目全面开工建设。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大桥已完工，待竣工验收。景观工程已完成全线土方平衡，目前完成65%工程量，防洪河道已完成90%工程量。</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绩效</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w:t>
            </w:r>
            <w:r>
              <w:rPr>
                <w:rFonts w:ascii="宋体" w:eastAsia="宋体" w:hAnsi="宋体" w:cs="宋体" w:hint="eastAsia"/>
                <w:color w:val="333333"/>
                <w:kern w:val="0"/>
                <w:sz w:val="24"/>
                <w:szCs w:val="24"/>
              </w:rPr>
              <w:lastRenderedPageBreak/>
              <w:t>（包含数字及文字描述）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实际完成指</w:t>
            </w:r>
            <w:r>
              <w:rPr>
                <w:rFonts w:ascii="宋体" w:eastAsia="宋体" w:hAnsi="宋体" w:cs="宋体" w:hint="eastAsia"/>
                <w:color w:val="333333"/>
                <w:kern w:val="0"/>
                <w:sz w:val="24"/>
                <w:szCs w:val="24"/>
              </w:rPr>
              <w:lastRenderedPageBreak/>
              <w:t>标值（包含数字及文字描述）</w:t>
            </w: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大桥建设工程</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大桥完成建设1.6km</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1.6km</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河道治理</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排洪河道工程完成整治8km</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4km</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景观量化</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景观工程完成环境治理3000亩</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2500亩</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道路建设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市政道路工程预计完成建设7km</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5km</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工程量完成率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大桥100%、景观工程完成率70%，排洪河道80%，市政道路工程50%。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大桥实际完成100%，景观工程实际完成65%，河道实际完成90%，市政道路实际完成60%。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配套设施完成率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大桥100%、景观工程完成率50%，排洪河道</w:t>
            </w:r>
            <w:r>
              <w:rPr>
                <w:rFonts w:ascii="宋体" w:eastAsia="宋体" w:hAnsi="宋体" w:cs="宋体" w:hint="eastAsia"/>
                <w:color w:val="333333"/>
                <w:kern w:val="0"/>
                <w:sz w:val="24"/>
                <w:szCs w:val="24"/>
              </w:rPr>
              <w:lastRenderedPageBreak/>
              <w:t>60%，市政道路工程40%。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大桥实际完成100%，景观工程实际完成40%，河道实际完成75%，市</w:t>
            </w:r>
            <w:r>
              <w:rPr>
                <w:rFonts w:ascii="宋体" w:eastAsia="宋体" w:hAnsi="宋体" w:cs="宋体" w:hint="eastAsia"/>
                <w:color w:val="333333"/>
                <w:kern w:val="0"/>
                <w:sz w:val="24"/>
                <w:szCs w:val="24"/>
              </w:rPr>
              <w:lastRenderedPageBreak/>
              <w:t>政道路实际完成50%。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工程按期完成率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大桥100%、景观工程完成率70%，排洪河道85%，市政道路工程60%。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大桥实际完成100%，景观工程实际完成78%，河道实际完成90%，市政道路实际完成65%。</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工程完工率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大桥100%、景观工程完成率70%，排洪河道80%，市政道路工程50%。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大桥实际完成100%，景观工程实际完成75%，河道实际完成90%，市政道路实际完成60%。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综合利用率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大桥利用率100%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实际100%</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r w:rsidR="008F0681">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受益群体满意度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大桥100%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F0681" w:rsidRDefault="00E3334E">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95%</w:t>
            </w:r>
          </w:p>
        </w:tc>
        <w:tc>
          <w:tcPr>
            <w:tcW w:w="0" w:type="auto"/>
            <w:shd w:val="clear" w:color="auto" w:fill="auto"/>
            <w:vAlign w:val="center"/>
          </w:tcPr>
          <w:p w:rsidR="008F0681" w:rsidRDefault="008F0681">
            <w:pPr>
              <w:widowControl/>
              <w:jc w:val="left"/>
              <w:rPr>
                <w:rFonts w:ascii="Times New Roman" w:eastAsia="Times New Roman" w:hAnsi="Times New Roman" w:cs="Times New Roman"/>
                <w:kern w:val="0"/>
                <w:sz w:val="20"/>
                <w:szCs w:val="20"/>
              </w:rPr>
            </w:pPr>
          </w:p>
        </w:tc>
      </w:tr>
    </w:tbl>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第三部分 专业名词解释</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财政拨款收入：指同级财政当年拨付的资金。</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上级补助收入：指事业单位从主管部门和上级单位取得的非财政补助收入。</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事业收入：指事业单位开展专业业务活动及其辅助活动所取得的收入。</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经营收入：指事业单位在专业业务活动及其辅助活动之外开展非独立核算经营活动取得的收入。</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附属单位上缴收入：指事业单位附属的独立核算单位按有关规定上缴的收入。</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其他收入：指除上述“财政拨款收入”、“事业收入”、“经营收入”、“附属单位上缴收入”等之外取得的收入。</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上年结转和结余：指以前年度支出预算因客观条件变化未执行完毕、结转到本年度按有关规定继续使用的资金，既包括财政拨款结转和结余，也包括事业收入、经营收入、其他收入的结转和结余。</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结余分配：反映单位当年结余的分配情况。</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基本支出：指为保障机构正常运转、完成日常工作任务而发生的人员支出和公用支出。</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项目支出：指在基本支出之外为完成特定行政任务和事业发展目标所发生的支出。</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经营支出：指事业单位在专业业务活动及其辅助活动之外开展非独立核算经营活动发生的支出。</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对附属单位补助支出：指事业单位发生的用非财政预算资金对附属单位的补助支出。</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“三公”经费：指用一般公共预算财政拨款安排的因公出国（境）费、公务用车购置及运行费和公务接待费。其中，因公出国（境）</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单位公务出国（境）的住宿费、旅费、伙食补助费、杂费、培训费等支出；公务用车购置及运行</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单位公务用车购置费及租用费、燃料费、维修费、过路过桥费、保险费、安全奖励费用等支出；公务接待</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单位按规定开支的各类公务接待（含外宾接待）支出。</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单位支出功能分类说明。208（类）05（款）05（项）：指机关事业单位基本养老保险缴费支出。211（类）03（款）01（项）：指大气。211（类）10（款）01（项）：指能源节约利用。211（类）99（款）01（项）：指其他节能环保支出。212（类）01（款）01（项）：指行政运行。</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212（类）01（款）99（项）：指其他城乡社区管理事务支出。212（类）03（款）99（项）：指其他城乡社区公共设施支出。212（类）05（款）01（项）：指城乡社区环境卫生。212（类）08（款）02（项）：指土地开发支出。212（类）08（款）03（项）：指城市建设支出。220（类）04（款）04（项）：指地震监测。221（类）01（款）05（项）：指农村危房改造。221（类）01（款）99（项）：指其他保障性安居工程支出。231（类）03（款）99（项）：指地方政府其他一般债务还本支出。</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其他有关说明内容。</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第四部分 部门决算公开的8张报表（见附表）</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一、《收入支出决算总表》</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二、《收入决算表》</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三、《支出决算表》</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四、《财政拨款收入支出决算总表》</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五、《一般公共预算财政拨款支出决算明细表》</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六、《一般公共预算财政拨款基本支出决算明细表》</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七、《一般公共预算财政拨款“三公”经费支出决算表》</w:t>
      </w:r>
    </w:p>
    <w:p w:rsidR="008F0681" w:rsidRDefault="00E3334E">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八、《政府性基金预算财政拨款收入支出决算表》</w:t>
      </w:r>
    </w:p>
    <w:p w:rsidR="008F0681" w:rsidRDefault="008F0681"/>
    <w:sectPr w:rsidR="008F068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å®‹ä½“">
    <w:altName w:val="宋体"/>
    <w:charset w:val="86"/>
    <w:family w:val="roma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3B8"/>
    <w:rsid w:val="00047725"/>
    <w:rsid w:val="0064725F"/>
    <w:rsid w:val="008F0681"/>
    <w:rsid w:val="00AA3A7E"/>
    <w:rsid w:val="00E3334E"/>
    <w:rsid w:val="00EC73B8"/>
    <w:rsid w:val="055A0874"/>
    <w:rsid w:val="62567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4">
    <w:name w:val="FollowedHyperlink"/>
    <w:basedOn w:val="a0"/>
    <w:uiPriority w:val="99"/>
    <w:semiHidden/>
    <w:unhideWhenUsed/>
    <w:qFormat/>
    <w:rPr>
      <w:color w:val="800080"/>
      <w:u w:val="single"/>
    </w:rPr>
  </w:style>
  <w:style w:type="character" w:styleId="a5">
    <w:name w:val="Hyperlink"/>
    <w:basedOn w:val="a0"/>
    <w:uiPriority w:val="99"/>
    <w:semiHidden/>
    <w:unhideWhenUsed/>
    <w:rPr>
      <w:color w:val="0000FF"/>
      <w:u w:val="single"/>
    </w:rPr>
  </w:style>
  <w:style w:type="character" w:customStyle="1" w:styleId="2Char">
    <w:name w:val="标题 2 Char"/>
    <w:basedOn w:val="a0"/>
    <w:link w:val="2"/>
    <w:uiPriority w:val="9"/>
    <w:rPr>
      <w:rFonts w:ascii="宋体" w:eastAsia="宋体" w:hAnsi="宋体" w:cs="宋体"/>
      <w:b/>
      <w:bCs/>
      <w:kern w:val="0"/>
      <w:sz w:val="36"/>
      <w:szCs w:val="36"/>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pagesprintfont">
    <w:name w:val="pages_print_font"/>
    <w:basedOn w:val="a0"/>
  </w:style>
  <w:style w:type="character" w:customStyle="1" w:styleId="am-margin-right-sm">
    <w:name w:val="am-margin-right-sm"/>
    <w:basedOn w:val="a0"/>
  </w:style>
  <w:style w:type="character" w:customStyle="1" w:styleId="pointer">
    <w:name w:val="pointer"/>
    <w:basedOn w:val="a0"/>
    <w:qFormat/>
  </w:style>
  <w:style w:type="character" w:customStyle="1" w:styleId="btnprint">
    <w:name w:val="btnprint"/>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4">
    <w:name w:val="FollowedHyperlink"/>
    <w:basedOn w:val="a0"/>
    <w:uiPriority w:val="99"/>
    <w:semiHidden/>
    <w:unhideWhenUsed/>
    <w:qFormat/>
    <w:rPr>
      <w:color w:val="800080"/>
      <w:u w:val="single"/>
    </w:rPr>
  </w:style>
  <w:style w:type="character" w:styleId="a5">
    <w:name w:val="Hyperlink"/>
    <w:basedOn w:val="a0"/>
    <w:uiPriority w:val="99"/>
    <w:semiHidden/>
    <w:unhideWhenUsed/>
    <w:rPr>
      <w:color w:val="0000FF"/>
      <w:u w:val="single"/>
    </w:rPr>
  </w:style>
  <w:style w:type="character" w:customStyle="1" w:styleId="2Char">
    <w:name w:val="标题 2 Char"/>
    <w:basedOn w:val="a0"/>
    <w:link w:val="2"/>
    <w:uiPriority w:val="9"/>
    <w:rPr>
      <w:rFonts w:ascii="宋体" w:eastAsia="宋体" w:hAnsi="宋体" w:cs="宋体"/>
      <w:b/>
      <w:bCs/>
      <w:kern w:val="0"/>
      <w:sz w:val="36"/>
      <w:szCs w:val="36"/>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pagesprintfont">
    <w:name w:val="pages_print_font"/>
    <w:basedOn w:val="a0"/>
  </w:style>
  <w:style w:type="character" w:customStyle="1" w:styleId="am-margin-right-sm">
    <w:name w:val="am-margin-right-sm"/>
    <w:basedOn w:val="a0"/>
  </w:style>
  <w:style w:type="character" w:customStyle="1" w:styleId="pointer">
    <w:name w:val="pointer"/>
    <w:basedOn w:val="a0"/>
    <w:qFormat/>
  </w:style>
  <w:style w:type="character" w:customStyle="1" w:styleId="btnprint">
    <w:name w:val="btnprint"/>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2619</Words>
  <Characters>14930</Characters>
  <Application>Microsoft Office Word</Application>
  <DocSecurity>0</DocSecurity>
  <Lines>124</Lines>
  <Paragraphs>35</Paragraphs>
  <ScaleCrop>false</ScaleCrop>
  <Company>user</Company>
  <LinksUpToDate>false</LinksUpToDate>
  <CharactersWithSpaces>17514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经建科</cp:lastModifiedBy>
  <cp:revision>4</cp:revision>
  <dcterms:created xsi:type="dcterms:W3CDTF">2021-05-21T12:17:00Z</dcterms:created>
  <dcterms:modified xsi:type="dcterms:W3CDTF">2021-05-27T12:11:00Z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629F6151422441AFB7C0644D505F98FF</vt:lpwstr>
  </property>
</Properties>
</file>