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225" w:line="450" w:lineRule="atLeast"/>
        <w:ind w:firstLine="480"/>
        <w:jc w:val="left"/>
        <w:rPr>
          <w:rFonts w:hint="eastAsia" w:ascii="黑体" w:hAnsi="黑体" w:eastAsia="黑体"/>
          <w:sz w:val="32"/>
          <w:szCs w:val="32"/>
        </w:rPr>
      </w:pPr>
      <w:r>
        <w:rPr>
          <w:rFonts w:hint="eastAsia" w:ascii="黑体" w:hAnsi="黑体" w:eastAsia="黑体"/>
          <w:sz w:val="32"/>
          <w:szCs w:val="32"/>
        </w:rPr>
        <w:t>附件1：</w:t>
      </w:r>
    </w:p>
    <w:p>
      <w:pPr>
        <w:keepNext w:val="0"/>
        <w:keepLines w:val="0"/>
        <w:pageBreakBefore w:val="0"/>
        <w:widowControl/>
        <w:shd w:val="clear" w:color="auto" w:fill="FFFFFF"/>
        <w:kinsoku/>
        <w:wordWrap/>
        <w:overflowPunct/>
        <w:topLinePunct w:val="0"/>
        <w:autoSpaceDE/>
        <w:autoSpaceDN/>
        <w:bidi w:val="0"/>
        <w:adjustRightInd/>
        <w:snapToGrid/>
        <w:spacing w:line="450" w:lineRule="atLeast"/>
        <w:ind w:firstLine="482"/>
        <w:jc w:val="center"/>
        <w:textAlignment w:val="auto"/>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2018年度昌吉市第十四小学决算</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482"/>
        <w:jc w:val="center"/>
        <w:textAlignment w:val="auto"/>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公开说明</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482"/>
        <w:jc w:val="center"/>
        <w:textAlignment w:val="auto"/>
        <w:rPr>
          <w:rFonts w:hint="eastAsia" w:ascii="方正小标宋_GBK" w:hAnsi="宋体" w:eastAsia="方正小标宋_GBK" w:cs="Times New Roman"/>
          <w:sz w:val="44"/>
          <w:szCs w:val="44"/>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482"/>
        <w:jc w:val="center"/>
        <w:textAlignment w:val="auto"/>
        <w:rPr>
          <w:rFonts w:hint="eastAsia" w:ascii="方正小标宋_GBK" w:hAnsi="宋体" w:eastAsia="方正小标宋_GBK" w:cs="Times New Roman"/>
          <w:sz w:val="44"/>
          <w:szCs w:val="44"/>
        </w:rPr>
      </w:pP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482"/>
        <w:jc w:val="center"/>
        <w:textAlignment w:val="auto"/>
        <w:rPr>
          <w:rFonts w:hint="eastAsia" w:ascii="方正小标宋_GBK" w:hAnsi="宋体" w:eastAsia="方正小标宋_GBK" w:cs="Times New Roman"/>
          <w:sz w:val="44"/>
          <w:szCs w:val="44"/>
        </w:rPr>
      </w:pP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第一部分 部门单位概况</w:t>
      </w:r>
    </w:p>
    <w:p>
      <w:pPr>
        <w:widowControl/>
        <w:shd w:val="clear" w:color="auto" w:fill="FFFFFF"/>
        <w:spacing w:before="225" w:line="450" w:lineRule="atLeast"/>
        <w:ind w:firstLine="480"/>
        <w:jc w:val="left"/>
        <w:rPr>
          <w:rFonts w:hint="eastAsia"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根据机构改革三定方案，本单位承担的职能为：实施小学义务教育，促进基础教育发展。小学学历教育（相关社会服务）</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ascii="仿宋_GB2312" w:hAnsi="宋体" w:eastAsia="仿宋_GB2312" w:cs="宋体"/>
          <w:kern w:val="0"/>
          <w:sz w:val="32"/>
          <w:szCs w:val="32"/>
        </w:rPr>
      </w:pPr>
      <w:r>
        <w:rPr>
          <w:rFonts w:hint="eastAsia" w:ascii="仿宋_GB2312" w:eastAsia="仿宋_GB2312"/>
          <w:sz w:val="32"/>
          <w:szCs w:val="32"/>
        </w:rPr>
        <w:t>从决算单位构成看，昌吉市第十四小学部门决算包括：昌吉市第十四小学部门本级决算。</w:t>
      </w:r>
    </w:p>
    <w:p>
      <w:pPr>
        <w:spacing w:line="540" w:lineRule="exact"/>
        <w:ind w:firstLine="640" w:firstLineChars="200"/>
        <w:rPr>
          <w:rFonts w:hint="eastAsia" w:ascii="仿宋_GB2312" w:eastAsia="仿宋_GB2312"/>
          <w:spacing w:val="-6"/>
          <w:sz w:val="32"/>
          <w:szCs w:val="32"/>
        </w:rPr>
      </w:pPr>
      <w:r>
        <w:rPr>
          <w:rFonts w:hint="eastAsia" w:ascii="仿宋_GB2312" w:eastAsia="仿宋_GB2312"/>
          <w:spacing w:val="0"/>
          <w:sz w:val="32"/>
          <w:szCs w:val="32"/>
        </w:rPr>
        <w:t>纳</w:t>
      </w:r>
      <w:r>
        <w:rPr>
          <w:rFonts w:hint="eastAsia" w:ascii="仿宋_GB2312" w:eastAsia="仿宋_GB2312"/>
          <w:sz w:val="32"/>
          <w:szCs w:val="32"/>
        </w:rPr>
        <w:t>入昌吉市第十四小学</w:t>
      </w:r>
      <w:r>
        <w:rPr>
          <w:rFonts w:hint="eastAsia" w:ascii="仿宋_GB2312" w:eastAsia="仿宋_GB2312"/>
          <w:sz w:val="32"/>
          <w:szCs w:val="32"/>
          <w:lang w:val="en-US" w:eastAsia="zh-CN"/>
        </w:rPr>
        <w:t>2018</w:t>
      </w:r>
      <w:r>
        <w:rPr>
          <w:rFonts w:hint="eastAsia" w:ascii="仿宋_GB2312" w:eastAsia="仿宋_GB2312"/>
          <w:sz w:val="32"/>
          <w:szCs w:val="32"/>
        </w:rPr>
        <w:t>年</w:t>
      </w:r>
      <w:r>
        <w:rPr>
          <w:rFonts w:hint="eastAsia" w:ascii="仿宋_GB2312" w:eastAsia="仿宋_GB2312"/>
          <w:spacing w:val="0"/>
          <w:sz w:val="32"/>
          <w:szCs w:val="32"/>
        </w:rPr>
        <w:t>部门决算编制范围的单位名单见下表</w:t>
      </w:r>
      <w:r>
        <w:rPr>
          <w:rFonts w:hint="eastAsia" w:ascii="仿宋_GB2312" w:eastAsia="仿宋_GB2312"/>
          <w:spacing w:val="-6"/>
          <w:sz w:val="32"/>
          <w:szCs w:val="32"/>
        </w:rPr>
        <w:t>：</w:t>
      </w:r>
    </w:p>
    <w:p>
      <w:pPr>
        <w:spacing w:line="500" w:lineRule="exact"/>
        <w:ind w:firstLine="616" w:firstLineChars="200"/>
        <w:rPr>
          <w:rFonts w:hint="eastAsia" w:ascii="仿宋_GB2312" w:eastAsia="仿宋_GB2312"/>
          <w:spacing w:val="-6"/>
          <w:sz w:val="32"/>
          <w:szCs w:val="32"/>
        </w:rPr>
      </w:pPr>
    </w:p>
    <w:tbl>
      <w:tblPr>
        <w:tblStyle w:val="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3534"/>
        <w:gridCol w:w="3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126"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序号</w:t>
            </w:r>
          </w:p>
        </w:tc>
        <w:tc>
          <w:tcPr>
            <w:tcW w:w="3534"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单位名称</w:t>
            </w:r>
          </w:p>
        </w:tc>
        <w:tc>
          <w:tcPr>
            <w:tcW w:w="3804" w:type="dxa"/>
            <w:noWrap w:val="0"/>
            <w:vAlign w:val="center"/>
          </w:tcPr>
          <w:p>
            <w:pPr>
              <w:spacing w:line="500" w:lineRule="exact"/>
              <w:ind w:firstLine="1280" w:firstLineChars="400"/>
              <w:rPr>
                <w:rFonts w:hint="eastAsia"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126"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1</w:t>
            </w:r>
          </w:p>
        </w:tc>
        <w:tc>
          <w:tcPr>
            <w:tcW w:w="3534" w:type="dxa"/>
            <w:noWrap w:val="0"/>
            <w:vAlign w:val="center"/>
          </w:tcPr>
          <w:p>
            <w:pPr>
              <w:spacing w:line="500" w:lineRule="exact"/>
              <w:rPr>
                <w:rFonts w:hint="eastAsia" w:ascii="仿宋_GB2312" w:eastAsia="仿宋_GB2312"/>
                <w:sz w:val="32"/>
                <w:szCs w:val="32"/>
                <w:lang w:eastAsia="zh-CN"/>
              </w:rPr>
            </w:pPr>
            <w:r>
              <w:rPr>
                <w:rFonts w:hint="eastAsia" w:ascii="仿宋_GB2312" w:eastAsia="仿宋_GB2312"/>
                <w:sz w:val="32"/>
                <w:szCs w:val="32"/>
              </w:rPr>
              <w:t>昌吉市第十四小学</w:t>
            </w:r>
            <w:r>
              <w:rPr>
                <w:rFonts w:hint="eastAsia" w:ascii="仿宋_GB2312" w:eastAsia="仿宋_GB2312"/>
                <w:sz w:val="32"/>
                <w:szCs w:val="32"/>
                <w:lang w:eastAsia="zh-CN"/>
              </w:rPr>
              <w:t>本级</w:t>
            </w:r>
            <w:bookmarkStart w:id="0" w:name="_GoBack"/>
            <w:bookmarkEnd w:id="0"/>
          </w:p>
        </w:tc>
        <w:tc>
          <w:tcPr>
            <w:tcW w:w="3804" w:type="dxa"/>
            <w:noWrap w:val="0"/>
            <w:vAlign w:val="center"/>
          </w:tcPr>
          <w:p>
            <w:pPr>
              <w:spacing w:line="500" w:lineRule="exact"/>
              <w:ind w:firstLine="640" w:firstLineChars="200"/>
              <w:rPr>
                <w:rFonts w:hint="eastAsia" w:ascii="仿宋_GB2312" w:eastAsia="仿宋_GB2312"/>
                <w:sz w:val="32"/>
                <w:szCs w:val="32"/>
              </w:rPr>
            </w:pPr>
          </w:p>
        </w:tc>
      </w:tr>
    </w:tbl>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第二部分 部门决算情况说明</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一、部门收支总体情况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1548.83万元,与上年相比，增加471.24万元，增长43.73%，增长变化主要原因是：2018年新招收在校生651人，新增12名特岗教师、新增23名政府购买人员，人员经费相应增加，购置教育教学办公设备；支出1566.22万元,与上年相比，增加363.41万元，增长30.21%，增长变化主要原因是：支出增加，2018年新招收在校生651人，新增12名特岗教师、新增23名政府购买人员，人员经费相应增加；结余99.82万元，与上年相比，减少58.59万元，降低36.99%。减少变化主要原因是：项目减少。</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本年收入合计1548.83万元，其中：财政拨款收入1548.83万元占100%；上级补助收入0万元，占0%；事业收入0万元，占0%；经营收入0万元，占0%；附属单位缴款0万元，占0%；其他收入0万元，占0%。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1087.35万元，决算数1548.83万元，预决算差异率42.44%，差异主要原因是2018年新招收在校生651人，新增12名特岗教师、新增23名政府购买人员，人员经费相应增加，上级专项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本年支出合计1566.22万元，其中：基本支出1547.22万元，占98.78%；项目支出19万元，占1.22%；上缴上级支出0万元，占0%；经营支出0万元，占0%；对附属单位补助支出0万元，占0%。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1087.35万元，决算数1566.22万元，预决算差异率44.04%，差异主要原因2018年新招收在校生651人，新增12名特岗教师、新增23名政府购买人员，人员经费相应增加，上级专项增加。</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1548.83万元，与上年相比，增加471.24万元，增长43.73%。增长变化的主要原因是：2018年新招收在校生651人，新增12名特岗教师、新增23名政府购买人员，人员经费相应增加，上级专项增加。财政拨款支出1566.22万元，与上年相比，增加363.41万元，增长30.21%，增长变化的主要原因是：2018年新招收在校生651人，新增12名特岗教师、新增23名政府购买人员，人员经费相应增加，上级专项增加。其中：基本支出1547.22万元，项目支出19万元。财政拨款结转结余99.82万元，与上年相比，减少58.59万元，降低36.99%。减少变化的主要原因是：项目减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1087.35万元，决算数1548.83万元，预决算差异率42.44%，差异主要原因是2018年新招收在校生651人，新增12名特岗教师、新增23名政府购买人员，人员经费相应增加，上级专项增加。财政拨款支出年初预算数1087.35万元，决算数1566.22万元，预决算差异率44.04%，差异主要原因是2018年新招收在校生651人，新增12名特岗教师、新增23名政府购买人员，人员经费相应增加，上级专项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1548.83万元。与上年相比，增加471.24万元，增长43.73%。增长变化的主要原因是2018年新招收在校生651人，新增12名特岗教师、新增23名政府购买人员，人员经费相应增加，上级专项增加。一般公共预算财政拨款支出1566.22万元。与上年相比，增加363.41万元，增长30.21%。增长变化的主要原因是：2018年新招收在校生651人，新增12名特岗教师、新增23名政府购买人员，人员经费相应增加，上级专项增加。其中：按功能分类科目，205教育支出1458.02万元，208社会保障和就业支出108.20万元。按经济分类科目，工资福利支出1341.20万元，商品和服务支出206.37万元，对个人和家庭的补助支出8.2万元，债务利息及费用支出0万元。资本性支出10.45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1087.35万元，决算数1548.83万元，预决算差异率42.44%，差异主要原因是2018年新招收在校生651人，新增12名特岗教师、新增23名政府购买人员，人员经费相应增加，上级专项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政府性基金预算财政拨款支出0万元，与上年相比，增加0万元。差异主要原因是2017和2018年无政府性基金预算财政拨款收入。其中：按功能分类科目（按类级科目公开），0支出0万元，0支出0万元。按经济分类科目（按类级科目公开），0支出0万元，0支出0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政府性基金预算财政拨款支出年初预算数0万元，决算数0万元，预决算差异率0%。差异主要原因是2017和2018年无政府性基金预算财政拨款收入。</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年末结转结余99.82万元。与上年相比，减少58.59万元，降低36.99%。</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其中财政拨款结转结余99.82万元。与上年相比，减少58.59万元，降低36.99%。</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0万元，比上年减少0万元，降低0%，减少原因是：严格控制“三公”经费，开源节留。其中，因公出国（境）费支出0万元，占0%，与上年持平，持平原因是没有发生因公出国；公务用车购置及运行维护费支出0万元，占0%，比上年减少0万元，降低0%，减少原因是：没有公务用车；</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公务接待费支出0万元，占0%，与上年持平，持平的原因是2018年单位没有公务接待。具体情况如下：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因公出国（境）费支出0万元。昌吉市第十四小学单位全年使用一般公共预算财政拨款安排的出国（境）团组0个，累计0人次。开支内容包括：无预算。</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公务用车购置及运行维护费0万元,其中，公务用车购置0万元，公务用车运行维护费0万元。没有公务用车。</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公务接待费0万元。具体是：国内公务接待支出0万元。昌吉市第十四小学国内公务接待0批次，0人次。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2.2万元，决算数0万元，预决算差异率-100%。其中：因公出国（境）费预算数0万元，决算数0万元，预决算差异率0%；公务用车购置预算数0万元，决算数0万元，预决算差异率0%；公务用车运行费预算数2.2万元，决算数0万元，预决算差异率-100%；公务接待费预算数0万元，决算数0万元，预决算差异率0%。</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昌吉市第十四小学日常公用经费</w:t>
      </w:r>
      <w:r>
        <w:rPr>
          <w:rFonts w:hint="eastAsia" w:ascii="仿宋_GB2312" w:hAnsi="Times New Roman" w:eastAsia="仿宋_GB2312" w:cs="Times New Roman"/>
          <w:sz w:val="32"/>
          <w:szCs w:val="32"/>
          <w:lang w:val="en-US" w:eastAsia="zh-CN"/>
        </w:rPr>
        <w:t>197.82</w:t>
      </w:r>
      <w:r>
        <w:rPr>
          <w:rFonts w:hint="eastAsia" w:ascii="仿宋_GB2312" w:hAnsi="Times New Roman" w:eastAsia="仿宋_GB2312" w:cs="Times New Roman"/>
          <w:sz w:val="32"/>
          <w:szCs w:val="32"/>
        </w:rPr>
        <w:t>万元，比上年减少</w:t>
      </w:r>
      <w:r>
        <w:rPr>
          <w:rFonts w:hint="eastAsia" w:ascii="仿宋_GB2312" w:hAnsi="Times New Roman" w:eastAsia="仿宋_GB2312" w:cs="Times New Roman"/>
          <w:sz w:val="32"/>
          <w:szCs w:val="32"/>
          <w:lang w:val="en-US" w:eastAsia="zh-CN"/>
        </w:rPr>
        <w:t>80.22</w:t>
      </w:r>
      <w:r>
        <w:rPr>
          <w:rFonts w:hint="eastAsia" w:ascii="仿宋_GB2312" w:hAnsi="Times New Roman" w:eastAsia="仿宋_GB2312" w:cs="Times New Roman"/>
          <w:sz w:val="32"/>
          <w:szCs w:val="32"/>
        </w:rPr>
        <w:t>万元，降低</w:t>
      </w:r>
      <w:r>
        <w:rPr>
          <w:rFonts w:hint="eastAsia" w:ascii="仿宋_GB2312" w:hAnsi="Times New Roman" w:eastAsia="仿宋_GB2312" w:cs="Times New Roman"/>
          <w:sz w:val="32"/>
          <w:szCs w:val="32"/>
          <w:lang w:val="en-US" w:eastAsia="zh-CN"/>
        </w:rPr>
        <w:t>28.85</w:t>
      </w:r>
      <w:r>
        <w:rPr>
          <w:rFonts w:hint="eastAsia" w:ascii="仿宋_GB2312" w:hAnsi="Times New Roman" w:eastAsia="仿宋_GB2312" w:cs="Times New Roman"/>
          <w:sz w:val="32"/>
          <w:szCs w:val="32"/>
        </w:rPr>
        <w:t>%，主要原因是项目减少。</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2018年度政府采购支出总额8.19万元，其中：政府采购货物支出8.19万元、政府采购工程支出0万元、政府采购服务支出0万元。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0辆，价值0万元，其中：部级领导干部用车0辆、主要领导干部用车0辆、机要通信用车0辆、应急保障用车0辆、执法执勤用车0辆、特种专业技术用车0辆、离退休干部用车0辆、其他用车0辆，其他用车主要是：其他公务用车；单位价值50万元以上通用设备0台（套）、单位价值100万元以上专用设备0台（套），其他固定资产价值250.80万元。</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第十四小学预算绩效自评情况：我校2018年门卫室改造项目严格按照政府采购手续办理，集中采购相关事宜。项目完工后由学校及教育局项目办进行验收合格后付款。为了规范项目资金管理，我校特别要求专项资金的管理和使用应当遵循“专款专用、公开透明”的原则。市财政局按财政资金拨付程序将市本级专项资金分解下达到我校，我校按照专项资金管理办法拨付资金，同时对专项资金不得挤占和挪用。对于虚报、冒领、挤占、挪用补助资金等行为，一经查实，将依法严肃处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门卫室改造项目绩效自评综述：根据年初设定的绩效目标，门卫室改造项目绩效自评得分96分，项目全年预算数为20万元，执行数为19万元，完成预算的95%。主要产出和效果：一是建立责任分解，落实到人的工作机制。为做好项目的实施工作，对各个环节的工作任务做了详细分解，工作任务落实到单位和部门，各相关部门也安排了专人负责，具体工作落实到人；二是强化资金监管，实施公开透明。实行资金专帐管理、转账核算、集中支付、专款专用，确保花费的每一分钱都有据有证；发现的问题及原因：一是今后将不断完善关于基建项目的有关管理制度；二是进一步做实做细涉及项目建设过程中的各个工作环节，节省成本，优化资源，提高效率，不断健康、稳定的推动校园配套公共基础设施建设；下一步改进措施：施工过程中全程进行监督；二是将安全隐患彻底清除。</w:t>
      </w:r>
    </w:p>
    <w:tbl>
      <w:tblPr>
        <w:tblStyle w:val="4"/>
        <w:tblW w:w="9020" w:type="dxa"/>
        <w:tblInd w:w="-106"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b/>
                <w:bCs/>
                <w:kern w:val="0"/>
                <w:sz w:val="32"/>
                <w:szCs w:val="32"/>
              </w:rPr>
            </w:pPr>
            <w:r>
              <w:rPr>
                <w:rFonts w:hint="eastAsia" w:ascii="宋体" w:hAnsi="宋体" w:cs="宋体"/>
                <w:b/>
                <w:bCs/>
                <w:kern w:val="0"/>
                <w:sz w:val="32"/>
                <w:szCs w:val="32"/>
              </w:rPr>
              <w:t>昌吉市第十四小学项目支出绩效自评表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kern w:val="0"/>
                <w:sz w:val="24"/>
                <w:szCs w:val="24"/>
              </w:rPr>
            </w:pPr>
            <w:r>
              <w:rPr>
                <w:rFonts w:hint="eastAsia" w:ascii="宋体" w:hAnsi="宋体" w:cs="宋体"/>
                <w:kern w:val="0"/>
                <w:sz w:val="24"/>
                <w:szCs w:val="24"/>
              </w:rPr>
              <w:t>（</w:t>
            </w:r>
            <w:r>
              <w:rPr>
                <w:kern w:val="0"/>
                <w:sz w:val="24"/>
                <w:szCs w:val="24"/>
              </w:rPr>
              <w:t>2018</w:t>
            </w:r>
            <w:r>
              <w:rPr>
                <w:rFonts w:hint="eastAsia" w:ascii="宋体" w:hAnsi="宋体" w:cs="宋体"/>
                <w:kern w:val="0"/>
                <w:sz w:val="24"/>
                <w:szCs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kern w:val="0"/>
                <w:sz w:val="24"/>
                <w:szCs w:val="24"/>
              </w:rPr>
            </w:pPr>
          </w:p>
        </w:tc>
        <w:tc>
          <w:tcPr>
            <w:tcW w:w="1140" w:type="dxa"/>
            <w:tcBorders>
              <w:top w:val="nil"/>
              <w:left w:val="nil"/>
              <w:bottom w:val="nil"/>
              <w:right w:val="nil"/>
            </w:tcBorders>
            <w:vAlign w:val="center"/>
          </w:tcPr>
          <w:p>
            <w:pPr>
              <w:widowControl/>
              <w:jc w:val="center"/>
              <w:rPr>
                <w:rFonts w:ascii="宋体"/>
                <w:kern w:val="0"/>
                <w:sz w:val="24"/>
                <w:szCs w:val="24"/>
              </w:rPr>
            </w:pPr>
          </w:p>
        </w:tc>
        <w:tc>
          <w:tcPr>
            <w:tcW w:w="1360" w:type="dxa"/>
            <w:tcBorders>
              <w:top w:val="nil"/>
              <w:left w:val="nil"/>
              <w:bottom w:val="nil"/>
              <w:right w:val="nil"/>
            </w:tcBorders>
            <w:vAlign w:val="center"/>
          </w:tcPr>
          <w:p>
            <w:pPr>
              <w:widowControl/>
              <w:jc w:val="center"/>
              <w:rPr>
                <w:rFonts w:ascii="宋体"/>
                <w:kern w:val="0"/>
                <w:sz w:val="24"/>
                <w:szCs w:val="24"/>
              </w:rPr>
            </w:pPr>
          </w:p>
        </w:tc>
        <w:tc>
          <w:tcPr>
            <w:tcW w:w="1080" w:type="dxa"/>
            <w:tcBorders>
              <w:top w:val="nil"/>
              <w:left w:val="nil"/>
              <w:bottom w:val="nil"/>
              <w:right w:val="nil"/>
            </w:tcBorders>
            <w:vAlign w:val="center"/>
          </w:tcPr>
          <w:p>
            <w:pPr>
              <w:widowControl/>
              <w:jc w:val="center"/>
              <w:rPr>
                <w:rFonts w:ascii="宋体"/>
                <w:kern w:val="0"/>
                <w:sz w:val="24"/>
                <w:szCs w:val="24"/>
              </w:rPr>
            </w:pPr>
          </w:p>
        </w:tc>
        <w:tc>
          <w:tcPr>
            <w:tcW w:w="880" w:type="dxa"/>
            <w:tcBorders>
              <w:top w:val="nil"/>
              <w:left w:val="nil"/>
              <w:bottom w:val="nil"/>
              <w:right w:val="nil"/>
            </w:tcBorders>
            <w:vAlign w:val="center"/>
          </w:tcPr>
          <w:p>
            <w:pPr>
              <w:widowControl/>
              <w:jc w:val="center"/>
              <w:rPr>
                <w:rFonts w:ascii="宋体"/>
                <w:kern w:val="0"/>
                <w:sz w:val="24"/>
                <w:szCs w:val="24"/>
              </w:rPr>
            </w:pPr>
          </w:p>
        </w:tc>
        <w:tc>
          <w:tcPr>
            <w:tcW w:w="2060" w:type="dxa"/>
            <w:tcBorders>
              <w:top w:val="nil"/>
              <w:left w:val="nil"/>
              <w:bottom w:val="nil"/>
              <w:right w:val="nil"/>
            </w:tcBorders>
            <w:vAlign w:val="center"/>
          </w:tcPr>
          <w:p>
            <w:pPr>
              <w:widowControl/>
              <w:jc w:val="center"/>
              <w:rPr>
                <w:rFonts w:ascii="宋体"/>
                <w:kern w:val="0"/>
                <w:sz w:val="24"/>
                <w:szCs w:val="24"/>
              </w:rPr>
            </w:pPr>
          </w:p>
        </w:tc>
        <w:tc>
          <w:tcPr>
            <w:tcW w:w="1780" w:type="dxa"/>
            <w:tcBorders>
              <w:top w:val="nil"/>
              <w:left w:val="nil"/>
              <w:bottom w:val="nil"/>
              <w:right w:val="nil"/>
            </w:tcBorders>
            <w:vAlign w:val="center"/>
          </w:tcPr>
          <w:p>
            <w:pPr>
              <w:widowControl/>
              <w:jc w:val="center"/>
              <w:rPr>
                <w:rFonts w:ascii="宋体"/>
                <w:kern w:val="0"/>
                <w:sz w:val="24"/>
                <w:szCs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义务教育保障机制校舍保障经费</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　昌吉市第十四小学</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预算</w:t>
            </w:r>
            <w:r>
              <w:rPr>
                <w:rFonts w:ascii="宋体"/>
                <w:kern w:val="0"/>
                <w:sz w:val="20"/>
                <w:szCs w:val="20"/>
              </w:rPr>
              <w:br w:type="textWrapping"/>
            </w:r>
            <w:r>
              <w:rPr>
                <w:rFonts w:hint="eastAsia" w:ascii="宋体" w:hAnsi="宋体" w:cs="宋体"/>
                <w:kern w:val="0"/>
                <w:sz w:val="20"/>
                <w:szCs w:val="20"/>
              </w:rPr>
              <w:t>执行</w:t>
            </w:r>
            <w:r>
              <w:rPr>
                <w:rFonts w:ascii="宋体"/>
                <w:kern w:val="0"/>
                <w:sz w:val="20"/>
                <w:szCs w:val="20"/>
              </w:rPr>
              <w:br w:type="textWrapping"/>
            </w:r>
            <w:r>
              <w:rPr>
                <w:rFonts w:hint="eastAsia" w:ascii="宋体" w:hAnsi="宋体" w:cs="宋体"/>
                <w:kern w:val="0"/>
                <w:sz w:val="20"/>
                <w:szCs w:val="20"/>
              </w:rPr>
              <w:t>情况</w:t>
            </w:r>
            <w:r>
              <w:rPr>
                <w:rFonts w:ascii="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　19</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19</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19</w:t>
            </w:r>
          </w:p>
        </w:tc>
        <w:tc>
          <w:tcPr>
            <w:tcW w:w="2060" w:type="dxa"/>
            <w:tcBorders>
              <w:top w:val="nil"/>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19</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目标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宋体"/>
                <w:kern w:val="0"/>
                <w:sz w:val="20"/>
                <w:szCs w:val="20"/>
              </w:rPr>
            </w:pPr>
            <w:r>
              <w:rPr>
                <w:rFonts w:hint="eastAsia" w:ascii="宋体" w:hAnsi="宋体" w:cs="宋体"/>
                <w:kern w:val="0"/>
                <w:sz w:val="20"/>
                <w:szCs w:val="20"/>
              </w:rPr>
              <w:t>　计划完成：新建学校门卫工程</w:t>
            </w:r>
            <w:r>
              <w:rPr>
                <w:rFonts w:ascii="宋体" w:hAnsi="宋体" w:cs="宋体"/>
                <w:kern w:val="0"/>
                <w:sz w:val="20"/>
                <w:szCs w:val="20"/>
              </w:rPr>
              <w:t>20</w:t>
            </w:r>
            <w:r>
              <w:rPr>
                <w:rFonts w:hint="eastAsia" w:ascii="宋体" w:hAnsi="宋体" w:cs="宋体"/>
                <w:kern w:val="0"/>
                <w:sz w:val="20"/>
                <w:szCs w:val="20"/>
              </w:rPr>
              <w:t>万元。</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kern w:val="0"/>
                <w:sz w:val="20"/>
                <w:szCs w:val="20"/>
              </w:rPr>
            </w:pPr>
            <w:r>
              <w:rPr>
                <w:rFonts w:hint="eastAsia" w:ascii="宋体" w:hAnsi="宋体" w:cs="宋体"/>
                <w:kern w:val="0"/>
                <w:sz w:val="20"/>
                <w:szCs w:val="20"/>
              </w:rPr>
              <w:t>本年度实际完成项目：新建学校门卫室、工程</w:t>
            </w:r>
            <w:r>
              <w:rPr>
                <w:rFonts w:ascii="宋体" w:hAnsi="宋体" w:cs="宋体"/>
                <w:kern w:val="0"/>
                <w:sz w:val="20"/>
                <w:szCs w:val="20"/>
              </w:rPr>
              <w:t>20</w:t>
            </w:r>
            <w:r>
              <w:rPr>
                <w:rFonts w:hint="eastAsia" w:ascii="宋体" w:hAnsi="宋体" w:cs="宋体"/>
                <w:kern w:val="0"/>
                <w:sz w:val="20"/>
                <w:szCs w:val="20"/>
              </w:rPr>
              <w:t>万元。</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绩效</w:t>
            </w:r>
            <w:r>
              <w:rPr>
                <w:rFonts w:ascii="宋体"/>
                <w:kern w:val="0"/>
                <w:sz w:val="20"/>
                <w:szCs w:val="20"/>
              </w:rPr>
              <w:br w:type="textWrapping"/>
            </w:r>
            <w:r>
              <w:rPr>
                <w:rFonts w:hint="eastAsia" w:ascii="宋体" w:hAnsi="宋体" w:cs="宋体"/>
                <w:kern w:val="0"/>
                <w:sz w:val="20"/>
                <w:szCs w:val="20"/>
              </w:rPr>
              <w:t>指标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single" w:color="auto" w:sz="4" w:space="0"/>
              <w:left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：新建学校门卫室</w:t>
            </w:r>
            <w:r>
              <w:rPr>
                <w:rFonts w:ascii="宋体" w:hAnsi="宋体" w:cs="宋体"/>
                <w:kern w:val="0"/>
                <w:sz w:val="20"/>
                <w:szCs w:val="20"/>
              </w:rPr>
              <w:t>80</w:t>
            </w:r>
            <w:r>
              <w:rPr>
                <w:rFonts w:hint="eastAsia" w:ascii="宋体" w:hAnsi="宋体" w:cs="宋体"/>
                <w:kern w:val="0"/>
                <w:sz w:val="20"/>
                <w:szCs w:val="20"/>
              </w:rPr>
              <w:t>平方米。</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通过验收等于</w:t>
            </w:r>
            <w:r>
              <w:rPr>
                <w:rFonts w:ascii="宋体" w:hAnsi="宋体" w:cs="宋体"/>
                <w:kern w:val="0"/>
                <w:sz w:val="20"/>
                <w:szCs w:val="20"/>
              </w:rPr>
              <w:t>80</w:t>
            </w:r>
            <w:r>
              <w:rPr>
                <w:rFonts w:hint="eastAsia" w:ascii="宋体" w:hAnsi="宋体" w:cs="宋体"/>
                <w:kern w:val="0"/>
                <w:sz w:val="20"/>
                <w:szCs w:val="20"/>
              </w:rPr>
              <w:t>平方米</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等于</w:t>
            </w:r>
            <w:r>
              <w:rPr>
                <w:rFonts w:ascii="宋体" w:hAnsi="宋体" w:cs="宋体"/>
                <w:kern w:val="0"/>
                <w:sz w:val="20"/>
                <w:szCs w:val="20"/>
              </w:rPr>
              <w:t>80</w:t>
            </w:r>
            <w:r>
              <w:rPr>
                <w:rFonts w:hint="eastAsia" w:ascii="宋体" w:hAnsi="宋体" w:cs="宋体"/>
                <w:kern w:val="0"/>
                <w:sz w:val="20"/>
                <w:szCs w:val="20"/>
              </w:rPr>
              <w:t>平方米，扩建面积</w:t>
            </w:r>
            <w:r>
              <w:rPr>
                <w:rFonts w:ascii="宋体" w:hAnsi="宋体" w:cs="宋体"/>
                <w:kern w:val="0"/>
                <w:sz w:val="20"/>
                <w:szCs w:val="20"/>
              </w:rPr>
              <w:t>80</w:t>
            </w:r>
            <w:r>
              <w:rPr>
                <w:rFonts w:hint="eastAsia" w:ascii="宋体" w:hAnsi="宋体" w:cs="宋体"/>
                <w:kern w:val="0"/>
                <w:sz w:val="20"/>
                <w:szCs w:val="20"/>
              </w:rPr>
              <w:t>平方米，完成率等于</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：新建学校门卫室工程验收合格率（</w:t>
            </w:r>
            <w:r>
              <w:rPr>
                <w:rFonts w:ascii="宋体" w:hAnsi="宋体" w:cs="宋体"/>
                <w:kern w:val="0"/>
                <w:sz w:val="20"/>
                <w:szCs w:val="20"/>
              </w:rPr>
              <w:t>100%</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验收的工程量占新建及扩建总量的</w:t>
            </w: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未完成验收，完成率等于</w:t>
            </w:r>
            <w:r>
              <w:rPr>
                <w:rFonts w:ascii="宋体" w:cs="宋体"/>
                <w:kern w:val="0"/>
                <w:sz w:val="20"/>
                <w:szCs w:val="20"/>
              </w:rPr>
              <w:t>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hint="eastAsia" w:ascii="宋体" w:cs="宋体"/>
                <w:kern w:val="0"/>
                <w:sz w:val="20"/>
                <w:szCs w:val="20"/>
              </w:rPr>
              <w:t>工程量完成率</w:t>
            </w:r>
            <w:r>
              <w:rPr>
                <w:rFonts w:hint="eastAsia" w:ascii="宋体" w:hAnsi="宋体" w:cs="宋体"/>
                <w:kern w:val="0"/>
                <w:sz w:val="20"/>
                <w:szCs w:val="20"/>
              </w:rPr>
              <w:t>（</w:t>
            </w:r>
            <w:r>
              <w:rPr>
                <w:rFonts w:ascii="宋体" w:hAnsi="宋体" w:cs="宋体"/>
                <w:kern w:val="0"/>
                <w:sz w:val="20"/>
                <w:szCs w:val="20"/>
              </w:rPr>
              <w:t>100%</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完成工程量占计划完成工程量的</w:t>
            </w: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完成工程量等于</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：工程按期完成率</w:t>
            </w:r>
            <w:r>
              <w:rPr>
                <w:rFonts w:ascii="宋体" w:hAnsi="宋体" w:cs="宋体"/>
                <w:kern w:val="0"/>
                <w:sz w:val="20"/>
                <w:szCs w:val="20"/>
              </w:rPr>
              <w:t>100%</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按期完成的工程量占总工程量的</w:t>
            </w: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工程按期完成　等于</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3</w:t>
            </w:r>
            <w:r>
              <w:rPr>
                <w:rFonts w:hint="eastAsia" w:ascii="宋体" w:hAnsi="宋体" w:cs="宋体"/>
                <w:kern w:val="0"/>
                <w:sz w:val="20"/>
                <w:szCs w:val="20"/>
              </w:rPr>
              <w:t>：</w:t>
            </w:r>
            <w:r>
              <w:rPr>
                <w:rFonts w:hint="eastAsia" w:ascii="宋体" w:cs="宋体"/>
                <w:kern w:val="0"/>
                <w:sz w:val="20"/>
                <w:szCs w:val="20"/>
              </w:rPr>
              <w:t>工程完工率</w:t>
            </w:r>
            <w:r>
              <w:rPr>
                <w:rFonts w:hint="eastAsia" w:ascii="宋体" w:hAnsi="宋体" w:cs="宋体"/>
                <w:kern w:val="0"/>
                <w:sz w:val="20"/>
                <w:szCs w:val="20"/>
              </w:rPr>
              <w:t>（</w:t>
            </w:r>
            <w:r>
              <w:rPr>
                <w:rFonts w:ascii="宋体" w:hAnsi="宋体" w:cs="宋体"/>
                <w:kern w:val="0"/>
                <w:sz w:val="20"/>
                <w:szCs w:val="20"/>
              </w:rPr>
              <w:t>100%</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工程施工进度工作量占工程完工总量的</w:t>
            </w: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工程施工进度等于</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新建学校门卫室工程建设成本合同价</w:t>
            </w:r>
            <w:r>
              <w:rPr>
                <w:rFonts w:ascii="宋体" w:hAnsi="宋体" w:cs="宋体"/>
                <w:kern w:val="0"/>
                <w:sz w:val="20"/>
                <w:szCs w:val="20"/>
              </w:rPr>
              <w:t>20</w:t>
            </w:r>
            <w:r>
              <w:rPr>
                <w:rFonts w:hint="eastAsia" w:ascii="宋体" w:hAnsi="宋体" w:cs="宋体"/>
                <w:kern w:val="0"/>
                <w:sz w:val="20"/>
                <w:szCs w:val="20"/>
              </w:rPr>
              <w:t>万元，计划完成</w:t>
            </w:r>
            <w:r>
              <w:rPr>
                <w:rFonts w:ascii="宋体" w:hAnsi="宋体" w:cs="宋体"/>
                <w:kern w:val="0"/>
                <w:sz w:val="20"/>
                <w:szCs w:val="20"/>
              </w:rPr>
              <w:t>20</w:t>
            </w:r>
            <w:r>
              <w:rPr>
                <w:rFonts w:hint="eastAsia" w:ascii="宋体" w:hAnsi="宋体" w:cs="宋体"/>
                <w:kern w:val="0"/>
                <w:sz w:val="20"/>
                <w:szCs w:val="20"/>
              </w:rPr>
              <w:t>万元</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等于</w:t>
            </w:r>
            <w:r>
              <w:rPr>
                <w:rFonts w:ascii="宋体" w:hAnsi="宋体" w:cs="宋体"/>
                <w:kern w:val="0"/>
                <w:sz w:val="20"/>
                <w:szCs w:val="20"/>
              </w:rPr>
              <w:t>20</w:t>
            </w:r>
            <w:r>
              <w:rPr>
                <w:rFonts w:hint="eastAsia" w:ascii="宋体" w:hAnsi="宋体" w:cs="宋体"/>
                <w:kern w:val="0"/>
                <w:sz w:val="20"/>
                <w:szCs w:val="20"/>
              </w:rPr>
              <w:t>万元</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等于</w:t>
            </w:r>
            <w:r>
              <w:rPr>
                <w:rFonts w:ascii="宋体" w:hAnsi="宋体" w:cs="宋体"/>
                <w:kern w:val="0"/>
                <w:sz w:val="20"/>
                <w:szCs w:val="20"/>
              </w:rPr>
              <w:t>20</w:t>
            </w:r>
            <w:r>
              <w:rPr>
                <w:rFonts w:hint="eastAsia" w:ascii="宋体" w:hAnsi="宋体" w:cs="宋体"/>
                <w:kern w:val="0"/>
                <w:sz w:val="20"/>
                <w:szCs w:val="20"/>
              </w:rPr>
              <w:t>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p>
          <w:p>
            <w:pPr>
              <w:widowControl/>
              <w:jc w:val="center"/>
              <w:rPr>
                <w:rFonts w:ascii="宋体"/>
                <w:kern w:val="0"/>
                <w:sz w:val="20"/>
                <w:szCs w:val="20"/>
              </w:rPr>
            </w:pPr>
            <w:r>
              <w:rPr>
                <w:rFonts w:hint="eastAsia" w:ascii="宋体" w:hAnsi="宋体" w:cs="宋体"/>
                <w:kern w:val="0"/>
                <w:sz w:val="20"/>
                <w:szCs w:val="20"/>
              </w:rPr>
              <w:t>项目</w:t>
            </w:r>
          </w:p>
          <w:p>
            <w:pPr>
              <w:widowControl/>
              <w:jc w:val="center"/>
              <w:rPr>
                <w:rFonts w:ascii="宋体"/>
                <w:kern w:val="0"/>
                <w:sz w:val="20"/>
                <w:szCs w:val="20"/>
              </w:rPr>
            </w:pPr>
            <w:r>
              <w:rPr>
                <w:rFonts w:hint="eastAsia" w:ascii="宋体" w:hAnsi="宋体" w:cs="宋体"/>
                <w:kern w:val="0"/>
                <w:sz w:val="20"/>
                <w:szCs w:val="20"/>
              </w:rPr>
              <w:t>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经济效益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设计功能实现率</w:t>
            </w:r>
            <w:r>
              <w:rPr>
                <w:rFonts w:ascii="宋体" w:hAnsi="宋体" w:cs="宋体"/>
                <w:kern w:val="0"/>
                <w:sz w:val="20"/>
                <w:szCs w:val="20"/>
              </w:rPr>
              <w:t>00%</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建筑工程达到设计标准程度等于</w:t>
            </w: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建筑工程达到设计标准程度等于</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社会效益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新建门卫室工程完善了学校的硬件基础设施</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加强了学校安全设施的建设，提高了学校安全防护水平</w:t>
            </w:r>
            <w:r>
              <w:rPr>
                <w:rFonts w:ascii="宋体" w:cs="宋体"/>
                <w:kern w:val="0"/>
                <w:sz w:val="20"/>
                <w:szCs w:val="20"/>
              </w:rPr>
              <w:t>,</w:t>
            </w:r>
            <w:r>
              <w:rPr>
                <w:rFonts w:hint="eastAsia" w:ascii="宋体" w:hAnsi="宋体" w:cs="宋体"/>
                <w:kern w:val="0"/>
                <w:sz w:val="20"/>
                <w:szCs w:val="20"/>
              </w:rPr>
              <w:t>满足了安全工作要求</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为加强学校安保工作创造了条件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可持续影响</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改善了学校的安全值班条件</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为今后的安全值班工作打下了坚实基础</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达到</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w:t>
            </w:r>
            <w:r>
              <w:rPr>
                <w:rFonts w:ascii="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学校教师满意度</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96%</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学校教师满意度≧</w:t>
            </w:r>
            <w:r>
              <w:rPr>
                <w:rFonts w:ascii="宋体" w:hAnsi="宋体" w:cs="宋体"/>
                <w:kern w:val="0"/>
                <w:sz w:val="20"/>
                <w:szCs w:val="20"/>
              </w:rPr>
              <w:t>96%</w:t>
            </w:r>
          </w:p>
        </w:tc>
      </w:tr>
    </w:tbl>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205（类）02（款）02（项）：指教育支出-普通教育-小学教育；205（类）02（款）99（项）：指教育支出-普通教育-其他普通教育支出；208（类）05（款）05（项）：指社会保障和就业支出-行政事业单位离退休-机关事业单位基本养老保险缴费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其他有关说明内容。</w:t>
      </w: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C0"/>
    <w:rsid w:val="007C5123"/>
    <w:rsid w:val="00E108C1"/>
    <w:rsid w:val="00EE26C0"/>
    <w:rsid w:val="025C3251"/>
    <w:rsid w:val="48FA4269"/>
    <w:rsid w:val="5AD1514A"/>
    <w:rsid w:val="74094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FollowedHyperlink"/>
    <w:basedOn w:val="5"/>
    <w:semiHidden/>
    <w:unhideWhenUsed/>
    <w:qFormat/>
    <w:uiPriority w:val="99"/>
    <w:rPr>
      <w:color w:val="800080"/>
      <w:u w:val="single"/>
    </w:rPr>
  </w:style>
  <w:style w:type="character" w:styleId="7">
    <w:name w:val="Hyperlink"/>
    <w:basedOn w:val="5"/>
    <w:semiHidden/>
    <w:unhideWhenUsed/>
    <w:qFormat/>
    <w:uiPriority w:val="99"/>
    <w:rPr>
      <w:color w:val="0000FF"/>
      <w:u w:val="single"/>
    </w:rPr>
  </w:style>
  <w:style w:type="character" w:customStyle="1" w:styleId="8">
    <w:name w:val="标题 2 字符"/>
    <w:basedOn w:val="5"/>
    <w:link w:val="2"/>
    <w:qFormat/>
    <w:uiPriority w:val="9"/>
    <w:rPr>
      <w:rFonts w:ascii="宋体" w:hAnsi="宋体" w:eastAsia="宋体" w:cs="宋体"/>
      <w:b/>
      <w:bCs/>
      <w:kern w:val="0"/>
      <w:sz w:val="36"/>
      <w:szCs w:val="36"/>
    </w:rPr>
  </w:style>
  <w:style w:type="paragraph" w:customStyle="1" w:styleId="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pages_print_font"/>
    <w:basedOn w:val="5"/>
    <w:qFormat/>
    <w:uiPriority w:val="0"/>
  </w:style>
  <w:style w:type="character" w:customStyle="1" w:styleId="11">
    <w:name w:val="am-margin-right-sm"/>
    <w:basedOn w:val="5"/>
    <w:qFormat/>
    <w:uiPriority w:val="0"/>
  </w:style>
  <w:style w:type="character" w:customStyle="1" w:styleId="12">
    <w:name w:val="pointer"/>
    <w:basedOn w:val="5"/>
    <w:qFormat/>
    <w:uiPriority w:val="0"/>
  </w:style>
  <w:style w:type="character" w:customStyle="1" w:styleId="13">
    <w:name w:val="btnpri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977</Words>
  <Characters>5570</Characters>
  <Lines>46</Lines>
  <Paragraphs>13</Paragraphs>
  <TotalTime>1</TotalTime>
  <ScaleCrop>false</ScaleCrop>
  <LinksUpToDate>false</LinksUpToDate>
  <CharactersWithSpaces>6534</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2021-05-21T13:04:00Z</dcterms:created>
  <dc:creator>Lenovo</dc:creator>
  <cp:lastModifiedBy>Administrator</cp:lastModifiedBy>
  <dcterms:modified xsi:type="dcterms:W3CDTF">2021-05-31T04:20:35Z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1255F0B521AF426AACB85A855CC8F121</vt:lpwstr>
  </property>
</Properties>
</file>