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840" w:lineRule="atLeast"/>
        <w:ind w:left="0" w:right="0"/>
        <w:jc w:val="left"/>
        <w:rPr>
          <w:rFonts w:hint="eastAsia" w:ascii="å¾®è½¯é›…é»‘" w:hAnsi="å¾®è½¯é›…é»‘" w:eastAsia="宋体" w:cs="å¾®è½¯é›…é»‘"/>
          <w:i w:val="0"/>
          <w:caps w:val="0"/>
          <w:color w:val="333333"/>
          <w:spacing w:val="0"/>
          <w:sz w:val="32"/>
          <w:szCs w:val="32"/>
          <w:shd w:val="clear" w:fill="FFFFFF"/>
          <w:lang w:eastAsia="zh-CN"/>
        </w:rPr>
      </w:pPr>
      <w:r>
        <w:rPr>
          <w:rFonts w:hint="eastAsia" w:ascii="å¾®è½¯é›…é»‘" w:hAnsi="å¾®è½¯é›…é»‘" w:cs="å¾®è½¯é›…é»‘"/>
          <w:i w:val="0"/>
          <w:caps w:val="0"/>
          <w:color w:val="333333"/>
          <w:spacing w:val="0"/>
          <w:sz w:val="32"/>
          <w:szCs w:val="32"/>
          <w:shd w:val="clear" w:fill="FFFFFF"/>
          <w:lang w:eastAsia="zh-CN"/>
        </w:rPr>
        <w:t>附件</w:t>
      </w:r>
      <w:r>
        <w:rPr>
          <w:rFonts w:hint="eastAsia" w:ascii="仿宋" w:hAnsi="仿宋" w:eastAsia="仿宋" w:cs="仿宋"/>
          <w:i w:val="0"/>
          <w:caps w:val="0"/>
          <w:color w:val="333333"/>
          <w:spacing w:val="0"/>
          <w:sz w:val="32"/>
          <w:szCs w:val="32"/>
          <w:shd w:val="clear" w:fill="FFFFFF"/>
          <w:lang w:val="en-US" w:eastAsia="zh-CN"/>
        </w:rPr>
        <w:t>1：</w:t>
      </w:r>
    </w:p>
    <w:p>
      <w:pPr>
        <w:spacing w:line="540" w:lineRule="exact"/>
        <w:jc w:val="center"/>
        <w:rPr>
          <w:rFonts w:hint="default" w:ascii="方正小标宋_GBK" w:hAnsi="宋体" w:eastAsia="方正小标宋_GBK"/>
          <w:sz w:val="44"/>
          <w:szCs w:val="44"/>
        </w:rPr>
      </w:pPr>
      <w:r>
        <w:rPr>
          <w:rFonts w:hint="eastAsia" w:ascii="方正小标宋_GBK" w:hAnsi="宋体" w:eastAsia="方正小标宋_GBK"/>
          <w:sz w:val="44"/>
          <w:szCs w:val="44"/>
          <w:lang w:val="en-US" w:eastAsia="zh-CN"/>
        </w:rPr>
        <w:t>2018</w:t>
      </w:r>
      <w:r>
        <w:rPr>
          <w:rFonts w:hint="default" w:ascii="方正小标宋_GBK" w:hAnsi="宋体" w:eastAsia="方正小标宋_GBK"/>
          <w:sz w:val="44"/>
          <w:szCs w:val="44"/>
        </w:rPr>
        <w:t>年昌吉市花儿艺术团</w:t>
      </w:r>
    </w:p>
    <w:p>
      <w:pPr>
        <w:spacing w:line="540" w:lineRule="exact"/>
        <w:jc w:val="center"/>
        <w:rPr>
          <w:rFonts w:hint="eastAsia" w:ascii="方正小标宋_GBK" w:hAnsi="宋体" w:eastAsia="方正小标宋_GBK"/>
          <w:sz w:val="44"/>
          <w:szCs w:val="44"/>
          <w:lang w:eastAsia="zh-CN"/>
        </w:rPr>
      </w:pPr>
      <w:r>
        <w:rPr>
          <w:rFonts w:hint="eastAsia" w:ascii="方正小标宋_GBK" w:hAnsi="宋体" w:eastAsia="方正小标宋_GBK"/>
          <w:sz w:val="44"/>
          <w:szCs w:val="44"/>
          <w:lang w:eastAsia="zh-CN"/>
        </w:rPr>
        <w:t>部门</w:t>
      </w:r>
      <w:r>
        <w:rPr>
          <w:rFonts w:hint="default" w:ascii="方正小标宋_GBK" w:hAnsi="宋体" w:eastAsia="方正小标宋_GBK"/>
          <w:sz w:val="44"/>
          <w:szCs w:val="44"/>
        </w:rPr>
        <w:t>决算公开</w:t>
      </w:r>
      <w:r>
        <w:rPr>
          <w:rFonts w:hint="eastAsia" w:ascii="方正小标宋_GBK" w:hAnsi="宋体" w:eastAsia="方正小标宋_GBK"/>
          <w:sz w:val="44"/>
          <w:szCs w:val="44"/>
          <w:lang w:eastAsia="zh-CN"/>
        </w:rPr>
        <w:t>说明</w:t>
      </w:r>
    </w:p>
    <w:p>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bCs w:val="0"/>
          <w:kern w:val="0"/>
          <w:sz w:val="36"/>
          <w:szCs w:val="36"/>
          <w:highlight w:val="none"/>
        </w:rPr>
      </w:pPr>
    </w:p>
    <w:p>
      <w:pPr>
        <w:spacing w:line="540" w:lineRule="exact"/>
        <w:jc w:val="center"/>
        <w:rPr>
          <w:rFonts w:hint="eastAsia" w:ascii="黑体" w:hAnsi="黑体" w:eastAsia="黑体"/>
          <w:b w:val="0"/>
          <w:bCs/>
          <w:kern w:val="0"/>
          <w:sz w:val="32"/>
          <w:szCs w:val="32"/>
        </w:rPr>
      </w:pPr>
      <w:r>
        <w:rPr>
          <w:rFonts w:hint="eastAsia" w:ascii="黑体" w:hAnsi="黑体" w:eastAsia="黑体"/>
          <w:b w:val="0"/>
          <w:bCs/>
          <w:kern w:val="0"/>
          <w:sz w:val="32"/>
          <w:szCs w:val="32"/>
        </w:rPr>
        <w:t>目  录</w:t>
      </w:r>
    </w:p>
    <w:p>
      <w:pPr>
        <w:spacing w:line="540" w:lineRule="exact"/>
        <w:ind w:firstLine="643" w:firstLineChars="200"/>
        <w:rPr>
          <w:rFonts w:hint="eastAsia" w:ascii="仿宋_GB2312" w:hAnsi="宋体" w:eastAsia="仿宋_GB2312"/>
          <w:b/>
          <w:kern w:val="0"/>
          <w:sz w:val="32"/>
          <w:szCs w:val="32"/>
        </w:rPr>
      </w:pP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hint="eastAsia" w:ascii="仿宋_GB2312" w:hAnsi="宋体" w:eastAsia="仿宋_GB2312"/>
          <w:kern w:val="0"/>
          <w:sz w:val="32"/>
          <w:szCs w:val="32"/>
        </w:rPr>
      </w:pPr>
      <w:r>
        <w:rPr>
          <w:rFonts w:hint="eastAsia" w:ascii="仿宋_GB2312" w:hAnsi="宋体" w:eastAsia="仿宋_GB2312"/>
          <w:kern w:val="0"/>
          <w:sz w:val="32"/>
          <w:szCs w:val="32"/>
        </w:rPr>
        <w:t>二、机构设置情况</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（一）国有资产占用情况说明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（二）预算绩效情况的说明</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hint="eastAsia" w:ascii="黑体" w:hAnsi="黑体" w:eastAsia="黑体"/>
          <w:kern w:val="0"/>
          <w:sz w:val="32"/>
          <w:szCs w:val="32"/>
        </w:rPr>
      </w:pPr>
      <w:r>
        <w:rPr>
          <w:rFonts w:hint="eastAsia" w:ascii="黑体" w:hAnsi="黑体" w:eastAsia="黑体"/>
          <w:kern w:val="0"/>
          <w:sz w:val="32"/>
          <w:szCs w:val="32"/>
        </w:rPr>
        <w:t>第四部分 部门决算公开的8张报表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《政府性基金预算财政拨款收入支出决算表》</w:t>
      </w:r>
    </w:p>
    <w:p>
      <w:pPr>
        <w:pStyle w:val="5"/>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 w:hAnsi="仿宋" w:eastAsia="仿宋" w:cs="仿宋"/>
          <w:color w:val="333333"/>
          <w:sz w:val="34"/>
          <w:szCs w:val="34"/>
        </w:rPr>
      </w:pPr>
      <w:r>
        <w:rPr>
          <w:rFonts w:hint="eastAsia" w:ascii="仿宋" w:hAnsi="仿宋" w:eastAsia="仿宋" w:cs="仿宋"/>
          <w:i w:val="0"/>
          <w:caps w:val="0"/>
          <w:color w:val="333333"/>
          <w:spacing w:val="0"/>
          <w:sz w:val="24"/>
          <w:szCs w:val="24"/>
          <w:shd w:val="clear" w:fill="FFFFFF"/>
        </w:rPr>
        <w:t xml:space="preserve">  </w:t>
      </w:r>
      <w:r>
        <w:rPr>
          <w:rFonts w:hint="eastAsia" w:ascii="仿宋" w:hAnsi="仿宋" w:eastAsia="仿宋" w:cs="仿宋"/>
          <w:i w:val="0"/>
          <w:caps w:val="0"/>
          <w:color w:val="333333"/>
          <w:spacing w:val="0"/>
          <w:sz w:val="34"/>
          <w:szCs w:val="34"/>
          <w:shd w:val="clear" w:fill="FFFFFF"/>
        </w:rPr>
        <w:t xml:space="preserve">   </w:t>
      </w:r>
    </w:p>
    <w:p>
      <w:pPr>
        <w:spacing w:line="540" w:lineRule="exact"/>
        <w:jc w:val="center"/>
        <w:rPr>
          <w:rFonts w:hint="eastAsia" w:ascii="黑体" w:hAnsi="黑体" w:eastAsia="黑体"/>
          <w:sz w:val="32"/>
          <w:szCs w:val="32"/>
        </w:rPr>
      </w:pPr>
      <w:r>
        <w:rPr>
          <w:rFonts w:hint="eastAsia" w:ascii="黑体" w:hAnsi="黑体" w:eastAsia="黑体"/>
          <w:sz w:val="32"/>
          <w:szCs w:val="32"/>
        </w:rPr>
        <w:t>第一部分 部门单位概况</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rPr>
        <w:t>一、主要职能</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1、紧密结合昌吉市政治、经济、科学和文化教育事业的实际繁荣群众文化、积极创编符合时代主题的各类文艺精品。</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2、配合上级部门完成大型演出任务。</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3、下基层文艺演出形成常态。</w:t>
      </w:r>
    </w:p>
    <w:p>
      <w:pPr>
        <w:widowControl w:val="0"/>
        <w:spacing w:line="540" w:lineRule="exact"/>
        <w:ind w:firstLine="640" w:firstLineChars="200"/>
        <w:jc w:val="both"/>
        <w:rPr>
          <w:rFonts w:hint="eastAsia" w:ascii="仿宋" w:hAnsi="仿宋" w:eastAsia="仿宋" w:cs="仿宋"/>
          <w:i w:val="0"/>
          <w:caps w:val="0"/>
          <w:color w:val="333333"/>
          <w:spacing w:val="0"/>
          <w:sz w:val="34"/>
          <w:szCs w:val="34"/>
          <w:shd w:val="clear" w:fill="FFFFFF"/>
        </w:rPr>
      </w:pPr>
      <w:r>
        <w:rPr>
          <w:rFonts w:hint="eastAsia" w:ascii="仿宋_GB2312" w:eastAsia="仿宋_GB2312"/>
          <w:sz w:val="32"/>
          <w:szCs w:val="32"/>
        </w:rPr>
        <w:t>4、积极全面开展“金点子”指导队活动。</w:t>
      </w:r>
    </w:p>
    <w:p>
      <w:pPr>
        <w:widowControl w:val="0"/>
        <w:spacing w:line="540" w:lineRule="exact"/>
        <w:ind w:firstLine="640" w:firstLineChars="200"/>
        <w:jc w:val="both"/>
        <w:rPr>
          <w:rFonts w:hint="eastAsia" w:ascii="黑体" w:hAnsi="黑体" w:eastAsia="黑体" w:cs="宋体"/>
          <w:bCs/>
          <w:kern w:val="0"/>
          <w:sz w:val="32"/>
          <w:szCs w:val="32"/>
        </w:rPr>
      </w:pPr>
      <w:r>
        <w:rPr>
          <w:rFonts w:hint="eastAsia" w:ascii="黑体" w:hAnsi="黑体" w:eastAsia="黑体" w:cs="宋体"/>
          <w:bCs/>
          <w:kern w:val="0"/>
          <w:sz w:val="32"/>
          <w:szCs w:val="32"/>
        </w:rPr>
        <w:t>二、机构设置情况</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从决算单位构成看，昌吉市花儿艺术团部门决算包括：昌吉市花儿艺术团部门本级决算。</w:t>
      </w:r>
    </w:p>
    <w:p>
      <w:pPr>
        <w:widowControl w:val="0"/>
        <w:spacing w:line="540" w:lineRule="exact"/>
        <w:ind w:firstLine="640" w:firstLineChars="200"/>
        <w:jc w:val="both"/>
        <w:rPr>
          <w:rFonts w:hint="eastAsia" w:ascii="仿宋_GB2312" w:eastAsia="仿宋_GB2312"/>
          <w:sz w:val="32"/>
          <w:szCs w:val="32"/>
        </w:rPr>
      </w:pPr>
      <w:r>
        <w:rPr>
          <w:rFonts w:hint="eastAsia" w:ascii="仿宋_GB2312" w:eastAsia="仿宋_GB2312"/>
          <w:sz w:val="32"/>
          <w:szCs w:val="32"/>
        </w:rPr>
        <w:t>纳入昌吉市花儿艺术团2018年部门决算编制范围的单位名单见下表：</w:t>
      </w:r>
    </w:p>
    <w:tbl>
      <w:tblPr>
        <w:tblStyle w:val="7"/>
        <w:tblW w:w="8938" w:type="dxa"/>
        <w:tblInd w:w="0" w:type="dxa"/>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auto"/>
        <w:tblLayout w:type="fixed"/>
        <w:tblCellMar>
          <w:top w:w="30" w:type="dxa"/>
          <w:left w:w="30" w:type="dxa"/>
          <w:bottom w:w="30" w:type="dxa"/>
          <w:right w:w="30" w:type="dxa"/>
        </w:tblCellMar>
      </w:tblPr>
      <w:tblGrid>
        <w:gridCol w:w="1018"/>
        <w:gridCol w:w="3975"/>
        <w:gridCol w:w="3945"/>
      </w:tblGrid>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shd w:val="clear" w:color="auto" w:fill="auto"/>
          <w:tblLayout w:type="fixed"/>
          <w:tblCellMar>
            <w:top w:w="30" w:type="dxa"/>
            <w:left w:w="30" w:type="dxa"/>
            <w:bottom w:w="30" w:type="dxa"/>
            <w:right w:w="30" w:type="dxa"/>
          </w:tblCellMar>
        </w:tblPrEx>
        <w:trPr>
          <w:trHeight w:val="465" w:hRule="atLeast"/>
        </w:trPr>
        <w:tc>
          <w:tcPr>
            <w:tcW w:w="101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top"/>
          </w:tcPr>
          <w:p>
            <w:pPr>
              <w:widowControl w:val="0"/>
              <w:spacing w:line="540" w:lineRule="exact"/>
              <w:jc w:val="center"/>
              <w:rPr>
                <w:rFonts w:hint="eastAsia" w:ascii="仿宋_GB2312" w:eastAsia="仿宋_GB2312"/>
                <w:sz w:val="32"/>
                <w:szCs w:val="32"/>
              </w:rPr>
            </w:pPr>
            <w:r>
              <w:rPr>
                <w:rFonts w:hint="eastAsia" w:ascii="仿宋_GB2312" w:eastAsia="仿宋_GB2312"/>
                <w:sz w:val="32"/>
                <w:szCs w:val="32"/>
              </w:rPr>
              <w:t>序号</w:t>
            </w:r>
          </w:p>
        </w:tc>
        <w:tc>
          <w:tcPr>
            <w:tcW w:w="397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top"/>
          </w:tcPr>
          <w:p>
            <w:pPr>
              <w:widowControl w:val="0"/>
              <w:spacing w:line="540" w:lineRule="exact"/>
              <w:ind w:firstLine="640" w:firstLineChars="200"/>
              <w:jc w:val="center"/>
              <w:rPr>
                <w:rFonts w:hint="eastAsia" w:ascii="仿宋_GB2312" w:eastAsia="仿宋_GB2312"/>
                <w:sz w:val="32"/>
                <w:szCs w:val="32"/>
              </w:rPr>
            </w:pPr>
            <w:r>
              <w:rPr>
                <w:rFonts w:hint="eastAsia" w:ascii="仿宋_GB2312" w:eastAsia="仿宋_GB2312"/>
                <w:sz w:val="32"/>
                <w:szCs w:val="32"/>
              </w:rPr>
              <w:t>单位名称</w:t>
            </w:r>
          </w:p>
        </w:tc>
        <w:tc>
          <w:tcPr>
            <w:tcW w:w="394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top"/>
          </w:tcPr>
          <w:p>
            <w:pPr>
              <w:widowControl w:val="0"/>
              <w:spacing w:line="540" w:lineRule="exact"/>
              <w:ind w:firstLine="640" w:firstLineChars="200"/>
              <w:jc w:val="center"/>
              <w:rPr>
                <w:rFonts w:hint="eastAsia" w:ascii="仿宋_GB2312" w:eastAsia="仿宋_GB2312"/>
                <w:sz w:val="32"/>
                <w:szCs w:val="32"/>
              </w:rPr>
            </w:pPr>
            <w:r>
              <w:rPr>
                <w:rFonts w:hint="eastAsia" w:ascii="仿宋_GB2312" w:eastAsia="仿宋_GB2312"/>
                <w:sz w:val="32"/>
                <w:szCs w:val="32"/>
              </w:rPr>
              <w:t>备注</w:t>
            </w:r>
          </w:p>
        </w:tc>
      </w:tr>
      <w:tr>
        <w:tblPrEx>
          <w:tblBorders>
            <w:top w:val="outset" w:color="000000" w:sz="6" w:space="0"/>
            <w:left w:val="outset" w:color="000000" w:sz="6" w:space="0"/>
            <w:bottom w:val="outset" w:color="000000" w:sz="6" w:space="0"/>
            <w:right w:val="outset" w:color="000000" w:sz="6" w:space="0"/>
            <w:insideH w:val="outset" w:color="000000" w:sz="6" w:space="0"/>
            <w:insideV w:val="outset" w:color="000000" w:sz="6" w:space="0"/>
          </w:tblBorders>
          <w:tblLayout w:type="fixed"/>
          <w:tblCellMar>
            <w:top w:w="30" w:type="dxa"/>
            <w:left w:w="30" w:type="dxa"/>
            <w:bottom w:w="30" w:type="dxa"/>
            <w:right w:w="30" w:type="dxa"/>
          </w:tblCellMar>
        </w:tblPrEx>
        <w:trPr>
          <w:trHeight w:val="549" w:hRule="atLeast"/>
        </w:trPr>
        <w:tc>
          <w:tcPr>
            <w:tcW w:w="1018"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top"/>
          </w:tcPr>
          <w:p>
            <w:pPr>
              <w:widowControl w:val="0"/>
              <w:spacing w:line="540" w:lineRule="exact"/>
              <w:ind w:firstLine="320" w:firstLineChars="100"/>
              <w:jc w:val="both"/>
              <w:rPr>
                <w:rFonts w:hint="eastAsia" w:ascii="仿宋_GB2312" w:eastAsia="仿宋_GB2312"/>
                <w:sz w:val="32"/>
                <w:szCs w:val="32"/>
              </w:rPr>
            </w:pPr>
            <w:r>
              <w:rPr>
                <w:rFonts w:hint="eastAsia" w:ascii="仿宋_GB2312" w:eastAsia="仿宋_GB2312"/>
                <w:sz w:val="32"/>
                <w:szCs w:val="32"/>
              </w:rPr>
              <w:t>1</w:t>
            </w:r>
          </w:p>
        </w:tc>
        <w:tc>
          <w:tcPr>
            <w:tcW w:w="397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top"/>
          </w:tcPr>
          <w:p>
            <w:pPr>
              <w:widowControl w:val="0"/>
              <w:spacing w:line="540" w:lineRule="exact"/>
              <w:ind w:firstLine="640" w:firstLineChars="200"/>
              <w:jc w:val="center"/>
              <w:rPr>
                <w:rFonts w:hint="eastAsia" w:ascii="仿宋_GB2312" w:eastAsia="仿宋_GB2312"/>
                <w:sz w:val="32"/>
                <w:szCs w:val="32"/>
              </w:rPr>
            </w:pPr>
            <w:r>
              <w:rPr>
                <w:rFonts w:hint="eastAsia" w:ascii="仿宋_GB2312" w:eastAsia="仿宋_GB2312"/>
                <w:sz w:val="32"/>
                <w:szCs w:val="32"/>
              </w:rPr>
              <w:t>昌吉市花儿艺术团本级</w:t>
            </w:r>
          </w:p>
        </w:tc>
        <w:tc>
          <w:tcPr>
            <w:tcW w:w="3945" w:type="dxa"/>
            <w:tcBorders>
              <w:top w:val="outset" w:color="000000" w:sz="6" w:space="0"/>
              <w:left w:val="outset" w:color="000000" w:sz="6" w:space="0"/>
              <w:bottom w:val="outset" w:color="000000" w:sz="6" w:space="0"/>
              <w:right w:val="outset" w:color="000000" w:sz="6" w:space="0"/>
            </w:tcBorders>
            <w:shd w:val="clear" w:color="auto" w:fill="auto"/>
            <w:tcMar>
              <w:top w:w="0" w:type="dxa"/>
              <w:left w:w="0" w:type="dxa"/>
              <w:bottom w:w="0" w:type="dxa"/>
              <w:right w:w="0" w:type="dxa"/>
            </w:tcMar>
            <w:vAlign w:val="top"/>
          </w:tcPr>
          <w:p>
            <w:pPr>
              <w:widowControl w:val="0"/>
              <w:spacing w:line="540" w:lineRule="exact"/>
              <w:ind w:firstLine="640" w:firstLineChars="200"/>
              <w:jc w:val="center"/>
              <w:rPr>
                <w:rFonts w:hint="eastAsia" w:ascii="仿宋_GB2312" w:eastAsia="仿宋_GB2312"/>
                <w:sz w:val="32"/>
                <w:szCs w:val="32"/>
              </w:rPr>
            </w:pPr>
          </w:p>
        </w:tc>
      </w:tr>
    </w:tbl>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第二部分 部门决算情况说明</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（一）部门收入支出决算总体情况说明</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2018年度收入282.26万元,与上年相比，减少20.04万元，降低6.63%，减少的主要原因是：单位临聘人员减少；2018年支出304.47万元,与上年相比，增加24.21万元，增长8.64%，增加的主要原因是：上年项目结余和结转资金在当年支出完毕；结余0万元，与上年相比，减少22.21万元，降低100%。减少的主要原因是：严格执行预算无结余。</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450" w:lineRule="atLeast"/>
        <w:ind w:left="0" w:right="0" w:firstLine="420"/>
        <w:rPr>
          <w:rFonts w:hint="eastAsia" w:ascii="楷体_GB2312" w:eastAsia="楷体_GB2312" w:hAnsiTheme="minorHAnsi" w:cstheme="minorBidi"/>
          <w:b/>
          <w:bCs/>
          <w:kern w:val="2"/>
          <w:sz w:val="32"/>
          <w:szCs w:val="32"/>
          <w:lang w:val="en-US" w:eastAsia="zh-CN" w:bidi="ar-SA"/>
        </w:rPr>
      </w:pPr>
      <w:r>
        <w:rPr>
          <w:rFonts w:hint="eastAsia" w:ascii="楷体_GB2312" w:eastAsia="楷体_GB2312" w:hAnsiTheme="minorHAnsi" w:cstheme="minorBidi"/>
          <w:b/>
          <w:bCs/>
          <w:kern w:val="2"/>
          <w:sz w:val="32"/>
          <w:szCs w:val="32"/>
          <w:lang w:val="en-US" w:eastAsia="zh-CN" w:bidi="ar-SA"/>
        </w:rPr>
        <w:t>（二）部门收入总体情况说明</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450" w:lineRule="atLeast"/>
        <w:ind w:left="0" w:right="0" w:firstLine="420"/>
        <w:rPr>
          <w:rFonts w:hint="eastAsia" w:ascii="仿宋_GB2312" w:eastAsia="仿宋_GB2312" w:hAnsiTheme="minorHAnsi" w:cstheme="minorBidi"/>
          <w:kern w:val="2"/>
          <w:sz w:val="32"/>
          <w:szCs w:val="32"/>
          <w:lang w:val="en-US" w:eastAsia="zh-CN" w:bidi="ar-SA"/>
        </w:rPr>
      </w:pPr>
      <w:r>
        <w:rPr>
          <w:rFonts w:hint="eastAsia" w:ascii="仿宋_GB2312" w:eastAsia="仿宋_GB2312" w:hAnsiTheme="minorHAnsi" w:cstheme="minorBidi"/>
          <w:kern w:val="2"/>
          <w:sz w:val="32"/>
          <w:szCs w:val="32"/>
          <w:lang w:val="en-US" w:eastAsia="zh-CN" w:bidi="ar-SA"/>
        </w:rPr>
        <w:t>本年收入合计282.26万元，其中：财政拨款收入282.26万元，占100%；上级补助收入0万元，占0%；事业收入0万元，占0%；经营收入0万元，占0%；附属单位缴款0万元，占0%；其他收入0万元，占0%。</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450" w:lineRule="atLeast"/>
        <w:ind w:left="0" w:right="0" w:firstLine="420"/>
        <w:rPr>
          <w:rFonts w:hint="eastAsia" w:ascii="仿宋_GB2312" w:eastAsia="仿宋_GB2312" w:hAnsiTheme="minorHAnsi" w:cstheme="minorBidi"/>
          <w:kern w:val="2"/>
          <w:sz w:val="32"/>
          <w:szCs w:val="32"/>
          <w:lang w:val="en-US" w:eastAsia="zh-CN" w:bidi="ar-SA"/>
        </w:rPr>
      </w:pPr>
      <w:r>
        <w:rPr>
          <w:rFonts w:hint="eastAsia" w:ascii="仿宋_GB2312" w:eastAsia="仿宋_GB2312" w:hAnsiTheme="minorHAnsi" w:cstheme="minorBidi"/>
          <w:kern w:val="2"/>
          <w:sz w:val="32"/>
          <w:szCs w:val="32"/>
          <w:lang w:val="en-US" w:eastAsia="zh-CN" w:bidi="ar-SA"/>
        </w:rPr>
        <w:t>与年初预算数相比情况：本年收入年初预算数82.42万元，决算数282.26万元，预决算差异率242.47%，差异主要原因是年初预算未安排临聘人员工资项目支出。</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（三）部门支出总体情况说明</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450" w:lineRule="atLeast"/>
        <w:ind w:left="0" w:right="0" w:firstLine="420"/>
        <w:rPr>
          <w:rFonts w:hint="eastAsia" w:ascii="仿宋_GB2312" w:eastAsia="仿宋_GB2312" w:hAnsiTheme="minorHAnsi" w:cstheme="minorBidi"/>
          <w:kern w:val="2"/>
          <w:sz w:val="32"/>
          <w:szCs w:val="32"/>
          <w:lang w:val="en-US" w:eastAsia="zh-CN" w:bidi="ar-SA"/>
        </w:rPr>
      </w:pPr>
      <w:r>
        <w:rPr>
          <w:rFonts w:hint="eastAsia" w:ascii="仿宋_GB2312" w:eastAsia="仿宋_GB2312" w:hAnsiTheme="minorHAnsi" w:cstheme="minorBidi"/>
          <w:kern w:val="2"/>
          <w:sz w:val="32"/>
          <w:szCs w:val="32"/>
          <w:lang w:val="en-US" w:eastAsia="zh-CN" w:bidi="ar-SA"/>
        </w:rPr>
        <w:t>本年支出合计304.47万元，其中：基本支出292.47万元，占96.06%；项目支出12万元，占3.94%；上缴上级支出0万元，占0%；经营支出0万元，占0%；对附属单位补助支出0万元，占0%。</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450" w:lineRule="atLeast"/>
        <w:ind w:left="0" w:right="0" w:firstLine="420"/>
        <w:rPr>
          <w:rFonts w:hint="eastAsia" w:ascii="仿宋_GB2312" w:eastAsia="仿宋_GB2312" w:hAnsiTheme="minorHAnsi" w:cstheme="minorBidi"/>
          <w:kern w:val="2"/>
          <w:sz w:val="32"/>
          <w:szCs w:val="32"/>
          <w:lang w:val="en-US" w:eastAsia="zh-CN" w:bidi="ar-SA"/>
        </w:rPr>
      </w:pPr>
      <w:r>
        <w:rPr>
          <w:rFonts w:hint="eastAsia" w:ascii="仿宋_GB2312" w:eastAsia="仿宋_GB2312" w:hAnsiTheme="minorHAnsi" w:cstheme="minorBidi"/>
          <w:kern w:val="2"/>
          <w:sz w:val="32"/>
          <w:szCs w:val="32"/>
          <w:lang w:val="en-US" w:eastAsia="zh-CN" w:bidi="ar-SA"/>
        </w:rPr>
        <w:t>与年初预算数相比情况：本年支出年初预算数82.42万元，决算数304.47万元，预决算差异率269.41%，差异主要原因是年初预算未安排项目支出。</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450" w:lineRule="atLeast"/>
        <w:ind w:left="0" w:right="0" w:firstLine="420"/>
        <w:rPr>
          <w:rFonts w:hint="eastAsia" w:ascii="仿宋" w:hAnsi="仿宋" w:eastAsia="仿宋" w:cs="仿宋"/>
          <w:i w:val="0"/>
          <w:caps w:val="0"/>
          <w:color w:val="333333"/>
          <w:spacing w:val="0"/>
          <w:sz w:val="34"/>
          <w:szCs w:val="34"/>
          <w:shd w:val="clear" w:fill="FFFFFF"/>
        </w:rPr>
      </w:pPr>
      <w:r>
        <w:rPr>
          <w:rFonts w:hint="eastAsia" w:ascii="黑体" w:hAnsi="黑体" w:eastAsia="黑体" w:cstheme="minorBidi"/>
          <w:kern w:val="2"/>
          <w:sz w:val="32"/>
          <w:szCs w:val="32"/>
          <w:lang w:val="en-US" w:eastAsia="zh-CN" w:bidi="ar-SA"/>
        </w:rPr>
        <w:t>二、部门财政拨款收支情况</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450" w:lineRule="atLeast"/>
        <w:ind w:left="0" w:right="0" w:firstLine="420"/>
        <w:rPr>
          <w:rFonts w:hint="eastAsia" w:ascii="仿宋" w:hAnsi="仿宋" w:eastAsia="仿宋" w:cs="仿宋"/>
          <w:i w:val="0"/>
          <w:caps w:val="0"/>
          <w:color w:val="333333"/>
          <w:spacing w:val="0"/>
          <w:sz w:val="34"/>
          <w:szCs w:val="34"/>
          <w:shd w:val="clear" w:fill="FFFFFF"/>
        </w:rPr>
      </w:pPr>
      <w:r>
        <w:rPr>
          <w:rFonts w:hint="eastAsia" w:ascii="楷体_GB2312" w:eastAsia="楷体_GB2312" w:hAnsiTheme="minorHAnsi" w:cstheme="minorBidi"/>
          <w:b/>
          <w:bCs/>
          <w:kern w:val="2"/>
          <w:sz w:val="32"/>
          <w:szCs w:val="32"/>
          <w:lang w:val="en-US" w:eastAsia="zh-CN" w:bidi="ar-SA"/>
        </w:rPr>
        <w:t>（一）财政拨款收支总体情况说明</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450" w:lineRule="atLeast"/>
        <w:ind w:left="0" w:right="0" w:firstLine="420"/>
        <w:rPr>
          <w:rFonts w:hint="eastAsia" w:ascii="仿宋_GB2312" w:eastAsia="仿宋_GB2312" w:hAnsiTheme="minorHAnsi" w:cstheme="minorBidi"/>
          <w:kern w:val="2"/>
          <w:sz w:val="32"/>
          <w:szCs w:val="32"/>
          <w:lang w:val="en-US" w:eastAsia="zh-CN" w:bidi="ar-SA"/>
        </w:rPr>
      </w:pPr>
      <w:r>
        <w:rPr>
          <w:rFonts w:hint="eastAsia" w:ascii="仿宋_GB2312" w:eastAsia="仿宋_GB2312" w:hAnsiTheme="minorHAnsi" w:cstheme="minorBidi"/>
          <w:kern w:val="2"/>
          <w:sz w:val="32"/>
          <w:szCs w:val="32"/>
          <w:lang w:val="en-US" w:eastAsia="zh-CN" w:bidi="ar-SA"/>
        </w:rPr>
        <w:t>2018年度财政拨款收入282.26万元，与上年相比，减少20.04万元，降低6.63%。减少的主要原因是：单位临聘人员减少。2018年财政拨款支出304.47万元，与上年相比，增加24.21万元，增长8.64%，增加的主要原因是：上年项目结余和结转资金在当年支出完毕。其中：基本支出292.47万元，项目支出12万元。财政拨款结转结余0万元，与上年相比，减少22.21万元，降低100%。减少的主要原因是：严格执行预算无结余。</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450" w:lineRule="atLeast"/>
        <w:ind w:left="0" w:right="0" w:firstLine="420"/>
        <w:rPr>
          <w:rFonts w:hint="eastAsia" w:ascii="仿宋_GB2312" w:eastAsia="仿宋_GB2312" w:hAnsiTheme="minorHAnsi" w:cstheme="minorBidi"/>
          <w:kern w:val="2"/>
          <w:sz w:val="32"/>
          <w:szCs w:val="32"/>
          <w:lang w:val="en-US" w:eastAsia="zh-CN" w:bidi="ar-SA"/>
        </w:rPr>
      </w:pPr>
      <w:r>
        <w:rPr>
          <w:rFonts w:hint="eastAsia" w:ascii="仿宋_GB2312" w:eastAsia="仿宋_GB2312" w:hAnsiTheme="minorHAnsi" w:cstheme="minorBidi"/>
          <w:kern w:val="2"/>
          <w:sz w:val="32"/>
          <w:szCs w:val="32"/>
          <w:lang w:val="en-US" w:eastAsia="zh-CN" w:bidi="ar-SA"/>
        </w:rPr>
        <w:t>与年初预算数相比情况：财政拨款收入年初预算数82.42万元，决算数282.26万元，预决算差异率242.47%，差异主要原因是年初预算未安排临聘人员工资。财政拨款支出年初预算数82.42万元，决算数304.47万元，预决算差异率269.41%，差异主要原因是年初预算未安排单位临聘人员工资。</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（二）一般公共预算收支决算情况说明</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450" w:lineRule="atLeast"/>
        <w:ind w:left="0" w:right="0" w:firstLine="420"/>
        <w:rPr>
          <w:rFonts w:hint="eastAsia" w:ascii="仿宋_GB2312" w:eastAsia="仿宋_GB2312" w:hAnsiTheme="minorHAnsi" w:cstheme="minorBidi"/>
          <w:kern w:val="2"/>
          <w:sz w:val="32"/>
          <w:szCs w:val="32"/>
          <w:lang w:val="en-US" w:eastAsia="zh-CN" w:bidi="ar-SA"/>
        </w:rPr>
      </w:pPr>
      <w:r>
        <w:rPr>
          <w:rFonts w:hint="eastAsia" w:ascii="仿宋_GB2312" w:eastAsia="仿宋_GB2312" w:hAnsiTheme="minorHAnsi" w:cstheme="minorBidi"/>
          <w:kern w:val="2"/>
          <w:sz w:val="32"/>
          <w:szCs w:val="32"/>
          <w:lang w:val="en-US" w:eastAsia="zh-CN" w:bidi="ar-SA"/>
        </w:rPr>
        <w:t>2018年度一般公共预算财政拨款收入282.26万元。与上年相比，减少20.04万元，降低6.63%。减少的主要原因是：单位临聘人员减少。一般公共预算财政拨款支出304.47万元。与上年相比，增加24.21万元，增长8.64%，增加的主要原因是：上年项目结余和结转资金在当年支出完毕。其中：按功能分类科目，207（类）文化体育与传媒支出296.43万元。208（类）社会保障和就业支出8.04万元。按经济分类科目，工资福利支出224.82万元，商品和服务支出58.64万元，对个人和家庭补助支出14.74万元，其他资本性支出6.28万元。</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450" w:lineRule="atLeast"/>
        <w:ind w:left="0" w:right="0" w:firstLine="420"/>
        <w:rPr>
          <w:rFonts w:hint="eastAsia" w:ascii="仿宋_GB2312" w:eastAsia="仿宋_GB2312" w:hAnsiTheme="minorHAnsi" w:cstheme="minorBidi"/>
          <w:kern w:val="2"/>
          <w:sz w:val="32"/>
          <w:szCs w:val="32"/>
          <w:lang w:val="en-US" w:eastAsia="zh-CN" w:bidi="ar-SA"/>
        </w:rPr>
      </w:pPr>
      <w:r>
        <w:rPr>
          <w:rFonts w:hint="eastAsia" w:ascii="仿宋_GB2312" w:eastAsia="仿宋_GB2312" w:hAnsiTheme="minorHAnsi" w:cstheme="minorBidi"/>
          <w:kern w:val="2"/>
          <w:sz w:val="32"/>
          <w:szCs w:val="32"/>
          <w:lang w:val="en-US" w:eastAsia="zh-CN" w:bidi="ar-SA"/>
        </w:rPr>
        <w:t>与年初预算数相比情况：一般公共预算财政拨款收入年初预算数82.42万元，决算数282.26万元，预决算差异率242.47%，差异主要原因是年初预算未安排临聘人员工资。一般公共预算财政拨款支出年初预算数82.42万元，决算数304.47万元，预决算差异率269.41%，差异主要原因是年初预算未安排单位临聘人员工资。</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450" w:lineRule="atLeast"/>
        <w:ind w:left="0" w:right="0" w:firstLine="420"/>
        <w:rPr>
          <w:rFonts w:hint="eastAsia" w:ascii="仿宋" w:hAnsi="仿宋" w:eastAsia="仿宋" w:cs="仿宋"/>
          <w:i w:val="0"/>
          <w:caps w:val="0"/>
          <w:color w:val="333333"/>
          <w:spacing w:val="0"/>
          <w:sz w:val="34"/>
          <w:szCs w:val="34"/>
          <w:shd w:val="clear" w:fill="FFFFFF"/>
        </w:rPr>
      </w:pPr>
      <w:r>
        <w:rPr>
          <w:rFonts w:hint="eastAsia" w:ascii="楷体_GB2312" w:eastAsia="楷体_GB2312" w:hAnsiTheme="minorHAnsi" w:cstheme="minorBidi"/>
          <w:b/>
          <w:bCs/>
          <w:kern w:val="2"/>
          <w:sz w:val="32"/>
          <w:szCs w:val="32"/>
          <w:lang w:val="en-US" w:eastAsia="zh-CN" w:bidi="ar-SA"/>
        </w:rPr>
        <w:t>（三）政府性基金预算收支决算情况说明</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450" w:lineRule="atLeast"/>
        <w:ind w:left="0" w:right="0" w:firstLine="420"/>
        <w:rPr>
          <w:rFonts w:hint="eastAsia" w:ascii="仿宋_GB2312" w:eastAsia="仿宋_GB2312" w:hAnsiTheme="minorHAnsi" w:cstheme="minorBidi"/>
          <w:kern w:val="2"/>
          <w:sz w:val="32"/>
          <w:szCs w:val="32"/>
          <w:lang w:val="en-US" w:eastAsia="zh-CN" w:bidi="ar-SA"/>
        </w:rPr>
      </w:pPr>
      <w:r>
        <w:rPr>
          <w:rFonts w:hint="eastAsia" w:ascii="仿宋_GB2312" w:eastAsia="仿宋_GB2312" w:hAnsiTheme="minorHAnsi" w:cstheme="minorBidi"/>
          <w:kern w:val="2"/>
          <w:sz w:val="32"/>
          <w:szCs w:val="32"/>
          <w:lang w:val="en-US" w:eastAsia="zh-CN" w:bidi="ar-SA"/>
        </w:rPr>
        <w:t>2018年度政府性基金预算财政拨款收入0万元，与上年相比，增加（减少）0万元，增长（降低）0%。增减变化的主要原因是：无政府性基金收入。政府性基金预算财政拨款支出0万元，与上年相比，增加（减少）0万元，增长（降低）0%。增减变化的主要原因是：无政府性基金支出。其中：按功能分类科目（按类级科目公开），0支出0万元，0支出0万元。按经济分类科目（按类级科目公开），0支出0万元，0支出0万元。</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450" w:lineRule="atLeast"/>
        <w:ind w:left="0" w:right="0" w:firstLine="420"/>
        <w:rPr>
          <w:rFonts w:hint="eastAsia" w:ascii="仿宋_GB2312" w:eastAsia="仿宋_GB2312" w:hAnsiTheme="minorHAnsi" w:cstheme="minorBidi"/>
          <w:kern w:val="2"/>
          <w:sz w:val="32"/>
          <w:szCs w:val="32"/>
          <w:lang w:val="en-US" w:eastAsia="zh-CN" w:bidi="ar-SA"/>
        </w:rPr>
      </w:pPr>
      <w:r>
        <w:rPr>
          <w:rFonts w:hint="eastAsia" w:ascii="仿宋_GB2312" w:eastAsia="仿宋_GB2312" w:hAnsiTheme="minorHAnsi" w:cstheme="minorBidi"/>
          <w:kern w:val="2"/>
          <w:sz w:val="32"/>
          <w:szCs w:val="32"/>
          <w:lang w:val="en-US" w:eastAsia="zh-CN" w:bidi="ar-SA"/>
        </w:rPr>
        <w:t>与年初预算数相比情况：政府性基金预算财政拨款收入年初预算数0万元，决算数0万元，预决算差异率0%，差异主要原因：无政府性基金收入。政府性基金预算财政拨款支出年初预算数0万元，决算数0万元，预决算差异率0%，差异主要原因：无政府性基金支出。</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三、部门结转结余情况</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年末结转结余0万元。与上年相比，减少22.21万元，降低100%。</w:t>
      </w:r>
    </w:p>
    <w:p>
      <w:pPr>
        <w:spacing w:line="540" w:lineRule="exact"/>
        <w:ind w:firstLine="640" w:firstLineChars="200"/>
        <w:rPr>
          <w:rFonts w:hint="eastAsia" w:ascii="仿宋" w:hAnsi="仿宋" w:eastAsia="仿宋" w:cs="仿宋"/>
          <w:i w:val="0"/>
          <w:caps w:val="0"/>
          <w:color w:val="333333"/>
          <w:spacing w:val="0"/>
          <w:sz w:val="34"/>
          <w:szCs w:val="34"/>
          <w:shd w:val="clear" w:fill="FFFFFF"/>
        </w:rPr>
      </w:pPr>
      <w:r>
        <w:rPr>
          <w:rFonts w:hint="eastAsia" w:ascii="仿宋_GB2312" w:eastAsia="仿宋_GB2312"/>
          <w:sz w:val="32"/>
          <w:szCs w:val="32"/>
        </w:rPr>
        <w:t>其中财政拨款结转结余0万元。与上年相比，减少22.21万元，降低100%。</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四、一般公共预算“三公”经费支出情况</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450" w:lineRule="atLeast"/>
        <w:ind w:left="0" w:right="0" w:firstLine="420"/>
        <w:rPr>
          <w:rFonts w:hint="eastAsia" w:ascii="仿宋_GB2312" w:eastAsia="仿宋_GB2312" w:hAnsiTheme="minorHAnsi" w:cstheme="minorBidi"/>
          <w:kern w:val="2"/>
          <w:sz w:val="32"/>
          <w:szCs w:val="32"/>
          <w:lang w:val="en-US" w:eastAsia="zh-CN" w:bidi="ar-SA"/>
        </w:rPr>
      </w:pPr>
      <w:r>
        <w:rPr>
          <w:rFonts w:hint="eastAsia" w:ascii="仿宋_GB2312" w:eastAsia="仿宋_GB2312" w:hAnsiTheme="minorHAnsi" w:cstheme="minorBidi"/>
          <w:kern w:val="2"/>
          <w:sz w:val="32"/>
          <w:szCs w:val="32"/>
          <w:lang w:val="en-US" w:eastAsia="zh-CN" w:bidi="ar-SA"/>
        </w:rPr>
        <w:t>2018年度一般公共预算“三公”经费支出决算1.75万元，比上年减少0.45万元，降低20.45%，减少原因是单位严格按照中央八项规定和自治区的十条禁令从严控制公务用车运行经费的支出。其中，因公出国（境）费支出0万元，占0%，比上年增加0万元，增长0%，增加原因是：预算未安排出国（境）经费；公务用车购置及运行维护费支出1.75万元，占100%，比上年减少0.45万元，降低20.45%，减少原因是单位严格按照中央八项规定和自治区的十条禁令从严控制公务用车运行经费的支出；公务接待费支出0万元，占0%，比上年增加0万元，增长0%，增加原因是：预算未安排公务接待经费。具体情况如下：</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450" w:lineRule="atLeast"/>
        <w:ind w:left="0" w:right="0" w:firstLine="420"/>
        <w:rPr>
          <w:rFonts w:hint="eastAsia" w:ascii="仿宋_GB2312" w:eastAsia="仿宋_GB2312" w:hAnsiTheme="minorHAnsi" w:cstheme="minorBidi"/>
          <w:kern w:val="2"/>
          <w:sz w:val="32"/>
          <w:szCs w:val="32"/>
          <w:lang w:val="en-US" w:eastAsia="zh-CN" w:bidi="ar-SA"/>
        </w:rPr>
      </w:pPr>
      <w:r>
        <w:rPr>
          <w:rFonts w:hint="eastAsia" w:ascii="仿宋_GB2312" w:eastAsia="仿宋_GB2312" w:hAnsiTheme="minorHAnsi" w:cstheme="minorBidi"/>
          <w:kern w:val="2"/>
          <w:sz w:val="32"/>
          <w:szCs w:val="32"/>
          <w:lang w:val="en-US" w:eastAsia="zh-CN" w:bidi="ar-SA"/>
        </w:rPr>
        <w:t>因公出国（境）费支出0万元。昌吉市花儿艺术团全年使用一般公共预算财政拨款安排的出国（境）团组0个，累计0人次。开支内容包括：无。</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450" w:lineRule="atLeast"/>
        <w:ind w:left="0" w:right="0" w:firstLine="420"/>
        <w:rPr>
          <w:rFonts w:hint="eastAsia" w:ascii="仿宋_GB2312" w:eastAsia="仿宋_GB2312" w:hAnsiTheme="minorHAnsi" w:cstheme="minorBidi"/>
          <w:kern w:val="2"/>
          <w:sz w:val="32"/>
          <w:szCs w:val="32"/>
          <w:lang w:val="en-US" w:eastAsia="zh-CN" w:bidi="ar-SA"/>
        </w:rPr>
      </w:pPr>
      <w:r>
        <w:rPr>
          <w:rFonts w:hint="eastAsia" w:ascii="仿宋_GB2312" w:eastAsia="仿宋_GB2312" w:hAnsiTheme="minorHAnsi" w:cstheme="minorBidi"/>
          <w:kern w:val="2"/>
          <w:sz w:val="32"/>
          <w:szCs w:val="32"/>
          <w:lang w:val="en-US" w:eastAsia="zh-CN" w:bidi="ar-SA"/>
        </w:rPr>
        <w:t>公务用车购置及运行维护费1.75万元,其中，公务用车购置0万元，公务用车运行维护费1.75万元。主要用于单位演出车辆的加油和维修费支出。单位一般公共财政拨款安排的公务用车购置量0辆，保有量为1辆。</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450" w:lineRule="atLeast"/>
        <w:ind w:left="0" w:right="0" w:firstLine="420"/>
        <w:rPr>
          <w:rFonts w:hint="eastAsia" w:ascii="仿宋_GB2312" w:eastAsia="仿宋_GB2312" w:hAnsiTheme="minorHAnsi" w:cstheme="minorBidi"/>
          <w:kern w:val="2"/>
          <w:sz w:val="32"/>
          <w:szCs w:val="32"/>
          <w:lang w:val="en-US" w:eastAsia="zh-CN" w:bidi="ar-SA"/>
        </w:rPr>
      </w:pPr>
      <w:r>
        <w:rPr>
          <w:rFonts w:hint="eastAsia" w:ascii="仿宋_GB2312" w:eastAsia="仿宋_GB2312" w:hAnsiTheme="minorHAnsi" w:cstheme="minorBidi"/>
          <w:kern w:val="2"/>
          <w:sz w:val="32"/>
          <w:szCs w:val="32"/>
          <w:lang w:val="en-US" w:eastAsia="zh-CN" w:bidi="ar-SA"/>
        </w:rPr>
        <w:t>公务接待费0万元。具体是：国内公务接待支出0万元。昌吉市花儿艺术团国内公务接待0批次，0人次。</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450" w:lineRule="atLeast"/>
        <w:ind w:left="0" w:right="0" w:firstLine="420"/>
        <w:rPr>
          <w:rFonts w:hint="eastAsia" w:ascii="仿宋_GB2312" w:eastAsia="仿宋_GB2312" w:hAnsiTheme="minorHAnsi" w:cstheme="minorBidi"/>
          <w:kern w:val="2"/>
          <w:sz w:val="32"/>
          <w:szCs w:val="32"/>
          <w:lang w:val="en-US" w:eastAsia="zh-CN" w:bidi="ar-SA"/>
        </w:rPr>
      </w:pPr>
      <w:r>
        <w:rPr>
          <w:rFonts w:hint="eastAsia" w:ascii="仿宋_GB2312" w:eastAsia="仿宋_GB2312" w:hAnsiTheme="minorHAnsi" w:cstheme="minorBidi"/>
          <w:kern w:val="2"/>
          <w:sz w:val="32"/>
          <w:szCs w:val="32"/>
          <w:lang w:val="en-US" w:eastAsia="zh-CN" w:bidi="ar-SA"/>
        </w:rPr>
        <w:t>与年初预算数相比情况：一般公共预算“三公”经费支出年初预算数2.2万元，决算数1.75万元，预决算差异率20.45%，差异主要原因是单位严格按照中央八项规定和自治区的十条禁令从严控制公务用车运行经费的支出。其中：因公出国（境）费预算数0万元，决算数0万元，预决算差异率0%，差异主要原因：预算未安排出国（境）经费；公务用车购置预算数0万元，决算数0万元，预决算差异率0%，差异主要原因：预算未安排公务用车购置；公务用车运行费预算数2.2万元，决算数1.75万元，预决算差异率20.45%，差异主要原因是单位严格按照中央八项规定和自治区的十条禁令从严控制公务用车运行经费的支出；公务接待费预算数0万元，决算数0万元，预决算差异率0%，差异主要原因：预算未安排公务接待经费。</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五、机关运行经费支出情况</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450" w:lineRule="atLeast"/>
        <w:ind w:left="0" w:right="0" w:firstLine="420"/>
        <w:rPr>
          <w:rFonts w:hint="eastAsia" w:ascii="仿宋_GB2312" w:eastAsia="仿宋_GB2312" w:hAnsiTheme="minorHAnsi" w:cstheme="minorBidi"/>
          <w:kern w:val="2"/>
          <w:sz w:val="32"/>
          <w:szCs w:val="32"/>
          <w:lang w:val="en-US" w:eastAsia="zh-CN" w:bidi="ar-SA"/>
        </w:rPr>
      </w:pPr>
      <w:r>
        <w:rPr>
          <w:rFonts w:hint="eastAsia" w:ascii="仿宋_GB2312" w:eastAsia="仿宋_GB2312" w:hAnsiTheme="minorHAnsi" w:cstheme="minorBidi"/>
          <w:kern w:val="2"/>
          <w:sz w:val="32"/>
          <w:szCs w:val="32"/>
          <w:lang w:val="en-US" w:eastAsia="zh-CN" w:bidi="ar-SA"/>
        </w:rPr>
        <w:t>昌吉市花儿艺术团日常公用经费支出52.91万元，比上年增加23.79万元，增长81.7%，增长的主要原因是上年结余和结转的项目资金在当年全部安排支出。</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六、政府采购情况</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450" w:lineRule="atLeast"/>
        <w:ind w:left="0" w:right="0" w:firstLine="420"/>
        <w:rPr>
          <w:rFonts w:hint="eastAsia" w:ascii="仿宋_GB2312" w:eastAsia="仿宋_GB2312" w:hAnsiTheme="minorHAnsi" w:cstheme="minorBidi"/>
          <w:kern w:val="2"/>
          <w:sz w:val="32"/>
          <w:szCs w:val="32"/>
          <w:lang w:val="en-US" w:eastAsia="zh-CN" w:bidi="ar-SA"/>
        </w:rPr>
      </w:pPr>
      <w:r>
        <w:rPr>
          <w:rFonts w:hint="eastAsia" w:ascii="仿宋_GB2312" w:eastAsia="仿宋_GB2312" w:hAnsiTheme="minorHAnsi" w:cstheme="minorBidi"/>
          <w:kern w:val="2"/>
          <w:sz w:val="32"/>
          <w:szCs w:val="32"/>
          <w:lang w:val="en-US" w:eastAsia="zh-CN" w:bidi="ar-SA"/>
        </w:rPr>
        <w:t>2018年度政府采购支出总额0万元，其中：政府采购货物支出0万元、政府采购工程支出0万元、政府采购服务支出0万元。</w:t>
      </w:r>
    </w:p>
    <w:p>
      <w:pPr>
        <w:spacing w:line="540" w:lineRule="exact"/>
        <w:ind w:firstLine="640" w:firstLineChars="200"/>
        <w:rPr>
          <w:rFonts w:hint="eastAsia" w:ascii="黑体" w:hAnsi="黑体" w:eastAsia="黑体"/>
          <w:sz w:val="32"/>
          <w:szCs w:val="32"/>
        </w:rPr>
      </w:pPr>
      <w:r>
        <w:rPr>
          <w:rFonts w:hint="eastAsia" w:ascii="黑体" w:hAnsi="黑体" w:eastAsia="黑体"/>
          <w:sz w:val="32"/>
          <w:szCs w:val="32"/>
        </w:rPr>
        <w:t>七、其他重要事项的情况</w:t>
      </w:r>
    </w:p>
    <w:p>
      <w:pPr>
        <w:spacing w:line="540" w:lineRule="exact"/>
        <w:ind w:firstLine="643" w:firstLineChars="200"/>
        <w:rPr>
          <w:rFonts w:hint="eastAsia" w:ascii="楷体_GB2312" w:eastAsia="楷体_GB2312"/>
          <w:b/>
          <w:bCs/>
          <w:sz w:val="32"/>
          <w:szCs w:val="32"/>
        </w:rPr>
      </w:pPr>
      <w:r>
        <w:rPr>
          <w:rFonts w:hint="eastAsia" w:ascii="楷体_GB2312" w:eastAsia="楷体_GB2312"/>
          <w:b/>
          <w:bCs/>
          <w:sz w:val="32"/>
          <w:szCs w:val="32"/>
        </w:rPr>
        <w:t>（一）国有资产占用情况说明</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450" w:lineRule="atLeast"/>
        <w:ind w:left="0" w:right="0" w:firstLine="420"/>
        <w:rPr>
          <w:rFonts w:hint="eastAsia" w:ascii="仿宋_GB2312" w:eastAsia="仿宋_GB2312" w:hAnsiTheme="minorHAnsi" w:cstheme="minorBidi"/>
          <w:kern w:val="2"/>
          <w:sz w:val="32"/>
          <w:szCs w:val="32"/>
          <w:lang w:val="en-US" w:eastAsia="zh-CN" w:bidi="ar-SA"/>
        </w:rPr>
      </w:pPr>
      <w:r>
        <w:rPr>
          <w:rFonts w:hint="eastAsia" w:ascii="仿宋_GB2312" w:eastAsia="仿宋_GB2312" w:hAnsiTheme="minorHAnsi" w:cstheme="minorBidi"/>
          <w:kern w:val="2"/>
          <w:sz w:val="32"/>
          <w:szCs w:val="32"/>
          <w:lang w:val="en-US" w:eastAsia="zh-CN" w:bidi="ar-SA"/>
        </w:rPr>
        <w:t>截至2018年12月31日，单位共有车辆1辆，价值33.5万元，其中：部级领导干部用车0辆、主要领导干部用车0辆、机要通信用车0辆、应急保障用车0辆、执法执勤用车0辆、特种专业技术用车0辆、离退休干部用车0辆、其他用车1辆，其他用车主要是：单位演出所用车辆；单位价值50万元以上通用设备0台（套）、单位价值100万元以上专用设备0台（套），其他固定资产价值70.66万元。</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450" w:lineRule="atLeast"/>
        <w:ind w:left="0" w:right="0" w:firstLine="420"/>
        <w:rPr>
          <w:rFonts w:hint="eastAsia" w:ascii="楷体_GB2312" w:eastAsia="楷体_GB2312" w:hAnsiTheme="minorHAnsi" w:cstheme="minorBidi"/>
          <w:b/>
          <w:bCs/>
          <w:kern w:val="2"/>
          <w:sz w:val="32"/>
          <w:szCs w:val="32"/>
          <w:lang w:val="en-US" w:eastAsia="zh-CN" w:bidi="ar-SA"/>
        </w:rPr>
      </w:pPr>
      <w:r>
        <w:rPr>
          <w:rFonts w:hint="eastAsia" w:ascii="楷体_GB2312" w:eastAsia="楷体_GB2312" w:hAnsiTheme="minorHAnsi" w:cstheme="minorBidi"/>
          <w:b/>
          <w:bCs/>
          <w:kern w:val="2"/>
          <w:sz w:val="32"/>
          <w:szCs w:val="32"/>
          <w:lang w:val="en-US" w:eastAsia="zh-CN" w:bidi="ar-SA"/>
        </w:rPr>
        <w:t>（二）预算绩效情况的说明</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450" w:lineRule="atLeast"/>
        <w:ind w:left="0" w:right="0" w:firstLine="420"/>
        <w:rPr>
          <w:rFonts w:hint="eastAsia" w:ascii="仿宋_GB2312" w:eastAsia="仿宋_GB2312" w:hAnsiTheme="minorHAnsi" w:cstheme="minorBidi"/>
          <w:kern w:val="2"/>
          <w:sz w:val="32"/>
          <w:szCs w:val="32"/>
          <w:lang w:val="en-US" w:eastAsia="zh-CN" w:bidi="ar-SA"/>
        </w:rPr>
      </w:pPr>
      <w:r>
        <w:rPr>
          <w:rFonts w:hint="eastAsia" w:ascii="仿宋_GB2312" w:eastAsia="仿宋_GB2312" w:hAnsiTheme="minorHAnsi" w:cstheme="minorBidi"/>
          <w:kern w:val="2"/>
          <w:sz w:val="32"/>
          <w:szCs w:val="32"/>
          <w:lang w:val="en-US" w:eastAsia="zh-CN" w:bidi="ar-SA"/>
        </w:rPr>
        <w:t>2018年度，本部门单位预算绩效自评情况：预算绩效项目共有1个，2017年结转的单位文艺院团演出补助专项经费12万元。</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450" w:lineRule="atLeast"/>
        <w:ind w:left="0" w:right="0" w:firstLine="420"/>
        <w:rPr>
          <w:rFonts w:hint="eastAsia" w:ascii="仿宋_GB2312" w:eastAsia="仿宋_GB2312" w:hAnsiTheme="minorHAnsi" w:cstheme="minorBidi"/>
          <w:kern w:val="2"/>
          <w:sz w:val="32"/>
          <w:szCs w:val="32"/>
          <w:lang w:val="en-US" w:eastAsia="zh-CN" w:bidi="ar-SA"/>
        </w:rPr>
      </w:pPr>
      <w:r>
        <w:rPr>
          <w:rFonts w:hint="eastAsia" w:ascii="仿宋_GB2312" w:eastAsia="仿宋_GB2312" w:hAnsiTheme="minorHAnsi" w:cstheme="minorBidi"/>
          <w:kern w:val="2"/>
          <w:sz w:val="32"/>
          <w:szCs w:val="32"/>
          <w:lang w:val="en-US" w:eastAsia="zh-CN" w:bidi="ar-SA"/>
        </w:rPr>
        <w:t>文艺院团演出补助专项经费项目绩效自评综述：根据年初设定的绩效目标和昌吉市财政的拨款，文艺院团演出补助专项经费项目绩效自评得分为100分。项目全年预算数为12万元，执行数为12万元，完成预算的100%。</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450" w:lineRule="atLeast"/>
        <w:ind w:left="0" w:right="0" w:firstLine="420"/>
        <w:rPr>
          <w:rFonts w:hint="eastAsia" w:ascii="仿宋_GB2312" w:eastAsia="仿宋_GB2312" w:hAnsiTheme="minorHAnsi" w:cstheme="minorBidi"/>
          <w:kern w:val="2"/>
          <w:sz w:val="32"/>
          <w:szCs w:val="32"/>
          <w:lang w:val="en-US" w:eastAsia="zh-CN" w:bidi="ar-SA"/>
        </w:rPr>
      </w:pPr>
      <w:r>
        <w:rPr>
          <w:rFonts w:hint="eastAsia" w:ascii="仿宋_GB2312" w:eastAsia="仿宋_GB2312" w:hAnsiTheme="minorHAnsi" w:cstheme="minorBidi"/>
          <w:kern w:val="2"/>
          <w:sz w:val="32"/>
          <w:szCs w:val="32"/>
          <w:lang w:val="en-US" w:eastAsia="zh-CN" w:bidi="ar-SA"/>
        </w:rPr>
        <w:t>主要产出和效果：</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450" w:lineRule="atLeast"/>
        <w:ind w:left="0" w:right="0" w:firstLine="420"/>
        <w:rPr>
          <w:rFonts w:hint="eastAsia" w:ascii="仿宋_GB2312" w:eastAsia="仿宋_GB2312" w:hAnsiTheme="minorHAnsi" w:cstheme="minorBidi"/>
          <w:kern w:val="2"/>
          <w:sz w:val="32"/>
          <w:szCs w:val="32"/>
          <w:lang w:val="en-US" w:eastAsia="zh-CN" w:bidi="ar-SA"/>
        </w:rPr>
      </w:pPr>
      <w:r>
        <w:rPr>
          <w:rFonts w:hint="eastAsia" w:ascii="仿宋_GB2312" w:eastAsia="仿宋_GB2312" w:hAnsiTheme="minorHAnsi" w:cstheme="minorBidi"/>
          <w:kern w:val="2"/>
          <w:sz w:val="32"/>
          <w:szCs w:val="32"/>
          <w:lang w:val="en-US" w:eastAsia="zh-CN" w:bidi="ar-SA"/>
        </w:rPr>
        <w:t>一、该项目能按照投资计划，制定管理制度，对项目资金按项目单独核算实行“专款专用、专人管理”，没有挤占挪用项目资金。财政划拨政府购买文艺院团演出补助专项经费至昌吉市花儿艺术团，具体使用用于政府购买演出项目。</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450" w:lineRule="atLeast"/>
        <w:ind w:left="0" w:right="0" w:firstLine="420"/>
        <w:rPr>
          <w:rFonts w:hint="eastAsia" w:ascii="仿宋_GB2312" w:eastAsia="仿宋_GB2312" w:hAnsiTheme="minorHAnsi" w:cstheme="minorBidi"/>
          <w:kern w:val="2"/>
          <w:sz w:val="32"/>
          <w:szCs w:val="32"/>
          <w:lang w:val="en-US" w:eastAsia="zh-CN" w:bidi="ar-SA"/>
        </w:rPr>
      </w:pPr>
      <w:r>
        <w:rPr>
          <w:rFonts w:hint="eastAsia" w:ascii="仿宋_GB2312" w:eastAsia="仿宋_GB2312" w:hAnsiTheme="minorHAnsi" w:cstheme="minorBidi"/>
          <w:kern w:val="2"/>
          <w:sz w:val="32"/>
          <w:szCs w:val="32"/>
          <w:lang w:val="en-US" w:eastAsia="zh-CN" w:bidi="ar-SA"/>
        </w:rPr>
        <w:t>二、昌吉市花儿艺术团充分发挥文艺演出工作职能，利用下基层文艺活动开展丰富多彩优秀文艺作品引领先进文化。围绕落实党的各项方针政策，突出先进文化引领，坚持文艺服务人民，2018年我团坚定艺术团发展理念、精密围绕在市委市政府市文广局的领导下，丰富各族群众的文化生活，把红色附有正能量的、符合时代主旋律的文艺精品呈现给广大人民群众，全年共开展公益演出150余场次,全年创编新的文艺作品10部，专项政府购买演出资金用于下基层演出设备更新及演出用服装租赁定制。</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450" w:lineRule="atLeast"/>
        <w:ind w:left="0" w:right="0" w:firstLine="420"/>
        <w:rPr>
          <w:rFonts w:hint="eastAsia" w:ascii="仿宋_GB2312" w:eastAsia="仿宋_GB2312" w:hAnsiTheme="minorHAnsi" w:cstheme="minorBidi"/>
          <w:kern w:val="2"/>
          <w:sz w:val="32"/>
          <w:szCs w:val="32"/>
          <w:lang w:val="en-US" w:eastAsia="zh-CN" w:bidi="ar-SA"/>
        </w:rPr>
      </w:pPr>
      <w:r>
        <w:rPr>
          <w:rFonts w:hint="eastAsia" w:ascii="仿宋_GB2312" w:eastAsia="仿宋_GB2312" w:hAnsiTheme="minorHAnsi" w:cstheme="minorBidi"/>
          <w:kern w:val="2"/>
          <w:sz w:val="32"/>
          <w:szCs w:val="32"/>
          <w:lang w:val="en-US" w:eastAsia="zh-CN" w:bidi="ar-SA"/>
        </w:rPr>
        <w:t>发现的问题及原因：由于我团业务演出工作量多，每年超额完成演出任务，希望给予更多的资金保证。进一步加强政府购买演出资金管理，利用百场文化下基层演出更好的服务于广大人民群众的精神文化生活。</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450" w:lineRule="atLeast"/>
        <w:ind w:left="0" w:right="0" w:firstLine="420"/>
        <w:rPr>
          <w:rFonts w:hint="eastAsia" w:ascii="仿宋_GB2312" w:eastAsia="仿宋_GB2312" w:hAnsiTheme="minorHAnsi" w:cstheme="minorBidi"/>
          <w:kern w:val="2"/>
          <w:sz w:val="32"/>
          <w:szCs w:val="32"/>
          <w:lang w:val="en-US" w:eastAsia="zh-CN" w:bidi="ar-SA"/>
        </w:rPr>
      </w:pPr>
      <w:r>
        <w:rPr>
          <w:rFonts w:hint="eastAsia" w:ascii="仿宋_GB2312" w:eastAsia="仿宋_GB2312" w:hAnsiTheme="minorHAnsi" w:cstheme="minorBidi"/>
          <w:kern w:val="2"/>
          <w:sz w:val="32"/>
          <w:szCs w:val="32"/>
          <w:lang w:val="en-US" w:eastAsia="zh-CN" w:bidi="ar-SA"/>
        </w:rPr>
        <w:t>下一步改进措施:今后将不断完善相关管理制度，拓宽文艺演出活动类别及演出范围，同时更加积极的开展新的文艺创编工作，来满足昌吉市广大群众的精神文化需求。进一步做实做细各类演出费用的具体花费，节省成本，优化资源，提高效率，不断健康、稳定的推动本单位的各项工作。</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450" w:lineRule="atLeast"/>
        <w:ind w:left="0" w:right="0" w:firstLine="420"/>
        <w:rPr>
          <w:rFonts w:hint="eastAsia" w:ascii="仿宋_GB2312" w:eastAsia="仿宋_GB2312" w:hAnsiTheme="minorHAnsi" w:cstheme="minorBidi"/>
          <w:kern w:val="2"/>
          <w:sz w:val="32"/>
          <w:szCs w:val="32"/>
          <w:lang w:val="en-US" w:eastAsia="zh-CN" w:bidi="ar-SA"/>
        </w:rPr>
      </w:pPr>
      <w:r>
        <w:rPr>
          <w:rFonts w:hint="eastAsia" w:ascii="仿宋_GB2312" w:eastAsia="仿宋_GB2312" w:hAnsiTheme="minorHAnsi" w:cstheme="minorBidi"/>
          <w:kern w:val="2"/>
          <w:sz w:val="32"/>
          <w:szCs w:val="32"/>
          <w:lang w:val="en-US" w:eastAsia="zh-CN" w:bidi="ar-SA"/>
        </w:rPr>
        <w:t>文艺院团演出补助专项经费项目管理上单位能够强化主体责任。项目资金使用领导牵头，集体开会研究制定实施，保证每个环节、每个细节都有人员负责、执行。严格按照相关法律法规开展项目的实施。演出用音响设备电脑设备购买及各类演出的服装租赁订做费用都严格按照相关要求审批后支付。</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450" w:lineRule="atLeast"/>
        <w:ind w:left="0" w:right="0" w:firstLine="420"/>
        <w:rPr>
          <w:rFonts w:hint="eastAsia" w:ascii="仿宋_GB2312" w:eastAsia="仿宋_GB2312" w:hAnsiTheme="minorHAnsi" w:cstheme="minorBidi"/>
          <w:kern w:val="2"/>
          <w:sz w:val="32"/>
          <w:szCs w:val="32"/>
          <w:lang w:val="en-US" w:eastAsia="zh-CN" w:bidi="ar-SA"/>
        </w:rPr>
      </w:pPr>
      <w:r>
        <w:rPr>
          <w:rFonts w:hint="eastAsia" w:ascii="仿宋_GB2312" w:eastAsia="仿宋_GB2312" w:hAnsiTheme="minorHAnsi" w:cstheme="minorBidi"/>
          <w:kern w:val="2"/>
          <w:sz w:val="32"/>
          <w:szCs w:val="32"/>
          <w:lang w:val="en-US" w:eastAsia="zh-CN" w:bidi="ar-SA"/>
        </w:rPr>
        <w:t>建立责任分解，落实到人的工作机制。每次活动对项目进度、资金落实情况及各类突发问题及时跟踪、汇报以及下达解决。</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450" w:lineRule="atLeast"/>
        <w:ind w:left="0" w:right="0" w:firstLine="420"/>
        <w:rPr>
          <w:rFonts w:hint="eastAsia" w:ascii="仿宋_GB2312" w:eastAsia="仿宋_GB2312" w:hAnsiTheme="minorHAnsi" w:cstheme="minorBidi"/>
          <w:kern w:val="2"/>
          <w:sz w:val="32"/>
          <w:szCs w:val="32"/>
          <w:lang w:val="en-US" w:eastAsia="zh-CN" w:bidi="ar-SA"/>
        </w:rPr>
      </w:pPr>
      <w:r>
        <w:rPr>
          <w:rFonts w:hint="eastAsia" w:ascii="仿宋_GB2312" w:eastAsia="仿宋_GB2312" w:hAnsiTheme="minorHAnsi" w:cstheme="minorBidi"/>
          <w:kern w:val="2"/>
          <w:sz w:val="32"/>
          <w:szCs w:val="32"/>
          <w:lang w:val="en-US" w:eastAsia="zh-CN" w:bidi="ar-SA"/>
        </w:rPr>
        <w:t>建立完善的项目财务资金管理制度，做到专款专用。每一笔费用的结算，财务室严格把关，仔细审查演出用音响设备电脑设备购买及各类演出的服装租赁订做费用相关合同、发票、做到账目清晰，合法合规符合事实。</w:t>
      </w:r>
    </w:p>
    <w:tbl>
      <w:tblPr>
        <w:tblStyle w:val="7"/>
        <w:tblW w:w="9020" w:type="dxa"/>
        <w:tblInd w:w="93" w:type="dxa"/>
        <w:tblLayout w:type="fixed"/>
        <w:tblCellMar>
          <w:top w:w="0" w:type="dxa"/>
          <w:left w:w="108" w:type="dxa"/>
          <w:bottom w:w="0" w:type="dxa"/>
          <w:right w:w="108" w:type="dxa"/>
        </w:tblCellMar>
      </w:tblPr>
      <w:tblGrid>
        <w:gridCol w:w="720"/>
        <w:gridCol w:w="1140"/>
        <w:gridCol w:w="1360"/>
        <w:gridCol w:w="1080"/>
        <w:gridCol w:w="880"/>
        <w:gridCol w:w="2060"/>
        <w:gridCol w:w="1780"/>
      </w:tblGrid>
      <w:tr>
        <w:tblPrEx>
          <w:tblLayout w:type="fixed"/>
          <w:tblCellMar>
            <w:top w:w="0" w:type="dxa"/>
            <w:left w:w="108" w:type="dxa"/>
            <w:bottom w:w="0" w:type="dxa"/>
            <w:right w:w="108" w:type="dxa"/>
          </w:tblCellMar>
        </w:tblPrEx>
        <w:trPr>
          <w:trHeight w:val="40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b/>
                <w:bCs/>
                <w:kern w:val="0"/>
                <w:sz w:val="32"/>
                <w:szCs w:val="32"/>
              </w:rPr>
            </w:pPr>
            <w:r>
              <w:rPr>
                <w:rFonts w:hint="eastAsia" w:ascii="宋体" w:hAnsi="宋体" w:cs="宋体"/>
                <w:b/>
                <w:bCs/>
                <w:kern w:val="0"/>
                <w:sz w:val="32"/>
                <w:szCs w:val="32"/>
              </w:rPr>
              <w:t>昌吉市花儿艺术团项目支出绩效自评表</w:t>
            </w:r>
          </w:p>
        </w:tc>
      </w:tr>
      <w:tr>
        <w:tblPrEx>
          <w:tblLayout w:type="fixed"/>
          <w:tblCellMar>
            <w:top w:w="0" w:type="dxa"/>
            <w:left w:w="108" w:type="dxa"/>
            <w:bottom w:w="0" w:type="dxa"/>
            <w:right w:w="108" w:type="dxa"/>
          </w:tblCellMar>
        </w:tblPrEx>
        <w:trPr>
          <w:trHeight w:val="285" w:hRule="atLeast"/>
        </w:trPr>
        <w:tc>
          <w:tcPr>
            <w:tcW w:w="9020" w:type="dxa"/>
            <w:gridSpan w:val="7"/>
            <w:tcBorders>
              <w:top w:val="nil"/>
              <w:left w:val="nil"/>
              <w:bottom w:val="nil"/>
              <w:right w:val="nil"/>
            </w:tcBorders>
            <w:shd w:val="clear" w:color="auto" w:fill="auto"/>
            <w:vAlign w:val="center"/>
          </w:tcPr>
          <w:p>
            <w:pPr>
              <w:widowControl/>
              <w:jc w:val="center"/>
              <w:rPr>
                <w:rFonts w:ascii="宋体" w:hAnsi="宋体" w:cs="宋体"/>
                <w:kern w:val="0"/>
                <w:sz w:val="24"/>
              </w:rPr>
            </w:pPr>
            <w:r>
              <w:rPr>
                <w:rFonts w:hint="eastAsia" w:ascii="宋体" w:hAnsi="宋体" w:cs="宋体"/>
                <w:kern w:val="0"/>
                <w:sz w:val="24"/>
              </w:rPr>
              <w:t>（</w:t>
            </w:r>
            <w:r>
              <w:rPr>
                <w:rFonts w:hint="eastAsia"/>
                <w:kern w:val="0"/>
                <w:sz w:val="24"/>
              </w:rPr>
              <w:t>2018</w:t>
            </w:r>
            <w:r>
              <w:rPr>
                <w:rFonts w:hint="eastAsia" w:ascii="宋体" w:hAnsi="宋体" w:cs="宋体"/>
                <w:kern w:val="0"/>
                <w:sz w:val="24"/>
              </w:rPr>
              <w:t>年度）</w:t>
            </w:r>
          </w:p>
        </w:tc>
      </w:tr>
      <w:tr>
        <w:tblPrEx>
          <w:tblLayout w:type="fixed"/>
          <w:tblCellMar>
            <w:top w:w="0" w:type="dxa"/>
            <w:left w:w="108" w:type="dxa"/>
            <w:bottom w:w="0" w:type="dxa"/>
            <w:right w:w="108" w:type="dxa"/>
          </w:tblCellMar>
        </w:tblPrEx>
        <w:trPr>
          <w:trHeight w:val="285" w:hRule="atLeast"/>
        </w:trPr>
        <w:tc>
          <w:tcPr>
            <w:tcW w:w="72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14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3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0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8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206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c>
          <w:tcPr>
            <w:tcW w:w="1780" w:type="dxa"/>
            <w:tcBorders>
              <w:top w:val="nil"/>
              <w:left w:val="nil"/>
              <w:bottom w:val="nil"/>
              <w:right w:val="nil"/>
            </w:tcBorders>
            <w:shd w:val="clear" w:color="auto" w:fill="auto"/>
            <w:vAlign w:val="center"/>
          </w:tcPr>
          <w:p>
            <w:pPr>
              <w:widowControl/>
              <w:jc w:val="center"/>
              <w:rPr>
                <w:rFonts w:ascii="宋体" w:hAnsi="宋体" w:cs="宋体"/>
                <w:kern w:val="0"/>
                <w:sz w:val="24"/>
              </w:rPr>
            </w:pPr>
          </w:p>
        </w:tc>
      </w:tr>
      <w:tr>
        <w:tblPrEx>
          <w:tblLayout w:type="fixed"/>
          <w:tblCellMar>
            <w:top w:w="0" w:type="dxa"/>
            <w:left w:w="108" w:type="dxa"/>
            <w:bottom w:w="0" w:type="dxa"/>
            <w:right w:w="108" w:type="dxa"/>
          </w:tblCellMar>
        </w:tblPrEx>
        <w:trPr>
          <w:trHeight w:val="420"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项目名称</w:t>
            </w:r>
          </w:p>
        </w:tc>
        <w:tc>
          <w:tcPr>
            <w:tcW w:w="580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政府购买演出项目资金　</w:t>
            </w:r>
          </w:p>
        </w:tc>
      </w:tr>
      <w:tr>
        <w:tblPrEx>
          <w:tblLayout w:type="fixed"/>
          <w:tblCellMar>
            <w:top w:w="0" w:type="dxa"/>
            <w:left w:w="108" w:type="dxa"/>
            <w:bottom w:w="0" w:type="dxa"/>
            <w:right w:w="108" w:type="dxa"/>
          </w:tblCellMar>
        </w:tblPrEx>
        <w:trPr>
          <w:trHeight w:val="435" w:hRule="atLeast"/>
        </w:trPr>
        <w:tc>
          <w:tcPr>
            <w:tcW w:w="3220"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预算单位</w:t>
            </w:r>
          </w:p>
        </w:tc>
        <w:tc>
          <w:tcPr>
            <w:tcW w:w="5800" w:type="dxa"/>
            <w:gridSpan w:val="4"/>
            <w:tcBorders>
              <w:top w:val="single" w:color="auto" w:sz="4" w:space="0"/>
              <w:left w:val="nil"/>
              <w:bottom w:val="single" w:color="auto" w:sz="4" w:space="0"/>
              <w:right w:val="single" w:color="000000" w:sz="4" w:space="0"/>
            </w:tcBorders>
            <w:shd w:val="clear" w:color="auto" w:fill="auto"/>
            <w:vAlign w:val="center"/>
          </w:tcPr>
          <w:p>
            <w:pPr>
              <w:widowControl/>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昌吉市花儿艺术团　</w:t>
            </w:r>
          </w:p>
        </w:tc>
      </w:tr>
      <w:tr>
        <w:tblPrEx>
          <w:tblLayout w:type="fixed"/>
          <w:tblCellMar>
            <w:top w:w="0" w:type="dxa"/>
            <w:left w:w="108" w:type="dxa"/>
            <w:bottom w:w="0" w:type="dxa"/>
            <w:right w:w="108" w:type="dxa"/>
          </w:tblCellMar>
        </w:tblPrEx>
        <w:trPr>
          <w:trHeight w:val="465"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预算</w:t>
            </w:r>
            <w:r>
              <w:rPr>
                <w:rFonts w:hint="eastAsia" w:cs="宋体" w:asciiTheme="minorEastAsia" w:hAnsiTheme="minorEastAsia" w:eastAsiaTheme="minorEastAsia"/>
                <w:kern w:val="0"/>
                <w:sz w:val="20"/>
                <w:szCs w:val="20"/>
              </w:rPr>
              <w:br w:type="textWrapping"/>
            </w:r>
            <w:r>
              <w:rPr>
                <w:rFonts w:hint="eastAsia" w:cs="宋体" w:asciiTheme="minorEastAsia" w:hAnsiTheme="minorEastAsia" w:eastAsiaTheme="minorEastAsia"/>
                <w:kern w:val="0"/>
                <w:sz w:val="20"/>
                <w:szCs w:val="20"/>
              </w:rPr>
              <w:t>执行</w:t>
            </w:r>
            <w:r>
              <w:rPr>
                <w:rFonts w:hint="eastAsia" w:cs="宋体" w:asciiTheme="minorEastAsia" w:hAnsiTheme="minorEastAsia" w:eastAsiaTheme="minorEastAsia"/>
                <w:kern w:val="0"/>
                <w:sz w:val="20"/>
                <w:szCs w:val="20"/>
              </w:rPr>
              <w:br w:type="textWrapping"/>
            </w:r>
            <w:r>
              <w:rPr>
                <w:rFonts w:hint="eastAsia" w:cs="宋体" w:asciiTheme="minorEastAsia" w:hAnsiTheme="minorEastAsia" w:eastAsiaTheme="minorEastAsia"/>
                <w:kern w:val="0"/>
                <w:sz w:val="20"/>
                <w:szCs w:val="20"/>
              </w:rPr>
              <w:t>情况</w:t>
            </w:r>
            <w:r>
              <w:rPr>
                <w:rFonts w:hint="eastAsia" w:cs="宋体" w:asciiTheme="minorEastAsia" w:hAnsiTheme="minorEastAsia" w:eastAsiaTheme="minorEastAsia"/>
                <w:kern w:val="0"/>
                <w:sz w:val="20"/>
                <w:szCs w:val="20"/>
              </w:rPr>
              <w:br w:type="textWrapping"/>
            </w:r>
            <w:r>
              <w:rPr>
                <w:rFonts w:hint="eastAsia" w:cs="宋体" w:asciiTheme="minorEastAsia" w:hAnsiTheme="minorEastAsia" w:eastAsiaTheme="minorEastAsia"/>
                <w:kern w:val="0"/>
                <w:sz w:val="20"/>
                <w:szCs w:val="20"/>
              </w:rPr>
              <w:t>（万元）</w:t>
            </w: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 xml:space="preserve"> 预算数：</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12　</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 xml:space="preserve"> 执行数：</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12　</w:t>
            </w:r>
          </w:p>
        </w:tc>
      </w:tr>
      <w:tr>
        <w:tblPrEx>
          <w:tblLayout w:type="fixed"/>
          <w:tblCellMar>
            <w:top w:w="0" w:type="dxa"/>
            <w:left w:w="108" w:type="dxa"/>
            <w:bottom w:w="0" w:type="dxa"/>
            <w:right w:w="108" w:type="dxa"/>
          </w:tblCellMar>
        </w:tblPrEx>
        <w:trPr>
          <w:trHeight w:val="509"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eastAsiaTheme="minorEastAsia"/>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其中：财政拨款</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　12</w:t>
            </w:r>
          </w:p>
        </w:tc>
        <w:tc>
          <w:tcPr>
            <w:tcW w:w="2060" w:type="dxa"/>
            <w:tcBorders>
              <w:top w:val="nil"/>
              <w:left w:val="nil"/>
              <w:bottom w:val="nil"/>
              <w:right w:val="single" w:color="auto" w:sz="4" w:space="0"/>
            </w:tcBorders>
            <w:shd w:val="clear" w:color="auto" w:fill="auto"/>
            <w:vAlign w:val="center"/>
          </w:tcPr>
          <w:p>
            <w:pPr>
              <w:widowControl/>
              <w:jc w:val="right"/>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其中：财政拨款</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12　</w:t>
            </w:r>
          </w:p>
        </w:tc>
      </w:tr>
      <w:tr>
        <w:tblPrEx>
          <w:tblLayout w:type="fixed"/>
          <w:tblCellMar>
            <w:top w:w="0" w:type="dxa"/>
            <w:left w:w="108" w:type="dxa"/>
            <w:bottom w:w="0" w:type="dxa"/>
            <w:right w:w="108" w:type="dxa"/>
          </w:tblCellMar>
        </w:tblPrEx>
        <w:trPr>
          <w:trHeight w:val="433"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eastAsiaTheme="minorEastAsia"/>
                <w:kern w:val="0"/>
                <w:sz w:val="20"/>
                <w:szCs w:val="20"/>
              </w:rPr>
            </w:pPr>
          </w:p>
        </w:tc>
        <w:tc>
          <w:tcPr>
            <w:tcW w:w="2500" w:type="dxa"/>
            <w:gridSpan w:val="2"/>
            <w:tcBorders>
              <w:top w:val="single" w:color="auto" w:sz="4" w:space="0"/>
              <w:left w:val="nil"/>
              <w:bottom w:val="single" w:color="auto" w:sz="4" w:space="0"/>
              <w:right w:val="single" w:color="auto" w:sz="4" w:space="0"/>
            </w:tcBorders>
            <w:shd w:val="clear" w:color="auto" w:fill="auto"/>
            <w:vAlign w:val="center"/>
          </w:tcPr>
          <w:p>
            <w:pPr>
              <w:widowControl/>
              <w:jc w:val="right"/>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其他资金</w:t>
            </w:r>
          </w:p>
        </w:tc>
        <w:tc>
          <w:tcPr>
            <w:tcW w:w="1960" w:type="dxa"/>
            <w:gridSpan w:val="2"/>
            <w:tcBorders>
              <w:top w:val="single" w:color="auto" w:sz="4" w:space="0"/>
              <w:left w:val="nil"/>
              <w:bottom w:val="single" w:color="auto" w:sz="4" w:space="0"/>
              <w:right w:val="single" w:color="000000" w:sz="4" w:space="0"/>
            </w:tcBorders>
            <w:shd w:val="clear" w:color="auto" w:fill="auto"/>
            <w:vAlign w:val="center"/>
          </w:tcPr>
          <w:p>
            <w:pPr>
              <w:widowControl/>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　</w:t>
            </w:r>
          </w:p>
        </w:tc>
        <w:tc>
          <w:tcPr>
            <w:tcW w:w="2060" w:type="dxa"/>
            <w:tcBorders>
              <w:top w:val="single" w:color="auto" w:sz="4" w:space="0"/>
              <w:left w:val="nil"/>
              <w:bottom w:val="nil"/>
              <w:right w:val="single" w:color="auto" w:sz="4" w:space="0"/>
            </w:tcBorders>
            <w:shd w:val="clear" w:color="auto" w:fill="auto"/>
            <w:vAlign w:val="center"/>
          </w:tcPr>
          <w:p>
            <w:pPr>
              <w:widowControl/>
              <w:jc w:val="right"/>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其他资金</w:t>
            </w:r>
          </w:p>
        </w:tc>
        <w:tc>
          <w:tcPr>
            <w:tcW w:w="1780" w:type="dxa"/>
            <w:tcBorders>
              <w:top w:val="nil"/>
              <w:left w:val="nil"/>
              <w:bottom w:val="single" w:color="auto" w:sz="4" w:space="0"/>
              <w:right w:val="single" w:color="auto" w:sz="4" w:space="0"/>
            </w:tcBorders>
            <w:shd w:val="clear" w:color="auto" w:fill="auto"/>
            <w:vAlign w:val="center"/>
          </w:tcPr>
          <w:p>
            <w:pPr>
              <w:widowControl/>
              <w:jc w:val="right"/>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　</w:t>
            </w:r>
          </w:p>
        </w:tc>
      </w:tr>
      <w:tr>
        <w:tblPrEx>
          <w:tblLayout w:type="fixed"/>
          <w:tblCellMar>
            <w:top w:w="0" w:type="dxa"/>
            <w:left w:w="108" w:type="dxa"/>
            <w:bottom w:w="0" w:type="dxa"/>
            <w:right w:w="108" w:type="dxa"/>
          </w:tblCellMar>
        </w:tblPrEx>
        <w:trPr>
          <w:trHeight w:val="450" w:hRule="atLeast"/>
        </w:trPr>
        <w:tc>
          <w:tcPr>
            <w:tcW w:w="720"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年度</w:t>
            </w:r>
            <w:r>
              <w:rPr>
                <w:rFonts w:hint="eastAsia" w:cs="宋体" w:asciiTheme="minorEastAsia" w:hAnsiTheme="minorEastAsia" w:eastAsiaTheme="minorEastAsia"/>
                <w:kern w:val="0"/>
                <w:sz w:val="20"/>
                <w:szCs w:val="20"/>
              </w:rPr>
              <w:br w:type="textWrapping"/>
            </w:r>
            <w:r>
              <w:rPr>
                <w:rFonts w:hint="eastAsia" w:cs="宋体" w:asciiTheme="minorEastAsia" w:hAnsiTheme="minorEastAsia" w:eastAsiaTheme="minorEastAsia"/>
                <w:kern w:val="0"/>
                <w:sz w:val="20"/>
                <w:szCs w:val="20"/>
              </w:rPr>
              <w:t>目标</w:t>
            </w:r>
            <w:r>
              <w:rPr>
                <w:rFonts w:hint="eastAsia" w:cs="宋体" w:asciiTheme="minorEastAsia" w:hAnsiTheme="minorEastAsia" w:eastAsiaTheme="minorEastAsia"/>
                <w:kern w:val="0"/>
                <w:sz w:val="20"/>
                <w:szCs w:val="20"/>
              </w:rPr>
              <w:br w:type="textWrapping"/>
            </w:r>
            <w:r>
              <w:rPr>
                <w:rFonts w:hint="eastAsia" w:cs="宋体" w:asciiTheme="minorEastAsia" w:hAnsiTheme="minorEastAsia" w:eastAsiaTheme="minorEastAsia"/>
                <w:kern w:val="0"/>
                <w:sz w:val="20"/>
                <w:szCs w:val="20"/>
              </w:rPr>
              <w:t>完成</w:t>
            </w:r>
            <w:r>
              <w:rPr>
                <w:rFonts w:hint="eastAsia" w:cs="宋体" w:asciiTheme="minorEastAsia" w:hAnsiTheme="minorEastAsia" w:eastAsiaTheme="minorEastAsia"/>
                <w:kern w:val="0"/>
                <w:sz w:val="20"/>
                <w:szCs w:val="20"/>
              </w:rPr>
              <w:br w:type="textWrapping"/>
            </w:r>
            <w:r>
              <w:rPr>
                <w:rFonts w:hint="eastAsia" w:cs="宋体" w:asciiTheme="minorEastAsia" w:hAnsiTheme="minorEastAsia" w:eastAsiaTheme="minorEastAsia"/>
                <w:kern w:val="0"/>
                <w:sz w:val="20"/>
                <w:szCs w:val="20"/>
              </w:rPr>
              <w:t>情况</w:t>
            </w:r>
          </w:p>
        </w:tc>
        <w:tc>
          <w:tcPr>
            <w:tcW w:w="4460"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预期目标</w:t>
            </w:r>
          </w:p>
        </w:tc>
        <w:tc>
          <w:tcPr>
            <w:tcW w:w="384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实际完成目标</w:t>
            </w:r>
          </w:p>
        </w:tc>
      </w:tr>
      <w:tr>
        <w:tblPrEx>
          <w:tblLayout w:type="fixed"/>
          <w:tblCellMar>
            <w:top w:w="0" w:type="dxa"/>
            <w:left w:w="108" w:type="dxa"/>
            <w:bottom w:w="0" w:type="dxa"/>
            <w:right w:w="108" w:type="dxa"/>
          </w:tblCellMar>
        </w:tblPrEx>
        <w:trPr>
          <w:trHeight w:val="1425" w:hRule="atLeast"/>
        </w:trPr>
        <w:tc>
          <w:tcPr>
            <w:tcW w:w="720"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eastAsiaTheme="minorEastAsia"/>
                <w:kern w:val="0"/>
                <w:sz w:val="20"/>
                <w:szCs w:val="20"/>
              </w:rPr>
            </w:pPr>
          </w:p>
        </w:tc>
        <w:tc>
          <w:tcPr>
            <w:tcW w:w="4460" w:type="dxa"/>
            <w:gridSpan w:val="4"/>
            <w:tcBorders>
              <w:top w:val="single" w:color="auto" w:sz="4" w:space="0"/>
              <w:left w:val="nil"/>
              <w:bottom w:val="single" w:color="auto" w:sz="4" w:space="0"/>
              <w:right w:val="single" w:color="000000" w:sz="4" w:space="0"/>
            </w:tcBorders>
            <w:shd w:val="clear" w:color="auto" w:fill="auto"/>
          </w:tcPr>
          <w:p>
            <w:pPr>
              <w:widowControl/>
              <w:jc w:val="left"/>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　完成各类大中小型公益演出120场次，创作新的文艺作品10部</w:t>
            </w:r>
          </w:p>
        </w:tc>
        <w:tc>
          <w:tcPr>
            <w:tcW w:w="3840" w:type="dxa"/>
            <w:gridSpan w:val="2"/>
            <w:tcBorders>
              <w:top w:val="single" w:color="auto" w:sz="4" w:space="0"/>
              <w:left w:val="nil"/>
              <w:bottom w:val="single" w:color="auto" w:sz="4" w:space="0"/>
              <w:right w:val="single" w:color="000000" w:sz="4" w:space="0"/>
            </w:tcBorders>
            <w:shd w:val="clear" w:color="auto" w:fill="auto"/>
          </w:tcPr>
          <w:p>
            <w:pPr>
              <w:widowControl/>
              <w:jc w:val="left"/>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完成各类大中小型公益演出150场次，创作新的文艺作品10部</w:t>
            </w:r>
          </w:p>
        </w:tc>
      </w:tr>
      <w:tr>
        <w:tblPrEx>
          <w:tblLayout w:type="fixed"/>
          <w:tblCellMar>
            <w:top w:w="0" w:type="dxa"/>
            <w:left w:w="108" w:type="dxa"/>
            <w:bottom w:w="0" w:type="dxa"/>
            <w:right w:w="108" w:type="dxa"/>
          </w:tblCellMar>
        </w:tblPrEx>
        <w:trPr>
          <w:trHeight w:val="720" w:hRule="atLeast"/>
        </w:trPr>
        <w:tc>
          <w:tcPr>
            <w:tcW w:w="72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年度</w:t>
            </w:r>
            <w:r>
              <w:rPr>
                <w:rFonts w:hint="eastAsia" w:cs="宋体" w:asciiTheme="minorEastAsia" w:hAnsiTheme="minorEastAsia" w:eastAsiaTheme="minorEastAsia"/>
                <w:kern w:val="0"/>
                <w:sz w:val="20"/>
                <w:szCs w:val="20"/>
              </w:rPr>
              <w:br w:type="textWrapping"/>
            </w:r>
            <w:r>
              <w:rPr>
                <w:rFonts w:hint="eastAsia" w:cs="宋体" w:asciiTheme="minorEastAsia" w:hAnsiTheme="minorEastAsia" w:eastAsiaTheme="minorEastAsia"/>
                <w:kern w:val="0"/>
                <w:sz w:val="20"/>
                <w:szCs w:val="20"/>
              </w:rPr>
              <w:t>绩效</w:t>
            </w:r>
            <w:r>
              <w:rPr>
                <w:rFonts w:hint="eastAsia" w:cs="宋体" w:asciiTheme="minorEastAsia" w:hAnsiTheme="minorEastAsia" w:eastAsiaTheme="minorEastAsia"/>
                <w:kern w:val="0"/>
                <w:sz w:val="20"/>
                <w:szCs w:val="20"/>
              </w:rPr>
              <w:br w:type="textWrapping"/>
            </w:r>
            <w:r>
              <w:rPr>
                <w:rFonts w:hint="eastAsia" w:cs="宋体" w:asciiTheme="minorEastAsia" w:hAnsiTheme="minorEastAsia" w:eastAsiaTheme="minorEastAsia"/>
                <w:kern w:val="0"/>
                <w:sz w:val="20"/>
                <w:szCs w:val="20"/>
              </w:rPr>
              <w:t>指标</w:t>
            </w:r>
            <w:r>
              <w:rPr>
                <w:rFonts w:hint="eastAsia" w:cs="宋体" w:asciiTheme="minorEastAsia" w:hAnsiTheme="minorEastAsia" w:eastAsiaTheme="minorEastAsia"/>
                <w:kern w:val="0"/>
                <w:sz w:val="20"/>
                <w:szCs w:val="20"/>
              </w:rPr>
              <w:br w:type="textWrapping"/>
            </w:r>
            <w:r>
              <w:rPr>
                <w:rFonts w:hint="eastAsia" w:cs="宋体" w:asciiTheme="minorEastAsia" w:hAnsiTheme="minorEastAsia" w:eastAsiaTheme="minorEastAsia"/>
                <w:kern w:val="0"/>
                <w:sz w:val="20"/>
                <w:szCs w:val="20"/>
              </w:rPr>
              <w:t>完成</w:t>
            </w:r>
            <w:r>
              <w:rPr>
                <w:rFonts w:hint="eastAsia" w:cs="宋体" w:asciiTheme="minorEastAsia" w:hAnsiTheme="minorEastAsia" w:eastAsiaTheme="minorEastAsia"/>
                <w:kern w:val="0"/>
                <w:sz w:val="20"/>
                <w:szCs w:val="20"/>
              </w:rPr>
              <w:br w:type="textWrapping"/>
            </w:r>
            <w:r>
              <w:rPr>
                <w:rFonts w:hint="eastAsia" w:cs="宋体" w:asciiTheme="minorEastAsia" w:hAnsiTheme="minorEastAsia" w:eastAsiaTheme="minorEastAsia"/>
                <w:kern w:val="0"/>
                <w:sz w:val="20"/>
                <w:szCs w:val="20"/>
              </w:rPr>
              <w:t>情况</w:t>
            </w:r>
          </w:p>
        </w:tc>
        <w:tc>
          <w:tcPr>
            <w:tcW w:w="1140" w:type="dxa"/>
            <w:tcBorders>
              <w:top w:val="nil"/>
              <w:left w:val="nil"/>
              <w:bottom w:val="nil"/>
              <w:right w:val="single" w:color="auto" w:sz="4" w:space="0"/>
            </w:tcBorders>
            <w:shd w:val="clear" w:color="auto" w:fill="auto"/>
            <w:vAlign w:val="center"/>
          </w:tcPr>
          <w:p>
            <w:pPr>
              <w:widowControl/>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一级指标</w:t>
            </w:r>
          </w:p>
        </w:tc>
        <w:tc>
          <w:tcPr>
            <w:tcW w:w="1360"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二级指标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三级指标</w:t>
            </w:r>
          </w:p>
        </w:tc>
        <w:tc>
          <w:tcPr>
            <w:tcW w:w="2060"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预期指标值（包含数字及文字描述）</w:t>
            </w:r>
          </w:p>
        </w:tc>
        <w:tc>
          <w:tcPr>
            <w:tcW w:w="1780" w:type="dxa"/>
            <w:tcBorders>
              <w:top w:val="nil"/>
              <w:left w:val="nil"/>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实际完成指标值（包含数字及文字描述）</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项目完成指标</w:t>
            </w: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数量指标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 xml:space="preserve"> 指标1：全年完成百场下基层演出任务</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　预计完成演出120场</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　全年实际完成演出150场次</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inorEastAsia" w:hAnsiTheme="minorEastAsia" w:eastAsiaTheme="minorEastAsia"/>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 xml:space="preserve"> 指标2：全年完成创作作品10部</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　预计作品创新10部</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　实际创新作品10部</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kern w:val="0"/>
                <w:sz w:val="20"/>
                <w:szCs w:val="20"/>
              </w:rPr>
            </w:pPr>
            <w:bookmarkStart w:id="0" w:name="_GoBack"/>
            <w:bookmarkEnd w:id="0"/>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inorEastAsia" w:hAnsiTheme="minorEastAsia" w:eastAsiaTheme="minorEastAsia"/>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质量指标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 xml:space="preserve"> 指标1：提高演出音效质量</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　预计通过提高音效质量提高演出水平</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　更新演出用音响设备1套提升了下基层演出音效水平</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inorEastAsia" w:hAnsiTheme="minorEastAsia" w:eastAsiaTheme="minorEastAsia"/>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 xml:space="preserve"> 指标2：创作10部与党的政策相关的文艺作品</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　结合当前党的政策方针创作10部新的文艺作品</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创编文艺作品大型歌舞《昌吉踏上新征程》、《多想对你说》、《亲亲一家人》、《不忘初心》，快板说唱表演《我们走在大道上》《昌吉美食顶呱呱》，语言小品《帮亲》《酒驾》等十余件</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inorEastAsia" w:hAnsiTheme="minorEastAsia" w:eastAsiaTheme="minorEastAsia"/>
                <w:kern w:val="0"/>
                <w:sz w:val="20"/>
                <w:szCs w:val="20"/>
              </w:rPr>
            </w:pPr>
          </w:p>
        </w:tc>
        <w:tc>
          <w:tcPr>
            <w:tcW w:w="1360" w:type="dxa"/>
            <w:vMerge w:val="restart"/>
            <w:tcBorders>
              <w:top w:val="nil"/>
              <w:left w:val="single" w:color="auto" w:sz="4" w:space="0"/>
              <w:bottom w:val="single" w:color="000000" w:sz="4" w:space="0"/>
              <w:right w:val="single" w:color="auto" w:sz="4" w:space="0"/>
            </w:tcBorders>
            <w:shd w:val="clear" w:color="auto" w:fill="auto"/>
            <w:vAlign w:val="center"/>
          </w:tcPr>
          <w:p>
            <w:pPr>
              <w:widowControl/>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时效指标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 xml:space="preserve"> 指标1：1年</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　完成下基层演出100场</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　完成下基层演出150场</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inorEastAsia" w:hAnsiTheme="minorEastAsia" w:eastAsiaTheme="minorEastAsia"/>
                <w:kern w:val="0"/>
                <w:sz w:val="20"/>
                <w:szCs w:val="20"/>
              </w:rPr>
            </w:pPr>
          </w:p>
        </w:tc>
        <w:tc>
          <w:tcPr>
            <w:tcW w:w="1360"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kern w:val="0"/>
                <w:sz w:val="20"/>
                <w:szCs w:val="20"/>
              </w:rPr>
            </w:pP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 xml:space="preserve"> 指标2：1年</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　创作新作品10部</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　创作新作品10部</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kern w:val="0"/>
                <w:sz w:val="20"/>
                <w:szCs w:val="20"/>
              </w:rPr>
            </w:pPr>
          </w:p>
        </w:tc>
        <w:tc>
          <w:tcPr>
            <w:tcW w:w="114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inorEastAsia" w:hAnsiTheme="minorEastAsia" w:eastAsiaTheme="minorEastAsia"/>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成本指标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 xml:space="preserve"> 指标1：政府购买演出专项资金到位率</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　每场演出成本800元</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保障专项资金到位、专款专用</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kern w:val="0"/>
                <w:sz w:val="20"/>
                <w:szCs w:val="20"/>
              </w:rPr>
            </w:pPr>
          </w:p>
        </w:tc>
        <w:tc>
          <w:tcPr>
            <w:tcW w:w="1140"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项目效果指标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center"/>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社会效益</w:t>
            </w:r>
            <w:r>
              <w:rPr>
                <w:rFonts w:hint="eastAsia" w:cs="宋体" w:asciiTheme="minorEastAsia" w:hAnsiTheme="minorEastAsia" w:eastAsiaTheme="minorEastAsia"/>
                <w:kern w:val="0"/>
                <w:sz w:val="20"/>
                <w:szCs w:val="20"/>
              </w:rPr>
              <w:br w:type="textWrapping"/>
            </w:r>
            <w:r>
              <w:rPr>
                <w:rFonts w:hint="eastAsia" w:cs="宋体" w:asciiTheme="minorEastAsia" w:hAnsiTheme="minorEastAsia" w:eastAsiaTheme="minorEastAsia"/>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 xml:space="preserve"> 指标1：</w:t>
            </w:r>
            <w:r>
              <w:rPr>
                <w:rFonts w:hint="eastAsia" w:ascii="宋体" w:hAnsi="宋体" w:cs="宋体"/>
                <w:kern w:val="0"/>
                <w:sz w:val="18"/>
                <w:szCs w:val="18"/>
              </w:rPr>
              <w:t>通过开展各类公益演出活动，让更多群众了解党的政策，进一步丰富了群众文化艺术活动。</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　</w:t>
            </w:r>
            <w:r>
              <w:rPr>
                <w:rFonts w:hint="eastAsia" w:ascii="宋体" w:hAnsi="宋体" w:cs="宋体"/>
                <w:kern w:val="0"/>
                <w:sz w:val="18"/>
                <w:szCs w:val="18"/>
              </w:rPr>
              <w:t>有效加强</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　</w:t>
            </w:r>
            <w:r>
              <w:rPr>
                <w:rFonts w:hint="eastAsia" w:ascii="宋体" w:hAnsi="宋体" w:cs="宋体"/>
                <w:kern w:val="0"/>
                <w:sz w:val="18"/>
                <w:szCs w:val="18"/>
              </w:rPr>
              <w:t>通过调查问卷等方式对群众进行调查，群众知晓率100%</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kern w:val="0"/>
                <w:sz w:val="20"/>
                <w:szCs w:val="20"/>
              </w:rPr>
            </w:pPr>
          </w:p>
        </w:tc>
        <w:tc>
          <w:tcPr>
            <w:tcW w:w="1140" w:type="dxa"/>
            <w:vMerge w:val="continue"/>
            <w:tcBorders>
              <w:top w:val="nil"/>
              <w:left w:val="single" w:color="auto" w:sz="4" w:space="0"/>
              <w:bottom w:val="single" w:color="auto" w:sz="4" w:space="0"/>
              <w:right w:val="single" w:color="auto" w:sz="4" w:space="0"/>
            </w:tcBorders>
            <w:vAlign w:val="center"/>
          </w:tcPr>
          <w:p>
            <w:pPr>
              <w:widowControl/>
              <w:jc w:val="left"/>
              <w:rPr>
                <w:rFonts w:cs="宋体" w:asciiTheme="minorEastAsia" w:hAnsiTheme="minorEastAsia" w:eastAsiaTheme="minorEastAsia"/>
                <w:kern w:val="0"/>
                <w:sz w:val="20"/>
                <w:szCs w:val="20"/>
              </w:rPr>
            </w:pP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left"/>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可持续影响</w:t>
            </w:r>
            <w:r>
              <w:rPr>
                <w:rFonts w:hint="eastAsia" w:cs="宋体" w:asciiTheme="minorEastAsia" w:hAnsiTheme="minorEastAsia" w:eastAsiaTheme="minorEastAsia"/>
                <w:kern w:val="0"/>
                <w:sz w:val="20"/>
                <w:szCs w:val="20"/>
              </w:rPr>
              <w:br w:type="textWrapping"/>
            </w:r>
            <w:r>
              <w:rPr>
                <w:rFonts w:hint="eastAsia" w:cs="宋体" w:asciiTheme="minorEastAsia" w:hAnsiTheme="minorEastAsia" w:eastAsiaTheme="minorEastAsia"/>
                <w:kern w:val="0"/>
                <w:sz w:val="20"/>
                <w:szCs w:val="20"/>
              </w:rPr>
              <w:t>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 xml:space="preserve"> 指标1：不断丰富势必带来人们更多的精神需求，让每位干部职工主动作为，让自己成为公共文化的教授者、传播者.</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　继续力求实效，不断创新，进一步强化服务意识，立足根本，做好各类文艺演出及文化作品创编工作。</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　我们将继续力求实效，不断创新，进一步强化服务意识，立足根本，做好各类文艺演出及文化作品创编工作。</w:t>
            </w:r>
          </w:p>
        </w:tc>
      </w:tr>
      <w:tr>
        <w:tblPrEx>
          <w:tblLayout w:type="fixed"/>
          <w:tblCellMar>
            <w:top w:w="0" w:type="dxa"/>
            <w:left w:w="108" w:type="dxa"/>
            <w:bottom w:w="0" w:type="dxa"/>
            <w:right w:w="108" w:type="dxa"/>
          </w:tblCellMar>
        </w:tblPrEx>
        <w:trPr>
          <w:trHeight w:val="480" w:hRule="atLeast"/>
        </w:trPr>
        <w:tc>
          <w:tcPr>
            <w:tcW w:w="720" w:type="dxa"/>
            <w:vMerge w:val="continue"/>
            <w:tcBorders>
              <w:top w:val="nil"/>
              <w:left w:val="single" w:color="auto" w:sz="4" w:space="0"/>
              <w:bottom w:val="single" w:color="000000" w:sz="4" w:space="0"/>
              <w:right w:val="single" w:color="auto" w:sz="4" w:space="0"/>
            </w:tcBorders>
            <w:vAlign w:val="center"/>
          </w:tcPr>
          <w:p>
            <w:pPr>
              <w:widowControl/>
              <w:jc w:val="left"/>
              <w:rPr>
                <w:rFonts w:cs="宋体" w:asciiTheme="minorEastAsia" w:hAnsiTheme="minorEastAsia" w:eastAsiaTheme="minorEastAsia"/>
                <w:kern w:val="0"/>
                <w:sz w:val="20"/>
                <w:szCs w:val="20"/>
              </w:rPr>
            </w:pPr>
          </w:p>
        </w:tc>
        <w:tc>
          <w:tcPr>
            <w:tcW w:w="1140" w:type="dxa"/>
            <w:tcBorders>
              <w:top w:val="nil"/>
              <w:left w:val="single" w:color="auto" w:sz="4" w:space="0"/>
              <w:bottom w:val="single" w:color="000000" w:sz="4" w:space="0"/>
              <w:right w:val="single" w:color="auto" w:sz="4" w:space="0"/>
            </w:tcBorders>
            <w:shd w:val="clear" w:color="auto" w:fill="auto"/>
            <w:vAlign w:val="center"/>
          </w:tcPr>
          <w:p>
            <w:pPr>
              <w:widowControl/>
              <w:jc w:val="left"/>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满意度</w:t>
            </w:r>
            <w:r>
              <w:rPr>
                <w:rFonts w:hint="eastAsia" w:cs="宋体" w:asciiTheme="minorEastAsia" w:hAnsiTheme="minorEastAsia" w:eastAsiaTheme="minorEastAsia"/>
                <w:kern w:val="0"/>
                <w:sz w:val="20"/>
                <w:szCs w:val="20"/>
              </w:rPr>
              <w:br w:type="textWrapping"/>
            </w:r>
            <w:r>
              <w:rPr>
                <w:rFonts w:hint="eastAsia" w:cs="宋体" w:asciiTheme="minorEastAsia" w:hAnsiTheme="minorEastAsia" w:eastAsiaTheme="minorEastAsia"/>
                <w:kern w:val="0"/>
                <w:sz w:val="20"/>
                <w:szCs w:val="20"/>
              </w:rPr>
              <w:t>指标</w:t>
            </w:r>
          </w:p>
        </w:tc>
        <w:tc>
          <w:tcPr>
            <w:tcW w:w="1360" w:type="dxa"/>
            <w:tcBorders>
              <w:top w:val="nil"/>
              <w:left w:val="single" w:color="auto" w:sz="4" w:space="0"/>
              <w:bottom w:val="single" w:color="000000" w:sz="4" w:space="0"/>
              <w:right w:val="single" w:color="auto" w:sz="4" w:space="0"/>
            </w:tcBorders>
            <w:shd w:val="clear" w:color="auto" w:fill="auto"/>
            <w:vAlign w:val="center"/>
          </w:tcPr>
          <w:p>
            <w:pPr>
              <w:widowControl/>
              <w:jc w:val="left"/>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满意度指标</w:t>
            </w:r>
          </w:p>
        </w:tc>
        <w:tc>
          <w:tcPr>
            <w:tcW w:w="1960" w:type="dxa"/>
            <w:gridSpan w:val="2"/>
            <w:tcBorders>
              <w:top w:val="single" w:color="auto" w:sz="4" w:space="0"/>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 xml:space="preserve"> 指标1：群众满意度</w:t>
            </w:r>
          </w:p>
        </w:tc>
        <w:tc>
          <w:tcPr>
            <w:tcW w:w="2060"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　</w:t>
            </w:r>
            <w:r>
              <w:rPr>
                <w:rFonts w:cs="宋体" w:asciiTheme="minorEastAsia" w:hAnsiTheme="minorEastAsia" w:eastAsiaTheme="minorEastAsia"/>
                <w:kern w:val="0"/>
                <w:sz w:val="20"/>
                <w:szCs w:val="20"/>
              </w:rPr>
              <w:t>通过调查问卷等方式对社会公众满意度进行调查</w:t>
            </w:r>
            <w:r>
              <w:rPr>
                <w:rFonts w:hint="eastAsia" w:cs="宋体" w:asciiTheme="minorEastAsia" w:hAnsiTheme="minorEastAsia" w:eastAsiaTheme="minorEastAsia"/>
                <w:kern w:val="0"/>
                <w:sz w:val="20"/>
                <w:szCs w:val="20"/>
              </w:rPr>
              <w:t>，没满意度95%</w:t>
            </w:r>
          </w:p>
        </w:tc>
        <w:tc>
          <w:tcPr>
            <w:tcW w:w="1780" w:type="dxa"/>
            <w:tcBorders>
              <w:top w:val="nil"/>
              <w:left w:val="nil"/>
              <w:bottom w:val="single" w:color="auto" w:sz="4" w:space="0"/>
              <w:right w:val="single" w:color="auto" w:sz="4" w:space="0"/>
            </w:tcBorders>
            <w:shd w:val="clear" w:color="auto" w:fill="auto"/>
            <w:vAlign w:val="center"/>
          </w:tcPr>
          <w:p>
            <w:pPr>
              <w:widowControl/>
              <w:jc w:val="left"/>
              <w:rPr>
                <w:rFonts w:cs="宋体" w:asciiTheme="minorEastAsia" w:hAnsiTheme="minorEastAsia" w:eastAsiaTheme="minorEastAsia"/>
                <w:kern w:val="0"/>
                <w:sz w:val="20"/>
                <w:szCs w:val="20"/>
              </w:rPr>
            </w:pPr>
            <w:r>
              <w:rPr>
                <w:rFonts w:hint="eastAsia" w:cs="宋体" w:asciiTheme="minorEastAsia" w:hAnsiTheme="minorEastAsia" w:eastAsiaTheme="minorEastAsia"/>
                <w:kern w:val="0"/>
                <w:sz w:val="20"/>
                <w:szCs w:val="20"/>
              </w:rPr>
              <w:t>　</w:t>
            </w:r>
            <w:r>
              <w:rPr>
                <w:rFonts w:cs="宋体" w:asciiTheme="minorEastAsia" w:hAnsiTheme="minorEastAsia" w:eastAsiaTheme="minorEastAsia"/>
                <w:kern w:val="0"/>
                <w:sz w:val="20"/>
                <w:szCs w:val="20"/>
              </w:rPr>
              <w:t>通过调查问卷等方式对社会公众满意度进行调查</w:t>
            </w:r>
            <w:r>
              <w:rPr>
                <w:rFonts w:hint="eastAsia" w:cs="宋体" w:asciiTheme="minorEastAsia" w:hAnsiTheme="minorEastAsia" w:eastAsiaTheme="minorEastAsia"/>
                <w:kern w:val="0"/>
                <w:sz w:val="20"/>
                <w:szCs w:val="20"/>
              </w:rPr>
              <w:t>，没满意度95%</w:t>
            </w:r>
          </w:p>
        </w:tc>
      </w:tr>
    </w:tbl>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450" w:lineRule="atLeast"/>
        <w:ind w:left="0" w:right="0" w:firstLine="420"/>
        <w:rPr>
          <w:rFonts w:hint="eastAsia" w:ascii="仿宋_GB2312" w:eastAsia="仿宋_GB2312" w:hAnsiTheme="minorHAnsi" w:cstheme="minorBidi"/>
          <w:kern w:val="2"/>
          <w:sz w:val="32"/>
          <w:szCs w:val="32"/>
          <w:lang w:val="en-US" w:eastAsia="zh-CN" w:bidi="ar-SA"/>
        </w:rPr>
      </w:pPr>
    </w:p>
    <w:p>
      <w:pPr>
        <w:spacing w:line="540" w:lineRule="exact"/>
        <w:ind w:firstLine="0"/>
        <w:jc w:val="center"/>
        <w:rPr>
          <w:rFonts w:hint="eastAsia" w:ascii="黑体" w:hAnsi="黑体" w:eastAsia="黑体"/>
          <w:sz w:val="32"/>
          <w:szCs w:val="32"/>
        </w:rPr>
      </w:pPr>
      <w:r>
        <w:rPr>
          <w:rFonts w:hint="eastAsia" w:ascii="黑体" w:hAnsi="黑体" w:eastAsia="黑体"/>
          <w:sz w:val="32"/>
          <w:szCs w:val="32"/>
        </w:rPr>
        <w:t>第三部分 专业名词解释</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本单位支出功能分类说明。2070107款指艺术表演团体支出，2080505款指机关事业单位养老保险缴费支出。</w:t>
      </w:r>
    </w:p>
    <w:p>
      <w:pPr>
        <w:autoSpaceDE w:val="0"/>
        <w:autoSpaceDN w:val="0"/>
        <w:adjustRightInd/>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其他有关说明内容：无。</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450" w:lineRule="atLeast"/>
        <w:ind w:left="0" w:right="0" w:firstLine="420"/>
        <w:jc w:val="center"/>
        <w:rPr>
          <w:rFonts w:hint="eastAsia" w:ascii="仿宋" w:hAnsi="仿宋" w:eastAsia="仿宋" w:cs="仿宋"/>
          <w:b/>
          <w:bCs/>
          <w:i w:val="0"/>
          <w:caps w:val="0"/>
          <w:color w:val="333333"/>
          <w:spacing w:val="0"/>
          <w:sz w:val="34"/>
          <w:szCs w:val="34"/>
          <w:shd w:val="clear" w:fill="FFFFFF"/>
        </w:rPr>
      </w:pPr>
      <w:r>
        <w:rPr>
          <w:rFonts w:hint="eastAsia" w:ascii="黑体" w:hAnsi="黑体" w:eastAsia="黑体" w:cstheme="minorBidi"/>
          <w:kern w:val="2"/>
          <w:sz w:val="32"/>
          <w:szCs w:val="32"/>
          <w:lang w:val="en-US" w:eastAsia="zh-CN" w:bidi="ar-SA"/>
        </w:rPr>
        <w:t>第四部分 部门决算公开的8张报表（见附表）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五、《一般公共预算财政拨款支出决算明细表》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六、《一般公共预算财政拨款基本支出决算明细表》</w:t>
      </w:r>
    </w:p>
    <w:p>
      <w:pPr>
        <w:spacing w:line="540" w:lineRule="exact"/>
        <w:ind w:firstLine="640" w:firstLineChars="200"/>
        <w:rPr>
          <w:rFonts w:hint="eastAsia"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hint="eastAsia" w:ascii="仿宋" w:hAnsi="仿宋" w:eastAsia="仿宋" w:cs="仿宋"/>
          <w:i w:val="0"/>
          <w:caps w:val="0"/>
          <w:color w:val="333333"/>
          <w:spacing w:val="0"/>
          <w:sz w:val="34"/>
          <w:szCs w:val="34"/>
          <w:shd w:val="clear" w:fill="FFFFFF"/>
        </w:rPr>
      </w:pPr>
      <w:r>
        <w:rPr>
          <w:rFonts w:hint="eastAsia" w:ascii="仿宋_GB2312" w:eastAsia="仿宋_GB2312"/>
          <w:sz w:val="32"/>
          <w:szCs w:val="32"/>
        </w:rPr>
        <w:t>八、《政府性基金预算财政拨款收入支出决算表》</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225" w:beforeAutospacing="0" w:after="0" w:afterAutospacing="0" w:line="450" w:lineRule="atLeast"/>
        <w:ind w:left="0" w:right="0" w:firstLine="420"/>
        <w:rPr>
          <w:rFonts w:hint="eastAsia" w:ascii="仿宋" w:hAnsi="仿宋" w:eastAsia="仿宋" w:cs="仿宋"/>
          <w:i w:val="0"/>
          <w:caps w:val="0"/>
          <w:color w:val="333333"/>
          <w:spacing w:val="0"/>
          <w:sz w:val="34"/>
          <w:szCs w:val="34"/>
          <w:shd w:val="clear" w:fill="FFFFFF"/>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å¾®è½¯é›…é»‘">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71222B7"/>
    <w:rsid w:val="08FF63BE"/>
    <w:rsid w:val="171222B7"/>
    <w:rsid w:val="172F0287"/>
    <w:rsid w:val="17E871C9"/>
    <w:rsid w:val="1D6F1505"/>
    <w:rsid w:val="374A475D"/>
    <w:rsid w:val="394B30DF"/>
    <w:rsid w:val="4B1625BB"/>
    <w:rsid w:val="4E771EBB"/>
    <w:rsid w:val="52826EB8"/>
    <w:rsid w:val="68861191"/>
    <w:rsid w:val="75D30E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8">
    <w:name w:val="Default Paragraph Font"/>
    <w:semiHidden/>
    <w:uiPriority w:val="0"/>
  </w:style>
  <w:style w:type="table" w:default="1" w:styleId="7">
    <w:name w:val="Normal Table"/>
    <w:semiHidden/>
    <w:uiPriority w:val="0"/>
    <w:tblPr>
      <w:tblLayout w:type="fixed"/>
      <w:tblCellMar>
        <w:top w:w="0" w:type="dxa"/>
        <w:left w:w="108" w:type="dxa"/>
        <w:bottom w:w="0" w:type="dxa"/>
        <w:right w:w="108" w:type="dxa"/>
      </w:tblCellMar>
    </w:tblPr>
  </w:style>
  <w:style w:type="paragraph" w:styleId="3">
    <w:name w:val="toc 3"/>
    <w:basedOn w:val="1"/>
    <w:next w:val="1"/>
    <w:uiPriority w:val="0"/>
    <w:pPr>
      <w:ind w:left="840" w:leftChars="400"/>
    </w:pPr>
  </w:style>
  <w:style w:type="paragraph" w:styleId="4">
    <w:name w:val="toc 1"/>
    <w:basedOn w:val="1"/>
    <w:next w:val="1"/>
    <w:qFormat/>
    <w:uiPriority w:val="0"/>
  </w:style>
  <w:style w:type="paragraph" w:styleId="5">
    <w:name w:val="toc 2"/>
    <w:basedOn w:val="1"/>
    <w:next w:val="1"/>
    <w:qFormat/>
    <w:uiPriority w:val="0"/>
    <w:pPr>
      <w:ind w:left="420" w:leftChars="200"/>
    </w:pPr>
  </w:style>
  <w:style w:type="paragraph" w:styleId="6">
    <w:name w:val="Normal (Web)"/>
    <w:basedOn w:val="1"/>
    <w:uiPriority w:val="0"/>
    <w:pPr>
      <w:spacing w:before="0" w:beforeAutospacing="1" w:after="0" w:afterAutospacing="1"/>
      <w:ind w:left="0" w:right="0"/>
      <w:jc w:val="left"/>
    </w:pPr>
    <w:rPr>
      <w:kern w:val="0"/>
      <w:sz w:val="24"/>
      <w:lang w:val="en-US" w:eastAsia="zh-CN" w:bidi="ar"/>
    </w:rPr>
  </w:style>
  <w:style w:type="character" w:styleId="9">
    <w:name w:val="Hyperlink"/>
    <w:basedOn w:val="8"/>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Office_11.8.2.8276_F1E327BC-269C-435d-A152-05C5408002CA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2020-09-05T03:11:00Z</dcterms:created>
  <dc:creator>陆刚</dc:creator>
  <cp:lastModifiedBy>Administrator</cp:lastModifiedBy>
  <dcterms:modified xsi:type="dcterms:W3CDTF">2021-05-28T08:44:41Z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2052-11.8.2.8276</vt:lpwstr>
  </property>
</Properties>
</file>