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bookmarkStart w:id="0" w:name="_GoBack"/>
      <w:bookmarkEnd w:id="0"/>
      <w:r>
        <w:rPr>
          <w:rFonts w:hint="eastAsia" w:ascii="黑体" w:hAnsi="黑体" w:eastAsia="黑体"/>
          <w:sz w:val="32"/>
          <w:szCs w:val="32"/>
        </w:rPr>
        <w:t>附件1：</w:t>
      </w:r>
    </w:p>
    <w:p>
      <w:pPr>
        <w:keepNext w:val="0"/>
        <w:keepLines w:val="0"/>
        <w:pageBreakBefore w:val="0"/>
        <w:widowControl/>
        <w:shd w:val="clear" w:color="auto" w:fill="FFFFFF"/>
        <w:kinsoku/>
        <w:wordWrap/>
        <w:overflowPunct/>
        <w:topLinePunct w:val="0"/>
        <w:autoSpaceDE/>
        <w:autoSpaceDN/>
        <w:bidi w:val="0"/>
        <w:adjustRightInd/>
        <w:snapToGrid w:val="0"/>
        <w:spacing w:line="240" w:lineRule="auto"/>
        <w:ind w:firstLine="482"/>
        <w:jc w:val="center"/>
        <w:textAlignment w:val="auto"/>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2018年度昌吉市图书馆部门决算</w:t>
      </w:r>
    </w:p>
    <w:p>
      <w:pPr>
        <w:keepNext w:val="0"/>
        <w:keepLines w:val="0"/>
        <w:pageBreakBefore w:val="0"/>
        <w:widowControl/>
        <w:shd w:val="clear" w:color="auto" w:fill="FFFFFF"/>
        <w:kinsoku/>
        <w:wordWrap/>
        <w:overflowPunct/>
        <w:topLinePunct w:val="0"/>
        <w:autoSpaceDE/>
        <w:autoSpaceDN/>
        <w:bidi w:val="0"/>
        <w:adjustRightInd/>
        <w:snapToGrid/>
        <w:spacing w:line="450" w:lineRule="atLeast"/>
        <w:ind w:firstLine="482"/>
        <w:jc w:val="center"/>
        <w:textAlignment w:val="auto"/>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公开说明</w:t>
      </w:r>
    </w:p>
    <w:p>
      <w:pPr>
        <w:spacing w:line="540" w:lineRule="exact"/>
        <w:jc w:val="center"/>
        <w:rPr>
          <w:rFonts w:hint="eastAsia" w:ascii="黑体" w:hAnsi="黑体" w:eastAsia="黑体" w:cs="Times New Roman"/>
          <w:b w:val="0"/>
          <w:bCs/>
          <w:kern w:val="0"/>
          <w:sz w:val="32"/>
          <w:szCs w:val="32"/>
        </w:rPr>
      </w:pPr>
      <w:r>
        <w:rPr>
          <w:rFonts w:hint="eastAsia" w:ascii="黑体" w:hAnsi="黑体" w:eastAsia="黑体" w:cs="Times New Roman"/>
          <w:b w:val="0"/>
          <w:bCs/>
          <w:kern w:val="0"/>
          <w:sz w:val="32"/>
          <w:szCs w:val="32"/>
        </w:rPr>
        <w:t>目  录</w:t>
      </w:r>
    </w:p>
    <w:p>
      <w:pPr>
        <w:widowControl w:val="0"/>
        <w:spacing w:line="540" w:lineRule="exact"/>
        <w:ind w:firstLine="640" w:firstLineChars="200"/>
        <w:jc w:val="both"/>
        <w:rPr>
          <w:rFonts w:hint="eastAsia" w:ascii="仿宋_GB2312" w:hAnsi="Times New Roman" w:eastAsia="仿宋_GB2312" w:cs="Times New Roman"/>
          <w:sz w:val="32"/>
          <w:szCs w:val="32"/>
        </w:rPr>
      </w:pP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第一部分 部门单位概况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二、机构设置情况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第二部分 部门决算情况说明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一、部门收支总体情况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二、部门财政拨款收支情况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七、其他重要事项的情况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（二）预算绩效情况的说明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第三部分 专业名词解释</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第四部分 部门决算公开的8张报表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《收入决算表》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《一般公共预算财政拨款支出决算表》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《一般公共预算财政拨款基本支出决算表》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《一般公共预算财政拨款“三公”经费支出决算表》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《政府性基金预算财政拨款收入支出决算表》</w:t>
      </w: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lang w:eastAsia="zh-CN"/>
        </w:rPr>
        <w:t>一、</w:t>
      </w:r>
      <w:r>
        <w:rPr>
          <w:rFonts w:hint="eastAsia" w:ascii="黑体" w:hAnsi="黑体" w:eastAsia="黑体" w:cs="宋体"/>
          <w:bCs/>
          <w:kern w:val="0"/>
          <w:sz w:val="32"/>
          <w:szCs w:val="32"/>
        </w:rPr>
        <w:t>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(1)紧密结合昌吉市政治、经济、科学和文化教育事业的实际,收集、整理、保存和提供各种书刊资料。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(2)为全市的科研生产教学经济发展服务,为提高全民的思想道德和科学文化素质服务。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(3)宣传马列主义、毛泽东思想、邓小平理论、“三个代表”重要思想,以及党和政府的政策法令,向各族人民群众进行社会主义和爱国主义教育。</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(4)努力做好地方文献的征集工作。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(5)开展书刊资料的阅览,对读者进行阅读辅导,作好读者服务工作。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(6)对乡镇、社区、机关、学校、企事业单位的图书室进行业务辅导。</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(7)加强图书馆队伍建设,培养图书馆专业干部,建立一只思想业务强的图书馆干部队伍。</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(8)重视由传统图书馆向现代化图书馆的过度,逐步采用现代化手段进行管理和服务。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(9)教育读者爱护书刊资料和馆内财物。</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（10）在图书馆业务建设方面，接受上级图书馆的指导。</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二</w:t>
      </w:r>
      <w:r>
        <w:rPr>
          <w:rFonts w:hint="eastAsia" w:ascii="黑体" w:hAnsi="黑体" w:eastAsia="黑体" w:cs="宋体"/>
          <w:bCs/>
          <w:kern w:val="0"/>
          <w:sz w:val="32"/>
          <w:szCs w:val="32"/>
        </w:rPr>
        <w:t>、</w:t>
      </w:r>
      <w:r>
        <w:rPr>
          <w:rFonts w:hint="eastAsia" w:ascii="黑体" w:hAnsi="黑体" w:eastAsia="黑体" w:cs="宋体"/>
          <w:bCs/>
          <w:kern w:val="0"/>
          <w:sz w:val="32"/>
          <w:szCs w:val="32"/>
          <w:lang w:eastAsia="zh-CN"/>
        </w:rPr>
        <w:t>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w:t>
      </w:r>
      <w:r>
        <w:rPr>
          <w:rFonts w:hint="eastAsia" w:ascii="仿宋_GB2312" w:hAnsi="Times New Roman" w:eastAsia="仿宋_GB2312" w:cs="Times New Roman"/>
          <w:sz w:val="32"/>
          <w:szCs w:val="32"/>
          <w:lang w:eastAsia="zh-CN"/>
        </w:rPr>
        <w:t>昌吉市图书馆</w:t>
      </w:r>
      <w:r>
        <w:rPr>
          <w:rFonts w:hint="eastAsia" w:ascii="仿宋_GB2312" w:hAnsi="Times New Roman" w:eastAsia="仿宋_GB2312" w:cs="Times New Roman"/>
          <w:sz w:val="32"/>
          <w:szCs w:val="32"/>
        </w:rPr>
        <w:t>部门决算包括：</w:t>
      </w:r>
      <w:r>
        <w:rPr>
          <w:rFonts w:hint="eastAsia" w:ascii="仿宋_GB2312" w:hAnsi="Times New Roman" w:eastAsia="仿宋_GB2312" w:cs="Times New Roman"/>
          <w:sz w:val="32"/>
          <w:szCs w:val="32"/>
          <w:lang w:eastAsia="zh-CN"/>
        </w:rPr>
        <w:t>昌吉市图书馆</w:t>
      </w:r>
      <w:r>
        <w:rPr>
          <w:rFonts w:hint="eastAsia" w:ascii="仿宋_GB2312" w:hAnsi="Times New Roman" w:eastAsia="仿宋_GB2312" w:cs="Times New Roman"/>
          <w:sz w:val="32"/>
          <w:szCs w:val="32"/>
        </w:rPr>
        <w:t>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w:t>
      </w:r>
      <w:r>
        <w:rPr>
          <w:rFonts w:hint="eastAsia" w:ascii="仿宋_GB2312" w:hAnsi="Times New Roman" w:eastAsia="仿宋_GB2312" w:cs="Times New Roman"/>
          <w:sz w:val="32"/>
          <w:szCs w:val="32"/>
          <w:lang w:eastAsia="zh-CN"/>
        </w:rPr>
        <w:t>昌吉市图书馆</w:t>
      </w:r>
      <w:r>
        <w:rPr>
          <w:rFonts w:hint="eastAsia" w:ascii="仿宋_GB2312" w:hAnsi="Times New Roman" w:eastAsia="仿宋_GB2312" w:cs="Times New Roman"/>
          <w:sz w:val="32"/>
          <w:szCs w:val="32"/>
          <w:lang w:val="en-US" w:eastAsia="zh-CN"/>
        </w:rPr>
        <w:t>2018</w:t>
      </w:r>
      <w:r>
        <w:rPr>
          <w:rFonts w:hint="eastAsia" w:ascii="仿宋_GB2312" w:hAnsi="Times New Roman" w:eastAsia="仿宋_GB2312" w:cs="Times New Roman"/>
          <w:sz w:val="32"/>
          <w:szCs w:val="32"/>
        </w:rPr>
        <w:t>年部门决算编制范围的单位名单见下表：</w:t>
      </w:r>
    </w:p>
    <w:p>
      <w:pPr>
        <w:widowControl w:val="0"/>
        <w:spacing w:line="540" w:lineRule="exact"/>
        <w:ind w:firstLine="640" w:firstLineChars="200"/>
        <w:jc w:val="both"/>
        <w:rPr>
          <w:rFonts w:hint="eastAsia" w:ascii="仿宋_GB2312" w:hAnsi="Times New Roman" w:eastAsia="仿宋_GB2312" w:cs="Times New Roman"/>
          <w:sz w:val="32"/>
          <w:szCs w:val="32"/>
        </w:rPr>
      </w:pPr>
    </w:p>
    <w:tbl>
      <w:tblPr>
        <w:tblStyle w:val="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7"/>
        <w:gridCol w:w="3240"/>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240"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18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240"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昌吉市图书馆</w:t>
            </w:r>
          </w:p>
        </w:tc>
        <w:tc>
          <w:tcPr>
            <w:tcW w:w="318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240"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18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240"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18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240"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187" w:type="dxa"/>
            <w:noWrap w:val="0"/>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bl>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第二部分 部门决算情况说明</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一、部门收支总体情况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189.41万元,与上年相比，减少39.35万元，降低17.2%，减少变化主要原因是：人员经费及日常公用经费的减少；支出179.77万元,与上年相比，减少48.63万元，降低21.29%，减少变化主要原因是：人员经费支出及日常公用经费的减少；结余10万元，与上年相比，增加9.6</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2677.77</w:t>
      </w:r>
      <w:r>
        <w:rPr>
          <w:rFonts w:hint="eastAsia" w:ascii="仿宋_GB2312" w:hAnsi="Times New Roman" w:eastAsia="仿宋_GB2312" w:cs="Times New Roman"/>
          <w:sz w:val="32"/>
          <w:szCs w:val="32"/>
        </w:rPr>
        <w:t>%。增加变化主要原因是：2018年决算结余公共文化服务体系建设专项资金。</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本年收入合计189.41万元，其中：财政拨款收入189.41万元，占100%；上级补助收入0万元，占0%；事业收入0万元，占0%;经营收入0万元，占0%；附属单位缴款0万元，占0%；其他收入0万元，占0%。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与年初预算数相比情况：本年收入年初预算数143.77万元，决算数189.41万元，预决算差异率31.75%，差异主要原因公共文化服务体系建设专项资金的增加、人员经费及日常公用经费的增加。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本年支出合计179.77万元，其中：基本支出161.77万元，占90%；项目支出18万元，占10%。上缴上级支出0万元，占0%；经营支出0万元，占0%；对附属单位补助支出0万元，占0%。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与年初预算数相比情况：本年支出年初预算数143.77万元，决算数179.77万元，预决算差异率25.04%，差异主要原因公共文化服务体系建设专项资金的增加、人员经费及日常公用经费的增加。</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189.41万元，与上年相比，减少39.35万元，降低17.2%。减少变化的主要原因是人员经费及项目拨款收入的减少。财政拨款支出179.77万元，与上年相比，减少48.63万元，降低21.29%，减少变化的主要原因是人员经费及项目拨款支出的减少。其中：基本支出161.77万元，项目支出18万元。财政拨款结转结余10万元，与上年相比，增加9.65万元，增长27.57%。增减变化的主要原因是2018年决算结余公共文化服务体系建设专项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143.77万元，决算数189.41万元，预决算差异率31.75%，差异主要原因公共文化服务体系建设专项资金的增加，人员经费及日常公用经费的增加。拨款支出年初预算数143.77万元，决算数179.77万元，预决算差异率25.04%，差异主要原因公共文化服务体系建设专项资金的增加，人员经费及日常公用经费的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189.41万元。与上年相比，减少39.35万元，降低17.2%。增减变化的主要原因是：人员经费及项目拨款收入的减少。一般公共预算财政拨款支出179.77万元。与上年相比，减少48.63万元，降低21.29%。增减变化的主要原因是：人员经费及项目支出的减少。其中：按功能分类科目，207文化体育与传媒支出164.7万元，208社会保障和就业支出15.07万元。按经济分类科目，工资福利支出144.46万元，对个人和家庭的补助1.27万元，商品和服务支出33.05万元，资本性支出0.99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143.77万元，决算数189.41万元，预决算差异率31.75%，差异主要原因公共文化服务体系建设专项资金的增加、人员经费及日常公用经费的增加。一般公共预算财政拨款支出年初预算数143.77万元，决算数179.77万元，预决算差异率25.04%，差异主要原因公共文化服务体系建设专项资金的增加、人员经费及日常公用经费的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与上年数据一致。政府性基金预算财政拨款支出0万元，与上年相比，增加0万元，增长0%。增减变化的主要原因是与上年数据一致。其中：按功能分类科目（按类级科目公开），0支出0万元，0支出0万元。按经济分类科目（按类级科目公开），0支出0万元，0支出0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未安排预算。政府性基金预算财政拨款支出年初预算数0万元，决算数0万元，预决算差异率0%，差异主要原因未安排预算。</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年末结转结余10万元。与上年相比，增加9.6</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2677.77</w:t>
      </w:r>
      <w:r>
        <w:rPr>
          <w:rFonts w:hint="eastAsia" w:ascii="仿宋_GB2312" w:hAnsi="Times New Roman" w:eastAsia="仿宋_GB2312" w:cs="Times New Roman"/>
          <w:sz w:val="32"/>
          <w:szCs w:val="32"/>
        </w:rPr>
        <w:t>%。</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其中财政拨款结转结余10万元。与上年相比，增加9.6</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2677.77</w:t>
      </w:r>
      <w:r>
        <w:rPr>
          <w:rFonts w:hint="eastAsia" w:ascii="仿宋_GB2312" w:hAnsi="Times New Roman" w:eastAsia="仿宋_GB2312" w:cs="Times New Roman"/>
          <w:sz w:val="32"/>
          <w:szCs w:val="32"/>
        </w:rPr>
        <w:t>%。</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0万元，比上年增加0万元，增长0%，严格按照中央八项规定和自治区的十条禁令从严控制公务用车运行经费的支出：其中，因公出国（境）费支出0万元，占0%，比上年增加0万元，增长0%，增加原因是无此项支出；公务用车购置及运行维护费支出0万元，占0%，比上年增加0万元，增长0%，增加原因无此项支出；公务接待费支出0万元，占0%，比上年增加0万元，增长0%，增加原因是无此项支出。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因公出国（境）费支出0万元。昌吉市图书馆全年使用一般公共预算财政拨款安排的出国（境）团组0个，累计0人次。开支内容包括：无此项开支。</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公务用车购置及运行维护费0万元,其中，公务用车购置0万元，公务用车运行维护费0万元。单位一般公共财政拨款安排的公务用车购置量0辆，保有量为0辆。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公务接待费0万元。具体是：国内公务接待支出0万元，主要是无接待。昌吉市图书馆单位国内公务接待0批次，0人次。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2.2万元，决算数0万元，预决算差异率-100%，差异主要原因严格按照中央八项规定和自治区的十条禁令从严控制公务用车运行经费的支出。其中：因公出国（境）费预算数0万元，决算数0万元，预决算差异率0%，差异主要原因无此项支出；公务用车购置预算数0万元，决算数0万元，预决算差异率0%，差异主要原因无此项支出；公务用车运行费预算数2.2万元，决算数0万元，预决算差异率-100%，差异主要原因无此项支出；公务接待费预算数0万元，决算数0万元，预决算差异率0%，差异主要原因无此项支出。</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2018年度昌吉市图书馆日常公用经费支出16.04万元，比上年增加1.82万元，增长12.8%，主要原因是电子阅览室服务器维护费的增加及电费的增加。</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2018年度政府采购支出总额0万元，其中：政府采购货物支出0万元、政府采购工程支出0万元、政府采购服务支出0万元。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七、其他重要事项的情况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0辆，价值0万元，其中：部级领导干部用车0辆、主要领导干部用车0辆、机要通信用车0辆、应急保障用车0辆、执法执勤用车0辆、特种专业技术用车0辆、离退休干部用车0辆、其他用车0辆，其他用车主要是：无；单位价值50万元以上通用设备0台（套）、单位价值100万元以上专用设备0台（套），其他固定资产价值225.1万元。</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2018年度，本部门单位预算绩效自评情况：自述有关预算绩效管理和绩效自评开展情况。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免费公开专项资金项目绩效自评综述：根据年初设定的绩效目标，免费公开专项资金项目绩效自评得分95分，项目全年预算数为18万元，执行数为18万元，完成预算的100%。主要产出和效果：一是充分发挥图书馆宣传教育和社会服务阵地作用；二是推动昌吉市全民阅读，创建书香社会发挥了积极作用；发现的问题及原因：一是阵地建设有待改善；二是馆员的整体综合素质有待提高。下一步改进措施：一是进一步完善图书馆管理机制；二是进一步加大基础设施建设力度。有关项目自评情况可以附项目支出绩效自评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总分馆端口服务费项目绩效自评综述：根据年初设定的绩效目标，总分馆端口服务费项目自评得分95分，项目全年预算数位10万元，执行数位10万元，完成预算的100%。主要产出和效果：一是开通了10个分馆端口，实现了昌吉市图书馆与分馆之间图书的通借通还；二是提高了现有公共文化设施和图书资源利用率，更好满足市域群众读书看报及数字文化需求；发现的问题及原因：一是对公共文化设施建设，设施网络建设有待完善；二是加强队伍建设，解决总分馆人员配备问题。下一步改进措施：一是进一步完善图书馆总分馆制管理体制；二进一步加大数字化建设力度。</w:t>
      </w:r>
    </w:p>
    <w:tbl>
      <w:tblPr>
        <w:tblStyle w:val="4"/>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noWrap w:val="0"/>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昌吉市图书馆免费公开专项资金项目支出绩效自评表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noWrap w:val="0"/>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noWrap w:val="0"/>
            <w:vAlign w:val="center"/>
          </w:tcPr>
          <w:p>
            <w:pPr>
              <w:widowControl/>
              <w:jc w:val="center"/>
              <w:rPr>
                <w:rFonts w:ascii="宋体" w:hAnsi="宋体" w:cs="宋体"/>
                <w:kern w:val="0"/>
                <w:sz w:val="24"/>
              </w:rPr>
            </w:pPr>
          </w:p>
        </w:tc>
        <w:tc>
          <w:tcPr>
            <w:tcW w:w="1140" w:type="dxa"/>
            <w:tcBorders>
              <w:top w:val="nil"/>
              <w:left w:val="nil"/>
              <w:bottom w:val="nil"/>
              <w:right w:val="nil"/>
            </w:tcBorders>
            <w:noWrap w:val="0"/>
            <w:vAlign w:val="center"/>
          </w:tcPr>
          <w:p>
            <w:pPr>
              <w:widowControl/>
              <w:jc w:val="center"/>
              <w:rPr>
                <w:rFonts w:ascii="宋体" w:hAnsi="宋体" w:cs="宋体"/>
                <w:kern w:val="0"/>
                <w:sz w:val="24"/>
              </w:rPr>
            </w:pPr>
          </w:p>
        </w:tc>
        <w:tc>
          <w:tcPr>
            <w:tcW w:w="1360" w:type="dxa"/>
            <w:tcBorders>
              <w:top w:val="nil"/>
              <w:left w:val="nil"/>
              <w:bottom w:val="nil"/>
              <w:right w:val="nil"/>
            </w:tcBorders>
            <w:noWrap w:val="0"/>
            <w:vAlign w:val="center"/>
          </w:tcPr>
          <w:p>
            <w:pPr>
              <w:widowControl/>
              <w:jc w:val="center"/>
              <w:rPr>
                <w:rFonts w:ascii="宋体" w:hAnsi="宋体" w:cs="宋体"/>
                <w:kern w:val="0"/>
                <w:sz w:val="24"/>
              </w:rPr>
            </w:pPr>
          </w:p>
        </w:tc>
        <w:tc>
          <w:tcPr>
            <w:tcW w:w="1080" w:type="dxa"/>
            <w:tcBorders>
              <w:top w:val="nil"/>
              <w:left w:val="nil"/>
              <w:bottom w:val="nil"/>
              <w:right w:val="nil"/>
            </w:tcBorders>
            <w:noWrap w:val="0"/>
            <w:vAlign w:val="center"/>
          </w:tcPr>
          <w:p>
            <w:pPr>
              <w:widowControl/>
              <w:jc w:val="center"/>
              <w:rPr>
                <w:rFonts w:ascii="宋体" w:hAnsi="宋体" w:cs="宋体"/>
                <w:kern w:val="0"/>
                <w:sz w:val="24"/>
              </w:rPr>
            </w:pPr>
          </w:p>
        </w:tc>
        <w:tc>
          <w:tcPr>
            <w:tcW w:w="880" w:type="dxa"/>
            <w:tcBorders>
              <w:top w:val="nil"/>
              <w:left w:val="nil"/>
              <w:bottom w:val="nil"/>
              <w:right w:val="nil"/>
            </w:tcBorders>
            <w:noWrap w:val="0"/>
            <w:vAlign w:val="center"/>
          </w:tcPr>
          <w:p>
            <w:pPr>
              <w:widowControl/>
              <w:jc w:val="center"/>
              <w:rPr>
                <w:rFonts w:ascii="宋体" w:hAnsi="宋体" w:cs="宋体"/>
                <w:kern w:val="0"/>
                <w:sz w:val="24"/>
              </w:rPr>
            </w:pPr>
          </w:p>
        </w:tc>
        <w:tc>
          <w:tcPr>
            <w:tcW w:w="2060" w:type="dxa"/>
            <w:tcBorders>
              <w:top w:val="nil"/>
              <w:left w:val="nil"/>
              <w:bottom w:val="nil"/>
              <w:right w:val="nil"/>
            </w:tcBorders>
            <w:noWrap w:val="0"/>
            <w:vAlign w:val="center"/>
          </w:tcPr>
          <w:p>
            <w:pPr>
              <w:widowControl/>
              <w:jc w:val="center"/>
              <w:rPr>
                <w:rFonts w:ascii="宋体" w:hAnsi="宋体" w:cs="宋体"/>
                <w:kern w:val="0"/>
                <w:sz w:val="24"/>
              </w:rPr>
            </w:pPr>
          </w:p>
        </w:tc>
        <w:tc>
          <w:tcPr>
            <w:tcW w:w="1780" w:type="dxa"/>
            <w:tcBorders>
              <w:top w:val="nil"/>
              <w:left w:val="nil"/>
              <w:bottom w:val="nil"/>
              <w:right w:val="nil"/>
            </w:tcBorders>
            <w:noWrap w:val="0"/>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noWrap w:val="0"/>
            <w:vAlign w:val="center"/>
          </w:tcPr>
          <w:p>
            <w:pPr>
              <w:widowControl/>
              <w:rPr>
                <w:rFonts w:ascii="宋体" w:hAnsi="宋体" w:cs="宋体"/>
                <w:kern w:val="0"/>
                <w:sz w:val="20"/>
                <w:szCs w:val="20"/>
              </w:rPr>
            </w:pPr>
            <w:r>
              <w:rPr>
                <w:rFonts w:hint="eastAsia" w:ascii="宋体" w:hAnsi="宋体" w:cs="宋体"/>
                <w:kern w:val="0"/>
                <w:sz w:val="20"/>
                <w:szCs w:val="20"/>
              </w:rPr>
              <w:t>免费公开专项资金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noWrap w:val="0"/>
            <w:vAlign w:val="center"/>
          </w:tcPr>
          <w:p>
            <w:pPr>
              <w:widowControl/>
              <w:rPr>
                <w:rFonts w:ascii="宋体" w:hAnsi="宋体" w:cs="宋体"/>
                <w:kern w:val="0"/>
                <w:sz w:val="20"/>
                <w:szCs w:val="20"/>
              </w:rPr>
            </w:pPr>
            <w:r>
              <w:rPr>
                <w:rFonts w:hint="eastAsia" w:ascii="宋体" w:hAnsi="宋体" w:cs="宋体"/>
                <w:kern w:val="0"/>
                <w:sz w:val="20"/>
                <w:szCs w:val="20"/>
              </w:rPr>
              <w:t>昌吉市图书馆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18　</w:t>
            </w:r>
          </w:p>
        </w:tc>
        <w:tc>
          <w:tcPr>
            <w:tcW w:w="20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20"/>
                <w:szCs w:val="20"/>
              </w:rPr>
            </w:pPr>
            <w:r>
              <w:rPr>
                <w:rFonts w:hint="eastAsia" w:ascii="宋体" w:hAnsi="宋体" w:cs="宋体"/>
                <w:kern w:val="0"/>
                <w:sz w:val="20"/>
                <w:szCs w:val="20"/>
              </w:rPr>
              <w:t>18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18　</w:t>
            </w:r>
          </w:p>
        </w:tc>
        <w:tc>
          <w:tcPr>
            <w:tcW w:w="2060" w:type="dxa"/>
            <w:tcBorders>
              <w:top w:val="nil"/>
              <w:left w:val="nil"/>
              <w:bottom w:val="nil"/>
              <w:right w:val="single" w:color="auto" w:sz="4" w:space="0"/>
            </w:tcBorders>
            <w:noWrap w:val="0"/>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20"/>
                <w:szCs w:val="20"/>
              </w:rPr>
            </w:pPr>
            <w:r>
              <w:rPr>
                <w:rFonts w:hint="eastAsia" w:ascii="宋体" w:hAnsi="宋体" w:cs="宋体"/>
                <w:kern w:val="0"/>
                <w:sz w:val="20"/>
                <w:szCs w:val="20"/>
              </w:rPr>
              <w:t>18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noWrap w:val="0"/>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noWrap w:val="0"/>
            <w:vAlign w:val="top"/>
          </w:tcPr>
          <w:p>
            <w:pPr>
              <w:tabs>
                <w:tab w:val="left" w:pos="5040"/>
              </w:tabs>
              <w:ind w:right="113"/>
              <w:rPr>
                <w:rFonts w:ascii="方正仿宋_GBK" w:hAnsi="方正仿宋_GBK" w:eastAsia="方正仿宋_GBK" w:cs="方正仿宋_GBK"/>
                <w:bCs/>
                <w:color w:val="222222"/>
                <w:kern w:val="0"/>
                <w:sz w:val="18"/>
                <w:szCs w:val="18"/>
              </w:rPr>
            </w:pPr>
            <w:r>
              <w:rPr>
                <w:rFonts w:hint="eastAsia" w:ascii="宋体" w:hAnsi="宋体" w:cs="宋体"/>
                <w:kern w:val="0"/>
                <w:sz w:val="20"/>
                <w:szCs w:val="20"/>
              </w:rPr>
              <w:t xml:space="preserve"> </w:t>
            </w:r>
            <w:r>
              <w:rPr>
                <w:rFonts w:hint="eastAsia" w:ascii="宋体" w:hAnsi="宋体" w:cs="宋体"/>
                <w:kern w:val="0"/>
                <w:szCs w:val="21"/>
              </w:rPr>
              <w:t xml:space="preserve">  </w:t>
            </w:r>
            <w:r>
              <w:rPr>
                <w:rFonts w:hint="eastAsia" w:ascii="宋体" w:hAnsi="宋体" w:cs="宋体"/>
                <w:kern w:val="0"/>
                <w:sz w:val="18"/>
                <w:szCs w:val="18"/>
              </w:rPr>
              <w:t xml:space="preserve"> 开展</w:t>
            </w:r>
            <w:r>
              <w:rPr>
                <w:rFonts w:hint="eastAsia" w:ascii="方正仿宋_GBK" w:hAnsi="方正仿宋_GBK" w:eastAsia="方正仿宋_GBK" w:cs="方正仿宋_GBK"/>
                <w:bCs/>
                <w:color w:val="222222"/>
                <w:kern w:val="0"/>
                <w:sz w:val="18"/>
                <w:szCs w:val="18"/>
              </w:rPr>
              <w:t>文献资源借阅、检索与咨询达3万人次，举办公益性讲座、展览，开展阅读推广、读者活动不少于20场次，基层文化骨干业务辅导培训不少于4次；流动图书借阅与送书下乡服务等基本公共文化服务。</w:t>
            </w:r>
          </w:p>
          <w:p>
            <w:pPr>
              <w:widowControl/>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noWrap w:val="0"/>
            <w:vAlign w:val="top"/>
          </w:tcPr>
          <w:p>
            <w:pPr>
              <w:rPr>
                <w:rFonts w:ascii="宋体" w:hAnsi="宋体" w:cs="宋体"/>
                <w:kern w:val="0"/>
                <w:sz w:val="20"/>
                <w:szCs w:val="20"/>
              </w:rPr>
            </w:pPr>
            <w:r>
              <w:rPr>
                <w:rFonts w:hint="eastAsia" w:ascii="宋体" w:hAnsi="宋体" w:cs="宋体"/>
                <w:sz w:val="20"/>
                <w:szCs w:val="20"/>
              </w:rPr>
              <w:t xml:space="preserve">  </w:t>
            </w:r>
            <w:r>
              <w:rPr>
                <w:rFonts w:hint="eastAsia" w:ascii="宋体" w:hAnsi="宋体" w:cs="宋体"/>
                <w:kern w:val="0"/>
                <w:sz w:val="18"/>
                <w:szCs w:val="18"/>
              </w:rPr>
              <w:t>开展</w:t>
            </w:r>
            <w:r>
              <w:rPr>
                <w:rFonts w:hint="eastAsia" w:ascii="方正仿宋_GBK" w:hAnsi="方正仿宋_GBK" w:eastAsia="方正仿宋_GBK" w:cs="方正仿宋_GBK"/>
                <w:bCs/>
                <w:color w:val="222222"/>
                <w:kern w:val="0"/>
                <w:sz w:val="18"/>
                <w:szCs w:val="18"/>
              </w:rPr>
              <w:t>文献资源借阅、检索与咨询，全年</w:t>
            </w:r>
            <w:r>
              <w:rPr>
                <w:rFonts w:hint="eastAsia" w:ascii="宋体" w:hAnsi="宋体" w:cs="宋体"/>
                <w:sz w:val="20"/>
                <w:szCs w:val="20"/>
              </w:rPr>
              <w:t>图书流通3万人次，图书5万册次。 举办报告会、讲座、展览、征文比赛、培训、读者座谈会等丰富馆办活动近30场，受益群众达2万人次。</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全年受益人次</w:t>
            </w:r>
          </w:p>
        </w:tc>
        <w:tc>
          <w:tcPr>
            <w:tcW w:w="206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　5万人</w:t>
            </w:r>
          </w:p>
        </w:tc>
        <w:tc>
          <w:tcPr>
            <w:tcW w:w="178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5万余人次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免费开放天数</w:t>
            </w:r>
          </w:p>
        </w:tc>
        <w:tc>
          <w:tcPr>
            <w:tcW w:w="206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每周不少于48小时</w:t>
            </w:r>
          </w:p>
        </w:tc>
        <w:tc>
          <w:tcPr>
            <w:tcW w:w="178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每周不少于48小时</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sz w:val="18"/>
                <w:szCs w:val="18"/>
              </w:rPr>
              <w:t>免费开展各类馆办活动</w:t>
            </w:r>
          </w:p>
        </w:tc>
        <w:tc>
          <w:tcPr>
            <w:tcW w:w="206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24场次</w:t>
            </w:r>
          </w:p>
        </w:tc>
        <w:tc>
          <w:tcPr>
            <w:tcW w:w="178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馆办活动20场次，报告会讲座4场次，版面展览6次。业务培训8次，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免费开放绩效考评</w:t>
            </w:r>
          </w:p>
        </w:tc>
        <w:tc>
          <w:tcPr>
            <w:tcW w:w="206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100</w:t>
            </w:r>
            <w:r>
              <w:rPr>
                <w:rFonts w:ascii="Arial" w:hAnsi="Arial" w:cs="Arial"/>
                <w:kern w:val="0"/>
                <w:sz w:val="18"/>
                <w:szCs w:val="18"/>
              </w:rPr>
              <w:t>％</w:t>
            </w:r>
          </w:p>
        </w:tc>
        <w:tc>
          <w:tcPr>
            <w:tcW w:w="178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图书馆迎接文广局双目标考核定为优</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免费开放专项资金到位</w:t>
            </w:r>
          </w:p>
        </w:tc>
        <w:tc>
          <w:tcPr>
            <w:tcW w:w="206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18万元</w:t>
            </w:r>
          </w:p>
        </w:tc>
        <w:tc>
          <w:tcPr>
            <w:tcW w:w="178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18万元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充分发挥图书馆宣传教育和社会服务阵地作用</w:t>
            </w:r>
          </w:p>
        </w:tc>
        <w:tc>
          <w:tcPr>
            <w:tcW w:w="206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有效加强</w:t>
            </w:r>
          </w:p>
        </w:tc>
        <w:tc>
          <w:tcPr>
            <w:tcW w:w="178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通过对读者的调查问卷知晓率100</w:t>
            </w:r>
            <w:r>
              <w:rPr>
                <w:rFonts w:ascii="Arial" w:hAnsi="Arial" w:cs="Arial"/>
                <w:kern w:val="0"/>
                <w:sz w:val="18"/>
                <w:szCs w:val="18"/>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solid" w:color="FFFFFF" w:fill="auto"/>
            <w:noWrap w:val="0"/>
            <w:vAlign w:val="top"/>
          </w:tcPr>
          <w:p>
            <w:pPr>
              <w:rPr>
                <w:rFonts w:ascii="宋体" w:hAnsi="宋体" w:cs="宋体"/>
                <w:kern w:val="0"/>
                <w:sz w:val="18"/>
                <w:szCs w:val="18"/>
              </w:rPr>
            </w:pPr>
            <w:r>
              <w:rPr>
                <w:rFonts w:hint="eastAsia" w:ascii="宋体" w:hAnsi="宋体" w:cs="宋体"/>
                <w:sz w:val="18"/>
                <w:szCs w:val="18"/>
              </w:rPr>
              <w:t xml:space="preserve">推动昌吉市全民阅读，创建书香社会发挥了积极作用。 </w:t>
            </w:r>
          </w:p>
        </w:tc>
        <w:tc>
          <w:tcPr>
            <w:tcW w:w="2060" w:type="dxa"/>
            <w:tcBorders>
              <w:top w:val="nil"/>
              <w:left w:val="nil"/>
              <w:bottom w:val="single" w:color="auto" w:sz="4" w:space="0"/>
              <w:right w:val="single" w:color="auto" w:sz="4" w:space="0"/>
            </w:tcBorders>
            <w:shd w:val="solid" w:color="FFFFFF" w:fill="auto"/>
            <w:noWrap w:val="0"/>
            <w:vAlign w:val="top"/>
          </w:tcPr>
          <w:p>
            <w:pPr>
              <w:shd w:val="solid" w:color="FFFFFF" w:fill="auto"/>
              <w:autoSpaceDN w:val="0"/>
              <w:textAlignment w:val="center"/>
              <w:rPr>
                <w:rFonts w:ascii="宋体" w:hAnsi="宋体" w:cs="宋体"/>
                <w:kern w:val="0"/>
                <w:sz w:val="18"/>
                <w:szCs w:val="18"/>
              </w:rPr>
            </w:pPr>
            <w:r>
              <w:rPr>
                <w:rFonts w:hint="eastAsia" w:ascii="宋体" w:hAnsi="宋体" w:cs="宋体"/>
                <w:sz w:val="18"/>
                <w:szCs w:val="18"/>
              </w:rPr>
              <w:t>长期</w:t>
            </w:r>
          </w:p>
        </w:tc>
        <w:tc>
          <w:tcPr>
            <w:tcW w:w="1780" w:type="dxa"/>
            <w:tcBorders>
              <w:top w:val="nil"/>
              <w:left w:val="nil"/>
              <w:bottom w:val="single" w:color="auto" w:sz="4" w:space="0"/>
              <w:right w:val="single" w:color="auto" w:sz="4" w:space="0"/>
            </w:tcBorders>
            <w:shd w:val="solid" w:color="FFFFFF" w:fill="auto"/>
            <w:noWrap w:val="0"/>
            <w:vAlign w:val="top"/>
          </w:tcPr>
          <w:p>
            <w:pPr>
              <w:spacing w:line="400" w:lineRule="exact"/>
              <w:rPr>
                <w:rFonts w:ascii="宋体" w:hAnsi="宋体" w:cs="宋体"/>
                <w:kern w:val="0"/>
                <w:sz w:val="18"/>
                <w:szCs w:val="18"/>
              </w:rPr>
            </w:pPr>
            <w:r>
              <w:rPr>
                <w:rFonts w:hint="eastAsia" w:ascii="宋体" w:hAnsi="宋体" w:cs="宋体"/>
                <w:kern w:val="0"/>
                <w:sz w:val="18"/>
                <w:szCs w:val="18"/>
              </w:rPr>
              <w:t>馆办活动20场次，报告会讲座4场次，版面展览6次。业务培训8次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 xml:space="preserve"> 满足昌吉市广大读者</w:t>
            </w:r>
          </w:p>
        </w:tc>
        <w:tc>
          <w:tcPr>
            <w:tcW w:w="206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95</w:t>
            </w:r>
            <w:r>
              <w:rPr>
                <w:rFonts w:ascii="Arial" w:hAnsi="Arial" w:cs="Arial"/>
                <w:kern w:val="0"/>
                <w:sz w:val="18"/>
                <w:szCs w:val="18"/>
              </w:rPr>
              <w:t>％</w:t>
            </w:r>
          </w:p>
        </w:tc>
        <w:tc>
          <w:tcPr>
            <w:tcW w:w="1780" w:type="dxa"/>
            <w:tcBorders>
              <w:top w:val="nil"/>
              <w:left w:val="nil"/>
              <w:bottom w:val="single" w:color="auto" w:sz="4" w:space="0"/>
              <w:right w:val="single" w:color="auto" w:sz="4" w:space="0"/>
            </w:tcBorders>
            <w:noWrap w:val="0"/>
            <w:vAlign w:val="top"/>
          </w:tcPr>
          <w:p>
            <w:pPr>
              <w:widowControl/>
              <w:rPr>
                <w:rFonts w:ascii="宋体" w:hAnsi="宋体" w:cs="宋体"/>
                <w:kern w:val="0"/>
                <w:sz w:val="18"/>
                <w:szCs w:val="18"/>
              </w:rPr>
            </w:pPr>
            <w:r>
              <w:rPr>
                <w:rFonts w:hint="eastAsia" w:ascii="宋体" w:hAnsi="宋体" w:cs="宋体"/>
                <w:kern w:val="0"/>
                <w:sz w:val="18"/>
                <w:szCs w:val="18"/>
              </w:rPr>
              <w:t>　通过免费开放提高读者满意度</w:t>
            </w:r>
          </w:p>
        </w:tc>
      </w:tr>
    </w:tbl>
    <w:p>
      <w:pPr>
        <w:widowControl w:val="0"/>
        <w:spacing w:line="540" w:lineRule="exact"/>
        <w:ind w:firstLine="640" w:firstLineChars="200"/>
        <w:jc w:val="both"/>
        <w:rPr>
          <w:rFonts w:hint="eastAsia" w:ascii="仿宋_GB2312" w:hAnsi="Times New Roman" w:eastAsia="仿宋_GB2312"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本单位支出功能分类说明。207（类）文化体育与传媒支出01（款）文化04（项）：指图书。207（类）文化体育与传媒支出01（款）文化99（项）指 ：其他文化支出。208（类）社会保障和就业支出05（款）行政事业单位离退休05（项）机关事业单位基本养老保险缴费支出。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其他有关说明内容。</w:t>
      </w: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宋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4F7"/>
    <w:rsid w:val="003618EC"/>
    <w:rsid w:val="004874F7"/>
    <w:rsid w:val="006E0942"/>
    <w:rsid w:val="009B6545"/>
    <w:rsid w:val="00AD7EF8"/>
    <w:rsid w:val="00F0733E"/>
    <w:rsid w:val="17A800D1"/>
    <w:rsid w:val="19775249"/>
    <w:rsid w:val="1C954ADE"/>
    <w:rsid w:val="4A4E545C"/>
    <w:rsid w:val="512C296C"/>
    <w:rsid w:val="5C6014DD"/>
    <w:rsid w:val="755175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unhideWhenUsed/>
    <w:uiPriority w:val="1"/>
  </w:style>
  <w:style w:type="table" w:default="1" w:styleId="4">
    <w:name w:val="Normal Table"/>
    <w:unhideWhenUsed/>
    <w:uiPriority w:val="99"/>
    <w:tblPr>
      <w:tblStyle w:val="4"/>
      <w:tblLayout w:type="fixed"/>
      <w:tblCellMar>
        <w:top w:w="0" w:type="dxa"/>
        <w:left w:w="108" w:type="dxa"/>
        <w:bottom w:w="0" w:type="dxa"/>
        <w:right w:w="108" w:type="dxa"/>
      </w:tblCellMar>
    </w:tblPr>
  </w:style>
  <w:style w:type="paragraph" w:styleId="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unhideWhenUsed/>
    <w:uiPriority w:val="99"/>
    <w:rPr>
      <w:color w:val="0000FF"/>
      <w:u w:val="single"/>
    </w:rPr>
  </w:style>
  <w:style w:type="character" w:customStyle="1" w:styleId="7">
    <w:name w:val="pointer"/>
    <w:uiPriority w:val="0"/>
  </w:style>
  <w:style w:type="character" w:customStyle="1" w:styleId="8">
    <w:name w:val="am-margin-right-sm"/>
    <w:uiPriority w:val="0"/>
  </w:style>
  <w:style w:type="character" w:customStyle="1" w:styleId="9">
    <w:name w:val="pages_print_font"/>
    <w:uiPriority w:val="0"/>
  </w:style>
  <w:style w:type="character" w:customStyle="1" w:styleId="10">
    <w:name w:val="标题 2 Char"/>
    <w:link w:val="2"/>
    <w:uiPriority w:val="9"/>
    <w:rPr>
      <w:rFonts w:ascii="宋体" w:hAnsi="宋体" w:eastAsia="宋体" w:cs="宋体"/>
      <w:b/>
      <w:bCs/>
      <w:kern w:val="0"/>
      <w:sz w:val="36"/>
      <w:szCs w:val="36"/>
    </w:rPr>
  </w:style>
  <w:style w:type="character" w:customStyle="1" w:styleId="11">
    <w:name w:val="btnprin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964</Words>
  <Characters>5501</Characters>
  <Lines>45</Lines>
  <Paragraphs>12</Paragraphs>
  <TotalTime>0</TotalTime>
  <ScaleCrop>false</ScaleCrop>
  <LinksUpToDate>false</LinksUpToDate>
  <CharactersWithSpaces>6453</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2021-05-21T13:43:00Z</dcterms:created>
  <dc:creator>Yee Jackson</dc:creator>
  <cp:lastModifiedBy>Administrator</cp:lastModifiedBy>
  <dcterms:modified xsi:type="dcterms:W3CDTF">2021-05-28T11:28:12Z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6E4F9C7575904252987C3CC9C1923884</vt:lpwstr>
  </property>
</Properties>
</file>