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sz w:val="32"/>
          <w:szCs w:val="32"/>
        </w:rPr>
      </w:pPr>
      <w:r>
        <w:rPr>
          <w:rFonts w:hint="eastAsia" w:ascii="黑体" w:hAnsi="黑体" w:eastAsia="黑体"/>
          <w:sz w:val="32"/>
          <w:szCs w:val="32"/>
        </w:rPr>
        <w:t>附件1：</w:t>
      </w:r>
    </w:p>
    <w:p>
      <w:pPr>
        <w:spacing w:line="540" w:lineRule="exact"/>
        <w:rPr>
          <w:rFonts w:hint="eastAsia" w:ascii="黑体" w:hAnsi="黑体" w:eastAsia="黑体"/>
          <w:sz w:val="32"/>
          <w:szCs w:val="32"/>
        </w:rPr>
      </w:pPr>
    </w:p>
    <w:p>
      <w:pPr>
        <w:widowControl/>
        <w:shd w:val="clear" w:color="auto" w:fill="FFFFFF"/>
        <w:spacing w:line="840" w:lineRule="atLeast"/>
        <w:jc w:val="center"/>
        <w:outlineLvl w:val="1"/>
        <w:rPr>
          <w:rFonts w:ascii="å®‹ä½“" w:hAnsi="微软雅黑" w:eastAsia="å®‹ä½“" w:cs="宋体"/>
          <w:b/>
          <w:bCs/>
          <w:color w:val="333333"/>
          <w:kern w:val="0"/>
          <w:sz w:val="57"/>
          <w:szCs w:val="57"/>
        </w:rPr>
      </w:pPr>
      <w:r>
        <w:rPr>
          <w:rFonts w:hint="eastAsia" w:ascii="方正小标宋_GBK" w:hAnsi="宋体" w:eastAsia="方正小标宋_GBK"/>
          <w:sz w:val="44"/>
          <w:szCs w:val="44"/>
        </w:rPr>
        <w:t>2018年</w:t>
      </w:r>
      <w:r>
        <w:rPr>
          <w:rFonts w:hint="eastAsia" w:ascii="方正小标宋_GBK" w:hAnsi="宋体" w:eastAsia="方正小标宋_GBK"/>
          <w:sz w:val="44"/>
          <w:szCs w:val="44"/>
          <w:lang w:eastAsia="zh-CN"/>
        </w:rPr>
        <w:t>度</w:t>
      </w:r>
      <w:r>
        <w:rPr>
          <w:rFonts w:hint="eastAsia" w:ascii="方正小标宋_GBK" w:hAnsi="宋体" w:eastAsia="方正小标宋_GBK"/>
          <w:sz w:val="44"/>
          <w:szCs w:val="44"/>
        </w:rPr>
        <w:t>昌吉市文物局决算公开说明</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hint="eastAsia" w:ascii="仿宋_GB2312" w:eastAsia="仿宋_GB2312"/>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ind w:firstLine="640" w:firstLineChars="200"/>
        <w:outlineLvl w:val="1"/>
        <w:rPr>
          <w:rFonts w:ascii="黑体" w:hAnsi="黑体" w:eastAsia="黑体" w:cs="宋体"/>
          <w:bCs/>
          <w:kern w:val="0"/>
          <w:sz w:val="32"/>
          <w:szCs w:val="32"/>
        </w:rPr>
      </w:pPr>
      <w:bookmarkStart w:id="0" w:name="_Toc30567"/>
      <w:bookmarkStart w:id="1" w:name="_Toc30738"/>
      <w:r>
        <w:rPr>
          <w:rFonts w:hint="eastAsia" w:ascii="黑体" w:hAnsi="黑体" w:eastAsia="黑体" w:cs="宋体"/>
          <w:bCs/>
          <w:kern w:val="0"/>
          <w:sz w:val="32"/>
          <w:szCs w:val="32"/>
        </w:rPr>
        <w:t>一、主要职能</w:t>
      </w:r>
      <w:bookmarkEnd w:id="0"/>
      <w:bookmarkEnd w:id="1"/>
    </w:p>
    <w:p>
      <w:pPr>
        <w:spacing w:line="560" w:lineRule="exact"/>
        <w:ind w:firstLine="640" w:firstLineChars="200"/>
        <w:rPr>
          <w:rFonts w:hint="eastAsia" w:ascii="仿宋_GB2312" w:hAnsi="仿宋_GB2312" w:eastAsia="仿宋_GB2312" w:cs="仿宋_GB2312"/>
          <w:sz w:val="32"/>
          <w:szCs w:val="32"/>
        </w:rPr>
      </w:pPr>
      <w:bookmarkStart w:id="2" w:name="_Toc31238"/>
      <w:bookmarkStart w:id="3" w:name="_Toc2151"/>
      <w:r>
        <w:rPr>
          <w:rFonts w:hint="eastAsia" w:ascii="仿宋_GB2312" w:hAnsi="仿宋_GB2312" w:eastAsia="仿宋_GB2312" w:cs="仿宋_GB2312"/>
          <w:kern w:val="0"/>
          <w:sz w:val="32"/>
          <w:szCs w:val="32"/>
        </w:rPr>
        <w:t>昌吉市文物局</w:t>
      </w:r>
      <w:r>
        <w:rPr>
          <w:rFonts w:hint="eastAsia" w:ascii="仿宋_GB2312" w:hAnsi="仿宋_GB2312" w:eastAsia="仿宋_GB2312" w:cs="仿宋_GB2312"/>
          <w:sz w:val="32"/>
          <w:szCs w:val="32"/>
        </w:rPr>
        <w:t>开展文物保护、文物执法工作，制定全市文物事业发展总体规划，制定并实施本行政区域内的国保、区保、市保单位的保护规划并组织实施，做好本辖区内文物保护、管理、监督、收藏及宣传工作和文物鉴定与咨询等工作。</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2"/>
      <w:r>
        <w:rPr>
          <w:rFonts w:hint="eastAsia" w:ascii="黑体" w:hAnsi="黑体" w:eastAsia="黑体" w:cs="宋体"/>
          <w:bCs/>
          <w:kern w:val="0"/>
          <w:sz w:val="32"/>
          <w:szCs w:val="32"/>
        </w:rPr>
        <w:t>人员情况</w:t>
      </w:r>
      <w:bookmarkEnd w:id="3"/>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从部门决算单位构成看，昌吉市文物局部门决算包括：昌吉市文物局</w:t>
      </w:r>
      <w:r>
        <w:rPr>
          <w:rFonts w:hint="eastAsia" w:ascii="仿宋_GB2312" w:hAnsi="仿宋_GB2312" w:eastAsia="仿宋_GB2312" w:cs="仿宋_GB2312"/>
          <w:kern w:val="0"/>
          <w:sz w:val="32"/>
          <w:szCs w:val="32"/>
          <w:lang w:eastAsia="zh-CN"/>
        </w:rPr>
        <w:t>本级</w:t>
      </w:r>
      <w:r>
        <w:rPr>
          <w:rFonts w:hint="eastAsia" w:ascii="仿宋_GB2312" w:hAnsi="仿宋_GB2312" w:eastAsia="仿宋_GB2312" w:cs="仿宋_GB2312"/>
          <w:kern w:val="0"/>
          <w:sz w:val="32"/>
          <w:szCs w:val="32"/>
        </w:rPr>
        <w:t>。</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纳入</w:t>
      </w:r>
      <w:r>
        <w:rPr>
          <w:rFonts w:hint="eastAsia" w:ascii="仿宋_GB2312" w:hAnsi="仿宋_GB2312" w:eastAsia="仿宋_GB2312" w:cs="仿宋_GB2312"/>
          <w:kern w:val="0"/>
          <w:sz w:val="32"/>
          <w:szCs w:val="32"/>
          <w:lang w:eastAsia="zh-CN"/>
        </w:rPr>
        <w:t>昌吉市文物局</w:t>
      </w:r>
      <w:r>
        <w:rPr>
          <w:rFonts w:hint="eastAsia" w:ascii="仿宋_GB2312" w:hAnsi="仿宋_GB2312" w:eastAsia="仿宋_GB2312" w:cs="仿宋_GB2312"/>
          <w:kern w:val="0"/>
          <w:sz w:val="32"/>
          <w:szCs w:val="32"/>
          <w:lang w:val="en-US" w:eastAsia="zh-CN"/>
        </w:rPr>
        <w:t>2018</w:t>
      </w:r>
      <w:r>
        <w:rPr>
          <w:rFonts w:hint="eastAsia" w:ascii="仿宋_GB2312" w:hAnsi="仿宋_GB2312" w:eastAsia="仿宋_GB2312" w:cs="仿宋_GB2312"/>
          <w:kern w:val="0"/>
          <w:sz w:val="32"/>
          <w:szCs w:val="32"/>
        </w:rPr>
        <w:t>年部门决算编制范围的单位名单见下表：</w:t>
      </w:r>
    </w:p>
    <w:p>
      <w:pPr>
        <w:spacing w:line="500" w:lineRule="exact"/>
        <w:ind w:firstLine="616" w:firstLineChars="200"/>
        <w:rPr>
          <w:rFonts w:hint="eastAsia" w:ascii="仿宋_GB2312" w:eastAsia="仿宋_GB2312"/>
          <w:spacing w:val="-6"/>
          <w:sz w:val="32"/>
          <w:szCs w:val="32"/>
        </w:rPr>
      </w:pPr>
    </w:p>
    <w:tbl>
      <w:tblPr>
        <w:tblStyle w:val="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7"/>
        <w:gridCol w:w="3240"/>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序号</w:t>
            </w:r>
          </w:p>
        </w:tc>
        <w:tc>
          <w:tcPr>
            <w:tcW w:w="3240"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单位名称</w:t>
            </w:r>
          </w:p>
        </w:tc>
        <w:tc>
          <w:tcPr>
            <w:tcW w:w="3187" w:type="dxa"/>
            <w:noWrap w:val="0"/>
            <w:vAlign w:val="center"/>
          </w:tcPr>
          <w:p>
            <w:pPr>
              <w:spacing w:line="500" w:lineRule="exact"/>
              <w:ind w:firstLine="1280" w:firstLineChars="400"/>
              <w:rPr>
                <w:rFonts w:hint="eastAsia"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37" w:type="dxa"/>
            <w:noWrap w:val="0"/>
            <w:vAlign w:val="center"/>
          </w:tcPr>
          <w:p>
            <w:pPr>
              <w:spacing w:line="500" w:lineRule="exact"/>
              <w:ind w:firstLine="640" w:firstLineChars="200"/>
              <w:rPr>
                <w:rFonts w:hint="eastAsia" w:ascii="仿宋_GB2312" w:eastAsia="仿宋_GB2312"/>
                <w:sz w:val="32"/>
                <w:szCs w:val="32"/>
              </w:rPr>
            </w:pPr>
            <w:r>
              <w:rPr>
                <w:rFonts w:hint="eastAsia" w:ascii="仿宋_GB2312" w:eastAsia="仿宋_GB2312"/>
                <w:sz w:val="32"/>
                <w:szCs w:val="32"/>
              </w:rPr>
              <w:t>1</w:t>
            </w:r>
          </w:p>
        </w:tc>
        <w:tc>
          <w:tcPr>
            <w:tcW w:w="3240" w:type="dxa"/>
            <w:noWrap w:val="0"/>
            <w:vAlign w:val="center"/>
          </w:tcPr>
          <w:p>
            <w:pPr>
              <w:spacing w:line="500" w:lineRule="exact"/>
              <w:rPr>
                <w:rFonts w:hint="eastAsia" w:ascii="仿宋_GB2312" w:eastAsia="仿宋_GB2312"/>
                <w:sz w:val="32"/>
                <w:szCs w:val="32"/>
              </w:rPr>
            </w:pPr>
            <w:r>
              <w:rPr>
                <w:rFonts w:hint="eastAsia" w:ascii="仿宋_GB2312" w:eastAsia="仿宋_GB2312"/>
                <w:sz w:val="32"/>
                <w:szCs w:val="32"/>
                <w:lang w:eastAsia="zh-CN"/>
              </w:rPr>
              <w:t>昌吉市文物局</w:t>
            </w:r>
            <w:r>
              <w:rPr>
                <w:rFonts w:hint="eastAsia" w:ascii="仿宋_GB2312" w:eastAsia="仿宋_GB2312"/>
                <w:sz w:val="32"/>
                <w:szCs w:val="32"/>
              </w:rPr>
              <w:t>本级</w:t>
            </w:r>
          </w:p>
        </w:tc>
        <w:tc>
          <w:tcPr>
            <w:tcW w:w="3187" w:type="dxa"/>
            <w:noWrap w:val="0"/>
            <w:vAlign w:val="center"/>
          </w:tcPr>
          <w:p>
            <w:pPr>
              <w:spacing w:line="500" w:lineRule="exact"/>
              <w:ind w:firstLine="640" w:firstLineChars="200"/>
              <w:rPr>
                <w:rFonts w:hint="eastAsia" w:ascii="仿宋_GB2312" w:eastAsia="仿宋_GB2312"/>
                <w:sz w:val="32"/>
                <w:szCs w:val="32"/>
              </w:rPr>
            </w:pPr>
          </w:p>
        </w:tc>
      </w:tr>
    </w:tbl>
    <w:p>
      <w:pPr>
        <w:spacing w:line="500" w:lineRule="exact"/>
        <w:ind w:firstLine="627"/>
        <w:jc w:val="center"/>
        <w:rPr>
          <w:rFonts w:hint="eastAsia" w:ascii="仿宋_GB2312" w:hAnsi="宋体" w:eastAsia="仿宋_GB2312" w:cs="宋体"/>
          <w:kern w:val="0"/>
          <w:sz w:val="32"/>
          <w:szCs w:val="32"/>
        </w:rPr>
      </w:pPr>
      <w:bookmarkStart w:id="4" w:name="_GoBack"/>
      <w:bookmarkEnd w:id="4"/>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2018年度收入253.04万元,与上年相比，减少</w:t>
      </w:r>
      <w:r>
        <w:rPr>
          <w:rFonts w:hint="eastAsia" w:ascii="仿宋_GB2312" w:hAnsi="仿宋_GB2312" w:eastAsia="仿宋_GB2312" w:cs="仿宋_GB2312"/>
          <w:color w:val="333333"/>
          <w:kern w:val="0"/>
          <w:sz w:val="32"/>
          <w:szCs w:val="32"/>
          <w:lang w:val="en-US" w:eastAsia="zh-CN"/>
        </w:rPr>
        <w:t>8.38</w:t>
      </w:r>
      <w:r>
        <w:rPr>
          <w:rFonts w:hint="eastAsia" w:ascii="仿宋_GB2312" w:hAnsi="仿宋_GB2312" w:eastAsia="仿宋_GB2312" w:cs="仿宋_GB2312"/>
          <w:color w:val="333333"/>
          <w:kern w:val="0"/>
          <w:sz w:val="32"/>
          <w:szCs w:val="32"/>
        </w:rPr>
        <w:t>万元，降低</w:t>
      </w:r>
      <w:r>
        <w:rPr>
          <w:rFonts w:hint="eastAsia" w:ascii="仿宋_GB2312" w:hAnsi="仿宋_GB2312" w:eastAsia="仿宋_GB2312" w:cs="仿宋_GB2312"/>
          <w:color w:val="333333"/>
          <w:kern w:val="0"/>
          <w:sz w:val="32"/>
          <w:szCs w:val="32"/>
          <w:lang w:val="en-US" w:eastAsia="zh-CN"/>
        </w:rPr>
        <w:t>3.21</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rPr>
        <w:t>减少变化主要原因是：本年安排项目资金减少；支出259.55万元,与上年相比，减少</w:t>
      </w:r>
      <w:r>
        <w:rPr>
          <w:rFonts w:hint="eastAsia" w:ascii="仿宋_GB2312" w:hAnsi="仿宋_GB2312" w:eastAsia="仿宋_GB2312" w:cs="仿宋_GB2312"/>
          <w:color w:val="333333"/>
          <w:kern w:val="0"/>
          <w:sz w:val="32"/>
          <w:szCs w:val="32"/>
          <w:lang w:val="en-US" w:eastAsia="zh-CN"/>
        </w:rPr>
        <w:t>14.83</w:t>
      </w:r>
      <w:r>
        <w:rPr>
          <w:rFonts w:hint="eastAsia" w:ascii="仿宋_GB2312" w:hAnsi="仿宋_GB2312" w:eastAsia="仿宋_GB2312" w:cs="仿宋_GB2312"/>
          <w:color w:val="333333"/>
          <w:kern w:val="0"/>
          <w:sz w:val="32"/>
          <w:szCs w:val="32"/>
        </w:rPr>
        <w:t>万元，降低</w:t>
      </w:r>
      <w:r>
        <w:rPr>
          <w:rFonts w:hint="eastAsia" w:ascii="仿宋_GB2312" w:hAnsi="仿宋_GB2312" w:eastAsia="仿宋_GB2312" w:cs="仿宋_GB2312"/>
          <w:color w:val="333333"/>
          <w:kern w:val="0"/>
          <w:sz w:val="32"/>
          <w:szCs w:val="32"/>
          <w:lang w:val="en-US" w:eastAsia="zh-CN"/>
        </w:rPr>
        <w:t>5.4</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rPr>
        <w:t>，减少变化主要原因是：压缩了日常办公经费支出及合理控制缩减了博物馆运行经费；结余7.52万元，与上年相比，减少6.5</w:t>
      </w:r>
      <w:r>
        <w:rPr>
          <w:rFonts w:hint="eastAsia" w:ascii="仿宋_GB2312" w:hAnsi="仿宋_GB2312" w:eastAsia="仿宋_GB2312" w:cs="仿宋_GB2312"/>
          <w:color w:val="333333"/>
          <w:kern w:val="0"/>
          <w:sz w:val="32"/>
          <w:szCs w:val="32"/>
          <w:lang w:val="en-US" w:eastAsia="zh-CN"/>
        </w:rPr>
        <w:t>2</w:t>
      </w:r>
      <w:r>
        <w:rPr>
          <w:rFonts w:hint="eastAsia" w:ascii="仿宋_GB2312" w:hAnsi="仿宋_GB2312" w:eastAsia="仿宋_GB2312" w:cs="仿宋_GB2312"/>
          <w:color w:val="333333"/>
          <w:kern w:val="0"/>
          <w:sz w:val="32"/>
          <w:szCs w:val="32"/>
        </w:rPr>
        <w:t>万元，降低46.4</w:t>
      </w:r>
      <w:r>
        <w:rPr>
          <w:rFonts w:hint="eastAsia" w:ascii="仿宋_GB2312" w:hAnsi="仿宋_GB2312" w:eastAsia="仿宋_GB2312" w:cs="仿宋_GB2312"/>
          <w:color w:val="333333"/>
          <w:kern w:val="0"/>
          <w:sz w:val="32"/>
          <w:szCs w:val="32"/>
          <w:lang w:val="en-US" w:eastAsia="zh-CN"/>
        </w:rPr>
        <w:t>4</w:t>
      </w:r>
      <w:r>
        <w:rPr>
          <w:rFonts w:hint="eastAsia" w:ascii="仿宋_GB2312" w:hAnsi="仿宋_GB2312" w:eastAsia="仿宋_GB2312" w:cs="仿宋_GB2312"/>
          <w:color w:val="333333"/>
          <w:kern w:val="0"/>
          <w:sz w:val="32"/>
          <w:szCs w:val="32"/>
        </w:rPr>
        <w:t>%。减少变化主要原因是：本年合理安排支出，合理控制项目支出进度，减少年末结余。</w:t>
      </w:r>
    </w:p>
    <w:p>
      <w:pPr>
        <w:widowControl/>
        <w:shd w:val="clear" w:color="auto" w:fill="FFFFFF"/>
        <w:spacing w:before="225" w:line="450" w:lineRule="atLeast"/>
        <w:ind w:firstLine="480"/>
        <w:jc w:val="left"/>
        <w:rPr>
          <w:rFonts w:hint="eastAsia" w:ascii="楷体_GB2312" w:eastAsia="楷体_GB2312"/>
          <w:b/>
          <w:bCs/>
          <w:sz w:val="32"/>
          <w:szCs w:val="32"/>
        </w:rPr>
      </w:pPr>
      <w:r>
        <w:rPr>
          <w:rFonts w:hint="eastAsia" w:ascii="仿宋_GB2312" w:hAnsi="仿宋_GB2312" w:eastAsia="仿宋_GB2312" w:cs="仿宋_GB2312"/>
          <w:color w:val="333333"/>
          <w:kern w:val="0"/>
          <w:sz w:val="32"/>
          <w:szCs w:val="32"/>
        </w:rPr>
        <w:t>（</w:t>
      </w:r>
      <w:r>
        <w:rPr>
          <w:rFonts w:hint="eastAsia" w:ascii="楷体_GB2312" w:eastAsia="楷体_GB2312"/>
          <w:b/>
          <w:bCs/>
          <w:sz w:val="32"/>
          <w:szCs w:val="32"/>
        </w:rPr>
        <w:t>二）部门收入总体情况说明</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本年收入合计253.04万元，其中：财政拨款收入253.04万元，占100%；上级补助收入0万元，占0%；事业收入0万元，占0%；经营收入0万元，占0%；附属单位缴款0万元，占0%；其他收入0万元，占0%。</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与年初预算数相比情况：本年收入年初预算数133</w:t>
      </w:r>
      <w:r>
        <w:rPr>
          <w:rFonts w:hint="eastAsia" w:ascii="仿宋_GB2312" w:hAnsi="仿宋_GB2312" w:eastAsia="仿宋_GB2312" w:cs="仿宋_GB2312"/>
          <w:color w:val="333333"/>
          <w:kern w:val="0"/>
          <w:sz w:val="32"/>
          <w:szCs w:val="32"/>
          <w:lang w:val="en-US" w:eastAsia="zh-CN"/>
        </w:rPr>
        <w:t>.83</w:t>
      </w:r>
      <w:r>
        <w:rPr>
          <w:rFonts w:hint="eastAsia" w:ascii="仿宋_GB2312" w:hAnsi="仿宋_GB2312" w:eastAsia="仿宋_GB2312" w:cs="仿宋_GB2312"/>
          <w:color w:val="333333"/>
          <w:kern w:val="0"/>
          <w:sz w:val="32"/>
          <w:szCs w:val="32"/>
        </w:rPr>
        <w:t>万元，决算数253.04万元，预决算差异率</w:t>
      </w:r>
      <w:r>
        <w:rPr>
          <w:rFonts w:hint="eastAsia" w:ascii="仿宋_GB2312" w:hAnsi="仿宋_GB2312" w:eastAsia="仿宋_GB2312" w:cs="仿宋_GB2312"/>
          <w:color w:val="333333"/>
          <w:kern w:val="0"/>
          <w:sz w:val="32"/>
          <w:szCs w:val="32"/>
          <w:lang w:val="en-US" w:eastAsia="zh-CN"/>
        </w:rPr>
        <w:t>89.07</w:t>
      </w:r>
      <w:r>
        <w:rPr>
          <w:rFonts w:hint="eastAsia" w:ascii="仿宋_GB2312" w:hAnsi="仿宋_GB2312" w:eastAsia="仿宋_GB2312" w:cs="仿宋_GB2312"/>
          <w:color w:val="333333"/>
          <w:kern w:val="0"/>
          <w:sz w:val="32"/>
          <w:szCs w:val="32"/>
        </w:rPr>
        <w:t>%，差异主要原因年中追加了上级专项资金。</w:t>
      </w:r>
    </w:p>
    <w:p>
      <w:pPr>
        <w:widowControl/>
        <w:shd w:val="clear" w:color="auto" w:fill="FFFFFF"/>
        <w:spacing w:before="225" w:line="450" w:lineRule="atLeast"/>
        <w:ind w:firstLine="480"/>
        <w:jc w:val="left"/>
        <w:rPr>
          <w:rFonts w:hint="eastAsia" w:ascii="楷体_GB2312" w:eastAsia="楷体_GB2312"/>
          <w:b/>
          <w:bCs/>
          <w:sz w:val="32"/>
          <w:szCs w:val="32"/>
        </w:rPr>
      </w:pPr>
      <w:r>
        <w:rPr>
          <w:rFonts w:hint="eastAsia" w:ascii="楷体_GB2312" w:eastAsia="楷体_GB2312"/>
          <w:b/>
          <w:bCs/>
          <w:sz w:val="32"/>
          <w:szCs w:val="32"/>
        </w:rPr>
        <w:t>（三）部门支出总体情况说明</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本年支出合计259.55万元，其中：基本支出245.52万元，占94.6%；项目支出14.03万元，占5.4%；上缴上级支出0万元，占0%；经营支出0万元，占0%；对附属单位补助支出0万元，占0%。</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与年初预算数相比情况：本年支出年初预算数133</w:t>
      </w:r>
      <w:r>
        <w:rPr>
          <w:rFonts w:hint="eastAsia" w:ascii="仿宋_GB2312" w:hAnsi="仿宋_GB2312" w:eastAsia="仿宋_GB2312" w:cs="仿宋_GB2312"/>
          <w:color w:val="333333"/>
          <w:kern w:val="0"/>
          <w:sz w:val="32"/>
          <w:szCs w:val="32"/>
          <w:lang w:val="en-US" w:eastAsia="zh-CN"/>
        </w:rPr>
        <w:t>.83</w:t>
      </w:r>
      <w:r>
        <w:rPr>
          <w:rFonts w:hint="eastAsia" w:ascii="仿宋_GB2312" w:hAnsi="仿宋_GB2312" w:eastAsia="仿宋_GB2312" w:cs="仿宋_GB2312"/>
          <w:color w:val="333333"/>
          <w:kern w:val="0"/>
          <w:sz w:val="32"/>
          <w:szCs w:val="32"/>
        </w:rPr>
        <w:t>万元，决算数259.55万元，预决算差异率</w:t>
      </w:r>
      <w:r>
        <w:rPr>
          <w:rFonts w:hint="eastAsia" w:ascii="仿宋_GB2312" w:hAnsi="仿宋_GB2312" w:eastAsia="仿宋_GB2312" w:cs="仿宋_GB2312"/>
          <w:color w:val="333333"/>
          <w:kern w:val="0"/>
          <w:sz w:val="32"/>
          <w:szCs w:val="32"/>
          <w:lang w:val="en-US" w:eastAsia="zh-CN"/>
        </w:rPr>
        <w:t>93.94</w:t>
      </w:r>
      <w:r>
        <w:rPr>
          <w:rFonts w:hint="eastAsia" w:ascii="仿宋_GB2312" w:hAnsi="仿宋_GB2312" w:eastAsia="仿宋_GB2312" w:cs="仿宋_GB2312"/>
          <w:color w:val="333333"/>
          <w:kern w:val="0"/>
          <w:sz w:val="32"/>
          <w:szCs w:val="32"/>
        </w:rPr>
        <w:t>%，差异</w:t>
      </w:r>
      <w:r>
        <w:rPr>
          <w:rFonts w:hint="eastAsia" w:ascii="仿宋_GB2312" w:hAnsi="仿宋_GB2312" w:eastAsia="仿宋_GB2312" w:cs="仿宋_GB2312"/>
          <w:color w:val="333333"/>
          <w:kern w:val="0"/>
          <w:sz w:val="32"/>
          <w:szCs w:val="32"/>
          <w:highlight w:val="none"/>
        </w:rPr>
        <w:t>主</w:t>
      </w:r>
      <w:r>
        <w:rPr>
          <w:rFonts w:hint="eastAsia" w:ascii="仿宋_GB2312" w:hAnsi="仿宋_GB2312" w:eastAsia="仿宋_GB2312" w:cs="仿宋_GB2312"/>
          <w:color w:val="333333"/>
          <w:kern w:val="0"/>
          <w:sz w:val="32"/>
          <w:szCs w:val="32"/>
        </w:rPr>
        <w:t>要原因是追加了上级专项资金。</w:t>
      </w:r>
    </w:p>
    <w:p>
      <w:pPr>
        <w:widowControl/>
        <w:shd w:val="clear" w:color="auto" w:fill="FFFFFF"/>
        <w:spacing w:before="225" w:line="450" w:lineRule="atLeast"/>
        <w:ind w:firstLine="480"/>
        <w:jc w:val="left"/>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二、部门财政拨款收支情况</w:t>
      </w:r>
    </w:p>
    <w:p>
      <w:pPr>
        <w:widowControl/>
        <w:shd w:val="clear" w:color="auto" w:fill="FFFFFF"/>
        <w:spacing w:before="225" w:line="450" w:lineRule="atLeast"/>
        <w:ind w:firstLine="480"/>
        <w:jc w:val="left"/>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2018年度财政拨款收入253.04万元，与上年相比，减少8</w:t>
      </w:r>
      <w:r>
        <w:rPr>
          <w:rFonts w:hint="eastAsia" w:ascii="仿宋_GB2312" w:hAnsi="仿宋_GB2312" w:eastAsia="仿宋_GB2312" w:cs="仿宋_GB2312"/>
          <w:color w:val="333333"/>
          <w:kern w:val="0"/>
          <w:sz w:val="32"/>
          <w:szCs w:val="32"/>
          <w:lang w:val="en-US" w:eastAsia="zh-CN"/>
        </w:rPr>
        <w:t>.38</w:t>
      </w:r>
      <w:r>
        <w:rPr>
          <w:rFonts w:hint="eastAsia" w:ascii="仿宋_GB2312" w:hAnsi="仿宋_GB2312" w:eastAsia="仿宋_GB2312" w:cs="仿宋_GB2312"/>
          <w:color w:val="333333"/>
          <w:kern w:val="0"/>
          <w:sz w:val="32"/>
          <w:szCs w:val="32"/>
        </w:rPr>
        <w:t>万元，降低</w:t>
      </w:r>
      <w:r>
        <w:rPr>
          <w:rFonts w:hint="eastAsia" w:ascii="仿宋_GB2312" w:hAnsi="仿宋_GB2312" w:eastAsia="仿宋_GB2312" w:cs="仿宋_GB2312"/>
          <w:color w:val="333333"/>
          <w:kern w:val="0"/>
          <w:sz w:val="32"/>
          <w:szCs w:val="32"/>
          <w:lang w:val="en-US" w:eastAsia="zh-CN"/>
        </w:rPr>
        <w:t>3.21</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rPr>
        <w:t>减少变化的主要原因是：追加了上级专项资金。财政拨款支出259.55万元，与上年相比，减少</w:t>
      </w:r>
      <w:r>
        <w:rPr>
          <w:rFonts w:hint="eastAsia" w:ascii="仿宋_GB2312" w:hAnsi="仿宋_GB2312" w:eastAsia="仿宋_GB2312" w:cs="仿宋_GB2312"/>
          <w:color w:val="333333"/>
          <w:kern w:val="0"/>
          <w:sz w:val="32"/>
          <w:szCs w:val="32"/>
          <w:lang w:val="en-US" w:eastAsia="zh-CN"/>
        </w:rPr>
        <w:t>14.83</w:t>
      </w:r>
      <w:r>
        <w:rPr>
          <w:rFonts w:hint="eastAsia" w:ascii="仿宋_GB2312" w:hAnsi="仿宋_GB2312" w:eastAsia="仿宋_GB2312" w:cs="仿宋_GB2312"/>
          <w:color w:val="333333"/>
          <w:kern w:val="0"/>
          <w:sz w:val="32"/>
          <w:szCs w:val="32"/>
        </w:rPr>
        <w:t>万元，降低5.</w:t>
      </w:r>
      <w:r>
        <w:rPr>
          <w:rFonts w:hint="eastAsia" w:ascii="仿宋_GB2312" w:hAnsi="仿宋_GB2312" w:eastAsia="仿宋_GB2312" w:cs="仿宋_GB2312"/>
          <w:color w:val="333333"/>
          <w:kern w:val="0"/>
          <w:sz w:val="32"/>
          <w:szCs w:val="32"/>
          <w:lang w:val="en-US" w:eastAsia="zh-CN"/>
        </w:rPr>
        <w:t>40</w:t>
      </w:r>
      <w:r>
        <w:rPr>
          <w:rFonts w:hint="eastAsia" w:ascii="仿宋_GB2312" w:hAnsi="仿宋_GB2312" w:eastAsia="仿宋_GB2312" w:cs="仿宋_GB2312"/>
          <w:color w:val="333333"/>
          <w:kern w:val="0"/>
          <w:sz w:val="32"/>
          <w:szCs w:val="32"/>
        </w:rPr>
        <w:t>%，增减变化的主要原因是：压缩了日常办公经费支出及合理控制缩减了博物馆运行经费。其中：基本支出245.52万元，项目支出14.03万元。财政拨款结转结余7.52万元，与上年相比，减少6.51万元，降低46.4%。减少变化的主要原因是：追加了上级专项资金。</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与年初预算数相比情况:财政拨款收入年初预算数133</w:t>
      </w:r>
      <w:r>
        <w:rPr>
          <w:rFonts w:hint="eastAsia" w:ascii="仿宋_GB2312" w:hAnsi="仿宋_GB2312" w:eastAsia="仿宋_GB2312" w:cs="仿宋_GB2312"/>
          <w:color w:val="333333"/>
          <w:kern w:val="0"/>
          <w:sz w:val="32"/>
          <w:szCs w:val="32"/>
          <w:lang w:val="en-US" w:eastAsia="zh-CN"/>
        </w:rPr>
        <w:t>.83</w:t>
      </w:r>
      <w:r>
        <w:rPr>
          <w:rFonts w:hint="eastAsia" w:ascii="仿宋_GB2312" w:hAnsi="仿宋_GB2312" w:eastAsia="仿宋_GB2312" w:cs="仿宋_GB2312"/>
          <w:color w:val="333333"/>
          <w:kern w:val="0"/>
          <w:sz w:val="32"/>
          <w:szCs w:val="32"/>
        </w:rPr>
        <w:t>万元，决算数253.04万元，预决算差异率</w:t>
      </w:r>
      <w:r>
        <w:rPr>
          <w:rFonts w:hint="eastAsia" w:ascii="仿宋_GB2312" w:hAnsi="仿宋_GB2312" w:eastAsia="仿宋_GB2312" w:cs="仿宋_GB2312"/>
          <w:color w:val="333333"/>
          <w:kern w:val="0"/>
          <w:sz w:val="32"/>
          <w:szCs w:val="32"/>
          <w:lang w:val="en-US" w:eastAsia="zh-CN"/>
        </w:rPr>
        <w:t>89.07</w:t>
      </w:r>
      <w:r>
        <w:rPr>
          <w:rFonts w:hint="eastAsia" w:ascii="仿宋_GB2312" w:hAnsi="仿宋_GB2312" w:eastAsia="仿宋_GB2312" w:cs="仿宋_GB2312"/>
          <w:color w:val="333333"/>
          <w:kern w:val="0"/>
          <w:sz w:val="32"/>
          <w:szCs w:val="32"/>
        </w:rPr>
        <w:t>%，差异主要原因年中追加了上级专项资金。</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财政拨款支出年初预算数133</w:t>
      </w:r>
      <w:r>
        <w:rPr>
          <w:rFonts w:hint="eastAsia" w:ascii="仿宋_GB2312" w:hAnsi="仿宋_GB2312" w:eastAsia="仿宋_GB2312" w:cs="仿宋_GB2312"/>
          <w:color w:val="333333"/>
          <w:kern w:val="0"/>
          <w:sz w:val="32"/>
          <w:szCs w:val="32"/>
          <w:lang w:val="en-US" w:eastAsia="zh-CN"/>
        </w:rPr>
        <w:t>.83</w:t>
      </w:r>
      <w:r>
        <w:rPr>
          <w:rFonts w:hint="eastAsia" w:ascii="仿宋_GB2312" w:hAnsi="仿宋_GB2312" w:eastAsia="仿宋_GB2312" w:cs="仿宋_GB2312"/>
          <w:color w:val="333333"/>
          <w:kern w:val="0"/>
          <w:sz w:val="32"/>
          <w:szCs w:val="32"/>
        </w:rPr>
        <w:t>万元，决算数259.55万元</w:t>
      </w:r>
      <w:r>
        <w:rPr>
          <w:rFonts w:hint="eastAsia" w:ascii="仿宋_GB2312" w:hAnsi="仿宋_GB2312" w:eastAsia="仿宋_GB2312" w:cs="仿宋_GB2312"/>
          <w:color w:val="333333"/>
          <w:kern w:val="0"/>
          <w:sz w:val="32"/>
          <w:szCs w:val="32"/>
          <w:lang w:val="en-US" w:eastAsia="zh-CN"/>
        </w:rPr>
        <w:t>，预决算差异率93.94%，差异主要</w:t>
      </w:r>
      <w:r>
        <w:rPr>
          <w:rFonts w:hint="eastAsia" w:ascii="仿宋_GB2312" w:hAnsi="仿宋_GB2312" w:eastAsia="仿宋_GB2312" w:cs="仿宋_GB2312"/>
          <w:color w:val="333333"/>
          <w:kern w:val="0"/>
          <w:sz w:val="32"/>
          <w:szCs w:val="32"/>
        </w:rPr>
        <w:t>原因追加了上级专项资金。</w:t>
      </w:r>
    </w:p>
    <w:p>
      <w:pPr>
        <w:widowControl/>
        <w:shd w:val="clear" w:color="auto" w:fill="FFFFFF"/>
        <w:spacing w:before="225" w:line="450" w:lineRule="atLeast"/>
        <w:ind w:firstLine="480"/>
        <w:jc w:val="left"/>
        <w:rPr>
          <w:rFonts w:hint="eastAsia" w:ascii="楷体_GB2312" w:eastAsia="楷体_GB2312"/>
          <w:b/>
          <w:bCs/>
          <w:sz w:val="32"/>
          <w:szCs w:val="32"/>
        </w:rPr>
      </w:pPr>
      <w:r>
        <w:rPr>
          <w:rFonts w:hint="eastAsia" w:ascii="仿宋_GB2312" w:hAnsi="仿宋_GB2312" w:eastAsia="仿宋_GB2312" w:cs="仿宋_GB2312"/>
          <w:color w:val="333333"/>
          <w:kern w:val="0"/>
          <w:sz w:val="32"/>
          <w:szCs w:val="32"/>
        </w:rPr>
        <w:t>（</w:t>
      </w:r>
      <w:r>
        <w:rPr>
          <w:rFonts w:hint="eastAsia" w:ascii="楷体_GB2312" w:eastAsia="楷体_GB2312"/>
          <w:b/>
          <w:bCs/>
          <w:sz w:val="32"/>
          <w:szCs w:val="32"/>
        </w:rPr>
        <w:t>二）一般公共预算收支决算情况说明</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2018年度一般公共预算财政拨款收入253.04万元。与上年相比，减少8</w:t>
      </w:r>
      <w:r>
        <w:rPr>
          <w:rFonts w:hint="eastAsia" w:ascii="仿宋_GB2312" w:hAnsi="仿宋_GB2312" w:eastAsia="仿宋_GB2312" w:cs="仿宋_GB2312"/>
          <w:color w:val="333333"/>
          <w:kern w:val="0"/>
          <w:sz w:val="32"/>
          <w:szCs w:val="32"/>
          <w:lang w:val="en-US" w:eastAsia="zh-CN"/>
        </w:rPr>
        <w:t>.38</w:t>
      </w:r>
      <w:r>
        <w:rPr>
          <w:rFonts w:hint="eastAsia" w:ascii="仿宋_GB2312" w:hAnsi="仿宋_GB2312" w:eastAsia="仿宋_GB2312" w:cs="仿宋_GB2312"/>
          <w:color w:val="333333"/>
          <w:kern w:val="0"/>
          <w:sz w:val="32"/>
          <w:szCs w:val="32"/>
        </w:rPr>
        <w:t>万元，降低3.</w:t>
      </w:r>
      <w:r>
        <w:rPr>
          <w:rFonts w:hint="eastAsia" w:ascii="仿宋_GB2312" w:hAnsi="仿宋_GB2312" w:eastAsia="仿宋_GB2312" w:cs="仿宋_GB2312"/>
          <w:color w:val="333333"/>
          <w:kern w:val="0"/>
          <w:sz w:val="32"/>
          <w:szCs w:val="32"/>
          <w:lang w:val="en-US" w:eastAsia="zh-CN"/>
        </w:rPr>
        <w:t>21</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rPr>
        <w:t>增减变化的主要原因是：本年安排项目资金减少。一般公共预算财政拨款支出259.55万元</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rPr>
        <w:t>与上年相比，减少</w:t>
      </w:r>
      <w:r>
        <w:rPr>
          <w:rFonts w:hint="eastAsia" w:ascii="仿宋_GB2312" w:hAnsi="仿宋_GB2312" w:eastAsia="仿宋_GB2312" w:cs="仿宋_GB2312"/>
          <w:color w:val="333333"/>
          <w:kern w:val="0"/>
          <w:sz w:val="32"/>
          <w:szCs w:val="32"/>
          <w:lang w:val="en-US" w:eastAsia="zh-CN"/>
        </w:rPr>
        <w:t>14.83</w:t>
      </w:r>
      <w:r>
        <w:rPr>
          <w:rFonts w:hint="eastAsia" w:ascii="仿宋_GB2312" w:hAnsi="仿宋_GB2312" w:eastAsia="仿宋_GB2312" w:cs="仿宋_GB2312"/>
          <w:color w:val="333333"/>
          <w:kern w:val="0"/>
          <w:sz w:val="32"/>
          <w:szCs w:val="32"/>
        </w:rPr>
        <w:t>万元，降低5.</w:t>
      </w:r>
      <w:r>
        <w:rPr>
          <w:rFonts w:hint="eastAsia" w:ascii="仿宋_GB2312" w:hAnsi="仿宋_GB2312" w:eastAsia="仿宋_GB2312" w:cs="仿宋_GB2312"/>
          <w:color w:val="333333"/>
          <w:kern w:val="0"/>
          <w:sz w:val="32"/>
          <w:szCs w:val="32"/>
          <w:lang w:val="en-US" w:eastAsia="zh-CN"/>
        </w:rPr>
        <w:t>40</w:t>
      </w:r>
      <w:r>
        <w:rPr>
          <w:rFonts w:hint="eastAsia" w:ascii="仿宋_GB2312" w:hAnsi="仿宋_GB2312" w:eastAsia="仿宋_GB2312" w:cs="仿宋_GB2312"/>
          <w:color w:val="333333"/>
          <w:kern w:val="0"/>
          <w:sz w:val="32"/>
          <w:szCs w:val="32"/>
        </w:rPr>
        <w:t>%。减少变化的主要原因是：追加了上级专项资金。其中：按功能分类科目，207（类）文化体育与传媒支出254.22万元，，208（类）社会保障和就业支出5.33万元。按经济分类科目，工资福利支出56.93万元，商品和服务支出119.4万元，对个人和家庭的补助支出80.98万元，其他资本性支出2.24万元。</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与年初预算数相比情况：一般公共预算财政拨款收入年初预算数133</w:t>
      </w:r>
      <w:r>
        <w:rPr>
          <w:rFonts w:hint="eastAsia" w:ascii="仿宋_GB2312" w:hAnsi="仿宋_GB2312" w:eastAsia="仿宋_GB2312" w:cs="仿宋_GB2312"/>
          <w:color w:val="333333"/>
          <w:kern w:val="0"/>
          <w:sz w:val="32"/>
          <w:szCs w:val="32"/>
          <w:lang w:val="en-US" w:eastAsia="zh-CN"/>
        </w:rPr>
        <w:t>.83</w:t>
      </w:r>
      <w:r>
        <w:rPr>
          <w:rFonts w:hint="eastAsia" w:ascii="仿宋_GB2312" w:hAnsi="仿宋_GB2312" w:eastAsia="仿宋_GB2312" w:cs="仿宋_GB2312"/>
          <w:color w:val="333333"/>
          <w:kern w:val="0"/>
          <w:sz w:val="32"/>
          <w:szCs w:val="32"/>
        </w:rPr>
        <w:t>万元，决算数253.04万元，预决算差异率</w:t>
      </w:r>
      <w:r>
        <w:rPr>
          <w:rFonts w:hint="eastAsia" w:ascii="仿宋_GB2312" w:hAnsi="仿宋_GB2312" w:eastAsia="仿宋_GB2312" w:cs="仿宋_GB2312"/>
          <w:color w:val="333333"/>
          <w:kern w:val="0"/>
          <w:sz w:val="32"/>
          <w:szCs w:val="32"/>
          <w:lang w:val="en-US" w:eastAsia="zh-CN"/>
        </w:rPr>
        <w:t>89.07</w:t>
      </w:r>
      <w:r>
        <w:rPr>
          <w:rFonts w:hint="eastAsia" w:ascii="仿宋_GB2312" w:hAnsi="仿宋_GB2312" w:eastAsia="仿宋_GB2312" w:cs="仿宋_GB2312"/>
          <w:color w:val="333333"/>
          <w:kern w:val="0"/>
          <w:sz w:val="32"/>
          <w:szCs w:val="32"/>
        </w:rPr>
        <w:t>%，差异主要原因年中追加了上级专项资金。一般公共预算财政拨款支出年初预算数133</w:t>
      </w:r>
      <w:r>
        <w:rPr>
          <w:rFonts w:hint="eastAsia" w:ascii="仿宋_GB2312" w:hAnsi="仿宋_GB2312" w:eastAsia="仿宋_GB2312" w:cs="仿宋_GB2312"/>
          <w:color w:val="333333"/>
          <w:kern w:val="0"/>
          <w:sz w:val="32"/>
          <w:szCs w:val="32"/>
          <w:lang w:val="en-US" w:eastAsia="zh-CN"/>
        </w:rPr>
        <w:t>.83</w:t>
      </w:r>
      <w:r>
        <w:rPr>
          <w:rFonts w:hint="eastAsia" w:ascii="仿宋_GB2312" w:hAnsi="仿宋_GB2312" w:eastAsia="仿宋_GB2312" w:cs="仿宋_GB2312"/>
          <w:color w:val="333333"/>
          <w:kern w:val="0"/>
          <w:sz w:val="32"/>
          <w:szCs w:val="32"/>
        </w:rPr>
        <w:t>万元，决算数259.55万元</w:t>
      </w:r>
      <w:r>
        <w:rPr>
          <w:rFonts w:hint="eastAsia" w:ascii="仿宋_GB2312" w:hAnsi="仿宋_GB2312" w:eastAsia="仿宋_GB2312" w:cs="仿宋_GB2312"/>
          <w:color w:val="333333"/>
          <w:kern w:val="0"/>
          <w:sz w:val="32"/>
          <w:szCs w:val="32"/>
          <w:lang w:val="en-US" w:eastAsia="zh-CN"/>
        </w:rPr>
        <w:t>，预决算差异率93.94%，差异</w:t>
      </w:r>
      <w:r>
        <w:rPr>
          <w:rFonts w:hint="eastAsia" w:ascii="仿宋_GB2312" w:hAnsi="仿宋_GB2312" w:eastAsia="仿宋_GB2312" w:cs="仿宋_GB2312"/>
          <w:color w:val="333333"/>
          <w:kern w:val="0"/>
          <w:sz w:val="32"/>
          <w:szCs w:val="32"/>
        </w:rPr>
        <w:t>主要原因追加了上级专项资金。</w:t>
      </w:r>
    </w:p>
    <w:p>
      <w:pPr>
        <w:widowControl/>
        <w:shd w:val="clear" w:color="auto" w:fill="FFFFFF"/>
        <w:spacing w:before="225" w:line="450" w:lineRule="atLeast"/>
        <w:ind w:firstLine="480"/>
        <w:jc w:val="left"/>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2018年度政府性基金预算财政拨款收入0万元，与上年相比，增加0万元，增长0%。增减变化的主要原因是：无。政府性基金预算财政拨款支出0万元，与上年相比，增加0万元，增长0%。增减变化的主要原因是：无。</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与年初预算数相比情况：政府性基金预算财政拨款收入年初预算数0万元，决算数0万元，预决算差异率0%，差异主要原因：无。政府性基金预算财政拨款支出年初预算数0万元，决算数0万元，预决算差异率0%，差异主要原因：无。</w:t>
      </w:r>
    </w:p>
    <w:p>
      <w:pPr>
        <w:widowControl/>
        <w:shd w:val="clear" w:color="auto" w:fill="FFFFFF"/>
        <w:spacing w:before="225" w:line="450" w:lineRule="atLeast"/>
        <w:ind w:firstLine="480"/>
        <w:jc w:val="left"/>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三、部门结转结余情况</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年末结转结余7.52万元。与上年相比，减少6.5</w:t>
      </w:r>
      <w:r>
        <w:rPr>
          <w:rFonts w:hint="eastAsia" w:ascii="仿宋_GB2312" w:hAnsi="仿宋_GB2312" w:eastAsia="仿宋_GB2312" w:cs="仿宋_GB2312"/>
          <w:color w:val="333333"/>
          <w:kern w:val="0"/>
          <w:sz w:val="32"/>
          <w:szCs w:val="32"/>
          <w:lang w:val="en-US" w:eastAsia="zh-CN"/>
        </w:rPr>
        <w:t>2</w:t>
      </w:r>
      <w:r>
        <w:rPr>
          <w:rFonts w:hint="eastAsia" w:ascii="仿宋_GB2312" w:hAnsi="仿宋_GB2312" w:eastAsia="仿宋_GB2312" w:cs="仿宋_GB2312"/>
          <w:color w:val="333333"/>
          <w:kern w:val="0"/>
          <w:sz w:val="32"/>
          <w:szCs w:val="32"/>
        </w:rPr>
        <w:t>万元，降低46.4</w:t>
      </w:r>
      <w:r>
        <w:rPr>
          <w:rFonts w:hint="eastAsia" w:ascii="仿宋_GB2312" w:hAnsi="仿宋_GB2312" w:eastAsia="仿宋_GB2312" w:cs="仿宋_GB2312"/>
          <w:color w:val="333333"/>
          <w:kern w:val="0"/>
          <w:sz w:val="32"/>
          <w:szCs w:val="32"/>
          <w:lang w:val="en-US" w:eastAsia="zh-CN"/>
        </w:rPr>
        <w:t>4</w:t>
      </w:r>
      <w:r>
        <w:rPr>
          <w:rFonts w:hint="eastAsia" w:ascii="仿宋_GB2312" w:hAnsi="仿宋_GB2312" w:eastAsia="仿宋_GB2312" w:cs="仿宋_GB2312"/>
          <w:color w:val="333333"/>
          <w:kern w:val="0"/>
          <w:sz w:val="32"/>
          <w:szCs w:val="32"/>
        </w:rPr>
        <w:t>%。</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其中财政拨款结转结余7.52万元。与上年相比，减少6.5</w:t>
      </w:r>
      <w:r>
        <w:rPr>
          <w:rFonts w:hint="eastAsia" w:ascii="仿宋_GB2312" w:hAnsi="仿宋_GB2312" w:eastAsia="仿宋_GB2312" w:cs="仿宋_GB2312"/>
          <w:color w:val="333333"/>
          <w:kern w:val="0"/>
          <w:sz w:val="32"/>
          <w:szCs w:val="32"/>
          <w:lang w:val="en-US" w:eastAsia="zh-CN"/>
        </w:rPr>
        <w:t>2</w:t>
      </w:r>
      <w:r>
        <w:rPr>
          <w:rFonts w:hint="eastAsia" w:ascii="仿宋_GB2312" w:hAnsi="仿宋_GB2312" w:eastAsia="仿宋_GB2312" w:cs="仿宋_GB2312"/>
          <w:color w:val="333333"/>
          <w:kern w:val="0"/>
          <w:sz w:val="32"/>
          <w:szCs w:val="32"/>
        </w:rPr>
        <w:t>万元，降低46.4</w:t>
      </w:r>
      <w:r>
        <w:rPr>
          <w:rFonts w:hint="eastAsia" w:ascii="仿宋_GB2312" w:hAnsi="仿宋_GB2312" w:eastAsia="仿宋_GB2312" w:cs="仿宋_GB2312"/>
          <w:color w:val="333333"/>
          <w:kern w:val="0"/>
          <w:sz w:val="32"/>
          <w:szCs w:val="32"/>
          <w:lang w:val="en-US" w:eastAsia="zh-CN"/>
        </w:rPr>
        <w:t>4</w:t>
      </w:r>
      <w:r>
        <w:rPr>
          <w:rFonts w:hint="eastAsia" w:ascii="仿宋_GB2312" w:hAnsi="仿宋_GB2312" w:eastAsia="仿宋_GB2312" w:cs="仿宋_GB2312"/>
          <w:color w:val="333333"/>
          <w:kern w:val="0"/>
          <w:sz w:val="32"/>
          <w:szCs w:val="32"/>
        </w:rPr>
        <w:t>%。</w:t>
      </w:r>
    </w:p>
    <w:p>
      <w:pPr>
        <w:widowControl/>
        <w:shd w:val="clear" w:color="auto" w:fill="FFFFFF"/>
        <w:spacing w:before="225" w:line="450" w:lineRule="atLeast"/>
        <w:ind w:firstLine="480"/>
        <w:jc w:val="left"/>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四、一般公共预算“三公”经费支出情况</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2018年度一般公共预算“三公”经费支出决算1.61万元，比上年减少</w:t>
      </w:r>
      <w:r>
        <w:rPr>
          <w:rFonts w:hint="eastAsia" w:ascii="仿宋_GB2312" w:hAnsi="仿宋_GB2312" w:eastAsia="仿宋_GB2312" w:cs="仿宋_GB2312"/>
          <w:color w:val="333333"/>
          <w:kern w:val="0"/>
          <w:sz w:val="32"/>
          <w:szCs w:val="32"/>
          <w:lang w:val="en-US" w:eastAsia="zh-CN"/>
        </w:rPr>
        <w:t>0</w:t>
      </w:r>
      <w:r>
        <w:rPr>
          <w:rFonts w:hint="eastAsia" w:ascii="仿宋_GB2312" w:hAnsi="仿宋_GB2312" w:eastAsia="仿宋_GB2312" w:cs="仿宋_GB2312"/>
          <w:color w:val="333333"/>
          <w:kern w:val="0"/>
          <w:sz w:val="32"/>
          <w:szCs w:val="32"/>
        </w:rPr>
        <w:t>万元，</w:t>
      </w:r>
      <w:r>
        <w:rPr>
          <w:rFonts w:hint="eastAsia" w:ascii="仿宋_GB2312" w:hAnsi="仿宋_GB2312" w:eastAsia="仿宋_GB2312" w:cs="仿宋_GB2312"/>
          <w:color w:val="333333"/>
          <w:kern w:val="0"/>
          <w:sz w:val="32"/>
          <w:szCs w:val="32"/>
          <w:lang w:eastAsia="zh-CN"/>
        </w:rPr>
        <w:t>与上年持平</w:t>
      </w:r>
      <w:r>
        <w:rPr>
          <w:rFonts w:hint="eastAsia" w:ascii="仿宋_GB2312" w:hAnsi="仿宋_GB2312" w:eastAsia="仿宋_GB2312" w:cs="仿宋_GB2312"/>
          <w:color w:val="333333"/>
          <w:kern w:val="0"/>
          <w:sz w:val="32"/>
          <w:szCs w:val="32"/>
        </w:rPr>
        <w:t>。其中，因公出国（境）费支出0万元，占0%，比上年增加0万元，增长0%，增加原因：无；公务用车购置及运行维护费支出1.61万元，占</w:t>
      </w:r>
      <w:r>
        <w:rPr>
          <w:rFonts w:hint="eastAsia" w:ascii="仿宋_GB2312" w:hAnsi="仿宋_GB2312" w:eastAsia="仿宋_GB2312" w:cs="仿宋_GB2312"/>
          <w:color w:val="333333"/>
          <w:kern w:val="0"/>
          <w:sz w:val="32"/>
          <w:szCs w:val="32"/>
          <w:lang w:val="en-US" w:eastAsia="zh-CN"/>
        </w:rPr>
        <w:t>10</w:t>
      </w:r>
      <w:r>
        <w:rPr>
          <w:rFonts w:hint="eastAsia" w:ascii="仿宋_GB2312" w:hAnsi="仿宋_GB2312" w:eastAsia="仿宋_GB2312" w:cs="仿宋_GB2312"/>
          <w:color w:val="333333"/>
          <w:kern w:val="0"/>
          <w:sz w:val="32"/>
          <w:szCs w:val="32"/>
        </w:rPr>
        <w:t>0%，比上年增加0万元，增长0%，增加原因是：无；公务接待费支出0万元，占0%，比上年增加0万元，增长0%，增加原因是：无。具体情况如下：</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因公出国（境）费支出0万元。昌吉市文物局全年使用一般公共预算财政拨款安排的出国（境）团组0个，累计0人次。</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公务用车购置及运行维护费1.61万元,其中，公务用车购置0万元，公务用车运行维护费1.61万元。主要用于车辆加油及维修、保险费支出等。单位一般公共财政拨款安排的公务用车购置量0辆，保有量为1辆。</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公务接待费0万元。具体是：国内公务接待支出0万元，昌吉市文物局国内公务接待0批次，0人次。</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与年初预算数相比情况：一般公共预算“三公”经费支出年初预算数2.2万元，决算数1.61万元，预决算差异率-26.8%，差异主要原因本年严格控制并压缩公务用车运行及维修费用。其中：因公出国（境）费预算数0万元，决算数0万元，预决算差异率0%，差异主要原因：无；公务用车购置预算数0万元，决算数0万元，预决算差异率0%，差异主要原因：无；公务用车运行费预算数2.2万元，决算数1.61万元，预决算差异率-26.8%，差异主要原因本年严格控制并压缩公务用车运行及维修费用；公务接待费预算数0万元，决算数0万元，预决算差异率0%，差异主要原因：无。</w:t>
      </w:r>
    </w:p>
    <w:p>
      <w:pPr>
        <w:widowControl/>
        <w:shd w:val="clear" w:color="auto" w:fill="FFFFFF"/>
        <w:spacing w:before="225" w:line="450" w:lineRule="atLeast"/>
        <w:ind w:firstLine="480"/>
        <w:jc w:val="left"/>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五、机关运行经费支出情况</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2018年度昌吉市文物局（参照公务员法管理事业单位）机关运行经费支出107.61万元，比上年增加1.53万元，增长1.45%，主要原因是本年博物馆对外宣传费用有所增加。</w:t>
      </w:r>
    </w:p>
    <w:p>
      <w:pPr>
        <w:widowControl/>
        <w:shd w:val="clear" w:color="auto" w:fill="FFFFFF"/>
        <w:spacing w:before="225" w:line="450" w:lineRule="atLeast"/>
        <w:ind w:firstLine="480"/>
        <w:jc w:val="left"/>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六、政府采购情况</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2018年度政府采购支出总额1.93万元，其中：政府采购货物支出0.66万元、政府采购工程支出0万元、政府采购服务支出1.27万元。</w:t>
      </w:r>
    </w:p>
    <w:p>
      <w:pPr>
        <w:widowControl/>
        <w:shd w:val="clear" w:color="auto" w:fill="FFFFFF"/>
        <w:spacing w:before="225" w:line="450" w:lineRule="atLeast"/>
        <w:ind w:firstLine="480"/>
        <w:jc w:val="left"/>
        <w:rPr>
          <w:rFonts w:hint="eastAsia" w:ascii="黑体" w:hAnsi="黑体" w:eastAsia="黑体" w:cs="黑体"/>
          <w:color w:val="333333"/>
          <w:kern w:val="0"/>
          <w:sz w:val="32"/>
          <w:szCs w:val="32"/>
        </w:rPr>
      </w:pPr>
      <w:r>
        <w:rPr>
          <w:rFonts w:hint="eastAsia" w:ascii="黑体" w:hAnsi="黑体" w:eastAsia="黑体" w:cs="黑体"/>
          <w:color w:val="333333"/>
          <w:kern w:val="0"/>
          <w:sz w:val="32"/>
          <w:szCs w:val="32"/>
        </w:rPr>
        <w:t>七、其他重要事项的情况</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楷体_GB2312" w:eastAsia="楷体_GB2312"/>
          <w:b/>
          <w:bCs/>
          <w:sz w:val="32"/>
          <w:szCs w:val="32"/>
        </w:rPr>
        <w:t>（一）国有资产占用情况说明</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截至2018年12月31日，单位共有车辆1辆，价值15.82万元，其中：部级领导干部用车0辆、主要领导干部用车0辆、机要通信用车0辆、应急保障用车0辆、执法执勤用车0辆、特种专业技术用车0辆、离退休干部用车0辆、其他用车1辆，其他用车主要是：用于单位办公公务用车；单位价值50万元以上通用设备0台（套）、单位价值100万元以上专用设备0台（套），其他固定资产价值209.24万元。</w:t>
      </w:r>
    </w:p>
    <w:p>
      <w:pPr>
        <w:widowControl/>
        <w:shd w:val="clear" w:color="auto" w:fill="FFFFFF"/>
        <w:spacing w:before="225" w:line="450" w:lineRule="atLeast"/>
        <w:ind w:firstLine="480"/>
        <w:jc w:val="left"/>
        <w:rPr>
          <w:rFonts w:hint="eastAsia" w:ascii="楷体_GB2312" w:eastAsia="楷体_GB2312"/>
          <w:b/>
          <w:bCs/>
          <w:sz w:val="32"/>
          <w:szCs w:val="32"/>
        </w:rPr>
      </w:pPr>
      <w:r>
        <w:rPr>
          <w:rFonts w:hint="eastAsia" w:ascii="楷体_GB2312" w:eastAsia="楷体_GB2312"/>
          <w:b/>
          <w:bCs/>
          <w:sz w:val="32"/>
          <w:szCs w:val="32"/>
        </w:rPr>
        <w:t>（二）预算绩效情况的说明</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2018年度，本部门单位预算绩效自评情况：自述有关预算绩效管理和绩效自评开展情况。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仿宋_GB2312" w:hAnsi="仿宋_GB2312" w:eastAsia="仿宋_GB2312" w:cs="仿宋_GB2312"/>
          <w:color w:val="333333"/>
          <w:kern w:val="0"/>
          <w:sz w:val="32"/>
          <w:szCs w:val="32"/>
        </w:rPr>
        <w:t>昌吉市文物局项目绩效自评综述：根据年初设定的绩效目标，207（类）02（款）05（项）博物馆项目绩效自评得分97分，项目全年预算数为14.03万元，执行数为14.03万元，完成预算的100%。主要产出和效果：一是保障博物馆正常运转，提升博物馆阵地建设；二是确保博物馆安全，展陈提升，保证参观者的可看性，文创产品的开发，吸引参观者，促进昌吉市博物馆免费开放工作蓬勃发展；发现的问题及原因：一是博物馆免费开放造成参观者数量增加，结博物馆的公共施维护带来困难；二是展览内容及讲解不能推陈出新，降低了参加者的观看欲望；三是财政专项补助资金有限，无法满足展馆建设需要。下一步改进措施：一是加强设备维护及保养不断完善免费开放工作有关管理制度，进一步做实做细免费开放各个工作环节，节省成本，优化资源，提高效率，不断推动群众文化工作新发展，大力开展实施公益文化活动，保障人民群众基本文化权益；二是把免费开放专项经费最大限度的用在提升展馆软硬设施，更好地发挥博物馆功能，为公众提供更多更好的精神食粮。</w:t>
      </w:r>
    </w:p>
    <w:tbl>
      <w:tblPr>
        <w:tblStyle w:val="4"/>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ind w:firstLine="944" w:firstLineChars="295"/>
              <w:rPr>
                <w:rFonts w:ascii="宋体" w:hAnsi="宋体" w:cs="宋体"/>
                <w:b/>
                <w:bCs/>
                <w:kern w:val="0"/>
                <w:sz w:val="32"/>
                <w:szCs w:val="32"/>
              </w:rPr>
            </w:pPr>
            <w:r>
              <w:rPr>
                <w:rFonts w:hint="eastAsia" w:ascii="宋体" w:hAnsi="宋体" w:cs="宋体"/>
                <w:b/>
                <w:bCs/>
                <w:kern w:val="0"/>
                <w:sz w:val="32"/>
                <w:szCs w:val="32"/>
              </w:rPr>
              <w:t>昌吉市文物局博物馆免费开放项目支出绩效自评表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昌吉市博物馆免费开放业务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昌吉市文物局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14.03万元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14.03万元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14.03万元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14.03万元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p>
          <w:p>
            <w:pPr>
              <w:widowControl/>
              <w:jc w:val="left"/>
              <w:rPr>
                <w:rFonts w:ascii="宋体" w:hAnsi="宋体" w:cs="宋体"/>
                <w:kern w:val="0"/>
                <w:sz w:val="20"/>
                <w:szCs w:val="20"/>
              </w:rPr>
            </w:pPr>
            <w:r>
              <w:rPr>
                <w:rFonts w:hint="eastAsia" w:ascii="宋体" w:hAnsi="宋体" w:cs="宋体"/>
                <w:kern w:val="0"/>
                <w:sz w:val="20"/>
                <w:szCs w:val="20"/>
              </w:rPr>
              <w:t>按资金要求专款专用，做到保障运转，免费开放，在丰富群众文化，培养爱国爱疆情操方面做贡献。</w:t>
            </w:r>
          </w:p>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ind w:firstLine="1400" w:firstLineChars="700"/>
              <w:jc w:val="left"/>
              <w:rPr>
                <w:rFonts w:ascii="宋体" w:hAnsi="宋体" w:cs="宋体"/>
                <w:kern w:val="0"/>
                <w:sz w:val="20"/>
                <w:szCs w:val="20"/>
              </w:rPr>
            </w:pPr>
          </w:p>
          <w:p>
            <w:pPr>
              <w:widowControl/>
              <w:ind w:firstLine="100" w:firstLineChars="50"/>
              <w:jc w:val="left"/>
              <w:rPr>
                <w:rFonts w:ascii="宋体" w:hAnsi="宋体" w:cs="宋体"/>
                <w:kern w:val="0"/>
                <w:sz w:val="20"/>
                <w:szCs w:val="20"/>
              </w:rPr>
            </w:pPr>
            <w:r>
              <w:rPr>
                <w:rFonts w:hint="eastAsia" w:ascii="宋体" w:hAnsi="宋体" w:cs="宋体"/>
                <w:kern w:val="0"/>
                <w:sz w:val="20"/>
                <w:szCs w:val="20"/>
              </w:rPr>
              <w:t>做到了资金专款专用，博物馆对广大群众实施免费开放，对文物知识的普及及民族团结一家亲工作中做贡献</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指标1：开展公共文化服务人次，送公益流动文化服务进基层完成率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公共文化服务开展活动数量不低于150次，定期开展文化下乡活动完成率100%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全年接待参观人数160余次，5000多人，美术作品展示数量350件，文化下乡完成率100%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指标2：定期维护更新，文化设施达标率</w:t>
            </w:r>
            <w:r>
              <w:rPr>
                <w:rFonts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对博物馆、清代粮仓2个展览点进行定期维护，每季更新宣传内容，达标率100%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维修场地50平方米，维修设备6次，制作版面80余块。达标率100%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指标1：场馆验收合格率</w:t>
            </w:r>
          </w:p>
        </w:tc>
        <w:tc>
          <w:tcPr>
            <w:tcW w:w="206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合格率达到预期的目标100%</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符合预期的合格率100%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指标2：宣传版面合格率</w:t>
            </w:r>
          </w:p>
        </w:tc>
        <w:tc>
          <w:tcPr>
            <w:tcW w:w="206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合格率达到预期的目标100%</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符合预期的合格率100%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指标1：宣传业务更新及时率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及时进行业务更新完善率100%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做到了业务展板等及时更新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指标2：顺利通过各类检查率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创建全国文明城市顺利通过复验率100%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创建全国文明城市顺利通过复验率100%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维护及宣传费用</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14.03万元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14.03万元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指标1：通过做好展馆，使群众爱看爱来昌吉，带动昌吉旅游业发展</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成为乌昌一日游重点场馆，带动游客增加。</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游客与日俱增，为昌吉的旅游收入带来潜在的经济效益。</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指标1：保护文物完好率，为群众文化提高的贡献率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全国文明城市顺利通过复验，培养群众爱国爱疆的情怀，收藏及保管文物完好率100%。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顺利通过了全国文明城市复验，群众的爱国爱疆情绪高涨。文物保护完好率100%。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指标2：文物知识普及率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文物知识普及率做到逐年提高5%，博物馆参观人数不少于2000人次</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全年参观人数达5000人以上，普及率提高20%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指标1：提高培养爱国爱疆的群众比率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通过图片宣传等对加强广大干部群众民族团结，爱国爱疆比率提高10%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对广大群众在意识领域的提高有持续性的影响，影响面逐年提高</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指标1：文物宣传满意度占调查人数的比率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通过项目实施满意度达到95%以上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经抽查满意度达98%</w:t>
            </w: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第三部分 专业名词解释</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财政拨款收入：指同级财政当年拨付的资金。</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上级补助收入：指事业单位从主管部门和上级单位取得的非财政补助收入。</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事业收入：指事业单位开展专业业务活动及其辅助活动所取得的收入。</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经营收入：指事业单位在专业业务活动及其辅助活动之外开展非独立核算经营活动取得的收入。</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附属单位上缴收入：指事业单位附属的独立核算单位按有关规定上缴的收入。</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其他收入：指除上述“财政拨款收入”、“事业收入”、“经营收入”、“附属单位上缴收入”等之外取得的收入。</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结余分配：反映单位当年结余的分配情况。</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基本支出：指为保障机构正常运转、完成日常工作任务而发生的人员支出和公用支出。</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项目支出：指在基本支出之外为完成特定行政任务和事业发展目标所发生的支出。</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经营支出：指事业单位在专业业务活动及其辅助活动之外开展非独立核算经营活动发生的支出。</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对附属单位补助支出：指事业单位发生的用非财政预算资金对附属单位的补助支出。</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本单位支出功能分类说明:207（类）02（款）04（项）文物保护支出， 207（类）02（款）05（项）博物馆支出,208（类）05（款）05（项）机关事业单位基本养老保险缴费支出。</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其他有关说明内容。</w:t>
      </w: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部门决算公开的8张报表（见附表）</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一、《收入支出决算总表》</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二、《收入决算表》</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三、《支出决算表》</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四、《财政拨款收入支出决算总表》</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五、《一般公共预算财政拨款支出决算明细表》</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六、《一般公共预算财政拨款基本支出决算明细表》</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七、《一般公共预算财政拨款“三公”经费支出决算表》</w:t>
      </w:r>
    </w:p>
    <w:p>
      <w:pPr>
        <w:widowControl/>
        <w:shd w:val="clear" w:color="auto" w:fill="FFFFFF"/>
        <w:spacing w:before="225" w:line="450" w:lineRule="atLeast"/>
        <w:ind w:firstLine="48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FFA"/>
    <w:rsid w:val="005C14ED"/>
    <w:rsid w:val="00687609"/>
    <w:rsid w:val="00873FFA"/>
    <w:rsid w:val="2764096E"/>
    <w:rsid w:val="3D7E181C"/>
    <w:rsid w:val="612900CE"/>
    <w:rsid w:val="77E13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标题 2 字符"/>
    <w:basedOn w:val="5"/>
    <w:link w:val="2"/>
    <w:uiPriority w:val="9"/>
    <w:rPr>
      <w:rFonts w:ascii="宋体" w:hAnsi="宋体" w:eastAsia="宋体" w:cs="宋体"/>
      <w:b/>
      <w:bCs/>
      <w:kern w:val="0"/>
      <w:sz w:val="36"/>
      <w:szCs w:val="36"/>
    </w:rPr>
  </w:style>
  <w:style w:type="character" w:customStyle="1" w:styleId="8">
    <w:name w:val="pages_print_font"/>
    <w:basedOn w:val="5"/>
    <w:qFormat/>
    <w:uiPriority w:val="0"/>
  </w:style>
  <w:style w:type="character" w:customStyle="1" w:styleId="9">
    <w:name w:val="am-margin-right-sm"/>
    <w:basedOn w:val="5"/>
    <w:uiPriority w:val="0"/>
  </w:style>
  <w:style w:type="character" w:customStyle="1" w:styleId="10">
    <w:name w:val="pointer"/>
    <w:basedOn w:val="5"/>
    <w:qFormat/>
    <w:uiPriority w:val="0"/>
  </w:style>
  <w:style w:type="character" w:customStyle="1" w:styleId="11">
    <w:name w:val="btnprin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955</Words>
  <Characters>5445</Characters>
  <Lines>45</Lines>
  <Paragraphs>12</Paragraphs>
  <TotalTime>1</TotalTime>
  <ScaleCrop>false</ScaleCrop>
  <LinksUpToDate>false</LinksUpToDate>
  <CharactersWithSpaces>6388</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2021-05-21T11:48:00Z</dcterms:created>
  <dc:creator>Lenovo</dc:creator>
  <cp:lastModifiedBy>Administrator</cp:lastModifiedBy>
  <dcterms:modified xsi:type="dcterms:W3CDTF">2021-05-31T10:12:19Z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DA87BA0C53D247FEAEF162AD6265ECF6</vt:lpwstr>
  </property>
</Properties>
</file>