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3A2" w:rsidRDefault="00C20F01">
      <w:pPr>
        <w:spacing w:line="560" w:lineRule="exact"/>
        <w:rPr>
          <w:rFonts w:ascii="仿宋" w:eastAsia="仿宋" w:hAnsi="仿宋"/>
          <w:b/>
          <w:sz w:val="34"/>
          <w:szCs w:val="34"/>
        </w:rPr>
      </w:pPr>
      <w:r>
        <w:rPr>
          <w:rFonts w:ascii="仿宋" w:eastAsia="仿宋" w:hAnsi="仿宋" w:hint="eastAsia"/>
          <w:b/>
          <w:sz w:val="34"/>
          <w:szCs w:val="34"/>
        </w:rPr>
        <w:t>附件1：</w:t>
      </w:r>
    </w:p>
    <w:p w:rsidR="00434D59" w:rsidRDefault="00C20F01" w:rsidP="00434D59">
      <w:pPr>
        <w:spacing w:line="560" w:lineRule="exact"/>
        <w:jc w:val="center"/>
        <w:rPr>
          <w:rFonts w:ascii="仿宋" w:eastAsia="仿宋" w:hAnsi="仿宋" w:hint="eastAsia"/>
          <w:b/>
          <w:sz w:val="34"/>
          <w:szCs w:val="34"/>
        </w:rPr>
      </w:pPr>
      <w:r>
        <w:rPr>
          <w:rFonts w:ascii="仿宋" w:eastAsia="仿宋" w:hAnsi="仿宋" w:hint="eastAsia"/>
          <w:b/>
          <w:sz w:val="34"/>
          <w:szCs w:val="34"/>
        </w:rPr>
        <w:t>2018年度昌吉市阿什里乡卫生院部门决算公开说明</w:t>
      </w:r>
    </w:p>
    <w:p w:rsidR="00434D59" w:rsidRPr="00434D59" w:rsidRDefault="00434D59" w:rsidP="00434D59">
      <w:pPr>
        <w:pStyle w:val="2"/>
      </w:pPr>
    </w:p>
    <w:p w:rsidR="00434D59" w:rsidRDefault="00434D59" w:rsidP="00434D59">
      <w:pPr>
        <w:spacing w:line="540" w:lineRule="exact"/>
        <w:jc w:val="center"/>
        <w:rPr>
          <w:rFonts w:ascii="黑体" w:eastAsia="黑体" w:hAnsi="黑体"/>
          <w:kern w:val="0"/>
          <w:sz w:val="32"/>
          <w:szCs w:val="32"/>
        </w:rPr>
      </w:pPr>
      <w:r>
        <w:rPr>
          <w:rFonts w:ascii="黑体" w:eastAsia="黑体" w:hAnsi="黑体" w:hint="eastAsia"/>
          <w:kern w:val="0"/>
          <w:sz w:val="32"/>
          <w:szCs w:val="32"/>
        </w:rPr>
        <w:t>目  录</w:t>
      </w:r>
    </w:p>
    <w:p w:rsidR="00434D59" w:rsidRDefault="00434D59" w:rsidP="00434D59">
      <w:pPr>
        <w:spacing w:line="540" w:lineRule="exact"/>
        <w:rPr>
          <w:rFonts w:ascii="仿宋_GB2312" w:eastAsia="仿宋_GB2312" w:hAnsi="宋体" w:hint="eastAsia"/>
          <w:b/>
          <w:bCs/>
          <w:kern w:val="0"/>
          <w:sz w:val="32"/>
          <w:szCs w:val="32"/>
        </w:rPr>
      </w:pPr>
      <w:r>
        <w:rPr>
          <w:rFonts w:ascii="仿宋_GB2312" w:eastAsia="仿宋_GB2312" w:hAnsi="宋体" w:hint="eastAsia"/>
          <w:b/>
          <w:bCs/>
          <w:kern w:val="0"/>
          <w:sz w:val="32"/>
          <w:szCs w:val="32"/>
        </w:rPr>
        <w:t xml:space="preserve"> </w:t>
      </w:r>
    </w:p>
    <w:p w:rsidR="00434D59" w:rsidRDefault="00434D59" w:rsidP="00434D59">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第一部分 部门单位概况</w:t>
      </w:r>
    </w:p>
    <w:p w:rsidR="00434D59" w:rsidRDefault="00434D59" w:rsidP="00434D59">
      <w:pPr>
        <w:spacing w:line="540" w:lineRule="exact"/>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一、主要职能</w:t>
      </w:r>
    </w:p>
    <w:p w:rsidR="00434D59" w:rsidRDefault="00434D59" w:rsidP="00434D59">
      <w:pPr>
        <w:spacing w:line="540" w:lineRule="exact"/>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434D59" w:rsidRDefault="00434D59" w:rsidP="00434D59">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第二部分 部门决算情况说明</w:t>
      </w:r>
    </w:p>
    <w:p w:rsidR="00434D59" w:rsidRDefault="00434D59" w:rsidP="00434D59">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一、部门收支总体情况</w:t>
      </w:r>
    </w:p>
    <w:p w:rsidR="00434D59" w:rsidRDefault="00434D59" w:rsidP="00434D59">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（一）部门收入支出决算总体情况说明</w:t>
      </w:r>
    </w:p>
    <w:p w:rsidR="00434D59" w:rsidRDefault="00434D59" w:rsidP="00434D59">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（二）部门收入总体情况说明</w:t>
      </w:r>
    </w:p>
    <w:p w:rsidR="00434D59" w:rsidRDefault="00434D59" w:rsidP="00434D59">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（三）部门支出总体情况说明</w:t>
      </w:r>
    </w:p>
    <w:p w:rsidR="00434D59" w:rsidRDefault="00434D59" w:rsidP="00434D59">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二、部门财政拨款收支情况</w:t>
      </w:r>
    </w:p>
    <w:p w:rsidR="00434D59" w:rsidRDefault="00434D59" w:rsidP="00434D59">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（一）财政拨款收支总体情况说明</w:t>
      </w:r>
    </w:p>
    <w:p w:rsidR="00434D59" w:rsidRDefault="00434D59" w:rsidP="00434D59">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（二）一般公共预算收支决算情况说明</w:t>
      </w:r>
    </w:p>
    <w:p w:rsidR="00434D59" w:rsidRDefault="00434D59" w:rsidP="00434D59">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（三）政府性基金预算收支决算情况说明</w:t>
      </w:r>
    </w:p>
    <w:p w:rsidR="00434D59" w:rsidRDefault="00434D59" w:rsidP="00434D59">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三、部门结转结余情况</w:t>
      </w:r>
    </w:p>
    <w:p w:rsidR="00434D59" w:rsidRDefault="00434D59" w:rsidP="00434D59">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四、一般公共预算“三公”经费支出情况</w:t>
      </w:r>
    </w:p>
    <w:p w:rsidR="00434D59" w:rsidRDefault="00434D59" w:rsidP="00434D59">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五、机关运行经费支出情况</w:t>
      </w:r>
    </w:p>
    <w:p w:rsidR="00434D59" w:rsidRDefault="00434D59" w:rsidP="00434D59">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六、政府采购情况</w:t>
      </w:r>
    </w:p>
    <w:p w:rsidR="00434D59" w:rsidRDefault="00434D59" w:rsidP="00434D59">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七、其他重要事项的情况</w:t>
      </w:r>
    </w:p>
    <w:p w:rsidR="00434D59" w:rsidRDefault="00434D59" w:rsidP="00434D59">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（一）国有资产占用情况说明</w:t>
      </w:r>
    </w:p>
    <w:p w:rsidR="00434D59" w:rsidRDefault="00434D59" w:rsidP="00434D59">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（二）预算绩效情况的说明</w:t>
      </w:r>
    </w:p>
    <w:p w:rsidR="00434D59" w:rsidRDefault="00434D59" w:rsidP="00434D59">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第三部分 专业名词解释</w:t>
      </w:r>
    </w:p>
    <w:p w:rsidR="00434D59" w:rsidRDefault="00434D59" w:rsidP="00434D59">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lastRenderedPageBreak/>
        <w:t>第四部分 部</w:t>
      </w:r>
      <w:r>
        <w:rPr>
          <w:rFonts w:ascii="黑体" w:eastAsia="黑体" w:hAnsi="黑体" w:hint="eastAsia"/>
          <w:sz w:val="32"/>
          <w:szCs w:val="32"/>
        </w:rPr>
        <w:t>门决算公开的8张报表</w:t>
      </w:r>
    </w:p>
    <w:p w:rsidR="00434D59" w:rsidRDefault="00434D59" w:rsidP="00434D59">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《收入支出决算总表》</w:t>
      </w:r>
    </w:p>
    <w:p w:rsidR="00434D59" w:rsidRDefault="00434D59" w:rsidP="00434D59">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《收入决算表》</w:t>
      </w:r>
    </w:p>
    <w:p w:rsidR="00434D59" w:rsidRDefault="00434D59" w:rsidP="00434D59">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《支出决算表》</w:t>
      </w:r>
    </w:p>
    <w:p w:rsidR="00434D59" w:rsidRDefault="00434D59" w:rsidP="00434D59">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《财政拨款收入支出决算总表》</w:t>
      </w:r>
    </w:p>
    <w:p w:rsidR="00434D59" w:rsidRDefault="00434D59" w:rsidP="00434D59">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《一般公共预算财政拨款支出决算表》</w:t>
      </w:r>
    </w:p>
    <w:p w:rsidR="00434D59" w:rsidRDefault="00434D59" w:rsidP="00434D59">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《一般公共预算财政拨款基本支出决算表》</w:t>
      </w:r>
    </w:p>
    <w:p w:rsidR="00434D59" w:rsidRDefault="00434D59" w:rsidP="00434D59">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《一般公共预算财政拨款“三公”经费支出决算表》</w:t>
      </w:r>
    </w:p>
    <w:p w:rsidR="00434D59" w:rsidRDefault="00434D59" w:rsidP="00434D59">
      <w:pPr>
        <w:spacing w:line="540" w:lineRule="exact"/>
        <w:ind w:firstLineChars="200" w:firstLine="640"/>
        <w:rPr>
          <w:rFonts w:ascii="仿宋_GB2312" w:eastAsia="仿宋_GB2312" w:hAnsi="宋体" w:hint="eastAsia"/>
          <w:sz w:val="32"/>
          <w:szCs w:val="32"/>
        </w:rPr>
      </w:pPr>
      <w:r>
        <w:rPr>
          <w:rFonts w:ascii="仿宋_GB2312" w:eastAsia="仿宋_GB2312" w:hint="eastAsia"/>
          <w:sz w:val="32"/>
          <w:szCs w:val="32"/>
        </w:rPr>
        <w:t>《政府性基金预算财政拨款收入支出决算表》</w:t>
      </w:r>
    </w:p>
    <w:p w:rsidR="00434D59" w:rsidRDefault="00434D59" w:rsidP="00434D59">
      <w:pPr>
        <w:spacing w:line="540" w:lineRule="exact"/>
        <w:ind w:firstLineChars="200" w:firstLine="640"/>
        <w:rPr>
          <w:rFonts w:ascii="黑体" w:eastAsia="黑体" w:hAnsi="黑体" w:hint="eastAsia"/>
          <w:sz w:val="32"/>
          <w:szCs w:val="32"/>
        </w:rPr>
      </w:pPr>
      <w:r>
        <w:rPr>
          <w:rFonts w:ascii="黑体" w:eastAsia="黑体" w:hAnsi="黑体" w:hint="eastAsia"/>
          <w:sz w:val="32"/>
          <w:szCs w:val="32"/>
        </w:rPr>
        <w:t xml:space="preserve"> </w:t>
      </w:r>
    </w:p>
    <w:p w:rsidR="00434D59" w:rsidRDefault="00434D59">
      <w:pPr>
        <w:widowControl/>
        <w:jc w:val="left"/>
        <w:rPr>
          <w:rFonts w:ascii="黑体" w:eastAsia="黑体" w:hAnsi="黑体"/>
          <w:sz w:val="32"/>
          <w:szCs w:val="32"/>
        </w:rPr>
      </w:pPr>
      <w:r>
        <w:rPr>
          <w:rFonts w:ascii="黑体" w:eastAsia="黑体" w:hAnsi="黑体"/>
          <w:sz w:val="32"/>
          <w:szCs w:val="32"/>
        </w:rPr>
        <w:br w:type="page"/>
      </w:r>
    </w:p>
    <w:p w:rsidR="00434D59" w:rsidRDefault="00434D59" w:rsidP="00434D59">
      <w:pPr>
        <w:spacing w:line="540" w:lineRule="exact"/>
        <w:jc w:val="center"/>
        <w:rPr>
          <w:rFonts w:ascii="黑体" w:eastAsia="黑体" w:hAnsi="黑体" w:hint="eastAsia"/>
          <w:sz w:val="32"/>
          <w:szCs w:val="32"/>
        </w:rPr>
      </w:pPr>
      <w:r>
        <w:rPr>
          <w:rFonts w:ascii="黑体" w:eastAsia="黑体" w:hAnsi="黑体" w:hint="eastAsia"/>
          <w:sz w:val="32"/>
          <w:szCs w:val="32"/>
        </w:rPr>
        <w:lastRenderedPageBreak/>
        <w:t>第一部分 部门单位概况</w:t>
      </w:r>
    </w:p>
    <w:p w:rsidR="00434D59" w:rsidRDefault="00434D59" w:rsidP="00434D59">
      <w:pPr>
        <w:spacing w:line="540" w:lineRule="exact"/>
        <w:ind w:firstLineChars="200" w:firstLine="640"/>
        <w:jc w:val="left"/>
        <w:rPr>
          <w:rFonts w:ascii="黑体" w:eastAsia="黑体" w:hAnsi="黑体" w:cs="宋体" w:hint="eastAsia"/>
          <w:kern w:val="0"/>
          <w:sz w:val="32"/>
          <w:szCs w:val="32"/>
        </w:rPr>
      </w:pPr>
      <w:r>
        <w:rPr>
          <w:rFonts w:ascii="黑体" w:eastAsia="黑体" w:hAnsi="黑体" w:cs="宋体" w:hint="eastAsia"/>
          <w:kern w:val="0"/>
          <w:sz w:val="32"/>
          <w:szCs w:val="32"/>
        </w:rPr>
        <w:t>一、主要职能</w:t>
      </w:r>
    </w:p>
    <w:p w:rsidR="00BB53A2" w:rsidRPr="00A71DC9" w:rsidRDefault="00C20F01">
      <w:pPr>
        <w:snapToGrid w:val="0"/>
        <w:spacing w:line="520" w:lineRule="exact"/>
        <w:ind w:left="680"/>
        <w:jc w:val="left"/>
        <w:rPr>
          <w:rFonts w:ascii="仿宋" w:eastAsia="仿宋" w:hAnsi="仿宋" w:cs="仿宋"/>
          <w:sz w:val="34"/>
          <w:szCs w:val="34"/>
        </w:rPr>
      </w:pPr>
      <w:r w:rsidRPr="00A71DC9">
        <w:rPr>
          <w:rFonts w:ascii="仿宋" w:eastAsia="仿宋" w:hAnsi="仿宋" w:cs="仿宋" w:hint="eastAsia"/>
          <w:sz w:val="34"/>
          <w:szCs w:val="34"/>
        </w:rPr>
        <w:t>（1）负责阿什里乡公共卫生管理。</w:t>
      </w:r>
    </w:p>
    <w:p w:rsidR="00BB53A2" w:rsidRPr="00A71DC9" w:rsidRDefault="00C20F01" w:rsidP="00434D59">
      <w:pPr>
        <w:snapToGrid w:val="0"/>
        <w:spacing w:line="520" w:lineRule="exact"/>
        <w:ind w:firstLineChars="200" w:firstLine="680"/>
        <w:jc w:val="left"/>
        <w:rPr>
          <w:rFonts w:ascii="仿宋" w:eastAsia="仿宋" w:hAnsi="仿宋" w:cs="仿宋"/>
          <w:sz w:val="34"/>
          <w:szCs w:val="34"/>
        </w:rPr>
      </w:pPr>
      <w:r w:rsidRPr="00A71DC9">
        <w:rPr>
          <w:rFonts w:ascii="仿宋" w:eastAsia="仿宋" w:hAnsi="仿宋" w:cs="仿宋" w:hint="eastAsia"/>
          <w:sz w:val="34"/>
          <w:szCs w:val="34"/>
        </w:rPr>
        <w:t>（2）负责阿什里乡农牧民群众预防保健、卫生防疫、妇幼保健、健康教育、计划免疫工作。</w:t>
      </w:r>
    </w:p>
    <w:p w:rsidR="00BB53A2" w:rsidRPr="00A71DC9" w:rsidRDefault="00C20F01" w:rsidP="00434D59">
      <w:pPr>
        <w:snapToGrid w:val="0"/>
        <w:spacing w:line="520" w:lineRule="exact"/>
        <w:ind w:firstLineChars="200" w:firstLine="680"/>
        <w:jc w:val="left"/>
        <w:rPr>
          <w:rFonts w:ascii="仿宋" w:eastAsia="仿宋" w:hAnsi="仿宋" w:cs="仿宋"/>
          <w:sz w:val="34"/>
          <w:szCs w:val="34"/>
        </w:rPr>
      </w:pPr>
      <w:r w:rsidRPr="00A71DC9">
        <w:rPr>
          <w:rFonts w:ascii="仿宋" w:eastAsia="仿宋" w:hAnsi="仿宋" w:cs="仿宋" w:hint="eastAsia"/>
          <w:sz w:val="34"/>
          <w:szCs w:val="34"/>
        </w:rPr>
        <w:t>（3）负责常见病多发病诊治、院前急救、巡回医疗、常见病多发病护理工作。</w:t>
      </w:r>
    </w:p>
    <w:p w:rsidR="00BB53A2" w:rsidRPr="00A71DC9" w:rsidRDefault="00C20F01">
      <w:pPr>
        <w:snapToGrid w:val="0"/>
        <w:spacing w:line="520" w:lineRule="exact"/>
        <w:ind w:left="680"/>
        <w:jc w:val="left"/>
        <w:rPr>
          <w:rFonts w:ascii="仿宋" w:eastAsia="仿宋" w:hAnsi="仿宋" w:cs="仿宋"/>
          <w:sz w:val="34"/>
          <w:szCs w:val="34"/>
        </w:rPr>
      </w:pPr>
      <w:r w:rsidRPr="00A71DC9">
        <w:rPr>
          <w:rFonts w:ascii="仿宋" w:eastAsia="仿宋" w:hAnsi="仿宋" w:cs="仿宋" w:hint="eastAsia"/>
          <w:sz w:val="34"/>
          <w:szCs w:val="34"/>
        </w:rPr>
        <w:t>（4）负责恢复期病人康复治疗与护理。</w:t>
      </w:r>
    </w:p>
    <w:p w:rsidR="00BB53A2" w:rsidRPr="00A71DC9" w:rsidRDefault="00C20F01" w:rsidP="00434D59">
      <w:pPr>
        <w:snapToGrid w:val="0"/>
        <w:spacing w:line="520" w:lineRule="exact"/>
        <w:ind w:firstLineChars="200" w:firstLine="680"/>
        <w:jc w:val="left"/>
        <w:rPr>
          <w:rFonts w:ascii="仿宋" w:eastAsia="仿宋" w:hAnsi="仿宋" w:cs="仿宋"/>
          <w:sz w:val="34"/>
          <w:szCs w:val="34"/>
        </w:rPr>
      </w:pPr>
      <w:r w:rsidRPr="00A71DC9">
        <w:rPr>
          <w:rFonts w:ascii="仿宋" w:eastAsia="仿宋" w:hAnsi="仿宋" w:cs="仿宋" w:hint="eastAsia"/>
          <w:sz w:val="34"/>
          <w:szCs w:val="34"/>
        </w:rPr>
        <w:t>（5）负责阿什里乡卫生技术人员培训，包括镇村医生培训、卫生员业务培训、与技术指导。</w:t>
      </w:r>
    </w:p>
    <w:p w:rsidR="00BB53A2" w:rsidRPr="00A71DC9" w:rsidRDefault="00C20F01">
      <w:pPr>
        <w:snapToGrid w:val="0"/>
        <w:spacing w:line="520" w:lineRule="exact"/>
        <w:ind w:left="680"/>
        <w:jc w:val="left"/>
        <w:rPr>
          <w:rFonts w:ascii="仿宋" w:eastAsia="仿宋" w:hAnsi="仿宋" w:cs="仿宋"/>
          <w:sz w:val="34"/>
          <w:szCs w:val="34"/>
        </w:rPr>
      </w:pPr>
      <w:r w:rsidRPr="00A71DC9">
        <w:rPr>
          <w:rFonts w:ascii="仿宋" w:eastAsia="仿宋" w:hAnsi="仿宋" w:cs="仿宋" w:hint="eastAsia"/>
          <w:sz w:val="34"/>
          <w:szCs w:val="34"/>
        </w:rPr>
        <w:t>（6）负责阿什里乡初级卫生保健规划的实施。</w:t>
      </w:r>
    </w:p>
    <w:p w:rsidR="00BB53A2" w:rsidRPr="00A71DC9" w:rsidRDefault="00C20F01" w:rsidP="00434D59">
      <w:pPr>
        <w:snapToGrid w:val="0"/>
        <w:spacing w:line="520" w:lineRule="exact"/>
        <w:ind w:left="680"/>
        <w:jc w:val="left"/>
        <w:rPr>
          <w:rFonts w:ascii="仿宋" w:eastAsia="仿宋" w:hAnsi="仿宋" w:cs="仿宋"/>
          <w:sz w:val="34"/>
          <w:szCs w:val="34"/>
        </w:rPr>
      </w:pPr>
      <w:r w:rsidRPr="00A71DC9">
        <w:rPr>
          <w:rFonts w:ascii="仿宋" w:eastAsia="仿宋" w:hAnsi="仿宋" w:cs="仿宋" w:hint="eastAsia"/>
          <w:sz w:val="34"/>
          <w:szCs w:val="34"/>
        </w:rPr>
        <w:t>（7）完成上级党委和行政主管部门交办的其它工作。</w:t>
      </w:r>
    </w:p>
    <w:p w:rsidR="00434D59" w:rsidRDefault="00434D59" w:rsidP="00434D59">
      <w:pPr>
        <w:spacing w:line="540" w:lineRule="exact"/>
        <w:ind w:firstLineChars="200" w:firstLine="640"/>
        <w:rPr>
          <w:rFonts w:ascii="黑体" w:eastAsia="黑体" w:hAnsi="黑体" w:cs="宋体" w:hint="eastAsia"/>
          <w:kern w:val="0"/>
          <w:sz w:val="32"/>
          <w:szCs w:val="32"/>
        </w:rPr>
      </w:pPr>
      <w:r>
        <w:rPr>
          <w:rFonts w:ascii="黑体" w:eastAsia="黑体" w:hAnsi="黑体" w:cs="宋体" w:hint="eastAsia"/>
          <w:kern w:val="0"/>
          <w:sz w:val="32"/>
          <w:szCs w:val="32"/>
        </w:rPr>
        <w:t>二、机构设置情况</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从决算单位构成看，昌吉市阿什里乡卫生院部门决算包括：昌吉市阿什里乡卫生院部门本级决算。</w:t>
      </w:r>
    </w:p>
    <w:p w:rsidR="00BB53A2" w:rsidRPr="00A71DC9" w:rsidRDefault="00C20F01">
      <w:pPr>
        <w:spacing w:line="500" w:lineRule="exact"/>
        <w:ind w:firstLineChars="200" w:firstLine="656"/>
        <w:rPr>
          <w:rFonts w:ascii="仿宋" w:eastAsia="仿宋" w:hAnsi="仿宋"/>
          <w:spacing w:val="-6"/>
          <w:sz w:val="34"/>
          <w:szCs w:val="34"/>
        </w:rPr>
      </w:pPr>
      <w:r w:rsidRPr="00A71DC9">
        <w:rPr>
          <w:rFonts w:ascii="仿宋" w:eastAsia="仿宋" w:hAnsi="仿宋" w:hint="eastAsia"/>
          <w:spacing w:val="-6"/>
          <w:sz w:val="34"/>
          <w:szCs w:val="34"/>
        </w:rPr>
        <w:t>纳入昌吉市阿什里乡卫生院2018年部门决算编制范围的单位名单见下表：</w:t>
      </w:r>
    </w:p>
    <w:p w:rsidR="00BB53A2" w:rsidRPr="00A71DC9" w:rsidRDefault="00BB53A2" w:rsidP="00A71DC9">
      <w:pPr>
        <w:spacing w:line="500" w:lineRule="exact"/>
        <w:ind w:firstLineChars="200" w:firstLine="656"/>
        <w:rPr>
          <w:rFonts w:ascii="仿宋" w:eastAsia="仿宋" w:hAnsi="仿宋"/>
          <w:spacing w:val="-6"/>
          <w:sz w:val="34"/>
          <w:szCs w:val="34"/>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961"/>
        <w:gridCol w:w="2041"/>
      </w:tblGrid>
      <w:tr w:rsidR="00BB53A2" w:rsidRPr="00A71DC9">
        <w:trPr>
          <w:trHeight w:hRule="exact" w:val="510"/>
        </w:trPr>
        <w:tc>
          <w:tcPr>
            <w:tcW w:w="1526" w:type="dxa"/>
            <w:tcBorders>
              <w:top w:val="single" w:sz="4" w:space="0" w:color="auto"/>
              <w:left w:val="single" w:sz="4" w:space="0" w:color="auto"/>
              <w:bottom w:val="single" w:sz="4" w:space="0" w:color="auto"/>
              <w:right w:val="single" w:sz="4" w:space="0" w:color="auto"/>
            </w:tcBorders>
            <w:vAlign w:val="center"/>
          </w:tcPr>
          <w:p w:rsidR="00BB53A2" w:rsidRPr="00A71DC9" w:rsidRDefault="00C20F01" w:rsidP="00A71DC9">
            <w:pPr>
              <w:spacing w:line="500" w:lineRule="exact"/>
              <w:ind w:firstLineChars="200" w:firstLine="680"/>
              <w:jc w:val="left"/>
              <w:rPr>
                <w:rFonts w:ascii="仿宋" w:eastAsia="仿宋" w:hAnsi="仿宋"/>
                <w:sz w:val="34"/>
                <w:szCs w:val="34"/>
              </w:rPr>
            </w:pPr>
            <w:r w:rsidRPr="00A71DC9">
              <w:rPr>
                <w:rFonts w:ascii="仿宋" w:eastAsia="仿宋" w:hAnsi="仿宋" w:hint="eastAsia"/>
                <w:sz w:val="34"/>
                <w:szCs w:val="34"/>
              </w:rPr>
              <w:t>序号</w:t>
            </w:r>
          </w:p>
        </w:tc>
        <w:tc>
          <w:tcPr>
            <w:tcW w:w="4961" w:type="dxa"/>
            <w:tcBorders>
              <w:top w:val="single" w:sz="4" w:space="0" w:color="auto"/>
              <w:left w:val="single" w:sz="4" w:space="0" w:color="auto"/>
              <w:bottom w:val="single" w:sz="4" w:space="0" w:color="auto"/>
              <w:right w:val="single" w:sz="4" w:space="0" w:color="auto"/>
            </w:tcBorders>
            <w:vAlign w:val="center"/>
          </w:tcPr>
          <w:p w:rsidR="00BB53A2" w:rsidRPr="00A71DC9" w:rsidRDefault="00C20F01" w:rsidP="00A71DC9">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单位名称</w:t>
            </w:r>
          </w:p>
        </w:tc>
        <w:tc>
          <w:tcPr>
            <w:tcW w:w="2041" w:type="dxa"/>
            <w:tcBorders>
              <w:top w:val="single" w:sz="4" w:space="0" w:color="auto"/>
              <w:left w:val="single" w:sz="4" w:space="0" w:color="auto"/>
              <w:bottom w:val="single" w:sz="4" w:space="0" w:color="auto"/>
              <w:right w:val="single" w:sz="4" w:space="0" w:color="auto"/>
            </w:tcBorders>
            <w:vAlign w:val="center"/>
          </w:tcPr>
          <w:p w:rsidR="00BB53A2" w:rsidRPr="00A71DC9" w:rsidRDefault="00C20F01" w:rsidP="00A71DC9">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备注</w:t>
            </w:r>
          </w:p>
        </w:tc>
      </w:tr>
      <w:tr w:rsidR="00BB53A2" w:rsidRPr="00A71DC9">
        <w:trPr>
          <w:trHeight w:hRule="exact" w:val="510"/>
        </w:trPr>
        <w:tc>
          <w:tcPr>
            <w:tcW w:w="1526" w:type="dxa"/>
            <w:tcBorders>
              <w:top w:val="single" w:sz="4" w:space="0" w:color="auto"/>
              <w:left w:val="single" w:sz="4" w:space="0" w:color="auto"/>
              <w:bottom w:val="single" w:sz="4" w:space="0" w:color="auto"/>
              <w:right w:val="single" w:sz="4" w:space="0" w:color="auto"/>
            </w:tcBorders>
            <w:vAlign w:val="center"/>
          </w:tcPr>
          <w:p w:rsidR="00BB53A2" w:rsidRPr="00A71DC9" w:rsidRDefault="00C20F01" w:rsidP="00A71DC9">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1</w:t>
            </w:r>
          </w:p>
        </w:tc>
        <w:tc>
          <w:tcPr>
            <w:tcW w:w="4961" w:type="dxa"/>
            <w:tcBorders>
              <w:top w:val="single" w:sz="4" w:space="0" w:color="auto"/>
              <w:left w:val="single" w:sz="4" w:space="0" w:color="auto"/>
              <w:bottom w:val="single" w:sz="4" w:space="0" w:color="auto"/>
              <w:right w:val="single" w:sz="4" w:space="0" w:color="auto"/>
            </w:tcBorders>
            <w:vAlign w:val="center"/>
          </w:tcPr>
          <w:p w:rsidR="00BB53A2" w:rsidRPr="00A71DC9" w:rsidRDefault="00C20F01">
            <w:pPr>
              <w:spacing w:line="500" w:lineRule="exact"/>
              <w:rPr>
                <w:rFonts w:ascii="仿宋" w:eastAsia="仿宋" w:hAnsi="仿宋"/>
                <w:sz w:val="34"/>
                <w:szCs w:val="34"/>
              </w:rPr>
            </w:pPr>
            <w:r w:rsidRPr="00A71DC9">
              <w:rPr>
                <w:rFonts w:ascii="仿宋" w:eastAsia="仿宋" w:hAnsi="仿宋" w:hint="eastAsia"/>
                <w:sz w:val="34"/>
                <w:szCs w:val="34"/>
              </w:rPr>
              <w:t>昌吉市阿什里乡卫生院单位本级</w:t>
            </w:r>
          </w:p>
        </w:tc>
        <w:tc>
          <w:tcPr>
            <w:tcW w:w="2041" w:type="dxa"/>
            <w:tcBorders>
              <w:top w:val="single" w:sz="4" w:space="0" w:color="auto"/>
              <w:left w:val="single" w:sz="4" w:space="0" w:color="auto"/>
              <w:bottom w:val="single" w:sz="4" w:space="0" w:color="auto"/>
              <w:right w:val="single" w:sz="4" w:space="0" w:color="auto"/>
            </w:tcBorders>
            <w:vAlign w:val="center"/>
          </w:tcPr>
          <w:p w:rsidR="00BB53A2" w:rsidRPr="00A71DC9" w:rsidRDefault="00BB53A2" w:rsidP="00A71DC9">
            <w:pPr>
              <w:spacing w:line="500" w:lineRule="exact"/>
              <w:ind w:firstLineChars="200" w:firstLine="680"/>
              <w:rPr>
                <w:rFonts w:ascii="仿宋" w:eastAsia="仿宋" w:hAnsi="仿宋"/>
                <w:sz w:val="34"/>
                <w:szCs w:val="34"/>
              </w:rPr>
            </w:pPr>
          </w:p>
        </w:tc>
      </w:tr>
      <w:tr w:rsidR="00BB53A2" w:rsidRPr="00A71DC9">
        <w:trPr>
          <w:trHeight w:hRule="exact" w:val="510"/>
        </w:trPr>
        <w:tc>
          <w:tcPr>
            <w:tcW w:w="1526" w:type="dxa"/>
            <w:tcBorders>
              <w:top w:val="single" w:sz="4" w:space="0" w:color="auto"/>
              <w:left w:val="single" w:sz="4" w:space="0" w:color="auto"/>
              <w:bottom w:val="single" w:sz="4" w:space="0" w:color="auto"/>
              <w:right w:val="single" w:sz="4" w:space="0" w:color="auto"/>
            </w:tcBorders>
            <w:vAlign w:val="center"/>
          </w:tcPr>
          <w:p w:rsidR="00BB53A2" w:rsidRPr="00A71DC9" w:rsidRDefault="00BB53A2" w:rsidP="00A71DC9">
            <w:pPr>
              <w:spacing w:line="500" w:lineRule="exact"/>
              <w:ind w:firstLineChars="200" w:firstLine="680"/>
              <w:rPr>
                <w:rFonts w:ascii="仿宋" w:eastAsia="仿宋" w:hAnsi="仿宋"/>
                <w:sz w:val="34"/>
                <w:szCs w:val="34"/>
              </w:rPr>
            </w:pPr>
          </w:p>
        </w:tc>
        <w:tc>
          <w:tcPr>
            <w:tcW w:w="4961" w:type="dxa"/>
            <w:tcBorders>
              <w:top w:val="single" w:sz="4" w:space="0" w:color="auto"/>
              <w:left w:val="single" w:sz="4" w:space="0" w:color="auto"/>
              <w:bottom w:val="single" w:sz="4" w:space="0" w:color="auto"/>
              <w:right w:val="single" w:sz="4" w:space="0" w:color="auto"/>
            </w:tcBorders>
            <w:vAlign w:val="center"/>
          </w:tcPr>
          <w:p w:rsidR="00BB53A2" w:rsidRPr="00A71DC9" w:rsidRDefault="00BB53A2" w:rsidP="00A71DC9">
            <w:pPr>
              <w:spacing w:line="500" w:lineRule="exact"/>
              <w:ind w:firstLineChars="200" w:firstLine="680"/>
              <w:rPr>
                <w:rFonts w:ascii="仿宋" w:eastAsia="仿宋" w:hAnsi="仿宋"/>
                <w:sz w:val="34"/>
                <w:szCs w:val="34"/>
              </w:rPr>
            </w:pPr>
          </w:p>
        </w:tc>
        <w:tc>
          <w:tcPr>
            <w:tcW w:w="2041" w:type="dxa"/>
            <w:tcBorders>
              <w:top w:val="single" w:sz="4" w:space="0" w:color="auto"/>
              <w:left w:val="single" w:sz="4" w:space="0" w:color="auto"/>
              <w:bottom w:val="single" w:sz="4" w:space="0" w:color="auto"/>
              <w:right w:val="single" w:sz="4" w:space="0" w:color="auto"/>
            </w:tcBorders>
            <w:vAlign w:val="center"/>
          </w:tcPr>
          <w:p w:rsidR="00BB53A2" w:rsidRPr="00A71DC9" w:rsidRDefault="00BB53A2" w:rsidP="00A71DC9">
            <w:pPr>
              <w:spacing w:line="500" w:lineRule="exact"/>
              <w:ind w:firstLineChars="200" w:firstLine="680"/>
              <w:rPr>
                <w:rFonts w:ascii="仿宋" w:eastAsia="仿宋" w:hAnsi="仿宋"/>
                <w:sz w:val="34"/>
                <w:szCs w:val="34"/>
              </w:rPr>
            </w:pPr>
          </w:p>
        </w:tc>
      </w:tr>
      <w:tr w:rsidR="00BB53A2" w:rsidRPr="00A71DC9">
        <w:trPr>
          <w:trHeight w:hRule="exact" w:val="510"/>
        </w:trPr>
        <w:tc>
          <w:tcPr>
            <w:tcW w:w="1526" w:type="dxa"/>
            <w:tcBorders>
              <w:top w:val="single" w:sz="4" w:space="0" w:color="auto"/>
              <w:left w:val="single" w:sz="4" w:space="0" w:color="auto"/>
              <w:bottom w:val="single" w:sz="4" w:space="0" w:color="auto"/>
              <w:right w:val="single" w:sz="4" w:space="0" w:color="auto"/>
            </w:tcBorders>
            <w:vAlign w:val="center"/>
          </w:tcPr>
          <w:p w:rsidR="00BB53A2" w:rsidRPr="00A71DC9" w:rsidRDefault="00BB53A2" w:rsidP="00A71DC9">
            <w:pPr>
              <w:spacing w:line="500" w:lineRule="exact"/>
              <w:ind w:firstLineChars="200" w:firstLine="680"/>
              <w:rPr>
                <w:rFonts w:ascii="仿宋" w:eastAsia="仿宋" w:hAnsi="仿宋"/>
                <w:sz w:val="34"/>
                <w:szCs w:val="34"/>
              </w:rPr>
            </w:pPr>
          </w:p>
        </w:tc>
        <w:tc>
          <w:tcPr>
            <w:tcW w:w="4961" w:type="dxa"/>
            <w:tcBorders>
              <w:top w:val="single" w:sz="4" w:space="0" w:color="auto"/>
              <w:left w:val="single" w:sz="4" w:space="0" w:color="auto"/>
              <w:bottom w:val="single" w:sz="4" w:space="0" w:color="auto"/>
              <w:right w:val="single" w:sz="4" w:space="0" w:color="auto"/>
            </w:tcBorders>
            <w:vAlign w:val="center"/>
          </w:tcPr>
          <w:p w:rsidR="00BB53A2" w:rsidRPr="00A71DC9" w:rsidRDefault="00BB53A2" w:rsidP="00A71DC9">
            <w:pPr>
              <w:spacing w:line="500" w:lineRule="exact"/>
              <w:ind w:firstLineChars="200" w:firstLine="680"/>
              <w:rPr>
                <w:rFonts w:ascii="仿宋" w:eastAsia="仿宋" w:hAnsi="仿宋"/>
                <w:sz w:val="34"/>
                <w:szCs w:val="34"/>
              </w:rPr>
            </w:pPr>
          </w:p>
        </w:tc>
        <w:tc>
          <w:tcPr>
            <w:tcW w:w="2041" w:type="dxa"/>
            <w:tcBorders>
              <w:top w:val="single" w:sz="4" w:space="0" w:color="auto"/>
              <w:left w:val="single" w:sz="4" w:space="0" w:color="auto"/>
              <w:bottom w:val="single" w:sz="4" w:space="0" w:color="auto"/>
              <w:right w:val="single" w:sz="4" w:space="0" w:color="auto"/>
            </w:tcBorders>
            <w:vAlign w:val="center"/>
          </w:tcPr>
          <w:p w:rsidR="00BB53A2" w:rsidRPr="00A71DC9" w:rsidRDefault="00BB53A2" w:rsidP="00A71DC9">
            <w:pPr>
              <w:spacing w:line="500" w:lineRule="exact"/>
              <w:ind w:firstLineChars="200" w:firstLine="680"/>
              <w:rPr>
                <w:rFonts w:ascii="仿宋" w:eastAsia="仿宋" w:hAnsi="仿宋"/>
                <w:sz w:val="34"/>
                <w:szCs w:val="34"/>
              </w:rPr>
            </w:pPr>
          </w:p>
        </w:tc>
      </w:tr>
      <w:tr w:rsidR="00BB53A2" w:rsidRPr="00A71DC9">
        <w:trPr>
          <w:trHeight w:hRule="exact" w:val="510"/>
        </w:trPr>
        <w:tc>
          <w:tcPr>
            <w:tcW w:w="1526" w:type="dxa"/>
            <w:tcBorders>
              <w:top w:val="single" w:sz="4" w:space="0" w:color="auto"/>
              <w:left w:val="single" w:sz="4" w:space="0" w:color="auto"/>
              <w:bottom w:val="single" w:sz="4" w:space="0" w:color="auto"/>
              <w:right w:val="single" w:sz="4" w:space="0" w:color="auto"/>
            </w:tcBorders>
            <w:vAlign w:val="center"/>
          </w:tcPr>
          <w:p w:rsidR="00BB53A2" w:rsidRPr="00A71DC9" w:rsidRDefault="00BB53A2" w:rsidP="00A71DC9">
            <w:pPr>
              <w:spacing w:line="500" w:lineRule="exact"/>
              <w:ind w:firstLineChars="200" w:firstLine="680"/>
              <w:rPr>
                <w:rFonts w:ascii="仿宋" w:eastAsia="仿宋" w:hAnsi="仿宋"/>
                <w:sz w:val="34"/>
                <w:szCs w:val="34"/>
              </w:rPr>
            </w:pPr>
          </w:p>
        </w:tc>
        <w:tc>
          <w:tcPr>
            <w:tcW w:w="4961" w:type="dxa"/>
            <w:tcBorders>
              <w:top w:val="single" w:sz="4" w:space="0" w:color="auto"/>
              <w:left w:val="single" w:sz="4" w:space="0" w:color="auto"/>
              <w:bottom w:val="single" w:sz="4" w:space="0" w:color="auto"/>
              <w:right w:val="single" w:sz="4" w:space="0" w:color="auto"/>
            </w:tcBorders>
            <w:vAlign w:val="center"/>
          </w:tcPr>
          <w:p w:rsidR="00BB53A2" w:rsidRPr="00A71DC9" w:rsidRDefault="00BB53A2" w:rsidP="00A71DC9">
            <w:pPr>
              <w:spacing w:line="500" w:lineRule="exact"/>
              <w:ind w:firstLineChars="200" w:firstLine="680"/>
              <w:rPr>
                <w:rFonts w:ascii="仿宋" w:eastAsia="仿宋" w:hAnsi="仿宋"/>
                <w:sz w:val="34"/>
                <w:szCs w:val="34"/>
              </w:rPr>
            </w:pPr>
          </w:p>
        </w:tc>
        <w:tc>
          <w:tcPr>
            <w:tcW w:w="2041" w:type="dxa"/>
            <w:tcBorders>
              <w:top w:val="single" w:sz="4" w:space="0" w:color="auto"/>
              <w:left w:val="single" w:sz="4" w:space="0" w:color="auto"/>
              <w:bottom w:val="single" w:sz="4" w:space="0" w:color="auto"/>
              <w:right w:val="single" w:sz="4" w:space="0" w:color="auto"/>
            </w:tcBorders>
            <w:vAlign w:val="center"/>
          </w:tcPr>
          <w:p w:rsidR="00BB53A2" w:rsidRPr="00A71DC9" w:rsidRDefault="00BB53A2" w:rsidP="00A71DC9">
            <w:pPr>
              <w:spacing w:line="500" w:lineRule="exact"/>
              <w:ind w:firstLineChars="200" w:firstLine="680"/>
              <w:rPr>
                <w:rFonts w:ascii="仿宋" w:eastAsia="仿宋" w:hAnsi="仿宋"/>
                <w:sz w:val="34"/>
                <w:szCs w:val="34"/>
              </w:rPr>
            </w:pPr>
          </w:p>
        </w:tc>
      </w:tr>
    </w:tbl>
    <w:p w:rsidR="00BB53A2" w:rsidRPr="00A71DC9" w:rsidRDefault="00BB53A2">
      <w:pPr>
        <w:spacing w:line="500" w:lineRule="exact"/>
        <w:rPr>
          <w:rFonts w:ascii="仿宋" w:eastAsia="仿宋" w:hAnsi="仿宋"/>
          <w:sz w:val="34"/>
          <w:szCs w:val="34"/>
        </w:rPr>
      </w:pPr>
    </w:p>
    <w:p w:rsidR="00434D59" w:rsidRDefault="00434D59">
      <w:pPr>
        <w:widowControl/>
        <w:jc w:val="left"/>
        <w:rPr>
          <w:rFonts w:ascii="仿宋" w:eastAsia="仿宋" w:hAnsi="仿宋"/>
          <w:b/>
          <w:sz w:val="34"/>
          <w:szCs w:val="34"/>
        </w:rPr>
      </w:pPr>
      <w:r>
        <w:rPr>
          <w:rFonts w:ascii="仿宋" w:eastAsia="仿宋" w:hAnsi="仿宋"/>
          <w:b/>
          <w:sz w:val="34"/>
          <w:szCs w:val="34"/>
        </w:rPr>
        <w:br w:type="page"/>
      </w:r>
    </w:p>
    <w:p w:rsidR="00BB53A2" w:rsidRPr="00A71DC9" w:rsidRDefault="00C20F01">
      <w:pPr>
        <w:spacing w:line="500" w:lineRule="exact"/>
        <w:jc w:val="center"/>
        <w:rPr>
          <w:rFonts w:ascii="仿宋" w:eastAsia="仿宋" w:hAnsi="仿宋"/>
          <w:sz w:val="34"/>
          <w:szCs w:val="34"/>
        </w:rPr>
      </w:pPr>
      <w:bookmarkStart w:id="0" w:name="_GoBack"/>
      <w:bookmarkEnd w:id="0"/>
      <w:r w:rsidRPr="00A71DC9">
        <w:rPr>
          <w:rFonts w:ascii="仿宋" w:eastAsia="仿宋" w:hAnsi="仿宋" w:hint="eastAsia"/>
          <w:b/>
          <w:sz w:val="34"/>
          <w:szCs w:val="34"/>
        </w:rPr>
        <w:lastRenderedPageBreak/>
        <w:t>第二部分 部门决算情况说明</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一、部门收支总体情况</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（一）部门收入支出决算总体情况说明</w:t>
      </w:r>
    </w:p>
    <w:p w:rsidR="00BB53A2" w:rsidRPr="00A71DC9" w:rsidRDefault="00C20F01">
      <w:pPr>
        <w:spacing w:line="500" w:lineRule="exact"/>
        <w:ind w:firstLineChars="200" w:firstLine="680"/>
        <w:rPr>
          <w:rFonts w:ascii="仿宋" w:eastAsia="仿宋" w:hAnsi="仿宋" w:cs="仿宋_GB2312"/>
          <w:sz w:val="34"/>
          <w:szCs w:val="34"/>
        </w:rPr>
      </w:pPr>
      <w:r w:rsidRPr="00A71DC9">
        <w:rPr>
          <w:rFonts w:ascii="仿宋" w:eastAsia="仿宋" w:hAnsi="仿宋" w:hint="eastAsia"/>
          <w:sz w:val="34"/>
          <w:szCs w:val="34"/>
        </w:rPr>
        <w:t>2018年度收入537.26万元,与上年相比增加31.14万元，增加6.15%，增减变化主要原因是：</w:t>
      </w:r>
      <w:r w:rsidRPr="00A71DC9">
        <w:rPr>
          <w:rFonts w:ascii="仿宋" w:eastAsia="仿宋" w:hAnsi="仿宋" w:cs="仿宋_GB2312" w:hint="eastAsia"/>
          <w:sz w:val="34"/>
          <w:szCs w:val="34"/>
        </w:rPr>
        <w:t>医院上级补助增加</w:t>
      </w:r>
      <w:r w:rsidRPr="00A71DC9">
        <w:rPr>
          <w:rFonts w:ascii="仿宋" w:eastAsia="仿宋" w:hAnsi="仿宋" w:hint="eastAsia"/>
          <w:sz w:val="34"/>
          <w:szCs w:val="34"/>
        </w:rPr>
        <w:t>；支出541.91万元,与上年相比，增加33.94万元，增长6.68%，增减变化主要原因是：</w:t>
      </w:r>
      <w:r w:rsidRPr="00A71DC9">
        <w:rPr>
          <w:rFonts w:ascii="仿宋" w:eastAsia="仿宋" w:hAnsi="仿宋" w:cs="仿宋_GB2312" w:hint="eastAsia"/>
          <w:sz w:val="34"/>
          <w:szCs w:val="34"/>
        </w:rPr>
        <w:t>因为全民健康体检设备及医疗垃圾暂存点的修建支出等</w:t>
      </w:r>
      <w:r w:rsidRPr="00A71DC9">
        <w:rPr>
          <w:rFonts w:ascii="仿宋" w:eastAsia="仿宋" w:hAnsi="仿宋" w:hint="eastAsia"/>
          <w:sz w:val="34"/>
          <w:szCs w:val="34"/>
        </w:rPr>
        <w:t>；结余30.1万元，与上年相比，增加8.94万元，增加42.28%。增减变化主要原因是：1、</w:t>
      </w:r>
      <w:r w:rsidRPr="00A71DC9">
        <w:rPr>
          <w:rFonts w:ascii="仿宋" w:eastAsia="仿宋" w:hAnsi="仿宋" w:cs="仿宋_GB2312" w:hint="eastAsia"/>
          <w:sz w:val="34"/>
          <w:szCs w:val="34"/>
        </w:rPr>
        <w:t>中医</w:t>
      </w:r>
      <w:proofErr w:type="gramStart"/>
      <w:r w:rsidRPr="00A71DC9">
        <w:rPr>
          <w:rFonts w:ascii="仿宋" w:eastAsia="仿宋" w:hAnsi="仿宋" w:cs="仿宋_GB2312" w:hint="eastAsia"/>
          <w:sz w:val="34"/>
          <w:szCs w:val="34"/>
        </w:rPr>
        <w:t>馆资金</w:t>
      </w:r>
      <w:proofErr w:type="gramEnd"/>
      <w:r w:rsidRPr="00A71DC9">
        <w:rPr>
          <w:rFonts w:ascii="仿宋" w:eastAsia="仿宋" w:hAnsi="仿宋" w:cs="仿宋_GB2312" w:hint="eastAsia"/>
          <w:sz w:val="34"/>
          <w:szCs w:val="34"/>
        </w:rPr>
        <w:t>有未支付。２．全民健康体检和公共卫生等有未支付。</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（二）部门收入总体情况说明</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本年收入合计537.26万元，其中：财政拨款收入356.51万元，占66.36%；上级补助收入0万元，占0%；事业收入57.38万元，占10.68%；经营收入0万元，占0%；附属单位缴款0万元，占0%；其他收入123.37万元，占22.96%。</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与年初预算数相比情况：本年收入年初预算数307.45万元，决算数537.26万元，预决算差异率74.75%，差异主要原因预算未安排绩效奖金及项目经费，决算数包含了绩效奖金及追加的项目经费及人员增资等经费。</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（三）部门支出总体情况说明</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本年支出合计541.91万元，其中：基本支出407万元，占75.11%；项目支出134.91万元，占24.89%；上缴上级支出0万元，占0%；经营支出0万元，占0%；对附属单位补助支出0万元，占0%。</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与年初预算数相比情况：本年支出年初预算数</w:t>
      </w:r>
      <w:r w:rsidRPr="00A71DC9">
        <w:rPr>
          <w:rFonts w:ascii="仿宋" w:eastAsia="仿宋" w:hAnsi="仿宋" w:hint="eastAsia"/>
          <w:sz w:val="34"/>
          <w:szCs w:val="34"/>
        </w:rPr>
        <w:lastRenderedPageBreak/>
        <w:t>307.45万元，决算数541.91万元，预决算差异率76.26%，差异主要原因预算未安排绩效奖金及项目经费，决算数包含了绩效奖金及追加的项目经费及人员增资等经费。</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二、部门财政拨款收支情况</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（一）财政拨款收支总体情况说明</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2018年度财政拨款收入356.51万元，与上年相比，增加41.53万元，增长13.19%。增减变化的主要原因是：</w:t>
      </w:r>
      <w:r w:rsidRPr="00A71DC9">
        <w:rPr>
          <w:rFonts w:ascii="仿宋" w:eastAsia="仿宋" w:hAnsi="仿宋" w:cs="仿宋_GB2312" w:hint="eastAsia"/>
          <w:sz w:val="34"/>
          <w:szCs w:val="34"/>
        </w:rPr>
        <w:t>人员工资总额增加，社会保险缴费总额增加</w:t>
      </w:r>
      <w:r w:rsidRPr="00A71DC9">
        <w:rPr>
          <w:rFonts w:ascii="仿宋" w:eastAsia="仿宋" w:hAnsi="仿宋" w:hint="eastAsia"/>
          <w:sz w:val="34"/>
          <w:szCs w:val="34"/>
        </w:rPr>
        <w:t>。财政拨款支出370.39万元，与上年相比，增加57.93万元，增长18.54%，增减变化的主要原因是：</w:t>
      </w:r>
      <w:r w:rsidRPr="00A71DC9">
        <w:rPr>
          <w:rFonts w:ascii="仿宋" w:eastAsia="仿宋" w:hAnsi="仿宋" w:cs="仿宋_GB2312" w:hint="eastAsia"/>
          <w:sz w:val="34"/>
          <w:szCs w:val="34"/>
        </w:rPr>
        <w:t>人员工资总额增加，社会保险缴费总额增加；电采暖锅炉配套建设项目等</w:t>
      </w:r>
      <w:r w:rsidRPr="00A71DC9">
        <w:rPr>
          <w:rFonts w:ascii="仿宋" w:eastAsia="仿宋" w:hAnsi="仿宋" w:hint="eastAsia"/>
          <w:sz w:val="34"/>
          <w:szCs w:val="34"/>
        </w:rPr>
        <w:t>。其中：基本支出336.03万元，项目支出34.36万元。财政拨款结转结余1.81万元，与上年相比，减少13.88万元，降低88.46%。增减变化的主要原因是：中医馆建设未</w:t>
      </w:r>
      <w:proofErr w:type="gramStart"/>
      <w:r w:rsidRPr="00A71DC9">
        <w:rPr>
          <w:rFonts w:ascii="仿宋" w:eastAsia="仿宋" w:hAnsi="仿宋" w:hint="eastAsia"/>
          <w:sz w:val="34"/>
          <w:szCs w:val="34"/>
        </w:rPr>
        <w:t>支付完和医疗</w:t>
      </w:r>
      <w:proofErr w:type="gramEnd"/>
      <w:r w:rsidRPr="00A71DC9">
        <w:rPr>
          <w:rFonts w:ascii="仿宋" w:eastAsia="仿宋" w:hAnsi="仿宋" w:hint="eastAsia"/>
          <w:sz w:val="34"/>
          <w:szCs w:val="34"/>
        </w:rPr>
        <w:t>废物暂存</w:t>
      </w:r>
      <w:proofErr w:type="gramStart"/>
      <w:r w:rsidRPr="00A71DC9">
        <w:rPr>
          <w:rFonts w:ascii="仿宋" w:eastAsia="仿宋" w:hAnsi="仿宋" w:hint="eastAsia"/>
          <w:sz w:val="34"/>
          <w:szCs w:val="34"/>
        </w:rPr>
        <w:t>点工程</w:t>
      </w:r>
      <w:proofErr w:type="gramEnd"/>
      <w:r w:rsidRPr="00A71DC9">
        <w:rPr>
          <w:rFonts w:ascii="仿宋" w:eastAsia="仿宋" w:hAnsi="仿宋" w:hint="eastAsia"/>
          <w:sz w:val="34"/>
          <w:szCs w:val="34"/>
        </w:rPr>
        <w:t>完工。</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与年初预算数相比情况:财政拨款收入年初预算数307.45万元，决算数356.51万元，预决算差异率15.96%，差异主要原因预算未安排绩效奖金及项目经费，决算数包含了绩效奖金及追加的项目经费及人员增资等经费。财政拨款支出年初预算数307.45万元，决算数370.39万元，预决算差异率20.47%，差异主要原因预算未安排绩效奖金及项目经费，决算数包含了绩效奖金及追加的项目经费及人员增资等经费。</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（二）一般公共预算收支决算情况说明</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2018年度一般公共预算财政拨款收入347.13万元。与上年相比，增加32.15万元，增长10.21%。增减变化的主要原因是：</w:t>
      </w:r>
      <w:r w:rsidRPr="00A71DC9">
        <w:rPr>
          <w:rFonts w:ascii="仿宋" w:eastAsia="仿宋" w:hAnsi="仿宋" w:cs="仿宋_GB2312" w:hint="eastAsia"/>
          <w:sz w:val="34"/>
          <w:szCs w:val="34"/>
        </w:rPr>
        <w:t>人员工资总额增加，社会保险缴费总额</w:t>
      </w:r>
      <w:r w:rsidRPr="00A71DC9">
        <w:rPr>
          <w:rFonts w:ascii="仿宋" w:eastAsia="仿宋" w:hAnsi="仿宋" w:cs="仿宋_GB2312" w:hint="eastAsia"/>
          <w:sz w:val="34"/>
          <w:szCs w:val="34"/>
        </w:rPr>
        <w:lastRenderedPageBreak/>
        <w:t>增加</w:t>
      </w:r>
      <w:r w:rsidRPr="00A71DC9">
        <w:rPr>
          <w:rFonts w:ascii="仿宋" w:eastAsia="仿宋" w:hAnsi="仿宋" w:hint="eastAsia"/>
          <w:sz w:val="34"/>
          <w:szCs w:val="34"/>
        </w:rPr>
        <w:t>。一般公共预算财政拨款支出361.01万元。与上年相比，增加48.55万元，增长15.54%。增减变化的主要原因是：</w:t>
      </w:r>
      <w:r w:rsidRPr="00A71DC9">
        <w:rPr>
          <w:rFonts w:ascii="仿宋" w:eastAsia="仿宋" w:hAnsi="仿宋" w:cs="仿宋_GB2312" w:hint="eastAsia"/>
          <w:sz w:val="34"/>
          <w:szCs w:val="34"/>
        </w:rPr>
        <w:t>人员工资总额增加，社会保险缴费总额增加</w:t>
      </w:r>
      <w:r w:rsidRPr="00A71DC9">
        <w:rPr>
          <w:rFonts w:ascii="仿宋" w:eastAsia="仿宋" w:hAnsi="仿宋" w:hint="eastAsia"/>
          <w:sz w:val="34"/>
          <w:szCs w:val="34"/>
        </w:rPr>
        <w:t>。其中：按功能分类科目</w:t>
      </w:r>
      <w:r w:rsidRPr="00A71DC9">
        <w:rPr>
          <w:rFonts w:ascii="仿宋" w:eastAsia="仿宋" w:hAnsi="仿宋" w:hint="eastAsia"/>
          <w:kern w:val="0"/>
          <w:sz w:val="34"/>
          <w:szCs w:val="34"/>
        </w:rPr>
        <w:t>（按类级科目公开）</w:t>
      </w:r>
      <w:r w:rsidRPr="00A71DC9">
        <w:rPr>
          <w:rFonts w:ascii="仿宋" w:eastAsia="仿宋" w:hAnsi="仿宋" w:hint="eastAsia"/>
          <w:sz w:val="34"/>
          <w:szCs w:val="34"/>
        </w:rPr>
        <w:t>，208社会保障和就业支出28.38万元，210医疗卫生与计划生育支出332.63万元.按经济分类科目，</w:t>
      </w:r>
      <w:r w:rsidRPr="00A71DC9">
        <w:rPr>
          <w:rFonts w:ascii="仿宋" w:eastAsia="仿宋" w:hAnsi="仿宋" w:cs="仿宋_GB2312" w:hint="eastAsia"/>
          <w:sz w:val="34"/>
          <w:szCs w:val="34"/>
        </w:rPr>
        <w:t>工资福利支出</w:t>
      </w:r>
      <w:r w:rsidRPr="00A71DC9">
        <w:rPr>
          <w:rFonts w:ascii="仿宋" w:eastAsia="仿宋" w:hAnsi="仿宋" w:hint="eastAsia"/>
          <w:sz w:val="34"/>
          <w:szCs w:val="34"/>
        </w:rPr>
        <w:t>271.84万元，</w:t>
      </w:r>
      <w:r w:rsidRPr="00A71DC9">
        <w:rPr>
          <w:rFonts w:ascii="仿宋" w:eastAsia="仿宋" w:hAnsi="仿宋" w:cs="仿宋_GB2312" w:hint="eastAsia"/>
          <w:sz w:val="34"/>
          <w:szCs w:val="34"/>
        </w:rPr>
        <w:t>商品和服务支出32.62万元，对个人和家庭的补助支出36.4</w:t>
      </w:r>
      <w:r w:rsidRPr="00A71DC9">
        <w:rPr>
          <w:rFonts w:ascii="仿宋" w:eastAsia="仿宋" w:hAnsi="仿宋" w:hint="eastAsia"/>
          <w:sz w:val="34"/>
          <w:szCs w:val="34"/>
        </w:rPr>
        <w:t>万元，资本性支出20.14万元。</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与年初预算数相比情况：一般公共预算财政拨款收入年初预算数307.45万元，决算数347.13万元，预决算差异率12.91%，差异主要原因预算未安排绩效奖金及项目经费，决算数包含了绩效奖金及追加的项目经费及人员增资等经费。一般公共预算财政拨款支出年初预算数307.45万元，决算数361.01万元，预决算差异率17.42%，差异主要原因预算未安排绩效奖金及项目经费，决算数包含了绩效奖金及追加的项目经费及人员增资等经费。</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（三）政府性基金预算收支决算情况说明</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2018年度政府性基金预算财政拨款收入9.38万元，与上年相比，增加9.38万元，增长100%。增减变化的主要原因是：</w:t>
      </w:r>
      <w:r w:rsidRPr="00A71DC9">
        <w:rPr>
          <w:rFonts w:ascii="仿宋" w:eastAsia="仿宋" w:hAnsi="仿宋" w:cs="仿宋_GB2312" w:hint="eastAsia"/>
          <w:sz w:val="34"/>
          <w:szCs w:val="34"/>
        </w:rPr>
        <w:t>全民健康体检经费的增加</w:t>
      </w:r>
      <w:r w:rsidRPr="00A71DC9">
        <w:rPr>
          <w:rFonts w:ascii="仿宋" w:eastAsia="仿宋" w:hAnsi="仿宋" w:hint="eastAsia"/>
          <w:sz w:val="34"/>
          <w:szCs w:val="34"/>
        </w:rPr>
        <w:t>。政府性基金预算财政拨款支出9.38万元，与上年相比，增加9.38万元，增长100%。增减变化的主要原因是：</w:t>
      </w:r>
      <w:r w:rsidRPr="00A71DC9">
        <w:rPr>
          <w:rFonts w:ascii="仿宋" w:eastAsia="仿宋" w:hAnsi="仿宋" w:cs="仿宋_GB2312" w:hint="eastAsia"/>
          <w:sz w:val="34"/>
          <w:szCs w:val="34"/>
        </w:rPr>
        <w:t>全民健康体检支出的增加</w:t>
      </w:r>
      <w:r w:rsidRPr="00A71DC9">
        <w:rPr>
          <w:rFonts w:ascii="仿宋" w:eastAsia="仿宋" w:hAnsi="仿宋" w:hint="eastAsia"/>
          <w:sz w:val="34"/>
          <w:szCs w:val="34"/>
        </w:rPr>
        <w:t>。其中：按功能分类科目</w:t>
      </w:r>
      <w:r w:rsidRPr="00A71DC9">
        <w:rPr>
          <w:rFonts w:ascii="仿宋" w:eastAsia="仿宋" w:hAnsi="仿宋" w:hint="eastAsia"/>
          <w:kern w:val="0"/>
          <w:sz w:val="34"/>
          <w:szCs w:val="34"/>
        </w:rPr>
        <w:t>（按类级科目公开）</w:t>
      </w:r>
      <w:r w:rsidRPr="00A71DC9">
        <w:rPr>
          <w:rFonts w:ascii="仿宋" w:eastAsia="仿宋" w:hAnsi="仿宋" w:hint="eastAsia"/>
          <w:sz w:val="34"/>
          <w:szCs w:val="34"/>
        </w:rPr>
        <w:t>，229其他支出9.38万元。按经济分类科目</w:t>
      </w:r>
      <w:r w:rsidRPr="00A71DC9">
        <w:rPr>
          <w:rFonts w:ascii="仿宋" w:eastAsia="仿宋" w:hAnsi="仿宋" w:hint="eastAsia"/>
          <w:kern w:val="0"/>
          <w:sz w:val="34"/>
          <w:szCs w:val="34"/>
        </w:rPr>
        <w:t>（按类级科目公开）</w:t>
      </w:r>
      <w:r w:rsidRPr="00A71DC9">
        <w:rPr>
          <w:rFonts w:ascii="仿宋" w:eastAsia="仿宋" w:hAnsi="仿宋" w:hint="eastAsia"/>
          <w:sz w:val="34"/>
          <w:szCs w:val="34"/>
        </w:rPr>
        <w:t>，</w:t>
      </w:r>
      <w:r w:rsidRPr="00A71DC9">
        <w:rPr>
          <w:rFonts w:ascii="仿宋" w:eastAsia="仿宋" w:hAnsi="仿宋" w:cs="仿宋_GB2312" w:hint="eastAsia"/>
          <w:sz w:val="34"/>
          <w:szCs w:val="34"/>
        </w:rPr>
        <w:t>商品和服务支出</w:t>
      </w:r>
      <w:r w:rsidRPr="00A71DC9">
        <w:rPr>
          <w:rFonts w:ascii="仿宋" w:eastAsia="仿宋" w:hAnsi="仿宋" w:hint="eastAsia"/>
          <w:sz w:val="34"/>
          <w:szCs w:val="34"/>
        </w:rPr>
        <w:t>9.38万元。</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与年初预算数相比情况：政府性基金预算财政拨款</w:t>
      </w:r>
      <w:r w:rsidRPr="00A71DC9">
        <w:rPr>
          <w:rFonts w:ascii="仿宋" w:eastAsia="仿宋" w:hAnsi="仿宋" w:hint="eastAsia"/>
          <w:sz w:val="34"/>
          <w:szCs w:val="34"/>
        </w:rPr>
        <w:lastRenderedPageBreak/>
        <w:t>收入年初预算数0万元，决算数9.38万元，预决算差异率100%，差异主要原因年初未安排此项经费预算。政府性基金预算财政拨款支出年初预算数0万元，决算数9.38万元，预决算差异率100%，差异主要原因年初未安排此项经费预算，决算数包含了此项经费。</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三、部门结转结余情况</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年末结转结余30.1万元。与上年相比，减少8.94万元，减少42.28%。</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其中财政拨款结转结余1.81万元。与上年相比，减少13.88万元，降低88.46%。</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四、一般公共预算“三公”经费支出情况</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2018年度一般公共预算“三公”经费支出决算1.33万元，比上年减少0.47万元，减少26.1%，增加0原因是严格按照中央八项规定和预算法规定，严控“三公”经费预算。其中，因公出国（境）费支出0万元，占0%，比上年增加0万元，增长0%，增加原因是严格按照中央八项规定和预算法规定，严控“三公”经费预算。公务用车购置及运行维护费支出1.33万元，占100%，比上年减少0.47万元，降低26.1%，增加原因是严格按照中央八项规定和预算法规定，严控“三公”经费预算。公务接待费支出0万元，占0%，比上年增加0万元，增长0%，增加原因是严格按照中央八项规定和预算法规定，严控“三公”经费预算。具体情况如下：</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因公出国（境）费支出0万元。昌吉市阿什里乡卫生院全年使用一般公共预算财政拨款安排的出国（境）团组0个，累计0人次。开支内容包括：严格按照中央八项规定和预算法规定，严控“三公”经费预算。</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lastRenderedPageBreak/>
        <w:t>公务用车购置及运行维护费1</w:t>
      </w:r>
      <w:r w:rsidR="00CE78E1">
        <w:rPr>
          <w:rFonts w:ascii="仿宋" w:eastAsia="仿宋" w:hAnsi="仿宋" w:hint="eastAsia"/>
          <w:sz w:val="34"/>
          <w:szCs w:val="34"/>
        </w:rPr>
        <w:t>.33</w:t>
      </w:r>
      <w:r w:rsidRPr="00A71DC9">
        <w:rPr>
          <w:rFonts w:ascii="仿宋" w:eastAsia="仿宋" w:hAnsi="仿宋" w:hint="eastAsia"/>
          <w:sz w:val="34"/>
          <w:szCs w:val="34"/>
        </w:rPr>
        <w:t>万元,其中，公务用车购置0万元，公务用车运行维护费1.33万元。主要用于</w:t>
      </w:r>
      <w:r w:rsidRPr="00A71DC9">
        <w:rPr>
          <w:rFonts w:ascii="仿宋" w:eastAsia="仿宋" w:hAnsi="仿宋" w:cs="仿宋_GB2312" w:hint="eastAsia"/>
          <w:sz w:val="34"/>
          <w:szCs w:val="34"/>
        </w:rPr>
        <w:t>基本公共卫生、全民体检用车及开展业务工作等</w:t>
      </w:r>
      <w:r w:rsidRPr="00A71DC9">
        <w:rPr>
          <w:rFonts w:ascii="仿宋" w:eastAsia="仿宋" w:hAnsi="仿宋" w:hint="eastAsia"/>
          <w:sz w:val="34"/>
          <w:szCs w:val="34"/>
        </w:rPr>
        <w:t>。单位一般公共财政拨款安排的公务用车购置量0辆，保有量为1辆。</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公务接待费0万元。具体是：国内公务接待支出0万元，主要是严格执行“八项”规定精神，杜绝公务接待。昌吉市阿什里乡卫生院国内公务接待0批次，0人次。</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与年初预算数相比情况：一般公共预算“三公”经费支出年初预算数1.8万元，决算数1.33万元，预决算差异率26.1%，差异主要原因严格按照中央八项规定和预算法规定，严控“三公”经费预算。其中：因公出国（境）费预算数0万元，决算数0万元，预决算差异率0%，差异主要原因严格按照中央八项规定和预算法规定，严控“三公”经费预算。公务用车购置预算数0万元，决算数0万元，预决算差异率0%，差异主要原因严格按照中央八项规定和预算法规定，严控“三公”经费预算。公务用车运行费预算数1.8万元，决算数1.33万元，预决算差异率26.1%，差异主要原因严格按照中央八项规定和预算法规定，严控“三公”经费预算。公务接待费预算数0万元，决算数0万元，预决算差异率0%，差异主要原因严格按照中央八项规定和预算法规定，严控“三公”经费预算。</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五、机关运行经费支出情况</w:t>
      </w:r>
    </w:p>
    <w:p w:rsidR="00BB53A2" w:rsidRPr="00A71DC9" w:rsidRDefault="00C20F01">
      <w:pPr>
        <w:spacing w:line="500" w:lineRule="exact"/>
        <w:ind w:firstLineChars="200" w:firstLine="680"/>
        <w:rPr>
          <w:rFonts w:ascii="仿宋" w:eastAsia="仿宋" w:hAnsi="仿宋"/>
          <w:color w:val="000000" w:themeColor="text1"/>
          <w:sz w:val="34"/>
          <w:szCs w:val="34"/>
        </w:rPr>
      </w:pPr>
      <w:r w:rsidRPr="00A71DC9">
        <w:rPr>
          <w:rFonts w:ascii="仿宋" w:eastAsia="仿宋" w:hAnsi="仿宋" w:hint="eastAsia"/>
          <w:color w:val="000000" w:themeColor="text1"/>
          <w:sz w:val="34"/>
          <w:szCs w:val="34"/>
        </w:rPr>
        <w:t>昌吉市阿什里乡卫生院日常公用经费支出</w:t>
      </w:r>
      <w:r w:rsidR="00346CE2">
        <w:rPr>
          <w:rFonts w:ascii="仿宋" w:eastAsia="仿宋" w:hAnsi="仿宋" w:hint="eastAsia"/>
          <w:color w:val="000000" w:themeColor="text1"/>
          <w:sz w:val="34"/>
          <w:szCs w:val="34"/>
        </w:rPr>
        <w:t>27.78</w:t>
      </w:r>
      <w:r w:rsidRPr="00A71DC9">
        <w:rPr>
          <w:rFonts w:ascii="仿宋" w:eastAsia="仿宋" w:hAnsi="仿宋" w:hint="eastAsia"/>
          <w:color w:val="000000" w:themeColor="text1"/>
          <w:sz w:val="34"/>
          <w:szCs w:val="34"/>
        </w:rPr>
        <w:t>万元，比上年增加</w:t>
      </w:r>
      <w:r w:rsidR="00346CE2">
        <w:rPr>
          <w:rFonts w:ascii="仿宋" w:eastAsia="仿宋" w:hAnsi="仿宋" w:hint="eastAsia"/>
          <w:color w:val="000000" w:themeColor="text1"/>
          <w:sz w:val="34"/>
          <w:szCs w:val="34"/>
        </w:rPr>
        <w:t>14.85</w:t>
      </w:r>
      <w:r w:rsidRPr="00A71DC9">
        <w:rPr>
          <w:rFonts w:ascii="仿宋" w:eastAsia="仿宋" w:hAnsi="仿宋" w:hint="eastAsia"/>
          <w:color w:val="000000" w:themeColor="text1"/>
          <w:sz w:val="34"/>
          <w:szCs w:val="34"/>
        </w:rPr>
        <w:t>万元，增长</w:t>
      </w:r>
      <w:r w:rsidR="00346CE2">
        <w:rPr>
          <w:rFonts w:ascii="仿宋" w:eastAsia="仿宋" w:hAnsi="仿宋" w:hint="eastAsia"/>
          <w:color w:val="000000" w:themeColor="text1"/>
          <w:sz w:val="34"/>
          <w:szCs w:val="34"/>
        </w:rPr>
        <w:t>1</w:t>
      </w:r>
      <w:r w:rsidR="00686DBD">
        <w:rPr>
          <w:rFonts w:ascii="仿宋" w:eastAsia="仿宋" w:hAnsi="仿宋" w:hint="eastAsia"/>
          <w:color w:val="000000" w:themeColor="text1"/>
          <w:sz w:val="34"/>
          <w:szCs w:val="34"/>
        </w:rPr>
        <w:t>14.85</w:t>
      </w:r>
      <w:r w:rsidRPr="00A71DC9">
        <w:rPr>
          <w:rFonts w:ascii="仿宋" w:eastAsia="仿宋" w:hAnsi="仿宋" w:hint="eastAsia"/>
          <w:color w:val="000000" w:themeColor="text1"/>
          <w:sz w:val="34"/>
          <w:szCs w:val="34"/>
        </w:rPr>
        <w:t>%，主要原因是专项业务经费增加。</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lastRenderedPageBreak/>
        <w:t>六、政府采购情况</w:t>
      </w:r>
    </w:p>
    <w:p w:rsidR="00BB53A2" w:rsidRPr="00A71DC9" w:rsidRDefault="00C20F01">
      <w:pPr>
        <w:spacing w:line="500" w:lineRule="exact"/>
        <w:ind w:firstLineChars="200" w:firstLine="680"/>
        <w:rPr>
          <w:rFonts w:ascii="仿宋" w:eastAsia="仿宋" w:hAnsi="仿宋"/>
          <w:sz w:val="34"/>
          <w:szCs w:val="34"/>
          <w:lang w:val="en-GB"/>
        </w:rPr>
      </w:pPr>
      <w:r w:rsidRPr="00A71DC9">
        <w:rPr>
          <w:rFonts w:ascii="仿宋" w:eastAsia="仿宋" w:hAnsi="仿宋" w:hint="eastAsia"/>
          <w:sz w:val="34"/>
          <w:szCs w:val="34"/>
        </w:rPr>
        <w:t>2018年度政府采购支出总额28.15万元，其中：政府采购货物支出25.52万元、政府采购工程支出0万元、政府采购服务支出2.63万元。</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七、其他重要事项的情况</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（一）国有资产占用情况说明</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截至2018年12月31日，单位共有车辆1辆，价值9.62万元，其中：部级领导干部用车0辆、主要领导干部用车0辆、机要通信用车0辆、应急保障用车0辆、执法执勤用车0辆、特种专业技术用车0辆、离退休干部用车0辆、其他用车1辆，其他用车主要是：用于</w:t>
      </w:r>
      <w:r w:rsidRPr="00A71DC9">
        <w:rPr>
          <w:rFonts w:ascii="仿宋" w:eastAsia="仿宋" w:hAnsi="仿宋" w:cs="仿宋_GB2312" w:hint="eastAsia"/>
          <w:sz w:val="34"/>
          <w:szCs w:val="34"/>
        </w:rPr>
        <w:t>基本公共卫生、全民体检用车及开展业务工作等</w:t>
      </w:r>
      <w:r w:rsidRPr="00A71DC9">
        <w:rPr>
          <w:rFonts w:ascii="仿宋" w:eastAsia="仿宋" w:hAnsi="仿宋" w:hint="eastAsia"/>
          <w:sz w:val="34"/>
          <w:szCs w:val="34"/>
        </w:rPr>
        <w:t>；单位价值50万元以上通用设备0台（套）、单位价值100万元以上专用设备0台（套），其他固定资产价值347.08万元。</w:t>
      </w:r>
    </w:p>
    <w:p w:rsidR="00BB53A2" w:rsidRPr="00A71DC9" w:rsidRDefault="00C20F01">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（二）预算绩效情况的说明</w:t>
      </w:r>
    </w:p>
    <w:p w:rsidR="00A71DC9" w:rsidRPr="00A71DC9" w:rsidRDefault="00C20F01" w:rsidP="00A71DC9">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2018年度，本部门单位预算绩效自评情况：</w:t>
      </w:r>
    </w:p>
    <w:p w:rsidR="00C20F01" w:rsidRPr="00A71DC9" w:rsidRDefault="00C20F01" w:rsidP="00A71DC9">
      <w:pPr>
        <w:spacing w:line="500" w:lineRule="exact"/>
        <w:ind w:firstLineChars="200" w:firstLine="680"/>
        <w:rPr>
          <w:rFonts w:ascii="仿宋" w:eastAsia="仿宋" w:hAnsi="仿宋"/>
          <w:sz w:val="34"/>
          <w:szCs w:val="34"/>
        </w:rPr>
      </w:pPr>
      <w:r w:rsidRPr="00A71DC9">
        <w:rPr>
          <w:rFonts w:ascii="仿宋" w:eastAsia="仿宋" w:hAnsi="仿宋" w:hint="eastAsia"/>
          <w:sz w:val="34"/>
          <w:szCs w:val="34"/>
        </w:rPr>
        <w:t>整体情况：</w:t>
      </w:r>
      <w:r w:rsidR="004203E5" w:rsidRPr="00A71DC9">
        <w:rPr>
          <w:rFonts w:ascii="仿宋" w:eastAsia="仿宋" w:hAnsi="仿宋" w:hint="eastAsia"/>
          <w:sz w:val="34"/>
          <w:szCs w:val="34"/>
        </w:rPr>
        <w:t>2018年项目全年预算数为</w:t>
      </w:r>
      <w:r w:rsidR="004203E5" w:rsidRPr="004203E5">
        <w:rPr>
          <w:rFonts w:ascii="仿宋" w:eastAsia="仿宋" w:hAnsi="仿宋"/>
          <w:sz w:val="34"/>
          <w:szCs w:val="34"/>
        </w:rPr>
        <w:t>165.01</w:t>
      </w:r>
      <w:r w:rsidR="004203E5" w:rsidRPr="00A71DC9">
        <w:rPr>
          <w:rFonts w:ascii="仿宋" w:eastAsia="仿宋" w:hAnsi="仿宋" w:hint="eastAsia"/>
          <w:sz w:val="34"/>
          <w:szCs w:val="34"/>
        </w:rPr>
        <w:t>万元，执行数为</w:t>
      </w:r>
      <w:r w:rsidR="004203E5" w:rsidRPr="004203E5">
        <w:rPr>
          <w:rFonts w:ascii="仿宋" w:eastAsia="仿宋" w:hAnsi="仿宋"/>
          <w:sz w:val="34"/>
          <w:szCs w:val="34"/>
        </w:rPr>
        <w:t>134.91</w:t>
      </w:r>
      <w:r w:rsidR="004203E5" w:rsidRPr="00A71DC9">
        <w:rPr>
          <w:rFonts w:ascii="仿宋" w:eastAsia="仿宋" w:hAnsi="仿宋" w:hint="eastAsia"/>
          <w:sz w:val="34"/>
          <w:szCs w:val="34"/>
        </w:rPr>
        <w:t>万元</w:t>
      </w:r>
      <w:r w:rsidR="004203E5">
        <w:rPr>
          <w:rFonts w:ascii="仿宋" w:eastAsia="仿宋" w:hAnsi="仿宋" w:hint="eastAsia"/>
          <w:sz w:val="34"/>
          <w:szCs w:val="34"/>
        </w:rPr>
        <w:t>，完成预算的81.76%，</w:t>
      </w:r>
      <w:r w:rsidR="004203E5" w:rsidRPr="00A71DC9">
        <w:rPr>
          <w:rFonts w:ascii="仿宋" w:eastAsia="仿宋" w:hAnsi="仿宋" w:hint="eastAsia"/>
          <w:sz w:val="34"/>
          <w:szCs w:val="34"/>
        </w:rPr>
        <w:t>项目绩效自评得分</w:t>
      </w:r>
      <w:r w:rsidR="00A75944">
        <w:rPr>
          <w:rFonts w:ascii="仿宋" w:eastAsia="仿宋" w:hAnsi="仿宋" w:hint="eastAsia"/>
          <w:sz w:val="34"/>
          <w:szCs w:val="34"/>
        </w:rPr>
        <w:t>85</w:t>
      </w:r>
      <w:r w:rsidR="004203E5">
        <w:rPr>
          <w:rFonts w:ascii="仿宋" w:eastAsia="仿宋" w:hAnsi="仿宋" w:hint="eastAsia"/>
          <w:sz w:val="34"/>
          <w:szCs w:val="34"/>
        </w:rPr>
        <w:t>分。</w:t>
      </w:r>
      <w:r w:rsidR="004203E5" w:rsidRPr="00A71DC9">
        <w:rPr>
          <w:rFonts w:ascii="仿宋" w:eastAsia="仿宋" w:hAnsi="仿宋" w:hint="eastAsia"/>
          <w:sz w:val="34"/>
          <w:szCs w:val="34"/>
        </w:rPr>
        <w:t>本部门共绩效项目六个：1.基本公共卫生；2.全民健康体检；3.基本药物；4.中医药项目；5.垃圾暂存建设；6.电采暖配套建设DR变压器建设</w:t>
      </w:r>
      <w:r w:rsidR="004203E5">
        <w:rPr>
          <w:rFonts w:ascii="仿宋" w:eastAsia="仿宋" w:hAnsi="仿宋" w:hint="eastAsia"/>
          <w:sz w:val="34"/>
          <w:szCs w:val="34"/>
        </w:rPr>
        <w:t>。</w:t>
      </w:r>
    </w:p>
    <w:p w:rsidR="00C20F01" w:rsidRPr="00A71DC9" w:rsidRDefault="00A71DC9" w:rsidP="00A71DC9">
      <w:pPr>
        <w:spacing w:line="560" w:lineRule="exact"/>
        <w:ind w:firstLineChars="181" w:firstLine="601"/>
        <w:rPr>
          <w:rFonts w:ascii="仿宋" w:eastAsia="仿宋" w:hAnsi="仿宋" w:cs="楷体"/>
          <w:spacing w:val="-4"/>
          <w:sz w:val="34"/>
          <w:szCs w:val="34"/>
        </w:rPr>
      </w:pPr>
      <w:r>
        <w:rPr>
          <w:rFonts w:ascii="仿宋" w:eastAsia="仿宋" w:hAnsi="仿宋" w:cs="楷体" w:hint="eastAsia"/>
          <w:spacing w:val="-4"/>
          <w:sz w:val="34"/>
          <w:szCs w:val="34"/>
        </w:rPr>
        <w:t>项目管理情况：</w:t>
      </w:r>
      <w:r w:rsidR="00C20F01" w:rsidRPr="00A71DC9">
        <w:rPr>
          <w:rFonts w:ascii="仿宋" w:eastAsia="仿宋" w:hAnsi="仿宋" w:cs="仿宋" w:hint="eastAsia"/>
          <w:spacing w:val="-4"/>
          <w:sz w:val="34"/>
          <w:szCs w:val="34"/>
        </w:rPr>
        <w:t>按照关于印发《昌吉市2018年全民健康体检项目资金分配方案》规范了中心组织管理和资金管理。</w:t>
      </w:r>
    </w:p>
    <w:p w:rsidR="00C20F01" w:rsidRPr="00A71DC9" w:rsidRDefault="00C20F01" w:rsidP="00A71DC9">
      <w:pPr>
        <w:spacing w:line="560" w:lineRule="exact"/>
        <w:ind w:firstLineChars="200" w:firstLine="680"/>
        <w:rPr>
          <w:rFonts w:ascii="仿宋" w:eastAsia="仿宋" w:hAnsi="仿宋" w:cs="黑体"/>
          <w:bCs/>
          <w:sz w:val="34"/>
          <w:szCs w:val="34"/>
        </w:rPr>
      </w:pPr>
      <w:r w:rsidRPr="00A71DC9">
        <w:rPr>
          <w:rFonts w:ascii="仿宋" w:eastAsia="仿宋" w:hAnsi="仿宋" w:cs="黑体" w:hint="eastAsia"/>
          <w:bCs/>
          <w:sz w:val="34"/>
          <w:szCs w:val="34"/>
        </w:rPr>
        <w:t>项目</w:t>
      </w:r>
      <w:r w:rsidR="00A71DC9">
        <w:rPr>
          <w:rFonts w:ascii="仿宋" w:eastAsia="仿宋" w:hAnsi="仿宋" w:cs="黑体" w:hint="eastAsia"/>
          <w:bCs/>
          <w:sz w:val="34"/>
          <w:szCs w:val="34"/>
        </w:rPr>
        <w:t>自评</w:t>
      </w:r>
      <w:r w:rsidRPr="00A71DC9">
        <w:rPr>
          <w:rFonts w:ascii="仿宋" w:eastAsia="仿宋" w:hAnsi="仿宋" w:cs="黑体" w:hint="eastAsia"/>
          <w:bCs/>
          <w:sz w:val="34"/>
          <w:szCs w:val="34"/>
        </w:rPr>
        <w:t>情况</w:t>
      </w:r>
      <w:r w:rsidR="00A71DC9">
        <w:rPr>
          <w:rFonts w:ascii="仿宋" w:eastAsia="仿宋" w:hAnsi="仿宋" w:cs="黑体" w:hint="eastAsia"/>
          <w:bCs/>
          <w:sz w:val="34"/>
          <w:szCs w:val="34"/>
        </w:rPr>
        <w:t>：</w:t>
      </w:r>
      <w:r w:rsidRPr="00A71DC9">
        <w:rPr>
          <w:rFonts w:ascii="仿宋" w:eastAsia="仿宋" w:hAnsi="仿宋" w:cs="仿宋" w:hint="eastAsia"/>
          <w:bCs/>
          <w:spacing w:val="-4"/>
          <w:sz w:val="34"/>
          <w:szCs w:val="34"/>
        </w:rPr>
        <w:t>进一步改善我院基础设施条件和就</w:t>
      </w:r>
      <w:r w:rsidR="00A71DC9" w:rsidRPr="00A71DC9">
        <w:rPr>
          <w:rFonts w:ascii="仿宋" w:eastAsia="仿宋" w:hAnsi="仿宋" w:cs="仿宋" w:hint="eastAsia"/>
          <w:bCs/>
          <w:spacing w:val="-4"/>
          <w:sz w:val="34"/>
          <w:szCs w:val="34"/>
        </w:rPr>
        <w:t>医环境，合理配置医疗设备，以“建设群众满意乡镇卫生院”、</w:t>
      </w:r>
      <w:r w:rsidR="00A71DC9" w:rsidRPr="00A71DC9">
        <w:rPr>
          <w:rFonts w:ascii="仿宋" w:eastAsia="仿宋" w:hAnsi="仿宋" w:cs="仿宋" w:hint="eastAsia"/>
          <w:bCs/>
          <w:spacing w:val="-4"/>
          <w:sz w:val="34"/>
          <w:szCs w:val="34"/>
        </w:rPr>
        <w:lastRenderedPageBreak/>
        <w:t>“乡镇</w:t>
      </w:r>
      <w:r w:rsidRPr="00A71DC9">
        <w:rPr>
          <w:rFonts w:ascii="仿宋" w:eastAsia="仿宋" w:hAnsi="仿宋" w:cs="仿宋" w:hint="eastAsia"/>
          <w:bCs/>
          <w:spacing w:val="-4"/>
          <w:sz w:val="34"/>
          <w:szCs w:val="34"/>
        </w:rPr>
        <w:t>卫生服务提升工程”和“基层医疗卫生服务能力提升年”活动为抓手，加强内涵建设，提高基层防病和治病能力，实现“小病不出村、一般疾病不出乡、大病基本不出县”的目标，推进分级诊疗工作。</w:t>
      </w:r>
    </w:p>
    <w:p w:rsidR="00BB53A2" w:rsidRPr="00A75944" w:rsidRDefault="00C20F01" w:rsidP="00A75944">
      <w:pPr>
        <w:widowControl/>
        <w:spacing w:line="560" w:lineRule="exact"/>
        <w:ind w:firstLineChars="200" w:firstLine="680"/>
        <w:rPr>
          <w:rStyle w:val="a8"/>
          <w:rFonts w:ascii="仿宋" w:eastAsia="仿宋" w:hAnsi="仿宋" w:cs="宋体"/>
          <w:kern w:val="0"/>
          <w:sz w:val="34"/>
          <w:szCs w:val="34"/>
        </w:rPr>
      </w:pPr>
      <w:r w:rsidRPr="00A71DC9">
        <w:rPr>
          <w:rFonts w:ascii="仿宋" w:eastAsia="仿宋" w:hAnsi="仿宋" w:cs="宋体" w:hint="eastAsia"/>
          <w:kern w:val="0"/>
          <w:sz w:val="34"/>
          <w:szCs w:val="34"/>
        </w:rPr>
        <w:t>1、乡镇卫生院（基本公共卫生补助资金</w:t>
      </w:r>
      <w:r w:rsidRPr="00A71DC9">
        <w:rPr>
          <w:rFonts w:ascii="仿宋" w:eastAsia="仿宋" w:hAnsi="仿宋" w:hint="eastAsia"/>
          <w:sz w:val="34"/>
          <w:szCs w:val="34"/>
        </w:rPr>
        <w:t>项目</w:t>
      </w:r>
      <w:r w:rsidRPr="00A71DC9">
        <w:rPr>
          <w:rFonts w:ascii="仿宋" w:eastAsia="仿宋" w:hAnsi="仿宋" w:cs="宋体" w:hint="eastAsia"/>
          <w:kern w:val="0"/>
          <w:sz w:val="34"/>
          <w:szCs w:val="34"/>
        </w:rPr>
        <w:t>）</w:t>
      </w:r>
      <w:r w:rsidRPr="00A71DC9">
        <w:rPr>
          <w:rFonts w:ascii="仿宋" w:eastAsia="仿宋" w:hAnsi="仿宋" w:hint="eastAsia"/>
          <w:sz w:val="34"/>
          <w:szCs w:val="34"/>
        </w:rPr>
        <w:t>项目绩效自评综述：根据年初设定的绩效目标，2018年项目绩效自评得分92分，项目全年预算数为52.48万元，执行数为36.68</w:t>
      </w:r>
      <w:r w:rsidR="004203E5">
        <w:rPr>
          <w:rFonts w:ascii="仿宋" w:eastAsia="仿宋" w:hAnsi="仿宋" w:hint="eastAsia"/>
          <w:sz w:val="34"/>
          <w:szCs w:val="34"/>
        </w:rPr>
        <w:t>万元，完成预算的69.89%。</w:t>
      </w:r>
      <w:r w:rsidRPr="00A71DC9">
        <w:rPr>
          <w:rFonts w:ascii="仿宋" w:eastAsia="仿宋" w:hAnsi="仿宋" w:cs="宋体" w:hint="eastAsia"/>
          <w:kern w:val="0"/>
          <w:sz w:val="34"/>
          <w:szCs w:val="34"/>
        </w:rPr>
        <w:t>主要产出和效果：根据国家、区、州、市级制定的绩效考核目标值与我院完成的目标值进行了对比，从项目的经济性、效率性、有益性和</w:t>
      </w:r>
      <w:proofErr w:type="gramStart"/>
      <w:r w:rsidRPr="00A71DC9">
        <w:rPr>
          <w:rFonts w:ascii="仿宋" w:eastAsia="仿宋" w:hAnsi="仿宋" w:cs="宋体" w:hint="eastAsia"/>
          <w:kern w:val="0"/>
          <w:sz w:val="34"/>
          <w:szCs w:val="34"/>
        </w:rPr>
        <w:t>可</w:t>
      </w:r>
      <w:proofErr w:type="gramEnd"/>
      <w:r w:rsidRPr="00A71DC9">
        <w:rPr>
          <w:rFonts w:ascii="仿宋" w:eastAsia="仿宋" w:hAnsi="仿宋" w:cs="宋体" w:hint="eastAsia"/>
          <w:kern w:val="0"/>
          <w:sz w:val="34"/>
          <w:szCs w:val="34"/>
        </w:rPr>
        <w:t>持续性等方面进行量化，全部达标。</w:t>
      </w:r>
      <w:r w:rsidRPr="00A71DC9">
        <w:rPr>
          <w:rFonts w:ascii="仿宋" w:eastAsia="仿宋" w:hAnsi="仿宋" w:hint="eastAsia"/>
          <w:sz w:val="34"/>
          <w:szCs w:val="34"/>
        </w:rPr>
        <w:t>发现的问题及原因：一是加强与乡镇、村委会、</w:t>
      </w:r>
      <w:proofErr w:type="gramStart"/>
      <w:r w:rsidRPr="00A71DC9">
        <w:rPr>
          <w:rFonts w:ascii="仿宋" w:eastAsia="仿宋" w:hAnsi="仿宋" w:hint="eastAsia"/>
          <w:sz w:val="34"/>
          <w:szCs w:val="34"/>
        </w:rPr>
        <w:t>下设村</w:t>
      </w:r>
      <w:proofErr w:type="gramEnd"/>
      <w:r w:rsidRPr="00A71DC9">
        <w:rPr>
          <w:rFonts w:ascii="仿宋" w:eastAsia="仿宋" w:hAnsi="仿宋" w:hint="eastAsia"/>
          <w:sz w:val="34"/>
          <w:szCs w:val="34"/>
        </w:rPr>
        <w:t>卫生室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w:t>
      </w:r>
      <w:proofErr w:type="gramStart"/>
      <w:r w:rsidRPr="00A71DC9">
        <w:rPr>
          <w:rFonts w:ascii="仿宋" w:eastAsia="仿宋" w:hAnsi="仿宋" w:hint="eastAsia"/>
          <w:sz w:val="34"/>
          <w:szCs w:val="34"/>
        </w:rPr>
        <w:t>基本公卫和</w:t>
      </w:r>
      <w:proofErr w:type="gramEnd"/>
      <w:r w:rsidRPr="00A71DC9">
        <w:rPr>
          <w:rFonts w:ascii="仿宋" w:eastAsia="仿宋" w:hAnsi="仿宋" w:hint="eastAsia"/>
          <w:sz w:val="34"/>
          <w:szCs w:val="34"/>
        </w:rPr>
        <w:t>全民健康体检知晓率和参与率，做好</w:t>
      </w:r>
      <w:proofErr w:type="gramStart"/>
      <w:r w:rsidRPr="00A71DC9">
        <w:rPr>
          <w:rFonts w:ascii="仿宋" w:eastAsia="仿宋" w:hAnsi="仿宋" w:hint="eastAsia"/>
          <w:sz w:val="34"/>
          <w:szCs w:val="34"/>
        </w:rPr>
        <w:t>基本公卫和</w:t>
      </w:r>
      <w:proofErr w:type="gramEnd"/>
      <w:r w:rsidRPr="00A71DC9">
        <w:rPr>
          <w:rFonts w:ascii="仿宋" w:eastAsia="仿宋" w:hAnsi="仿宋" w:hint="eastAsia"/>
          <w:sz w:val="34"/>
          <w:szCs w:val="34"/>
        </w:rPr>
        <w:t>健康体检的组织实施、人员培训、数据填报、后勤保障、追踪随访、做到与“健康咨询、健康教育、重大疾病”相结合，对需要转院的疑难重症患者，畅通“绿色通道”协助到上级医院进行救治。二是公共卫生科加强督导，每月对慢病工作随访及档案进行整理及督导工作。对于不规范、不完整、虚假的档</w:t>
      </w:r>
      <w:r w:rsidRPr="00A71DC9">
        <w:rPr>
          <w:rFonts w:ascii="仿宋" w:eastAsia="仿宋" w:hAnsi="仿宋" w:hint="eastAsia"/>
          <w:sz w:val="34"/>
          <w:szCs w:val="34"/>
        </w:rPr>
        <w:lastRenderedPageBreak/>
        <w:t>案进行整理并及时上报院办进行处理。对于慢病医生不规范的地方进行仔细讲解，并及时督促慢病医生进行体检和随访工作。三是根据基本公共卫生服务任务分解所承担的具体任务，定期或不定期的对卫生院医护人员和村医进行相关业务培训和技术指导，尤其要加强对突发公共卫生事件的应对与处理和居民健康档案建立与管理方面的培训和指导，强化日常督查，制定切实可行的考核方案。四是是加大对群众的宣传力度，让全民参与，了解公共卫生均等化服务。</w:t>
      </w:r>
    </w:p>
    <w:p w:rsidR="00BB53A2" w:rsidRPr="00A71DC9" w:rsidRDefault="00C20F01">
      <w:pPr>
        <w:rPr>
          <w:rFonts w:ascii="仿宋" w:eastAsia="仿宋" w:hAnsi="仿宋"/>
          <w:sz w:val="34"/>
          <w:szCs w:val="34"/>
        </w:rPr>
      </w:pPr>
      <w:r w:rsidRPr="00A71DC9">
        <w:rPr>
          <w:rFonts w:ascii="仿宋" w:eastAsia="仿宋" w:hAnsi="仿宋"/>
          <w:sz w:val="34"/>
          <w:szCs w:val="34"/>
        </w:rP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BB53A2">
        <w:trPr>
          <w:trHeight w:val="708"/>
        </w:trPr>
        <w:tc>
          <w:tcPr>
            <w:tcW w:w="9020" w:type="dxa"/>
            <w:gridSpan w:val="7"/>
            <w:tcBorders>
              <w:top w:val="nil"/>
              <w:left w:val="nil"/>
              <w:bottom w:val="nil"/>
              <w:right w:val="nil"/>
            </w:tcBorders>
            <w:shd w:val="clear" w:color="auto" w:fill="auto"/>
            <w:vAlign w:val="center"/>
          </w:tcPr>
          <w:p w:rsidR="00BB53A2" w:rsidRDefault="00BB1836">
            <w:pPr>
              <w:widowControl/>
              <w:jc w:val="center"/>
              <w:rPr>
                <w:rFonts w:ascii="宋体" w:hAnsi="宋体" w:cs="宋体"/>
                <w:b/>
                <w:bCs/>
                <w:kern w:val="0"/>
                <w:sz w:val="32"/>
                <w:szCs w:val="32"/>
              </w:rPr>
            </w:pPr>
            <w:r w:rsidRPr="00BB1836">
              <w:rPr>
                <w:rFonts w:ascii="宋体" w:hAnsi="宋体" w:cs="宋体" w:hint="eastAsia"/>
                <w:b/>
                <w:bCs/>
                <w:kern w:val="0"/>
                <w:sz w:val="32"/>
                <w:szCs w:val="32"/>
              </w:rPr>
              <w:lastRenderedPageBreak/>
              <w:t>昌吉市阿什里乡卫生院</w:t>
            </w:r>
            <w:r w:rsidR="00C20F01">
              <w:rPr>
                <w:rFonts w:ascii="宋体" w:hAnsi="宋体" w:cs="宋体" w:hint="eastAsia"/>
                <w:b/>
                <w:bCs/>
                <w:kern w:val="0"/>
                <w:sz w:val="32"/>
                <w:szCs w:val="32"/>
              </w:rPr>
              <w:t>项目支出绩效自评表</w:t>
            </w:r>
          </w:p>
        </w:tc>
      </w:tr>
      <w:tr w:rsidR="00BB53A2">
        <w:trPr>
          <w:trHeight w:val="285"/>
        </w:trPr>
        <w:tc>
          <w:tcPr>
            <w:tcW w:w="9020" w:type="dxa"/>
            <w:gridSpan w:val="7"/>
            <w:tcBorders>
              <w:top w:val="nil"/>
              <w:left w:val="nil"/>
              <w:bottom w:val="nil"/>
              <w:right w:val="nil"/>
            </w:tcBorders>
            <w:shd w:val="clear" w:color="auto" w:fill="auto"/>
            <w:vAlign w:val="center"/>
          </w:tcPr>
          <w:p w:rsidR="00BB53A2" w:rsidRDefault="00C20F01">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BB53A2">
        <w:trPr>
          <w:trHeight w:val="285"/>
        </w:trPr>
        <w:tc>
          <w:tcPr>
            <w:tcW w:w="720" w:type="dxa"/>
            <w:tcBorders>
              <w:top w:val="nil"/>
              <w:left w:val="nil"/>
              <w:bottom w:val="nil"/>
              <w:right w:val="nil"/>
            </w:tcBorders>
            <w:shd w:val="clear" w:color="auto" w:fill="auto"/>
            <w:vAlign w:val="center"/>
          </w:tcPr>
          <w:p w:rsidR="00BB53A2" w:rsidRDefault="00BB53A2">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BB53A2" w:rsidRDefault="00BB53A2">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BB53A2" w:rsidRDefault="00BB53A2">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BB53A2" w:rsidRDefault="00BB53A2">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BB53A2" w:rsidRDefault="00BB53A2">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BB53A2" w:rsidRDefault="00BB53A2">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BB53A2" w:rsidRDefault="00BB53A2">
            <w:pPr>
              <w:widowControl/>
              <w:jc w:val="center"/>
              <w:rPr>
                <w:rFonts w:ascii="宋体" w:hAnsi="宋体" w:cs="宋体"/>
                <w:kern w:val="0"/>
                <w:sz w:val="24"/>
              </w:rPr>
            </w:pPr>
          </w:p>
        </w:tc>
      </w:tr>
      <w:tr w:rsidR="00BB53A2">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 xml:space="preserve">2018年基本公共卫生服务项目　</w:t>
            </w:r>
          </w:p>
        </w:tc>
      </w:tr>
      <w:tr w:rsidR="00BB53A2">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 xml:space="preserve">昌吉市阿什里乡卫生院　</w:t>
            </w:r>
          </w:p>
        </w:tc>
      </w:tr>
      <w:tr w:rsidR="00BB53A2">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 xml:space="preserve">52.48万元　</w:t>
            </w:r>
          </w:p>
        </w:tc>
        <w:tc>
          <w:tcPr>
            <w:tcW w:w="2060" w:type="dxa"/>
            <w:tcBorders>
              <w:top w:val="nil"/>
              <w:left w:val="nil"/>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 xml:space="preserve">36.68万元　</w:t>
            </w:r>
          </w:p>
        </w:tc>
      </w:tr>
      <w:tr w:rsidR="00BB53A2">
        <w:trPr>
          <w:trHeight w:val="509"/>
        </w:trPr>
        <w:tc>
          <w:tcPr>
            <w:tcW w:w="72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0</w:t>
            </w:r>
          </w:p>
        </w:tc>
        <w:tc>
          <w:tcPr>
            <w:tcW w:w="2060" w:type="dxa"/>
            <w:tcBorders>
              <w:top w:val="nil"/>
              <w:left w:val="nil"/>
              <w:bottom w:val="nil"/>
              <w:right w:val="single" w:sz="4" w:space="0" w:color="auto"/>
            </w:tcBorders>
            <w:shd w:val="clear" w:color="auto" w:fill="auto"/>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 xml:space="preserve">0　</w:t>
            </w:r>
          </w:p>
        </w:tc>
      </w:tr>
      <w:tr w:rsidR="00BB53A2">
        <w:trPr>
          <w:trHeight w:val="433"/>
        </w:trPr>
        <w:tc>
          <w:tcPr>
            <w:tcW w:w="72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BB53A2" w:rsidRDefault="00804D2F">
            <w:pPr>
              <w:widowControl/>
              <w:jc w:val="center"/>
              <w:rPr>
                <w:rFonts w:ascii="宋体" w:hAnsi="宋体" w:cs="宋体"/>
                <w:kern w:val="0"/>
                <w:sz w:val="20"/>
                <w:szCs w:val="20"/>
              </w:rPr>
            </w:pPr>
            <w:r>
              <w:rPr>
                <w:rFonts w:ascii="宋体" w:hAnsi="宋体" w:cs="宋体" w:hint="eastAsia"/>
                <w:kern w:val="0"/>
                <w:sz w:val="20"/>
                <w:szCs w:val="20"/>
              </w:rPr>
              <w:t>52.48</w:t>
            </w:r>
            <w:r w:rsidR="00C20F01">
              <w:rPr>
                <w:rFonts w:ascii="宋体" w:hAnsi="宋体" w:cs="宋体" w:hint="eastAsia"/>
                <w:kern w:val="0"/>
                <w:sz w:val="20"/>
                <w:szCs w:val="20"/>
              </w:rPr>
              <w:t xml:space="preserve">万元　</w:t>
            </w:r>
          </w:p>
        </w:tc>
        <w:tc>
          <w:tcPr>
            <w:tcW w:w="2060" w:type="dxa"/>
            <w:tcBorders>
              <w:top w:val="single" w:sz="4" w:space="0" w:color="auto"/>
              <w:left w:val="nil"/>
              <w:bottom w:val="nil"/>
              <w:right w:val="single" w:sz="4" w:space="0" w:color="auto"/>
            </w:tcBorders>
            <w:shd w:val="clear" w:color="auto" w:fill="auto"/>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 xml:space="preserve">36.68万元　</w:t>
            </w:r>
          </w:p>
        </w:tc>
      </w:tr>
      <w:tr w:rsidR="00BB53A2">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BB53A2">
        <w:trPr>
          <w:trHeight w:val="1425"/>
        </w:trPr>
        <w:tc>
          <w:tcPr>
            <w:tcW w:w="72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提高基本公共卫生服务项目均等化水平，规范公共卫生服务行为，推进基本公共卫生服务项目开展，全面完成2018年度基本公共卫生服务项目的各项任务指标</w:t>
            </w:r>
          </w:p>
        </w:tc>
        <w:tc>
          <w:tcPr>
            <w:tcW w:w="3840" w:type="dxa"/>
            <w:gridSpan w:val="2"/>
            <w:tcBorders>
              <w:top w:val="single" w:sz="4" w:space="0" w:color="auto"/>
              <w:left w:val="nil"/>
              <w:bottom w:val="single" w:sz="4" w:space="0" w:color="auto"/>
              <w:right w:val="single" w:sz="4" w:space="0" w:color="000000"/>
            </w:tcBorders>
            <w:shd w:val="clear" w:color="auto" w:fill="auto"/>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提高基本公共卫生服务项目均等化水平，规范公共卫生服务行为，推进基本公共卫生服务项目开展，全面完成2018度基本公共卫生服务项目的各项任务指标</w:t>
            </w:r>
          </w:p>
        </w:tc>
      </w:tr>
      <w:tr w:rsidR="00BB53A2">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指标1：建立居民健康电子档案</w:t>
            </w:r>
          </w:p>
        </w:tc>
        <w:tc>
          <w:tcPr>
            <w:tcW w:w="206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textAlignment w:val="center"/>
              <w:rPr>
                <w:rFonts w:ascii="宋体" w:hAnsi="宋体" w:cs="宋体"/>
                <w:kern w:val="0"/>
                <w:sz w:val="20"/>
                <w:szCs w:val="20"/>
              </w:rPr>
            </w:pPr>
            <w:r>
              <w:rPr>
                <w:rFonts w:ascii="宋体" w:hAnsi="宋体" w:cs="宋体" w:hint="eastAsia"/>
                <w:color w:val="0D0D0D"/>
                <w:kern w:val="0"/>
                <w:sz w:val="20"/>
                <w:szCs w:val="20"/>
              </w:rPr>
              <w:t>≥</w:t>
            </w:r>
            <w:r>
              <w:rPr>
                <w:rStyle w:val="font01"/>
                <w:rFonts w:hint="default"/>
              </w:rPr>
              <w:t>90%</w:t>
            </w: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textAlignment w:val="center"/>
              <w:rPr>
                <w:rFonts w:ascii="宋体" w:hAnsi="宋体" w:cs="宋体"/>
                <w:kern w:val="0"/>
                <w:sz w:val="20"/>
                <w:szCs w:val="20"/>
              </w:rPr>
            </w:pPr>
            <w:r>
              <w:rPr>
                <w:rFonts w:ascii="宋体" w:hAnsi="宋体" w:cs="宋体" w:hint="eastAsia"/>
                <w:kern w:val="0"/>
                <w:sz w:val="20"/>
                <w:szCs w:val="20"/>
              </w:rPr>
              <w:t>全年实际完成指标值共建</w:t>
            </w:r>
            <w:proofErr w:type="gramStart"/>
            <w:r>
              <w:rPr>
                <w:rFonts w:ascii="宋体" w:hAnsi="宋体" w:cs="宋体" w:hint="eastAsia"/>
                <w:kern w:val="0"/>
                <w:sz w:val="20"/>
                <w:szCs w:val="20"/>
              </w:rPr>
              <w:t>立居民</w:t>
            </w:r>
            <w:proofErr w:type="gramEnd"/>
            <w:r>
              <w:rPr>
                <w:rFonts w:ascii="宋体" w:hAnsi="宋体" w:cs="宋体" w:hint="eastAsia"/>
                <w:kern w:val="0"/>
                <w:sz w:val="20"/>
                <w:szCs w:val="20"/>
              </w:rPr>
              <w:t>健康档案电子档案6940</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指标2：对辖区高血压居民进行随访</w:t>
            </w:r>
          </w:p>
        </w:tc>
        <w:tc>
          <w:tcPr>
            <w:tcW w:w="206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textAlignment w:val="center"/>
              <w:rPr>
                <w:rFonts w:ascii="宋体" w:hAnsi="宋体" w:cs="宋体"/>
                <w:kern w:val="0"/>
                <w:sz w:val="20"/>
                <w:szCs w:val="20"/>
              </w:rPr>
            </w:pPr>
            <w:r>
              <w:rPr>
                <w:rFonts w:ascii="宋体" w:hAnsi="宋体" w:cs="宋体" w:hint="eastAsia"/>
                <w:color w:val="0D0D0D"/>
                <w:kern w:val="0"/>
                <w:sz w:val="20"/>
                <w:szCs w:val="20"/>
              </w:rPr>
              <w:t>≥90%</w:t>
            </w: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textAlignment w:val="center"/>
              <w:rPr>
                <w:rFonts w:ascii="宋体" w:hAnsi="宋体" w:cs="宋体"/>
                <w:kern w:val="0"/>
                <w:sz w:val="20"/>
                <w:szCs w:val="20"/>
              </w:rPr>
            </w:pPr>
            <w:r>
              <w:rPr>
                <w:rFonts w:ascii="宋体" w:hAnsi="宋体" w:cs="宋体" w:hint="eastAsia"/>
                <w:kern w:val="0"/>
                <w:sz w:val="20"/>
                <w:szCs w:val="20"/>
              </w:rPr>
              <w:t>全年实际本辖区高血压居民随访943人</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指标3：对辖区糖尿病居民进行随访</w:t>
            </w:r>
          </w:p>
        </w:tc>
        <w:tc>
          <w:tcPr>
            <w:tcW w:w="206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textAlignment w:val="center"/>
              <w:rPr>
                <w:rFonts w:ascii="宋体" w:hAnsi="宋体" w:cs="宋体"/>
                <w:kern w:val="0"/>
                <w:sz w:val="20"/>
                <w:szCs w:val="20"/>
              </w:rPr>
            </w:pPr>
            <w:r>
              <w:rPr>
                <w:rFonts w:ascii="宋体" w:hAnsi="宋体" w:cs="宋体" w:hint="eastAsia"/>
                <w:color w:val="0D0D0D"/>
                <w:kern w:val="0"/>
                <w:sz w:val="20"/>
                <w:szCs w:val="20"/>
              </w:rPr>
              <w:t>≥90%</w:t>
            </w: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textAlignment w:val="center"/>
              <w:rPr>
                <w:rFonts w:ascii="宋体" w:hAnsi="宋体" w:cs="宋体"/>
                <w:kern w:val="0"/>
                <w:sz w:val="20"/>
                <w:szCs w:val="20"/>
              </w:rPr>
            </w:pPr>
            <w:r>
              <w:rPr>
                <w:rFonts w:ascii="宋体" w:hAnsi="宋体" w:cs="宋体" w:hint="eastAsia"/>
                <w:kern w:val="0"/>
                <w:sz w:val="20"/>
                <w:szCs w:val="20"/>
              </w:rPr>
              <w:t>全年实际完成本辖区糖尿病随访59人</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w:t>
            </w:r>
            <w:r>
              <w:rPr>
                <w:rFonts w:ascii="宋体" w:hAnsi="宋体" w:cs="宋体" w:hint="eastAsia"/>
                <w:color w:val="0D0D0D"/>
                <w:kern w:val="0"/>
                <w:sz w:val="20"/>
                <w:szCs w:val="20"/>
              </w:rPr>
              <w:t>居民健康档案规范化电子建档管理率</w:t>
            </w:r>
          </w:p>
        </w:tc>
        <w:tc>
          <w:tcPr>
            <w:tcW w:w="206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textAlignment w:val="center"/>
              <w:rPr>
                <w:rFonts w:ascii="宋体" w:hAnsi="宋体" w:cs="宋体"/>
                <w:kern w:val="0"/>
                <w:sz w:val="20"/>
                <w:szCs w:val="20"/>
              </w:rPr>
            </w:pPr>
            <w:r>
              <w:rPr>
                <w:rStyle w:val="font21"/>
                <w:rFonts w:hint="default"/>
              </w:rPr>
              <w:t>≥</w:t>
            </w:r>
            <w:r>
              <w:rPr>
                <w:rFonts w:ascii="宋体" w:hAnsi="宋体" w:cs="宋体" w:hint="eastAsia"/>
                <w:color w:val="000000"/>
                <w:kern w:val="0"/>
                <w:sz w:val="20"/>
                <w:szCs w:val="20"/>
              </w:rPr>
              <w:t>75%</w:t>
            </w: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textAlignment w:val="center"/>
              <w:rPr>
                <w:rFonts w:ascii="宋体" w:hAnsi="宋体" w:cs="宋体"/>
                <w:kern w:val="0"/>
                <w:sz w:val="20"/>
                <w:szCs w:val="20"/>
              </w:rPr>
            </w:pPr>
            <w:r>
              <w:rPr>
                <w:rStyle w:val="font21"/>
                <w:rFonts w:hint="default"/>
              </w:rPr>
              <w:t>≥</w:t>
            </w:r>
            <w:r>
              <w:rPr>
                <w:rFonts w:ascii="宋体" w:hAnsi="宋体" w:cs="宋体" w:hint="eastAsia"/>
                <w:color w:val="000000"/>
                <w:kern w:val="0"/>
                <w:sz w:val="20"/>
                <w:szCs w:val="20"/>
              </w:rPr>
              <w:t>93%</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指标2：</w:t>
            </w:r>
            <w:r>
              <w:rPr>
                <w:rFonts w:ascii="宋体" w:hAnsi="宋体" w:cs="宋体" w:hint="eastAsia"/>
                <w:color w:val="0D0D0D"/>
                <w:kern w:val="0"/>
                <w:sz w:val="20"/>
                <w:szCs w:val="20"/>
              </w:rPr>
              <w:t>高血压患者规范管理率</w:t>
            </w:r>
          </w:p>
        </w:tc>
        <w:tc>
          <w:tcPr>
            <w:tcW w:w="206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textAlignment w:val="center"/>
              <w:rPr>
                <w:rFonts w:ascii="宋体" w:hAnsi="宋体" w:cs="宋体"/>
                <w:kern w:val="0"/>
                <w:sz w:val="20"/>
                <w:szCs w:val="20"/>
              </w:rPr>
            </w:pPr>
            <w:r>
              <w:rPr>
                <w:rFonts w:ascii="宋体" w:hAnsi="宋体" w:cs="宋体" w:hint="eastAsia"/>
                <w:color w:val="0D0D0D"/>
                <w:kern w:val="0"/>
                <w:sz w:val="20"/>
                <w:szCs w:val="20"/>
              </w:rPr>
              <w:t>≥45%</w:t>
            </w: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textAlignment w:val="center"/>
              <w:rPr>
                <w:rFonts w:ascii="宋体" w:hAnsi="宋体" w:cs="宋体"/>
                <w:kern w:val="0"/>
                <w:sz w:val="20"/>
                <w:szCs w:val="20"/>
              </w:rPr>
            </w:pPr>
            <w:r>
              <w:rPr>
                <w:rFonts w:ascii="宋体" w:hAnsi="宋体" w:cs="宋体" w:hint="eastAsia"/>
                <w:color w:val="0D0D0D"/>
                <w:kern w:val="0"/>
                <w:sz w:val="20"/>
                <w:szCs w:val="20"/>
              </w:rPr>
              <w:t>≥48%</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指标3：</w:t>
            </w:r>
            <w:r>
              <w:rPr>
                <w:rFonts w:ascii="宋体" w:hAnsi="宋体" w:cs="宋体" w:hint="eastAsia"/>
                <w:color w:val="0D0D0D"/>
                <w:kern w:val="0"/>
                <w:sz w:val="20"/>
                <w:szCs w:val="20"/>
              </w:rPr>
              <w:t>糖尿病患者规范管理率</w:t>
            </w:r>
          </w:p>
        </w:tc>
        <w:tc>
          <w:tcPr>
            <w:tcW w:w="206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textAlignment w:val="center"/>
              <w:rPr>
                <w:rFonts w:ascii="宋体" w:hAnsi="宋体" w:cs="宋体"/>
                <w:kern w:val="0"/>
                <w:sz w:val="20"/>
                <w:szCs w:val="20"/>
              </w:rPr>
            </w:pPr>
            <w:r>
              <w:rPr>
                <w:rFonts w:ascii="宋体" w:hAnsi="宋体" w:cs="宋体" w:hint="eastAsia"/>
                <w:color w:val="0D0D0D"/>
                <w:kern w:val="0"/>
                <w:sz w:val="20"/>
                <w:szCs w:val="20"/>
              </w:rPr>
              <w:t>≥40%</w:t>
            </w: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textAlignment w:val="center"/>
              <w:rPr>
                <w:rFonts w:ascii="宋体" w:hAnsi="宋体" w:cs="宋体"/>
                <w:kern w:val="0"/>
                <w:sz w:val="20"/>
                <w:szCs w:val="20"/>
              </w:rPr>
            </w:pPr>
            <w:r>
              <w:rPr>
                <w:rFonts w:ascii="宋体" w:hAnsi="宋体" w:cs="宋体" w:hint="eastAsia"/>
                <w:color w:val="0D0D0D"/>
                <w:kern w:val="0"/>
                <w:sz w:val="20"/>
                <w:szCs w:val="20"/>
              </w:rPr>
              <w:t>≥52%</w:t>
            </w:r>
          </w:p>
        </w:tc>
      </w:tr>
      <w:tr w:rsidR="00BB53A2">
        <w:trPr>
          <w:trHeight w:val="51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left"/>
            </w:pPr>
            <w:r>
              <w:rPr>
                <w:rFonts w:hint="eastAsia"/>
              </w:rPr>
              <w:t>指标</w:t>
            </w:r>
            <w:r>
              <w:rPr>
                <w:rFonts w:hint="eastAsia"/>
              </w:rPr>
              <w:t>4</w:t>
            </w:r>
            <w:r>
              <w:rPr>
                <w:rFonts w:hint="eastAsia"/>
              </w:rPr>
              <w:t>：</w:t>
            </w:r>
            <w:proofErr w:type="gramStart"/>
            <w:r>
              <w:rPr>
                <w:rFonts w:hint="eastAsia"/>
              </w:rPr>
              <w:t>五苗接种率</w:t>
            </w:r>
            <w:proofErr w:type="gramEnd"/>
          </w:p>
        </w:tc>
        <w:tc>
          <w:tcPr>
            <w:tcW w:w="206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textAlignment w:val="center"/>
              <w:rPr>
                <w:rFonts w:ascii="宋体" w:hAnsi="宋体" w:cs="宋体"/>
                <w:kern w:val="0"/>
                <w:sz w:val="20"/>
                <w:szCs w:val="20"/>
              </w:rPr>
            </w:pPr>
            <w:r>
              <w:rPr>
                <w:rFonts w:ascii="宋体" w:hAnsi="宋体" w:cs="宋体" w:hint="eastAsia"/>
                <w:color w:val="0D0D0D"/>
                <w:kern w:val="0"/>
                <w:sz w:val="20"/>
                <w:szCs w:val="20"/>
              </w:rPr>
              <w:t>≥85%</w:t>
            </w: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textAlignment w:val="center"/>
              <w:rPr>
                <w:rFonts w:ascii="宋体" w:hAnsi="宋体" w:cs="宋体"/>
                <w:kern w:val="0"/>
                <w:sz w:val="20"/>
                <w:szCs w:val="20"/>
              </w:rPr>
            </w:pPr>
            <w:r>
              <w:rPr>
                <w:rFonts w:ascii="宋体" w:hAnsi="宋体" w:cs="宋体" w:hint="eastAsia"/>
                <w:color w:val="0D0D0D"/>
                <w:kern w:val="0"/>
                <w:sz w:val="20"/>
                <w:szCs w:val="20"/>
              </w:rPr>
              <w:t>≥95%</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指标1：辖区</w:t>
            </w:r>
            <w:r>
              <w:rPr>
                <w:rFonts w:ascii="宋体" w:hAnsi="宋体" w:cs="宋体" w:hint="eastAsia"/>
                <w:color w:val="0D0D0D"/>
                <w:kern w:val="0"/>
                <w:sz w:val="20"/>
                <w:szCs w:val="20"/>
              </w:rPr>
              <w:t>居民对基本公共服务和家庭签约服务知晓率</w:t>
            </w:r>
          </w:p>
        </w:tc>
        <w:tc>
          <w:tcPr>
            <w:tcW w:w="206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textAlignment w:val="center"/>
              <w:rPr>
                <w:rFonts w:ascii="宋体" w:hAnsi="宋体" w:cs="宋体"/>
                <w:kern w:val="0"/>
                <w:sz w:val="20"/>
                <w:szCs w:val="20"/>
              </w:rPr>
            </w:pPr>
            <w:r>
              <w:rPr>
                <w:rFonts w:ascii="宋体" w:hAnsi="宋体" w:cs="宋体" w:hint="eastAsia"/>
                <w:color w:val="0D0D0D"/>
                <w:kern w:val="0"/>
                <w:sz w:val="20"/>
                <w:szCs w:val="20"/>
              </w:rPr>
              <w:t>≥85%</w:t>
            </w: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textAlignment w:val="center"/>
              <w:rPr>
                <w:rFonts w:ascii="宋体" w:hAnsi="宋体" w:cs="宋体"/>
                <w:kern w:val="0"/>
                <w:sz w:val="20"/>
                <w:szCs w:val="20"/>
              </w:rPr>
            </w:pPr>
            <w:r>
              <w:rPr>
                <w:rFonts w:ascii="宋体" w:hAnsi="宋体" w:cs="宋体" w:hint="eastAsia"/>
                <w:color w:val="0D0D0D"/>
                <w:kern w:val="0"/>
                <w:sz w:val="20"/>
                <w:szCs w:val="20"/>
              </w:rPr>
              <w:t>≥95%</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w:t>
            </w:r>
            <w:r>
              <w:rPr>
                <w:rFonts w:ascii="宋体" w:hAnsi="宋体" w:cs="宋体" w:hint="eastAsia"/>
                <w:color w:val="0D0D0D"/>
                <w:kern w:val="0"/>
                <w:sz w:val="20"/>
                <w:szCs w:val="20"/>
              </w:rPr>
              <w:t>居民健康水平提高</w:t>
            </w:r>
          </w:p>
        </w:tc>
        <w:tc>
          <w:tcPr>
            <w:tcW w:w="206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textAlignment w:val="center"/>
              <w:rPr>
                <w:rFonts w:ascii="宋体" w:hAnsi="宋体" w:cs="宋体"/>
                <w:kern w:val="0"/>
                <w:sz w:val="20"/>
                <w:szCs w:val="20"/>
              </w:rPr>
            </w:pPr>
            <w:r>
              <w:rPr>
                <w:rFonts w:ascii="宋体" w:hAnsi="宋体" w:cs="宋体" w:hint="eastAsia"/>
                <w:color w:val="0D0D0D"/>
                <w:kern w:val="0"/>
                <w:sz w:val="20"/>
                <w:szCs w:val="20"/>
              </w:rPr>
              <w:t>中长期</w:t>
            </w: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textAlignment w:val="center"/>
              <w:rPr>
                <w:rFonts w:ascii="宋体" w:hAnsi="宋体" w:cs="宋体"/>
                <w:kern w:val="0"/>
                <w:sz w:val="20"/>
                <w:szCs w:val="20"/>
              </w:rPr>
            </w:pPr>
            <w:r>
              <w:rPr>
                <w:rFonts w:ascii="宋体" w:hAnsi="宋体" w:cs="宋体" w:hint="eastAsia"/>
                <w:color w:val="0D0D0D"/>
                <w:kern w:val="0"/>
                <w:sz w:val="20"/>
                <w:szCs w:val="20"/>
              </w:rPr>
              <w:t>中长期</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指标2：</w:t>
            </w:r>
            <w:r>
              <w:rPr>
                <w:rFonts w:ascii="宋体" w:hAnsi="宋体" w:cs="宋体" w:hint="eastAsia"/>
                <w:color w:val="0D0D0D"/>
                <w:kern w:val="0"/>
                <w:sz w:val="20"/>
                <w:szCs w:val="20"/>
              </w:rPr>
              <w:t>公共卫生均等化水平提高</w:t>
            </w:r>
          </w:p>
        </w:tc>
        <w:tc>
          <w:tcPr>
            <w:tcW w:w="206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textAlignment w:val="center"/>
              <w:rPr>
                <w:rFonts w:ascii="宋体" w:hAnsi="宋体" w:cs="宋体"/>
                <w:kern w:val="0"/>
                <w:sz w:val="20"/>
                <w:szCs w:val="20"/>
              </w:rPr>
            </w:pPr>
            <w:r>
              <w:rPr>
                <w:rFonts w:ascii="宋体" w:hAnsi="宋体" w:cs="宋体" w:hint="eastAsia"/>
                <w:color w:val="0D0D0D"/>
                <w:kern w:val="0"/>
                <w:sz w:val="20"/>
                <w:szCs w:val="20"/>
              </w:rPr>
              <w:t>中长期</w:t>
            </w: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textAlignment w:val="center"/>
              <w:rPr>
                <w:rFonts w:ascii="宋体" w:hAnsi="宋体" w:cs="宋体"/>
                <w:kern w:val="0"/>
                <w:sz w:val="20"/>
                <w:szCs w:val="20"/>
              </w:rPr>
            </w:pPr>
            <w:r>
              <w:rPr>
                <w:rFonts w:ascii="宋体" w:hAnsi="宋体" w:cs="宋体" w:hint="eastAsia"/>
                <w:color w:val="0D0D0D"/>
                <w:kern w:val="0"/>
                <w:sz w:val="20"/>
                <w:szCs w:val="20"/>
              </w:rPr>
              <w:t>中长期</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w:t>
            </w:r>
            <w:r>
              <w:rPr>
                <w:rFonts w:ascii="宋体" w:hAnsi="宋体" w:cs="宋体" w:hint="eastAsia"/>
                <w:color w:val="0D0D0D"/>
                <w:kern w:val="0"/>
                <w:sz w:val="20"/>
                <w:szCs w:val="20"/>
              </w:rPr>
              <w:t>居民满意度和获得感增加</w:t>
            </w:r>
          </w:p>
        </w:tc>
        <w:tc>
          <w:tcPr>
            <w:tcW w:w="206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textAlignment w:val="center"/>
              <w:rPr>
                <w:rFonts w:ascii="宋体" w:hAnsi="宋体" w:cs="宋体"/>
                <w:kern w:val="0"/>
                <w:sz w:val="20"/>
                <w:szCs w:val="20"/>
              </w:rPr>
            </w:pPr>
            <w:r>
              <w:rPr>
                <w:rFonts w:ascii="宋体" w:hAnsi="宋体" w:cs="宋体" w:hint="eastAsia"/>
                <w:color w:val="0D0D0D"/>
                <w:kern w:val="0"/>
                <w:sz w:val="20"/>
                <w:szCs w:val="20"/>
              </w:rPr>
              <w:t>逐步提高</w:t>
            </w: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textAlignment w:val="center"/>
              <w:rPr>
                <w:rFonts w:ascii="宋体" w:hAnsi="宋体" w:cs="宋体"/>
                <w:kern w:val="0"/>
                <w:sz w:val="20"/>
                <w:szCs w:val="20"/>
              </w:rPr>
            </w:pPr>
            <w:r>
              <w:rPr>
                <w:rFonts w:ascii="宋体" w:hAnsi="宋体" w:cs="宋体" w:hint="eastAsia"/>
                <w:color w:val="0D0D0D"/>
                <w:kern w:val="0"/>
                <w:sz w:val="20"/>
                <w:szCs w:val="20"/>
              </w:rPr>
              <w:t>逐步提高</w:t>
            </w:r>
          </w:p>
        </w:tc>
      </w:tr>
    </w:tbl>
    <w:p w:rsidR="00BB53A2" w:rsidRDefault="00BB53A2">
      <w:pPr>
        <w:spacing w:line="540" w:lineRule="exact"/>
        <w:rPr>
          <w:rStyle w:val="a8"/>
          <w:rFonts w:ascii="仿宋" w:eastAsia="仿宋" w:hAnsi="仿宋" w:cs="仿宋"/>
          <w:b w:val="0"/>
          <w:spacing w:val="-4"/>
          <w:sz w:val="20"/>
          <w:szCs w:val="20"/>
        </w:rPr>
      </w:pPr>
    </w:p>
    <w:p w:rsidR="00BB53A2" w:rsidRDefault="00C20F01">
      <w:pPr>
        <w:widowControl/>
        <w:jc w:val="left"/>
        <w:rPr>
          <w:rFonts w:ascii="仿宋" w:eastAsia="仿宋" w:hAnsi="仿宋" w:cs="宋体"/>
          <w:kern w:val="0"/>
          <w:sz w:val="34"/>
          <w:szCs w:val="34"/>
        </w:rPr>
      </w:pPr>
      <w:r>
        <w:rPr>
          <w:rFonts w:ascii="仿宋" w:eastAsia="仿宋" w:hAnsi="仿宋" w:cs="宋体"/>
          <w:kern w:val="0"/>
          <w:sz w:val="34"/>
          <w:szCs w:val="34"/>
        </w:rPr>
        <w:br w:type="page"/>
      </w:r>
    </w:p>
    <w:p w:rsidR="00BB53A2" w:rsidRDefault="00C20F01">
      <w:pPr>
        <w:numPr>
          <w:ilvl w:val="0"/>
          <w:numId w:val="2"/>
        </w:numPr>
        <w:spacing w:line="540" w:lineRule="exact"/>
        <w:ind w:firstLineChars="181" w:firstLine="615"/>
        <w:rPr>
          <w:rFonts w:ascii="仿宋" w:eastAsia="仿宋" w:hAnsi="仿宋" w:cs="宋体"/>
          <w:kern w:val="0"/>
          <w:sz w:val="34"/>
          <w:szCs w:val="34"/>
        </w:rPr>
      </w:pPr>
      <w:r>
        <w:rPr>
          <w:rFonts w:ascii="仿宋" w:eastAsia="仿宋" w:hAnsi="仿宋" w:cs="宋体" w:hint="eastAsia"/>
          <w:kern w:val="0"/>
          <w:sz w:val="34"/>
          <w:szCs w:val="34"/>
        </w:rPr>
        <w:lastRenderedPageBreak/>
        <w:t>乡镇卫生院（全民健康体检资金</w:t>
      </w:r>
      <w:r>
        <w:rPr>
          <w:rFonts w:ascii="仿宋" w:eastAsia="仿宋" w:hAnsi="仿宋" w:hint="eastAsia"/>
          <w:sz w:val="34"/>
          <w:szCs w:val="34"/>
        </w:rPr>
        <w:t>项目</w:t>
      </w:r>
      <w:r>
        <w:rPr>
          <w:rFonts w:ascii="仿宋" w:eastAsia="仿宋" w:hAnsi="仿宋" w:cs="宋体" w:hint="eastAsia"/>
          <w:kern w:val="0"/>
          <w:sz w:val="34"/>
          <w:szCs w:val="34"/>
        </w:rPr>
        <w:t>）</w:t>
      </w:r>
      <w:r>
        <w:rPr>
          <w:rFonts w:ascii="仿宋" w:eastAsia="仿宋" w:hAnsi="仿宋" w:hint="eastAsia"/>
          <w:sz w:val="34"/>
          <w:szCs w:val="34"/>
        </w:rPr>
        <w:t>项目绩效自评综述：根据年初设定的绩效目标，2018年项目绩效自评得分93分，项目全年预算数为60.44万元，执行数为47.96万元</w:t>
      </w:r>
      <w:r w:rsidR="004203E5">
        <w:rPr>
          <w:rFonts w:ascii="仿宋" w:eastAsia="仿宋" w:hAnsi="仿宋" w:hint="eastAsia"/>
          <w:sz w:val="34"/>
          <w:szCs w:val="34"/>
        </w:rPr>
        <w:t>，完成预算的79.35%</w:t>
      </w:r>
      <w:r>
        <w:rPr>
          <w:rFonts w:ascii="仿宋" w:eastAsia="仿宋" w:hAnsi="仿宋" w:hint="eastAsia"/>
          <w:sz w:val="34"/>
          <w:szCs w:val="34"/>
        </w:rPr>
        <w:t>。</w:t>
      </w:r>
      <w:r>
        <w:rPr>
          <w:rFonts w:ascii="仿宋" w:eastAsia="仿宋" w:hAnsi="仿宋" w:cs="宋体" w:hint="eastAsia"/>
          <w:kern w:val="0"/>
          <w:sz w:val="34"/>
          <w:szCs w:val="34"/>
        </w:rPr>
        <w:t>主要产出和效果：</w:t>
      </w:r>
      <w:r>
        <w:rPr>
          <w:rFonts w:ascii="仿宋" w:eastAsia="仿宋" w:hAnsi="仿宋" w:hint="eastAsia"/>
          <w:sz w:val="34"/>
          <w:szCs w:val="34"/>
        </w:rPr>
        <w:t>我院通过体检，提高辖区居民的健康意识和健康生活方式，及辖区居民的综合素养。建立辖区阳性病例疾病谱，制定干预措施。对辖区参加全民体检的居民一人一档管理，结合居民健康档案管理，分别建立儿童专档、孕产妇专档、精神病、高血压、糖尿病及老年人专档。体检结果结合危急</w:t>
      </w:r>
      <w:proofErr w:type="gramStart"/>
      <w:r>
        <w:rPr>
          <w:rFonts w:ascii="仿宋" w:eastAsia="仿宋" w:hAnsi="仿宋" w:hint="eastAsia"/>
          <w:sz w:val="34"/>
          <w:szCs w:val="34"/>
        </w:rPr>
        <w:t>值报告</w:t>
      </w:r>
      <w:proofErr w:type="gramEnd"/>
      <w:r>
        <w:rPr>
          <w:rFonts w:ascii="仿宋" w:eastAsia="仿宋" w:hAnsi="仿宋" w:hint="eastAsia"/>
          <w:sz w:val="34"/>
          <w:szCs w:val="34"/>
        </w:rPr>
        <w:t>制度、48小时报告制度</w:t>
      </w:r>
      <w:proofErr w:type="gramStart"/>
      <w:r>
        <w:rPr>
          <w:rFonts w:ascii="仿宋" w:eastAsia="仿宋" w:hAnsi="仿宋" w:hint="eastAsia"/>
          <w:sz w:val="34"/>
          <w:szCs w:val="34"/>
        </w:rPr>
        <w:t>何一般</w:t>
      </w:r>
      <w:proofErr w:type="gramEnd"/>
      <w:r>
        <w:rPr>
          <w:rFonts w:ascii="仿宋" w:eastAsia="仿宋" w:hAnsi="仿宋" w:hint="eastAsia"/>
          <w:sz w:val="34"/>
          <w:szCs w:val="34"/>
        </w:rPr>
        <w:t>阳性结果及时通知患者进行复查、就诊，并在体检结束后15个工作日内将体检结果一对一的反馈，并在反馈的同时做好家庭医生签约服务工作。</w:t>
      </w:r>
      <w:r>
        <w:rPr>
          <w:rFonts w:ascii="仿宋" w:eastAsia="仿宋" w:hAnsi="仿宋" w:cs="宋体" w:hint="eastAsia"/>
          <w:kern w:val="0"/>
          <w:sz w:val="34"/>
          <w:szCs w:val="34"/>
        </w:rPr>
        <w:t>发现的问题及原因：我院全民健康体检实行责任追究制，一岗双责，党政同责，主体责任科室为公共卫生科，其他科室协助公共卫生科做好辅助工作。每月对全民体检工作进行质控，发现问题及时整改。工作中也存在抢救药品、物品数量较少，设置不合格等问题，经我院已积极整改，今后将吸取本年度工作经验，更好的完成全民体检工作。</w:t>
      </w:r>
    </w:p>
    <w:p w:rsidR="00BB53A2" w:rsidRDefault="00BB53A2">
      <w:pPr>
        <w:spacing w:line="540" w:lineRule="exact"/>
        <w:ind w:firstLineChars="200" w:firstLine="680"/>
        <w:rPr>
          <w:rFonts w:ascii="仿宋" w:eastAsia="仿宋" w:hAnsi="仿宋" w:cs="宋体"/>
          <w:kern w:val="0"/>
          <w:sz w:val="34"/>
          <w:szCs w:val="34"/>
        </w:rPr>
      </w:pPr>
    </w:p>
    <w:p w:rsidR="00BB53A2" w:rsidRDefault="00C20F01">
      <w: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BB53A2">
        <w:trPr>
          <w:trHeight w:val="405"/>
        </w:trPr>
        <w:tc>
          <w:tcPr>
            <w:tcW w:w="9020" w:type="dxa"/>
            <w:gridSpan w:val="7"/>
            <w:tcBorders>
              <w:top w:val="nil"/>
              <w:left w:val="nil"/>
              <w:bottom w:val="nil"/>
              <w:right w:val="nil"/>
            </w:tcBorders>
            <w:shd w:val="clear" w:color="auto" w:fill="auto"/>
            <w:vAlign w:val="center"/>
          </w:tcPr>
          <w:p w:rsidR="00BB53A2" w:rsidRDefault="00BB1836">
            <w:pPr>
              <w:widowControl/>
              <w:jc w:val="center"/>
              <w:rPr>
                <w:rFonts w:ascii="仿宋" w:eastAsia="仿宋" w:hAnsi="仿宋" w:cs="仿宋"/>
                <w:b/>
                <w:bCs/>
                <w:kern w:val="0"/>
                <w:sz w:val="32"/>
                <w:szCs w:val="32"/>
              </w:rPr>
            </w:pPr>
            <w:r w:rsidRPr="00BB1836">
              <w:rPr>
                <w:rFonts w:ascii="宋体" w:hAnsi="宋体" w:cs="宋体" w:hint="eastAsia"/>
                <w:b/>
                <w:bCs/>
                <w:kern w:val="0"/>
                <w:sz w:val="32"/>
                <w:szCs w:val="32"/>
              </w:rPr>
              <w:lastRenderedPageBreak/>
              <w:t>昌吉市阿什里乡卫生院</w:t>
            </w:r>
            <w:r>
              <w:rPr>
                <w:rFonts w:ascii="宋体" w:hAnsi="宋体" w:cs="宋体" w:hint="eastAsia"/>
                <w:b/>
                <w:bCs/>
                <w:kern w:val="0"/>
                <w:sz w:val="32"/>
                <w:szCs w:val="32"/>
              </w:rPr>
              <w:t>项目支出绩效自评表</w:t>
            </w:r>
          </w:p>
        </w:tc>
      </w:tr>
      <w:tr w:rsidR="00BB53A2">
        <w:trPr>
          <w:trHeight w:val="285"/>
        </w:trPr>
        <w:tc>
          <w:tcPr>
            <w:tcW w:w="9020" w:type="dxa"/>
            <w:gridSpan w:val="7"/>
            <w:tcBorders>
              <w:top w:val="nil"/>
              <w:left w:val="nil"/>
              <w:bottom w:val="nil"/>
              <w:right w:val="nil"/>
            </w:tcBorders>
            <w:shd w:val="clear" w:color="auto" w:fill="auto"/>
            <w:vAlign w:val="center"/>
          </w:tcPr>
          <w:p w:rsidR="00BB53A2" w:rsidRDefault="00C20F01" w:rsidP="004203E5">
            <w:pPr>
              <w:widowControl/>
              <w:jc w:val="center"/>
              <w:rPr>
                <w:rFonts w:ascii="仿宋" w:eastAsia="仿宋" w:hAnsi="仿宋" w:cs="仿宋"/>
                <w:kern w:val="0"/>
                <w:sz w:val="32"/>
                <w:szCs w:val="32"/>
              </w:rPr>
            </w:pPr>
            <w:r>
              <w:rPr>
                <w:rFonts w:ascii="宋体" w:hAnsi="宋体" w:cs="宋体" w:hint="eastAsia"/>
                <w:kern w:val="0"/>
                <w:sz w:val="24"/>
              </w:rPr>
              <w:t>（2018年度）</w:t>
            </w:r>
          </w:p>
        </w:tc>
      </w:tr>
      <w:tr w:rsidR="00BB53A2">
        <w:trPr>
          <w:trHeight w:val="159"/>
        </w:trPr>
        <w:tc>
          <w:tcPr>
            <w:tcW w:w="720" w:type="dxa"/>
            <w:tcBorders>
              <w:top w:val="nil"/>
              <w:left w:val="nil"/>
              <w:bottom w:val="nil"/>
              <w:right w:val="nil"/>
            </w:tcBorders>
            <w:shd w:val="clear" w:color="auto" w:fill="auto"/>
            <w:vAlign w:val="center"/>
          </w:tcPr>
          <w:p w:rsidR="00BB53A2" w:rsidRDefault="00BB53A2">
            <w:pPr>
              <w:widowControl/>
              <w:jc w:val="center"/>
              <w:rPr>
                <w:rFonts w:ascii="仿宋" w:eastAsia="仿宋" w:hAnsi="仿宋" w:cs="仿宋"/>
                <w:kern w:val="0"/>
                <w:sz w:val="8"/>
                <w:szCs w:val="8"/>
              </w:rPr>
            </w:pPr>
          </w:p>
        </w:tc>
        <w:tc>
          <w:tcPr>
            <w:tcW w:w="1140" w:type="dxa"/>
            <w:tcBorders>
              <w:top w:val="nil"/>
              <w:left w:val="nil"/>
              <w:bottom w:val="nil"/>
              <w:right w:val="nil"/>
            </w:tcBorders>
            <w:shd w:val="clear" w:color="auto" w:fill="auto"/>
            <w:vAlign w:val="center"/>
          </w:tcPr>
          <w:p w:rsidR="00BB53A2" w:rsidRDefault="00BB53A2">
            <w:pPr>
              <w:widowControl/>
              <w:jc w:val="center"/>
              <w:rPr>
                <w:rFonts w:ascii="仿宋" w:eastAsia="仿宋" w:hAnsi="仿宋" w:cs="仿宋"/>
                <w:kern w:val="0"/>
                <w:sz w:val="15"/>
                <w:szCs w:val="15"/>
              </w:rPr>
            </w:pPr>
          </w:p>
        </w:tc>
        <w:tc>
          <w:tcPr>
            <w:tcW w:w="1360" w:type="dxa"/>
            <w:tcBorders>
              <w:top w:val="nil"/>
              <w:left w:val="nil"/>
              <w:bottom w:val="nil"/>
              <w:right w:val="nil"/>
            </w:tcBorders>
            <w:shd w:val="clear" w:color="auto" w:fill="auto"/>
            <w:vAlign w:val="center"/>
          </w:tcPr>
          <w:p w:rsidR="00BB53A2" w:rsidRDefault="00BB53A2">
            <w:pPr>
              <w:widowControl/>
              <w:rPr>
                <w:rFonts w:ascii="仿宋" w:eastAsia="仿宋" w:hAnsi="仿宋" w:cs="仿宋"/>
                <w:kern w:val="0"/>
                <w:sz w:val="13"/>
                <w:szCs w:val="13"/>
              </w:rPr>
            </w:pPr>
          </w:p>
        </w:tc>
        <w:tc>
          <w:tcPr>
            <w:tcW w:w="1080" w:type="dxa"/>
            <w:tcBorders>
              <w:top w:val="nil"/>
              <w:left w:val="nil"/>
              <w:bottom w:val="nil"/>
              <w:right w:val="nil"/>
            </w:tcBorders>
            <w:shd w:val="clear" w:color="auto" w:fill="auto"/>
            <w:vAlign w:val="center"/>
          </w:tcPr>
          <w:p w:rsidR="00BB53A2" w:rsidRDefault="00BB53A2">
            <w:pPr>
              <w:widowControl/>
              <w:jc w:val="center"/>
              <w:rPr>
                <w:rFonts w:ascii="仿宋" w:eastAsia="仿宋" w:hAnsi="仿宋" w:cs="仿宋"/>
                <w:kern w:val="0"/>
                <w:sz w:val="11"/>
                <w:szCs w:val="11"/>
              </w:rPr>
            </w:pPr>
          </w:p>
        </w:tc>
        <w:tc>
          <w:tcPr>
            <w:tcW w:w="880" w:type="dxa"/>
            <w:tcBorders>
              <w:top w:val="nil"/>
              <w:left w:val="nil"/>
              <w:bottom w:val="nil"/>
              <w:right w:val="nil"/>
            </w:tcBorders>
            <w:shd w:val="clear" w:color="auto" w:fill="auto"/>
            <w:vAlign w:val="center"/>
          </w:tcPr>
          <w:p w:rsidR="00BB53A2" w:rsidRDefault="00BB53A2">
            <w:pPr>
              <w:widowControl/>
              <w:jc w:val="center"/>
              <w:rPr>
                <w:rFonts w:ascii="仿宋" w:eastAsia="仿宋" w:hAnsi="仿宋" w:cs="仿宋"/>
                <w:kern w:val="0"/>
                <w:sz w:val="11"/>
                <w:szCs w:val="11"/>
              </w:rPr>
            </w:pPr>
          </w:p>
        </w:tc>
        <w:tc>
          <w:tcPr>
            <w:tcW w:w="2060" w:type="dxa"/>
            <w:tcBorders>
              <w:top w:val="nil"/>
              <w:left w:val="nil"/>
              <w:bottom w:val="nil"/>
              <w:right w:val="nil"/>
            </w:tcBorders>
            <w:shd w:val="clear" w:color="auto" w:fill="auto"/>
            <w:vAlign w:val="center"/>
          </w:tcPr>
          <w:p w:rsidR="00BB53A2" w:rsidRDefault="00BB53A2">
            <w:pPr>
              <w:widowControl/>
              <w:jc w:val="center"/>
              <w:rPr>
                <w:rFonts w:ascii="仿宋" w:eastAsia="仿宋" w:hAnsi="仿宋" w:cs="仿宋"/>
                <w:kern w:val="0"/>
                <w:sz w:val="11"/>
                <w:szCs w:val="11"/>
              </w:rPr>
            </w:pPr>
          </w:p>
        </w:tc>
        <w:tc>
          <w:tcPr>
            <w:tcW w:w="1780" w:type="dxa"/>
            <w:tcBorders>
              <w:top w:val="nil"/>
              <w:left w:val="nil"/>
              <w:bottom w:val="nil"/>
              <w:right w:val="nil"/>
            </w:tcBorders>
            <w:shd w:val="clear" w:color="auto" w:fill="auto"/>
            <w:vAlign w:val="center"/>
          </w:tcPr>
          <w:p w:rsidR="00BB53A2" w:rsidRDefault="00BB53A2">
            <w:pPr>
              <w:widowControl/>
              <w:jc w:val="center"/>
              <w:rPr>
                <w:rFonts w:ascii="仿宋" w:eastAsia="仿宋" w:hAnsi="仿宋" w:cs="仿宋"/>
                <w:kern w:val="0"/>
                <w:sz w:val="11"/>
                <w:szCs w:val="11"/>
              </w:rPr>
            </w:pPr>
          </w:p>
        </w:tc>
      </w:tr>
      <w:tr w:rsidR="00BB53A2">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 xml:space="preserve">2018全民健康体检资金　</w:t>
            </w:r>
          </w:p>
        </w:tc>
      </w:tr>
      <w:tr w:rsidR="00BB53A2">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 xml:space="preserve">昌吉市阿什里乡卫生院　</w:t>
            </w:r>
          </w:p>
        </w:tc>
      </w:tr>
      <w:tr w:rsidR="00BB53A2">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60.44万元</w:t>
            </w:r>
          </w:p>
        </w:tc>
        <w:tc>
          <w:tcPr>
            <w:tcW w:w="2060" w:type="dxa"/>
            <w:tcBorders>
              <w:top w:val="nil"/>
              <w:left w:val="nil"/>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 xml:space="preserve">47.96万元　</w:t>
            </w:r>
          </w:p>
        </w:tc>
      </w:tr>
      <w:tr w:rsidR="00BB53A2">
        <w:trPr>
          <w:trHeight w:val="509"/>
        </w:trPr>
        <w:tc>
          <w:tcPr>
            <w:tcW w:w="72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 xml:space="preserve">9.38万元　</w:t>
            </w:r>
          </w:p>
        </w:tc>
        <w:tc>
          <w:tcPr>
            <w:tcW w:w="2060" w:type="dxa"/>
            <w:tcBorders>
              <w:top w:val="nil"/>
              <w:left w:val="nil"/>
              <w:bottom w:val="nil"/>
              <w:right w:val="single" w:sz="4" w:space="0" w:color="auto"/>
            </w:tcBorders>
            <w:shd w:val="clear" w:color="auto" w:fill="auto"/>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 xml:space="preserve">9.38万元　</w:t>
            </w:r>
          </w:p>
        </w:tc>
      </w:tr>
      <w:tr w:rsidR="00BB53A2">
        <w:trPr>
          <w:trHeight w:val="433"/>
        </w:trPr>
        <w:tc>
          <w:tcPr>
            <w:tcW w:w="72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BB53A2" w:rsidRDefault="00C20F01">
            <w:pPr>
              <w:widowControl/>
              <w:ind w:firstLineChars="200" w:firstLine="400"/>
              <w:rPr>
                <w:rFonts w:ascii="宋体" w:hAnsi="宋体" w:cs="宋体"/>
                <w:kern w:val="0"/>
                <w:sz w:val="20"/>
                <w:szCs w:val="20"/>
              </w:rPr>
            </w:pPr>
            <w:r>
              <w:rPr>
                <w:rFonts w:ascii="宋体" w:hAnsi="宋体" w:cs="宋体" w:hint="eastAsia"/>
                <w:kern w:val="0"/>
                <w:sz w:val="20"/>
                <w:szCs w:val="20"/>
              </w:rPr>
              <w:t>51.06万元</w:t>
            </w:r>
          </w:p>
        </w:tc>
        <w:tc>
          <w:tcPr>
            <w:tcW w:w="2060" w:type="dxa"/>
            <w:tcBorders>
              <w:top w:val="single" w:sz="4" w:space="0" w:color="auto"/>
              <w:left w:val="nil"/>
              <w:bottom w:val="nil"/>
              <w:right w:val="single" w:sz="4" w:space="0" w:color="auto"/>
            </w:tcBorders>
            <w:shd w:val="clear" w:color="auto" w:fill="auto"/>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 xml:space="preserve">38.58万元　</w:t>
            </w:r>
          </w:p>
        </w:tc>
      </w:tr>
      <w:tr w:rsidR="00BB53A2">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BB53A2">
        <w:trPr>
          <w:trHeight w:val="1425"/>
        </w:trPr>
        <w:tc>
          <w:tcPr>
            <w:tcW w:w="72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2018年初我院摸底应体检人数5880人，计划完成全民体检5880人，实现人人拥有健康档案、推进健康管理的目的；通过“早发现、早诊断、早治疗”以及“未病先防、小病先治”，切实维护群众的健康利益，更好地为居民提供安全、有效、便捷的医疗卫生服务。</w:t>
            </w:r>
          </w:p>
        </w:tc>
        <w:tc>
          <w:tcPr>
            <w:tcW w:w="3840" w:type="dxa"/>
            <w:gridSpan w:val="2"/>
            <w:tcBorders>
              <w:top w:val="single" w:sz="4" w:space="0" w:color="auto"/>
              <w:left w:val="nil"/>
              <w:bottom w:val="single" w:sz="4" w:space="0" w:color="auto"/>
              <w:right w:val="single" w:sz="4" w:space="0" w:color="000000"/>
            </w:tcBorders>
            <w:shd w:val="clear" w:color="auto" w:fill="auto"/>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截止2018年11月26日我院如期达到目标，完成全民体检5885人，全民体检率达121%。切实维护群众的健康利益，更好地为居民提供安全、有效、便捷的医疗卫生服务。</w:t>
            </w:r>
          </w:p>
        </w:tc>
      </w:tr>
      <w:tr w:rsidR="00BB53A2">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BB53A2">
        <w:trPr>
          <w:trHeight w:val="126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指标1：全民健康体检</w:t>
            </w:r>
            <w:proofErr w:type="gramStart"/>
            <w:r>
              <w:rPr>
                <w:rFonts w:ascii="宋体" w:hAnsi="宋体" w:cs="宋体" w:hint="eastAsia"/>
                <w:kern w:val="0"/>
                <w:sz w:val="20"/>
                <w:szCs w:val="20"/>
              </w:rPr>
              <w:t>率完成</w:t>
            </w:r>
            <w:proofErr w:type="gramEnd"/>
            <w:r>
              <w:rPr>
                <w:rFonts w:ascii="宋体" w:hAnsi="宋体" w:cs="宋体" w:hint="eastAsia"/>
                <w:kern w:val="0"/>
                <w:sz w:val="20"/>
                <w:szCs w:val="20"/>
              </w:rPr>
              <w:t>100%</w:t>
            </w:r>
          </w:p>
        </w:tc>
        <w:tc>
          <w:tcPr>
            <w:tcW w:w="2060" w:type="dxa"/>
            <w:tcBorders>
              <w:top w:val="nil"/>
              <w:left w:val="nil"/>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计划完成全民体检5人，全民健康体检覆盖率达到100%。</w:t>
            </w:r>
          </w:p>
          <w:p w:rsidR="00BB53A2" w:rsidRDefault="00BB53A2">
            <w:pPr>
              <w:widowControl/>
              <w:jc w:val="left"/>
              <w:rPr>
                <w:rFonts w:ascii="宋体" w:hAnsi="宋体"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完成全民体检5885人，全民健康体检覆盖率已达到100%。</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指标1：完成全民体检相关项目</w:t>
            </w:r>
          </w:p>
        </w:tc>
        <w:tc>
          <w:tcPr>
            <w:tcW w:w="206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6大项</w:t>
            </w: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已完成（其中DR完成88%）</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w:t>
            </w:r>
            <w:r>
              <w:rPr>
                <w:rFonts w:ascii="宋体" w:hAnsi="宋体" w:cs="宋体"/>
                <w:kern w:val="0"/>
                <w:sz w:val="20"/>
                <w:szCs w:val="20"/>
              </w:rPr>
              <w:t>:</w:t>
            </w:r>
            <w:r>
              <w:rPr>
                <w:rFonts w:ascii="宋体" w:hAnsi="宋体" w:cs="宋体" w:hint="eastAsia"/>
                <w:kern w:val="0"/>
                <w:sz w:val="20"/>
                <w:szCs w:val="20"/>
              </w:rPr>
              <w:t>及时完成全民体检</w:t>
            </w:r>
          </w:p>
        </w:tc>
        <w:tc>
          <w:tcPr>
            <w:tcW w:w="206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highlight w:val="yellow"/>
              </w:rPr>
            </w:pPr>
            <w:r>
              <w:rPr>
                <w:rFonts w:ascii="宋体" w:hAnsi="宋体" w:cs="宋体" w:hint="eastAsia"/>
                <w:kern w:val="0"/>
                <w:sz w:val="20"/>
                <w:szCs w:val="20"/>
              </w:rPr>
              <w:t>截止2018年10月31日</w:t>
            </w: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tabs>
                <w:tab w:val="left" w:pos="488"/>
              </w:tabs>
              <w:jc w:val="center"/>
              <w:rPr>
                <w:rFonts w:ascii="宋体" w:hAnsi="宋体" w:cs="宋体"/>
                <w:kern w:val="0"/>
                <w:sz w:val="20"/>
                <w:szCs w:val="20"/>
              </w:rPr>
            </w:pPr>
            <w:r>
              <w:rPr>
                <w:rFonts w:ascii="宋体" w:hAnsi="宋体" w:cs="宋体" w:hint="eastAsia"/>
                <w:kern w:val="0"/>
                <w:sz w:val="20"/>
                <w:szCs w:val="20"/>
              </w:rPr>
              <w:t>已完成</w:t>
            </w:r>
          </w:p>
        </w:tc>
      </w:tr>
      <w:tr w:rsidR="00BB53A2">
        <w:trPr>
          <w:trHeight w:val="591"/>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指标1：健康体检表完整率</w:t>
            </w:r>
          </w:p>
        </w:tc>
        <w:tc>
          <w:tcPr>
            <w:tcW w:w="206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color w:val="0D0D0D"/>
                <w:kern w:val="0"/>
                <w:sz w:val="20"/>
                <w:szCs w:val="20"/>
              </w:rPr>
              <w:t>≥</w:t>
            </w:r>
            <w:r>
              <w:rPr>
                <w:rStyle w:val="font01"/>
                <w:rFonts w:hint="default"/>
              </w:rPr>
              <w:t>90%</w:t>
            </w: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color w:val="0D0D0D"/>
                <w:kern w:val="0"/>
                <w:sz w:val="20"/>
                <w:szCs w:val="20"/>
              </w:rPr>
              <w:t>≥</w:t>
            </w:r>
            <w:r>
              <w:rPr>
                <w:rStyle w:val="font01"/>
                <w:rFonts w:hint="default"/>
              </w:rPr>
              <w:t>95%</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w:t>
            </w:r>
            <w:r>
              <w:rPr>
                <w:rFonts w:ascii="宋体" w:hAnsi="宋体" w:cs="宋体" w:hint="eastAsia"/>
                <w:color w:val="0D0D0D"/>
                <w:kern w:val="0"/>
                <w:sz w:val="20"/>
                <w:szCs w:val="20"/>
              </w:rPr>
              <w:t>居民健康水平提高</w:t>
            </w:r>
          </w:p>
        </w:tc>
        <w:tc>
          <w:tcPr>
            <w:tcW w:w="2060" w:type="dxa"/>
            <w:tcBorders>
              <w:top w:val="nil"/>
              <w:left w:val="nil"/>
              <w:bottom w:val="single" w:sz="4" w:space="0" w:color="auto"/>
              <w:right w:val="single" w:sz="4" w:space="0" w:color="auto"/>
            </w:tcBorders>
            <w:shd w:val="clear" w:color="auto" w:fill="auto"/>
            <w:vAlign w:val="center"/>
          </w:tcPr>
          <w:p w:rsidR="00BB53A2" w:rsidRDefault="00C20F01">
            <w:pPr>
              <w:widowControl/>
              <w:tabs>
                <w:tab w:val="left" w:pos="553"/>
              </w:tabs>
              <w:jc w:val="center"/>
              <w:rPr>
                <w:rFonts w:ascii="宋体" w:hAnsi="宋体" w:cs="宋体"/>
                <w:kern w:val="0"/>
                <w:sz w:val="20"/>
                <w:szCs w:val="20"/>
              </w:rPr>
            </w:pPr>
            <w:r>
              <w:rPr>
                <w:rFonts w:ascii="宋体" w:hAnsi="宋体" w:cs="宋体" w:hint="eastAsia"/>
                <w:kern w:val="0"/>
                <w:sz w:val="20"/>
                <w:szCs w:val="20"/>
              </w:rPr>
              <w:t>中长期</w:t>
            </w: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中长期</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指标1：辖区内群众对每年</w:t>
            </w:r>
            <w:proofErr w:type="gramStart"/>
            <w:r>
              <w:rPr>
                <w:rFonts w:ascii="宋体" w:hAnsi="宋体" w:cs="宋体" w:hint="eastAsia"/>
                <w:kern w:val="0"/>
                <w:sz w:val="20"/>
                <w:szCs w:val="20"/>
              </w:rPr>
              <w:t>体检体检</w:t>
            </w:r>
            <w:proofErr w:type="gramEnd"/>
            <w:r>
              <w:rPr>
                <w:rFonts w:ascii="宋体" w:hAnsi="宋体" w:cs="宋体" w:hint="eastAsia"/>
                <w:kern w:val="0"/>
                <w:sz w:val="20"/>
                <w:szCs w:val="20"/>
              </w:rPr>
              <w:t>的满意度</w:t>
            </w:r>
          </w:p>
        </w:tc>
        <w:tc>
          <w:tcPr>
            <w:tcW w:w="206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color w:val="0D0D0D"/>
                <w:kern w:val="0"/>
                <w:sz w:val="20"/>
                <w:szCs w:val="20"/>
              </w:rPr>
              <w:t>逐步提高</w:t>
            </w:r>
          </w:p>
        </w:tc>
        <w:tc>
          <w:tcPr>
            <w:tcW w:w="1780" w:type="dxa"/>
            <w:tcBorders>
              <w:top w:val="nil"/>
              <w:left w:val="nil"/>
              <w:bottom w:val="single" w:sz="4" w:space="0" w:color="auto"/>
              <w:right w:val="single" w:sz="4" w:space="0" w:color="auto"/>
            </w:tcBorders>
            <w:shd w:val="clear" w:color="auto" w:fill="auto"/>
            <w:vAlign w:val="center"/>
          </w:tcPr>
          <w:p w:rsidR="00BB53A2" w:rsidRDefault="00C20F01">
            <w:pPr>
              <w:widowControl/>
              <w:jc w:val="center"/>
              <w:rPr>
                <w:rFonts w:ascii="宋体" w:hAnsi="宋体" w:cs="宋体"/>
                <w:kern w:val="0"/>
                <w:sz w:val="20"/>
                <w:szCs w:val="20"/>
              </w:rPr>
            </w:pPr>
            <w:r>
              <w:rPr>
                <w:rFonts w:ascii="宋体" w:hAnsi="宋体" w:cs="宋体" w:hint="eastAsia"/>
                <w:color w:val="0D0D0D"/>
                <w:kern w:val="0"/>
                <w:sz w:val="20"/>
                <w:szCs w:val="20"/>
              </w:rPr>
              <w:t>逐步提高</w:t>
            </w:r>
          </w:p>
        </w:tc>
      </w:tr>
    </w:tbl>
    <w:p w:rsidR="00BB53A2" w:rsidRDefault="00BB53A2">
      <w:pPr>
        <w:spacing w:line="540" w:lineRule="exact"/>
        <w:rPr>
          <w:rStyle w:val="a8"/>
          <w:rFonts w:ascii="仿宋" w:eastAsia="仿宋" w:hAnsi="仿宋"/>
          <w:b w:val="0"/>
          <w:spacing w:val="-4"/>
          <w:sz w:val="32"/>
          <w:szCs w:val="32"/>
        </w:rPr>
      </w:pPr>
    </w:p>
    <w:p w:rsidR="00BB53A2" w:rsidRDefault="00BB53A2">
      <w:pPr>
        <w:spacing w:line="540" w:lineRule="exact"/>
        <w:ind w:firstLine="567"/>
        <w:rPr>
          <w:rStyle w:val="a8"/>
          <w:rFonts w:ascii="仿宋" w:eastAsia="仿宋" w:hAnsi="仿宋"/>
          <w:b w:val="0"/>
          <w:spacing w:val="-4"/>
          <w:sz w:val="32"/>
          <w:szCs w:val="32"/>
        </w:rPr>
      </w:pPr>
    </w:p>
    <w:p w:rsidR="00BB53A2" w:rsidRDefault="00C20F01">
      <w:pPr>
        <w:widowControl/>
        <w:jc w:val="left"/>
        <w:rPr>
          <w:rFonts w:ascii="仿宋" w:eastAsia="仿宋" w:hAnsi="仿宋"/>
          <w:b/>
          <w:sz w:val="34"/>
          <w:szCs w:val="34"/>
        </w:rPr>
      </w:pPr>
      <w:r>
        <w:rPr>
          <w:rFonts w:ascii="仿宋" w:eastAsia="仿宋" w:hAnsi="仿宋"/>
          <w:b/>
          <w:sz w:val="34"/>
          <w:szCs w:val="34"/>
        </w:rPr>
        <w:br w:type="page"/>
      </w:r>
    </w:p>
    <w:p w:rsidR="00BB53A2" w:rsidRDefault="00C20F01">
      <w:pPr>
        <w:spacing w:line="540" w:lineRule="exact"/>
        <w:ind w:firstLineChars="200" w:firstLine="680"/>
        <w:rPr>
          <w:rFonts w:ascii="仿宋" w:eastAsia="仿宋" w:hAnsi="仿宋" w:cs="宋体"/>
          <w:kern w:val="0"/>
          <w:sz w:val="34"/>
          <w:szCs w:val="34"/>
        </w:rPr>
      </w:pPr>
      <w:r>
        <w:rPr>
          <w:rFonts w:ascii="仿宋" w:eastAsia="仿宋" w:hAnsi="仿宋" w:cs="宋体" w:hint="eastAsia"/>
          <w:kern w:val="0"/>
          <w:sz w:val="34"/>
          <w:szCs w:val="34"/>
        </w:rPr>
        <w:lastRenderedPageBreak/>
        <w:t>3、乡镇卫生院（医疗废弃物暂存建设项目）项目绩效自评综述：根据年初设定的绩效目标，2018年项目绩效自评得分98分，项目全年预算数为3.00万元，执行数为3.00万元</w:t>
      </w:r>
      <w:r w:rsidR="004203E5">
        <w:rPr>
          <w:rFonts w:ascii="仿宋" w:eastAsia="仿宋" w:hAnsi="仿宋" w:cs="宋体" w:hint="eastAsia"/>
          <w:kern w:val="0"/>
          <w:sz w:val="34"/>
          <w:szCs w:val="34"/>
        </w:rPr>
        <w:t>，</w:t>
      </w:r>
      <w:r w:rsidR="004203E5">
        <w:rPr>
          <w:rFonts w:ascii="仿宋" w:eastAsia="仿宋" w:hAnsi="仿宋" w:hint="eastAsia"/>
          <w:sz w:val="34"/>
          <w:szCs w:val="34"/>
        </w:rPr>
        <w:t>完成预算的100%</w:t>
      </w:r>
      <w:r>
        <w:rPr>
          <w:rFonts w:ascii="仿宋" w:eastAsia="仿宋" w:hAnsi="仿宋" w:cs="宋体" w:hint="eastAsia"/>
          <w:kern w:val="0"/>
          <w:sz w:val="34"/>
          <w:szCs w:val="34"/>
        </w:rPr>
        <w:t>。主要产出和效果：医疗垃圾暂存点的建设达到预期效果。能够分类储存医疗垃圾，做好医疗垃圾储存、运送工作，杜绝医疗废物流失、泄露、扩散。发现的问题及原因：进一步加强法律法规，条例以及各类文件的学习，提高对医疗垃圾管理工作重要性的认识，宣传和贯彻国家的各项法规条例，增强全体人员对医疗垃圾安全管理的防范意识。（1）内部制度上墙，一是医疗废物处置制度，二是医疗废物内部管理制度，三是相关的应急预案。（2）医疗废物按要求严格分类。（3）暂存处根据单位医疗废物产生</w:t>
      </w:r>
      <w:proofErr w:type="gramStart"/>
      <w:r>
        <w:rPr>
          <w:rFonts w:ascii="仿宋" w:eastAsia="仿宋" w:hAnsi="仿宋" w:cs="宋体" w:hint="eastAsia"/>
          <w:kern w:val="0"/>
          <w:sz w:val="34"/>
          <w:szCs w:val="34"/>
        </w:rPr>
        <w:t>量设置</w:t>
      </w:r>
      <w:proofErr w:type="gramEnd"/>
      <w:r>
        <w:rPr>
          <w:rFonts w:ascii="仿宋" w:eastAsia="仿宋" w:hAnsi="仿宋" w:cs="宋体" w:hint="eastAsia"/>
          <w:kern w:val="0"/>
          <w:sz w:val="34"/>
          <w:szCs w:val="34"/>
        </w:rPr>
        <w:t>塑料桶，并应加盖密闭，不得随地散放、遗漏。（4）完善医疗废物登记台账。</w:t>
      </w: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pStyle w:val="2"/>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BB53A2">
        <w:trPr>
          <w:trHeight w:val="405"/>
        </w:trPr>
        <w:tc>
          <w:tcPr>
            <w:tcW w:w="9020" w:type="dxa"/>
            <w:gridSpan w:val="7"/>
            <w:tcBorders>
              <w:top w:val="nil"/>
              <w:left w:val="nil"/>
              <w:bottom w:val="nil"/>
              <w:right w:val="nil"/>
            </w:tcBorders>
            <w:vAlign w:val="center"/>
          </w:tcPr>
          <w:p w:rsidR="00BB53A2" w:rsidRDefault="00BB1836">
            <w:pPr>
              <w:widowControl/>
              <w:jc w:val="center"/>
              <w:rPr>
                <w:rFonts w:ascii="宋体" w:hAnsi="宋体" w:cs="宋体"/>
                <w:b/>
                <w:bCs/>
                <w:kern w:val="0"/>
                <w:sz w:val="32"/>
                <w:szCs w:val="32"/>
              </w:rPr>
            </w:pPr>
            <w:r w:rsidRPr="00BB1836">
              <w:rPr>
                <w:rFonts w:ascii="宋体" w:hAnsi="宋体" w:cs="宋体" w:hint="eastAsia"/>
                <w:b/>
                <w:bCs/>
                <w:kern w:val="0"/>
                <w:sz w:val="32"/>
                <w:szCs w:val="32"/>
              </w:rPr>
              <w:lastRenderedPageBreak/>
              <w:t>昌吉市阿什里乡卫生院</w:t>
            </w:r>
            <w:r>
              <w:rPr>
                <w:rFonts w:ascii="宋体" w:hAnsi="宋体" w:cs="宋体" w:hint="eastAsia"/>
                <w:b/>
                <w:bCs/>
                <w:kern w:val="0"/>
                <w:sz w:val="32"/>
                <w:szCs w:val="32"/>
              </w:rPr>
              <w:t>项目支出绩效自评表</w:t>
            </w:r>
          </w:p>
        </w:tc>
      </w:tr>
      <w:tr w:rsidR="00BB53A2">
        <w:trPr>
          <w:trHeight w:val="285"/>
        </w:trPr>
        <w:tc>
          <w:tcPr>
            <w:tcW w:w="9020" w:type="dxa"/>
            <w:gridSpan w:val="7"/>
            <w:tcBorders>
              <w:top w:val="nil"/>
              <w:left w:val="nil"/>
              <w:bottom w:val="nil"/>
              <w:right w:val="nil"/>
            </w:tcBorders>
            <w:vAlign w:val="center"/>
          </w:tcPr>
          <w:p w:rsidR="00BB53A2" w:rsidRDefault="00C20F01" w:rsidP="00572CF4">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BB53A2">
        <w:trPr>
          <w:trHeight w:val="285"/>
        </w:trPr>
        <w:tc>
          <w:tcPr>
            <w:tcW w:w="720" w:type="dxa"/>
            <w:tcBorders>
              <w:top w:val="nil"/>
              <w:left w:val="nil"/>
              <w:bottom w:val="nil"/>
              <w:right w:val="nil"/>
            </w:tcBorders>
            <w:vAlign w:val="center"/>
          </w:tcPr>
          <w:p w:rsidR="00BB53A2" w:rsidRDefault="00BB53A2">
            <w:pPr>
              <w:widowControl/>
              <w:jc w:val="center"/>
              <w:rPr>
                <w:rFonts w:ascii="宋体" w:hAnsi="宋体" w:cs="宋体"/>
                <w:kern w:val="0"/>
                <w:sz w:val="24"/>
              </w:rPr>
            </w:pPr>
          </w:p>
        </w:tc>
        <w:tc>
          <w:tcPr>
            <w:tcW w:w="1140" w:type="dxa"/>
            <w:tcBorders>
              <w:top w:val="nil"/>
              <w:left w:val="nil"/>
              <w:bottom w:val="nil"/>
              <w:right w:val="nil"/>
            </w:tcBorders>
            <w:vAlign w:val="center"/>
          </w:tcPr>
          <w:p w:rsidR="00BB53A2" w:rsidRDefault="00BB53A2">
            <w:pPr>
              <w:widowControl/>
              <w:jc w:val="center"/>
              <w:rPr>
                <w:rFonts w:ascii="宋体" w:hAnsi="宋体" w:cs="宋体"/>
                <w:kern w:val="0"/>
                <w:sz w:val="24"/>
              </w:rPr>
            </w:pPr>
          </w:p>
        </w:tc>
        <w:tc>
          <w:tcPr>
            <w:tcW w:w="1360" w:type="dxa"/>
            <w:tcBorders>
              <w:top w:val="nil"/>
              <w:left w:val="nil"/>
              <w:bottom w:val="nil"/>
              <w:right w:val="nil"/>
            </w:tcBorders>
            <w:vAlign w:val="center"/>
          </w:tcPr>
          <w:p w:rsidR="00BB53A2" w:rsidRDefault="00BB53A2">
            <w:pPr>
              <w:widowControl/>
              <w:jc w:val="center"/>
              <w:rPr>
                <w:rFonts w:ascii="宋体" w:hAnsi="宋体" w:cs="宋体"/>
                <w:kern w:val="0"/>
                <w:sz w:val="24"/>
              </w:rPr>
            </w:pPr>
          </w:p>
        </w:tc>
        <w:tc>
          <w:tcPr>
            <w:tcW w:w="1080" w:type="dxa"/>
            <w:tcBorders>
              <w:top w:val="nil"/>
              <w:left w:val="nil"/>
              <w:bottom w:val="nil"/>
              <w:right w:val="nil"/>
            </w:tcBorders>
            <w:vAlign w:val="center"/>
          </w:tcPr>
          <w:p w:rsidR="00BB53A2" w:rsidRDefault="00BB53A2">
            <w:pPr>
              <w:widowControl/>
              <w:jc w:val="center"/>
              <w:rPr>
                <w:rFonts w:ascii="宋体" w:hAnsi="宋体" w:cs="宋体"/>
                <w:kern w:val="0"/>
                <w:sz w:val="24"/>
              </w:rPr>
            </w:pPr>
          </w:p>
        </w:tc>
        <w:tc>
          <w:tcPr>
            <w:tcW w:w="880" w:type="dxa"/>
            <w:tcBorders>
              <w:top w:val="nil"/>
              <w:left w:val="nil"/>
              <w:bottom w:val="nil"/>
              <w:right w:val="nil"/>
            </w:tcBorders>
            <w:vAlign w:val="center"/>
          </w:tcPr>
          <w:p w:rsidR="00BB53A2" w:rsidRDefault="00BB53A2">
            <w:pPr>
              <w:widowControl/>
              <w:jc w:val="center"/>
              <w:rPr>
                <w:rFonts w:ascii="宋体" w:hAnsi="宋体" w:cs="宋体"/>
                <w:kern w:val="0"/>
                <w:sz w:val="24"/>
              </w:rPr>
            </w:pPr>
          </w:p>
        </w:tc>
        <w:tc>
          <w:tcPr>
            <w:tcW w:w="2060" w:type="dxa"/>
            <w:tcBorders>
              <w:top w:val="nil"/>
              <w:left w:val="nil"/>
              <w:bottom w:val="nil"/>
              <w:right w:val="nil"/>
            </w:tcBorders>
            <w:vAlign w:val="center"/>
          </w:tcPr>
          <w:p w:rsidR="00BB53A2" w:rsidRDefault="00BB53A2">
            <w:pPr>
              <w:widowControl/>
              <w:jc w:val="center"/>
              <w:rPr>
                <w:rFonts w:ascii="宋体" w:hAnsi="宋体" w:cs="宋体"/>
                <w:kern w:val="0"/>
                <w:sz w:val="24"/>
              </w:rPr>
            </w:pPr>
          </w:p>
        </w:tc>
        <w:tc>
          <w:tcPr>
            <w:tcW w:w="1780" w:type="dxa"/>
            <w:tcBorders>
              <w:top w:val="nil"/>
              <w:left w:val="nil"/>
              <w:bottom w:val="nil"/>
              <w:right w:val="nil"/>
            </w:tcBorders>
            <w:vAlign w:val="center"/>
          </w:tcPr>
          <w:p w:rsidR="00BB53A2" w:rsidRDefault="00BB53A2">
            <w:pPr>
              <w:widowControl/>
              <w:jc w:val="center"/>
              <w:rPr>
                <w:rFonts w:ascii="宋体" w:hAnsi="宋体" w:cs="宋体"/>
                <w:kern w:val="0"/>
                <w:sz w:val="24"/>
              </w:rPr>
            </w:pPr>
          </w:p>
        </w:tc>
      </w:tr>
      <w:tr w:rsidR="00BB53A2">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 xml:space="preserve">医疗废弃物暂存建设资金　</w:t>
            </w:r>
          </w:p>
        </w:tc>
      </w:tr>
      <w:tr w:rsidR="00BB53A2">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 xml:space="preserve">昌吉市阿什里乡卫生院　</w:t>
            </w:r>
          </w:p>
        </w:tc>
      </w:tr>
      <w:tr w:rsidR="00BB53A2">
        <w:trPr>
          <w:trHeight w:val="465"/>
        </w:trPr>
        <w:tc>
          <w:tcPr>
            <w:tcW w:w="720" w:type="dxa"/>
            <w:vMerge w:val="restart"/>
            <w:tcBorders>
              <w:top w:val="nil"/>
              <w:left w:val="single" w:sz="4" w:space="0" w:color="auto"/>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3</w:t>
            </w:r>
            <w:r>
              <w:rPr>
                <w:rFonts w:ascii="宋体" w:hAnsi="宋体" w:cs="宋体" w:hint="eastAsia"/>
                <w:kern w:val="0"/>
                <w:sz w:val="20"/>
                <w:szCs w:val="20"/>
              </w:rPr>
              <w:t>万元</w:t>
            </w:r>
          </w:p>
        </w:tc>
        <w:tc>
          <w:tcPr>
            <w:tcW w:w="2060" w:type="dxa"/>
            <w:tcBorders>
              <w:top w:val="nil"/>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 xml:space="preserve">3万元　</w:t>
            </w:r>
          </w:p>
        </w:tc>
      </w:tr>
      <w:tr w:rsidR="00BB53A2">
        <w:trPr>
          <w:trHeight w:val="509"/>
        </w:trPr>
        <w:tc>
          <w:tcPr>
            <w:tcW w:w="72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BB53A2" w:rsidRDefault="00C20F01">
            <w:pPr>
              <w:widowControl/>
              <w:jc w:val="center"/>
              <w:rPr>
                <w:rFonts w:ascii="宋体" w:hAnsi="宋体" w:cs="宋体"/>
                <w:kern w:val="0"/>
                <w:sz w:val="20"/>
                <w:szCs w:val="20"/>
              </w:rPr>
            </w:pPr>
            <w:r>
              <w:rPr>
                <w:rFonts w:ascii="宋体" w:hAnsi="宋体" w:cs="宋体"/>
                <w:kern w:val="0"/>
                <w:sz w:val="20"/>
                <w:szCs w:val="20"/>
              </w:rPr>
              <w:t xml:space="preserve"> 3</w:t>
            </w:r>
            <w:r>
              <w:rPr>
                <w:rFonts w:ascii="宋体" w:hAnsi="宋体" w:cs="宋体" w:hint="eastAsia"/>
                <w:kern w:val="0"/>
                <w:sz w:val="20"/>
                <w:szCs w:val="20"/>
              </w:rPr>
              <w:t xml:space="preserve">万元　</w:t>
            </w:r>
          </w:p>
        </w:tc>
        <w:tc>
          <w:tcPr>
            <w:tcW w:w="2060" w:type="dxa"/>
            <w:tcBorders>
              <w:top w:val="nil"/>
              <w:left w:val="nil"/>
              <w:bottom w:val="nil"/>
              <w:right w:val="single" w:sz="4" w:space="0" w:color="auto"/>
            </w:tcBorders>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 xml:space="preserve">3万元　</w:t>
            </w:r>
          </w:p>
        </w:tc>
      </w:tr>
      <w:tr w:rsidR="00BB53A2">
        <w:trPr>
          <w:trHeight w:val="90"/>
        </w:trPr>
        <w:tc>
          <w:tcPr>
            <w:tcW w:w="72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BB53A2" w:rsidRDefault="00BB53A2">
            <w:pPr>
              <w:widowControl/>
              <w:ind w:firstLineChars="400" w:firstLine="800"/>
              <w:rPr>
                <w:rFonts w:ascii="宋体" w:hAnsi="宋体" w:cs="宋体"/>
                <w:kern w:val="0"/>
                <w:sz w:val="20"/>
                <w:szCs w:val="20"/>
              </w:rPr>
            </w:pPr>
          </w:p>
        </w:tc>
        <w:tc>
          <w:tcPr>
            <w:tcW w:w="2060" w:type="dxa"/>
            <w:tcBorders>
              <w:top w:val="single" w:sz="4" w:space="0" w:color="auto"/>
              <w:left w:val="nil"/>
              <w:bottom w:val="nil"/>
              <w:right w:val="single" w:sz="4" w:space="0" w:color="auto"/>
            </w:tcBorders>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BB53A2">
        <w:trPr>
          <w:trHeight w:val="450"/>
        </w:trPr>
        <w:tc>
          <w:tcPr>
            <w:tcW w:w="720" w:type="dxa"/>
            <w:vMerge w:val="restart"/>
            <w:tcBorders>
              <w:top w:val="nil"/>
              <w:left w:val="single" w:sz="4" w:space="0" w:color="auto"/>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BB53A2">
        <w:trPr>
          <w:trHeight w:val="1425"/>
        </w:trPr>
        <w:tc>
          <w:tcPr>
            <w:tcW w:w="72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建成医疗废弃物暂存房屋，并防治医疗废物在暂时贮存、运送和处置过程中的环境污染，防止疾病传播，保护人体健康</w:t>
            </w:r>
            <w:r>
              <w:rPr>
                <w:rFonts w:ascii="宋体" w:hAnsi="宋体" w:cs="宋体" w:hint="eastAsia"/>
                <w:color w:val="000000"/>
                <w:sz w:val="24"/>
              </w:rPr>
              <w:t>。</w:t>
            </w:r>
          </w:p>
        </w:tc>
        <w:tc>
          <w:tcPr>
            <w:tcW w:w="3840" w:type="dxa"/>
            <w:gridSpan w:val="2"/>
            <w:tcBorders>
              <w:top w:val="single" w:sz="4" w:space="0" w:color="auto"/>
              <w:left w:val="nil"/>
              <w:bottom w:val="single" w:sz="4" w:space="0" w:color="auto"/>
              <w:right w:val="single" w:sz="4" w:space="0" w:color="000000"/>
            </w:tcBorders>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已建成医疗废弃物暂存房屋，并防治医疗废物在暂时贮存、运送和处置过程中的环境污染，防止疾病传播，保护人体健康。</w:t>
            </w:r>
          </w:p>
        </w:tc>
      </w:tr>
      <w:tr w:rsidR="00BB53A2">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指标1：建设医疗垃圾暂存房屋</w:t>
            </w:r>
          </w:p>
        </w:tc>
        <w:tc>
          <w:tcPr>
            <w:tcW w:w="206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一栋房屋</w:t>
            </w:r>
          </w:p>
        </w:tc>
        <w:tc>
          <w:tcPr>
            <w:tcW w:w="178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已建设医疗垃圾暂存房屋一栋</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指标1：避免医疗废物的流失、泄漏和扩散。</w:t>
            </w:r>
          </w:p>
        </w:tc>
        <w:tc>
          <w:tcPr>
            <w:tcW w:w="206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医疗垃圾0流失、泄露、扩散</w:t>
            </w:r>
          </w:p>
        </w:tc>
        <w:tc>
          <w:tcPr>
            <w:tcW w:w="178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已达到医疗废物0流失、泄漏和扩散</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指标1：及时分类处理医疗垃圾</w:t>
            </w:r>
          </w:p>
        </w:tc>
        <w:tc>
          <w:tcPr>
            <w:tcW w:w="206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不超过48小时</w:t>
            </w:r>
          </w:p>
        </w:tc>
        <w:tc>
          <w:tcPr>
            <w:tcW w:w="178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未超过48小时</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指标1：防止疾病传播，保护人体健康</w:t>
            </w:r>
          </w:p>
        </w:tc>
        <w:tc>
          <w:tcPr>
            <w:tcW w:w="206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医疗垃圾0污染</w:t>
            </w:r>
          </w:p>
        </w:tc>
        <w:tc>
          <w:tcPr>
            <w:tcW w:w="178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proofErr w:type="gramStart"/>
            <w:r>
              <w:rPr>
                <w:rFonts w:ascii="宋体" w:hAnsi="宋体" w:cs="宋体" w:hint="eastAsia"/>
                <w:kern w:val="0"/>
                <w:sz w:val="20"/>
                <w:szCs w:val="20"/>
              </w:rPr>
              <w:t>已防止</w:t>
            </w:r>
            <w:proofErr w:type="gramEnd"/>
            <w:r>
              <w:rPr>
                <w:rFonts w:ascii="宋体" w:hAnsi="宋体" w:cs="宋体" w:hint="eastAsia"/>
                <w:kern w:val="0"/>
                <w:sz w:val="20"/>
                <w:szCs w:val="20"/>
              </w:rPr>
              <w:t>疾病传播，保护人体健康</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指标1：防止环境污染</w:t>
            </w:r>
          </w:p>
        </w:tc>
        <w:tc>
          <w:tcPr>
            <w:tcW w:w="206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医疗垃圾0污染</w:t>
            </w:r>
          </w:p>
        </w:tc>
        <w:tc>
          <w:tcPr>
            <w:tcW w:w="178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无医疗垃圾污染</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指标1：持续保护环境卫生及人体健康</w:t>
            </w:r>
          </w:p>
        </w:tc>
        <w:tc>
          <w:tcPr>
            <w:tcW w:w="206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长期</w:t>
            </w:r>
          </w:p>
        </w:tc>
        <w:tc>
          <w:tcPr>
            <w:tcW w:w="178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长期</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指标1：周围居民满意度</w:t>
            </w:r>
          </w:p>
        </w:tc>
        <w:tc>
          <w:tcPr>
            <w:tcW w:w="206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color w:val="0D0D0D"/>
                <w:kern w:val="0"/>
                <w:sz w:val="20"/>
                <w:szCs w:val="20"/>
              </w:rPr>
              <w:t>≥90%</w:t>
            </w: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color w:val="0D0D0D"/>
                <w:kern w:val="0"/>
                <w:sz w:val="20"/>
                <w:szCs w:val="20"/>
              </w:rPr>
              <w:t>≥90%</w:t>
            </w:r>
          </w:p>
        </w:tc>
      </w:tr>
    </w:tbl>
    <w:p w:rsidR="00BB53A2" w:rsidRDefault="00BB53A2">
      <w:pPr>
        <w:spacing w:line="500" w:lineRule="exact"/>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C20F01">
      <w:pPr>
        <w:spacing w:line="540" w:lineRule="exact"/>
        <w:ind w:firstLineChars="200" w:firstLine="680"/>
        <w:rPr>
          <w:rFonts w:ascii="仿宋" w:eastAsia="仿宋" w:hAnsi="仿宋" w:cs="宋体"/>
          <w:kern w:val="0"/>
          <w:sz w:val="34"/>
          <w:szCs w:val="34"/>
        </w:rPr>
      </w:pPr>
      <w:r>
        <w:rPr>
          <w:rFonts w:ascii="仿宋" w:eastAsia="仿宋" w:hAnsi="仿宋" w:cs="宋体" w:hint="eastAsia"/>
          <w:kern w:val="0"/>
          <w:sz w:val="34"/>
          <w:szCs w:val="34"/>
        </w:rPr>
        <w:lastRenderedPageBreak/>
        <w:t>4、乡镇卫生院（中医馆及中医建设项目）项目绩效自评综述：根据年初设定的绩效目标，2018年项目绩效自评得分95分，项目全年预算数为</w:t>
      </w:r>
      <w:r w:rsidR="00804D2F">
        <w:rPr>
          <w:rFonts w:ascii="仿宋" w:eastAsia="仿宋" w:hAnsi="仿宋" w:cs="宋体" w:hint="eastAsia"/>
          <w:kern w:val="0"/>
          <w:sz w:val="34"/>
          <w:szCs w:val="34"/>
        </w:rPr>
        <w:t>12.69</w:t>
      </w:r>
      <w:r>
        <w:rPr>
          <w:rFonts w:ascii="仿宋" w:eastAsia="仿宋" w:hAnsi="仿宋" w:cs="宋体" w:hint="eastAsia"/>
          <w:kern w:val="0"/>
          <w:sz w:val="34"/>
          <w:szCs w:val="34"/>
        </w:rPr>
        <w:t>万元，执行数为</w:t>
      </w:r>
      <w:r w:rsidR="00804D2F">
        <w:rPr>
          <w:rFonts w:ascii="仿宋" w:eastAsia="仿宋" w:hAnsi="仿宋" w:cs="宋体" w:hint="eastAsia"/>
          <w:kern w:val="0"/>
          <w:sz w:val="34"/>
          <w:szCs w:val="34"/>
        </w:rPr>
        <w:t>10.88</w:t>
      </w:r>
      <w:r>
        <w:rPr>
          <w:rFonts w:ascii="仿宋" w:eastAsia="仿宋" w:hAnsi="仿宋" w:cs="宋体" w:hint="eastAsia"/>
          <w:kern w:val="0"/>
          <w:sz w:val="34"/>
          <w:szCs w:val="34"/>
        </w:rPr>
        <w:t>万元</w:t>
      </w:r>
      <w:r w:rsidR="00572CF4">
        <w:rPr>
          <w:rFonts w:ascii="仿宋" w:eastAsia="仿宋" w:hAnsi="仿宋" w:cs="宋体" w:hint="eastAsia"/>
          <w:kern w:val="0"/>
          <w:sz w:val="34"/>
          <w:szCs w:val="34"/>
        </w:rPr>
        <w:t>，</w:t>
      </w:r>
      <w:r w:rsidR="00572CF4">
        <w:rPr>
          <w:rFonts w:ascii="仿宋" w:eastAsia="仿宋" w:hAnsi="仿宋" w:hint="eastAsia"/>
          <w:sz w:val="34"/>
          <w:szCs w:val="34"/>
        </w:rPr>
        <w:t>完成预算的85.73%</w:t>
      </w:r>
      <w:r>
        <w:rPr>
          <w:rFonts w:ascii="仿宋" w:eastAsia="仿宋" w:hAnsi="仿宋" w:cs="宋体" w:hint="eastAsia"/>
          <w:kern w:val="0"/>
          <w:sz w:val="34"/>
          <w:szCs w:val="34"/>
        </w:rPr>
        <w:t>。主要产出和效果：基于对我院实际情况的深入调研，为了我院更好的发展，提升中医药服务能力，结合我院特色与实际，将我院一楼西侧打造成为具有中医药文化内涵的中医馆，从内部装修、增添康复理疗器材等方面入手，提升优化诊疗环境，建设标准化的中医馆。</w:t>
      </w:r>
    </w:p>
    <w:p w:rsidR="00BB53A2" w:rsidRDefault="00C20F01">
      <w:pPr>
        <w:spacing w:line="500" w:lineRule="exact"/>
        <w:rPr>
          <w:rFonts w:ascii="仿宋" w:eastAsia="仿宋" w:hAnsi="仿宋" w:cs="宋体"/>
          <w:kern w:val="0"/>
          <w:sz w:val="34"/>
          <w:szCs w:val="34"/>
        </w:rPr>
      </w:pPr>
      <w:r>
        <w:rPr>
          <w:rFonts w:ascii="仿宋" w:eastAsia="仿宋" w:hAnsi="仿宋" w:cs="宋体" w:hint="eastAsia"/>
          <w:kern w:val="0"/>
          <w:sz w:val="34"/>
          <w:szCs w:val="34"/>
        </w:rPr>
        <w:t>中医馆集中设置中医诊室治疗室、推拿室、热疗室、</w:t>
      </w:r>
      <w:proofErr w:type="gramStart"/>
      <w:r>
        <w:rPr>
          <w:rFonts w:ascii="仿宋" w:eastAsia="仿宋" w:hAnsi="仿宋" w:cs="宋体" w:hint="eastAsia"/>
          <w:kern w:val="0"/>
          <w:sz w:val="34"/>
          <w:szCs w:val="34"/>
        </w:rPr>
        <w:t>煎药室</w:t>
      </w:r>
      <w:proofErr w:type="gramEnd"/>
      <w:r>
        <w:rPr>
          <w:rFonts w:ascii="仿宋" w:eastAsia="仿宋" w:hAnsi="仿宋" w:cs="宋体" w:hint="eastAsia"/>
          <w:kern w:val="0"/>
          <w:sz w:val="34"/>
          <w:szCs w:val="34"/>
        </w:rPr>
        <w:t>等中医特色科室，配备技术精湛的专业技术人员，开展一般针法、</w:t>
      </w:r>
      <w:proofErr w:type="gramStart"/>
      <w:r>
        <w:rPr>
          <w:rFonts w:ascii="仿宋" w:eastAsia="仿宋" w:hAnsi="仿宋" w:cs="宋体" w:hint="eastAsia"/>
          <w:kern w:val="0"/>
          <w:sz w:val="34"/>
          <w:szCs w:val="34"/>
        </w:rPr>
        <w:t>灸</w:t>
      </w:r>
      <w:proofErr w:type="gramEnd"/>
      <w:r>
        <w:rPr>
          <w:rFonts w:ascii="仿宋" w:eastAsia="仿宋" w:hAnsi="仿宋" w:cs="宋体" w:hint="eastAsia"/>
          <w:kern w:val="0"/>
          <w:sz w:val="34"/>
          <w:szCs w:val="34"/>
        </w:rPr>
        <w:t>法推拿、刮痧、拔罐、牵引、小针刀等10余种中医药综合治疗及康复手段，同时配合现代康复医学治疗，充分利用先进康复仪器设备，更好地提高临床疗效。中医</w:t>
      </w:r>
      <w:proofErr w:type="gramStart"/>
      <w:r>
        <w:rPr>
          <w:rFonts w:ascii="仿宋" w:eastAsia="仿宋" w:hAnsi="仿宋" w:cs="宋体" w:hint="eastAsia"/>
          <w:kern w:val="0"/>
          <w:sz w:val="34"/>
          <w:szCs w:val="34"/>
        </w:rPr>
        <w:t>馆内部</w:t>
      </w:r>
      <w:proofErr w:type="gramEnd"/>
      <w:r>
        <w:rPr>
          <w:rFonts w:ascii="仿宋" w:eastAsia="仿宋" w:hAnsi="仿宋" w:cs="宋体" w:hint="eastAsia"/>
          <w:kern w:val="0"/>
          <w:sz w:val="34"/>
          <w:szCs w:val="34"/>
        </w:rPr>
        <w:t>预期采取中式建筑装修风格，营造出古色古韵浓郁的传统医学氛围。发现的问题及原因：</w:t>
      </w:r>
    </w:p>
    <w:p w:rsidR="00BB53A2" w:rsidRDefault="00C20F01">
      <w:pPr>
        <w:spacing w:line="500" w:lineRule="exact"/>
        <w:rPr>
          <w:rFonts w:ascii="仿宋" w:eastAsia="仿宋" w:hAnsi="仿宋" w:cs="宋体"/>
          <w:kern w:val="0"/>
          <w:sz w:val="34"/>
          <w:szCs w:val="34"/>
          <w:lang w:val="zh-CN"/>
        </w:rPr>
      </w:pPr>
      <w:r>
        <w:rPr>
          <w:rFonts w:ascii="仿宋" w:eastAsia="仿宋" w:hAnsi="仿宋" w:cs="宋体" w:hint="eastAsia"/>
          <w:kern w:val="0"/>
          <w:sz w:val="34"/>
          <w:szCs w:val="34"/>
          <w:lang w:val="zh-CN"/>
        </w:rPr>
        <w:t>（</w:t>
      </w:r>
      <w:r>
        <w:rPr>
          <w:rFonts w:ascii="仿宋" w:eastAsia="仿宋" w:hAnsi="仿宋" w:cs="宋体" w:hint="eastAsia"/>
          <w:kern w:val="0"/>
          <w:sz w:val="34"/>
          <w:szCs w:val="34"/>
        </w:rPr>
        <w:t>1</w:t>
      </w:r>
      <w:r>
        <w:rPr>
          <w:rFonts w:ascii="仿宋" w:eastAsia="仿宋" w:hAnsi="仿宋" w:cs="宋体" w:hint="eastAsia"/>
          <w:kern w:val="0"/>
          <w:sz w:val="34"/>
          <w:szCs w:val="34"/>
          <w:lang w:val="zh-CN"/>
        </w:rPr>
        <w:t>）中医药类人才匮乏、从事中医药工作人员不能及时补员，存在有岗</w:t>
      </w:r>
      <w:proofErr w:type="gramStart"/>
      <w:r>
        <w:rPr>
          <w:rFonts w:ascii="仿宋" w:eastAsia="仿宋" w:hAnsi="仿宋" w:cs="宋体" w:hint="eastAsia"/>
          <w:kern w:val="0"/>
          <w:sz w:val="34"/>
          <w:szCs w:val="34"/>
          <w:lang w:val="zh-CN"/>
        </w:rPr>
        <w:t>不</w:t>
      </w:r>
      <w:proofErr w:type="gramEnd"/>
      <w:r>
        <w:rPr>
          <w:rFonts w:ascii="仿宋" w:eastAsia="仿宋" w:hAnsi="仿宋" w:cs="宋体" w:hint="eastAsia"/>
          <w:kern w:val="0"/>
          <w:sz w:val="34"/>
          <w:szCs w:val="34"/>
          <w:lang w:val="zh-CN"/>
        </w:rPr>
        <w:t>在岗，挪用挤占中医药人员情况。</w:t>
      </w:r>
    </w:p>
    <w:p w:rsidR="00BB53A2" w:rsidRDefault="00C20F01">
      <w:pPr>
        <w:spacing w:line="500" w:lineRule="exact"/>
        <w:rPr>
          <w:rFonts w:ascii="仿宋" w:eastAsia="仿宋" w:hAnsi="仿宋" w:cs="宋体"/>
          <w:kern w:val="0"/>
          <w:sz w:val="34"/>
          <w:szCs w:val="34"/>
          <w:lang w:val="zh-CN"/>
        </w:rPr>
      </w:pPr>
      <w:r>
        <w:rPr>
          <w:rFonts w:ascii="仿宋" w:eastAsia="仿宋" w:hAnsi="仿宋" w:cs="宋体" w:hint="eastAsia"/>
          <w:kern w:val="0"/>
          <w:sz w:val="34"/>
          <w:szCs w:val="34"/>
          <w:lang w:val="zh-CN"/>
        </w:rPr>
        <w:t>（</w:t>
      </w:r>
      <w:r>
        <w:rPr>
          <w:rFonts w:ascii="仿宋" w:eastAsia="仿宋" w:hAnsi="仿宋" w:cs="宋体" w:hint="eastAsia"/>
          <w:kern w:val="0"/>
          <w:sz w:val="34"/>
          <w:szCs w:val="34"/>
        </w:rPr>
        <w:t>2</w:t>
      </w:r>
      <w:r>
        <w:rPr>
          <w:rFonts w:ascii="仿宋" w:eastAsia="仿宋" w:hAnsi="仿宋" w:cs="宋体" w:hint="eastAsia"/>
          <w:kern w:val="0"/>
          <w:sz w:val="34"/>
          <w:szCs w:val="34"/>
          <w:lang w:val="zh-CN"/>
        </w:rPr>
        <w:t>）村卫生室中医药工作发展缓慢，缺乏指导，技术型服务层次较低，对中医药专业人员培训不足，制约发展和服务水平。</w:t>
      </w:r>
    </w:p>
    <w:p w:rsidR="00BB53A2" w:rsidRDefault="00BB53A2" w:rsidP="00C20F01">
      <w:pPr>
        <w:spacing w:line="500" w:lineRule="exact"/>
        <w:ind w:firstLineChars="200" w:firstLine="683"/>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spacing w:line="500" w:lineRule="exact"/>
        <w:rPr>
          <w:rFonts w:ascii="仿宋" w:eastAsia="仿宋" w:hAnsi="仿宋"/>
          <w:b/>
          <w:sz w:val="34"/>
          <w:szCs w:val="34"/>
        </w:rPr>
      </w:pPr>
    </w:p>
    <w:tbl>
      <w:tblPr>
        <w:tblpPr w:leftFromText="180" w:rightFromText="180" w:vertAnchor="text" w:horzAnchor="page" w:tblpX="1802" w:tblpY="-424"/>
        <w:tblOverlap w:val="never"/>
        <w:tblW w:w="9020" w:type="dxa"/>
        <w:tblLayout w:type="fixed"/>
        <w:tblLook w:val="04A0" w:firstRow="1" w:lastRow="0" w:firstColumn="1" w:lastColumn="0" w:noHBand="0" w:noVBand="1"/>
      </w:tblPr>
      <w:tblGrid>
        <w:gridCol w:w="720"/>
        <w:gridCol w:w="1140"/>
        <w:gridCol w:w="1360"/>
        <w:gridCol w:w="1960"/>
        <w:gridCol w:w="2060"/>
        <w:gridCol w:w="1780"/>
      </w:tblGrid>
      <w:tr w:rsidR="00BB53A2">
        <w:trPr>
          <w:trHeight w:val="405"/>
        </w:trPr>
        <w:tc>
          <w:tcPr>
            <w:tcW w:w="9020" w:type="dxa"/>
            <w:gridSpan w:val="6"/>
            <w:tcBorders>
              <w:top w:val="nil"/>
              <w:left w:val="nil"/>
              <w:bottom w:val="nil"/>
              <w:right w:val="nil"/>
            </w:tcBorders>
            <w:vAlign w:val="center"/>
          </w:tcPr>
          <w:p w:rsidR="00BB53A2" w:rsidRDefault="00BB1836">
            <w:pPr>
              <w:widowControl/>
              <w:jc w:val="center"/>
              <w:rPr>
                <w:rFonts w:ascii="宋体" w:hAnsi="宋体" w:cs="宋体"/>
                <w:b/>
                <w:bCs/>
                <w:kern w:val="0"/>
                <w:sz w:val="32"/>
                <w:szCs w:val="32"/>
              </w:rPr>
            </w:pPr>
            <w:r w:rsidRPr="00BB1836">
              <w:rPr>
                <w:rFonts w:ascii="宋体" w:hAnsi="宋体" w:cs="宋体" w:hint="eastAsia"/>
                <w:b/>
                <w:bCs/>
                <w:kern w:val="0"/>
                <w:sz w:val="32"/>
                <w:szCs w:val="32"/>
              </w:rPr>
              <w:lastRenderedPageBreak/>
              <w:t>昌吉市阿什里乡卫生院</w:t>
            </w:r>
            <w:r>
              <w:rPr>
                <w:rFonts w:ascii="宋体" w:hAnsi="宋体" w:cs="宋体" w:hint="eastAsia"/>
                <w:b/>
                <w:bCs/>
                <w:kern w:val="0"/>
                <w:sz w:val="32"/>
                <w:szCs w:val="32"/>
              </w:rPr>
              <w:t>项目支出绩效自评表</w:t>
            </w:r>
          </w:p>
        </w:tc>
      </w:tr>
      <w:tr w:rsidR="00BB53A2">
        <w:trPr>
          <w:trHeight w:val="285"/>
        </w:trPr>
        <w:tc>
          <w:tcPr>
            <w:tcW w:w="9020" w:type="dxa"/>
            <w:gridSpan w:val="6"/>
            <w:tcBorders>
              <w:top w:val="nil"/>
              <w:left w:val="nil"/>
              <w:bottom w:val="nil"/>
              <w:right w:val="nil"/>
            </w:tcBorders>
            <w:vAlign w:val="center"/>
          </w:tcPr>
          <w:p w:rsidR="00BB53A2" w:rsidRDefault="00C20F01">
            <w:pPr>
              <w:widowControl/>
              <w:jc w:val="center"/>
              <w:rPr>
                <w:rFonts w:ascii="宋体" w:hAnsi="宋体" w:cs="宋体"/>
                <w:kern w:val="0"/>
                <w:sz w:val="24"/>
              </w:rPr>
            </w:pPr>
            <w:r>
              <w:rPr>
                <w:rFonts w:ascii="宋体" w:hAnsi="宋体" w:cs="宋体" w:hint="eastAsia"/>
                <w:kern w:val="0"/>
                <w:sz w:val="24"/>
              </w:rPr>
              <w:t>（2018年度）</w:t>
            </w:r>
          </w:p>
        </w:tc>
      </w:tr>
      <w:tr w:rsidR="00BB53A2">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3"/>
            <w:tcBorders>
              <w:top w:val="single" w:sz="4" w:space="0" w:color="auto"/>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 xml:space="preserve">中医馆及中医建设　</w:t>
            </w:r>
          </w:p>
        </w:tc>
      </w:tr>
      <w:tr w:rsidR="00BB53A2">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3"/>
            <w:tcBorders>
              <w:top w:val="single" w:sz="4" w:space="0" w:color="auto"/>
              <w:left w:val="nil"/>
              <w:bottom w:val="single" w:sz="4" w:space="0" w:color="auto"/>
              <w:right w:val="single" w:sz="4" w:space="0" w:color="000000"/>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 xml:space="preserve">昌吉市阿什里乡卫生院　</w:t>
            </w:r>
          </w:p>
        </w:tc>
      </w:tr>
      <w:tr w:rsidR="00BB53A2">
        <w:trPr>
          <w:trHeight w:val="465"/>
        </w:trPr>
        <w:tc>
          <w:tcPr>
            <w:tcW w:w="720" w:type="dxa"/>
            <w:vMerge w:val="restart"/>
            <w:tcBorders>
              <w:top w:val="nil"/>
              <w:left w:val="single" w:sz="4" w:space="0" w:color="auto"/>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tcBorders>
              <w:top w:val="single" w:sz="4" w:space="0" w:color="auto"/>
              <w:left w:val="nil"/>
              <w:bottom w:val="single" w:sz="4" w:space="0" w:color="auto"/>
              <w:right w:val="single" w:sz="4" w:space="0" w:color="000000"/>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 xml:space="preserve">　</w:t>
            </w:r>
            <w:r w:rsidR="00804D2F">
              <w:rPr>
                <w:rFonts w:ascii="宋体" w:hAnsi="宋体" w:cs="宋体" w:hint="eastAsia"/>
                <w:kern w:val="0"/>
                <w:sz w:val="20"/>
                <w:szCs w:val="20"/>
              </w:rPr>
              <w:t>12.69</w:t>
            </w:r>
            <w:r>
              <w:rPr>
                <w:rFonts w:ascii="宋体" w:hAnsi="宋体" w:cs="宋体" w:hint="eastAsia"/>
                <w:kern w:val="0"/>
                <w:sz w:val="20"/>
                <w:szCs w:val="20"/>
              </w:rPr>
              <w:t>万元</w:t>
            </w:r>
          </w:p>
        </w:tc>
        <w:tc>
          <w:tcPr>
            <w:tcW w:w="2060" w:type="dxa"/>
            <w:tcBorders>
              <w:top w:val="nil"/>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BB53A2" w:rsidRDefault="00804D2F">
            <w:pPr>
              <w:widowControl/>
              <w:jc w:val="right"/>
              <w:rPr>
                <w:rFonts w:ascii="宋体" w:hAnsi="宋体" w:cs="宋体"/>
                <w:kern w:val="0"/>
                <w:sz w:val="20"/>
                <w:szCs w:val="20"/>
              </w:rPr>
            </w:pPr>
            <w:r>
              <w:rPr>
                <w:rFonts w:ascii="宋体" w:hAnsi="宋体" w:cs="宋体" w:hint="eastAsia"/>
                <w:kern w:val="0"/>
                <w:sz w:val="20"/>
                <w:szCs w:val="20"/>
              </w:rPr>
              <w:t>10.88</w:t>
            </w:r>
            <w:r w:rsidR="00C20F01">
              <w:rPr>
                <w:rFonts w:ascii="宋体" w:hAnsi="宋体" w:cs="宋体" w:hint="eastAsia"/>
                <w:kern w:val="0"/>
                <w:sz w:val="20"/>
                <w:szCs w:val="20"/>
              </w:rPr>
              <w:t xml:space="preserve">万元　</w:t>
            </w:r>
          </w:p>
        </w:tc>
      </w:tr>
      <w:tr w:rsidR="00BB53A2">
        <w:trPr>
          <w:trHeight w:val="509"/>
        </w:trPr>
        <w:tc>
          <w:tcPr>
            <w:tcW w:w="72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tcBorders>
              <w:top w:val="single" w:sz="4" w:space="0" w:color="auto"/>
              <w:left w:val="nil"/>
              <w:bottom w:val="single" w:sz="4" w:space="0" w:color="auto"/>
              <w:right w:val="single" w:sz="4" w:space="0" w:color="000000"/>
            </w:tcBorders>
            <w:vAlign w:val="center"/>
          </w:tcPr>
          <w:p w:rsidR="00BB53A2" w:rsidRDefault="00804D2F">
            <w:pPr>
              <w:widowControl/>
              <w:jc w:val="center"/>
              <w:rPr>
                <w:rFonts w:ascii="宋体" w:hAnsi="宋体" w:cs="宋体"/>
                <w:kern w:val="0"/>
                <w:sz w:val="20"/>
                <w:szCs w:val="20"/>
              </w:rPr>
            </w:pPr>
            <w:r>
              <w:rPr>
                <w:rFonts w:ascii="宋体" w:hAnsi="宋体" w:cs="宋体" w:hint="eastAsia"/>
                <w:kern w:val="0"/>
                <w:sz w:val="20"/>
                <w:szCs w:val="20"/>
              </w:rPr>
              <w:t>12.69</w:t>
            </w:r>
            <w:r w:rsidR="00C20F01">
              <w:rPr>
                <w:rFonts w:ascii="宋体" w:hAnsi="宋体" w:cs="宋体" w:hint="eastAsia"/>
                <w:kern w:val="0"/>
                <w:sz w:val="20"/>
                <w:szCs w:val="20"/>
              </w:rPr>
              <w:t xml:space="preserve">万元　　</w:t>
            </w:r>
          </w:p>
        </w:tc>
        <w:tc>
          <w:tcPr>
            <w:tcW w:w="2060" w:type="dxa"/>
            <w:tcBorders>
              <w:top w:val="nil"/>
              <w:left w:val="nil"/>
              <w:bottom w:val="nil"/>
              <w:right w:val="single" w:sz="4" w:space="0" w:color="auto"/>
            </w:tcBorders>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BB53A2" w:rsidRDefault="00804D2F">
            <w:pPr>
              <w:widowControl/>
              <w:jc w:val="right"/>
              <w:rPr>
                <w:rFonts w:ascii="宋体" w:hAnsi="宋体" w:cs="宋体"/>
                <w:kern w:val="0"/>
                <w:sz w:val="20"/>
                <w:szCs w:val="20"/>
              </w:rPr>
            </w:pPr>
            <w:r>
              <w:rPr>
                <w:rFonts w:ascii="宋体" w:hAnsi="宋体" w:cs="宋体" w:hint="eastAsia"/>
                <w:kern w:val="0"/>
                <w:sz w:val="20"/>
                <w:szCs w:val="20"/>
              </w:rPr>
              <w:t>10.88</w:t>
            </w:r>
            <w:r w:rsidR="00C20F01">
              <w:rPr>
                <w:rFonts w:ascii="宋体" w:hAnsi="宋体" w:cs="宋体" w:hint="eastAsia"/>
                <w:kern w:val="0"/>
                <w:sz w:val="20"/>
                <w:szCs w:val="20"/>
              </w:rPr>
              <w:t xml:space="preserve">万元　</w:t>
            </w:r>
          </w:p>
        </w:tc>
      </w:tr>
      <w:tr w:rsidR="00BB53A2">
        <w:trPr>
          <w:trHeight w:val="433"/>
        </w:trPr>
        <w:tc>
          <w:tcPr>
            <w:tcW w:w="72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tcBorders>
              <w:top w:val="single" w:sz="4" w:space="0" w:color="auto"/>
              <w:left w:val="nil"/>
              <w:bottom w:val="single" w:sz="4" w:space="0" w:color="auto"/>
              <w:right w:val="single" w:sz="4" w:space="0" w:color="000000"/>
            </w:tcBorders>
            <w:vAlign w:val="center"/>
          </w:tcPr>
          <w:p w:rsidR="00BB53A2" w:rsidRDefault="00BB53A2">
            <w:pPr>
              <w:widowControl/>
              <w:jc w:val="center"/>
              <w:rPr>
                <w:rFonts w:ascii="宋体" w:hAnsi="宋体" w:cs="宋体"/>
                <w:kern w:val="0"/>
                <w:sz w:val="20"/>
                <w:szCs w:val="20"/>
              </w:rPr>
            </w:pPr>
          </w:p>
        </w:tc>
        <w:tc>
          <w:tcPr>
            <w:tcW w:w="2060" w:type="dxa"/>
            <w:tcBorders>
              <w:top w:val="single" w:sz="4" w:space="0" w:color="auto"/>
              <w:left w:val="nil"/>
              <w:bottom w:val="nil"/>
              <w:right w:val="single" w:sz="4" w:space="0" w:color="auto"/>
            </w:tcBorders>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BB53A2">
        <w:trPr>
          <w:trHeight w:val="450"/>
        </w:trPr>
        <w:tc>
          <w:tcPr>
            <w:tcW w:w="720" w:type="dxa"/>
            <w:vMerge w:val="restart"/>
            <w:tcBorders>
              <w:top w:val="nil"/>
              <w:left w:val="single" w:sz="4" w:space="0" w:color="auto"/>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3"/>
            <w:tcBorders>
              <w:top w:val="single" w:sz="4" w:space="0" w:color="auto"/>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BB53A2">
        <w:trPr>
          <w:trHeight w:val="1425"/>
        </w:trPr>
        <w:tc>
          <w:tcPr>
            <w:tcW w:w="72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4460" w:type="dxa"/>
            <w:gridSpan w:val="3"/>
            <w:tcBorders>
              <w:top w:val="single" w:sz="4" w:space="0" w:color="auto"/>
              <w:left w:val="nil"/>
              <w:bottom w:val="single" w:sz="4" w:space="0" w:color="auto"/>
              <w:right w:val="single" w:sz="4" w:space="0" w:color="000000"/>
            </w:tcBorders>
          </w:tcPr>
          <w:p w:rsidR="00BB53A2" w:rsidRDefault="00C20F01">
            <w:pPr>
              <w:widowControl/>
              <w:spacing w:line="480" w:lineRule="exact"/>
              <w:ind w:firstLineChars="200" w:firstLine="400"/>
              <w:jc w:val="left"/>
              <w:rPr>
                <w:rFonts w:ascii="宋体" w:hAnsi="宋体" w:cs="宋体"/>
                <w:sz w:val="24"/>
              </w:rPr>
            </w:pPr>
            <w:r>
              <w:rPr>
                <w:rFonts w:ascii="宋体" w:hAnsi="宋体" w:cs="宋体" w:hint="eastAsia"/>
                <w:kern w:val="0"/>
                <w:sz w:val="20"/>
                <w:szCs w:val="20"/>
              </w:rPr>
              <w:t xml:space="preserve">　加强基层中医药工作，普及中医药知识，推广中医药适宜技术，应用中医药知识和技术为广大患者提供简易有效的保健医疗服务。</w:t>
            </w:r>
          </w:p>
          <w:p w:rsidR="00BB53A2" w:rsidRDefault="00BB53A2">
            <w:pPr>
              <w:widowControl/>
              <w:jc w:val="left"/>
              <w:rPr>
                <w:rFonts w:ascii="宋体" w:hAnsi="宋体" w:cs="宋体"/>
                <w:kern w:val="0"/>
                <w:sz w:val="16"/>
                <w:szCs w:val="16"/>
              </w:rPr>
            </w:pPr>
          </w:p>
        </w:tc>
        <w:tc>
          <w:tcPr>
            <w:tcW w:w="3840" w:type="dxa"/>
            <w:gridSpan w:val="2"/>
            <w:tcBorders>
              <w:top w:val="single" w:sz="4" w:space="0" w:color="auto"/>
              <w:left w:val="nil"/>
              <w:bottom w:val="single" w:sz="4" w:space="0" w:color="auto"/>
              <w:right w:val="single" w:sz="4" w:space="0" w:color="000000"/>
            </w:tcBorders>
          </w:tcPr>
          <w:p w:rsidR="00BB53A2" w:rsidRDefault="00C20F01">
            <w:pPr>
              <w:widowControl/>
              <w:jc w:val="left"/>
              <w:rPr>
                <w:rFonts w:ascii="宋体" w:hAnsi="宋体" w:cs="宋体"/>
                <w:kern w:val="0"/>
                <w:sz w:val="16"/>
                <w:szCs w:val="16"/>
              </w:rPr>
            </w:pPr>
            <w:r>
              <w:rPr>
                <w:rFonts w:ascii="宋体" w:hAnsi="宋体" w:cs="宋体" w:hint="eastAsia"/>
                <w:kern w:val="0"/>
                <w:sz w:val="20"/>
                <w:szCs w:val="20"/>
              </w:rPr>
              <w:t>中医馆集中设置中医诊室治疗室、推拿室、热疗室、</w:t>
            </w:r>
            <w:proofErr w:type="gramStart"/>
            <w:r>
              <w:rPr>
                <w:rFonts w:ascii="宋体" w:hAnsi="宋体" w:cs="宋体" w:hint="eastAsia"/>
                <w:kern w:val="0"/>
                <w:sz w:val="20"/>
                <w:szCs w:val="20"/>
              </w:rPr>
              <w:t>煎药室</w:t>
            </w:r>
            <w:proofErr w:type="gramEnd"/>
            <w:r>
              <w:rPr>
                <w:rFonts w:ascii="宋体" w:hAnsi="宋体" w:cs="宋体" w:hint="eastAsia"/>
                <w:kern w:val="0"/>
                <w:sz w:val="20"/>
                <w:szCs w:val="20"/>
              </w:rPr>
              <w:t>等中医特色科室，配备技术精湛的专业技术人员，开展一般针法、推拿、刮痧、拔罐等10种中医药综合治疗及康复手段，同时配合现代康复医学治疗，充分利用先进康复仪器设备，更好地提高临床疗效。中医</w:t>
            </w:r>
            <w:proofErr w:type="gramStart"/>
            <w:r>
              <w:rPr>
                <w:rFonts w:ascii="宋体" w:hAnsi="宋体" w:cs="宋体" w:hint="eastAsia"/>
                <w:kern w:val="0"/>
                <w:sz w:val="20"/>
                <w:szCs w:val="20"/>
              </w:rPr>
              <w:t>馆内部</w:t>
            </w:r>
            <w:proofErr w:type="gramEnd"/>
            <w:r>
              <w:rPr>
                <w:rFonts w:ascii="宋体" w:hAnsi="宋体" w:cs="宋体" w:hint="eastAsia"/>
                <w:kern w:val="0"/>
                <w:sz w:val="20"/>
                <w:szCs w:val="20"/>
              </w:rPr>
              <w:t>预期采取中式建筑装修风格，营造出古色古韵浓郁的传统医学氛围。</w:t>
            </w:r>
          </w:p>
        </w:tc>
      </w:tr>
      <w:tr w:rsidR="00BB53A2">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tcBorders>
              <w:top w:val="single" w:sz="4" w:space="0" w:color="auto"/>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指标1：集中设置中医诊室，分割出治疗室（男女）、推拿室、热疗室、</w:t>
            </w:r>
            <w:proofErr w:type="gramStart"/>
            <w:r>
              <w:rPr>
                <w:rFonts w:ascii="宋体" w:hAnsi="宋体" w:cs="宋体" w:hint="eastAsia"/>
                <w:kern w:val="0"/>
                <w:sz w:val="20"/>
                <w:szCs w:val="20"/>
              </w:rPr>
              <w:t>煎药室</w:t>
            </w:r>
            <w:proofErr w:type="gramEnd"/>
            <w:r>
              <w:rPr>
                <w:rFonts w:ascii="宋体" w:hAnsi="宋体" w:cs="宋体" w:hint="eastAsia"/>
                <w:kern w:val="0"/>
                <w:sz w:val="20"/>
                <w:szCs w:val="20"/>
              </w:rPr>
              <w:t>等中医特色科室</w:t>
            </w:r>
          </w:p>
        </w:tc>
        <w:tc>
          <w:tcPr>
            <w:tcW w:w="206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5个工作室</w:t>
            </w:r>
          </w:p>
        </w:tc>
        <w:tc>
          <w:tcPr>
            <w:tcW w:w="178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5个工作室</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指标2：培养优秀中医临床人才数量</w:t>
            </w:r>
          </w:p>
        </w:tc>
        <w:tc>
          <w:tcPr>
            <w:tcW w:w="206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2名</w:t>
            </w:r>
          </w:p>
        </w:tc>
        <w:tc>
          <w:tcPr>
            <w:tcW w:w="178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2名</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指标1：有效提升中医药服务能力，完善中医药诊疗项目</w:t>
            </w:r>
          </w:p>
        </w:tc>
        <w:tc>
          <w:tcPr>
            <w:tcW w:w="206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诊疗项目10项</w:t>
            </w:r>
          </w:p>
        </w:tc>
        <w:tc>
          <w:tcPr>
            <w:tcW w:w="178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诊疗项目10项</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指标1：更好地提高中医临床疗效。弘扬中华传统。</w:t>
            </w:r>
          </w:p>
        </w:tc>
        <w:tc>
          <w:tcPr>
            <w:tcW w:w="2060" w:type="dxa"/>
            <w:tcBorders>
              <w:top w:val="nil"/>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更好地提高中医临床疗效。弘扬中华传统。</w:t>
            </w:r>
          </w:p>
        </w:tc>
        <w:tc>
          <w:tcPr>
            <w:tcW w:w="1780" w:type="dxa"/>
            <w:tcBorders>
              <w:top w:val="nil"/>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更好地提高中医临床疗效。弘扬中华传统。</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指标2：优秀中医药临床人才培养完成率</w:t>
            </w:r>
          </w:p>
        </w:tc>
        <w:tc>
          <w:tcPr>
            <w:tcW w:w="206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100%</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指标1：持续推广中医技术应用。</w:t>
            </w:r>
          </w:p>
        </w:tc>
        <w:tc>
          <w:tcPr>
            <w:tcW w:w="2060" w:type="dxa"/>
            <w:tcBorders>
              <w:top w:val="nil"/>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持续推广中医技术应用。</w:t>
            </w:r>
          </w:p>
        </w:tc>
        <w:tc>
          <w:tcPr>
            <w:tcW w:w="1780" w:type="dxa"/>
            <w:tcBorders>
              <w:top w:val="nil"/>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持续推广中医技术应用。</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指标1：周围村民满意度</w:t>
            </w:r>
          </w:p>
        </w:tc>
        <w:tc>
          <w:tcPr>
            <w:tcW w:w="206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color w:val="0D0D0D"/>
                <w:kern w:val="0"/>
                <w:sz w:val="20"/>
                <w:szCs w:val="20"/>
              </w:rPr>
              <w:t>≥90%</w:t>
            </w: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color w:val="0D0D0D"/>
                <w:kern w:val="0"/>
                <w:sz w:val="20"/>
                <w:szCs w:val="20"/>
              </w:rPr>
              <w:t>≥90%</w:t>
            </w:r>
          </w:p>
        </w:tc>
      </w:tr>
    </w:tbl>
    <w:p w:rsidR="00BB53A2" w:rsidRDefault="00C20F01">
      <w:pPr>
        <w:spacing w:line="540" w:lineRule="exact"/>
        <w:ind w:firstLineChars="200" w:firstLine="680"/>
        <w:rPr>
          <w:rFonts w:ascii="仿宋" w:eastAsia="仿宋" w:hAnsi="仿宋"/>
          <w:b/>
          <w:sz w:val="34"/>
          <w:szCs w:val="34"/>
        </w:rPr>
      </w:pPr>
      <w:r>
        <w:rPr>
          <w:rFonts w:ascii="仿宋" w:eastAsia="仿宋" w:hAnsi="仿宋" w:cs="宋体" w:hint="eastAsia"/>
          <w:kern w:val="0"/>
          <w:sz w:val="34"/>
          <w:szCs w:val="34"/>
        </w:rPr>
        <w:lastRenderedPageBreak/>
        <w:t>5、乡镇卫生院（基本药物补助项目）项目绩效自评综述：根据年初设定的绩效目标，2018年项目绩效自评得分95分，项目全年预算数为10.29万元，执行数为10.29万元</w:t>
      </w:r>
      <w:r w:rsidR="00572CF4">
        <w:rPr>
          <w:rFonts w:ascii="仿宋" w:eastAsia="仿宋" w:hAnsi="仿宋" w:cs="宋体" w:hint="eastAsia"/>
          <w:kern w:val="0"/>
          <w:sz w:val="34"/>
          <w:szCs w:val="34"/>
        </w:rPr>
        <w:t>，</w:t>
      </w:r>
      <w:r w:rsidR="00572CF4">
        <w:rPr>
          <w:rFonts w:ascii="仿宋" w:eastAsia="仿宋" w:hAnsi="仿宋" w:hint="eastAsia"/>
          <w:sz w:val="34"/>
          <w:szCs w:val="34"/>
        </w:rPr>
        <w:t>完成预算的100%</w:t>
      </w:r>
      <w:r>
        <w:rPr>
          <w:rFonts w:ascii="仿宋" w:eastAsia="仿宋" w:hAnsi="仿宋" w:cs="宋体" w:hint="eastAsia"/>
          <w:kern w:val="0"/>
          <w:sz w:val="34"/>
          <w:szCs w:val="34"/>
        </w:rPr>
        <w:t>。主要产出和效果：预期零差率销售基本药物，基本药物种类配备，按照药品采购程序采购，本辖区居民对基本药物制度认可和对药品价格满意。</w:t>
      </w:r>
    </w:p>
    <w:tbl>
      <w:tblPr>
        <w:tblpPr w:leftFromText="180" w:rightFromText="180" w:vertAnchor="text" w:horzAnchor="page" w:tblpX="1802" w:tblpY="-424"/>
        <w:tblOverlap w:val="never"/>
        <w:tblW w:w="9020" w:type="dxa"/>
        <w:tblLayout w:type="fixed"/>
        <w:tblLook w:val="04A0" w:firstRow="1" w:lastRow="0" w:firstColumn="1" w:lastColumn="0" w:noHBand="0" w:noVBand="1"/>
      </w:tblPr>
      <w:tblGrid>
        <w:gridCol w:w="720"/>
        <w:gridCol w:w="1140"/>
        <w:gridCol w:w="1360"/>
        <w:gridCol w:w="1960"/>
        <w:gridCol w:w="1990"/>
        <w:gridCol w:w="1850"/>
      </w:tblGrid>
      <w:tr w:rsidR="00BB53A2">
        <w:trPr>
          <w:trHeight w:val="405"/>
        </w:trPr>
        <w:tc>
          <w:tcPr>
            <w:tcW w:w="9020" w:type="dxa"/>
            <w:gridSpan w:val="6"/>
            <w:tcBorders>
              <w:top w:val="nil"/>
              <w:left w:val="nil"/>
              <w:bottom w:val="nil"/>
              <w:right w:val="nil"/>
            </w:tcBorders>
            <w:vAlign w:val="center"/>
          </w:tcPr>
          <w:p w:rsidR="00BB53A2" w:rsidRDefault="00BB1836">
            <w:pPr>
              <w:widowControl/>
              <w:jc w:val="center"/>
              <w:rPr>
                <w:rFonts w:ascii="宋体" w:hAnsi="宋体" w:cs="宋体"/>
                <w:b/>
                <w:bCs/>
                <w:kern w:val="0"/>
                <w:sz w:val="32"/>
                <w:szCs w:val="32"/>
              </w:rPr>
            </w:pPr>
            <w:r w:rsidRPr="00BB1836">
              <w:rPr>
                <w:rFonts w:ascii="宋体" w:hAnsi="宋体" w:cs="宋体" w:hint="eastAsia"/>
                <w:b/>
                <w:bCs/>
                <w:kern w:val="0"/>
                <w:sz w:val="32"/>
                <w:szCs w:val="32"/>
              </w:rPr>
              <w:lastRenderedPageBreak/>
              <w:t>昌吉市阿什里乡卫生院</w:t>
            </w:r>
            <w:r>
              <w:rPr>
                <w:rFonts w:ascii="宋体" w:hAnsi="宋体" w:cs="宋体" w:hint="eastAsia"/>
                <w:b/>
                <w:bCs/>
                <w:kern w:val="0"/>
                <w:sz w:val="32"/>
                <w:szCs w:val="32"/>
              </w:rPr>
              <w:t>项目支出绩效自评表</w:t>
            </w:r>
          </w:p>
        </w:tc>
      </w:tr>
      <w:tr w:rsidR="00BB53A2">
        <w:trPr>
          <w:trHeight w:val="285"/>
        </w:trPr>
        <w:tc>
          <w:tcPr>
            <w:tcW w:w="9020" w:type="dxa"/>
            <w:gridSpan w:val="6"/>
            <w:tcBorders>
              <w:top w:val="nil"/>
              <w:left w:val="nil"/>
              <w:bottom w:val="nil"/>
              <w:right w:val="nil"/>
            </w:tcBorders>
            <w:vAlign w:val="center"/>
          </w:tcPr>
          <w:p w:rsidR="00BB53A2" w:rsidRDefault="00C20F01">
            <w:pPr>
              <w:widowControl/>
              <w:jc w:val="center"/>
              <w:rPr>
                <w:rFonts w:ascii="宋体" w:hAnsi="宋体" w:cs="宋体"/>
                <w:kern w:val="0"/>
                <w:sz w:val="24"/>
              </w:rPr>
            </w:pPr>
            <w:r>
              <w:rPr>
                <w:rFonts w:ascii="宋体" w:hAnsi="宋体" w:cs="宋体" w:hint="eastAsia"/>
                <w:kern w:val="0"/>
                <w:sz w:val="24"/>
              </w:rPr>
              <w:t>（2018年度）</w:t>
            </w:r>
          </w:p>
        </w:tc>
      </w:tr>
      <w:tr w:rsidR="00BB53A2">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3"/>
            <w:tcBorders>
              <w:top w:val="single" w:sz="4" w:space="0" w:color="auto"/>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基本药物补助</w:t>
            </w:r>
          </w:p>
        </w:tc>
      </w:tr>
      <w:tr w:rsidR="00BB53A2">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3"/>
            <w:tcBorders>
              <w:top w:val="single" w:sz="4" w:space="0" w:color="auto"/>
              <w:left w:val="nil"/>
              <w:bottom w:val="single" w:sz="4" w:space="0" w:color="auto"/>
              <w:right w:val="single" w:sz="4" w:space="0" w:color="000000"/>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 xml:space="preserve">昌吉市阿什里乡卫生院　</w:t>
            </w:r>
          </w:p>
        </w:tc>
      </w:tr>
      <w:tr w:rsidR="00BB53A2">
        <w:trPr>
          <w:trHeight w:val="465"/>
        </w:trPr>
        <w:tc>
          <w:tcPr>
            <w:tcW w:w="720" w:type="dxa"/>
            <w:vMerge w:val="restart"/>
            <w:tcBorders>
              <w:top w:val="nil"/>
              <w:left w:val="single" w:sz="4" w:space="0" w:color="auto"/>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tcBorders>
              <w:top w:val="single" w:sz="4" w:space="0" w:color="auto"/>
              <w:left w:val="nil"/>
              <w:bottom w:val="single" w:sz="4" w:space="0" w:color="auto"/>
              <w:right w:val="single" w:sz="4" w:space="0" w:color="000000"/>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 xml:space="preserve">　10.29万元</w:t>
            </w:r>
          </w:p>
        </w:tc>
        <w:tc>
          <w:tcPr>
            <w:tcW w:w="1990" w:type="dxa"/>
            <w:tcBorders>
              <w:top w:val="nil"/>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850" w:type="dxa"/>
            <w:tcBorders>
              <w:top w:val="nil"/>
              <w:left w:val="nil"/>
              <w:bottom w:val="single" w:sz="4" w:space="0" w:color="auto"/>
              <w:right w:val="single" w:sz="4" w:space="0" w:color="auto"/>
            </w:tcBorders>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 xml:space="preserve">10.29万元　</w:t>
            </w:r>
          </w:p>
        </w:tc>
      </w:tr>
      <w:tr w:rsidR="00BB53A2">
        <w:trPr>
          <w:trHeight w:val="509"/>
        </w:trPr>
        <w:tc>
          <w:tcPr>
            <w:tcW w:w="72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tcBorders>
              <w:top w:val="single" w:sz="4" w:space="0" w:color="auto"/>
              <w:left w:val="nil"/>
              <w:bottom w:val="single" w:sz="4" w:space="0" w:color="auto"/>
              <w:right w:val="single" w:sz="4" w:space="0" w:color="000000"/>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990" w:type="dxa"/>
            <w:tcBorders>
              <w:top w:val="nil"/>
              <w:left w:val="nil"/>
              <w:bottom w:val="nil"/>
              <w:right w:val="single" w:sz="4" w:space="0" w:color="auto"/>
            </w:tcBorders>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850" w:type="dxa"/>
            <w:tcBorders>
              <w:top w:val="nil"/>
              <w:left w:val="nil"/>
              <w:bottom w:val="single" w:sz="4" w:space="0" w:color="auto"/>
              <w:right w:val="single" w:sz="4" w:space="0" w:color="auto"/>
            </w:tcBorders>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BB53A2">
        <w:trPr>
          <w:trHeight w:val="433"/>
        </w:trPr>
        <w:tc>
          <w:tcPr>
            <w:tcW w:w="72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tcBorders>
              <w:top w:val="single" w:sz="4" w:space="0" w:color="auto"/>
              <w:left w:val="nil"/>
              <w:bottom w:val="single" w:sz="4" w:space="0" w:color="auto"/>
              <w:right w:val="single" w:sz="4" w:space="0" w:color="000000"/>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 xml:space="preserve">10.29万元　</w:t>
            </w:r>
          </w:p>
        </w:tc>
        <w:tc>
          <w:tcPr>
            <w:tcW w:w="1990" w:type="dxa"/>
            <w:tcBorders>
              <w:top w:val="single" w:sz="4" w:space="0" w:color="auto"/>
              <w:left w:val="nil"/>
              <w:bottom w:val="nil"/>
              <w:right w:val="single" w:sz="4" w:space="0" w:color="auto"/>
            </w:tcBorders>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850" w:type="dxa"/>
            <w:tcBorders>
              <w:top w:val="nil"/>
              <w:left w:val="nil"/>
              <w:bottom w:val="single" w:sz="4" w:space="0" w:color="auto"/>
              <w:right w:val="single" w:sz="4" w:space="0" w:color="auto"/>
            </w:tcBorders>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 xml:space="preserve">10.29万元　　</w:t>
            </w:r>
          </w:p>
        </w:tc>
      </w:tr>
      <w:tr w:rsidR="00BB53A2">
        <w:trPr>
          <w:trHeight w:val="450"/>
        </w:trPr>
        <w:tc>
          <w:tcPr>
            <w:tcW w:w="720" w:type="dxa"/>
            <w:vMerge w:val="restart"/>
            <w:tcBorders>
              <w:top w:val="nil"/>
              <w:left w:val="single" w:sz="4" w:space="0" w:color="auto"/>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3"/>
            <w:tcBorders>
              <w:top w:val="single" w:sz="4" w:space="0" w:color="auto"/>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BB53A2">
        <w:trPr>
          <w:trHeight w:val="1425"/>
        </w:trPr>
        <w:tc>
          <w:tcPr>
            <w:tcW w:w="72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4460" w:type="dxa"/>
            <w:gridSpan w:val="3"/>
            <w:tcBorders>
              <w:top w:val="single" w:sz="4" w:space="0" w:color="auto"/>
              <w:left w:val="nil"/>
              <w:bottom w:val="single" w:sz="4" w:space="0" w:color="auto"/>
              <w:right w:val="single" w:sz="4" w:space="0" w:color="000000"/>
            </w:tcBorders>
          </w:tcPr>
          <w:p w:rsidR="00BB53A2" w:rsidRDefault="00C20F01">
            <w:pPr>
              <w:widowControl/>
              <w:spacing w:line="480" w:lineRule="exact"/>
              <w:ind w:firstLineChars="200" w:firstLine="400"/>
              <w:jc w:val="left"/>
              <w:rPr>
                <w:rFonts w:ascii="宋体" w:hAnsi="宋体" w:cs="宋体"/>
                <w:sz w:val="24"/>
              </w:rPr>
            </w:pPr>
            <w:r>
              <w:rPr>
                <w:rFonts w:ascii="宋体" w:hAnsi="宋体" w:cs="宋体" w:hint="eastAsia"/>
                <w:kern w:val="0"/>
                <w:sz w:val="20"/>
                <w:szCs w:val="20"/>
              </w:rPr>
              <w:t xml:space="preserve">　加强基层基本药物零差率销售，及药品种类配备能够更好的为广大患者提供简易有效的医疗服务。</w:t>
            </w:r>
          </w:p>
          <w:p w:rsidR="00BB53A2" w:rsidRDefault="00BB53A2">
            <w:pPr>
              <w:widowControl/>
              <w:jc w:val="left"/>
              <w:rPr>
                <w:rFonts w:ascii="宋体" w:hAnsi="宋体" w:cs="宋体"/>
                <w:kern w:val="0"/>
                <w:sz w:val="16"/>
                <w:szCs w:val="16"/>
              </w:rPr>
            </w:pPr>
          </w:p>
        </w:tc>
        <w:tc>
          <w:tcPr>
            <w:tcW w:w="3840" w:type="dxa"/>
            <w:gridSpan w:val="2"/>
            <w:tcBorders>
              <w:top w:val="single" w:sz="4" w:space="0" w:color="auto"/>
              <w:left w:val="nil"/>
              <w:bottom w:val="single" w:sz="4" w:space="0" w:color="auto"/>
              <w:right w:val="single" w:sz="4" w:space="0" w:color="000000"/>
            </w:tcBorders>
          </w:tcPr>
          <w:p w:rsidR="00BB53A2" w:rsidRDefault="00C20F01">
            <w:pPr>
              <w:widowControl/>
              <w:spacing w:line="480" w:lineRule="exact"/>
              <w:ind w:firstLineChars="200" w:firstLine="400"/>
              <w:jc w:val="left"/>
              <w:rPr>
                <w:rFonts w:ascii="宋体" w:hAnsi="宋体" w:cs="宋体"/>
                <w:sz w:val="24"/>
              </w:rPr>
            </w:pPr>
            <w:r>
              <w:rPr>
                <w:rFonts w:ascii="宋体" w:hAnsi="宋体" w:cs="宋体" w:hint="eastAsia"/>
                <w:kern w:val="0"/>
                <w:sz w:val="20"/>
                <w:szCs w:val="20"/>
              </w:rPr>
              <w:t>加强基层基本药物零差率销售，及药品种类配备能够更好的为广大患者提供简易有效的医疗服务。</w:t>
            </w:r>
          </w:p>
          <w:p w:rsidR="00BB53A2" w:rsidRDefault="00BB53A2">
            <w:pPr>
              <w:widowControl/>
              <w:jc w:val="left"/>
              <w:rPr>
                <w:rFonts w:ascii="宋体" w:hAnsi="宋体" w:cs="宋体"/>
                <w:kern w:val="0"/>
                <w:sz w:val="16"/>
                <w:szCs w:val="16"/>
              </w:rPr>
            </w:pPr>
          </w:p>
        </w:tc>
      </w:tr>
      <w:tr w:rsidR="00BB53A2">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tcBorders>
              <w:top w:val="single" w:sz="4" w:space="0" w:color="auto"/>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199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85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指标1：预期零差率销售基本药物</w:t>
            </w:r>
          </w:p>
        </w:tc>
        <w:tc>
          <w:tcPr>
            <w:tcW w:w="1990" w:type="dxa"/>
            <w:tcBorders>
              <w:top w:val="nil"/>
              <w:left w:val="nil"/>
              <w:bottom w:val="single" w:sz="4" w:space="0" w:color="auto"/>
              <w:right w:val="single" w:sz="4" w:space="0" w:color="auto"/>
            </w:tcBorders>
            <w:vAlign w:val="center"/>
          </w:tcPr>
          <w:p w:rsidR="00BB53A2" w:rsidRDefault="00C20F01">
            <w:pPr>
              <w:widowControl/>
              <w:rPr>
                <w:rFonts w:ascii="宋体" w:hAnsi="宋体" w:cs="宋体"/>
                <w:kern w:val="0"/>
                <w:sz w:val="20"/>
                <w:szCs w:val="20"/>
              </w:rPr>
            </w:pPr>
            <w:r>
              <w:rPr>
                <w:rFonts w:ascii="宋体" w:hAnsi="宋体" w:cs="宋体" w:hint="eastAsia"/>
                <w:kern w:val="0"/>
                <w:sz w:val="20"/>
                <w:szCs w:val="20"/>
              </w:rPr>
              <w:t>100%</w:t>
            </w:r>
          </w:p>
        </w:tc>
        <w:tc>
          <w:tcPr>
            <w:tcW w:w="1850" w:type="dxa"/>
            <w:tcBorders>
              <w:top w:val="nil"/>
              <w:left w:val="nil"/>
              <w:bottom w:val="single" w:sz="4" w:space="0" w:color="auto"/>
              <w:right w:val="single" w:sz="4" w:space="0" w:color="auto"/>
            </w:tcBorders>
            <w:vAlign w:val="center"/>
          </w:tcPr>
          <w:p w:rsidR="00BB53A2" w:rsidRDefault="00C20F01">
            <w:pPr>
              <w:widowControl/>
              <w:rPr>
                <w:rFonts w:ascii="宋体" w:hAnsi="宋体" w:cs="宋体"/>
                <w:kern w:val="0"/>
                <w:sz w:val="20"/>
                <w:szCs w:val="20"/>
              </w:rPr>
            </w:pPr>
            <w:r>
              <w:rPr>
                <w:rFonts w:ascii="宋体" w:hAnsi="宋体" w:cs="宋体" w:hint="eastAsia"/>
                <w:kern w:val="0"/>
                <w:sz w:val="20"/>
                <w:szCs w:val="20"/>
              </w:rPr>
              <w:t>100%</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指标2：基本药物种类配备</w:t>
            </w:r>
          </w:p>
        </w:tc>
        <w:tc>
          <w:tcPr>
            <w:tcW w:w="1990" w:type="dxa"/>
            <w:tcBorders>
              <w:top w:val="nil"/>
              <w:left w:val="nil"/>
              <w:bottom w:val="single" w:sz="4" w:space="0" w:color="auto"/>
              <w:right w:val="single" w:sz="4" w:space="0" w:color="auto"/>
            </w:tcBorders>
            <w:vAlign w:val="center"/>
          </w:tcPr>
          <w:p w:rsidR="00BB53A2" w:rsidRDefault="00C20F01">
            <w:pPr>
              <w:widowControl/>
              <w:rPr>
                <w:rFonts w:ascii="宋体" w:hAnsi="宋体" w:cs="宋体"/>
                <w:kern w:val="0"/>
                <w:sz w:val="20"/>
                <w:szCs w:val="20"/>
              </w:rPr>
            </w:pPr>
            <w:r>
              <w:rPr>
                <w:rFonts w:ascii="宋体" w:hAnsi="宋体" w:cs="宋体" w:hint="eastAsia"/>
                <w:color w:val="0D0D0D"/>
                <w:kern w:val="0"/>
                <w:sz w:val="20"/>
                <w:szCs w:val="20"/>
              </w:rPr>
              <w:t>≥90%</w:t>
            </w:r>
            <w:r>
              <w:rPr>
                <w:rFonts w:ascii="宋体" w:hAnsi="宋体" w:cs="宋体" w:hint="eastAsia"/>
                <w:kern w:val="0"/>
                <w:sz w:val="20"/>
                <w:szCs w:val="20"/>
              </w:rPr>
              <w:t xml:space="preserve">　</w:t>
            </w:r>
          </w:p>
        </w:tc>
        <w:tc>
          <w:tcPr>
            <w:tcW w:w="185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color w:val="0D0D0D"/>
                <w:kern w:val="0"/>
                <w:sz w:val="20"/>
                <w:szCs w:val="20"/>
              </w:rPr>
              <w:t>≥95%</w:t>
            </w:r>
            <w:r>
              <w:rPr>
                <w:rFonts w:ascii="宋体" w:hAnsi="宋体" w:cs="宋体" w:hint="eastAsia"/>
                <w:kern w:val="0"/>
                <w:sz w:val="20"/>
                <w:szCs w:val="20"/>
              </w:rPr>
              <w:t xml:space="preserve">　</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指标1：药品按照采购程序采购</w:t>
            </w:r>
          </w:p>
        </w:tc>
        <w:tc>
          <w:tcPr>
            <w:tcW w:w="199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color w:val="0D0D0D"/>
                <w:kern w:val="0"/>
                <w:sz w:val="20"/>
                <w:szCs w:val="20"/>
              </w:rPr>
              <w:t>≥90%</w:t>
            </w:r>
            <w:r>
              <w:rPr>
                <w:rFonts w:ascii="宋体" w:hAnsi="宋体" w:cs="宋体" w:hint="eastAsia"/>
                <w:kern w:val="0"/>
                <w:sz w:val="20"/>
                <w:szCs w:val="20"/>
              </w:rPr>
              <w:t xml:space="preserve">　</w:t>
            </w:r>
          </w:p>
        </w:tc>
        <w:tc>
          <w:tcPr>
            <w:tcW w:w="185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color w:val="0D0D0D"/>
                <w:kern w:val="0"/>
                <w:sz w:val="20"/>
                <w:szCs w:val="20"/>
              </w:rPr>
              <w:t>≥98%</w:t>
            </w:r>
            <w:r>
              <w:rPr>
                <w:rFonts w:ascii="宋体" w:hAnsi="宋体" w:cs="宋体" w:hint="eastAsia"/>
                <w:kern w:val="0"/>
                <w:sz w:val="20"/>
                <w:szCs w:val="20"/>
              </w:rPr>
              <w:t xml:space="preserve">　</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指标1：基层医疗机构药品零差率实施</w:t>
            </w:r>
          </w:p>
        </w:tc>
        <w:tc>
          <w:tcPr>
            <w:tcW w:w="1990" w:type="dxa"/>
            <w:tcBorders>
              <w:top w:val="nil"/>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减轻辖区居民看病贵问题，减轻经济负担</w:t>
            </w:r>
          </w:p>
        </w:tc>
        <w:tc>
          <w:tcPr>
            <w:tcW w:w="1850" w:type="dxa"/>
            <w:tcBorders>
              <w:top w:val="nil"/>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减轻辖区居民看病贵问题，减轻经济负担</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指标2：辖区内居民对实施基本药物制度认可率</w:t>
            </w:r>
          </w:p>
        </w:tc>
        <w:tc>
          <w:tcPr>
            <w:tcW w:w="1990" w:type="dxa"/>
            <w:tcBorders>
              <w:top w:val="nil"/>
              <w:left w:val="nil"/>
              <w:bottom w:val="single" w:sz="4" w:space="0" w:color="auto"/>
              <w:right w:val="single" w:sz="4" w:space="0" w:color="auto"/>
            </w:tcBorders>
            <w:vAlign w:val="center"/>
          </w:tcPr>
          <w:p w:rsidR="00BB53A2" w:rsidRDefault="00C20F01">
            <w:pPr>
              <w:widowControl/>
              <w:rPr>
                <w:rFonts w:ascii="宋体" w:hAnsi="宋体" w:cs="宋体"/>
                <w:kern w:val="0"/>
                <w:sz w:val="20"/>
                <w:szCs w:val="20"/>
              </w:rPr>
            </w:pPr>
            <w:r>
              <w:rPr>
                <w:rFonts w:ascii="宋体" w:hAnsi="宋体" w:cs="宋体" w:hint="eastAsia"/>
                <w:color w:val="0D0D0D"/>
                <w:kern w:val="0"/>
                <w:sz w:val="20"/>
                <w:szCs w:val="20"/>
              </w:rPr>
              <w:t>≥90%</w:t>
            </w:r>
            <w:r>
              <w:rPr>
                <w:rFonts w:ascii="宋体" w:hAnsi="宋体" w:cs="宋体" w:hint="eastAsia"/>
                <w:kern w:val="0"/>
                <w:sz w:val="20"/>
                <w:szCs w:val="20"/>
              </w:rPr>
              <w:t xml:space="preserve">　</w:t>
            </w:r>
          </w:p>
        </w:tc>
        <w:tc>
          <w:tcPr>
            <w:tcW w:w="185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color w:val="0D0D0D"/>
                <w:kern w:val="0"/>
                <w:sz w:val="20"/>
                <w:szCs w:val="20"/>
              </w:rPr>
              <w:t>≥95%</w:t>
            </w:r>
            <w:r>
              <w:rPr>
                <w:rFonts w:ascii="宋体" w:hAnsi="宋体" w:cs="宋体" w:hint="eastAsia"/>
                <w:kern w:val="0"/>
                <w:sz w:val="20"/>
                <w:szCs w:val="20"/>
              </w:rPr>
              <w:t xml:space="preserve">　</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指标1：辖区内居民提供医疗服务</w:t>
            </w:r>
          </w:p>
        </w:tc>
        <w:tc>
          <w:tcPr>
            <w:tcW w:w="199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color w:val="0D0D0D"/>
                <w:kern w:val="0"/>
                <w:sz w:val="20"/>
                <w:szCs w:val="20"/>
              </w:rPr>
              <w:t>≥90%</w:t>
            </w:r>
            <w:r>
              <w:rPr>
                <w:rFonts w:ascii="宋体" w:hAnsi="宋体" w:cs="宋体" w:hint="eastAsia"/>
                <w:kern w:val="0"/>
                <w:sz w:val="20"/>
                <w:szCs w:val="20"/>
              </w:rPr>
              <w:t xml:space="preserve">　</w:t>
            </w:r>
          </w:p>
        </w:tc>
        <w:tc>
          <w:tcPr>
            <w:tcW w:w="185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color w:val="0D0D0D"/>
                <w:kern w:val="0"/>
                <w:sz w:val="20"/>
                <w:szCs w:val="20"/>
              </w:rPr>
              <w:t>≥98%</w:t>
            </w:r>
            <w:r>
              <w:rPr>
                <w:rFonts w:ascii="宋体" w:hAnsi="宋体" w:cs="宋体" w:hint="eastAsia"/>
                <w:kern w:val="0"/>
                <w:sz w:val="20"/>
                <w:szCs w:val="20"/>
              </w:rPr>
              <w:t xml:space="preserve">　</w:t>
            </w:r>
          </w:p>
        </w:tc>
      </w:tr>
      <w:tr w:rsidR="00BB53A2">
        <w:trPr>
          <w:trHeight w:val="480"/>
        </w:trPr>
        <w:tc>
          <w:tcPr>
            <w:tcW w:w="72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指标1：辖区村民对药品价格满意度</w:t>
            </w:r>
          </w:p>
        </w:tc>
        <w:tc>
          <w:tcPr>
            <w:tcW w:w="199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color w:val="0D0D0D"/>
                <w:kern w:val="0"/>
                <w:sz w:val="20"/>
                <w:szCs w:val="20"/>
              </w:rPr>
              <w:t>≥90%</w:t>
            </w:r>
            <w:r>
              <w:rPr>
                <w:rFonts w:ascii="宋体" w:hAnsi="宋体" w:cs="宋体" w:hint="eastAsia"/>
                <w:kern w:val="0"/>
                <w:sz w:val="20"/>
                <w:szCs w:val="20"/>
              </w:rPr>
              <w:t xml:space="preserve">　</w:t>
            </w:r>
          </w:p>
        </w:tc>
        <w:tc>
          <w:tcPr>
            <w:tcW w:w="1850" w:type="dxa"/>
            <w:tcBorders>
              <w:top w:val="nil"/>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color w:val="0D0D0D"/>
                <w:kern w:val="0"/>
                <w:sz w:val="20"/>
                <w:szCs w:val="20"/>
              </w:rPr>
              <w:t>≥100%</w:t>
            </w:r>
          </w:p>
        </w:tc>
      </w:tr>
    </w:tbl>
    <w:p w:rsidR="00BB53A2" w:rsidRDefault="00BB53A2">
      <w:pPr>
        <w:pStyle w:val="2"/>
      </w:pPr>
    </w:p>
    <w:p w:rsidR="00BB53A2" w:rsidRDefault="00BB53A2">
      <w:pPr>
        <w:spacing w:line="500" w:lineRule="exact"/>
        <w:jc w:val="center"/>
        <w:rPr>
          <w:rFonts w:ascii="仿宋" w:eastAsia="仿宋" w:hAnsi="仿宋"/>
          <w:b/>
          <w:sz w:val="34"/>
          <w:szCs w:val="34"/>
        </w:rPr>
      </w:pPr>
    </w:p>
    <w:p w:rsidR="00BB53A2" w:rsidRDefault="00BB53A2">
      <w:pPr>
        <w:spacing w:line="540" w:lineRule="exact"/>
        <w:ind w:firstLineChars="200" w:firstLine="680"/>
        <w:rPr>
          <w:rFonts w:ascii="仿宋" w:eastAsia="仿宋" w:hAnsi="仿宋" w:cs="宋体"/>
          <w:kern w:val="0"/>
          <w:sz w:val="34"/>
          <w:szCs w:val="34"/>
        </w:rPr>
      </w:pPr>
    </w:p>
    <w:p w:rsidR="00BB53A2" w:rsidRDefault="00BB53A2">
      <w:pPr>
        <w:spacing w:line="540" w:lineRule="exact"/>
        <w:ind w:firstLineChars="200" w:firstLine="680"/>
        <w:rPr>
          <w:rFonts w:ascii="仿宋" w:eastAsia="仿宋" w:hAnsi="仿宋" w:cs="宋体"/>
          <w:kern w:val="0"/>
          <w:sz w:val="34"/>
          <w:szCs w:val="34"/>
        </w:rPr>
      </w:pPr>
    </w:p>
    <w:p w:rsidR="00BB53A2" w:rsidRDefault="00C20F01">
      <w:pPr>
        <w:spacing w:line="540" w:lineRule="exact"/>
        <w:ind w:firstLineChars="200" w:firstLine="680"/>
        <w:rPr>
          <w:rFonts w:ascii="仿宋" w:eastAsia="仿宋" w:hAnsi="仿宋" w:cs="宋体"/>
          <w:kern w:val="0"/>
          <w:sz w:val="34"/>
          <w:szCs w:val="34"/>
        </w:rPr>
      </w:pPr>
      <w:r>
        <w:rPr>
          <w:rFonts w:ascii="仿宋" w:eastAsia="仿宋" w:hAnsi="仿宋" w:cs="宋体" w:hint="eastAsia"/>
          <w:kern w:val="0"/>
          <w:sz w:val="34"/>
          <w:szCs w:val="34"/>
        </w:rPr>
        <w:lastRenderedPageBreak/>
        <w:t>6、乡镇卫生院（电采暖变压器配套设施建设项目和DR变压器项目）项目绩效自评综述：根据年初设定的绩效目标，2018年项目绩效自评得分98分，项目全年预算数为26.1万元，执行数为26.1万元</w:t>
      </w:r>
      <w:r w:rsidR="00572CF4">
        <w:rPr>
          <w:rFonts w:ascii="仿宋" w:eastAsia="仿宋" w:hAnsi="仿宋" w:cs="宋体" w:hint="eastAsia"/>
          <w:kern w:val="0"/>
          <w:sz w:val="34"/>
          <w:szCs w:val="34"/>
        </w:rPr>
        <w:t>，</w:t>
      </w:r>
      <w:r w:rsidR="00572CF4">
        <w:rPr>
          <w:rFonts w:ascii="仿宋" w:eastAsia="仿宋" w:hAnsi="仿宋" w:hint="eastAsia"/>
          <w:sz w:val="34"/>
          <w:szCs w:val="34"/>
        </w:rPr>
        <w:t>完成预算的100%</w:t>
      </w:r>
      <w:r>
        <w:rPr>
          <w:rFonts w:ascii="仿宋" w:eastAsia="仿宋" w:hAnsi="仿宋" w:cs="宋体" w:hint="eastAsia"/>
          <w:kern w:val="0"/>
          <w:sz w:val="34"/>
          <w:szCs w:val="34"/>
        </w:rPr>
        <w:t>。主要产出和效果：电采暖变压器配套设施建设项目和DR变压器项目的建设达到预期效果。（1）DR变压器购置安装，按照政府采购程序执行，安装投入使用，更好的为本辖区居民提供诊疗服务。（2）电采暖变压器配套设施建设，响应国家环保号召，节能减排，在冬季供暖期前完成安装并投入使用。</w:t>
      </w: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pStyle w:val="2"/>
      </w:pPr>
    </w:p>
    <w:p w:rsidR="00BB53A2" w:rsidRDefault="00BB53A2"/>
    <w:p w:rsidR="00BB53A2" w:rsidRDefault="00BB53A2">
      <w:pPr>
        <w:pStyle w:val="2"/>
      </w:pPr>
    </w:p>
    <w:p w:rsidR="00BB53A2" w:rsidRDefault="00BB53A2"/>
    <w:p w:rsidR="00BB53A2" w:rsidRDefault="00BB53A2">
      <w:pPr>
        <w:pStyle w:val="2"/>
      </w:pPr>
    </w:p>
    <w:p w:rsidR="00BB53A2" w:rsidRDefault="00BB53A2"/>
    <w:p w:rsidR="00BB53A2" w:rsidRDefault="00BB53A2">
      <w:pPr>
        <w:pStyle w:val="2"/>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tbl>
      <w:tblPr>
        <w:tblW w:w="9180" w:type="dxa"/>
        <w:tblInd w:w="-434" w:type="dxa"/>
        <w:tblLayout w:type="fixed"/>
        <w:tblLook w:val="04A0" w:firstRow="1" w:lastRow="0" w:firstColumn="1" w:lastColumn="0" w:noHBand="0" w:noVBand="1"/>
      </w:tblPr>
      <w:tblGrid>
        <w:gridCol w:w="680"/>
        <w:gridCol w:w="1077"/>
        <w:gridCol w:w="1285"/>
        <w:gridCol w:w="1021"/>
        <w:gridCol w:w="831"/>
        <w:gridCol w:w="1946"/>
        <w:gridCol w:w="2340"/>
      </w:tblGrid>
      <w:tr w:rsidR="00BB53A2">
        <w:trPr>
          <w:trHeight w:val="405"/>
        </w:trPr>
        <w:tc>
          <w:tcPr>
            <w:tcW w:w="9180" w:type="dxa"/>
            <w:gridSpan w:val="7"/>
            <w:tcBorders>
              <w:top w:val="nil"/>
              <w:left w:val="nil"/>
              <w:bottom w:val="nil"/>
              <w:right w:val="nil"/>
            </w:tcBorders>
            <w:vAlign w:val="center"/>
          </w:tcPr>
          <w:p w:rsidR="00BB53A2" w:rsidRDefault="00BB1836">
            <w:pPr>
              <w:widowControl/>
              <w:jc w:val="center"/>
              <w:rPr>
                <w:rFonts w:ascii="宋体" w:hAnsi="宋体" w:cs="宋体"/>
                <w:b/>
                <w:bCs/>
                <w:kern w:val="0"/>
                <w:sz w:val="32"/>
                <w:szCs w:val="32"/>
              </w:rPr>
            </w:pPr>
            <w:r w:rsidRPr="00BB1836">
              <w:rPr>
                <w:rFonts w:ascii="宋体" w:hAnsi="宋体" w:cs="宋体" w:hint="eastAsia"/>
                <w:b/>
                <w:bCs/>
                <w:kern w:val="0"/>
                <w:sz w:val="32"/>
                <w:szCs w:val="32"/>
              </w:rPr>
              <w:lastRenderedPageBreak/>
              <w:t>昌吉市阿什里乡卫生院</w:t>
            </w:r>
            <w:r>
              <w:rPr>
                <w:rFonts w:ascii="宋体" w:hAnsi="宋体" w:cs="宋体" w:hint="eastAsia"/>
                <w:b/>
                <w:bCs/>
                <w:kern w:val="0"/>
                <w:sz w:val="32"/>
                <w:szCs w:val="32"/>
              </w:rPr>
              <w:t>项目支出绩效自评表</w:t>
            </w:r>
          </w:p>
        </w:tc>
      </w:tr>
      <w:tr w:rsidR="00BB53A2">
        <w:trPr>
          <w:trHeight w:val="285"/>
        </w:trPr>
        <w:tc>
          <w:tcPr>
            <w:tcW w:w="9180" w:type="dxa"/>
            <w:gridSpan w:val="7"/>
            <w:tcBorders>
              <w:top w:val="nil"/>
              <w:left w:val="nil"/>
              <w:bottom w:val="nil"/>
              <w:right w:val="nil"/>
            </w:tcBorders>
            <w:vAlign w:val="center"/>
          </w:tcPr>
          <w:p w:rsidR="00BB53A2" w:rsidRDefault="00C20F01" w:rsidP="00572CF4">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BB53A2">
        <w:trPr>
          <w:trHeight w:val="285"/>
        </w:trPr>
        <w:tc>
          <w:tcPr>
            <w:tcW w:w="680" w:type="dxa"/>
            <w:tcBorders>
              <w:top w:val="nil"/>
              <w:left w:val="nil"/>
              <w:bottom w:val="nil"/>
              <w:right w:val="nil"/>
            </w:tcBorders>
            <w:vAlign w:val="center"/>
          </w:tcPr>
          <w:p w:rsidR="00BB53A2" w:rsidRDefault="00BB53A2">
            <w:pPr>
              <w:widowControl/>
              <w:jc w:val="center"/>
              <w:rPr>
                <w:rFonts w:ascii="宋体" w:hAnsi="宋体" w:cs="宋体"/>
                <w:kern w:val="0"/>
                <w:sz w:val="24"/>
              </w:rPr>
            </w:pPr>
          </w:p>
        </w:tc>
        <w:tc>
          <w:tcPr>
            <w:tcW w:w="1077" w:type="dxa"/>
            <w:tcBorders>
              <w:top w:val="nil"/>
              <w:left w:val="nil"/>
              <w:bottom w:val="nil"/>
              <w:right w:val="nil"/>
            </w:tcBorders>
            <w:vAlign w:val="center"/>
          </w:tcPr>
          <w:p w:rsidR="00BB53A2" w:rsidRDefault="00BB53A2">
            <w:pPr>
              <w:widowControl/>
              <w:jc w:val="center"/>
              <w:rPr>
                <w:rFonts w:ascii="宋体" w:hAnsi="宋体" w:cs="宋体"/>
                <w:kern w:val="0"/>
                <w:sz w:val="24"/>
              </w:rPr>
            </w:pPr>
          </w:p>
        </w:tc>
        <w:tc>
          <w:tcPr>
            <w:tcW w:w="1285" w:type="dxa"/>
            <w:tcBorders>
              <w:top w:val="nil"/>
              <w:left w:val="nil"/>
              <w:bottom w:val="nil"/>
              <w:right w:val="nil"/>
            </w:tcBorders>
            <w:vAlign w:val="center"/>
          </w:tcPr>
          <w:p w:rsidR="00BB53A2" w:rsidRDefault="00BB53A2">
            <w:pPr>
              <w:widowControl/>
              <w:jc w:val="center"/>
              <w:rPr>
                <w:rFonts w:ascii="宋体" w:hAnsi="宋体" w:cs="宋体"/>
                <w:kern w:val="0"/>
                <w:sz w:val="24"/>
              </w:rPr>
            </w:pPr>
          </w:p>
        </w:tc>
        <w:tc>
          <w:tcPr>
            <w:tcW w:w="1021" w:type="dxa"/>
            <w:tcBorders>
              <w:top w:val="nil"/>
              <w:left w:val="nil"/>
              <w:bottom w:val="nil"/>
              <w:right w:val="nil"/>
            </w:tcBorders>
            <w:vAlign w:val="center"/>
          </w:tcPr>
          <w:p w:rsidR="00BB53A2" w:rsidRDefault="00BB53A2">
            <w:pPr>
              <w:widowControl/>
              <w:jc w:val="center"/>
              <w:rPr>
                <w:rFonts w:ascii="宋体" w:hAnsi="宋体" w:cs="宋体"/>
                <w:kern w:val="0"/>
                <w:sz w:val="24"/>
              </w:rPr>
            </w:pPr>
          </w:p>
        </w:tc>
        <w:tc>
          <w:tcPr>
            <w:tcW w:w="831" w:type="dxa"/>
            <w:tcBorders>
              <w:top w:val="nil"/>
              <w:left w:val="nil"/>
              <w:bottom w:val="nil"/>
              <w:right w:val="nil"/>
            </w:tcBorders>
            <w:vAlign w:val="center"/>
          </w:tcPr>
          <w:p w:rsidR="00BB53A2" w:rsidRDefault="00BB53A2">
            <w:pPr>
              <w:widowControl/>
              <w:jc w:val="center"/>
              <w:rPr>
                <w:rFonts w:ascii="宋体" w:hAnsi="宋体" w:cs="宋体"/>
                <w:kern w:val="0"/>
                <w:sz w:val="24"/>
              </w:rPr>
            </w:pPr>
          </w:p>
        </w:tc>
        <w:tc>
          <w:tcPr>
            <w:tcW w:w="1946" w:type="dxa"/>
            <w:tcBorders>
              <w:top w:val="nil"/>
              <w:left w:val="nil"/>
              <w:bottom w:val="nil"/>
              <w:right w:val="nil"/>
            </w:tcBorders>
            <w:vAlign w:val="center"/>
          </w:tcPr>
          <w:p w:rsidR="00BB53A2" w:rsidRDefault="00BB53A2">
            <w:pPr>
              <w:widowControl/>
              <w:jc w:val="center"/>
              <w:rPr>
                <w:rFonts w:ascii="宋体" w:hAnsi="宋体" w:cs="宋体"/>
                <w:kern w:val="0"/>
                <w:sz w:val="24"/>
              </w:rPr>
            </w:pPr>
          </w:p>
        </w:tc>
        <w:tc>
          <w:tcPr>
            <w:tcW w:w="2340" w:type="dxa"/>
            <w:tcBorders>
              <w:top w:val="nil"/>
              <w:left w:val="nil"/>
              <w:bottom w:val="nil"/>
              <w:right w:val="nil"/>
            </w:tcBorders>
            <w:vAlign w:val="center"/>
          </w:tcPr>
          <w:p w:rsidR="00BB53A2" w:rsidRDefault="00BB53A2">
            <w:pPr>
              <w:widowControl/>
              <w:jc w:val="center"/>
              <w:rPr>
                <w:rFonts w:ascii="宋体" w:hAnsi="宋体" w:cs="宋体"/>
                <w:kern w:val="0"/>
                <w:sz w:val="24"/>
              </w:rPr>
            </w:pPr>
          </w:p>
        </w:tc>
      </w:tr>
      <w:tr w:rsidR="00BB53A2">
        <w:trPr>
          <w:trHeight w:val="420"/>
        </w:trPr>
        <w:tc>
          <w:tcPr>
            <w:tcW w:w="3042" w:type="dxa"/>
            <w:gridSpan w:val="3"/>
            <w:tcBorders>
              <w:top w:val="single" w:sz="4" w:space="0" w:color="auto"/>
              <w:left w:val="single" w:sz="4" w:space="0" w:color="auto"/>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项目名称</w:t>
            </w:r>
          </w:p>
        </w:tc>
        <w:tc>
          <w:tcPr>
            <w:tcW w:w="6138" w:type="dxa"/>
            <w:gridSpan w:val="4"/>
            <w:tcBorders>
              <w:top w:val="single" w:sz="4" w:space="0" w:color="auto"/>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 xml:space="preserve">电采暖变压器配套和DR变压器建设资金　</w:t>
            </w:r>
          </w:p>
        </w:tc>
      </w:tr>
      <w:tr w:rsidR="00BB53A2">
        <w:trPr>
          <w:trHeight w:val="435"/>
        </w:trPr>
        <w:tc>
          <w:tcPr>
            <w:tcW w:w="3042" w:type="dxa"/>
            <w:gridSpan w:val="3"/>
            <w:tcBorders>
              <w:top w:val="single" w:sz="4" w:space="0" w:color="auto"/>
              <w:left w:val="single" w:sz="4" w:space="0" w:color="auto"/>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预算单位</w:t>
            </w:r>
          </w:p>
        </w:tc>
        <w:tc>
          <w:tcPr>
            <w:tcW w:w="6138" w:type="dxa"/>
            <w:gridSpan w:val="4"/>
            <w:tcBorders>
              <w:top w:val="single" w:sz="4" w:space="0" w:color="auto"/>
              <w:left w:val="nil"/>
              <w:bottom w:val="single" w:sz="4" w:space="0" w:color="auto"/>
              <w:right w:val="single" w:sz="4" w:space="0" w:color="000000"/>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 xml:space="preserve">昌吉市阿什里乡卫生院　</w:t>
            </w:r>
          </w:p>
        </w:tc>
      </w:tr>
      <w:tr w:rsidR="00BB53A2">
        <w:trPr>
          <w:trHeight w:val="465"/>
        </w:trPr>
        <w:tc>
          <w:tcPr>
            <w:tcW w:w="680" w:type="dxa"/>
            <w:vMerge w:val="restart"/>
            <w:tcBorders>
              <w:top w:val="nil"/>
              <w:left w:val="single" w:sz="4" w:space="0" w:color="auto"/>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362"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852" w:type="dxa"/>
            <w:gridSpan w:val="2"/>
            <w:tcBorders>
              <w:top w:val="single" w:sz="4" w:space="0" w:color="auto"/>
              <w:left w:val="nil"/>
              <w:bottom w:val="single" w:sz="4" w:space="0" w:color="auto"/>
              <w:right w:val="single" w:sz="4" w:space="0" w:color="000000"/>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 xml:space="preserve">　26.1万元</w:t>
            </w:r>
          </w:p>
        </w:tc>
        <w:tc>
          <w:tcPr>
            <w:tcW w:w="1946" w:type="dxa"/>
            <w:tcBorders>
              <w:top w:val="nil"/>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234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 xml:space="preserve">　26.1万元</w:t>
            </w:r>
          </w:p>
        </w:tc>
      </w:tr>
      <w:tr w:rsidR="00BB53A2">
        <w:trPr>
          <w:trHeight w:val="509"/>
        </w:trPr>
        <w:tc>
          <w:tcPr>
            <w:tcW w:w="68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2362" w:type="dxa"/>
            <w:gridSpan w:val="2"/>
            <w:tcBorders>
              <w:top w:val="single" w:sz="4" w:space="0" w:color="auto"/>
              <w:left w:val="nil"/>
              <w:bottom w:val="single" w:sz="4" w:space="0" w:color="auto"/>
              <w:right w:val="single" w:sz="4" w:space="0" w:color="auto"/>
            </w:tcBorders>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852" w:type="dxa"/>
            <w:gridSpan w:val="2"/>
            <w:tcBorders>
              <w:top w:val="single" w:sz="4" w:space="0" w:color="auto"/>
              <w:left w:val="nil"/>
              <w:bottom w:val="single" w:sz="4" w:space="0" w:color="auto"/>
              <w:right w:val="single" w:sz="4" w:space="0" w:color="000000"/>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 xml:space="preserve">11.1万元　</w:t>
            </w:r>
          </w:p>
        </w:tc>
        <w:tc>
          <w:tcPr>
            <w:tcW w:w="1946" w:type="dxa"/>
            <w:tcBorders>
              <w:top w:val="nil"/>
              <w:left w:val="nil"/>
              <w:bottom w:val="nil"/>
              <w:right w:val="single" w:sz="4" w:space="0" w:color="auto"/>
            </w:tcBorders>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234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 xml:space="preserve">11.1万元　</w:t>
            </w:r>
          </w:p>
        </w:tc>
      </w:tr>
      <w:tr w:rsidR="00BB53A2">
        <w:trPr>
          <w:trHeight w:val="90"/>
        </w:trPr>
        <w:tc>
          <w:tcPr>
            <w:tcW w:w="68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2362" w:type="dxa"/>
            <w:gridSpan w:val="2"/>
            <w:tcBorders>
              <w:top w:val="single" w:sz="4" w:space="0" w:color="auto"/>
              <w:left w:val="nil"/>
              <w:bottom w:val="single" w:sz="4" w:space="0" w:color="auto"/>
              <w:right w:val="single" w:sz="4" w:space="0" w:color="auto"/>
            </w:tcBorders>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852" w:type="dxa"/>
            <w:gridSpan w:val="2"/>
            <w:tcBorders>
              <w:top w:val="single" w:sz="4" w:space="0" w:color="auto"/>
              <w:left w:val="nil"/>
              <w:bottom w:val="single" w:sz="4" w:space="0" w:color="auto"/>
              <w:right w:val="single" w:sz="4" w:space="0" w:color="000000"/>
            </w:tcBorders>
            <w:vAlign w:val="center"/>
          </w:tcPr>
          <w:p w:rsidR="00BB53A2" w:rsidRDefault="00C20F01">
            <w:pPr>
              <w:widowControl/>
              <w:ind w:firstLineChars="400" w:firstLine="800"/>
              <w:rPr>
                <w:rFonts w:ascii="宋体" w:hAnsi="宋体" w:cs="宋体"/>
                <w:kern w:val="0"/>
                <w:sz w:val="20"/>
                <w:szCs w:val="20"/>
              </w:rPr>
            </w:pPr>
            <w:r>
              <w:rPr>
                <w:rFonts w:ascii="宋体" w:hAnsi="宋体" w:cs="宋体" w:hint="eastAsia"/>
                <w:kern w:val="0"/>
                <w:sz w:val="20"/>
                <w:szCs w:val="20"/>
              </w:rPr>
              <w:t>15万元</w:t>
            </w:r>
          </w:p>
        </w:tc>
        <w:tc>
          <w:tcPr>
            <w:tcW w:w="1946" w:type="dxa"/>
            <w:tcBorders>
              <w:top w:val="single" w:sz="4" w:space="0" w:color="auto"/>
              <w:left w:val="nil"/>
              <w:bottom w:val="nil"/>
              <w:right w:val="single" w:sz="4" w:space="0" w:color="auto"/>
            </w:tcBorders>
            <w:vAlign w:val="center"/>
          </w:tcPr>
          <w:p w:rsidR="00BB53A2" w:rsidRDefault="00C20F0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2340" w:type="dxa"/>
            <w:tcBorders>
              <w:top w:val="nil"/>
              <w:left w:val="nil"/>
              <w:bottom w:val="single" w:sz="4" w:space="0" w:color="auto"/>
              <w:right w:val="single" w:sz="4" w:space="0" w:color="auto"/>
            </w:tcBorders>
            <w:vAlign w:val="center"/>
          </w:tcPr>
          <w:p w:rsidR="00BB53A2" w:rsidRDefault="00C20F01">
            <w:pPr>
              <w:widowControl/>
              <w:ind w:firstLineChars="400" w:firstLine="800"/>
              <w:rPr>
                <w:rFonts w:ascii="宋体" w:hAnsi="宋体" w:cs="宋体"/>
                <w:kern w:val="0"/>
                <w:sz w:val="20"/>
                <w:szCs w:val="20"/>
              </w:rPr>
            </w:pPr>
            <w:r>
              <w:rPr>
                <w:rFonts w:ascii="宋体" w:hAnsi="宋体" w:cs="宋体" w:hint="eastAsia"/>
                <w:kern w:val="0"/>
                <w:sz w:val="20"/>
                <w:szCs w:val="20"/>
              </w:rPr>
              <w:t>15万元</w:t>
            </w:r>
          </w:p>
        </w:tc>
      </w:tr>
      <w:tr w:rsidR="00BB53A2">
        <w:trPr>
          <w:trHeight w:val="450"/>
        </w:trPr>
        <w:tc>
          <w:tcPr>
            <w:tcW w:w="680" w:type="dxa"/>
            <w:vMerge w:val="restart"/>
            <w:tcBorders>
              <w:top w:val="nil"/>
              <w:left w:val="single" w:sz="4" w:space="0" w:color="auto"/>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214" w:type="dxa"/>
            <w:gridSpan w:val="4"/>
            <w:tcBorders>
              <w:top w:val="single" w:sz="4" w:space="0" w:color="auto"/>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4286" w:type="dxa"/>
            <w:gridSpan w:val="2"/>
            <w:tcBorders>
              <w:top w:val="single" w:sz="4" w:space="0" w:color="auto"/>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BB53A2">
        <w:trPr>
          <w:trHeight w:val="1425"/>
        </w:trPr>
        <w:tc>
          <w:tcPr>
            <w:tcW w:w="680"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4214" w:type="dxa"/>
            <w:gridSpan w:val="4"/>
            <w:tcBorders>
              <w:top w:val="single" w:sz="4" w:space="0" w:color="auto"/>
              <w:left w:val="nil"/>
              <w:bottom w:val="single" w:sz="4" w:space="0" w:color="auto"/>
              <w:right w:val="single" w:sz="4" w:space="0" w:color="000000"/>
            </w:tcBorders>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供暖期前完成电采暖锅炉安装并投入使用，减轻环境污染；DR变压器安装更好的为本辖区居民提供诊疗服务</w:t>
            </w:r>
          </w:p>
        </w:tc>
        <w:tc>
          <w:tcPr>
            <w:tcW w:w="4286" w:type="dxa"/>
            <w:gridSpan w:val="2"/>
            <w:tcBorders>
              <w:top w:val="single" w:sz="4" w:space="0" w:color="auto"/>
              <w:left w:val="nil"/>
              <w:bottom w:val="single" w:sz="4" w:space="0" w:color="auto"/>
              <w:right w:val="single" w:sz="4" w:space="0" w:color="000000"/>
            </w:tcBorders>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供暖期前已完成电采暖锅炉安装并投入使用，节能减排减轻环境污染；DR变压器安装完成已经能够为本辖区居民提供诊疗服务</w:t>
            </w:r>
          </w:p>
        </w:tc>
      </w:tr>
      <w:tr w:rsidR="00BB53A2">
        <w:trPr>
          <w:trHeight w:val="720"/>
        </w:trPr>
        <w:tc>
          <w:tcPr>
            <w:tcW w:w="680" w:type="dxa"/>
            <w:vMerge w:val="restart"/>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077" w:type="dxa"/>
            <w:tcBorders>
              <w:top w:val="nil"/>
              <w:left w:val="nil"/>
              <w:bottom w:val="nil"/>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285"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852" w:type="dxa"/>
            <w:gridSpan w:val="2"/>
            <w:tcBorders>
              <w:top w:val="single" w:sz="4" w:space="0" w:color="auto"/>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1946"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234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BB53A2">
        <w:trPr>
          <w:trHeight w:val="480"/>
        </w:trPr>
        <w:tc>
          <w:tcPr>
            <w:tcW w:w="68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077" w:type="dxa"/>
            <w:vMerge w:val="restart"/>
            <w:tcBorders>
              <w:top w:val="single" w:sz="4" w:space="0" w:color="auto"/>
              <w:left w:val="single" w:sz="4" w:space="0" w:color="auto"/>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285" w:type="dxa"/>
            <w:vMerge w:val="restart"/>
            <w:tcBorders>
              <w:top w:val="nil"/>
              <w:left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852"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指标1：锅炉</w:t>
            </w:r>
          </w:p>
        </w:tc>
        <w:tc>
          <w:tcPr>
            <w:tcW w:w="1946"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在冬季供暖前安装到位并投入使用</w:t>
            </w:r>
          </w:p>
        </w:tc>
        <w:tc>
          <w:tcPr>
            <w:tcW w:w="234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在冬季供暖前安装到位并投入使用</w:t>
            </w:r>
          </w:p>
        </w:tc>
      </w:tr>
      <w:tr w:rsidR="00BB53A2">
        <w:trPr>
          <w:trHeight w:val="480"/>
        </w:trPr>
        <w:tc>
          <w:tcPr>
            <w:tcW w:w="68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077" w:type="dxa"/>
            <w:vMerge/>
            <w:tcBorders>
              <w:left w:val="single" w:sz="4" w:space="0" w:color="auto"/>
              <w:right w:val="single" w:sz="4" w:space="0" w:color="auto"/>
            </w:tcBorders>
            <w:vAlign w:val="center"/>
          </w:tcPr>
          <w:p w:rsidR="00BB53A2" w:rsidRDefault="00BB53A2">
            <w:pPr>
              <w:widowControl/>
              <w:jc w:val="center"/>
              <w:rPr>
                <w:rFonts w:ascii="宋体" w:hAnsi="宋体" w:cs="宋体"/>
                <w:kern w:val="0"/>
                <w:sz w:val="20"/>
                <w:szCs w:val="20"/>
              </w:rPr>
            </w:pPr>
          </w:p>
        </w:tc>
        <w:tc>
          <w:tcPr>
            <w:tcW w:w="1285" w:type="dxa"/>
            <w:vMerge/>
            <w:tcBorders>
              <w:left w:val="single" w:sz="4" w:space="0" w:color="auto"/>
              <w:right w:val="single" w:sz="4" w:space="0" w:color="auto"/>
            </w:tcBorders>
            <w:vAlign w:val="center"/>
          </w:tcPr>
          <w:p w:rsidR="00BB53A2" w:rsidRDefault="00BB53A2">
            <w:pPr>
              <w:widowControl/>
              <w:jc w:val="center"/>
              <w:rPr>
                <w:rFonts w:ascii="宋体" w:hAnsi="宋体" w:cs="宋体"/>
                <w:kern w:val="0"/>
                <w:sz w:val="20"/>
                <w:szCs w:val="20"/>
              </w:rPr>
            </w:pPr>
          </w:p>
        </w:tc>
        <w:tc>
          <w:tcPr>
            <w:tcW w:w="1852"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指标2:变压器</w:t>
            </w:r>
          </w:p>
        </w:tc>
        <w:tc>
          <w:tcPr>
            <w:tcW w:w="1946"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在冬季供暖前安装到位并投入使用</w:t>
            </w:r>
          </w:p>
        </w:tc>
        <w:tc>
          <w:tcPr>
            <w:tcW w:w="234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在冬季供暖前安装到位并投入使用</w:t>
            </w:r>
          </w:p>
        </w:tc>
      </w:tr>
      <w:tr w:rsidR="00BB53A2">
        <w:trPr>
          <w:trHeight w:val="395"/>
        </w:trPr>
        <w:tc>
          <w:tcPr>
            <w:tcW w:w="68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077" w:type="dxa"/>
            <w:vMerge/>
            <w:tcBorders>
              <w:left w:val="single" w:sz="4" w:space="0" w:color="auto"/>
              <w:right w:val="single" w:sz="4" w:space="0" w:color="auto"/>
            </w:tcBorders>
            <w:vAlign w:val="center"/>
          </w:tcPr>
          <w:p w:rsidR="00BB53A2" w:rsidRDefault="00BB53A2">
            <w:pPr>
              <w:widowControl/>
              <w:jc w:val="center"/>
              <w:rPr>
                <w:rFonts w:ascii="宋体" w:hAnsi="宋体" w:cs="宋体"/>
                <w:kern w:val="0"/>
                <w:sz w:val="20"/>
                <w:szCs w:val="20"/>
              </w:rPr>
            </w:pPr>
          </w:p>
        </w:tc>
        <w:tc>
          <w:tcPr>
            <w:tcW w:w="1285" w:type="dxa"/>
            <w:vMerge/>
            <w:tcBorders>
              <w:left w:val="single" w:sz="4" w:space="0" w:color="auto"/>
              <w:right w:val="single" w:sz="4" w:space="0" w:color="auto"/>
            </w:tcBorders>
            <w:vAlign w:val="center"/>
          </w:tcPr>
          <w:p w:rsidR="00BB53A2" w:rsidRDefault="00BB53A2">
            <w:pPr>
              <w:widowControl/>
              <w:jc w:val="center"/>
              <w:rPr>
                <w:rFonts w:ascii="宋体" w:hAnsi="宋体" w:cs="宋体"/>
                <w:kern w:val="0"/>
                <w:sz w:val="20"/>
                <w:szCs w:val="20"/>
              </w:rPr>
            </w:pPr>
          </w:p>
        </w:tc>
        <w:tc>
          <w:tcPr>
            <w:tcW w:w="1852"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指标3：蓄热装置</w:t>
            </w:r>
          </w:p>
        </w:tc>
        <w:tc>
          <w:tcPr>
            <w:tcW w:w="1946"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在冬季供暖前安装到位并投入使用</w:t>
            </w:r>
          </w:p>
        </w:tc>
        <w:tc>
          <w:tcPr>
            <w:tcW w:w="234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在冬季供暖前安装到位并投入使用</w:t>
            </w:r>
          </w:p>
        </w:tc>
      </w:tr>
      <w:tr w:rsidR="00BB53A2">
        <w:trPr>
          <w:trHeight w:val="931"/>
        </w:trPr>
        <w:tc>
          <w:tcPr>
            <w:tcW w:w="68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077" w:type="dxa"/>
            <w:vMerge/>
            <w:tcBorders>
              <w:left w:val="single" w:sz="4" w:space="0" w:color="auto"/>
              <w:right w:val="single" w:sz="4" w:space="0" w:color="auto"/>
            </w:tcBorders>
            <w:vAlign w:val="center"/>
          </w:tcPr>
          <w:p w:rsidR="00BB53A2" w:rsidRDefault="00BB53A2">
            <w:pPr>
              <w:widowControl/>
              <w:jc w:val="center"/>
              <w:rPr>
                <w:rFonts w:ascii="宋体" w:hAnsi="宋体" w:cs="宋体"/>
                <w:kern w:val="0"/>
                <w:sz w:val="20"/>
                <w:szCs w:val="20"/>
              </w:rPr>
            </w:pPr>
          </w:p>
        </w:tc>
        <w:tc>
          <w:tcPr>
            <w:tcW w:w="1285" w:type="dxa"/>
            <w:vMerge/>
            <w:tcBorders>
              <w:left w:val="single" w:sz="4" w:space="0" w:color="auto"/>
              <w:bottom w:val="single" w:sz="4" w:space="0" w:color="000000"/>
              <w:right w:val="single" w:sz="4" w:space="0" w:color="auto"/>
            </w:tcBorders>
            <w:vAlign w:val="center"/>
          </w:tcPr>
          <w:p w:rsidR="00BB53A2" w:rsidRDefault="00BB53A2">
            <w:pPr>
              <w:widowControl/>
              <w:jc w:val="center"/>
              <w:rPr>
                <w:rFonts w:ascii="宋体" w:hAnsi="宋体" w:cs="宋体"/>
                <w:kern w:val="0"/>
                <w:sz w:val="20"/>
                <w:szCs w:val="20"/>
              </w:rPr>
            </w:pPr>
          </w:p>
        </w:tc>
        <w:tc>
          <w:tcPr>
            <w:tcW w:w="1852"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指标4 ：购置DR变压器设备（台／套）</w:t>
            </w:r>
          </w:p>
        </w:tc>
        <w:tc>
          <w:tcPr>
            <w:tcW w:w="1946"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购置DR变压器１套</w:t>
            </w:r>
          </w:p>
        </w:tc>
        <w:tc>
          <w:tcPr>
            <w:tcW w:w="234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１００％</w:t>
            </w:r>
          </w:p>
        </w:tc>
      </w:tr>
      <w:tr w:rsidR="00BB53A2">
        <w:trPr>
          <w:trHeight w:val="480"/>
        </w:trPr>
        <w:tc>
          <w:tcPr>
            <w:tcW w:w="68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077" w:type="dxa"/>
            <w:vMerge/>
            <w:tcBorders>
              <w:top w:val="single" w:sz="4" w:space="0" w:color="auto"/>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285" w:type="dxa"/>
            <w:vMerge w:val="restart"/>
            <w:tcBorders>
              <w:top w:val="nil"/>
              <w:left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852"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指标1：锅炉功率</w:t>
            </w:r>
          </w:p>
        </w:tc>
        <w:tc>
          <w:tcPr>
            <w:tcW w:w="1946" w:type="dxa"/>
            <w:tcBorders>
              <w:top w:val="nil"/>
              <w:left w:val="nil"/>
              <w:bottom w:val="single" w:sz="4" w:space="0" w:color="auto"/>
              <w:right w:val="single" w:sz="4" w:space="0" w:color="auto"/>
            </w:tcBorders>
            <w:vAlign w:val="center"/>
          </w:tcPr>
          <w:p w:rsidR="00BB53A2" w:rsidRDefault="00C20F01">
            <w:pPr>
              <w:widowControl/>
              <w:rPr>
                <w:rFonts w:ascii="宋体" w:hAnsi="宋体" w:cs="宋体"/>
                <w:kern w:val="0"/>
                <w:sz w:val="20"/>
                <w:szCs w:val="20"/>
              </w:rPr>
            </w:pPr>
            <w:r>
              <w:rPr>
                <w:rFonts w:ascii="宋体" w:hAnsi="宋体" w:cs="宋体" w:hint="eastAsia"/>
                <w:kern w:val="0"/>
                <w:sz w:val="20"/>
                <w:szCs w:val="20"/>
              </w:rPr>
              <w:t>锅炉功率达到３５０ｋｗ</w:t>
            </w:r>
          </w:p>
        </w:tc>
        <w:tc>
          <w:tcPr>
            <w:tcW w:w="2340" w:type="dxa"/>
            <w:tcBorders>
              <w:top w:val="nil"/>
              <w:left w:val="nil"/>
              <w:bottom w:val="single" w:sz="4" w:space="0" w:color="auto"/>
              <w:right w:val="single" w:sz="4" w:space="0" w:color="auto"/>
            </w:tcBorders>
            <w:vAlign w:val="center"/>
          </w:tcPr>
          <w:p w:rsidR="00BB53A2" w:rsidRDefault="00C20F01">
            <w:pPr>
              <w:widowControl/>
              <w:rPr>
                <w:rFonts w:ascii="宋体" w:hAnsi="宋体" w:cs="宋体"/>
                <w:kern w:val="0"/>
                <w:sz w:val="20"/>
                <w:szCs w:val="20"/>
              </w:rPr>
            </w:pPr>
            <w:r>
              <w:rPr>
                <w:rFonts w:ascii="宋体" w:hAnsi="宋体" w:cs="宋体" w:hint="eastAsia"/>
                <w:kern w:val="0"/>
                <w:sz w:val="20"/>
                <w:szCs w:val="20"/>
              </w:rPr>
              <w:t>１００％</w:t>
            </w:r>
          </w:p>
        </w:tc>
      </w:tr>
      <w:tr w:rsidR="00BB53A2">
        <w:trPr>
          <w:trHeight w:val="480"/>
        </w:trPr>
        <w:tc>
          <w:tcPr>
            <w:tcW w:w="68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077" w:type="dxa"/>
            <w:vMerge/>
            <w:tcBorders>
              <w:top w:val="single" w:sz="4" w:space="0" w:color="auto"/>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285" w:type="dxa"/>
            <w:vMerge/>
            <w:tcBorders>
              <w:left w:val="single" w:sz="4" w:space="0" w:color="auto"/>
              <w:right w:val="single" w:sz="4" w:space="0" w:color="auto"/>
            </w:tcBorders>
            <w:vAlign w:val="center"/>
          </w:tcPr>
          <w:p w:rsidR="00BB53A2" w:rsidRDefault="00BB53A2">
            <w:pPr>
              <w:widowControl/>
              <w:jc w:val="center"/>
              <w:rPr>
                <w:rFonts w:ascii="宋体" w:hAnsi="宋体" w:cs="宋体"/>
                <w:kern w:val="0"/>
                <w:sz w:val="20"/>
                <w:szCs w:val="20"/>
              </w:rPr>
            </w:pPr>
          </w:p>
        </w:tc>
        <w:tc>
          <w:tcPr>
            <w:tcW w:w="1852"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指标2:变压器稳压</w:t>
            </w:r>
          </w:p>
        </w:tc>
        <w:tc>
          <w:tcPr>
            <w:tcW w:w="1946"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变压器稳压额度达４００ｋｖＡ</w:t>
            </w:r>
          </w:p>
        </w:tc>
        <w:tc>
          <w:tcPr>
            <w:tcW w:w="234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１００％</w:t>
            </w:r>
          </w:p>
        </w:tc>
      </w:tr>
      <w:tr w:rsidR="00BB53A2">
        <w:trPr>
          <w:trHeight w:val="480"/>
        </w:trPr>
        <w:tc>
          <w:tcPr>
            <w:tcW w:w="68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077" w:type="dxa"/>
            <w:vMerge/>
            <w:tcBorders>
              <w:top w:val="single" w:sz="4" w:space="0" w:color="auto"/>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285" w:type="dxa"/>
            <w:vMerge/>
            <w:tcBorders>
              <w:left w:val="single" w:sz="4" w:space="0" w:color="auto"/>
              <w:right w:val="single" w:sz="4" w:space="0" w:color="auto"/>
            </w:tcBorders>
            <w:vAlign w:val="center"/>
          </w:tcPr>
          <w:p w:rsidR="00BB53A2" w:rsidRDefault="00BB53A2">
            <w:pPr>
              <w:widowControl/>
              <w:jc w:val="center"/>
              <w:rPr>
                <w:rFonts w:ascii="宋体" w:hAnsi="宋体" w:cs="宋体"/>
                <w:kern w:val="0"/>
                <w:sz w:val="20"/>
                <w:szCs w:val="20"/>
              </w:rPr>
            </w:pPr>
          </w:p>
        </w:tc>
        <w:tc>
          <w:tcPr>
            <w:tcW w:w="1852"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指标3：蓄热装置容量</w:t>
            </w:r>
          </w:p>
        </w:tc>
        <w:tc>
          <w:tcPr>
            <w:tcW w:w="1946" w:type="dxa"/>
            <w:tcBorders>
              <w:top w:val="nil"/>
              <w:left w:val="nil"/>
              <w:bottom w:val="single" w:sz="4" w:space="0" w:color="auto"/>
              <w:right w:val="single" w:sz="4" w:space="0" w:color="auto"/>
            </w:tcBorders>
            <w:vAlign w:val="center"/>
          </w:tcPr>
          <w:p w:rsidR="00BB53A2" w:rsidRDefault="00C20F01">
            <w:pPr>
              <w:widowControl/>
              <w:rPr>
                <w:rFonts w:ascii="宋体" w:hAnsi="宋体" w:cs="宋体"/>
                <w:kern w:val="0"/>
                <w:sz w:val="20"/>
                <w:szCs w:val="20"/>
              </w:rPr>
            </w:pPr>
            <w:r>
              <w:rPr>
                <w:rFonts w:ascii="宋体" w:hAnsi="宋体" w:cs="宋体" w:hint="eastAsia"/>
                <w:kern w:val="0"/>
                <w:sz w:val="20"/>
                <w:szCs w:val="20"/>
              </w:rPr>
              <w:t>蓄热装置储水量达到４０立方米</w:t>
            </w:r>
          </w:p>
        </w:tc>
        <w:tc>
          <w:tcPr>
            <w:tcW w:w="234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１００％</w:t>
            </w:r>
          </w:p>
        </w:tc>
      </w:tr>
      <w:tr w:rsidR="00BB53A2">
        <w:trPr>
          <w:trHeight w:val="480"/>
        </w:trPr>
        <w:tc>
          <w:tcPr>
            <w:tcW w:w="68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077" w:type="dxa"/>
            <w:vMerge/>
            <w:tcBorders>
              <w:top w:val="single" w:sz="4" w:space="0" w:color="auto"/>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285" w:type="dxa"/>
            <w:vMerge/>
            <w:tcBorders>
              <w:left w:val="single" w:sz="4" w:space="0" w:color="auto"/>
              <w:bottom w:val="single" w:sz="4" w:space="0" w:color="000000"/>
              <w:right w:val="single" w:sz="4" w:space="0" w:color="auto"/>
            </w:tcBorders>
            <w:vAlign w:val="center"/>
          </w:tcPr>
          <w:p w:rsidR="00BB53A2" w:rsidRDefault="00BB53A2">
            <w:pPr>
              <w:widowControl/>
              <w:jc w:val="center"/>
              <w:rPr>
                <w:rFonts w:ascii="宋体" w:hAnsi="宋体" w:cs="宋体"/>
                <w:kern w:val="0"/>
                <w:sz w:val="20"/>
                <w:szCs w:val="20"/>
              </w:rPr>
            </w:pPr>
          </w:p>
        </w:tc>
        <w:tc>
          <w:tcPr>
            <w:tcW w:w="1852"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指标4 ：购置DR变压器设备采购率</w:t>
            </w:r>
          </w:p>
        </w:tc>
        <w:tc>
          <w:tcPr>
            <w:tcW w:w="1946" w:type="dxa"/>
            <w:tcBorders>
              <w:top w:val="nil"/>
              <w:left w:val="nil"/>
              <w:bottom w:val="single" w:sz="4" w:space="0" w:color="auto"/>
              <w:right w:val="single" w:sz="4" w:space="0" w:color="auto"/>
            </w:tcBorders>
            <w:vAlign w:val="center"/>
          </w:tcPr>
          <w:p w:rsidR="00BB53A2" w:rsidRDefault="00BB53A2">
            <w:pPr>
              <w:widowControl/>
              <w:jc w:val="center"/>
              <w:rPr>
                <w:rFonts w:ascii="宋体" w:hAnsi="宋体" w:cs="宋体"/>
                <w:kern w:val="0"/>
                <w:sz w:val="20"/>
                <w:szCs w:val="20"/>
              </w:rPr>
            </w:pPr>
          </w:p>
        </w:tc>
        <w:tc>
          <w:tcPr>
            <w:tcW w:w="234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１００％</w:t>
            </w:r>
          </w:p>
        </w:tc>
      </w:tr>
      <w:tr w:rsidR="00BB53A2">
        <w:trPr>
          <w:trHeight w:val="480"/>
        </w:trPr>
        <w:tc>
          <w:tcPr>
            <w:tcW w:w="68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077" w:type="dxa"/>
            <w:vMerge/>
            <w:tcBorders>
              <w:top w:val="single" w:sz="4" w:space="0" w:color="auto"/>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285" w:type="dxa"/>
            <w:vMerge w:val="restart"/>
            <w:tcBorders>
              <w:top w:val="nil"/>
              <w:left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852"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指标1：按照合同签订完成安装并投入使用</w:t>
            </w:r>
          </w:p>
        </w:tc>
        <w:tc>
          <w:tcPr>
            <w:tcW w:w="1946" w:type="dxa"/>
            <w:tcBorders>
              <w:top w:val="nil"/>
              <w:left w:val="nil"/>
              <w:bottom w:val="single" w:sz="4" w:space="0" w:color="auto"/>
              <w:right w:val="single" w:sz="4" w:space="0" w:color="auto"/>
            </w:tcBorders>
            <w:vAlign w:val="center"/>
          </w:tcPr>
          <w:p w:rsidR="00BB53A2" w:rsidRDefault="00C20F01">
            <w:pPr>
              <w:widowControl/>
              <w:rPr>
                <w:rFonts w:ascii="宋体" w:hAnsi="宋体" w:cs="宋体"/>
                <w:kern w:val="0"/>
                <w:sz w:val="20"/>
                <w:szCs w:val="20"/>
              </w:rPr>
            </w:pPr>
            <w:r>
              <w:rPr>
                <w:rFonts w:ascii="宋体" w:hAnsi="宋体" w:cs="宋体" w:hint="eastAsia"/>
                <w:kern w:val="0"/>
                <w:sz w:val="20"/>
                <w:szCs w:val="20"/>
              </w:rPr>
              <w:t>按照合同签订完成安装投入使用</w:t>
            </w:r>
          </w:p>
        </w:tc>
        <w:tc>
          <w:tcPr>
            <w:tcW w:w="2340" w:type="dxa"/>
            <w:tcBorders>
              <w:top w:val="nil"/>
              <w:left w:val="nil"/>
              <w:bottom w:val="single" w:sz="4" w:space="0" w:color="auto"/>
              <w:right w:val="single" w:sz="4" w:space="0" w:color="auto"/>
            </w:tcBorders>
            <w:vAlign w:val="center"/>
          </w:tcPr>
          <w:p w:rsidR="00BB53A2" w:rsidRDefault="00C20F01">
            <w:pPr>
              <w:widowControl/>
              <w:rPr>
                <w:rFonts w:ascii="宋体" w:hAnsi="宋体" w:cs="宋体"/>
                <w:kern w:val="0"/>
                <w:sz w:val="20"/>
                <w:szCs w:val="20"/>
              </w:rPr>
            </w:pPr>
            <w:r>
              <w:rPr>
                <w:rFonts w:ascii="宋体" w:hAnsi="宋体" w:cs="宋体" w:hint="eastAsia"/>
                <w:kern w:val="0"/>
                <w:sz w:val="20"/>
                <w:szCs w:val="20"/>
              </w:rPr>
              <w:t>１００％</w:t>
            </w:r>
          </w:p>
        </w:tc>
      </w:tr>
      <w:tr w:rsidR="00BB53A2">
        <w:trPr>
          <w:trHeight w:val="480"/>
        </w:trPr>
        <w:tc>
          <w:tcPr>
            <w:tcW w:w="68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077" w:type="dxa"/>
            <w:vMerge/>
            <w:tcBorders>
              <w:top w:val="single" w:sz="4" w:space="0" w:color="auto"/>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285" w:type="dxa"/>
            <w:vMerge/>
            <w:tcBorders>
              <w:left w:val="single" w:sz="4" w:space="0" w:color="auto"/>
              <w:bottom w:val="single" w:sz="4" w:space="0" w:color="000000"/>
              <w:right w:val="single" w:sz="4" w:space="0" w:color="auto"/>
            </w:tcBorders>
            <w:vAlign w:val="center"/>
          </w:tcPr>
          <w:p w:rsidR="00BB53A2" w:rsidRDefault="00BB53A2">
            <w:pPr>
              <w:widowControl/>
              <w:jc w:val="center"/>
              <w:rPr>
                <w:rFonts w:ascii="宋体" w:hAnsi="宋体" w:cs="宋体"/>
                <w:kern w:val="0"/>
                <w:sz w:val="20"/>
                <w:szCs w:val="20"/>
              </w:rPr>
            </w:pPr>
          </w:p>
        </w:tc>
        <w:tc>
          <w:tcPr>
            <w:tcW w:w="1852" w:type="dxa"/>
            <w:gridSpan w:val="2"/>
            <w:tcBorders>
              <w:top w:val="single" w:sz="4" w:space="0" w:color="auto"/>
              <w:left w:val="nil"/>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946" w:type="dxa"/>
            <w:tcBorders>
              <w:top w:val="nil"/>
              <w:left w:val="nil"/>
              <w:bottom w:val="single" w:sz="4" w:space="0" w:color="auto"/>
              <w:right w:val="single" w:sz="4" w:space="0" w:color="auto"/>
            </w:tcBorders>
            <w:vAlign w:val="center"/>
          </w:tcPr>
          <w:p w:rsidR="00BB53A2" w:rsidRDefault="00BB53A2">
            <w:pPr>
              <w:widowControl/>
              <w:jc w:val="center"/>
              <w:rPr>
                <w:rFonts w:ascii="宋体" w:hAnsi="宋体" w:cs="宋体"/>
                <w:kern w:val="0"/>
                <w:sz w:val="20"/>
                <w:szCs w:val="20"/>
              </w:rPr>
            </w:pPr>
          </w:p>
        </w:tc>
        <w:tc>
          <w:tcPr>
            <w:tcW w:w="2340" w:type="dxa"/>
            <w:tcBorders>
              <w:top w:val="nil"/>
              <w:left w:val="nil"/>
              <w:bottom w:val="single" w:sz="4" w:space="0" w:color="auto"/>
              <w:right w:val="single" w:sz="4" w:space="0" w:color="auto"/>
            </w:tcBorders>
            <w:vAlign w:val="center"/>
          </w:tcPr>
          <w:p w:rsidR="00BB53A2" w:rsidRDefault="00BB53A2">
            <w:pPr>
              <w:widowControl/>
              <w:jc w:val="center"/>
              <w:rPr>
                <w:rFonts w:ascii="宋体" w:hAnsi="宋体" w:cs="宋体"/>
                <w:kern w:val="0"/>
                <w:sz w:val="20"/>
                <w:szCs w:val="20"/>
              </w:rPr>
            </w:pPr>
          </w:p>
        </w:tc>
      </w:tr>
      <w:tr w:rsidR="00BB53A2">
        <w:trPr>
          <w:trHeight w:val="480"/>
        </w:trPr>
        <w:tc>
          <w:tcPr>
            <w:tcW w:w="68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077"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285" w:type="dxa"/>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852"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指标１：电采暖专项资金到位</w:t>
            </w:r>
          </w:p>
        </w:tc>
        <w:tc>
          <w:tcPr>
            <w:tcW w:w="1946"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财政拨款到位</w:t>
            </w:r>
          </w:p>
        </w:tc>
        <w:tc>
          <w:tcPr>
            <w:tcW w:w="234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１００％</w:t>
            </w:r>
          </w:p>
        </w:tc>
      </w:tr>
      <w:tr w:rsidR="00BB53A2">
        <w:trPr>
          <w:trHeight w:val="480"/>
        </w:trPr>
        <w:tc>
          <w:tcPr>
            <w:tcW w:w="68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077"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285" w:type="dxa"/>
            <w:tcBorders>
              <w:top w:val="nil"/>
              <w:left w:val="single" w:sz="4" w:space="0" w:color="auto"/>
              <w:bottom w:val="single" w:sz="4" w:space="0" w:color="000000"/>
              <w:right w:val="single" w:sz="4" w:space="0" w:color="auto"/>
            </w:tcBorders>
            <w:vAlign w:val="center"/>
          </w:tcPr>
          <w:p w:rsidR="00BB53A2" w:rsidRDefault="00BB53A2">
            <w:pPr>
              <w:widowControl/>
              <w:jc w:val="center"/>
              <w:rPr>
                <w:rFonts w:ascii="宋体" w:hAnsi="宋体" w:cs="宋体"/>
                <w:kern w:val="0"/>
                <w:sz w:val="20"/>
                <w:szCs w:val="20"/>
              </w:rPr>
            </w:pPr>
          </w:p>
        </w:tc>
        <w:tc>
          <w:tcPr>
            <w:tcW w:w="1852"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指标２：购置DR变压器设备成本（元／台／套）</w:t>
            </w:r>
          </w:p>
        </w:tc>
        <w:tc>
          <w:tcPr>
            <w:tcW w:w="1946"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购置DR变压器设备成本１５万元（元／台／套）</w:t>
            </w:r>
          </w:p>
        </w:tc>
        <w:tc>
          <w:tcPr>
            <w:tcW w:w="234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１００％</w:t>
            </w:r>
          </w:p>
        </w:tc>
      </w:tr>
      <w:tr w:rsidR="00BB53A2">
        <w:trPr>
          <w:trHeight w:val="480"/>
        </w:trPr>
        <w:tc>
          <w:tcPr>
            <w:tcW w:w="68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077"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285" w:type="dxa"/>
            <w:vMerge w:val="restart"/>
            <w:tcBorders>
              <w:top w:val="nil"/>
              <w:left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852"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指标1：响应国家环保号召</w:t>
            </w:r>
          </w:p>
        </w:tc>
        <w:tc>
          <w:tcPr>
            <w:tcW w:w="1946" w:type="dxa"/>
            <w:tcBorders>
              <w:top w:val="nil"/>
              <w:left w:val="nil"/>
              <w:bottom w:val="single" w:sz="4" w:space="0" w:color="auto"/>
              <w:right w:val="single" w:sz="4" w:space="0" w:color="auto"/>
            </w:tcBorders>
            <w:vAlign w:val="center"/>
          </w:tcPr>
          <w:p w:rsidR="00BB53A2" w:rsidRDefault="00C20F01">
            <w:pPr>
              <w:widowControl/>
              <w:rPr>
                <w:rFonts w:ascii="宋体" w:hAnsi="宋体" w:cs="宋体"/>
                <w:kern w:val="0"/>
                <w:sz w:val="20"/>
                <w:szCs w:val="20"/>
              </w:rPr>
            </w:pPr>
            <w:r>
              <w:rPr>
                <w:rFonts w:ascii="宋体" w:hAnsi="宋体" w:cs="宋体" w:hint="eastAsia"/>
                <w:kern w:val="0"/>
                <w:sz w:val="20"/>
                <w:szCs w:val="20"/>
              </w:rPr>
              <w:t>为文明城市做出相应的贡献</w:t>
            </w:r>
          </w:p>
        </w:tc>
        <w:tc>
          <w:tcPr>
            <w:tcW w:w="2340" w:type="dxa"/>
            <w:tcBorders>
              <w:top w:val="nil"/>
              <w:left w:val="nil"/>
              <w:bottom w:val="single" w:sz="4" w:space="0" w:color="auto"/>
              <w:right w:val="single" w:sz="4" w:space="0" w:color="auto"/>
            </w:tcBorders>
            <w:vAlign w:val="center"/>
          </w:tcPr>
          <w:p w:rsidR="00BB53A2" w:rsidRDefault="00C20F01">
            <w:pPr>
              <w:widowControl/>
              <w:rPr>
                <w:rFonts w:ascii="宋体" w:hAnsi="宋体" w:cs="宋体"/>
                <w:kern w:val="0"/>
                <w:sz w:val="20"/>
                <w:szCs w:val="20"/>
              </w:rPr>
            </w:pPr>
            <w:r>
              <w:rPr>
                <w:rFonts w:ascii="宋体" w:hAnsi="宋体" w:cs="宋体" w:hint="eastAsia"/>
                <w:kern w:val="0"/>
                <w:sz w:val="20"/>
                <w:szCs w:val="20"/>
              </w:rPr>
              <w:t>１００％</w:t>
            </w:r>
          </w:p>
        </w:tc>
      </w:tr>
      <w:tr w:rsidR="00BB53A2">
        <w:trPr>
          <w:trHeight w:val="480"/>
        </w:trPr>
        <w:tc>
          <w:tcPr>
            <w:tcW w:w="68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077"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285" w:type="dxa"/>
            <w:vMerge/>
            <w:tcBorders>
              <w:left w:val="single" w:sz="4" w:space="0" w:color="auto"/>
              <w:bottom w:val="single" w:sz="4" w:space="0" w:color="000000"/>
              <w:right w:val="single" w:sz="4" w:space="0" w:color="auto"/>
            </w:tcBorders>
            <w:vAlign w:val="center"/>
          </w:tcPr>
          <w:p w:rsidR="00BB53A2" w:rsidRDefault="00BB53A2">
            <w:pPr>
              <w:widowControl/>
              <w:jc w:val="center"/>
              <w:rPr>
                <w:rFonts w:ascii="宋体" w:hAnsi="宋体" w:cs="宋体"/>
                <w:kern w:val="0"/>
                <w:sz w:val="20"/>
                <w:szCs w:val="20"/>
              </w:rPr>
            </w:pPr>
          </w:p>
        </w:tc>
        <w:tc>
          <w:tcPr>
            <w:tcW w:w="1852"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指标２：公共服务能力提升</w:t>
            </w:r>
          </w:p>
        </w:tc>
        <w:tc>
          <w:tcPr>
            <w:tcW w:w="1946"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提高本辖区居民对疾病防治</w:t>
            </w:r>
          </w:p>
        </w:tc>
        <w:tc>
          <w:tcPr>
            <w:tcW w:w="234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color w:val="0D0D0D"/>
                <w:kern w:val="0"/>
                <w:sz w:val="20"/>
                <w:szCs w:val="20"/>
              </w:rPr>
              <w:t>≥9</w:t>
            </w:r>
            <w:proofErr w:type="gramStart"/>
            <w:r>
              <w:rPr>
                <w:rFonts w:ascii="宋体" w:hAnsi="宋体" w:cs="宋体" w:hint="eastAsia"/>
                <w:color w:val="0D0D0D"/>
                <w:kern w:val="0"/>
                <w:sz w:val="20"/>
                <w:szCs w:val="20"/>
              </w:rPr>
              <w:t>５</w:t>
            </w:r>
            <w:proofErr w:type="gramEnd"/>
            <w:r>
              <w:rPr>
                <w:rFonts w:ascii="宋体" w:hAnsi="宋体" w:cs="宋体" w:hint="eastAsia"/>
                <w:color w:val="0D0D0D"/>
                <w:kern w:val="0"/>
                <w:sz w:val="20"/>
                <w:szCs w:val="20"/>
              </w:rPr>
              <w:t>%</w:t>
            </w:r>
          </w:p>
        </w:tc>
      </w:tr>
      <w:tr w:rsidR="00BB53A2">
        <w:trPr>
          <w:trHeight w:val="480"/>
        </w:trPr>
        <w:tc>
          <w:tcPr>
            <w:tcW w:w="68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077"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285" w:type="dxa"/>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t>指标</w:t>
            </w:r>
          </w:p>
        </w:tc>
        <w:tc>
          <w:tcPr>
            <w:tcW w:w="1852"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指标1：防止环境污染</w:t>
            </w:r>
          </w:p>
        </w:tc>
        <w:tc>
          <w:tcPr>
            <w:tcW w:w="1946" w:type="dxa"/>
            <w:tcBorders>
              <w:top w:val="nil"/>
              <w:left w:val="nil"/>
              <w:bottom w:val="single" w:sz="4" w:space="0" w:color="auto"/>
              <w:right w:val="single" w:sz="4" w:space="0" w:color="auto"/>
            </w:tcBorders>
            <w:vAlign w:val="center"/>
          </w:tcPr>
          <w:p w:rsidR="00BB53A2" w:rsidRDefault="00C20F01">
            <w:pPr>
              <w:widowControl/>
              <w:rPr>
                <w:rFonts w:ascii="宋体" w:hAnsi="宋体" w:cs="宋体"/>
                <w:kern w:val="0"/>
                <w:sz w:val="20"/>
                <w:szCs w:val="20"/>
              </w:rPr>
            </w:pPr>
            <w:r>
              <w:rPr>
                <w:rFonts w:ascii="宋体" w:hAnsi="宋体" w:cs="宋体" w:hint="eastAsia"/>
                <w:kern w:val="0"/>
                <w:sz w:val="20"/>
                <w:szCs w:val="20"/>
              </w:rPr>
              <w:t>减少废气排放</w:t>
            </w:r>
          </w:p>
        </w:tc>
        <w:tc>
          <w:tcPr>
            <w:tcW w:w="234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节能减排</w:t>
            </w:r>
          </w:p>
        </w:tc>
      </w:tr>
      <w:tr w:rsidR="00BB53A2">
        <w:trPr>
          <w:trHeight w:val="480"/>
        </w:trPr>
        <w:tc>
          <w:tcPr>
            <w:tcW w:w="68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077" w:type="dxa"/>
            <w:vMerge/>
            <w:tcBorders>
              <w:top w:val="nil"/>
              <w:left w:val="single" w:sz="4" w:space="0" w:color="auto"/>
              <w:bottom w:val="single" w:sz="4" w:space="0" w:color="auto"/>
              <w:right w:val="single" w:sz="4" w:space="0" w:color="auto"/>
            </w:tcBorders>
            <w:vAlign w:val="center"/>
          </w:tcPr>
          <w:p w:rsidR="00BB53A2" w:rsidRDefault="00BB53A2">
            <w:pPr>
              <w:widowControl/>
              <w:jc w:val="left"/>
              <w:rPr>
                <w:rFonts w:ascii="宋体" w:hAnsi="宋体" w:cs="宋体"/>
                <w:kern w:val="0"/>
                <w:sz w:val="20"/>
                <w:szCs w:val="20"/>
              </w:rPr>
            </w:pPr>
          </w:p>
        </w:tc>
        <w:tc>
          <w:tcPr>
            <w:tcW w:w="1285" w:type="dxa"/>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852"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指标1：持续保护环境</w:t>
            </w:r>
          </w:p>
        </w:tc>
        <w:tc>
          <w:tcPr>
            <w:tcW w:w="1946"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长期</w:t>
            </w:r>
          </w:p>
        </w:tc>
        <w:tc>
          <w:tcPr>
            <w:tcW w:w="2340"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长期</w:t>
            </w:r>
          </w:p>
        </w:tc>
      </w:tr>
      <w:tr w:rsidR="00BB53A2">
        <w:trPr>
          <w:trHeight w:val="480"/>
        </w:trPr>
        <w:tc>
          <w:tcPr>
            <w:tcW w:w="680" w:type="dxa"/>
            <w:vMerge/>
            <w:tcBorders>
              <w:top w:val="nil"/>
              <w:left w:val="single" w:sz="4" w:space="0" w:color="auto"/>
              <w:bottom w:val="single" w:sz="4" w:space="0" w:color="000000"/>
              <w:right w:val="single" w:sz="4" w:space="0" w:color="auto"/>
            </w:tcBorders>
            <w:vAlign w:val="center"/>
          </w:tcPr>
          <w:p w:rsidR="00BB53A2" w:rsidRDefault="00BB53A2">
            <w:pPr>
              <w:widowControl/>
              <w:jc w:val="left"/>
              <w:rPr>
                <w:rFonts w:ascii="宋体" w:hAnsi="宋体" w:cs="宋体"/>
                <w:kern w:val="0"/>
                <w:sz w:val="20"/>
                <w:szCs w:val="20"/>
              </w:rPr>
            </w:pPr>
          </w:p>
        </w:tc>
        <w:tc>
          <w:tcPr>
            <w:tcW w:w="1077" w:type="dxa"/>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285" w:type="dxa"/>
            <w:tcBorders>
              <w:top w:val="nil"/>
              <w:left w:val="single" w:sz="4" w:space="0" w:color="auto"/>
              <w:bottom w:val="single" w:sz="4" w:space="0" w:color="000000"/>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852" w:type="dxa"/>
            <w:gridSpan w:val="2"/>
            <w:tcBorders>
              <w:top w:val="single" w:sz="4" w:space="0" w:color="auto"/>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指标1：周围居民满意度</w:t>
            </w:r>
          </w:p>
        </w:tc>
        <w:tc>
          <w:tcPr>
            <w:tcW w:w="1946" w:type="dxa"/>
            <w:tcBorders>
              <w:top w:val="nil"/>
              <w:left w:val="nil"/>
              <w:bottom w:val="single" w:sz="4" w:space="0" w:color="auto"/>
              <w:right w:val="single" w:sz="4" w:space="0" w:color="auto"/>
            </w:tcBorders>
            <w:vAlign w:val="center"/>
          </w:tcPr>
          <w:p w:rsidR="00BB53A2" w:rsidRDefault="00C20F01">
            <w:pPr>
              <w:widowControl/>
              <w:jc w:val="center"/>
              <w:rPr>
                <w:rFonts w:ascii="宋体" w:hAnsi="宋体" w:cs="宋体"/>
                <w:kern w:val="0"/>
                <w:sz w:val="20"/>
                <w:szCs w:val="20"/>
              </w:rPr>
            </w:pPr>
            <w:r>
              <w:rPr>
                <w:rFonts w:ascii="宋体" w:hAnsi="宋体" w:cs="宋体" w:hint="eastAsia"/>
                <w:color w:val="0D0D0D"/>
                <w:kern w:val="0"/>
                <w:sz w:val="20"/>
                <w:szCs w:val="20"/>
              </w:rPr>
              <w:t>≥90%</w:t>
            </w:r>
            <w:r>
              <w:rPr>
                <w:rFonts w:ascii="宋体" w:hAnsi="宋体" w:cs="宋体" w:hint="eastAsia"/>
                <w:kern w:val="0"/>
                <w:sz w:val="20"/>
                <w:szCs w:val="20"/>
              </w:rPr>
              <w:t xml:space="preserve">　</w:t>
            </w:r>
          </w:p>
        </w:tc>
        <w:tc>
          <w:tcPr>
            <w:tcW w:w="2340" w:type="dxa"/>
            <w:tcBorders>
              <w:top w:val="nil"/>
              <w:left w:val="nil"/>
              <w:bottom w:val="single" w:sz="4" w:space="0" w:color="auto"/>
              <w:right w:val="single" w:sz="4" w:space="0" w:color="auto"/>
            </w:tcBorders>
            <w:vAlign w:val="center"/>
          </w:tcPr>
          <w:p w:rsidR="00BB53A2" w:rsidRDefault="00C20F01">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color w:val="0D0D0D"/>
                <w:kern w:val="0"/>
                <w:sz w:val="20"/>
                <w:szCs w:val="20"/>
              </w:rPr>
              <w:t>≥9</w:t>
            </w:r>
            <w:proofErr w:type="gramStart"/>
            <w:r>
              <w:rPr>
                <w:rFonts w:ascii="宋体" w:hAnsi="宋体" w:cs="宋体" w:hint="eastAsia"/>
                <w:color w:val="0D0D0D"/>
                <w:kern w:val="0"/>
                <w:sz w:val="20"/>
                <w:szCs w:val="20"/>
              </w:rPr>
              <w:t>５</w:t>
            </w:r>
            <w:proofErr w:type="gramEnd"/>
            <w:r>
              <w:rPr>
                <w:rFonts w:ascii="宋体" w:hAnsi="宋体" w:cs="宋体" w:hint="eastAsia"/>
                <w:color w:val="0D0D0D"/>
                <w:kern w:val="0"/>
                <w:sz w:val="20"/>
                <w:szCs w:val="20"/>
              </w:rPr>
              <w:t>%</w:t>
            </w:r>
          </w:p>
        </w:tc>
      </w:tr>
    </w:tbl>
    <w:p w:rsidR="00BB53A2" w:rsidRDefault="00BB53A2">
      <w:pPr>
        <w:spacing w:line="500" w:lineRule="exact"/>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pStyle w:val="2"/>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pPr>
        <w:spacing w:line="500" w:lineRule="exact"/>
        <w:jc w:val="center"/>
        <w:rPr>
          <w:rFonts w:ascii="仿宋" w:eastAsia="仿宋" w:hAnsi="仿宋"/>
          <w:b/>
          <w:sz w:val="34"/>
          <w:szCs w:val="34"/>
        </w:rPr>
      </w:pPr>
    </w:p>
    <w:p w:rsidR="00BB53A2" w:rsidRDefault="00BB53A2" w:rsidP="00572CF4">
      <w:pPr>
        <w:spacing w:line="500" w:lineRule="exact"/>
        <w:rPr>
          <w:rFonts w:ascii="仿宋" w:eastAsia="仿宋" w:hAnsi="仿宋"/>
          <w:b/>
          <w:sz w:val="34"/>
          <w:szCs w:val="34"/>
        </w:rPr>
      </w:pPr>
    </w:p>
    <w:p w:rsidR="00BB53A2" w:rsidRDefault="00C20F01">
      <w:pPr>
        <w:spacing w:line="500" w:lineRule="exact"/>
        <w:jc w:val="center"/>
        <w:rPr>
          <w:rFonts w:ascii="仿宋" w:eastAsia="仿宋" w:hAnsi="仿宋"/>
          <w:b/>
          <w:sz w:val="34"/>
          <w:szCs w:val="34"/>
        </w:rPr>
      </w:pPr>
      <w:r>
        <w:rPr>
          <w:rFonts w:ascii="仿宋" w:eastAsia="仿宋" w:hAnsi="仿宋" w:hint="eastAsia"/>
          <w:b/>
          <w:sz w:val="34"/>
          <w:szCs w:val="34"/>
        </w:rPr>
        <w:lastRenderedPageBreak/>
        <w:t>第三部分 专业名词解释</w:t>
      </w:r>
    </w:p>
    <w:p w:rsidR="00BB53A2" w:rsidRDefault="00C20F0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财政拨款收入：指同级财政当年拨付的资金。</w:t>
      </w:r>
    </w:p>
    <w:p w:rsidR="00BB53A2" w:rsidRDefault="00C20F0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上级补助收入：指事业单位从主管部门和上级单位取得的非财政补助收入。</w:t>
      </w:r>
    </w:p>
    <w:p w:rsidR="00BB53A2" w:rsidRDefault="00C20F0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事业收入：指事业单位开展专业业务活动及其辅助活动所取得的收入。</w:t>
      </w:r>
    </w:p>
    <w:p w:rsidR="00BB53A2" w:rsidRDefault="00C20F0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经营收入：指事业单位在专业业务活动及其辅助活动之外开展非独立核算经营活动取得的收入。</w:t>
      </w:r>
    </w:p>
    <w:p w:rsidR="00BB53A2" w:rsidRDefault="00C20F0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附属单位上缴收入：指事业单位附属的独立核算单位按有关规定上缴的收入。</w:t>
      </w:r>
    </w:p>
    <w:p w:rsidR="00BB53A2" w:rsidRDefault="00C20F0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其他收入：指除上述“财政拨款收入”、“事业收入”、“经营收入”、“附属单位上缴收入”等之外取得的收入。</w:t>
      </w:r>
    </w:p>
    <w:p w:rsidR="00BB53A2" w:rsidRDefault="00C20F0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BB53A2" w:rsidRDefault="00C20F0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上年结转和结余：指以前年度支出预算因客观条件变化未执行完毕、结转到本年度按有关规定继续使用的资金，既包括财政拨款结转和结余，也包括事业收入、经营收入、其他收入的结转和结余。</w:t>
      </w:r>
    </w:p>
    <w:p w:rsidR="00BB53A2" w:rsidRDefault="00C20F0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结余分配：反映单位当年结余的分配情况。</w:t>
      </w:r>
    </w:p>
    <w:p w:rsidR="00BB53A2" w:rsidRDefault="00C20F0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年末结转和结余：指本年度或以前年度预算安排、因客观条件发生变化无法按原计划实施，需要延迟到以后年度按有关规定继续使用的资金，既包括财政拨款结转和结余，也包括事业收入、经营收入、其他收入的结</w:t>
      </w:r>
      <w:r>
        <w:rPr>
          <w:rFonts w:ascii="仿宋" w:eastAsia="仿宋" w:hAnsi="仿宋" w:hint="eastAsia"/>
          <w:sz w:val="34"/>
          <w:szCs w:val="34"/>
        </w:rPr>
        <w:lastRenderedPageBreak/>
        <w:t>转和结余。</w:t>
      </w:r>
    </w:p>
    <w:p w:rsidR="00BB53A2" w:rsidRDefault="00C20F0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基本支出：指为保障机构正常运转、完成日常工作任务而发生的人员支出和公用支出。</w:t>
      </w:r>
    </w:p>
    <w:p w:rsidR="00BB53A2" w:rsidRDefault="00C20F0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项目支出：指在基本支出之外为完成特定行政任务和事业发展目标所发生的支出。</w:t>
      </w:r>
    </w:p>
    <w:p w:rsidR="00BB53A2" w:rsidRDefault="00C20F0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经营支出：指事业单位在专业业务活动及其辅助活动之外开展非独立核算经营活动发生的支出。</w:t>
      </w:r>
    </w:p>
    <w:p w:rsidR="00BB53A2" w:rsidRDefault="00C20F0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对附属单位补助支出：指事业单位发生的用非财政预算资金对附属单位的补助支出。</w:t>
      </w:r>
    </w:p>
    <w:p w:rsidR="00BB53A2" w:rsidRDefault="00C20F0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“三公”经费：指用一般公共预算财政拨款安排的因公出国（境）费、公务用车购置及运行费和公务接待费。其中，因公出国（境）</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单位公务出国（境）的住宿费、旅费、伙食补助费、杂费、培训费等支出；公务用车购置及运行</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单位公务用车购置费及租用费、燃料费、维修费、过路过桥费、保险费、安全奖励费用等支出；公务接待</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单位按规定开支的各类公务接待（含外宾接待）支出。</w:t>
      </w:r>
    </w:p>
    <w:p w:rsidR="00BB53A2" w:rsidRDefault="00C20F01">
      <w:pPr>
        <w:spacing w:line="500" w:lineRule="exact"/>
        <w:ind w:firstLineChars="200" w:firstLine="680"/>
        <w:rPr>
          <w:rFonts w:ascii="仿宋" w:eastAsia="仿宋" w:hAnsi="仿宋"/>
          <w:sz w:val="34"/>
          <w:szCs w:val="34"/>
        </w:rPr>
      </w:pPr>
      <w:r>
        <w:rPr>
          <w:rFonts w:ascii="仿宋" w:eastAsia="仿宋" w:hAnsi="仿宋" w:hint="eastAsia"/>
          <w:sz w:val="34"/>
          <w:szCs w:val="3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B53A2" w:rsidRPr="003346B2" w:rsidRDefault="00C20F01" w:rsidP="003346B2">
      <w:r>
        <w:rPr>
          <w:rFonts w:ascii="仿宋" w:eastAsia="仿宋" w:hAnsi="仿宋" w:hint="eastAsia"/>
          <w:sz w:val="34"/>
          <w:szCs w:val="34"/>
        </w:rPr>
        <w:t>本单位支出功能分类说明</w:t>
      </w:r>
      <w:r>
        <w:rPr>
          <w:rFonts w:ascii="仿宋" w:eastAsia="仿宋" w:hAnsi="仿宋" w:hint="eastAsia"/>
          <w:sz w:val="34"/>
          <w:szCs w:val="34"/>
          <w:lang w:val="en-GB"/>
        </w:rPr>
        <w:t>。</w:t>
      </w:r>
      <w:r>
        <w:rPr>
          <w:rFonts w:ascii="仿宋" w:eastAsia="仿宋" w:hAnsi="仿宋" w:hint="eastAsia"/>
          <w:sz w:val="34"/>
          <w:szCs w:val="34"/>
        </w:rPr>
        <w:t>208（类）05（款）05（项）：指机关事业单位基本养老保险缴费支出。210（类）03（款）02（项）：指乡镇卫生院。229（类）60（款）02（项）：指用于社会福利的彩票公益金支出。210（类）06（款）</w:t>
      </w:r>
      <w:r>
        <w:rPr>
          <w:rFonts w:ascii="仿宋" w:eastAsia="仿宋" w:hAnsi="仿宋" w:hint="eastAsia"/>
          <w:sz w:val="34"/>
          <w:szCs w:val="34"/>
        </w:rPr>
        <w:lastRenderedPageBreak/>
        <w:t>01（项）：</w:t>
      </w:r>
      <w:r w:rsidR="00EA0D23">
        <w:rPr>
          <w:rFonts w:ascii="仿宋" w:eastAsia="仿宋" w:hAnsi="仿宋" w:hint="eastAsia"/>
          <w:sz w:val="34"/>
          <w:szCs w:val="34"/>
        </w:rPr>
        <w:t>中医（民族</w:t>
      </w:r>
      <w:proofErr w:type="gramStart"/>
      <w:r w:rsidR="00EA0D23">
        <w:rPr>
          <w:rFonts w:ascii="仿宋" w:eastAsia="仿宋" w:hAnsi="仿宋" w:hint="eastAsia"/>
          <w:sz w:val="34"/>
          <w:szCs w:val="34"/>
        </w:rPr>
        <w:t>医</w:t>
      </w:r>
      <w:proofErr w:type="gramEnd"/>
      <w:r w:rsidR="00EA0D23">
        <w:rPr>
          <w:rFonts w:ascii="仿宋" w:eastAsia="仿宋" w:hAnsi="仿宋" w:hint="eastAsia"/>
          <w:sz w:val="34"/>
          <w:szCs w:val="34"/>
        </w:rPr>
        <w:t>）药专项</w:t>
      </w:r>
      <w:r w:rsidR="003346B2">
        <w:rPr>
          <w:rFonts w:ascii="仿宋" w:eastAsia="仿宋" w:hAnsi="仿宋" w:hint="eastAsia"/>
          <w:sz w:val="34"/>
          <w:szCs w:val="34"/>
        </w:rPr>
        <w:t>。</w:t>
      </w:r>
    </w:p>
    <w:p w:rsidR="00BB53A2" w:rsidRDefault="00C20F01">
      <w:pPr>
        <w:spacing w:line="500" w:lineRule="exact"/>
        <w:ind w:firstLineChars="200" w:firstLine="680"/>
        <w:rPr>
          <w:rFonts w:ascii="仿宋" w:eastAsia="仿宋" w:hAnsi="仿宋"/>
          <w:sz w:val="34"/>
          <w:szCs w:val="34"/>
          <w:lang w:val="en-GB"/>
        </w:rPr>
      </w:pPr>
      <w:r>
        <w:rPr>
          <w:rFonts w:ascii="仿宋" w:eastAsia="仿宋" w:hAnsi="仿宋" w:hint="eastAsia"/>
          <w:sz w:val="34"/>
          <w:szCs w:val="34"/>
        </w:rPr>
        <w:t>其他有关说明内容</w:t>
      </w:r>
      <w:r w:rsidR="0058432B">
        <w:rPr>
          <w:rFonts w:ascii="仿宋" w:eastAsia="仿宋" w:hAnsi="仿宋" w:hint="eastAsia"/>
          <w:sz w:val="34"/>
          <w:szCs w:val="34"/>
        </w:rPr>
        <w:t>：无</w:t>
      </w:r>
      <w:r>
        <w:rPr>
          <w:rFonts w:ascii="仿宋" w:eastAsia="仿宋" w:hAnsi="仿宋" w:hint="eastAsia"/>
          <w:sz w:val="34"/>
          <w:szCs w:val="34"/>
          <w:lang w:val="en-GB"/>
        </w:rPr>
        <w:t>。</w:t>
      </w:r>
    </w:p>
    <w:p w:rsidR="00BB53A2" w:rsidRDefault="00BB53A2">
      <w:pPr>
        <w:spacing w:line="500" w:lineRule="exact"/>
        <w:ind w:firstLine="627"/>
        <w:jc w:val="center"/>
        <w:rPr>
          <w:rFonts w:ascii="仿宋" w:eastAsia="仿宋" w:hAnsi="仿宋"/>
          <w:sz w:val="34"/>
          <w:szCs w:val="34"/>
          <w:lang w:val="en-GB"/>
        </w:rPr>
      </w:pPr>
    </w:p>
    <w:p w:rsidR="00BB53A2" w:rsidRDefault="00C20F01">
      <w:pPr>
        <w:spacing w:line="500" w:lineRule="exact"/>
        <w:jc w:val="center"/>
        <w:rPr>
          <w:rFonts w:ascii="仿宋" w:eastAsia="仿宋" w:hAnsi="仿宋"/>
          <w:b/>
          <w:sz w:val="34"/>
          <w:szCs w:val="34"/>
        </w:rPr>
      </w:pPr>
      <w:r>
        <w:rPr>
          <w:rFonts w:ascii="仿宋" w:eastAsia="仿宋" w:hAnsi="仿宋" w:hint="eastAsia"/>
          <w:b/>
          <w:sz w:val="34"/>
          <w:szCs w:val="34"/>
        </w:rPr>
        <w:t>第四部分 部门决算公开的8张报表（见附表）</w:t>
      </w:r>
    </w:p>
    <w:p w:rsidR="00BB53A2" w:rsidRDefault="00C20F01">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一、《收入支出决算总表》</w:t>
      </w:r>
    </w:p>
    <w:p w:rsidR="00BB53A2" w:rsidRDefault="00C20F01">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二、《收入决算表》</w:t>
      </w:r>
    </w:p>
    <w:p w:rsidR="00BB53A2" w:rsidRDefault="00C20F01">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三、《支出决算表》</w:t>
      </w:r>
    </w:p>
    <w:p w:rsidR="00BB53A2" w:rsidRDefault="00C20F01">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四、《财政拨款收入支出决算总表》</w:t>
      </w:r>
    </w:p>
    <w:p w:rsidR="00BB53A2" w:rsidRDefault="00C20F01">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五、《一般公共预算财政拨款支出决算明细表》</w:t>
      </w:r>
    </w:p>
    <w:p w:rsidR="00BB53A2" w:rsidRDefault="00C20F01">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六、《一般公共预算财政拨款基本支出决算明细表》</w:t>
      </w:r>
    </w:p>
    <w:p w:rsidR="00BB53A2" w:rsidRDefault="00C20F01">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七、《一般公共预算财政拨款“三公”经费支出决算表》</w:t>
      </w:r>
    </w:p>
    <w:p w:rsidR="00BB53A2" w:rsidRDefault="00C20F01">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八、《政府性基金预算财政拨款收入支出决算表》</w:t>
      </w:r>
    </w:p>
    <w:p w:rsidR="00BB53A2" w:rsidRDefault="00BB53A2"/>
    <w:sectPr w:rsidR="00BB53A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1EB" w:rsidRDefault="004601EB" w:rsidP="00C20F01">
      <w:r>
        <w:separator/>
      </w:r>
    </w:p>
  </w:endnote>
  <w:endnote w:type="continuationSeparator" w:id="0">
    <w:p w:rsidR="004601EB" w:rsidRDefault="004601EB" w:rsidP="00C20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1EB" w:rsidRDefault="004601EB" w:rsidP="00C20F01">
      <w:r>
        <w:separator/>
      </w:r>
    </w:p>
  </w:footnote>
  <w:footnote w:type="continuationSeparator" w:id="0">
    <w:p w:rsidR="004601EB" w:rsidRDefault="004601EB" w:rsidP="00C20F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AA0031"/>
    <w:multiLevelType w:val="singleLevel"/>
    <w:tmpl w:val="AAAA0031"/>
    <w:lvl w:ilvl="0">
      <w:start w:val="2"/>
      <w:numFmt w:val="chineseCounting"/>
      <w:suff w:val="nothing"/>
      <w:lvlText w:val="（%1）"/>
      <w:lvlJc w:val="left"/>
      <w:rPr>
        <w:rFonts w:hint="eastAsia"/>
      </w:rPr>
    </w:lvl>
  </w:abstractNum>
  <w:abstractNum w:abstractNumId="1">
    <w:nsid w:val="0000000B"/>
    <w:multiLevelType w:val="singleLevel"/>
    <w:tmpl w:val="0000000B"/>
    <w:lvl w:ilvl="0">
      <w:start w:val="1"/>
      <w:numFmt w:val="chineseCounting"/>
      <w:suff w:val="nothing"/>
      <w:lvlText w:val="（%1）"/>
      <w:lvlJc w:val="left"/>
    </w:lvl>
  </w:abstractNum>
  <w:abstractNum w:abstractNumId="2">
    <w:nsid w:val="4706E8A3"/>
    <w:multiLevelType w:val="singleLevel"/>
    <w:tmpl w:val="4706E8A3"/>
    <w:lvl w:ilvl="0">
      <w:start w:val="2"/>
      <w:numFmt w:val="decimal"/>
      <w:suff w:val="nothing"/>
      <w:lvlText w:val="%1、"/>
      <w:lvlJc w:val="left"/>
    </w:lvl>
  </w:abstractNum>
  <w:abstractNum w:abstractNumId="3">
    <w:nsid w:val="61C33AA4"/>
    <w:multiLevelType w:val="multilevel"/>
    <w:tmpl w:val="61C33AA4"/>
    <w:lvl w:ilvl="0">
      <w:start w:val="1"/>
      <w:numFmt w:val="japaneseCounting"/>
      <w:lvlText w:val="%1、"/>
      <w:lvlJc w:val="left"/>
      <w:pPr>
        <w:ind w:left="1400" w:hanging="720"/>
      </w:pPr>
      <w:rPr>
        <w:rFonts w:hint="default"/>
      </w:rPr>
    </w:lvl>
    <w:lvl w:ilvl="1">
      <w:start w:val="1"/>
      <w:numFmt w:val="lowerLetter"/>
      <w:lvlText w:val="%2)"/>
      <w:lvlJc w:val="left"/>
      <w:pPr>
        <w:ind w:left="1520" w:hanging="420"/>
      </w:pPr>
    </w:lvl>
    <w:lvl w:ilvl="2">
      <w:start w:val="1"/>
      <w:numFmt w:val="lowerRoman"/>
      <w:lvlText w:val="%3."/>
      <w:lvlJc w:val="right"/>
      <w:pPr>
        <w:ind w:left="1940" w:hanging="420"/>
      </w:pPr>
    </w:lvl>
    <w:lvl w:ilvl="3">
      <w:start w:val="1"/>
      <w:numFmt w:val="decimal"/>
      <w:lvlText w:val="%4."/>
      <w:lvlJc w:val="left"/>
      <w:pPr>
        <w:ind w:left="2360" w:hanging="420"/>
      </w:pPr>
    </w:lvl>
    <w:lvl w:ilvl="4">
      <w:start w:val="1"/>
      <w:numFmt w:val="lowerLetter"/>
      <w:lvlText w:val="%5)"/>
      <w:lvlJc w:val="left"/>
      <w:pPr>
        <w:ind w:left="2780" w:hanging="420"/>
      </w:pPr>
    </w:lvl>
    <w:lvl w:ilvl="5">
      <w:start w:val="1"/>
      <w:numFmt w:val="lowerRoman"/>
      <w:lvlText w:val="%6."/>
      <w:lvlJc w:val="right"/>
      <w:pPr>
        <w:ind w:left="3200" w:hanging="420"/>
      </w:pPr>
    </w:lvl>
    <w:lvl w:ilvl="6">
      <w:start w:val="1"/>
      <w:numFmt w:val="decimal"/>
      <w:lvlText w:val="%7."/>
      <w:lvlJc w:val="left"/>
      <w:pPr>
        <w:ind w:left="3620" w:hanging="420"/>
      </w:pPr>
    </w:lvl>
    <w:lvl w:ilvl="7">
      <w:start w:val="1"/>
      <w:numFmt w:val="lowerLetter"/>
      <w:lvlText w:val="%8)"/>
      <w:lvlJc w:val="left"/>
      <w:pPr>
        <w:ind w:left="4040" w:hanging="420"/>
      </w:pPr>
    </w:lvl>
    <w:lvl w:ilvl="8">
      <w:start w:val="1"/>
      <w:numFmt w:val="lowerRoman"/>
      <w:lvlText w:val="%9."/>
      <w:lvlJc w:val="right"/>
      <w:pPr>
        <w:ind w:left="446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1077D"/>
    <w:rsid w:val="000C1977"/>
    <w:rsid w:val="00173C0F"/>
    <w:rsid w:val="001846D3"/>
    <w:rsid w:val="00184A35"/>
    <w:rsid w:val="001E561D"/>
    <w:rsid w:val="00247EE6"/>
    <w:rsid w:val="002620D3"/>
    <w:rsid w:val="002D3AC8"/>
    <w:rsid w:val="002E78D8"/>
    <w:rsid w:val="003346B2"/>
    <w:rsid w:val="00346CE2"/>
    <w:rsid w:val="00362B41"/>
    <w:rsid w:val="00364FDA"/>
    <w:rsid w:val="00387C05"/>
    <w:rsid w:val="00395B33"/>
    <w:rsid w:val="003F4454"/>
    <w:rsid w:val="00405282"/>
    <w:rsid w:val="004203E5"/>
    <w:rsid w:val="0042330A"/>
    <w:rsid w:val="00425B51"/>
    <w:rsid w:val="00434D59"/>
    <w:rsid w:val="004601EB"/>
    <w:rsid w:val="004A1352"/>
    <w:rsid w:val="00551466"/>
    <w:rsid w:val="00572CF4"/>
    <w:rsid w:val="0058432B"/>
    <w:rsid w:val="00610C76"/>
    <w:rsid w:val="00615A99"/>
    <w:rsid w:val="006700B4"/>
    <w:rsid w:val="00686DBD"/>
    <w:rsid w:val="006B36AD"/>
    <w:rsid w:val="006D4553"/>
    <w:rsid w:val="006E7867"/>
    <w:rsid w:val="007032BD"/>
    <w:rsid w:val="007313F8"/>
    <w:rsid w:val="00745693"/>
    <w:rsid w:val="00757505"/>
    <w:rsid w:val="00770F2C"/>
    <w:rsid w:val="007B716B"/>
    <w:rsid w:val="007F07B1"/>
    <w:rsid w:val="00804D2F"/>
    <w:rsid w:val="00825E1A"/>
    <w:rsid w:val="00866F18"/>
    <w:rsid w:val="0088392C"/>
    <w:rsid w:val="00886F1A"/>
    <w:rsid w:val="008B3EAA"/>
    <w:rsid w:val="008B7C5C"/>
    <w:rsid w:val="00906BB7"/>
    <w:rsid w:val="0091077D"/>
    <w:rsid w:val="00934DC3"/>
    <w:rsid w:val="00985E29"/>
    <w:rsid w:val="009A2A32"/>
    <w:rsid w:val="009D790F"/>
    <w:rsid w:val="00A222A0"/>
    <w:rsid w:val="00A66536"/>
    <w:rsid w:val="00A71DC9"/>
    <w:rsid w:val="00A75944"/>
    <w:rsid w:val="00AB24AE"/>
    <w:rsid w:val="00AB2DB5"/>
    <w:rsid w:val="00AD4839"/>
    <w:rsid w:val="00AE1875"/>
    <w:rsid w:val="00B4105D"/>
    <w:rsid w:val="00B46DE2"/>
    <w:rsid w:val="00B80604"/>
    <w:rsid w:val="00B932ED"/>
    <w:rsid w:val="00BA6D99"/>
    <w:rsid w:val="00BB1836"/>
    <w:rsid w:val="00BB53A2"/>
    <w:rsid w:val="00BF0408"/>
    <w:rsid w:val="00C20F01"/>
    <w:rsid w:val="00C236A5"/>
    <w:rsid w:val="00CA7894"/>
    <w:rsid w:val="00CE78E1"/>
    <w:rsid w:val="00D16A43"/>
    <w:rsid w:val="00D30867"/>
    <w:rsid w:val="00D5793F"/>
    <w:rsid w:val="00DA0E73"/>
    <w:rsid w:val="00DC4579"/>
    <w:rsid w:val="00E06D72"/>
    <w:rsid w:val="00E31E40"/>
    <w:rsid w:val="00E343C9"/>
    <w:rsid w:val="00E7025F"/>
    <w:rsid w:val="00EA0D23"/>
    <w:rsid w:val="00EA5B29"/>
    <w:rsid w:val="00F13500"/>
    <w:rsid w:val="00F17A93"/>
    <w:rsid w:val="00FD2C04"/>
    <w:rsid w:val="00FE3E96"/>
    <w:rsid w:val="00FE70FB"/>
    <w:rsid w:val="057B1FE7"/>
    <w:rsid w:val="07AC1CBE"/>
    <w:rsid w:val="081C31E4"/>
    <w:rsid w:val="08A62275"/>
    <w:rsid w:val="09F040B8"/>
    <w:rsid w:val="0CE02555"/>
    <w:rsid w:val="0F8033C3"/>
    <w:rsid w:val="10EA6F78"/>
    <w:rsid w:val="115E0A5E"/>
    <w:rsid w:val="11A25696"/>
    <w:rsid w:val="11F71E9C"/>
    <w:rsid w:val="158F076F"/>
    <w:rsid w:val="15E91988"/>
    <w:rsid w:val="16AC5866"/>
    <w:rsid w:val="171F4311"/>
    <w:rsid w:val="1B9443D6"/>
    <w:rsid w:val="1C2E08DB"/>
    <w:rsid w:val="1DB936FC"/>
    <w:rsid w:val="1E6467E7"/>
    <w:rsid w:val="20D63122"/>
    <w:rsid w:val="20EF53DB"/>
    <w:rsid w:val="26CA323C"/>
    <w:rsid w:val="28FA13DB"/>
    <w:rsid w:val="29763034"/>
    <w:rsid w:val="2B71164A"/>
    <w:rsid w:val="30810C57"/>
    <w:rsid w:val="31D01BFB"/>
    <w:rsid w:val="329344CF"/>
    <w:rsid w:val="3B3C19A4"/>
    <w:rsid w:val="40730BC3"/>
    <w:rsid w:val="41640222"/>
    <w:rsid w:val="42EB5193"/>
    <w:rsid w:val="43FC1C02"/>
    <w:rsid w:val="45424C83"/>
    <w:rsid w:val="476D5A39"/>
    <w:rsid w:val="47FB55E4"/>
    <w:rsid w:val="4E0A4FDC"/>
    <w:rsid w:val="512B2172"/>
    <w:rsid w:val="520F633E"/>
    <w:rsid w:val="5266535F"/>
    <w:rsid w:val="547F386B"/>
    <w:rsid w:val="56CB5543"/>
    <w:rsid w:val="57172605"/>
    <w:rsid w:val="5A126F09"/>
    <w:rsid w:val="5C467070"/>
    <w:rsid w:val="5D605CDA"/>
    <w:rsid w:val="5EBC1831"/>
    <w:rsid w:val="60835434"/>
    <w:rsid w:val="68BC6A60"/>
    <w:rsid w:val="693B7602"/>
    <w:rsid w:val="70275A7C"/>
    <w:rsid w:val="74A64EA8"/>
    <w:rsid w:val="761D7F74"/>
    <w:rsid w:val="7B3E3E3F"/>
    <w:rsid w:val="7F2B7C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First Indent" w:semiHidden="0" w:uiPriority="0"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uiPriority w:val="9"/>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unhideWhenUsed/>
    <w:qFormat/>
    <w:pPr>
      <w:spacing w:after="12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Body Text First Indent"/>
    <w:link w:val="Char3"/>
    <w:qFormat/>
    <w:pPr>
      <w:ind w:firstLineChars="200" w:firstLine="200"/>
    </w:pPr>
    <w:rPr>
      <w:rFonts w:ascii="Calibri" w:hAnsi="Calibri"/>
      <w:sz w:val="21"/>
      <w:szCs w:val="22"/>
    </w:rPr>
  </w:style>
  <w:style w:type="character" w:styleId="a8">
    <w:name w:val="Strong"/>
    <w:basedOn w:val="a0"/>
    <w:qFormat/>
    <w:rPr>
      <w:b/>
      <w:bCs/>
    </w:rPr>
  </w:style>
  <w:style w:type="character" w:customStyle="1" w:styleId="Char2">
    <w:name w:val="页眉 Char"/>
    <w:basedOn w:val="a0"/>
    <w:link w:val="a6"/>
    <w:uiPriority w:val="99"/>
    <w:rPr>
      <w:rFonts w:ascii="Times New Roman" w:eastAsia="宋体" w:hAnsi="Times New Roman" w:cs="Times New Roman"/>
      <w:sz w:val="18"/>
      <w:szCs w:val="18"/>
    </w:rPr>
  </w:style>
  <w:style w:type="character" w:customStyle="1" w:styleId="Char1">
    <w:name w:val="页脚 Char"/>
    <w:basedOn w:val="a0"/>
    <w:link w:val="a5"/>
    <w:uiPriority w:val="99"/>
    <w:rPr>
      <w:rFonts w:ascii="Times New Roman" w:eastAsia="宋体" w:hAnsi="Times New Roman" w:cs="Times New Roman"/>
      <w:sz w:val="18"/>
      <w:szCs w:val="18"/>
    </w:rPr>
  </w:style>
  <w:style w:type="paragraph" w:styleId="a9">
    <w:name w:val="List Paragraph"/>
    <w:basedOn w:val="a"/>
    <w:uiPriority w:val="34"/>
    <w:qFormat/>
    <w:pPr>
      <w:ind w:firstLineChars="200" w:firstLine="420"/>
    </w:pPr>
  </w:style>
  <w:style w:type="character" w:customStyle="1" w:styleId="Char">
    <w:name w:val="正文文本 Char"/>
    <w:basedOn w:val="a0"/>
    <w:link w:val="a3"/>
    <w:uiPriority w:val="99"/>
    <w:semiHidden/>
    <w:rPr>
      <w:rFonts w:ascii="Times New Roman" w:eastAsia="宋体" w:hAnsi="Times New Roman" w:cs="Times New Roman"/>
      <w:szCs w:val="24"/>
    </w:rPr>
  </w:style>
  <w:style w:type="character" w:customStyle="1" w:styleId="Char3">
    <w:name w:val="正文首行缩进 Char"/>
    <w:basedOn w:val="Char"/>
    <w:link w:val="a7"/>
    <w:rPr>
      <w:rFonts w:ascii="Calibri" w:eastAsia="宋体" w:hAnsi="Calibri" w:cs="Times New Roman"/>
      <w:kern w:val="0"/>
      <w:szCs w:val="24"/>
    </w:rPr>
  </w:style>
  <w:style w:type="character" w:customStyle="1" w:styleId="Char0">
    <w:name w:val="批注框文本 Char"/>
    <w:basedOn w:val="a0"/>
    <w:link w:val="a4"/>
    <w:uiPriority w:val="99"/>
    <w:semiHidden/>
    <w:rPr>
      <w:rFonts w:ascii="Times New Roman" w:eastAsia="宋体" w:hAnsi="Times New Roman" w:cs="Times New Roman"/>
      <w:kern w:val="2"/>
      <w:sz w:val="18"/>
      <w:szCs w:val="18"/>
    </w:rPr>
  </w:style>
  <w:style w:type="character" w:customStyle="1" w:styleId="font01">
    <w:name w:val="font01"/>
    <w:basedOn w:val="a0"/>
    <w:qFormat/>
    <w:rPr>
      <w:rFonts w:ascii="宋体" w:eastAsia="宋体" w:hAnsi="宋体" w:cs="宋体" w:hint="eastAsia"/>
      <w:color w:val="000000"/>
      <w:sz w:val="20"/>
      <w:szCs w:val="20"/>
      <w:u w:val="none"/>
    </w:rPr>
  </w:style>
  <w:style w:type="character" w:customStyle="1" w:styleId="font21">
    <w:name w:val="font21"/>
    <w:basedOn w:val="a0"/>
    <w:qFormat/>
    <w:rPr>
      <w:rFonts w:ascii="宋体" w:eastAsia="宋体" w:hAnsi="宋体" w:cs="宋体" w:hint="eastAsia"/>
      <w:color w:val="0D0D0D"/>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611031">
      <w:bodyDiv w:val="1"/>
      <w:marLeft w:val="0"/>
      <w:marRight w:val="0"/>
      <w:marTop w:val="0"/>
      <w:marBottom w:val="0"/>
      <w:divBdr>
        <w:top w:val="none" w:sz="0" w:space="0" w:color="auto"/>
        <w:left w:val="none" w:sz="0" w:space="0" w:color="auto"/>
        <w:bottom w:val="none" w:sz="0" w:space="0" w:color="auto"/>
        <w:right w:val="none" w:sz="0" w:space="0" w:color="auto"/>
      </w:divBdr>
    </w:div>
    <w:div w:id="20630157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031ED8-33ED-4230-A08B-CA9C0C683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27</Pages>
  <Words>1986</Words>
  <Characters>11324</Characters>
  <Application>Microsoft Office Word</Application>
  <DocSecurity>0</DocSecurity>
  <Lines>94</Lines>
  <Paragraphs>26</Paragraphs>
  <ScaleCrop>false</ScaleCrop>
  <Company>mycomputer</Company>
  <LinksUpToDate>false</LinksUpToDate>
  <CharactersWithSpaces>13284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45</cp:revision>
  <cp:lastPrinted>2019-07-22T10:34:00Z</cp:lastPrinted>
  <dcterms:created xsi:type="dcterms:W3CDTF">2019-06-13T10:32:00Z</dcterms:created>
  <dcterms:modified xsi:type="dcterms:W3CDTF">2021-06-01T02:50:00Z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