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jc w:val="both"/>
        <w:rPr>
          <w:rFonts w:hint="eastAsia" w:ascii="方正小标宋_GBK" w:hAnsi="宋体" w:eastAsia="方正小标宋_GBK"/>
          <w:sz w:val="44"/>
          <w:szCs w:val="44"/>
        </w:rPr>
      </w:pPr>
    </w:p>
    <w:p>
      <w:pPr>
        <w:spacing w:line="54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lang w:val="en-US" w:eastAsia="zh-CN"/>
        </w:rPr>
        <w:t>2018</w:t>
      </w:r>
      <w:r>
        <w:rPr>
          <w:rFonts w:hint="eastAsia" w:ascii="方正小标宋_GBK" w:hAnsi="宋体" w:eastAsia="方正小标宋_GBK"/>
          <w:sz w:val="44"/>
          <w:szCs w:val="44"/>
        </w:rPr>
        <w:t>年度</w:t>
      </w:r>
      <w:r>
        <w:rPr>
          <w:rFonts w:hint="eastAsia" w:ascii="方正小标宋_GBK" w:hAnsi="宋体" w:eastAsia="方正小标宋_GBK"/>
          <w:sz w:val="44"/>
          <w:szCs w:val="44"/>
          <w:lang w:eastAsia="zh-CN"/>
        </w:rPr>
        <w:t>昌吉市科学技术局</w:t>
      </w:r>
      <w:r>
        <w:rPr>
          <w:rFonts w:hint="eastAsia" w:ascii="方正小标宋_GBK" w:hAnsi="宋体" w:eastAsia="方正小标宋_GBK"/>
          <w:sz w:val="44"/>
          <w:szCs w:val="44"/>
        </w:rPr>
        <w:t>部门决算</w:t>
      </w:r>
    </w:p>
    <w:p>
      <w:pPr>
        <w:spacing w:line="54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ind w:firstLine="0" w:firstLineChars="0"/>
        <w:rPr>
          <w:rFonts w:hint="eastAsia" w:ascii="仿宋_GB2312" w:hAnsi="宋体" w:eastAsia="仿宋_GB2312"/>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jc w:val="both"/>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60" w:lineRule="exact"/>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rPr>
        <w:t>昌吉市科学技术局属昌吉市人民政府职能部门，财政全额拨款行政单位，独立核算法人单位、执行行政单位会计制度，独立法人王艳明。昌吉市科技局内设3个职能科室，办公室、农村科、工业科。主要负责贯彻落实党和国家关于科技工作的方针、政策、法规，组织实施科教兴市战略；管理国家、区、州在昌吉市实施的重大科技项目；配合上级部门做好市内各级各类科技计划项目的审核上报工作；拟订多渠道增加科技投入的政策措施，负责市本级科学事业费、应用技术研究与推广经费、科技专项资金的预算及其使用的动态管理，合理配置相应的科技经费；负责昌吉市专家顾问团办公室日常工作；负责科技特派员工作领导小组办公室的日常工作；贯彻执行国家和自治区有关知识产权的法律、法规和方针、政策，制定促进全市知识产权创造、运用、保护和管理的政策措施并组织落实；负责知识产权的宣传教育与培训工作；指导全市专利服务机构和专利代理人的工作；配合开展专利执法工作，依法处理专利纠纷和查处假冒专利行为；贯彻落实《中华人民共和国科学技术普及法》，普及科学知识，提高全民科学素质；开展学术交流；贯彻落实党和国家关于科技创新工作的各项方针、政策和法规，围绕创新型国家建设，整体推动昌吉市国家创新型试点城市建设工作。</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ascii="仿宋_GB2312" w:hAnsi="宋体" w:eastAsia="仿宋_GB2312" w:cs="宋体"/>
          <w:kern w:val="0"/>
          <w:sz w:val="32"/>
          <w:szCs w:val="32"/>
        </w:rPr>
      </w:pPr>
      <w:r>
        <w:rPr>
          <w:rFonts w:hint="eastAsia" w:ascii="仿宋_GB2312" w:eastAsia="仿宋_GB2312"/>
          <w:sz w:val="32"/>
          <w:szCs w:val="32"/>
        </w:rPr>
        <w:t>从决算单位构成看，</w:t>
      </w:r>
      <w:r>
        <w:rPr>
          <w:rFonts w:hint="eastAsia" w:ascii="仿宋_GB2312" w:eastAsia="仿宋_GB2312"/>
          <w:sz w:val="32"/>
          <w:szCs w:val="32"/>
          <w:lang w:eastAsia="zh-CN"/>
        </w:rPr>
        <w:t>昌吉市科学技术局</w:t>
      </w:r>
      <w:r>
        <w:rPr>
          <w:rFonts w:hint="eastAsia" w:ascii="仿宋_GB2312" w:eastAsia="仿宋_GB2312"/>
          <w:sz w:val="32"/>
          <w:szCs w:val="32"/>
        </w:rPr>
        <w:t>部门决算包括：</w:t>
      </w:r>
      <w:r>
        <w:rPr>
          <w:rFonts w:hint="eastAsia" w:ascii="仿宋_GB2312" w:eastAsia="仿宋_GB2312"/>
          <w:sz w:val="32"/>
          <w:szCs w:val="32"/>
          <w:lang w:eastAsia="zh-CN"/>
        </w:rPr>
        <w:t>昌吉市科学技术局</w:t>
      </w:r>
      <w:r>
        <w:rPr>
          <w:rFonts w:hint="eastAsia" w:ascii="仿宋_GB2312" w:eastAsia="仿宋_GB2312"/>
          <w:sz w:val="32"/>
          <w:szCs w:val="32"/>
        </w:rPr>
        <w:t>部门本级决算、所属单位决算等。</w:t>
      </w:r>
    </w:p>
    <w:p>
      <w:pPr>
        <w:spacing w:line="540" w:lineRule="exact"/>
        <w:ind w:firstLine="640" w:firstLineChars="200"/>
        <w:rPr>
          <w:rFonts w:hint="eastAsia" w:ascii="仿宋_GB2312" w:eastAsia="仿宋_GB2312"/>
          <w:spacing w:val="-6"/>
          <w:sz w:val="32"/>
          <w:szCs w:val="32"/>
        </w:rPr>
      </w:pPr>
      <w:r>
        <w:rPr>
          <w:rFonts w:hint="eastAsia" w:ascii="仿宋_GB2312" w:eastAsia="仿宋_GB2312"/>
          <w:spacing w:val="0"/>
          <w:sz w:val="32"/>
          <w:szCs w:val="32"/>
        </w:rPr>
        <w:t>纳入</w:t>
      </w:r>
      <w:r>
        <w:rPr>
          <w:rFonts w:hint="eastAsia" w:ascii="仿宋_GB2312" w:eastAsia="仿宋_GB2312"/>
          <w:spacing w:val="0"/>
          <w:sz w:val="32"/>
          <w:szCs w:val="32"/>
          <w:lang w:eastAsia="zh-CN"/>
        </w:rPr>
        <w:t>昌吉市科学技术局</w:t>
      </w:r>
      <w:r>
        <w:rPr>
          <w:rFonts w:hint="eastAsia" w:ascii="仿宋_GB2312" w:eastAsia="仿宋_GB2312"/>
          <w:spacing w:val="0"/>
          <w:sz w:val="32"/>
          <w:szCs w:val="32"/>
          <w:lang w:val="en-US" w:eastAsia="zh-CN"/>
        </w:rPr>
        <w:t>2018</w:t>
      </w:r>
      <w:bookmarkStart w:id="0" w:name="_GoBack"/>
      <w:bookmarkEnd w:id="0"/>
      <w:r>
        <w:rPr>
          <w:rFonts w:hint="eastAsia" w:ascii="仿宋_GB2312" w:eastAsia="仿宋_GB2312"/>
          <w:spacing w:val="0"/>
          <w:sz w:val="32"/>
          <w:szCs w:val="32"/>
        </w:rPr>
        <w:t>年部门决算编制范围的单位名单见下表</w:t>
      </w:r>
      <w:r>
        <w:rPr>
          <w:rFonts w:hint="eastAsia" w:ascii="仿宋_GB2312" w:eastAsia="仿宋_GB2312"/>
          <w:spacing w:val="-6"/>
          <w:sz w:val="32"/>
          <w:szCs w:val="32"/>
        </w:rPr>
        <w:t>：</w:t>
      </w:r>
    </w:p>
    <w:p>
      <w:pPr>
        <w:spacing w:line="500" w:lineRule="exact"/>
        <w:ind w:firstLine="616" w:firstLineChars="200"/>
        <w:rPr>
          <w:rFonts w:hint="eastAsia" w:ascii="仿宋_GB2312" w:eastAsia="仿宋_GB2312"/>
          <w:spacing w:val="-6"/>
          <w:sz w:val="32"/>
          <w:szCs w:val="32"/>
        </w:rPr>
      </w:pPr>
    </w:p>
    <w:tbl>
      <w:tblPr>
        <w:tblStyle w:val="5"/>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7"/>
        <w:gridCol w:w="3240"/>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37" w:type="dxa"/>
            <w:noWrap w:val="0"/>
            <w:vAlign w:val="center"/>
          </w:tcPr>
          <w:p>
            <w:pPr>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序号</w:t>
            </w:r>
          </w:p>
        </w:tc>
        <w:tc>
          <w:tcPr>
            <w:tcW w:w="3240" w:type="dxa"/>
            <w:noWrap w:val="0"/>
            <w:vAlign w:val="center"/>
          </w:tcPr>
          <w:p>
            <w:pPr>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单位名称</w:t>
            </w:r>
          </w:p>
        </w:tc>
        <w:tc>
          <w:tcPr>
            <w:tcW w:w="3187" w:type="dxa"/>
            <w:noWrap w:val="0"/>
            <w:vAlign w:val="center"/>
          </w:tcPr>
          <w:p>
            <w:pPr>
              <w:spacing w:line="500" w:lineRule="exact"/>
              <w:ind w:firstLine="1280" w:firstLineChars="400"/>
              <w:rPr>
                <w:rFonts w:hint="eastAsia"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37" w:type="dxa"/>
            <w:noWrap w:val="0"/>
            <w:vAlign w:val="center"/>
          </w:tcPr>
          <w:p>
            <w:pPr>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1</w:t>
            </w:r>
          </w:p>
        </w:tc>
        <w:tc>
          <w:tcPr>
            <w:tcW w:w="3240" w:type="dxa"/>
            <w:noWrap w:val="0"/>
            <w:vAlign w:val="center"/>
          </w:tcPr>
          <w:p>
            <w:pPr>
              <w:spacing w:line="500" w:lineRule="exact"/>
              <w:rPr>
                <w:rFonts w:hint="eastAsia" w:ascii="仿宋_GB2312" w:eastAsia="仿宋_GB2312"/>
                <w:sz w:val="32"/>
                <w:szCs w:val="32"/>
              </w:rPr>
            </w:pPr>
            <w:r>
              <w:rPr>
                <w:rFonts w:hint="eastAsia" w:ascii="仿宋_GB2312" w:eastAsia="仿宋_GB2312"/>
                <w:sz w:val="28"/>
                <w:szCs w:val="28"/>
                <w:lang w:eastAsia="zh-CN"/>
              </w:rPr>
              <w:t>昌吉市科学技术局</w:t>
            </w:r>
            <w:r>
              <w:rPr>
                <w:rFonts w:hint="eastAsia" w:ascii="仿宋_GB2312" w:eastAsia="仿宋_GB2312"/>
                <w:sz w:val="28"/>
                <w:szCs w:val="28"/>
              </w:rPr>
              <w:t>本级</w:t>
            </w:r>
          </w:p>
        </w:tc>
        <w:tc>
          <w:tcPr>
            <w:tcW w:w="3187" w:type="dxa"/>
            <w:noWrap w:val="0"/>
            <w:vAlign w:val="center"/>
          </w:tcPr>
          <w:p>
            <w:pPr>
              <w:spacing w:line="500" w:lineRule="exact"/>
              <w:ind w:firstLine="640" w:firstLineChars="200"/>
              <w:rPr>
                <w:rFonts w:hint="eastAsia"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37" w:type="dxa"/>
            <w:noWrap w:val="0"/>
            <w:vAlign w:val="center"/>
          </w:tcPr>
          <w:p>
            <w:pPr>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2</w:t>
            </w:r>
          </w:p>
        </w:tc>
        <w:tc>
          <w:tcPr>
            <w:tcW w:w="3240" w:type="dxa"/>
            <w:noWrap w:val="0"/>
            <w:vAlign w:val="center"/>
          </w:tcPr>
          <w:p>
            <w:pPr>
              <w:spacing w:line="500" w:lineRule="exact"/>
              <w:ind w:firstLine="640" w:firstLineChars="200"/>
              <w:rPr>
                <w:rFonts w:hint="eastAsia" w:ascii="仿宋_GB2312" w:eastAsia="仿宋_GB2312"/>
                <w:sz w:val="32"/>
                <w:szCs w:val="32"/>
              </w:rPr>
            </w:pPr>
          </w:p>
        </w:tc>
        <w:tc>
          <w:tcPr>
            <w:tcW w:w="3187" w:type="dxa"/>
            <w:noWrap w:val="0"/>
            <w:vAlign w:val="center"/>
          </w:tcPr>
          <w:p>
            <w:pPr>
              <w:spacing w:line="500" w:lineRule="exact"/>
              <w:ind w:firstLine="640" w:firstLineChars="200"/>
              <w:rPr>
                <w:rFonts w:hint="eastAsia"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37" w:type="dxa"/>
            <w:noWrap w:val="0"/>
            <w:vAlign w:val="center"/>
          </w:tcPr>
          <w:p>
            <w:pPr>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w:t>
            </w:r>
          </w:p>
        </w:tc>
        <w:tc>
          <w:tcPr>
            <w:tcW w:w="3240" w:type="dxa"/>
            <w:noWrap w:val="0"/>
            <w:vAlign w:val="center"/>
          </w:tcPr>
          <w:p>
            <w:pPr>
              <w:spacing w:line="500" w:lineRule="exact"/>
              <w:ind w:firstLine="640" w:firstLineChars="200"/>
              <w:rPr>
                <w:rFonts w:hint="eastAsia" w:ascii="仿宋_GB2312" w:eastAsia="仿宋_GB2312"/>
                <w:sz w:val="32"/>
                <w:szCs w:val="32"/>
              </w:rPr>
            </w:pPr>
          </w:p>
        </w:tc>
        <w:tc>
          <w:tcPr>
            <w:tcW w:w="3187" w:type="dxa"/>
            <w:noWrap w:val="0"/>
            <w:vAlign w:val="center"/>
          </w:tcPr>
          <w:p>
            <w:pPr>
              <w:spacing w:line="500" w:lineRule="exact"/>
              <w:ind w:firstLine="640" w:firstLineChars="200"/>
              <w:rPr>
                <w:rFonts w:hint="eastAsia"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37" w:type="dxa"/>
            <w:noWrap w:val="0"/>
            <w:vAlign w:val="center"/>
          </w:tcPr>
          <w:p>
            <w:pPr>
              <w:spacing w:line="500" w:lineRule="exact"/>
              <w:ind w:firstLine="640" w:firstLineChars="200"/>
              <w:rPr>
                <w:rFonts w:hint="eastAsia" w:ascii="仿宋_GB2312" w:eastAsia="仿宋_GB2312"/>
                <w:sz w:val="32"/>
                <w:szCs w:val="32"/>
              </w:rPr>
            </w:pPr>
          </w:p>
        </w:tc>
        <w:tc>
          <w:tcPr>
            <w:tcW w:w="3240" w:type="dxa"/>
            <w:noWrap w:val="0"/>
            <w:vAlign w:val="center"/>
          </w:tcPr>
          <w:p>
            <w:pPr>
              <w:spacing w:line="500" w:lineRule="exact"/>
              <w:ind w:firstLine="640" w:firstLineChars="200"/>
              <w:rPr>
                <w:rFonts w:hint="eastAsia" w:ascii="仿宋_GB2312" w:eastAsia="仿宋_GB2312"/>
                <w:sz w:val="32"/>
                <w:szCs w:val="32"/>
              </w:rPr>
            </w:pPr>
          </w:p>
        </w:tc>
        <w:tc>
          <w:tcPr>
            <w:tcW w:w="3187" w:type="dxa"/>
            <w:noWrap w:val="0"/>
            <w:vAlign w:val="center"/>
          </w:tcPr>
          <w:p>
            <w:pPr>
              <w:spacing w:line="500" w:lineRule="exact"/>
              <w:ind w:firstLine="640" w:firstLineChars="200"/>
              <w:rPr>
                <w:rFonts w:hint="eastAsia" w:ascii="仿宋_GB2312" w:eastAsia="仿宋_GB2312"/>
                <w:sz w:val="32"/>
                <w:szCs w:val="32"/>
              </w:rPr>
            </w:pPr>
          </w:p>
        </w:tc>
      </w:tr>
    </w:tbl>
    <w:p>
      <w:pPr>
        <w:spacing w:line="500" w:lineRule="exact"/>
        <w:ind w:firstLine="627"/>
        <w:jc w:val="center"/>
        <w:rPr>
          <w:rFonts w:hint="eastAsia" w:ascii="仿宋_GB2312" w:hAnsi="宋体" w:eastAsia="仿宋_GB2312" w:cs="宋体"/>
          <w:kern w:val="0"/>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hint="eastAsia" w:ascii="仿宋_GB2312" w:hAnsi="Calibri" w:eastAsia="仿宋_GB2312"/>
          <w:sz w:val="32"/>
          <w:szCs w:val="32"/>
          <w:lang w:val="en-GB"/>
        </w:rPr>
      </w:pPr>
      <w:r>
        <w:rPr>
          <w:rFonts w:hint="eastAsia" w:ascii="仿宋_GB2312" w:eastAsia="仿宋_GB2312"/>
          <w:sz w:val="32"/>
          <w:szCs w:val="32"/>
        </w:rPr>
        <w:t>2018年度收入431.39万元,与上年相比，减少577.91万元，降低57.26%，增减变化主要原因是：预算安排项目经费减少；支出470.90万元,与上年相比，减少777.24万元，降低62.27%，增减变化主要原因是：预算安排项目经费减少；结余19.82万元，与上年相比，减少39.52万元，降低66.60%。增减变化主要原因是：预算安排减少，加快资金支出进度。</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本年收入合计431.39万元，其中：财政拨款收入431.39万元，占100%；上级补助收入0万元，占0%；事业收入0万元，占0%；经营收入0万元，占0%；附属单位缴款0万元，占0%；其他收入0万元，占0%。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与年初预算数相比情况：本年收入年初预算数247.41万元，决算数431.39万元，预决算差异率74.36%，差异主要原因预算未安排项目经费，决算数包含追加的项目经费及人员增资。</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hint="eastAsia" w:ascii="仿宋_GB2312" w:eastAsia="仿宋_GB2312"/>
          <w:spacing w:val="-6"/>
          <w:sz w:val="32"/>
          <w:szCs w:val="32"/>
        </w:rPr>
      </w:pPr>
      <w:r>
        <w:rPr>
          <w:rFonts w:hint="eastAsia" w:ascii="仿宋_GB2312" w:eastAsia="仿宋_GB2312"/>
          <w:sz w:val="32"/>
          <w:szCs w:val="32"/>
        </w:rPr>
        <w:t>本年支出合计</w:t>
      </w:r>
      <w:r>
        <w:rPr>
          <w:rFonts w:hint="eastAsia" w:ascii="仿宋_GB2312" w:eastAsia="仿宋_GB2312"/>
          <w:sz w:val="32"/>
          <w:szCs w:val="32"/>
          <w:lang w:val="en-US" w:eastAsia="zh-CN"/>
        </w:rPr>
        <w:t>470.9</w:t>
      </w:r>
      <w:r>
        <w:rPr>
          <w:rFonts w:hint="eastAsia" w:ascii="仿宋_GB2312" w:eastAsia="仿宋_GB2312"/>
          <w:sz w:val="32"/>
          <w:szCs w:val="32"/>
        </w:rPr>
        <w:t>万元，其中：基本支出</w:t>
      </w:r>
      <w:r>
        <w:rPr>
          <w:rFonts w:hint="eastAsia" w:ascii="仿宋_GB2312" w:eastAsia="仿宋_GB2312"/>
          <w:sz w:val="32"/>
          <w:szCs w:val="32"/>
          <w:lang w:val="en-US" w:eastAsia="zh-CN"/>
        </w:rPr>
        <w:t>316.73</w:t>
      </w:r>
      <w:r>
        <w:rPr>
          <w:rFonts w:hint="eastAsia" w:ascii="仿宋_GB2312" w:eastAsia="仿宋_GB2312"/>
          <w:sz w:val="32"/>
          <w:szCs w:val="32"/>
        </w:rPr>
        <w:t>万元，占</w:t>
      </w:r>
      <w:r>
        <w:rPr>
          <w:rFonts w:hint="eastAsia" w:ascii="仿宋_GB2312" w:eastAsia="仿宋_GB2312"/>
          <w:sz w:val="32"/>
          <w:szCs w:val="32"/>
          <w:lang w:val="en-US" w:eastAsia="zh-CN"/>
        </w:rPr>
        <w:t>67.26</w:t>
      </w:r>
      <w:r>
        <w:rPr>
          <w:rFonts w:hint="eastAsia" w:ascii="仿宋_GB2312" w:eastAsia="仿宋_GB2312"/>
          <w:sz w:val="32"/>
          <w:szCs w:val="32"/>
        </w:rPr>
        <w:t>%；项目支出</w:t>
      </w:r>
      <w:r>
        <w:rPr>
          <w:rFonts w:hint="eastAsia" w:ascii="仿宋_GB2312" w:eastAsia="仿宋_GB2312"/>
          <w:sz w:val="32"/>
          <w:szCs w:val="32"/>
          <w:lang w:val="en-US" w:eastAsia="zh-CN"/>
        </w:rPr>
        <w:t>154.17</w:t>
      </w:r>
      <w:r>
        <w:rPr>
          <w:rFonts w:hint="eastAsia" w:ascii="仿宋_GB2312" w:eastAsia="仿宋_GB2312"/>
          <w:sz w:val="32"/>
          <w:szCs w:val="32"/>
        </w:rPr>
        <w:t>万元，占</w:t>
      </w:r>
      <w:r>
        <w:rPr>
          <w:rFonts w:hint="eastAsia" w:ascii="仿宋_GB2312" w:eastAsia="仿宋_GB2312"/>
          <w:sz w:val="32"/>
          <w:szCs w:val="32"/>
          <w:lang w:val="en-US" w:eastAsia="zh-CN"/>
        </w:rPr>
        <w:t>32.74</w:t>
      </w:r>
      <w:r>
        <w:rPr>
          <w:rFonts w:hint="eastAsia" w:ascii="仿宋_GB2312" w:eastAsia="仿宋_GB2312"/>
          <w:sz w:val="32"/>
          <w:szCs w:val="32"/>
        </w:rPr>
        <w:t>%；上缴上级支出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w:t>
      </w:r>
      <w:r>
        <w:rPr>
          <w:rFonts w:hint="eastAsia" w:ascii="仿宋_GB2312" w:eastAsia="仿宋_GB2312"/>
          <w:spacing w:val="-6"/>
          <w:sz w:val="32"/>
          <w:szCs w:val="32"/>
        </w:rPr>
        <w:t>经营支出</w:t>
      </w:r>
      <w:r>
        <w:rPr>
          <w:rFonts w:hint="eastAsia" w:ascii="仿宋_GB2312" w:eastAsia="仿宋_GB2312"/>
          <w:spacing w:val="-6"/>
          <w:sz w:val="32"/>
          <w:szCs w:val="32"/>
          <w:lang w:val="en-US" w:eastAsia="zh-CN"/>
        </w:rPr>
        <w:t>0</w:t>
      </w:r>
      <w:r>
        <w:rPr>
          <w:rFonts w:hint="eastAsia" w:ascii="仿宋_GB2312" w:eastAsia="仿宋_GB2312"/>
          <w:spacing w:val="-6"/>
          <w:sz w:val="32"/>
          <w:szCs w:val="32"/>
        </w:rPr>
        <w:t>万元，占</w:t>
      </w:r>
      <w:r>
        <w:rPr>
          <w:rFonts w:hint="eastAsia" w:ascii="仿宋_GB2312" w:eastAsia="仿宋_GB2312"/>
          <w:spacing w:val="-6"/>
          <w:sz w:val="32"/>
          <w:szCs w:val="32"/>
          <w:lang w:val="en-US" w:eastAsia="zh-CN"/>
        </w:rPr>
        <w:t>0</w:t>
      </w:r>
      <w:r>
        <w:rPr>
          <w:rFonts w:hint="eastAsia" w:ascii="仿宋_GB2312" w:eastAsia="仿宋_GB2312"/>
          <w:spacing w:val="-6"/>
          <w:sz w:val="32"/>
          <w:szCs w:val="32"/>
        </w:rPr>
        <w:t>%；对附属单位补助支出</w:t>
      </w:r>
      <w:r>
        <w:rPr>
          <w:rFonts w:hint="eastAsia" w:ascii="仿宋_GB2312" w:eastAsia="仿宋_GB2312"/>
          <w:spacing w:val="-6"/>
          <w:sz w:val="32"/>
          <w:szCs w:val="32"/>
          <w:lang w:val="en-US" w:eastAsia="zh-CN"/>
        </w:rPr>
        <w:t>0</w:t>
      </w:r>
      <w:r>
        <w:rPr>
          <w:rFonts w:hint="eastAsia" w:ascii="仿宋_GB2312" w:eastAsia="仿宋_GB2312"/>
          <w:spacing w:val="-6"/>
          <w:sz w:val="32"/>
          <w:szCs w:val="32"/>
        </w:rPr>
        <w:t>万元，占</w:t>
      </w:r>
      <w:r>
        <w:rPr>
          <w:rFonts w:hint="eastAsia" w:ascii="仿宋_GB2312" w:eastAsia="仿宋_GB2312"/>
          <w:spacing w:val="-6"/>
          <w:sz w:val="32"/>
          <w:szCs w:val="32"/>
          <w:lang w:val="en-US" w:eastAsia="zh-CN"/>
        </w:rPr>
        <w:t>0</w:t>
      </w:r>
      <w:r>
        <w:rPr>
          <w:rFonts w:hint="eastAsia" w:ascii="仿宋_GB2312" w:eastAsia="仿宋_GB2312"/>
          <w:spacing w:val="-6"/>
          <w:sz w:val="32"/>
          <w:szCs w:val="32"/>
        </w:rPr>
        <w:t>%</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与年初预算数相比情况：本年支出年初预算数247.41万元，决算数470.90万元，预决算差异率90.33%，差异主要原因年初预算中不包含项目经费，年中追加项目支出。</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财政拨款收入431.39万元，与上年相比，减少577.91万元，降低57.26%。增减变化的主要原因是：预算安排项目经费减少。财政拨款支出470.90万元，与上年相比，减少777.24万元，降低62.27%，增减变化的主要原因是：预算安排项目经费减少。其中：基本支出316.73万元，项目支出154.18万元。财政拨款结转结余19.82万元，与上年相比，减少39.52万元，降低66.6%。增减变化的主要原因是：及时拨付项目经费，按期完成项目。</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与年初预算数相比情况：财政拨款收入年初预算数</w:t>
      </w:r>
      <w:r>
        <w:rPr>
          <w:rFonts w:hint="eastAsia" w:ascii="仿宋_GB2312" w:eastAsia="仿宋_GB2312"/>
          <w:sz w:val="32"/>
          <w:szCs w:val="32"/>
          <w:lang w:val="en-US" w:eastAsia="zh-CN"/>
        </w:rPr>
        <w:t>247.41</w:t>
      </w:r>
      <w:r>
        <w:rPr>
          <w:rFonts w:hint="eastAsia" w:ascii="仿宋_GB2312" w:eastAsia="仿宋_GB2312"/>
          <w:sz w:val="32"/>
          <w:szCs w:val="32"/>
        </w:rPr>
        <w:t>万元，决算数</w:t>
      </w:r>
      <w:r>
        <w:rPr>
          <w:rFonts w:hint="eastAsia" w:ascii="仿宋_GB2312" w:eastAsia="仿宋_GB2312"/>
          <w:sz w:val="32"/>
          <w:szCs w:val="32"/>
          <w:lang w:val="en-US" w:eastAsia="zh-CN"/>
        </w:rPr>
        <w:t>431.39</w:t>
      </w:r>
      <w:r>
        <w:rPr>
          <w:rFonts w:hint="eastAsia" w:ascii="仿宋_GB2312" w:eastAsia="仿宋_GB2312"/>
          <w:sz w:val="32"/>
          <w:szCs w:val="32"/>
        </w:rPr>
        <w:t>万元，预决算差异率</w:t>
      </w:r>
      <w:r>
        <w:rPr>
          <w:rFonts w:hint="eastAsia" w:ascii="仿宋_GB2312" w:eastAsia="仿宋_GB2312"/>
          <w:sz w:val="32"/>
          <w:szCs w:val="32"/>
          <w:lang w:val="en-US" w:eastAsia="zh-CN"/>
        </w:rPr>
        <w:t>74.36</w:t>
      </w:r>
      <w:r>
        <w:rPr>
          <w:rFonts w:hint="eastAsia" w:ascii="仿宋_GB2312" w:eastAsia="仿宋_GB2312"/>
          <w:sz w:val="32"/>
          <w:szCs w:val="32"/>
        </w:rPr>
        <w:t>%，差异主要原因</w:t>
      </w:r>
      <w:r>
        <w:rPr>
          <w:rFonts w:hint="eastAsia" w:ascii="仿宋_GB2312" w:eastAsia="仿宋_GB2312"/>
          <w:sz w:val="32"/>
          <w:szCs w:val="32"/>
          <w:lang w:val="en-US" w:eastAsia="zh-CN"/>
        </w:rPr>
        <w:t>项目资金到位多形成的。</w:t>
      </w:r>
      <w:r>
        <w:rPr>
          <w:rFonts w:hint="eastAsia" w:ascii="仿宋_GB2312" w:eastAsia="仿宋_GB2312"/>
          <w:sz w:val="32"/>
          <w:szCs w:val="32"/>
        </w:rPr>
        <w:t>财政拨款支出年初预算数</w:t>
      </w:r>
      <w:r>
        <w:rPr>
          <w:rFonts w:hint="eastAsia" w:ascii="仿宋_GB2312" w:eastAsia="仿宋_GB2312"/>
          <w:sz w:val="32"/>
          <w:szCs w:val="32"/>
          <w:lang w:val="en-US" w:eastAsia="zh-CN"/>
        </w:rPr>
        <w:t>247.41</w:t>
      </w:r>
      <w:r>
        <w:rPr>
          <w:rFonts w:hint="eastAsia" w:ascii="仿宋_GB2312" w:eastAsia="仿宋_GB2312"/>
          <w:sz w:val="32"/>
          <w:szCs w:val="32"/>
        </w:rPr>
        <w:t>万元，决算数</w:t>
      </w:r>
      <w:r>
        <w:rPr>
          <w:rFonts w:hint="eastAsia" w:ascii="仿宋_GB2312" w:eastAsia="仿宋_GB2312"/>
          <w:sz w:val="32"/>
          <w:szCs w:val="32"/>
          <w:lang w:val="en-US" w:eastAsia="zh-CN"/>
        </w:rPr>
        <w:t>470.9</w:t>
      </w:r>
      <w:r>
        <w:rPr>
          <w:rFonts w:hint="eastAsia" w:ascii="仿宋_GB2312" w:eastAsia="仿宋_GB2312"/>
          <w:sz w:val="32"/>
          <w:szCs w:val="32"/>
        </w:rPr>
        <w:t>万元，预决算差异率</w:t>
      </w:r>
      <w:r>
        <w:rPr>
          <w:rFonts w:hint="eastAsia" w:ascii="仿宋_GB2312" w:eastAsia="仿宋_GB2312"/>
          <w:sz w:val="32"/>
          <w:szCs w:val="32"/>
          <w:lang w:val="en-US" w:eastAsia="zh-CN"/>
        </w:rPr>
        <w:t>90.33</w:t>
      </w:r>
      <w:r>
        <w:rPr>
          <w:rFonts w:hint="eastAsia" w:ascii="仿宋_GB2312" w:eastAsia="仿宋_GB2312"/>
          <w:sz w:val="32"/>
          <w:szCs w:val="32"/>
        </w:rPr>
        <w:t>%，差异主要原因年初预算中不包含项目经费，年中追加项目支出。</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财政拨款收入431.39万元。与上年相比，减少577.91万元，降低57.26%。增减变化的主要原因是：预算安排项目经费减少。一般公共预算财政拨款支出470.90万元。与上年相比，减少777.24万元，降低62.27%。增减变化的主要原因是：预算安排项目经费减少。其中：按功能分类科目，201类知识产权宏观管理支出104万元，206类科学技术支出342.4万元，2080505机关事业单位基本养老保险缴费支出24.50万元。按经济分类科目，工资福利支出247.93万元、商品和服务支出39.33万元、对个人和家庭的补助支出28万元、资本性支出1.47万元，对企业补助154.17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初预算数相比情况：一般公共预算财政拨款收入年初预算数247.41万元，决算数431.39万元，预决算差异率74.36%，差异主要原因年初预算中不包含项目经费，年中追加项目支出。一般公共预算财政拨款支出年初预算数247.41万元，决算数470.90万元，预决算差异率90.33%，差异主要原因年初预算中不包含项目经费，年中追加项目支出。</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其中：按功能分类科目（按类级科目公开），201类知识产权宏观管理支出</w:t>
      </w:r>
      <w:r>
        <w:rPr>
          <w:rFonts w:hint="eastAsia" w:ascii="仿宋_GB2312" w:eastAsia="仿宋_GB2312"/>
          <w:sz w:val="32"/>
          <w:szCs w:val="32"/>
          <w:lang w:val="en-US" w:eastAsia="zh-CN"/>
        </w:rPr>
        <w:t>0</w:t>
      </w:r>
      <w:r>
        <w:rPr>
          <w:rFonts w:hint="eastAsia" w:ascii="仿宋_GB2312" w:eastAsia="仿宋_GB2312"/>
          <w:sz w:val="32"/>
          <w:szCs w:val="32"/>
        </w:rPr>
        <w:t>万元，206类科学技术支出</w:t>
      </w:r>
      <w:r>
        <w:rPr>
          <w:rFonts w:hint="eastAsia" w:ascii="仿宋_GB2312" w:eastAsia="仿宋_GB2312"/>
          <w:sz w:val="32"/>
          <w:szCs w:val="32"/>
          <w:lang w:val="en-US" w:eastAsia="zh-CN"/>
        </w:rPr>
        <w:t>0</w:t>
      </w:r>
      <w:r>
        <w:rPr>
          <w:rFonts w:hint="eastAsia" w:ascii="仿宋_GB2312" w:eastAsia="仿宋_GB2312"/>
          <w:sz w:val="32"/>
          <w:szCs w:val="32"/>
        </w:rPr>
        <w:t>万元，2080505机关事业单位基本养老保险缴费支出</w:t>
      </w:r>
      <w:r>
        <w:rPr>
          <w:rFonts w:hint="eastAsia" w:ascii="仿宋_GB2312" w:eastAsia="仿宋_GB2312"/>
          <w:sz w:val="32"/>
          <w:szCs w:val="32"/>
          <w:lang w:val="en-US" w:eastAsia="zh-CN"/>
        </w:rPr>
        <w:t>0</w:t>
      </w:r>
      <w:r>
        <w:rPr>
          <w:rFonts w:hint="eastAsia" w:ascii="仿宋_GB2312" w:eastAsia="仿宋_GB2312"/>
          <w:sz w:val="32"/>
          <w:szCs w:val="32"/>
        </w:rPr>
        <w:t>万元。按经济分类科目，工资福利支出</w:t>
      </w:r>
      <w:r>
        <w:rPr>
          <w:rFonts w:hint="eastAsia" w:ascii="仿宋_GB2312" w:eastAsia="仿宋_GB2312"/>
          <w:sz w:val="32"/>
          <w:szCs w:val="32"/>
          <w:lang w:val="en-US" w:eastAsia="zh-CN"/>
        </w:rPr>
        <w:t>0</w:t>
      </w:r>
      <w:r>
        <w:rPr>
          <w:rFonts w:hint="eastAsia" w:ascii="仿宋_GB2312" w:eastAsia="仿宋_GB2312"/>
          <w:sz w:val="32"/>
          <w:szCs w:val="32"/>
        </w:rPr>
        <w:t>万元、商品和服务支出</w:t>
      </w:r>
      <w:r>
        <w:rPr>
          <w:rFonts w:hint="eastAsia" w:ascii="仿宋_GB2312" w:eastAsia="仿宋_GB2312"/>
          <w:sz w:val="32"/>
          <w:szCs w:val="32"/>
          <w:lang w:val="en-US" w:eastAsia="zh-CN"/>
        </w:rPr>
        <w:t>0</w:t>
      </w:r>
      <w:r>
        <w:rPr>
          <w:rFonts w:hint="eastAsia" w:ascii="仿宋_GB2312" w:eastAsia="仿宋_GB2312"/>
          <w:sz w:val="32"/>
          <w:szCs w:val="32"/>
        </w:rPr>
        <w:t>万元、对个人和家庭的补助支出</w:t>
      </w:r>
      <w:r>
        <w:rPr>
          <w:rFonts w:hint="eastAsia" w:ascii="仿宋_GB2312" w:eastAsia="仿宋_GB2312"/>
          <w:sz w:val="32"/>
          <w:szCs w:val="32"/>
          <w:lang w:val="en-US" w:eastAsia="zh-CN"/>
        </w:rPr>
        <w:t>0</w:t>
      </w:r>
      <w:r>
        <w:rPr>
          <w:rFonts w:hint="eastAsia" w:ascii="仿宋_GB2312" w:eastAsia="仿宋_GB2312"/>
          <w:sz w:val="32"/>
          <w:szCs w:val="32"/>
        </w:rPr>
        <w:t>万元、资本性支出</w:t>
      </w:r>
      <w:r>
        <w:rPr>
          <w:rFonts w:hint="eastAsia" w:ascii="仿宋_GB2312" w:eastAsia="仿宋_GB2312"/>
          <w:sz w:val="32"/>
          <w:szCs w:val="32"/>
          <w:lang w:val="en-US" w:eastAsia="zh-CN"/>
        </w:rPr>
        <w:t>0</w:t>
      </w:r>
      <w:r>
        <w:rPr>
          <w:rFonts w:hint="eastAsia" w:ascii="仿宋_GB2312" w:eastAsia="仿宋_GB2312"/>
          <w:sz w:val="32"/>
          <w:szCs w:val="32"/>
        </w:rPr>
        <w:t>万元，对企业补助</w:t>
      </w:r>
      <w:r>
        <w:rPr>
          <w:rFonts w:hint="eastAsia" w:ascii="仿宋_GB2312" w:eastAsia="仿宋_GB2312"/>
          <w:sz w:val="32"/>
          <w:szCs w:val="32"/>
          <w:lang w:val="en-US" w:eastAsia="zh-CN"/>
        </w:rPr>
        <w:t>0</w:t>
      </w:r>
      <w:r>
        <w:rPr>
          <w:rFonts w:hint="eastAsia" w:ascii="仿宋_GB2312" w:eastAsia="仿宋_GB2312"/>
          <w:sz w:val="32"/>
          <w:szCs w:val="32"/>
        </w:rPr>
        <w:t>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年末结转结余</w:t>
      </w:r>
      <w:r>
        <w:rPr>
          <w:rFonts w:hint="eastAsia" w:ascii="仿宋_GB2312" w:eastAsia="仿宋_GB2312"/>
          <w:sz w:val="32"/>
          <w:szCs w:val="32"/>
          <w:lang w:val="en-US" w:eastAsia="zh-CN"/>
        </w:rPr>
        <w:t>19.82</w:t>
      </w:r>
      <w:r>
        <w:rPr>
          <w:rFonts w:hint="eastAsia" w:ascii="仿宋_GB2312" w:eastAsia="仿宋_GB2312"/>
          <w:sz w:val="32"/>
          <w:szCs w:val="32"/>
        </w:rPr>
        <w:t>万元。与上年相比，减少</w:t>
      </w:r>
      <w:r>
        <w:rPr>
          <w:rFonts w:hint="eastAsia" w:ascii="仿宋_GB2312" w:eastAsia="仿宋_GB2312"/>
          <w:sz w:val="32"/>
          <w:szCs w:val="32"/>
          <w:lang w:val="en-US" w:eastAsia="zh-CN"/>
        </w:rPr>
        <w:t>39.52</w:t>
      </w:r>
      <w:r>
        <w:rPr>
          <w:rFonts w:hint="eastAsia" w:ascii="仿宋_GB2312" w:eastAsia="仿宋_GB2312"/>
          <w:sz w:val="32"/>
          <w:szCs w:val="32"/>
        </w:rPr>
        <w:t>万元，降低</w:t>
      </w:r>
      <w:r>
        <w:rPr>
          <w:rFonts w:hint="eastAsia" w:ascii="仿宋_GB2312" w:eastAsia="仿宋_GB2312"/>
          <w:sz w:val="32"/>
          <w:szCs w:val="32"/>
          <w:lang w:val="en-US" w:eastAsia="zh-CN"/>
        </w:rPr>
        <w:t>66.6</w:t>
      </w:r>
      <w:r>
        <w:rPr>
          <w:rFonts w:hint="eastAsia" w:ascii="仿宋_GB2312" w:eastAsia="仿宋_GB2312"/>
          <w:sz w:val="32"/>
          <w:szCs w:val="32"/>
        </w:rPr>
        <w:t>%。</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其中财政拨款结转结余19.82万元。与上年相比，减少39.52万元，降低66.6%</w:t>
      </w:r>
      <w:r>
        <w:rPr>
          <w:rFonts w:hint="eastAsia" w:ascii="宋体" w:hAnsi="宋体" w:eastAsia="宋体" w:cs="宋体"/>
          <w:color w:val="333333"/>
          <w:kern w:val="0"/>
          <w:sz w:val="24"/>
          <w:szCs w:val="24"/>
        </w:rPr>
        <w:t>。</w:t>
      </w:r>
    </w:p>
    <w:p>
      <w:pPr>
        <w:spacing w:line="540" w:lineRule="exact"/>
        <w:ind w:firstLine="640" w:firstLineChars="200"/>
        <w:rPr>
          <w:rFonts w:hint="eastAsia" w:ascii="宋体" w:hAnsi="宋体" w:eastAsia="宋体" w:cs="宋体"/>
          <w:color w:val="333333"/>
          <w:kern w:val="0"/>
          <w:sz w:val="24"/>
          <w:szCs w:val="24"/>
        </w:rPr>
      </w:pPr>
      <w:r>
        <w:rPr>
          <w:rFonts w:hint="eastAsia" w:ascii="黑体" w:hAnsi="黑体" w:eastAsia="黑体"/>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2018</w:t>
      </w:r>
      <w:r>
        <w:rPr>
          <w:rFonts w:hint="eastAsia" w:ascii="仿宋_GB2312" w:eastAsia="仿宋_GB2312"/>
          <w:sz w:val="32"/>
          <w:szCs w:val="32"/>
        </w:rPr>
        <w:t>年度一般公共预算“三公”经费支出决算</w:t>
      </w:r>
      <w:r>
        <w:rPr>
          <w:rFonts w:hint="eastAsia" w:ascii="仿宋_GB2312" w:eastAsia="仿宋_GB2312"/>
          <w:sz w:val="32"/>
          <w:szCs w:val="32"/>
          <w:lang w:val="en-US" w:eastAsia="zh-CN"/>
        </w:rPr>
        <w:t>7.74</w:t>
      </w:r>
      <w:r>
        <w:rPr>
          <w:rFonts w:hint="eastAsia" w:ascii="仿宋_GB2312" w:eastAsia="仿宋_GB2312"/>
          <w:sz w:val="32"/>
          <w:szCs w:val="32"/>
        </w:rPr>
        <w:t>万元，比上年增加</w:t>
      </w:r>
      <w:r>
        <w:rPr>
          <w:rFonts w:hint="eastAsia" w:ascii="仿宋_GB2312" w:eastAsia="仿宋_GB2312"/>
          <w:sz w:val="32"/>
          <w:szCs w:val="32"/>
          <w:lang w:val="en-US" w:eastAsia="zh-CN"/>
        </w:rPr>
        <w:t>4.49</w:t>
      </w:r>
      <w:r>
        <w:rPr>
          <w:rFonts w:hint="eastAsia" w:ascii="仿宋_GB2312" w:eastAsia="仿宋_GB2312"/>
          <w:sz w:val="32"/>
          <w:szCs w:val="32"/>
        </w:rPr>
        <w:t>万元，增长</w:t>
      </w:r>
      <w:r>
        <w:rPr>
          <w:rFonts w:hint="eastAsia" w:ascii="仿宋_GB2312" w:eastAsia="仿宋_GB2312"/>
          <w:sz w:val="32"/>
          <w:szCs w:val="32"/>
          <w:lang w:val="en-US" w:eastAsia="zh-CN"/>
        </w:rPr>
        <w:t>138.15</w:t>
      </w:r>
      <w:r>
        <w:rPr>
          <w:rFonts w:hint="eastAsia" w:ascii="仿宋_GB2312" w:eastAsia="仿宋_GB2312"/>
          <w:sz w:val="32"/>
          <w:szCs w:val="32"/>
        </w:rPr>
        <w:t>%，增加原因是</w:t>
      </w:r>
      <w:r>
        <w:rPr>
          <w:rFonts w:hint="eastAsia" w:ascii="仿宋_GB2312" w:eastAsia="仿宋_GB2312"/>
          <w:sz w:val="32"/>
          <w:szCs w:val="32"/>
          <w:lang w:eastAsia="zh-CN"/>
        </w:rPr>
        <w:t>科普宣传活动次数增加，预算增加公务车辆运行维护费</w:t>
      </w:r>
      <w:r>
        <w:rPr>
          <w:rFonts w:hint="eastAsia" w:ascii="仿宋_GB2312" w:eastAsia="仿宋_GB2312"/>
          <w:sz w:val="32"/>
          <w:szCs w:val="32"/>
        </w:rPr>
        <w:t>。其中，因公出国（境）费支出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%，比上年增加</w:t>
      </w:r>
      <w:r>
        <w:rPr>
          <w:rFonts w:hint="eastAsia" w:ascii="仿宋_GB2312" w:eastAsia="仿宋_GB2312"/>
          <w:sz w:val="32"/>
          <w:szCs w:val="32"/>
          <w:lang w:val="en-US" w:eastAsia="zh-CN"/>
        </w:rPr>
        <w:t>0</w:t>
      </w:r>
      <w:r>
        <w:rPr>
          <w:rFonts w:hint="eastAsia" w:ascii="仿宋_GB2312" w:eastAsia="仿宋_GB2312"/>
          <w:sz w:val="32"/>
          <w:szCs w:val="32"/>
        </w:rPr>
        <w:t>万元，增长</w:t>
      </w:r>
      <w:r>
        <w:rPr>
          <w:rFonts w:hint="eastAsia" w:ascii="仿宋_GB2312" w:eastAsia="仿宋_GB2312"/>
          <w:sz w:val="32"/>
          <w:szCs w:val="32"/>
          <w:lang w:val="en-US" w:eastAsia="zh-CN"/>
        </w:rPr>
        <w:t>0</w:t>
      </w:r>
      <w:r>
        <w:rPr>
          <w:rFonts w:hint="eastAsia" w:ascii="仿宋_GB2312" w:eastAsia="仿宋_GB2312"/>
          <w:sz w:val="32"/>
          <w:szCs w:val="32"/>
        </w:rPr>
        <w:t>%，增加原因是</w:t>
      </w:r>
      <w:r>
        <w:rPr>
          <w:rFonts w:hint="eastAsia" w:ascii="仿宋_GB2312" w:eastAsia="仿宋_GB2312"/>
          <w:sz w:val="32"/>
          <w:szCs w:val="32"/>
          <w:lang w:eastAsia="zh-CN"/>
        </w:rPr>
        <w:t>本年无增减</w:t>
      </w:r>
      <w:r>
        <w:rPr>
          <w:rFonts w:hint="eastAsia" w:ascii="仿宋_GB2312" w:eastAsia="仿宋_GB2312"/>
          <w:sz w:val="32"/>
          <w:szCs w:val="32"/>
        </w:rPr>
        <w:t>；公务用车购置及运行维护费支出</w:t>
      </w:r>
      <w:r>
        <w:rPr>
          <w:rFonts w:hint="eastAsia" w:ascii="仿宋_GB2312" w:eastAsia="仿宋_GB2312"/>
          <w:sz w:val="32"/>
          <w:szCs w:val="32"/>
          <w:lang w:val="en-US" w:eastAsia="zh-CN"/>
        </w:rPr>
        <w:t>7.74</w:t>
      </w:r>
      <w:r>
        <w:rPr>
          <w:rFonts w:hint="eastAsia" w:ascii="仿宋_GB2312" w:eastAsia="仿宋_GB2312"/>
          <w:sz w:val="32"/>
          <w:szCs w:val="32"/>
        </w:rPr>
        <w:t>万元，占</w:t>
      </w:r>
      <w:r>
        <w:rPr>
          <w:rFonts w:hint="eastAsia" w:ascii="仿宋_GB2312" w:eastAsia="仿宋_GB2312"/>
          <w:sz w:val="32"/>
          <w:szCs w:val="32"/>
          <w:lang w:val="en-US" w:eastAsia="zh-CN"/>
        </w:rPr>
        <w:t>100</w:t>
      </w:r>
      <w:r>
        <w:rPr>
          <w:rFonts w:hint="eastAsia" w:ascii="仿宋_GB2312" w:eastAsia="仿宋_GB2312"/>
          <w:sz w:val="32"/>
          <w:szCs w:val="32"/>
        </w:rPr>
        <w:t>%，比上年增加</w:t>
      </w:r>
      <w:r>
        <w:rPr>
          <w:rFonts w:hint="eastAsia" w:ascii="仿宋_GB2312" w:eastAsia="仿宋_GB2312"/>
          <w:sz w:val="32"/>
          <w:szCs w:val="32"/>
          <w:lang w:val="en-US" w:eastAsia="zh-CN"/>
        </w:rPr>
        <w:t>4.49</w:t>
      </w:r>
      <w:r>
        <w:rPr>
          <w:rFonts w:hint="eastAsia" w:ascii="仿宋_GB2312" w:eastAsia="仿宋_GB2312"/>
          <w:sz w:val="32"/>
          <w:szCs w:val="32"/>
        </w:rPr>
        <w:t>万元，增长</w:t>
      </w:r>
      <w:r>
        <w:rPr>
          <w:rFonts w:hint="eastAsia" w:ascii="仿宋_GB2312" w:eastAsia="仿宋_GB2312"/>
          <w:sz w:val="32"/>
          <w:szCs w:val="32"/>
          <w:lang w:val="en-US" w:eastAsia="zh-CN"/>
        </w:rPr>
        <w:t>138.15</w:t>
      </w:r>
      <w:r>
        <w:rPr>
          <w:rFonts w:hint="eastAsia" w:ascii="仿宋_GB2312" w:eastAsia="仿宋_GB2312"/>
          <w:sz w:val="32"/>
          <w:szCs w:val="32"/>
        </w:rPr>
        <w:t>%，增加原因是</w:t>
      </w:r>
      <w:r>
        <w:rPr>
          <w:rFonts w:hint="eastAsia" w:ascii="仿宋_GB2312" w:eastAsia="仿宋_GB2312"/>
          <w:sz w:val="32"/>
          <w:szCs w:val="32"/>
          <w:lang w:eastAsia="zh-CN"/>
        </w:rPr>
        <w:t>科普宣传活动次数增加，预算增加公务车辆运行维护费</w:t>
      </w:r>
      <w:r>
        <w:rPr>
          <w:rFonts w:hint="eastAsia" w:ascii="仿宋_GB2312" w:eastAsia="仿宋_GB2312"/>
          <w:sz w:val="32"/>
          <w:szCs w:val="32"/>
        </w:rPr>
        <w:t>；公务接待费支出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%，比上年增加</w:t>
      </w:r>
      <w:r>
        <w:rPr>
          <w:rFonts w:hint="eastAsia" w:ascii="仿宋_GB2312" w:eastAsia="仿宋_GB2312"/>
          <w:sz w:val="32"/>
          <w:szCs w:val="32"/>
          <w:lang w:val="en-US" w:eastAsia="zh-CN"/>
        </w:rPr>
        <w:t>0</w:t>
      </w:r>
      <w:r>
        <w:rPr>
          <w:rFonts w:hint="eastAsia" w:ascii="仿宋_GB2312" w:eastAsia="仿宋_GB2312"/>
          <w:sz w:val="32"/>
          <w:szCs w:val="32"/>
        </w:rPr>
        <w:t>万元，增长</w:t>
      </w:r>
      <w:r>
        <w:rPr>
          <w:rFonts w:hint="eastAsia" w:ascii="仿宋_GB2312" w:eastAsia="仿宋_GB2312"/>
          <w:sz w:val="32"/>
          <w:szCs w:val="32"/>
          <w:lang w:val="en-US" w:eastAsia="zh-CN"/>
        </w:rPr>
        <w:t>0</w:t>
      </w:r>
      <w:r>
        <w:rPr>
          <w:rFonts w:hint="eastAsia" w:ascii="仿宋_GB2312" w:eastAsia="仿宋_GB2312"/>
          <w:sz w:val="32"/>
          <w:szCs w:val="32"/>
        </w:rPr>
        <w:t>%，增加原因是</w:t>
      </w:r>
      <w:r>
        <w:rPr>
          <w:rFonts w:hint="eastAsia" w:ascii="仿宋_GB2312" w:eastAsia="仿宋_GB2312"/>
          <w:sz w:val="32"/>
          <w:szCs w:val="32"/>
          <w:lang w:eastAsia="zh-CN"/>
        </w:rPr>
        <w:t>本年无增减</w:t>
      </w:r>
      <w:r>
        <w:rPr>
          <w:rFonts w:hint="eastAsia" w:ascii="仿宋_GB2312" w:eastAsia="仿宋_GB2312"/>
          <w:sz w:val="32"/>
          <w:szCs w:val="32"/>
        </w:rPr>
        <w:t>。具体情况如下：</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因公出国（境）费支出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昌吉市科学技术局</w:t>
      </w:r>
      <w:r>
        <w:rPr>
          <w:rFonts w:hint="eastAsia" w:ascii="仿宋_GB2312" w:eastAsia="仿宋_GB2312"/>
          <w:sz w:val="32"/>
          <w:szCs w:val="32"/>
        </w:rPr>
        <w:t>全年使用一般公共预算财政拨款安排的出国（境）团组</w:t>
      </w:r>
      <w:r>
        <w:rPr>
          <w:rFonts w:hint="eastAsia" w:ascii="仿宋_GB2312" w:eastAsia="仿宋_GB2312"/>
          <w:sz w:val="32"/>
          <w:szCs w:val="32"/>
          <w:lang w:val="en-US" w:eastAsia="zh-CN"/>
        </w:rPr>
        <w:t>0</w:t>
      </w:r>
      <w:r>
        <w:rPr>
          <w:rFonts w:hint="eastAsia" w:ascii="仿宋_GB2312" w:eastAsia="仿宋_GB2312"/>
          <w:sz w:val="32"/>
          <w:szCs w:val="32"/>
        </w:rPr>
        <w:t>个，累计</w:t>
      </w:r>
      <w:r>
        <w:rPr>
          <w:rFonts w:hint="eastAsia" w:ascii="仿宋_GB2312" w:eastAsia="仿宋_GB2312"/>
          <w:sz w:val="32"/>
          <w:szCs w:val="32"/>
          <w:lang w:val="en-US" w:eastAsia="zh-CN"/>
        </w:rPr>
        <w:t>0</w:t>
      </w:r>
      <w:r>
        <w:rPr>
          <w:rFonts w:hint="eastAsia" w:ascii="仿宋_GB2312" w:eastAsia="仿宋_GB2312"/>
          <w:sz w:val="32"/>
          <w:szCs w:val="32"/>
        </w:rPr>
        <w:t>人次。开支内容包括：</w:t>
      </w:r>
      <w:r>
        <w:rPr>
          <w:rFonts w:hint="eastAsia" w:ascii="仿宋_GB2312" w:eastAsia="仿宋_GB2312"/>
          <w:sz w:val="32"/>
          <w:szCs w:val="32"/>
          <w:lang w:eastAsia="zh-CN"/>
        </w:rPr>
        <w:t>无开支</w:t>
      </w:r>
      <w:r>
        <w:rPr>
          <w:rFonts w:hint="eastAsia" w:ascii="仿宋_GB2312" w:eastAsia="仿宋_GB2312"/>
          <w:sz w:val="32"/>
          <w:szCs w:val="32"/>
        </w:rPr>
        <w:t>。</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公务用车购置及运行维护费</w:t>
      </w:r>
      <w:r>
        <w:rPr>
          <w:rFonts w:hint="eastAsia" w:ascii="仿宋_GB2312" w:eastAsia="仿宋_GB2312"/>
          <w:sz w:val="32"/>
          <w:szCs w:val="32"/>
          <w:lang w:val="en-US" w:eastAsia="zh-CN"/>
        </w:rPr>
        <w:t>7.74</w:t>
      </w:r>
      <w:r>
        <w:rPr>
          <w:rFonts w:hint="eastAsia" w:ascii="仿宋_GB2312" w:eastAsia="仿宋_GB2312"/>
          <w:sz w:val="32"/>
          <w:szCs w:val="32"/>
        </w:rPr>
        <w:t>万元,其中，公务用车购置</w:t>
      </w:r>
      <w:r>
        <w:rPr>
          <w:rFonts w:hint="eastAsia" w:ascii="仿宋_GB2312" w:eastAsia="仿宋_GB2312"/>
          <w:sz w:val="32"/>
          <w:szCs w:val="32"/>
          <w:lang w:val="en-US" w:eastAsia="zh-CN"/>
        </w:rPr>
        <w:t>0</w:t>
      </w:r>
      <w:r>
        <w:rPr>
          <w:rFonts w:hint="eastAsia" w:ascii="仿宋_GB2312" w:eastAsia="仿宋_GB2312"/>
          <w:sz w:val="32"/>
          <w:szCs w:val="32"/>
        </w:rPr>
        <w:t>万元，公务用车运行维护费</w:t>
      </w:r>
      <w:r>
        <w:rPr>
          <w:rFonts w:hint="eastAsia" w:ascii="仿宋_GB2312" w:eastAsia="仿宋_GB2312"/>
          <w:sz w:val="32"/>
          <w:szCs w:val="32"/>
          <w:lang w:val="en-US" w:eastAsia="zh-CN"/>
        </w:rPr>
        <w:t>7.74</w:t>
      </w:r>
      <w:r>
        <w:rPr>
          <w:rFonts w:hint="eastAsia" w:ascii="仿宋_GB2312" w:eastAsia="仿宋_GB2312"/>
          <w:sz w:val="32"/>
          <w:szCs w:val="32"/>
        </w:rPr>
        <w:t>万元。主要用于车辆加油及车辆维修费等</w:t>
      </w:r>
      <w:r>
        <w:rPr>
          <w:rFonts w:hint="eastAsia" w:ascii="仿宋_GB2312" w:eastAsia="仿宋_GB2312"/>
          <w:sz w:val="32"/>
          <w:szCs w:val="32"/>
        </w:rPr>
        <w:t>。单位一般公共财政拨款安排的公务用车购置量</w:t>
      </w:r>
      <w:r>
        <w:rPr>
          <w:rFonts w:hint="eastAsia" w:ascii="仿宋_GB2312" w:eastAsia="仿宋_GB2312"/>
          <w:sz w:val="32"/>
          <w:szCs w:val="32"/>
          <w:lang w:val="en-US" w:eastAsia="zh-CN"/>
        </w:rPr>
        <w:t>0</w:t>
      </w:r>
      <w:r>
        <w:rPr>
          <w:rFonts w:hint="eastAsia" w:ascii="仿宋_GB2312" w:eastAsia="仿宋_GB2312"/>
          <w:sz w:val="32"/>
          <w:szCs w:val="32"/>
        </w:rPr>
        <w:t>辆，保有量为</w:t>
      </w:r>
      <w:r>
        <w:rPr>
          <w:rFonts w:hint="eastAsia" w:ascii="仿宋_GB2312" w:eastAsia="仿宋_GB2312"/>
          <w:sz w:val="32"/>
          <w:szCs w:val="32"/>
          <w:lang w:val="en-US" w:eastAsia="zh-CN"/>
        </w:rPr>
        <w:t>4</w:t>
      </w:r>
      <w:r>
        <w:rPr>
          <w:rFonts w:hint="eastAsia" w:ascii="仿宋_GB2312" w:eastAsia="仿宋_GB2312"/>
          <w:sz w:val="32"/>
          <w:szCs w:val="32"/>
        </w:rPr>
        <w:t>辆。</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公务接待费</w:t>
      </w:r>
      <w:r>
        <w:rPr>
          <w:rFonts w:hint="eastAsia" w:ascii="仿宋_GB2312" w:eastAsia="仿宋_GB2312"/>
          <w:sz w:val="32"/>
          <w:szCs w:val="32"/>
          <w:lang w:val="en-US" w:eastAsia="zh-CN"/>
        </w:rPr>
        <w:t>0</w:t>
      </w:r>
      <w:r>
        <w:rPr>
          <w:rFonts w:hint="eastAsia" w:ascii="仿宋_GB2312" w:eastAsia="仿宋_GB2312"/>
          <w:sz w:val="32"/>
          <w:szCs w:val="32"/>
        </w:rPr>
        <w:t>万元。具体是：国内公务接待支出</w:t>
      </w:r>
      <w:r>
        <w:rPr>
          <w:rFonts w:hint="eastAsia" w:ascii="仿宋_GB2312" w:eastAsia="仿宋_GB2312"/>
          <w:sz w:val="32"/>
          <w:szCs w:val="32"/>
          <w:lang w:val="en-US" w:eastAsia="zh-CN"/>
        </w:rPr>
        <w:t>0</w:t>
      </w:r>
      <w:r>
        <w:rPr>
          <w:rFonts w:hint="eastAsia" w:ascii="仿宋_GB2312" w:eastAsia="仿宋_GB2312"/>
          <w:sz w:val="32"/>
          <w:szCs w:val="32"/>
        </w:rPr>
        <w:t>万元，主要是</w:t>
      </w:r>
      <w:r>
        <w:rPr>
          <w:rFonts w:hint="eastAsia" w:ascii="仿宋_GB2312" w:eastAsia="仿宋_GB2312"/>
          <w:sz w:val="32"/>
          <w:szCs w:val="32"/>
          <w:lang w:eastAsia="zh-CN"/>
        </w:rPr>
        <w:t>无公务接待</w:t>
      </w:r>
      <w:r>
        <w:rPr>
          <w:rFonts w:hint="eastAsia" w:ascii="仿宋_GB2312" w:eastAsia="仿宋_GB2312"/>
          <w:sz w:val="32"/>
          <w:szCs w:val="32"/>
        </w:rPr>
        <w:t>。</w:t>
      </w:r>
      <w:r>
        <w:rPr>
          <w:rFonts w:hint="eastAsia" w:ascii="仿宋_GB2312" w:eastAsia="仿宋_GB2312"/>
          <w:sz w:val="32"/>
          <w:szCs w:val="32"/>
          <w:lang w:eastAsia="zh-CN"/>
        </w:rPr>
        <w:t>昌吉市科学技术局</w:t>
      </w:r>
      <w:r>
        <w:rPr>
          <w:rFonts w:hint="eastAsia" w:ascii="仿宋_GB2312" w:eastAsia="仿宋_GB2312"/>
          <w:sz w:val="32"/>
          <w:szCs w:val="32"/>
        </w:rPr>
        <w:t>国内公务接待</w:t>
      </w:r>
      <w:r>
        <w:rPr>
          <w:rFonts w:hint="eastAsia" w:ascii="仿宋_GB2312" w:eastAsia="仿宋_GB2312"/>
          <w:sz w:val="32"/>
          <w:szCs w:val="32"/>
          <w:lang w:val="en-US" w:eastAsia="zh-CN"/>
        </w:rPr>
        <w:t>0</w:t>
      </w:r>
      <w:r>
        <w:rPr>
          <w:rFonts w:hint="eastAsia" w:ascii="仿宋_GB2312" w:eastAsia="仿宋_GB2312"/>
          <w:sz w:val="32"/>
          <w:szCs w:val="32"/>
        </w:rPr>
        <w:t>批次，</w:t>
      </w:r>
      <w:r>
        <w:rPr>
          <w:rFonts w:hint="eastAsia" w:ascii="仿宋_GB2312" w:eastAsia="仿宋_GB2312"/>
          <w:sz w:val="32"/>
          <w:szCs w:val="32"/>
          <w:lang w:val="en-US" w:eastAsia="zh-CN"/>
        </w:rPr>
        <w:t>0</w:t>
      </w:r>
      <w:r>
        <w:rPr>
          <w:rFonts w:hint="eastAsia" w:ascii="仿宋_GB2312" w:eastAsia="仿宋_GB2312"/>
          <w:sz w:val="32"/>
          <w:szCs w:val="32"/>
        </w:rPr>
        <w:t>人次。</w:t>
      </w:r>
    </w:p>
    <w:p>
      <w:pPr>
        <w:widowControl w:val="0"/>
        <w:spacing w:line="540" w:lineRule="exact"/>
        <w:ind w:firstLine="640" w:firstLineChars="200"/>
        <w:jc w:val="both"/>
        <w:rPr>
          <w:rFonts w:ascii="仿宋_GB2312" w:hAnsi="宋体" w:eastAsia="仿宋_GB2312" w:cs="宋体"/>
          <w:kern w:val="0"/>
          <w:sz w:val="32"/>
          <w:szCs w:val="32"/>
        </w:rPr>
      </w:pPr>
      <w:r>
        <w:rPr>
          <w:rFonts w:hint="eastAsia" w:ascii="仿宋_GB2312" w:eastAsia="仿宋_GB2312"/>
          <w:sz w:val="32"/>
          <w:szCs w:val="32"/>
        </w:rPr>
        <w:t>与年初预算数相比情况：一般公共预算“三公”经费支出年初预算数10.4万元，决算数7.74万元，预决算差异率25.58%，差异主要原因严格车辆管理制度，节约使用公车。其中：因公出国（境）费预算数0万元，决算数0万元，预决算差异率0%，差异主要原因：本年无增减；公务用车购置预算数0万元，决算数0万元，预决算差异率0%，差异主要原因：本年无增减；公务用车运行费预算数10.4万元，决算数7.74万元，预决算差异率25.58%，差异主要原因严格车辆管理制度，节约使用公车；公务接待费预算数0万元，决算数0万元，预决算差异率0%，差异主要原因：本年无增减。</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五、机关运行经费支出情况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2018年度昌吉市科学技术局机关运行经费支出40.8万元，比上年减少338.22万元，减少89.23%，主要原因是预算安排项目经费减少。</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2018</w:t>
      </w:r>
      <w:r>
        <w:rPr>
          <w:rFonts w:hint="eastAsia" w:ascii="仿宋_GB2312" w:eastAsia="仿宋_GB2312"/>
          <w:sz w:val="32"/>
          <w:szCs w:val="32"/>
        </w:rPr>
        <w:t>年度政府采购支出总额</w:t>
      </w:r>
      <w:r>
        <w:rPr>
          <w:rFonts w:hint="eastAsia" w:ascii="仿宋_GB2312" w:eastAsia="仿宋_GB2312"/>
          <w:sz w:val="32"/>
          <w:szCs w:val="32"/>
          <w:lang w:val="en-US" w:eastAsia="zh-CN"/>
        </w:rPr>
        <w:t>0</w:t>
      </w:r>
      <w:r>
        <w:rPr>
          <w:rFonts w:hint="eastAsia" w:ascii="仿宋_GB2312" w:eastAsia="仿宋_GB2312"/>
          <w:sz w:val="32"/>
          <w:szCs w:val="32"/>
        </w:rPr>
        <w:t>万元，其中：政府采购货物支出</w:t>
      </w:r>
      <w:r>
        <w:rPr>
          <w:rFonts w:hint="eastAsia" w:ascii="仿宋_GB2312" w:eastAsia="仿宋_GB2312"/>
          <w:sz w:val="32"/>
          <w:szCs w:val="32"/>
          <w:lang w:val="en-US" w:eastAsia="zh-CN"/>
        </w:rPr>
        <w:t>0</w:t>
      </w:r>
      <w:r>
        <w:rPr>
          <w:rFonts w:hint="eastAsia" w:ascii="仿宋_GB2312" w:eastAsia="仿宋_GB2312"/>
          <w:sz w:val="32"/>
          <w:szCs w:val="32"/>
        </w:rPr>
        <w:t>万元、政府采购工程支出</w:t>
      </w:r>
      <w:r>
        <w:rPr>
          <w:rFonts w:hint="eastAsia" w:ascii="仿宋_GB2312" w:eastAsia="仿宋_GB2312"/>
          <w:sz w:val="32"/>
          <w:szCs w:val="32"/>
          <w:lang w:val="en-US" w:eastAsia="zh-CN"/>
        </w:rPr>
        <w:t>0</w:t>
      </w:r>
      <w:r>
        <w:rPr>
          <w:rFonts w:hint="eastAsia" w:ascii="仿宋_GB2312" w:eastAsia="仿宋_GB2312"/>
          <w:sz w:val="32"/>
          <w:szCs w:val="32"/>
        </w:rPr>
        <w:t>万元、政府采购服务支出</w:t>
      </w:r>
      <w:r>
        <w:rPr>
          <w:rFonts w:hint="eastAsia" w:ascii="仿宋_GB2312" w:eastAsia="仿宋_GB2312"/>
          <w:sz w:val="32"/>
          <w:szCs w:val="32"/>
          <w:lang w:val="en-US" w:eastAsia="zh-CN"/>
        </w:rPr>
        <w:t>0</w:t>
      </w:r>
      <w:r>
        <w:rPr>
          <w:rFonts w:hint="eastAsia" w:ascii="仿宋_GB2312" w:eastAsia="仿宋_GB2312"/>
          <w:sz w:val="32"/>
          <w:szCs w:val="32"/>
        </w:rPr>
        <w:t>万元。</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七、其他重要事项的情况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截至2018年12月31日，单位共有车辆4辆，价值48.08万元，其中：部级领导干部用车0辆、主要领导干部用车0辆、机要通信用车0辆、应急保障用车0辆、执法执勤用车0辆、特种专业技术用车1辆、离退休干部用车0辆、其他用车3辆，其他用车主要是：小轿车、面包车；单位价值50万元以上通用设备0台（套）、单位价值100万元以上专用设备0台（套），其他固定资产价值38.98万元。</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2018</w:t>
      </w:r>
      <w:r>
        <w:rPr>
          <w:rFonts w:hint="eastAsia" w:ascii="仿宋_GB2312" w:eastAsia="仿宋_GB2312"/>
          <w:sz w:val="32"/>
          <w:szCs w:val="32"/>
        </w:rPr>
        <w:t>年度，本部门单位预算绩效自评情况：昌吉市科学技术局共有项目进行4个。分别是自治区级专利转化项目、昌吉市可持续发展试验区建设项目、昌吉市市域创新创业服务平台建设、州级科技特派员项目。</w:t>
      </w:r>
    </w:p>
    <w:p>
      <w:pPr>
        <w:numPr>
          <w:ilvl w:val="0"/>
          <w:numId w:val="1"/>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自治区级专利实施项目绩效自评综述：自治区专利转化项目是由自治区知识产权局下发项目申报通知，昌吉州知识产权局根据自治区要求分配名额至各县市，昌吉市的项目由我局按通知要求组织市域企业申报，立项的项目企业与自治区知识产权局签订合同书，按合同指标各企业予以实施。根据年初设定的绩效目标，自治区级专利实施项目绩效自评得分10分，项目全年预算数为0万元，执行数为104万元，完成预算的104%。主要产出和效果：一是提高企业专利技术实施及其产业化水平；二是增加企业产值及利润，带动就业。发现的问题及原因：宣传培训力度不够。下一步改进措施：继续加大知识产权宣传培训力度。</w:t>
      </w:r>
    </w:p>
    <w:tbl>
      <w:tblPr>
        <w:tblStyle w:val="5"/>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730"/>
        <w:gridCol w:w="858"/>
        <w:gridCol w:w="429"/>
        <w:gridCol w:w="923"/>
        <w:gridCol w:w="1957"/>
        <w:gridCol w:w="605"/>
        <w:gridCol w:w="1007"/>
        <w:gridCol w:w="1052"/>
        <w:gridCol w:w="753"/>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c>
          <w:tcPr>
            <w:tcW w:w="8314" w:type="dxa"/>
            <w:gridSpan w:val="9"/>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专项预算项目支出绩效目标表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314" w:type="dxa"/>
            <w:gridSpan w:val="9"/>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9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6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75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1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297" w:type="dxa"/>
            <w:gridSpan w:val="6"/>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自治区级专利转化项目</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1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297" w:type="dxa"/>
            <w:gridSpan w:val="6"/>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昌吉市科学技术局</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1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项目类型</w:t>
            </w:r>
          </w:p>
        </w:tc>
        <w:tc>
          <w:tcPr>
            <w:tcW w:w="9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产业发展 □√</w:t>
            </w: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民生保障 □</w:t>
            </w:r>
          </w:p>
        </w:tc>
        <w:tc>
          <w:tcPr>
            <w:tcW w:w="161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基础设施 □</w:t>
            </w:r>
          </w:p>
        </w:tc>
        <w:tc>
          <w:tcPr>
            <w:tcW w:w="180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行政运行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项目概况</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中长期规划（名称、文号，仅指常年项目）</w:t>
            </w:r>
          </w:p>
        </w:tc>
        <w:tc>
          <w:tcPr>
            <w:tcW w:w="4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9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374"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资金管理办法（名称、文号）</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544"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新疆维吾尔自治区专利实施资金和项目管理办法（2011年修订）;昌市政办发【2015】63号《昌吉市财政专项资金管理暂行办法》</w:t>
            </w: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1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绩效分配方式</w:t>
            </w:r>
          </w:p>
        </w:tc>
        <w:tc>
          <w:tcPr>
            <w:tcW w:w="5544"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因素法 □ 项目法 □√ 据实据效 □ 因素法与项目法相结合 □</w:t>
            </w: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1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立项依据</w:t>
            </w:r>
          </w:p>
        </w:tc>
        <w:tc>
          <w:tcPr>
            <w:tcW w:w="5544"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关于下达2018年度自治区专利实施项目计划及经费安排的通知（新知管字【2018】29号）</w:t>
            </w: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1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使用范围</w:t>
            </w:r>
          </w:p>
        </w:tc>
        <w:tc>
          <w:tcPr>
            <w:tcW w:w="5544"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 新能源、资源利用及节能环保领域专利技术实施及其产业化</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 新材料生产发展领域专利技术实施及其产业化</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 电子与信息、光机电一体化、公共安全领域专利技术实施及其产业化</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4.高端装备制造技术领域专利技术实施及其产业化</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5.生物工程和新医药技术领域专利实施及其产业化</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6.农业生产领域中专利技术实施及其产业化（含种植业、林果业、畜牧业等生产领域）</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7.专利权质押贷款贴息项目的组织实施</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8.现代服务业领域专利技术实施及产业化</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9.知识产权公共服务平台建设项目</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10.其他需要支持的专利实施项目</w:t>
            </w: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1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申报（补助）条件</w:t>
            </w:r>
          </w:p>
        </w:tc>
        <w:tc>
          <w:tcPr>
            <w:tcW w:w="5544"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1.在本地具有独立法人资格；</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2.有健全的财务机构和严格的财务管理制度，资信可靠；</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3.发明或实用新型专利的专利权持有者或合法使用者；服务机构具备促进昌吉州专利技术实施和产业化的服务条件；</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4.具备实施专利项目的基础条件（包括实施场地、必要的设备、一定的自有资金、科研创新条件和研发队伍等）。</w:t>
            </w: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1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项目起止年限</w:t>
            </w:r>
          </w:p>
        </w:tc>
        <w:tc>
          <w:tcPr>
            <w:tcW w:w="5544"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2018年1月1日-2018年12月31日</w:t>
            </w: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01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项目资金</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9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中长期资金总额：</w:t>
            </w: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61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年度资金总额：</w:t>
            </w:r>
          </w:p>
        </w:tc>
        <w:tc>
          <w:tcPr>
            <w:tcW w:w="180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1476</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3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25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104</w:t>
            </w:r>
          </w:p>
        </w:tc>
        <w:tc>
          <w:tcPr>
            <w:tcW w:w="1007"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3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25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1372</w:t>
            </w:r>
          </w:p>
        </w:tc>
        <w:tc>
          <w:tcPr>
            <w:tcW w:w="1007"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总</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体</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标</w:t>
            </w:r>
          </w:p>
        </w:tc>
        <w:tc>
          <w:tcPr>
            <w:tcW w:w="4167"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中长期目标（2015年—2017年）</w:t>
            </w:r>
          </w:p>
        </w:tc>
        <w:tc>
          <w:tcPr>
            <w:tcW w:w="3417"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940"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621"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自治区专利转化项目是由自治区知识产权局下发项目申报通知，昌吉州知识产权局根据自治区要求分配名额至各县市，昌吉市的项目由我局按通知要求组织市域企业申报，立项的项目企业与自治区知识产权局签订合同书，按合同指标各企业予以实施。本年度主要目标是组织项目实施单位申请专利，开展知识产权相关宣传培训，从而提高企业专利技术实施及其产业化水平，增加企业产值及利润，带动就业等。</w:t>
            </w: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标</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4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9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指标值（包含数字及文字描述）</w:t>
            </w:r>
          </w:p>
        </w:tc>
        <w:tc>
          <w:tcPr>
            <w:tcW w:w="6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205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75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4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9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161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指标1：申请专利</w:t>
            </w:r>
          </w:p>
        </w:tc>
        <w:tc>
          <w:tcPr>
            <w:tcW w:w="10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申请专利33项</w:t>
            </w: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3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05" w:type="dxa"/>
            <w:shd w:val="clear" w:color="auto" w:fill="auto"/>
            <w:vAlign w:val="center"/>
          </w:tcPr>
          <w:p>
            <w:pPr>
              <w:widowControl/>
              <w:jc w:val="left"/>
              <w:rPr>
                <w:rFonts w:ascii="Times New Roman" w:hAnsi="Times New Roman" w:eastAsia="Times New Roman" w:cs="Times New Roman"/>
                <w:kern w:val="0"/>
                <w:sz w:val="20"/>
                <w:szCs w:val="20"/>
              </w:rPr>
            </w:pPr>
          </w:p>
        </w:tc>
        <w:tc>
          <w:tcPr>
            <w:tcW w:w="1007"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3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605" w:type="dxa"/>
            <w:shd w:val="clear" w:color="auto" w:fill="auto"/>
            <w:vAlign w:val="center"/>
          </w:tcPr>
          <w:p>
            <w:pPr>
              <w:widowControl/>
              <w:jc w:val="left"/>
              <w:rPr>
                <w:rFonts w:ascii="Times New Roman" w:hAnsi="Times New Roman" w:eastAsia="Times New Roman" w:cs="Times New Roman"/>
                <w:kern w:val="0"/>
                <w:sz w:val="20"/>
                <w:szCs w:val="20"/>
              </w:rPr>
            </w:pPr>
          </w:p>
        </w:tc>
        <w:tc>
          <w:tcPr>
            <w:tcW w:w="1007"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4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9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25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指标1：成品率</w:t>
            </w:r>
          </w:p>
        </w:tc>
        <w:tc>
          <w:tcPr>
            <w:tcW w:w="10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w:t>
            </w: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3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05" w:type="dxa"/>
            <w:shd w:val="clear" w:color="auto" w:fill="auto"/>
            <w:vAlign w:val="center"/>
          </w:tcPr>
          <w:p>
            <w:pPr>
              <w:widowControl/>
              <w:jc w:val="left"/>
              <w:rPr>
                <w:rFonts w:ascii="Times New Roman" w:hAnsi="Times New Roman" w:eastAsia="Times New Roman" w:cs="Times New Roman"/>
                <w:kern w:val="0"/>
                <w:sz w:val="20"/>
                <w:szCs w:val="20"/>
              </w:rPr>
            </w:pPr>
          </w:p>
        </w:tc>
        <w:tc>
          <w:tcPr>
            <w:tcW w:w="1007"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4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9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25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指标1：知识产权宣传场次</w:t>
            </w:r>
          </w:p>
        </w:tc>
        <w:tc>
          <w:tcPr>
            <w:tcW w:w="10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3次以上</w:t>
            </w: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3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05" w:type="dxa"/>
            <w:shd w:val="clear" w:color="auto" w:fill="auto"/>
            <w:vAlign w:val="center"/>
          </w:tcPr>
          <w:p>
            <w:pPr>
              <w:widowControl/>
              <w:jc w:val="left"/>
              <w:rPr>
                <w:rFonts w:ascii="Times New Roman" w:hAnsi="Times New Roman" w:eastAsia="Times New Roman" w:cs="Times New Roman"/>
                <w:kern w:val="0"/>
                <w:sz w:val="20"/>
                <w:szCs w:val="20"/>
              </w:rPr>
            </w:pPr>
          </w:p>
        </w:tc>
        <w:tc>
          <w:tcPr>
            <w:tcW w:w="1007"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4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9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25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指标1：总投资</w:t>
            </w:r>
          </w:p>
        </w:tc>
        <w:tc>
          <w:tcPr>
            <w:tcW w:w="10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1476万元</w:t>
            </w: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3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05" w:type="dxa"/>
            <w:shd w:val="clear" w:color="auto" w:fill="auto"/>
            <w:vAlign w:val="center"/>
          </w:tcPr>
          <w:p>
            <w:pPr>
              <w:widowControl/>
              <w:jc w:val="left"/>
              <w:rPr>
                <w:rFonts w:ascii="Times New Roman" w:hAnsi="Times New Roman" w:eastAsia="Times New Roman" w:cs="Times New Roman"/>
                <w:kern w:val="0"/>
                <w:sz w:val="20"/>
                <w:szCs w:val="20"/>
              </w:rPr>
            </w:pPr>
          </w:p>
        </w:tc>
        <w:tc>
          <w:tcPr>
            <w:tcW w:w="1007"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项目效益</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4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9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61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指标1：产值</w:t>
            </w:r>
          </w:p>
        </w:tc>
        <w:tc>
          <w:tcPr>
            <w:tcW w:w="10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产值4616万元　</w:t>
            </w: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3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指标2：利润</w:t>
            </w: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利润697万元</w:t>
            </w:r>
          </w:p>
        </w:tc>
        <w:tc>
          <w:tcPr>
            <w:tcW w:w="605" w:type="dxa"/>
            <w:shd w:val="clear" w:color="auto" w:fill="auto"/>
            <w:vAlign w:val="center"/>
          </w:tcPr>
          <w:p>
            <w:pPr>
              <w:widowControl/>
              <w:jc w:val="left"/>
              <w:rPr>
                <w:rFonts w:ascii="Times New Roman" w:hAnsi="Times New Roman" w:eastAsia="Times New Roman" w:cs="Times New Roman"/>
                <w:kern w:val="0"/>
                <w:sz w:val="20"/>
                <w:szCs w:val="20"/>
              </w:rPr>
            </w:pPr>
          </w:p>
        </w:tc>
        <w:tc>
          <w:tcPr>
            <w:tcW w:w="1007"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4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9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5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指标1：纳税</w:t>
            </w:r>
          </w:p>
        </w:tc>
        <w:tc>
          <w:tcPr>
            <w:tcW w:w="10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纳税420万元</w:t>
            </w: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3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指标2：就业安置</w:t>
            </w: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就业安置200人，培训280人。</w:t>
            </w:r>
          </w:p>
        </w:tc>
        <w:tc>
          <w:tcPr>
            <w:tcW w:w="605" w:type="dxa"/>
            <w:shd w:val="clear" w:color="auto" w:fill="auto"/>
            <w:vAlign w:val="center"/>
          </w:tcPr>
          <w:p>
            <w:pPr>
              <w:widowControl/>
              <w:jc w:val="left"/>
              <w:rPr>
                <w:rFonts w:ascii="Times New Roman" w:hAnsi="Times New Roman" w:eastAsia="Times New Roman" w:cs="Times New Roman"/>
                <w:kern w:val="0"/>
                <w:sz w:val="20"/>
                <w:szCs w:val="20"/>
              </w:rPr>
            </w:pPr>
          </w:p>
        </w:tc>
        <w:tc>
          <w:tcPr>
            <w:tcW w:w="1007"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4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9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5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指标1：资源综合利用</w:t>
            </w:r>
          </w:p>
        </w:tc>
        <w:tc>
          <w:tcPr>
            <w:tcW w:w="10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99%</w:t>
            </w: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3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05" w:type="dxa"/>
            <w:shd w:val="clear" w:color="auto" w:fill="auto"/>
            <w:vAlign w:val="center"/>
          </w:tcPr>
          <w:p>
            <w:pPr>
              <w:widowControl/>
              <w:jc w:val="left"/>
              <w:rPr>
                <w:rFonts w:ascii="Times New Roman" w:hAnsi="Times New Roman" w:eastAsia="Times New Roman" w:cs="Times New Roman"/>
                <w:kern w:val="0"/>
                <w:sz w:val="20"/>
                <w:szCs w:val="20"/>
              </w:rPr>
            </w:pPr>
          </w:p>
        </w:tc>
        <w:tc>
          <w:tcPr>
            <w:tcW w:w="1007"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4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9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5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指标1：产业化推广能力</w:t>
            </w:r>
          </w:p>
        </w:tc>
        <w:tc>
          <w:tcPr>
            <w:tcW w:w="10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明显提升</w:t>
            </w: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3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05" w:type="dxa"/>
            <w:shd w:val="clear" w:color="auto" w:fill="auto"/>
            <w:vAlign w:val="center"/>
          </w:tcPr>
          <w:p>
            <w:pPr>
              <w:widowControl/>
              <w:jc w:val="left"/>
              <w:rPr>
                <w:rFonts w:ascii="Times New Roman" w:hAnsi="Times New Roman" w:eastAsia="Times New Roman" w:cs="Times New Roman"/>
                <w:kern w:val="0"/>
                <w:sz w:val="20"/>
                <w:szCs w:val="20"/>
              </w:rPr>
            </w:pPr>
          </w:p>
        </w:tc>
        <w:tc>
          <w:tcPr>
            <w:tcW w:w="1007"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4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9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161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指标1：客户好评率</w:t>
            </w:r>
          </w:p>
        </w:tc>
        <w:tc>
          <w:tcPr>
            <w:tcW w:w="10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99%</w:t>
            </w: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3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05" w:type="dxa"/>
            <w:shd w:val="clear" w:color="auto" w:fill="auto"/>
            <w:vAlign w:val="center"/>
          </w:tcPr>
          <w:p>
            <w:pPr>
              <w:widowControl/>
              <w:jc w:val="left"/>
              <w:rPr>
                <w:rFonts w:ascii="Times New Roman" w:hAnsi="Times New Roman" w:eastAsia="Times New Roman" w:cs="Times New Roman"/>
                <w:kern w:val="0"/>
                <w:sz w:val="20"/>
                <w:szCs w:val="20"/>
              </w:rPr>
            </w:pPr>
          </w:p>
        </w:tc>
        <w:tc>
          <w:tcPr>
            <w:tcW w:w="1007"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2" w:type="dxa"/>
            <w:shd w:val="clear" w:color="auto" w:fill="auto"/>
            <w:vAlign w:val="center"/>
          </w:tcPr>
          <w:p>
            <w:pPr>
              <w:widowControl/>
              <w:jc w:val="left"/>
              <w:rPr>
                <w:rFonts w:ascii="Times New Roman" w:hAnsi="Times New Roman" w:eastAsia="Times New Roman" w:cs="Times New Roman"/>
                <w:kern w:val="0"/>
                <w:sz w:val="20"/>
                <w:szCs w:val="20"/>
              </w:rPr>
            </w:pPr>
          </w:p>
        </w:tc>
        <w:tc>
          <w:tcPr>
            <w:tcW w:w="753"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8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2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9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9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6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75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pStyle w:val="2"/>
        <w:numPr>
          <w:numId w:val="0"/>
        </w:numPr>
        <w:rPr>
          <w:rFonts w:hint="eastAsia" w:ascii="宋体" w:hAnsi="宋体" w:cs="宋体"/>
          <w:color w:val="333333"/>
          <w:kern w:val="0"/>
          <w:sz w:val="24"/>
          <w:szCs w:val="24"/>
          <w:lang w:val="en-US" w:eastAsia="zh-CN"/>
        </w:rPr>
      </w:pPr>
    </w:p>
    <w:p>
      <w:pPr>
        <w:pStyle w:val="2"/>
        <w:numPr>
          <w:ilvl w:val="0"/>
          <w:numId w:val="1"/>
        </w:numPr>
        <w:ind w:left="0"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自治区级可持续发展试验区项目绩效自评综述：自治区级可持续发展试验区项目为自治区科技厅立项的项目，项目执行期为二年（2016-2017年），2018年下半年，自治区科技厅组织验收，此项目通过验收。编制完成《昌吉市可持续发展实验区总体规划》。按照总体目标要求编制完成《昌吉市可持续发展实验区总体规划》，该规划由昌吉市人民政府常务会议审议通过实施。规划完整设计了昌吉市可持续发展的综合体系和示范方向，是实验区建设的纲领规划，对昌吉市可持续发展起到了总体指导作用。根据年初设定的绩效目标，自治区级专利实施项目绩效自评得分10分，项目全年预算数为0万元，执行数为5万元（上年结转项目），完成预算的100%。主要产出和效果：一是构建了昌吉市可持续发展的任务体系和示范方向；二是形成了可持续发展组织管理体系。发现的问题及原因：无。下一步改进措施：无。</w:t>
      </w:r>
    </w:p>
    <w:tbl>
      <w:tblPr>
        <w:tblStyle w:val="5"/>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506"/>
        <w:gridCol w:w="647"/>
        <w:gridCol w:w="658"/>
        <w:gridCol w:w="1730"/>
        <w:gridCol w:w="2136"/>
        <w:gridCol w:w="2100"/>
        <w:gridCol w:w="53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5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6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1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1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811"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503"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昌吉市可持续发展试验区建设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811"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503"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昌吉市科学技术局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5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30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386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5万元</w:t>
            </w:r>
          </w:p>
        </w:tc>
        <w:tc>
          <w:tcPr>
            <w:tcW w:w="21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5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15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其中：自治区财政拨款</w:t>
            </w:r>
          </w:p>
        </w:tc>
        <w:tc>
          <w:tcPr>
            <w:tcW w:w="238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5万元</w:t>
            </w:r>
          </w:p>
        </w:tc>
        <w:tc>
          <w:tcPr>
            <w:tcW w:w="21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其中：自治区财政拨款</w:t>
            </w:r>
          </w:p>
        </w:tc>
        <w:tc>
          <w:tcPr>
            <w:tcW w:w="21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5万元</w:t>
            </w:r>
          </w:p>
        </w:tc>
        <w:tc>
          <w:tcPr>
            <w:tcW w:w="537"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15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238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1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21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537"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5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5171"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263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3541"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完成《昌吉市可持续发展试验区规划编制》，完成《昌吉市可持续发展试验区建设项目验收报告》</w:t>
            </w:r>
          </w:p>
        </w:tc>
        <w:tc>
          <w:tcPr>
            <w:tcW w:w="423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完成《昌吉市可持续发展试验区规划编制》，完成《昌吉市可持续发展试验区建设项目验收报告》</w:t>
            </w:r>
          </w:p>
        </w:tc>
        <w:tc>
          <w:tcPr>
            <w:tcW w:w="537"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5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6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6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386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21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5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5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6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238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指标1：完成《昌吉市可持续发展试验区建设项目验收报告》</w:t>
            </w:r>
          </w:p>
        </w:tc>
        <w:tc>
          <w:tcPr>
            <w:tcW w:w="21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指标1：完成《昌吉市可持续发展试验区建设项目验收报告》</w:t>
            </w:r>
          </w:p>
        </w:tc>
        <w:tc>
          <w:tcPr>
            <w:tcW w:w="21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指标1：完成《昌吉市可持续发展试验区建设项目验收报告》</w:t>
            </w:r>
          </w:p>
        </w:tc>
        <w:tc>
          <w:tcPr>
            <w:tcW w:w="537"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5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130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1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100" w:type="dxa"/>
            <w:shd w:val="clear" w:color="auto" w:fill="auto"/>
            <w:vAlign w:val="center"/>
          </w:tcPr>
          <w:p>
            <w:pPr>
              <w:widowControl/>
              <w:jc w:val="left"/>
              <w:rPr>
                <w:rFonts w:ascii="Times New Roman" w:hAnsi="Times New Roman" w:eastAsia="Times New Roman" w:cs="Times New Roman"/>
                <w:kern w:val="0"/>
                <w:sz w:val="20"/>
                <w:szCs w:val="20"/>
              </w:rPr>
            </w:pPr>
          </w:p>
        </w:tc>
        <w:tc>
          <w:tcPr>
            <w:tcW w:w="537"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5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30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指标1：2018年6月30日</w:t>
            </w: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2018年6月30日</w:t>
            </w:r>
          </w:p>
        </w:tc>
        <w:tc>
          <w:tcPr>
            <w:tcW w:w="21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2018年6月30日</w:t>
            </w:r>
          </w:p>
        </w:tc>
        <w:tc>
          <w:tcPr>
            <w:tcW w:w="2100" w:type="dxa"/>
            <w:shd w:val="clear" w:color="auto" w:fill="auto"/>
            <w:vAlign w:val="center"/>
          </w:tcPr>
          <w:p>
            <w:pPr>
              <w:widowControl/>
              <w:jc w:val="left"/>
              <w:rPr>
                <w:rFonts w:ascii="Times New Roman" w:hAnsi="Times New Roman" w:eastAsia="Times New Roman" w:cs="Times New Roman"/>
                <w:kern w:val="0"/>
                <w:sz w:val="20"/>
                <w:szCs w:val="20"/>
              </w:rPr>
            </w:pPr>
          </w:p>
        </w:tc>
        <w:tc>
          <w:tcPr>
            <w:tcW w:w="537"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5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30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指标1：无</w:t>
            </w: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1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100" w:type="dxa"/>
            <w:shd w:val="clear" w:color="auto" w:fill="auto"/>
            <w:vAlign w:val="center"/>
          </w:tcPr>
          <w:p>
            <w:pPr>
              <w:widowControl/>
              <w:jc w:val="left"/>
              <w:rPr>
                <w:rFonts w:ascii="Times New Roman" w:hAnsi="Times New Roman" w:eastAsia="Times New Roman" w:cs="Times New Roman"/>
                <w:kern w:val="0"/>
                <w:sz w:val="20"/>
                <w:szCs w:val="20"/>
              </w:rPr>
            </w:pPr>
          </w:p>
        </w:tc>
        <w:tc>
          <w:tcPr>
            <w:tcW w:w="537"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5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6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38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通过本项目的引导，昌吉市产业转型升级步伐加快，融合开放产业格局基本形成。以先进制造业和现代服务业双轮驱动、新兴产业和传统优势产业共同发力的现代产业体系形成，地区生产总值413.8亿元，同比增长7%，三次产业结构调整为9.9:49.8:40.3。</w:t>
            </w:r>
          </w:p>
        </w:tc>
        <w:tc>
          <w:tcPr>
            <w:tcW w:w="21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通过本项目的引导，昌吉市产业转型升级步伐加快，融合开放产业格局基本形成。以先进制造业和现代服务业双轮驱动、新兴产业和传统优势产业共同发力的现代产业体系形成，地区生产总值413.8亿元，同比增长7%，三次产业结构调整为9.9:49.8:40.3。</w:t>
            </w:r>
          </w:p>
        </w:tc>
        <w:tc>
          <w:tcPr>
            <w:tcW w:w="21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指标1：通过本项目的引导，昌吉市产业转型升级步伐加快，融合开放产业格局基本形成。以先进制造业和现代服务业双轮驱动、新兴产业和传统优势产业共同发力的现代产业体系形成，地区生产总值413.8亿元，同比增长7%，三次产业结构调整为9.9:49.8:40.3。</w:t>
            </w:r>
          </w:p>
        </w:tc>
        <w:tc>
          <w:tcPr>
            <w:tcW w:w="537"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5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30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通过本项目的引导，昌吉市在城乡发展中坚持每年75%的财政收入用于民生建设，每年承诺并全面完成十大惠民实事。目前，91座免费公厕建成使用，群众生活更加便捷。14个棚户区、13个城中村、25个老旧小区改造顺利完成，城市焕发新的活力。“美丽乡村”建设特色明显，对30个示范村改造进行整体改造，打造美丽乡村示范点10个。公交、供气等公用设施延伸到乡村，农村人居环境明显改善。采用“订单式培训、菜单式教学、跟进式就业”培训模式，开展西式面点师、保健按摩师、服装缝纫工、美容师、电焊工等12个工种培训，培训富余劳动力2832人次，转移劳动力800人。</w:t>
            </w: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通过本项目的引导，昌吉市在城乡发展中坚持每年75%的财政收入用于民生建设，每年承诺并全面完成十大惠民实事。目前，91座免费公厕建成使用，群众生活更加便捷。14个棚户区、13个城中村、25个老旧小区改造顺利完成，城市焕发新的活力。“美丽乡村”建设特色明显，对30个示范村改造进行整体改造，打造美丽乡村示范点10个。公交、供气等公用设施延伸到乡村，农村人居环境明显改善。采用“订单式培训、菜单式教学、跟进式就业”培训模式，开展西式面点师、保健按摩师、服装缝纫工、美容师、电焊工等12个工种培训，培训富余劳动力2832人次，转移劳动力800人。</w:t>
            </w:r>
          </w:p>
        </w:tc>
        <w:tc>
          <w:tcPr>
            <w:tcW w:w="21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通过本项目的引导，昌吉市在城乡发展中坚持每年75%的财政收入用于民生建设，每年承诺并全面完成十大惠民实事。目前，91座免费公厕建成使用，群众生活更加便捷。14个棚户区、13个城中村、25个老旧小区改造顺利完成，城市焕发新的活力。“美丽乡村”建设特色明显，对30个示范村改造进行整体改造，打造美丽乡村示范点10个。公交、供气等公用设施延伸到乡村，农村人居环境明显改善。采用“订单式培训、菜单式教学、跟进式就业”培训模式，开展西式面点师、保健按摩师、服装缝纫工、美容师、电焊工等12个工种培训，培训富余劳动力2832人次，转移劳动力800人。</w:t>
            </w:r>
          </w:p>
        </w:tc>
        <w:tc>
          <w:tcPr>
            <w:tcW w:w="2100" w:type="dxa"/>
            <w:shd w:val="clear" w:color="auto" w:fill="auto"/>
            <w:vAlign w:val="center"/>
          </w:tcPr>
          <w:p>
            <w:pPr>
              <w:widowControl/>
              <w:jc w:val="left"/>
              <w:rPr>
                <w:rFonts w:ascii="Times New Roman" w:hAnsi="Times New Roman" w:eastAsia="Times New Roman" w:cs="Times New Roman"/>
                <w:kern w:val="0"/>
                <w:sz w:val="20"/>
                <w:szCs w:val="20"/>
              </w:rPr>
            </w:pPr>
          </w:p>
        </w:tc>
        <w:tc>
          <w:tcPr>
            <w:tcW w:w="537"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15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6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2136" w:type="dxa"/>
            <w:shd w:val="clear" w:color="auto" w:fill="auto"/>
            <w:vAlign w:val="center"/>
          </w:tcPr>
          <w:p>
            <w:pPr>
              <w:widowControl/>
              <w:jc w:val="left"/>
              <w:rPr>
                <w:rFonts w:ascii="Times New Roman" w:hAnsi="Times New Roman" w:eastAsia="Times New Roman" w:cs="Times New Roman"/>
                <w:kern w:val="0"/>
                <w:sz w:val="20"/>
                <w:szCs w:val="20"/>
              </w:rPr>
            </w:pPr>
          </w:p>
        </w:tc>
        <w:tc>
          <w:tcPr>
            <w:tcW w:w="2100" w:type="dxa"/>
            <w:shd w:val="clear" w:color="auto" w:fill="auto"/>
            <w:vAlign w:val="center"/>
          </w:tcPr>
          <w:p>
            <w:pPr>
              <w:widowControl/>
              <w:jc w:val="left"/>
              <w:rPr>
                <w:rFonts w:ascii="Times New Roman" w:hAnsi="Times New Roman" w:eastAsia="Times New Roman" w:cs="Times New Roman"/>
                <w:kern w:val="0"/>
                <w:sz w:val="20"/>
                <w:szCs w:val="20"/>
              </w:rPr>
            </w:pPr>
          </w:p>
        </w:tc>
        <w:tc>
          <w:tcPr>
            <w:tcW w:w="537"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15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136" w:type="dxa"/>
            <w:shd w:val="clear" w:color="auto" w:fill="auto"/>
            <w:vAlign w:val="center"/>
          </w:tcPr>
          <w:p>
            <w:pPr>
              <w:widowControl/>
              <w:jc w:val="left"/>
              <w:rPr>
                <w:rFonts w:ascii="Times New Roman" w:hAnsi="Times New Roman" w:eastAsia="Times New Roman" w:cs="Times New Roman"/>
                <w:kern w:val="0"/>
                <w:sz w:val="20"/>
                <w:szCs w:val="20"/>
              </w:rPr>
            </w:pPr>
          </w:p>
        </w:tc>
        <w:tc>
          <w:tcPr>
            <w:tcW w:w="2100" w:type="dxa"/>
            <w:shd w:val="clear" w:color="auto" w:fill="auto"/>
            <w:vAlign w:val="center"/>
          </w:tcPr>
          <w:p>
            <w:pPr>
              <w:widowControl/>
              <w:jc w:val="left"/>
              <w:rPr>
                <w:rFonts w:ascii="Times New Roman" w:hAnsi="Times New Roman" w:eastAsia="Times New Roman" w:cs="Times New Roman"/>
                <w:kern w:val="0"/>
                <w:sz w:val="20"/>
                <w:szCs w:val="20"/>
              </w:rPr>
            </w:pPr>
          </w:p>
        </w:tc>
        <w:tc>
          <w:tcPr>
            <w:tcW w:w="537"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5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30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昌吉市“清新空气”行动实施后，每年可减少煤炭消耗量30.1万吨，减少二氧化硫排放3654.99吨、氮氧化物排放1220.05吨。2017年4至10月，城市环境空气质量优良率99.5%以上，较去年同期上升了6个百分点，PM10、PM2.5的平均浓度较去年同期分别下降了38.6%、20.8%，环境空气治理取得阶段性成效。2017年采暖期重污染天数同比减少8天，五项污染物浓度均呈下降趋势（二氧化硫下降5.8%、二氧化氮下降5.9%、一氧化碳下降10%、细颗粒物下降8%、可吸入颗粒物下降7.7%）。</w:t>
            </w: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指标1：昌吉市“清新空气”行动实施后，每年可减少煤炭消耗量30.1万吨，减少二氧化硫排放3654.99吨、氮氧化物排放1220.05吨。2017年4至10月，城市环境空气质量优良率99.5%以上，较去年同期上升了6个百分点，PM10、PM2.5的平均浓度较去年同期分别下降了38.6%、20.8%，环境空气治理取得阶段性成效。2017年采暖期重污染天数同比减少8天，五项污染物浓度均呈下降趋势（二氧化硫下降5.8%、二氧化氮下降5.9%、一氧化碳下降10%、细颗粒物下降8%、可吸入颗粒物下降7.7%）。</w:t>
            </w:r>
          </w:p>
        </w:tc>
        <w:tc>
          <w:tcPr>
            <w:tcW w:w="21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指标1：昌吉市“清新空气”行动实施后，每年可减少煤炭消耗量30.1万吨，减少二氧化硫排放3654.99吨、氮氧化物排放1220.05吨。2017年4至10月，城市环境空气质量优良率99.5%以上，较去年同期上升了6个百分点，PM10、PM2.5的平均浓度较去年同期分别下降了38.6%、20.8%，环境空气治理取得阶段性成效。2017年采暖期重污染天数同比减少8天，五项污染物浓度均呈下降趋势（二氧化硫下降5.8%、二氧化氮下降5.9%、一氧化碳下降10%、细颗粒物下降8%、可吸入颗粒物下降7.7%）。</w:t>
            </w:r>
          </w:p>
        </w:tc>
        <w:tc>
          <w:tcPr>
            <w:tcW w:w="2100" w:type="dxa"/>
            <w:shd w:val="clear" w:color="auto" w:fill="auto"/>
            <w:vAlign w:val="center"/>
          </w:tcPr>
          <w:p>
            <w:pPr>
              <w:widowControl/>
              <w:jc w:val="left"/>
              <w:rPr>
                <w:rFonts w:ascii="Times New Roman" w:hAnsi="Times New Roman" w:eastAsia="Times New Roman" w:cs="Times New Roman"/>
                <w:kern w:val="0"/>
                <w:sz w:val="20"/>
                <w:szCs w:val="20"/>
              </w:rPr>
            </w:pPr>
          </w:p>
        </w:tc>
        <w:tc>
          <w:tcPr>
            <w:tcW w:w="537"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5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30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1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100" w:type="dxa"/>
            <w:shd w:val="clear" w:color="auto" w:fill="auto"/>
            <w:vAlign w:val="center"/>
          </w:tcPr>
          <w:p>
            <w:pPr>
              <w:widowControl/>
              <w:jc w:val="left"/>
              <w:rPr>
                <w:rFonts w:ascii="Times New Roman" w:hAnsi="Times New Roman" w:eastAsia="Times New Roman" w:cs="Times New Roman"/>
                <w:kern w:val="0"/>
                <w:sz w:val="20"/>
                <w:szCs w:val="20"/>
              </w:rPr>
            </w:pPr>
          </w:p>
        </w:tc>
        <w:tc>
          <w:tcPr>
            <w:tcW w:w="537"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5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6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238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1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95%</w:t>
            </w:r>
          </w:p>
        </w:tc>
        <w:tc>
          <w:tcPr>
            <w:tcW w:w="210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537"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15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65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136" w:type="dxa"/>
            <w:shd w:val="clear" w:color="auto" w:fill="auto"/>
            <w:vAlign w:val="center"/>
          </w:tcPr>
          <w:p>
            <w:pPr>
              <w:widowControl/>
              <w:jc w:val="left"/>
              <w:rPr>
                <w:rFonts w:ascii="Times New Roman" w:hAnsi="Times New Roman" w:eastAsia="Times New Roman" w:cs="Times New Roman"/>
                <w:kern w:val="0"/>
                <w:sz w:val="20"/>
                <w:szCs w:val="20"/>
              </w:rPr>
            </w:pPr>
          </w:p>
        </w:tc>
        <w:tc>
          <w:tcPr>
            <w:tcW w:w="2100" w:type="dxa"/>
            <w:shd w:val="clear" w:color="auto" w:fill="auto"/>
            <w:vAlign w:val="center"/>
          </w:tcPr>
          <w:p>
            <w:pPr>
              <w:widowControl/>
              <w:jc w:val="left"/>
              <w:rPr>
                <w:rFonts w:ascii="Times New Roman" w:hAnsi="Times New Roman" w:eastAsia="Times New Roman" w:cs="Times New Roman"/>
                <w:kern w:val="0"/>
                <w:sz w:val="20"/>
                <w:szCs w:val="20"/>
              </w:rPr>
            </w:pPr>
          </w:p>
        </w:tc>
        <w:tc>
          <w:tcPr>
            <w:tcW w:w="537" w:type="dxa"/>
            <w:shd w:val="clear" w:color="auto" w:fill="auto"/>
            <w:vAlign w:val="center"/>
          </w:tcPr>
          <w:p>
            <w:pPr>
              <w:widowControl/>
              <w:jc w:val="left"/>
              <w:rPr>
                <w:rFonts w:ascii="Times New Roman" w:hAnsi="Times New Roman" w:eastAsia="Times New Roman" w:cs="Times New Roman"/>
                <w:kern w:val="0"/>
                <w:sz w:val="20"/>
                <w:szCs w:val="20"/>
              </w:rPr>
            </w:pPr>
          </w:p>
        </w:tc>
      </w:tr>
    </w:tbl>
    <w:p>
      <w:pPr>
        <w:pStyle w:val="2"/>
        <w:numPr>
          <w:numId w:val="0"/>
        </w:numPr>
        <w:rPr>
          <w:rFonts w:hint="eastAsia" w:ascii="宋体" w:hAnsi="宋体" w:cs="宋体"/>
          <w:color w:val="333333"/>
          <w:kern w:val="0"/>
          <w:sz w:val="24"/>
          <w:szCs w:val="24"/>
          <w:lang w:val="en-US" w:eastAsia="zh-CN"/>
        </w:rPr>
      </w:pPr>
    </w:p>
    <w:p>
      <w:pPr>
        <w:pStyle w:val="2"/>
        <w:numPr>
          <w:numId w:val="0"/>
        </w:numP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自治区级昌吉市市域科技创新创业服务平台项目绩效自评综述：不断完善昌吉市市域科技创新创业服务平台，促进昌吉市市域中小企业集成创新能力，有效提升昌吉市整体科技创新实力。搭建科技创新创业服务平台，确立企业技术创新活动主体地位，加快人才培育和引进力度，加强科技交流与合作。建成自治区级工程技术研究中心1家；培育自治区级众创空间1家；获批国家高新技术企业8家；专利申请量达500余件；为企业引进、转化成果不低于3项；开办各类创新讲座、交流等专业服务培训活动10余场；建设一支150名的科技特派员队伍；组织2~3家企业参加“科博会”、“高交会”、“农高会”等国家级展会。根据年初设定的绩效目标，昌吉市市域科技创新创业服务平台项目绩效自评得分10分，项目全年预算数为0万元，执行数为30.18万元（为上年结转项目），完成预算的301%。主要产出和效果：一是大力实施创新驱动战略，围绕企业技术创新和公共科技服务需求，加强发展研发设计、成果转移转化、创新创业、科技金融和科技咨询等科技服务，着力提高科技服务能力。二是不断加大科技孵化器建设力度，注重引导民营孵化器建设，支持企业通过多渠道建立企业科技研发机构，加速科技成果转化，同时完善中介组织体系建设。发现的问题及原因：企业主体创新能力有限。下一步改进措施：继续加大政府对创新平台建设力度，给企业搭建产学研合作平台。</w:t>
      </w:r>
    </w:p>
    <w:tbl>
      <w:tblPr>
        <w:tblStyle w:val="5"/>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894"/>
        <w:gridCol w:w="649"/>
        <w:gridCol w:w="1482"/>
        <w:gridCol w:w="1863"/>
        <w:gridCol w:w="1863"/>
        <w:gridCol w:w="723"/>
        <w:gridCol w:w="84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4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4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7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84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302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5289"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昌吉市市域创新创业服务平台建设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302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5289"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昌吉市科学技术局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213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372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140</w:t>
            </w:r>
          </w:p>
        </w:tc>
        <w:tc>
          <w:tcPr>
            <w:tcW w:w="7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84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120.18</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54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其中：自治区财政拨款</w:t>
            </w:r>
          </w:p>
        </w:tc>
        <w:tc>
          <w:tcPr>
            <w:tcW w:w="334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50</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其中：自治区财政拨款</w:t>
            </w:r>
          </w:p>
        </w:tc>
        <w:tc>
          <w:tcPr>
            <w:tcW w:w="7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30.18</w:t>
            </w:r>
          </w:p>
        </w:tc>
        <w:tc>
          <w:tcPr>
            <w:tcW w:w="840"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54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334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90</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7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90</w:t>
            </w:r>
          </w:p>
        </w:tc>
        <w:tc>
          <w:tcPr>
            <w:tcW w:w="840"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c>
          <w:tcPr>
            <w:tcW w:w="8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5857"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156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888"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建成自治区级工程技术研究中心1家；培育自治区级众创空间1家；获批国家高新技术企业8家；专利申请量达500余件；为企业引进、转化成果不低于3项；开办各类创新讲座、交流等专业服务培训活动10余场；建设一支150名的科技特派员队伍；组织2~3家企业参加“科博会”、“高交会”、“农高会”等国家级展会；组织20余家企业参加第九届“科洽会”，力争昌吉市科洽会签约项目20项以上，签约金额8亿元以上；协助企业与区内外科研机构、高校等开展产学研合作和技术交易3项以上。</w:t>
            </w:r>
          </w:p>
        </w:tc>
        <w:tc>
          <w:tcPr>
            <w:tcW w:w="258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建成自治区级工程技术研究中心1家；培育自治区级众创空间1家；获批国家高新技术企业22家；专利申请量达700余件；为企业引进、转化成果3项；开办各类创新讲座、交流等专业服务培训活动10余场；建设一支190名的科技特派员队伍；组织3家企业参加“科博会”、“高交会”、“农高会”等国家级展会；组织25余家企业参加第九届“科洽会”，力争昌吉市科洽会签约项目36项，签约金额18.7亿元；协助企业与区内外科研机构、高校等开展产学研合作和技术交易3项。</w:t>
            </w:r>
          </w:p>
        </w:tc>
        <w:tc>
          <w:tcPr>
            <w:tcW w:w="840"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64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14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372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7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84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64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334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指标1：建成自治区级工程技术研究中心1家；</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建成自治区级工程技术研究中心1家；</w:t>
            </w:r>
          </w:p>
        </w:tc>
        <w:tc>
          <w:tcPr>
            <w:tcW w:w="7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建成自治区级工程技术研究中心1家；</w:t>
            </w:r>
          </w:p>
        </w:tc>
        <w:tc>
          <w:tcPr>
            <w:tcW w:w="840"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c>
          <w:tcPr>
            <w:tcW w:w="154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指标2：培育自治区级众创空间1家；获批国家高新技术企业8家</w:t>
            </w:r>
          </w:p>
        </w:tc>
        <w:tc>
          <w:tcPr>
            <w:tcW w:w="14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培育自治区级众创空间1家；获批国家高新技术企业8家</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培育自治区级众创空间1家；获批国家高新技术企业22家</w:t>
            </w:r>
          </w:p>
        </w:tc>
        <w:tc>
          <w:tcPr>
            <w:tcW w:w="1863" w:type="dxa"/>
            <w:shd w:val="clear" w:color="auto" w:fill="auto"/>
            <w:vAlign w:val="center"/>
          </w:tcPr>
          <w:p>
            <w:pPr>
              <w:widowControl/>
              <w:jc w:val="left"/>
              <w:rPr>
                <w:rFonts w:ascii="Times New Roman" w:hAnsi="Times New Roman" w:eastAsia="Times New Roman" w:cs="Times New Roman"/>
                <w:kern w:val="0"/>
                <w:sz w:val="20"/>
                <w:szCs w:val="20"/>
              </w:rPr>
            </w:pPr>
          </w:p>
        </w:tc>
        <w:tc>
          <w:tcPr>
            <w:tcW w:w="723" w:type="dxa"/>
            <w:shd w:val="clear" w:color="auto" w:fill="auto"/>
            <w:vAlign w:val="center"/>
          </w:tcPr>
          <w:p>
            <w:pPr>
              <w:widowControl/>
              <w:jc w:val="left"/>
              <w:rPr>
                <w:rFonts w:ascii="Times New Roman" w:hAnsi="Times New Roman" w:eastAsia="Times New Roman" w:cs="Times New Roman"/>
                <w:kern w:val="0"/>
                <w:sz w:val="20"/>
                <w:szCs w:val="20"/>
              </w:rPr>
            </w:pPr>
          </w:p>
        </w:tc>
        <w:tc>
          <w:tcPr>
            <w:tcW w:w="840"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54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指标3：专利申请量达500余件；</w:t>
            </w:r>
          </w:p>
        </w:tc>
        <w:tc>
          <w:tcPr>
            <w:tcW w:w="14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专利申请量达500余件；</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专利申请量达700余件；</w:t>
            </w:r>
          </w:p>
        </w:tc>
        <w:tc>
          <w:tcPr>
            <w:tcW w:w="1863" w:type="dxa"/>
            <w:shd w:val="clear" w:color="auto" w:fill="auto"/>
            <w:vAlign w:val="center"/>
          </w:tcPr>
          <w:p>
            <w:pPr>
              <w:widowControl/>
              <w:jc w:val="left"/>
              <w:rPr>
                <w:rFonts w:ascii="Times New Roman" w:hAnsi="Times New Roman" w:eastAsia="Times New Roman" w:cs="Times New Roman"/>
                <w:kern w:val="0"/>
                <w:sz w:val="20"/>
                <w:szCs w:val="20"/>
              </w:rPr>
            </w:pPr>
          </w:p>
        </w:tc>
        <w:tc>
          <w:tcPr>
            <w:tcW w:w="723" w:type="dxa"/>
            <w:shd w:val="clear" w:color="auto" w:fill="auto"/>
            <w:vAlign w:val="center"/>
          </w:tcPr>
          <w:p>
            <w:pPr>
              <w:widowControl/>
              <w:jc w:val="left"/>
              <w:rPr>
                <w:rFonts w:ascii="Times New Roman" w:hAnsi="Times New Roman" w:eastAsia="Times New Roman" w:cs="Times New Roman"/>
                <w:kern w:val="0"/>
                <w:sz w:val="20"/>
                <w:szCs w:val="20"/>
              </w:rPr>
            </w:pPr>
          </w:p>
        </w:tc>
        <w:tc>
          <w:tcPr>
            <w:tcW w:w="840"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c>
          <w:tcPr>
            <w:tcW w:w="8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213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开办各类创新讲座、交流等专业服务培训活动10余场；建设一支150名的科技特派员队伍；组织2~3家企业参加“科博会”、“高交会”、“农高会”等国家级展会；组织20余家企业参加第九届“科洽会”，力争昌吉市科洽会签约项目20项以上，签约金额8亿元以上；协助企业与区内外科研机构、高校等开展产学研合作和技术交易3项以上。</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开办各类创新讲座、交流等专业服务培训活动10余场；建设一支150名的科技特派员队伍；组织2~3家企业参加“科博会”、“高交会”、“农高会”等国家级展会；组织20余家企业参加第九届“科洽会”，力争昌吉市科洽会签约项目20项以上，签约金额8亿元以上；协助企业与区内外科研机构、高校等开展产学研合作和技术交易3项以上。</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开办各类创新讲座、交流等专业服务培训活动10余场；建设一支190名的科技特派员队伍；组织3家企业参加“科博会”、“高交会”、“农高会”等国家级展会；组织20余家企业参加第九届“科洽会”，力争昌吉市科洽会签约项目25项以上，签约金额18.7亿元以上；协助企业与区内外科研机构、高校等开展产学研合作和技术交易3项以上。</w:t>
            </w:r>
          </w:p>
        </w:tc>
        <w:tc>
          <w:tcPr>
            <w:tcW w:w="723" w:type="dxa"/>
            <w:shd w:val="clear" w:color="auto" w:fill="auto"/>
            <w:vAlign w:val="center"/>
          </w:tcPr>
          <w:p>
            <w:pPr>
              <w:widowControl/>
              <w:jc w:val="left"/>
              <w:rPr>
                <w:rFonts w:ascii="Times New Roman" w:hAnsi="Times New Roman" w:eastAsia="Times New Roman" w:cs="Times New Roman"/>
                <w:kern w:val="0"/>
                <w:sz w:val="20"/>
                <w:szCs w:val="20"/>
              </w:rPr>
            </w:pPr>
          </w:p>
        </w:tc>
        <w:tc>
          <w:tcPr>
            <w:tcW w:w="840"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c>
          <w:tcPr>
            <w:tcW w:w="8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213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指标1：2018年12月31日</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2018年12月31日</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2018年12月31日</w:t>
            </w:r>
          </w:p>
        </w:tc>
        <w:tc>
          <w:tcPr>
            <w:tcW w:w="723" w:type="dxa"/>
            <w:shd w:val="clear" w:color="auto" w:fill="auto"/>
            <w:vAlign w:val="center"/>
          </w:tcPr>
          <w:p>
            <w:pPr>
              <w:widowControl/>
              <w:jc w:val="left"/>
              <w:rPr>
                <w:rFonts w:ascii="Times New Roman" w:hAnsi="Times New Roman" w:eastAsia="Times New Roman" w:cs="Times New Roman"/>
                <w:kern w:val="0"/>
                <w:sz w:val="20"/>
                <w:szCs w:val="20"/>
              </w:rPr>
            </w:pPr>
          </w:p>
        </w:tc>
        <w:tc>
          <w:tcPr>
            <w:tcW w:w="840"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c>
          <w:tcPr>
            <w:tcW w:w="8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213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指标1：无</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723" w:type="dxa"/>
            <w:shd w:val="clear" w:color="auto" w:fill="auto"/>
            <w:vAlign w:val="center"/>
          </w:tcPr>
          <w:p>
            <w:pPr>
              <w:widowControl/>
              <w:jc w:val="left"/>
              <w:rPr>
                <w:rFonts w:ascii="Times New Roman" w:hAnsi="Times New Roman" w:eastAsia="Times New Roman" w:cs="Times New Roman"/>
                <w:kern w:val="0"/>
                <w:sz w:val="20"/>
                <w:szCs w:val="20"/>
              </w:rPr>
            </w:pPr>
          </w:p>
        </w:tc>
        <w:tc>
          <w:tcPr>
            <w:tcW w:w="840"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c>
          <w:tcPr>
            <w:tcW w:w="8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64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334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7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840"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13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通过昌吉市市域科技创新创业服务平台的建设，一是进一步完善以企业为主体的科技创新体系。创新创业服务平台的发展建设，在昌吉市形成创新创业的氛围，使创新创业成为中小微企业发展壮大的“生命力”，激发企业创新发展的“原动力”。。</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通过昌吉市市域科技创新创业服务平台的建设，一是进一步完善以企业为主体的科技创新体系。创新创业服务平台的发展建设，在昌吉市形成创新创业的氛围，使创新创业成为中小微企业发展壮大的“生命力”，激发企业创新发展的“原动力”。。</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通过昌吉市市域科技创新创业服务平台的建设，一是进一步完善以企业为主体的科技创新体系。创新创业服务平台的发展建设，在昌吉市形成创新创业的氛围，使创新创业成为中小微企业发展壮大的“生命力”，激发企业创新发展的“原动力”。。</w:t>
            </w:r>
          </w:p>
        </w:tc>
        <w:tc>
          <w:tcPr>
            <w:tcW w:w="723" w:type="dxa"/>
            <w:shd w:val="clear" w:color="auto" w:fill="auto"/>
            <w:vAlign w:val="center"/>
          </w:tcPr>
          <w:p>
            <w:pPr>
              <w:widowControl/>
              <w:jc w:val="left"/>
              <w:rPr>
                <w:rFonts w:ascii="Times New Roman" w:hAnsi="Times New Roman" w:eastAsia="Times New Roman" w:cs="Times New Roman"/>
                <w:kern w:val="0"/>
                <w:sz w:val="20"/>
                <w:szCs w:val="20"/>
              </w:rPr>
            </w:pPr>
          </w:p>
        </w:tc>
        <w:tc>
          <w:tcPr>
            <w:tcW w:w="840"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54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二是建立更加完善的公共服务平台。创新创业服务平台的发展建设，将分散的科技创新资源融为一个开放性、充满创造力的公共服务平台，集中创新资源、技术力量，为中小企业关键技术的研发和创新提供支持，为昌吉市科技服务业发展提供动力</w:t>
            </w:r>
          </w:p>
        </w:tc>
        <w:tc>
          <w:tcPr>
            <w:tcW w:w="14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二是建立更加完善的公共服务平台。创新创业服务平台的发展建设，将分散的科技创新资源融为一个开放性、充满创造力的公共服务平台，集中创新资源、技术力量，为中小企业关键技术的研发和创新提供支持，为昌吉市科技服务业发展提供动力</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二是建立更加完善的公共服务平台。创新创业服务平台的发展建设，将分散的科技创新资源融为一个开放性、充满创造力的公共服务平台，集中创新资源、技术力量，为中小企业关键技术的研发和创新提供支持，为昌吉市科技服务业发展提供动力</w:t>
            </w:r>
          </w:p>
        </w:tc>
        <w:tc>
          <w:tcPr>
            <w:tcW w:w="1863" w:type="dxa"/>
            <w:shd w:val="clear" w:color="auto" w:fill="auto"/>
            <w:vAlign w:val="center"/>
          </w:tcPr>
          <w:p>
            <w:pPr>
              <w:widowControl/>
              <w:jc w:val="left"/>
              <w:rPr>
                <w:rFonts w:ascii="Times New Roman" w:hAnsi="Times New Roman" w:eastAsia="Times New Roman" w:cs="Times New Roman"/>
                <w:kern w:val="0"/>
                <w:sz w:val="20"/>
                <w:szCs w:val="20"/>
              </w:rPr>
            </w:pPr>
          </w:p>
        </w:tc>
        <w:tc>
          <w:tcPr>
            <w:tcW w:w="723" w:type="dxa"/>
            <w:shd w:val="clear" w:color="auto" w:fill="auto"/>
            <w:vAlign w:val="center"/>
          </w:tcPr>
          <w:p>
            <w:pPr>
              <w:widowControl/>
              <w:jc w:val="left"/>
              <w:rPr>
                <w:rFonts w:ascii="Times New Roman" w:hAnsi="Times New Roman" w:eastAsia="Times New Roman" w:cs="Times New Roman"/>
                <w:kern w:val="0"/>
                <w:sz w:val="20"/>
                <w:szCs w:val="20"/>
              </w:rPr>
            </w:pPr>
          </w:p>
        </w:tc>
        <w:tc>
          <w:tcPr>
            <w:tcW w:w="840"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c>
          <w:tcPr>
            <w:tcW w:w="154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三是提升科技创新综合服务能力。创新创业服务平台的建立完善，不仅聚合人才、技术和信息等创新要素，而且聚集金融、咨询、网络等服务要素，为创新创业提供支撑。</w:t>
            </w:r>
          </w:p>
        </w:tc>
        <w:tc>
          <w:tcPr>
            <w:tcW w:w="14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三是提升科技创新综合服务能力。创新创业服务平台的建立完善，不仅聚合人才、技术和信息等创新要素，而且聚集金融、咨询、网络等服务要素，为创新创业提供支撑。</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三是提升科技创新综合服务能力。创新创业服务平台的建立完善，不仅聚合人才、技术和信息等创新要素，而且聚集金融、咨询、网络等服务要素，为创新创业提供支撑。</w:t>
            </w:r>
          </w:p>
        </w:tc>
        <w:tc>
          <w:tcPr>
            <w:tcW w:w="1863" w:type="dxa"/>
            <w:shd w:val="clear" w:color="auto" w:fill="auto"/>
            <w:vAlign w:val="center"/>
          </w:tcPr>
          <w:p>
            <w:pPr>
              <w:widowControl/>
              <w:jc w:val="left"/>
              <w:rPr>
                <w:rFonts w:ascii="Times New Roman" w:hAnsi="Times New Roman" w:eastAsia="Times New Roman" w:cs="Times New Roman"/>
                <w:kern w:val="0"/>
                <w:sz w:val="20"/>
                <w:szCs w:val="20"/>
              </w:rPr>
            </w:pPr>
          </w:p>
        </w:tc>
        <w:tc>
          <w:tcPr>
            <w:tcW w:w="723" w:type="dxa"/>
            <w:shd w:val="clear" w:color="auto" w:fill="auto"/>
            <w:vAlign w:val="center"/>
          </w:tcPr>
          <w:p>
            <w:pPr>
              <w:widowControl/>
              <w:jc w:val="left"/>
              <w:rPr>
                <w:rFonts w:ascii="Times New Roman" w:hAnsi="Times New Roman" w:eastAsia="Times New Roman" w:cs="Times New Roman"/>
                <w:kern w:val="0"/>
                <w:sz w:val="20"/>
                <w:szCs w:val="20"/>
              </w:rPr>
            </w:pPr>
          </w:p>
        </w:tc>
        <w:tc>
          <w:tcPr>
            <w:tcW w:w="840"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13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723" w:type="dxa"/>
            <w:shd w:val="clear" w:color="auto" w:fill="auto"/>
            <w:vAlign w:val="center"/>
          </w:tcPr>
          <w:p>
            <w:pPr>
              <w:widowControl/>
              <w:jc w:val="left"/>
              <w:rPr>
                <w:rFonts w:ascii="Times New Roman" w:hAnsi="Times New Roman" w:eastAsia="Times New Roman" w:cs="Times New Roman"/>
                <w:kern w:val="0"/>
                <w:sz w:val="20"/>
                <w:szCs w:val="20"/>
              </w:rPr>
            </w:pPr>
          </w:p>
        </w:tc>
        <w:tc>
          <w:tcPr>
            <w:tcW w:w="840"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13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723" w:type="dxa"/>
            <w:shd w:val="clear" w:color="auto" w:fill="auto"/>
            <w:vAlign w:val="center"/>
          </w:tcPr>
          <w:p>
            <w:pPr>
              <w:widowControl/>
              <w:jc w:val="left"/>
              <w:rPr>
                <w:rFonts w:ascii="Times New Roman" w:hAnsi="Times New Roman" w:eastAsia="Times New Roman" w:cs="Times New Roman"/>
                <w:kern w:val="0"/>
                <w:sz w:val="20"/>
                <w:szCs w:val="20"/>
              </w:rPr>
            </w:pPr>
          </w:p>
        </w:tc>
        <w:tc>
          <w:tcPr>
            <w:tcW w:w="840"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64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334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95%</w:t>
            </w:r>
          </w:p>
        </w:tc>
        <w:tc>
          <w:tcPr>
            <w:tcW w:w="7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840" w:type="dxa"/>
            <w:shd w:val="clear" w:color="auto" w:fill="auto"/>
            <w:vAlign w:val="center"/>
          </w:tcPr>
          <w:p>
            <w:pPr>
              <w:widowControl/>
              <w:jc w:val="left"/>
              <w:rPr>
                <w:rFonts w:ascii="Times New Roman" w:hAnsi="Times New Roman" w:eastAsia="Times New Roman" w:cs="Times New Roman"/>
                <w:kern w:val="0"/>
                <w:sz w:val="20"/>
                <w:szCs w:val="20"/>
              </w:rPr>
            </w:pPr>
          </w:p>
        </w:tc>
      </w:tr>
    </w:tbl>
    <w:p>
      <w:pPr>
        <w:spacing w:line="540" w:lineRule="exact"/>
        <w:rPr>
          <w:rFonts w:hint="eastAsia" w:ascii="宋体" w:hAnsi="宋体" w:eastAsia="宋体" w:cs="宋体"/>
          <w:color w:val="333333"/>
          <w:kern w:val="0"/>
          <w:sz w:val="24"/>
          <w:szCs w:val="24"/>
        </w:rPr>
      </w:pPr>
    </w:p>
    <w:p>
      <w:pPr>
        <w:numPr>
          <w:ilvl w:val="0"/>
          <w:numId w:val="1"/>
        </w:numPr>
        <w:spacing w:line="54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自治州级科技特派员项目绩效自评综述：2018年，昌吉市共承担州级科技特派员项目6项，根据年初设定的绩效目标，自治区级专利实施项目绩效自评得分10分，项目全年预算数为0万元，执行数为15万元（为州级预算内项目），完成预算的150%。主要产出和效果：一是提高科技特派员服务能力；二是增加农民收入。发现的问题及原因：无。下一步改进措施：无。</w:t>
      </w:r>
    </w:p>
    <w:tbl>
      <w:tblPr>
        <w:tblStyle w:val="5"/>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660"/>
        <w:gridCol w:w="405"/>
        <w:gridCol w:w="1057"/>
        <w:gridCol w:w="1998"/>
        <w:gridCol w:w="2307"/>
        <w:gridCol w:w="1115"/>
        <w:gridCol w:w="772"/>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昌吉市科技特派员项目支出绩效自评表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9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7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12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192"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州级科技特派员项目</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12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192"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昌吉市科技局</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4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430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989</w:t>
            </w:r>
          </w:p>
        </w:tc>
        <w:tc>
          <w:tcPr>
            <w:tcW w:w="11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7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989</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06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305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15</w:t>
            </w:r>
          </w:p>
        </w:tc>
        <w:tc>
          <w:tcPr>
            <w:tcW w:w="2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1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15</w:t>
            </w: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06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305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974</w:t>
            </w:r>
          </w:p>
        </w:tc>
        <w:tc>
          <w:tcPr>
            <w:tcW w:w="2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1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974</w:t>
            </w: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5767"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188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120"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贯彻落实《自治州关于全面推行科技特派员制度的实施意见》，加大对科技特派员创新创业、科技特派员创业链、创业示范基地的支持力度，2017年，自治州支持立项昌吉市科技特派员项目6项，完成：1、建立种植基地1000亩，收购基地产品300吨以上，解决基地产品储藏和销售问题，至少开发1款林果产品，促进企业科技创新；2、完成项目实施方案的制定、培训等工作。选择适合芦笋种植的地块进行土壤分析及土地流转的前期工作，完成温室育苗准备工作。3、投放养殖白斑狗鱼鱼苗50万尾，销售白斑狗鱼鱼苗150万尾，毛收入180万元。4、做好番茄育苗新品种引进试验示范。温室准备、穴盘和基质准备等。5、建立有机黑糯玉米示范基地面积1200亩，年加工保鲜鲜食黑糯玉米20万棒，解决基地产品储藏和销售问题，引进鲜食黑糯玉米新品种3种，促进合作社科技创新，合作社销售收入达到180万元，实现利润21万元，带动200户的种植户进行有机黑糯玉米种植。6、建成2300亩加工番茄示范基地，合作社统一替成员及社员把好育苗质量关，统按照农业科技部门技术指导及订单收购企业的要求统一施肥、病虫害防治、统一田间管理，实现亩收入2850元以上，带动周边劳动力就业1100人/次。</w:t>
            </w:r>
          </w:p>
        </w:tc>
        <w:tc>
          <w:tcPr>
            <w:tcW w:w="34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建立种植基地1200亩，开发了花果代用茶新产品，建立了保鲜库，企业销售收入达到100万元，新增利润15.6万元，解决当地就业26人，沙漠客线上入驻企业11家；2、完成了项目实施方案的制定、培训等工作。选择适合芦笋种植的地块进行土壤分析及土地流转的前期工作，完成温室育苗准备工作。3、投放养殖白斑狗鱼鱼苗60万尾，销售白斑狗鱼鱼苗180万尾，毛收入182万元。4、购置育苗新品种种子。温室准备、穴盘和基质准备、摆盘等工作就绪；5、建立有机黑糯玉米示范基地面积1200亩，年加工保鲜鲜食黑糯玉米20万棒，解决基地产品储藏和销售问题，引进鲜食黑糯玉米新品种3种，促进合作社科技创新，合作社销售收入达到180万元，实现利润21万元，带动200户的种植户进行有机黑糯玉米种植。6、建成2300亩加工番茄示范基地，合作社统一替成员及社员把好育苗质量关，统按照农业科技部门技术指导及订单收购企业的要求统一施肥、病虫害防治、统一田间管理，实现亩收入2850元以上，带动周边劳动力就业1100人/次。</w:t>
            </w: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4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10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430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11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7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4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305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指标1：加工番茄种植基地面积</w:t>
            </w:r>
          </w:p>
        </w:tc>
        <w:tc>
          <w:tcPr>
            <w:tcW w:w="2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建设2300亩加工番茄种植基地</w:t>
            </w:r>
          </w:p>
        </w:tc>
        <w:tc>
          <w:tcPr>
            <w:tcW w:w="11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建设2300亩加工番茄种植基地</w:t>
            </w: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06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指标2：有机黑糯玉米示范基地面积</w:t>
            </w:r>
          </w:p>
        </w:tc>
        <w:tc>
          <w:tcPr>
            <w:tcW w:w="10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建设1500亩有机黑糯玉米示范基地</w:t>
            </w:r>
          </w:p>
        </w:tc>
        <w:tc>
          <w:tcPr>
            <w:tcW w:w="19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建设1500亩有机黑糯玉米示范基地</w:t>
            </w:r>
          </w:p>
        </w:tc>
        <w:tc>
          <w:tcPr>
            <w:tcW w:w="2307" w:type="dxa"/>
            <w:shd w:val="clear" w:color="auto" w:fill="auto"/>
            <w:vAlign w:val="center"/>
          </w:tcPr>
          <w:p>
            <w:pPr>
              <w:widowControl/>
              <w:jc w:val="left"/>
              <w:rPr>
                <w:rFonts w:ascii="Times New Roman" w:hAnsi="Times New Roman" w:eastAsia="Times New Roman" w:cs="Times New Roman"/>
                <w:kern w:val="0"/>
                <w:sz w:val="20"/>
                <w:szCs w:val="20"/>
              </w:rPr>
            </w:pPr>
          </w:p>
        </w:tc>
        <w:tc>
          <w:tcPr>
            <w:tcW w:w="1115" w:type="dxa"/>
            <w:shd w:val="clear" w:color="auto" w:fill="auto"/>
            <w:vAlign w:val="center"/>
          </w:tcPr>
          <w:p>
            <w:pPr>
              <w:widowControl/>
              <w:jc w:val="left"/>
              <w:rPr>
                <w:rFonts w:ascii="Times New Roman" w:hAnsi="Times New Roman" w:eastAsia="Times New Roman" w:cs="Times New Roman"/>
                <w:kern w:val="0"/>
                <w:sz w:val="20"/>
                <w:szCs w:val="20"/>
              </w:rPr>
            </w:pP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06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指标3:引进新品种</w:t>
            </w:r>
          </w:p>
        </w:tc>
        <w:tc>
          <w:tcPr>
            <w:tcW w:w="10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引进芦笋新品种2-3个，示范种植100亩</w:t>
            </w:r>
          </w:p>
        </w:tc>
        <w:tc>
          <w:tcPr>
            <w:tcW w:w="19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引进芦笋新品种2-3个，示范种植100亩</w:t>
            </w:r>
          </w:p>
        </w:tc>
        <w:tc>
          <w:tcPr>
            <w:tcW w:w="2307" w:type="dxa"/>
            <w:shd w:val="clear" w:color="auto" w:fill="auto"/>
            <w:vAlign w:val="center"/>
          </w:tcPr>
          <w:p>
            <w:pPr>
              <w:widowControl/>
              <w:jc w:val="left"/>
              <w:rPr>
                <w:rFonts w:ascii="Times New Roman" w:hAnsi="Times New Roman" w:eastAsia="Times New Roman" w:cs="Times New Roman"/>
                <w:kern w:val="0"/>
                <w:sz w:val="20"/>
                <w:szCs w:val="20"/>
              </w:rPr>
            </w:pPr>
          </w:p>
        </w:tc>
        <w:tc>
          <w:tcPr>
            <w:tcW w:w="1115" w:type="dxa"/>
            <w:shd w:val="clear" w:color="auto" w:fill="auto"/>
            <w:vAlign w:val="center"/>
          </w:tcPr>
          <w:p>
            <w:pPr>
              <w:widowControl/>
              <w:jc w:val="left"/>
              <w:rPr>
                <w:rFonts w:ascii="Times New Roman" w:hAnsi="Times New Roman" w:eastAsia="Times New Roman" w:cs="Times New Roman"/>
                <w:kern w:val="0"/>
                <w:sz w:val="20"/>
                <w:szCs w:val="20"/>
              </w:rPr>
            </w:pP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4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指标4：产量</w:t>
            </w:r>
          </w:p>
        </w:tc>
        <w:tc>
          <w:tcPr>
            <w:tcW w:w="19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繁育白斑狗鱼200万尾，示范养殖面积30亩，销售150万尾，50户示范户推广养殖技术。</w:t>
            </w:r>
          </w:p>
        </w:tc>
        <w:tc>
          <w:tcPr>
            <w:tcW w:w="2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繁育白斑狗鱼200万尾，示范养殖面积30亩，销售150万尾，50户示范户推广养殖技术。</w:t>
            </w:r>
          </w:p>
        </w:tc>
        <w:tc>
          <w:tcPr>
            <w:tcW w:w="1115" w:type="dxa"/>
            <w:shd w:val="clear" w:color="auto" w:fill="auto"/>
            <w:vAlign w:val="center"/>
          </w:tcPr>
          <w:p>
            <w:pPr>
              <w:widowControl/>
              <w:jc w:val="left"/>
              <w:rPr>
                <w:rFonts w:ascii="Times New Roman" w:hAnsi="Times New Roman" w:eastAsia="Times New Roman" w:cs="Times New Roman"/>
                <w:kern w:val="0"/>
                <w:sz w:val="20"/>
                <w:szCs w:val="20"/>
              </w:rPr>
            </w:pP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4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指标5：示范面积</w:t>
            </w:r>
          </w:p>
        </w:tc>
        <w:tc>
          <w:tcPr>
            <w:tcW w:w="19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培育加工番茄苗5000万株，种植1.2万亩</w:t>
            </w:r>
          </w:p>
        </w:tc>
        <w:tc>
          <w:tcPr>
            <w:tcW w:w="2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培育加工番茄苗5000万株，种植1.2万亩</w:t>
            </w:r>
          </w:p>
        </w:tc>
        <w:tc>
          <w:tcPr>
            <w:tcW w:w="1115" w:type="dxa"/>
            <w:shd w:val="clear" w:color="auto" w:fill="auto"/>
            <w:vAlign w:val="center"/>
          </w:tcPr>
          <w:p>
            <w:pPr>
              <w:widowControl/>
              <w:jc w:val="left"/>
              <w:rPr>
                <w:rFonts w:ascii="Times New Roman" w:hAnsi="Times New Roman" w:eastAsia="Times New Roman" w:cs="Times New Roman"/>
                <w:kern w:val="0"/>
                <w:sz w:val="20"/>
                <w:szCs w:val="20"/>
              </w:rPr>
            </w:pP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14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指标1：质量要求</w:t>
            </w:r>
          </w:p>
        </w:tc>
        <w:tc>
          <w:tcPr>
            <w:tcW w:w="19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黑糯玉米达到有机产品要求</w:t>
            </w:r>
          </w:p>
        </w:tc>
        <w:tc>
          <w:tcPr>
            <w:tcW w:w="2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黑糯玉米达到有机产品要求</w:t>
            </w:r>
          </w:p>
        </w:tc>
        <w:tc>
          <w:tcPr>
            <w:tcW w:w="1115" w:type="dxa"/>
            <w:shd w:val="clear" w:color="auto" w:fill="auto"/>
            <w:vAlign w:val="center"/>
          </w:tcPr>
          <w:p>
            <w:pPr>
              <w:widowControl/>
              <w:jc w:val="left"/>
              <w:rPr>
                <w:rFonts w:ascii="Times New Roman" w:hAnsi="Times New Roman" w:eastAsia="Times New Roman" w:cs="Times New Roman"/>
                <w:kern w:val="0"/>
                <w:sz w:val="20"/>
                <w:szCs w:val="20"/>
              </w:rPr>
            </w:pP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4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指标1：实施年限</w:t>
            </w:r>
          </w:p>
        </w:tc>
        <w:tc>
          <w:tcPr>
            <w:tcW w:w="19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2018年1月--2019年12月</w:t>
            </w:r>
          </w:p>
        </w:tc>
        <w:tc>
          <w:tcPr>
            <w:tcW w:w="2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2018年1月--2019年12月</w:t>
            </w:r>
          </w:p>
        </w:tc>
        <w:tc>
          <w:tcPr>
            <w:tcW w:w="1115" w:type="dxa"/>
            <w:shd w:val="clear" w:color="auto" w:fill="auto"/>
            <w:vAlign w:val="center"/>
          </w:tcPr>
          <w:p>
            <w:pPr>
              <w:widowControl/>
              <w:jc w:val="left"/>
              <w:rPr>
                <w:rFonts w:ascii="Times New Roman" w:hAnsi="Times New Roman" w:eastAsia="Times New Roman" w:cs="Times New Roman"/>
                <w:kern w:val="0"/>
                <w:sz w:val="20"/>
                <w:szCs w:val="20"/>
              </w:rPr>
            </w:pP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4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指标1：总投资</w:t>
            </w:r>
          </w:p>
        </w:tc>
        <w:tc>
          <w:tcPr>
            <w:tcW w:w="19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8009万</w:t>
            </w:r>
          </w:p>
        </w:tc>
        <w:tc>
          <w:tcPr>
            <w:tcW w:w="2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8009万</w:t>
            </w:r>
          </w:p>
        </w:tc>
        <w:tc>
          <w:tcPr>
            <w:tcW w:w="1115" w:type="dxa"/>
            <w:shd w:val="clear" w:color="auto" w:fill="auto"/>
            <w:vAlign w:val="center"/>
          </w:tcPr>
          <w:p>
            <w:pPr>
              <w:widowControl/>
              <w:jc w:val="left"/>
              <w:rPr>
                <w:rFonts w:ascii="Times New Roman" w:hAnsi="Times New Roman" w:eastAsia="Times New Roman" w:cs="Times New Roman"/>
                <w:kern w:val="0"/>
                <w:sz w:val="20"/>
                <w:szCs w:val="20"/>
              </w:rPr>
            </w:pP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4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305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指标1：带动农户增收</w:t>
            </w:r>
          </w:p>
        </w:tc>
        <w:tc>
          <w:tcPr>
            <w:tcW w:w="2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带动农户增收300万</w:t>
            </w:r>
          </w:p>
        </w:tc>
        <w:tc>
          <w:tcPr>
            <w:tcW w:w="11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带动农户增收300万</w:t>
            </w: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4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指标1：带动就业</w:t>
            </w:r>
          </w:p>
        </w:tc>
        <w:tc>
          <w:tcPr>
            <w:tcW w:w="19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开展技术培训6场,带动就业1000人</w:t>
            </w:r>
          </w:p>
        </w:tc>
        <w:tc>
          <w:tcPr>
            <w:tcW w:w="2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开展技术培训6场,带动就业1000人</w:t>
            </w:r>
          </w:p>
        </w:tc>
        <w:tc>
          <w:tcPr>
            <w:tcW w:w="1115" w:type="dxa"/>
            <w:shd w:val="clear" w:color="auto" w:fill="auto"/>
            <w:vAlign w:val="center"/>
          </w:tcPr>
          <w:p>
            <w:pPr>
              <w:widowControl/>
              <w:jc w:val="left"/>
              <w:rPr>
                <w:rFonts w:ascii="Times New Roman" w:hAnsi="Times New Roman" w:eastAsia="Times New Roman" w:cs="Times New Roman"/>
                <w:kern w:val="0"/>
                <w:sz w:val="20"/>
                <w:szCs w:val="20"/>
              </w:rPr>
            </w:pP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4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指标1：种植基地符合有机产品所需要求</w:t>
            </w:r>
          </w:p>
        </w:tc>
        <w:tc>
          <w:tcPr>
            <w:tcW w:w="19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黑糯玉米种植基地符合有机产品所需要求</w:t>
            </w:r>
          </w:p>
        </w:tc>
        <w:tc>
          <w:tcPr>
            <w:tcW w:w="2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黑糯玉米种植基地符合有机产品所需要求</w:t>
            </w:r>
          </w:p>
        </w:tc>
        <w:tc>
          <w:tcPr>
            <w:tcW w:w="1115" w:type="dxa"/>
            <w:shd w:val="clear" w:color="auto" w:fill="auto"/>
            <w:vAlign w:val="center"/>
          </w:tcPr>
          <w:p>
            <w:pPr>
              <w:widowControl/>
              <w:jc w:val="left"/>
              <w:rPr>
                <w:rFonts w:ascii="Times New Roman" w:hAnsi="Times New Roman" w:eastAsia="Times New Roman" w:cs="Times New Roman"/>
                <w:kern w:val="0"/>
                <w:sz w:val="20"/>
                <w:szCs w:val="20"/>
              </w:rPr>
            </w:pP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4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9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115" w:type="dxa"/>
            <w:shd w:val="clear" w:color="auto" w:fill="auto"/>
            <w:vAlign w:val="center"/>
          </w:tcPr>
          <w:p>
            <w:pPr>
              <w:widowControl/>
              <w:jc w:val="left"/>
              <w:rPr>
                <w:rFonts w:ascii="Times New Roman" w:hAnsi="Times New Roman" w:eastAsia="Times New Roman" w:cs="Times New Roman"/>
                <w:kern w:val="0"/>
                <w:sz w:val="20"/>
                <w:szCs w:val="20"/>
              </w:rPr>
            </w:pP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06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0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9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307" w:type="dxa"/>
            <w:shd w:val="clear" w:color="auto" w:fill="auto"/>
            <w:vAlign w:val="center"/>
          </w:tcPr>
          <w:p>
            <w:pPr>
              <w:widowControl/>
              <w:jc w:val="left"/>
              <w:rPr>
                <w:rFonts w:ascii="Times New Roman" w:hAnsi="Times New Roman" w:eastAsia="Times New Roman" w:cs="Times New Roman"/>
                <w:kern w:val="0"/>
                <w:sz w:val="20"/>
                <w:szCs w:val="20"/>
              </w:rPr>
            </w:pPr>
          </w:p>
        </w:tc>
        <w:tc>
          <w:tcPr>
            <w:tcW w:w="1115" w:type="dxa"/>
            <w:shd w:val="clear" w:color="auto" w:fill="auto"/>
            <w:vAlign w:val="center"/>
          </w:tcPr>
          <w:p>
            <w:pPr>
              <w:widowControl/>
              <w:jc w:val="left"/>
              <w:rPr>
                <w:rFonts w:ascii="Times New Roman" w:hAnsi="Times New Roman" w:eastAsia="Times New Roman" w:cs="Times New Roman"/>
                <w:kern w:val="0"/>
                <w:sz w:val="20"/>
                <w:szCs w:val="20"/>
              </w:rPr>
            </w:pP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4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305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指标1：科技特派员</w:t>
            </w:r>
          </w:p>
        </w:tc>
        <w:tc>
          <w:tcPr>
            <w:tcW w:w="2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满意度100%</w:t>
            </w:r>
          </w:p>
        </w:tc>
        <w:tc>
          <w:tcPr>
            <w:tcW w:w="11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满意度100%</w:t>
            </w: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06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0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9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307" w:type="dxa"/>
            <w:shd w:val="clear" w:color="auto" w:fill="auto"/>
            <w:vAlign w:val="center"/>
          </w:tcPr>
          <w:p>
            <w:pPr>
              <w:widowControl/>
              <w:jc w:val="left"/>
              <w:rPr>
                <w:rFonts w:ascii="Times New Roman" w:hAnsi="Times New Roman" w:eastAsia="Times New Roman" w:cs="Times New Roman"/>
                <w:kern w:val="0"/>
                <w:sz w:val="20"/>
                <w:szCs w:val="20"/>
              </w:rPr>
            </w:pPr>
          </w:p>
        </w:tc>
        <w:tc>
          <w:tcPr>
            <w:tcW w:w="1115" w:type="dxa"/>
            <w:shd w:val="clear" w:color="auto" w:fill="auto"/>
            <w:vAlign w:val="center"/>
          </w:tcPr>
          <w:p>
            <w:pPr>
              <w:widowControl/>
              <w:jc w:val="left"/>
              <w:rPr>
                <w:rFonts w:ascii="Times New Roman" w:hAnsi="Times New Roman" w:eastAsia="Times New Roman" w:cs="Times New Roman"/>
                <w:kern w:val="0"/>
                <w:sz w:val="20"/>
                <w:szCs w:val="20"/>
              </w:rPr>
            </w:pPr>
          </w:p>
        </w:tc>
        <w:tc>
          <w:tcPr>
            <w:tcW w:w="772" w:type="dxa"/>
            <w:shd w:val="clear" w:color="auto" w:fill="auto"/>
            <w:vAlign w:val="center"/>
          </w:tcPr>
          <w:p>
            <w:pPr>
              <w:widowControl/>
              <w:jc w:val="left"/>
              <w:rPr>
                <w:rFonts w:ascii="Times New Roman" w:hAnsi="Times New Roman" w:eastAsia="Times New Roman" w:cs="Times New Roman"/>
                <w:kern w:val="0"/>
                <w:sz w:val="20"/>
                <w:szCs w:val="20"/>
              </w:rPr>
            </w:pPr>
          </w:p>
        </w:tc>
      </w:tr>
    </w:tbl>
    <w:p>
      <w:pPr>
        <w:pStyle w:val="2"/>
        <w:numPr>
          <w:numId w:val="0"/>
        </w:numPr>
        <w:rPr>
          <w:rFonts w:hint="eastAsia"/>
          <w:lang w:eastAsia="zh-CN"/>
        </w:rPr>
      </w:pPr>
    </w:p>
    <w:p>
      <w:pPr>
        <w:pStyle w:val="2"/>
        <w:numPr>
          <w:numId w:val="0"/>
        </w:numPr>
        <w:rPr>
          <w:rFonts w:hint="eastAsia"/>
          <w:lang w:eastAsia="zh-CN"/>
        </w:rPr>
      </w:pPr>
    </w:p>
    <w:p>
      <w:pPr>
        <w:pStyle w:val="2"/>
        <w:numPr>
          <w:numId w:val="0"/>
        </w:numPr>
        <w:rPr>
          <w:rFonts w:hint="eastAsia"/>
          <w:lang w:eastAsia="zh-CN"/>
        </w:rPr>
      </w:pP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rPr>
        <w:t>项目绩效自评综述：根据年初设定的绩效目标，</w:t>
      </w:r>
      <w:r>
        <w:rPr>
          <w:rFonts w:hint="eastAsia" w:ascii="仿宋_GB2312" w:eastAsia="仿宋_GB2312"/>
          <w:sz w:val="32"/>
          <w:szCs w:val="32"/>
          <w:lang w:eastAsia="zh-CN"/>
        </w:rPr>
        <w:t>××</w:t>
      </w:r>
      <w:r>
        <w:rPr>
          <w:rFonts w:hint="eastAsia" w:ascii="仿宋_GB2312" w:eastAsia="仿宋_GB2312"/>
          <w:sz w:val="32"/>
          <w:szCs w:val="32"/>
        </w:rPr>
        <w:t>项目绩效自评得分为</w:t>
      </w:r>
      <w:r>
        <w:rPr>
          <w:rFonts w:hint="eastAsia" w:ascii="仿宋_GB2312" w:eastAsia="仿宋_GB2312"/>
          <w:sz w:val="32"/>
          <w:szCs w:val="32"/>
          <w:lang w:eastAsia="zh-CN"/>
        </w:rPr>
        <w:t>××</w:t>
      </w:r>
      <w:r>
        <w:rPr>
          <w:rFonts w:hint="eastAsia" w:ascii="仿宋_GB2312" w:eastAsia="仿宋_GB2312"/>
          <w:sz w:val="32"/>
          <w:szCs w:val="32"/>
        </w:rPr>
        <w:t>分。项目全年预算数为</w:t>
      </w:r>
      <w:r>
        <w:rPr>
          <w:rFonts w:hint="eastAsia" w:ascii="仿宋_GB2312" w:eastAsia="仿宋_GB2312"/>
          <w:sz w:val="32"/>
          <w:szCs w:val="32"/>
          <w:lang w:eastAsia="zh-CN"/>
        </w:rPr>
        <w:t>××</w:t>
      </w:r>
      <w:r>
        <w:rPr>
          <w:rFonts w:hint="eastAsia" w:ascii="仿宋_GB2312" w:eastAsia="仿宋_GB2312"/>
          <w:sz w:val="32"/>
          <w:szCs w:val="32"/>
        </w:rPr>
        <w:t>万元，执行数为</w:t>
      </w:r>
      <w:r>
        <w:rPr>
          <w:rFonts w:hint="eastAsia" w:ascii="仿宋_GB2312" w:eastAsia="仿宋_GB2312"/>
          <w:sz w:val="32"/>
          <w:szCs w:val="32"/>
          <w:lang w:eastAsia="zh-CN"/>
        </w:rPr>
        <w:t>××</w:t>
      </w:r>
      <w:r>
        <w:rPr>
          <w:rFonts w:hint="eastAsia" w:ascii="仿宋_GB2312" w:eastAsia="仿宋_GB2312"/>
          <w:sz w:val="32"/>
          <w:szCs w:val="32"/>
        </w:rPr>
        <w:t>万元，完成预算的</w:t>
      </w:r>
      <w:r>
        <w:rPr>
          <w:rFonts w:hint="eastAsia" w:ascii="仿宋_GB2312" w:eastAsia="仿宋_GB2312"/>
          <w:sz w:val="32"/>
          <w:szCs w:val="32"/>
          <w:lang w:eastAsia="zh-CN"/>
        </w:rPr>
        <w:t>××</w:t>
      </w:r>
      <w:r>
        <w:rPr>
          <w:rFonts w:hint="eastAsia" w:ascii="仿宋_GB2312" w:eastAsia="仿宋_GB2312"/>
          <w:sz w:val="32"/>
          <w:szCs w:val="32"/>
        </w:rPr>
        <w:t>%。主要产出和效果：一是……；二是……。发现的问题及原因：一是……；二是……。下一步改进措施：一是……；二是……。有关项目自评情况可以附项目支出绩效自评表。</w:t>
      </w:r>
    </w:p>
    <w:p>
      <w:pPr>
        <w:spacing w:line="540" w:lineRule="exact"/>
        <w:ind w:firstLine="0"/>
        <w:jc w:val="center"/>
        <w:rPr>
          <w:rFonts w:hint="eastAsia" w:ascii="黑体" w:hAnsi="黑体" w:eastAsia="黑体"/>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hint="eastAsia" w:ascii="仿宋_GB2312" w:eastAsia="仿宋_GB2312"/>
          <w:sz w:val="32"/>
          <w:szCs w:val="32"/>
        </w:rPr>
        <w:t>201（类）14（款）09（项）：指知识产权宏观管理。206（类）01（款）01（项）：指行政运行。206（类）04（款）02（项）：指应运技术研究与开发。206（类）04（款）04（项）：指科技成果转化与扩散。208（类）05（款）05（项）：指机关事业单位基本养老保险缴费支出。</w:t>
      </w:r>
    </w:p>
    <w:p>
      <w:pPr>
        <w:spacing w:line="540" w:lineRule="exact"/>
        <w:ind w:firstLine="640" w:firstLineChars="200"/>
        <w:rPr>
          <w:rFonts w:hint="eastAsia"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hint="eastAsia" w:ascii="仿宋_GB2312" w:eastAsia="仿宋_GB2312"/>
          <w:b/>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
    <w:sectPr>
      <w:pgSz w:w="11906" w:h="16838"/>
      <w:pgMar w:top="1440" w:right="1266" w:bottom="1440" w:left="14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86403F"/>
    <w:multiLevelType w:val="singleLevel"/>
    <w:tmpl w:val="E786403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70155D"/>
    <w:rsid w:val="0BF37867"/>
    <w:rsid w:val="10335C29"/>
    <w:rsid w:val="22D76446"/>
    <w:rsid w:val="28BD2CFB"/>
    <w:rsid w:val="4470155D"/>
    <w:rsid w:val="4566661D"/>
    <w:rsid w:val="6D767749"/>
    <w:rsid w:val="70982327"/>
    <w:rsid w:val="72BE71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spacing w:after="0"/>
      <w:ind w:firstLine="200" w:firstLineChars="200"/>
    </w:pPr>
  </w:style>
  <w:style w:type="paragraph" w:styleId="3">
    <w:name w:val="Body Text"/>
    <w:basedOn w:val="1"/>
    <w:qFormat/>
    <w:uiPriority w:val="0"/>
    <w:pPr>
      <w:spacing w:after="1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2021-05-31T09:45:00Z</dcterms:created>
  <dc:creator>Administrator</dc:creator>
  <cp:lastModifiedBy>Administrator</cp:lastModifiedBy>
  <dcterms:modified xsi:type="dcterms:W3CDTF">2021-05-31T10:31:03Z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