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昌吉市水利局201</w:t>
      </w:r>
      <w:r>
        <w:rPr>
          <w:rFonts w:hint="eastAsia" w:ascii="方正小标宋_GBK" w:hAnsi="宋体" w:eastAsia="方正小标宋_GBK" w:cs="Times New Roman"/>
          <w:sz w:val="44"/>
          <w:szCs w:val="44"/>
          <w:lang w:val="en-US" w:eastAsia="zh-CN"/>
        </w:rPr>
        <w:t>8</w:t>
      </w:r>
      <w:r>
        <w:rPr>
          <w:rFonts w:hint="eastAsia" w:ascii="方正小标宋_GBK" w:hAnsi="宋体" w:eastAsia="方正小标宋_GBK" w:cs="Times New Roman"/>
          <w:sz w:val="44"/>
          <w:szCs w:val="44"/>
        </w:rPr>
        <w:t>年度部门决算</w:t>
      </w:r>
    </w:p>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公开说明</w:t>
      </w:r>
    </w:p>
    <w:p>
      <w:pPr>
        <w:pStyle w:val="2"/>
        <w:rPr>
          <w:rFonts w:hint="eastAsia" w:ascii="方正小标宋_GBK" w:hAnsi="宋体" w:eastAsia="方正小标宋_GBK"/>
          <w:sz w:val="44"/>
          <w:szCs w:val="44"/>
        </w:rPr>
      </w:pP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5"/>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_Toc32314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_Toc30567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_Toc2151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sz w:val="32"/>
          <w:szCs w:val="32"/>
        </w:rPr>
        <w:fldChar w:fldCharType="end"/>
      </w:r>
    </w:p>
    <w:p>
      <w:pPr>
        <w:pStyle w:val="5"/>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_Toc29374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_Toc25314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_Toc12142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_Toc13201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_Toc26564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_Toc20360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_Toc30870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_Toc21518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_Toc5810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_Toc1235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_Toc14519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_Toc227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_Toc8391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_Toc11283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sz w:val="32"/>
          <w:szCs w:val="32"/>
        </w:rPr>
        <w:fldChar w:fldCharType="end"/>
      </w:r>
    </w:p>
    <w:p>
      <w:pPr>
        <w:pStyle w:val="5"/>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_Toc3250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5"/>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_Toc22784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_Toc2183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_Toc24532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_Toc32434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_Toc28786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_Toc14869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_Toc8884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_Toc29106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sz w:val="32"/>
          <w:szCs w:val="32"/>
        </w:rPr>
        <w:fldChar w:fldCharType="end"/>
      </w:r>
    </w:p>
    <w:p>
      <w:pPr>
        <w:pStyle w:val="6"/>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_Toc7643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sz w:val="32"/>
          <w:szCs w:val="32"/>
        </w:rPr>
        <w:fldChar w:fldCharType="end"/>
      </w:r>
    </w:p>
    <w:p>
      <w:pPr>
        <w:pStyle w:val="2"/>
        <w:ind w:left="0" w:leftChars="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end"/>
      </w:r>
    </w:p>
    <w:p>
      <w:pPr>
        <w:pStyle w:val="2"/>
        <w:ind w:left="0" w:leftChars="0" w:firstLine="0" w:firstLineChars="0"/>
        <w:rPr>
          <w:rFonts w:hint="eastAsia" w:ascii="仿宋_GB2312" w:hAnsi="仿宋_GB2312" w:eastAsia="仿宋_GB2312" w:cs="仿宋_GB2312"/>
          <w:sz w:val="32"/>
          <w:szCs w:val="32"/>
        </w:rPr>
      </w:pPr>
    </w:p>
    <w:p>
      <w:pPr>
        <w:pStyle w:val="2"/>
        <w:ind w:left="0" w:leftChars="0" w:firstLine="0" w:firstLineChars="0"/>
        <w:rPr>
          <w:rFonts w:hint="eastAsia" w:ascii="仿宋_GB2312" w:hAnsi="仿宋_GB2312" w:eastAsia="仿宋_GB2312" w:cs="仿宋_GB2312"/>
          <w:sz w:val="32"/>
          <w:szCs w:val="32"/>
        </w:rPr>
      </w:pPr>
    </w:p>
    <w:p>
      <w:pPr>
        <w:pStyle w:val="2"/>
        <w:ind w:left="0" w:leftChars="0" w:firstLine="0" w:firstLineChars="0"/>
        <w:rPr>
          <w:rFonts w:hint="eastAsia" w:ascii="仿宋_GB2312" w:hAnsi="仿宋_GB2312" w:eastAsia="仿宋_GB2312" w:cs="仿宋_GB2312"/>
          <w:sz w:val="32"/>
          <w:szCs w:val="32"/>
        </w:rPr>
      </w:pPr>
    </w:p>
    <w:p>
      <w:pPr>
        <w:pStyle w:val="2"/>
        <w:ind w:left="0" w:leftChars="0" w:firstLine="0" w:firstLineChars="0"/>
        <w:rPr>
          <w:rFonts w:hint="eastAsia" w:ascii="仿宋_GB2312" w:hAnsi="仿宋_GB2312" w:eastAsia="仿宋_GB2312" w:cs="仿宋_GB2312"/>
          <w:sz w:val="32"/>
          <w:szCs w:val="32"/>
        </w:rPr>
      </w:pPr>
    </w:p>
    <w:p>
      <w:pPr>
        <w:pStyle w:val="2"/>
        <w:ind w:left="0" w:leftChars="0" w:firstLine="0" w:firstLineChars="0"/>
        <w:rPr>
          <w:rFonts w:hint="eastAsia" w:ascii="仿宋_GB2312" w:hAnsi="仿宋_GB2312" w:eastAsia="仿宋_GB2312" w:cs="仿宋_GB2312"/>
          <w:sz w:val="32"/>
          <w:szCs w:val="32"/>
        </w:rPr>
      </w:pPr>
    </w:p>
    <w:p>
      <w:pPr>
        <w:pStyle w:val="2"/>
        <w:ind w:left="0" w:leftChars="0" w:firstLine="0" w:firstLineChars="0"/>
        <w:rPr>
          <w:rFonts w:hint="eastAsia" w:ascii="仿宋_GB2312" w:hAnsi="仿宋_GB2312" w:eastAsia="仿宋_GB2312" w:cs="仿宋_GB2312"/>
          <w:sz w:val="32"/>
          <w:szCs w:val="32"/>
        </w:rPr>
      </w:pPr>
    </w:p>
    <w:p>
      <w:pPr>
        <w:pStyle w:val="2"/>
        <w:ind w:left="0" w:leftChars="0" w:firstLine="0" w:firstLineChars="0"/>
        <w:rPr>
          <w:rFonts w:hint="eastAsia" w:ascii="仿宋_GB2312" w:hAnsi="仿宋_GB2312" w:eastAsia="仿宋_GB2312" w:cs="仿宋_GB2312"/>
          <w:sz w:val="32"/>
          <w:szCs w:val="32"/>
        </w:rPr>
      </w:pPr>
    </w:p>
    <w:p>
      <w:pPr>
        <w:pStyle w:val="2"/>
        <w:ind w:left="0" w:leftChars="0" w:firstLine="0" w:firstLineChars="0"/>
        <w:rPr>
          <w:rFonts w:hint="eastAsia" w:ascii="仿宋_GB2312" w:hAnsi="仿宋_GB2312" w:eastAsia="仿宋_GB2312" w:cs="仿宋_GB2312"/>
          <w:sz w:val="32"/>
          <w:szCs w:val="32"/>
        </w:rPr>
      </w:pPr>
    </w:p>
    <w:p>
      <w:pPr>
        <w:pStyle w:val="2"/>
        <w:ind w:left="0" w:leftChars="0" w:firstLine="0" w:firstLineChars="0"/>
        <w:rPr>
          <w:rFonts w:hint="eastAsia" w:ascii="仿宋_GB2312" w:hAnsi="仿宋_GB2312" w:eastAsia="仿宋_GB2312" w:cs="仿宋_GB2312"/>
          <w:sz w:val="32"/>
          <w:szCs w:val="32"/>
        </w:rPr>
      </w:pPr>
    </w:p>
    <w:p>
      <w:pPr>
        <w:pStyle w:val="2"/>
        <w:ind w:left="0" w:leftChars="0" w:firstLine="0" w:firstLineChars="0"/>
        <w:rPr>
          <w:rFonts w:hint="eastAsia" w:ascii="仿宋_GB2312" w:hAnsi="仿宋_GB2312" w:eastAsia="仿宋_GB2312" w:cs="仿宋_GB2312"/>
          <w:sz w:val="32"/>
          <w:szCs w:val="32"/>
        </w:rPr>
      </w:pPr>
    </w:p>
    <w:p>
      <w:pPr>
        <w:widowControl/>
        <w:shd w:val="clear" w:color="auto" w:fill="FFFFFF"/>
        <w:spacing w:before="225" w:line="450" w:lineRule="atLeast"/>
        <w:ind w:firstLine="2640" w:firstLineChars="1100"/>
        <w:jc w:val="both"/>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第一部分 部门单位概况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一、主要职能</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水利局是昌吉市人民政府水行政主管单位，主要承担全市水利工程建设、水资源管理、水利灌溉管理、防汛抗旱、河道采砂、水土保持、涉水行政许可、审批、执法权限内在江河、湖泊上建设防洪工程和其他水工程、水电站等符合规划要求的审查。权限内新建、改建、扩大入河、入湖排污口的审查,水能资源开发利用与水电建设管理职责水利行业安全生产职责，负责水利建设市场的监督管理等职能工作。</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lang w:val="en-US" w:eastAsia="zh-CN"/>
        </w:rPr>
        <w:t>二、</w:t>
      </w:r>
      <w:r>
        <w:rPr>
          <w:rFonts w:hint="eastAsia" w:ascii="宋体" w:hAnsi="宋体" w:eastAsia="宋体" w:cs="宋体"/>
          <w:color w:val="333333"/>
          <w:kern w:val="0"/>
          <w:sz w:val="24"/>
          <w:szCs w:val="24"/>
        </w:rPr>
        <w:t>机构设置及人员情况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机构设置：水利局机关、昌吉市防洪抗旱指挥部办公室（昌吉市河道管理所）、昌吉市水利工程质量监督站、昌吉市渔政管理站</w:t>
      </w:r>
      <w:r>
        <w:rPr>
          <w:rFonts w:hint="eastAsia" w:ascii="宋体" w:hAnsi="宋体" w:eastAsia="宋体" w:cs="宋体"/>
          <w:color w:val="333333"/>
          <w:kern w:val="0"/>
          <w:sz w:val="24"/>
          <w:szCs w:val="24"/>
          <w:highlight w:val="none"/>
          <w:lang w:eastAsia="zh-CN"/>
        </w:rPr>
        <w:t>，</w:t>
      </w:r>
      <w:r>
        <w:rPr>
          <w:rFonts w:hint="eastAsia" w:ascii="宋体" w:hAnsi="宋体" w:eastAsia="宋体" w:cs="宋体"/>
          <w:color w:val="333333"/>
          <w:kern w:val="0"/>
          <w:sz w:val="24"/>
          <w:szCs w:val="24"/>
          <w:highlight w:val="none"/>
          <w:lang w:val="en-US" w:eastAsia="zh-CN"/>
        </w:rPr>
        <w:t>下属单位包含昌吉市三屯河流域管理处、昌吉市水政水资源管理处、昌吉市努尔加水库建设管理处</w:t>
      </w:r>
      <w:r>
        <w:rPr>
          <w:rFonts w:hint="eastAsia" w:ascii="宋体" w:hAnsi="宋体" w:eastAsia="宋体" w:cs="宋体"/>
          <w:color w:val="333333"/>
          <w:kern w:val="0"/>
          <w:sz w:val="24"/>
          <w:szCs w:val="24"/>
          <w:highlight w:val="none"/>
        </w:rPr>
        <w:t>。</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核定编制数34人，实有人数31人。水利局机关编制9人，实有7人，河道管理所编制12人，实有11人；水利工程质量监督站编制8人，实有7人；渔政管理站编制5人，实有5人。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从决算单位构成看，昌吉市水利局部门决算包括：昌吉市水利局部门本级决算。</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纳入昌吉市水利局部门决算编制范围的单位名单见下表：</w:t>
      </w:r>
    </w:p>
    <w:tbl>
      <w:tblPr>
        <w:tblStyle w:val="8"/>
        <w:tblW w:w="8363"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496"/>
        <w:gridCol w:w="3856"/>
        <w:gridCol w:w="401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3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401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3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昌吉市水利局本级本级本级单位本级</w:t>
            </w:r>
          </w:p>
        </w:tc>
        <w:tc>
          <w:tcPr>
            <w:tcW w:w="401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bl>
    <w:p>
      <w:pPr>
        <w:ind w:firstLine="640" w:firstLineChars="200"/>
        <w:jc w:val="center"/>
        <w:outlineLvl w:val="0"/>
        <w:rPr>
          <w:rFonts w:hint="eastAsia" w:ascii="黑体" w:hAnsi="黑体" w:eastAsia="黑体"/>
          <w:sz w:val="32"/>
          <w:szCs w:val="32"/>
        </w:rPr>
      </w:pPr>
      <w:bookmarkStart w:id="0" w:name="_Toc3092"/>
      <w:bookmarkStart w:id="1" w:name="_Toc29374"/>
    </w:p>
    <w:p>
      <w:pPr>
        <w:ind w:firstLine="640" w:firstLineChars="200"/>
        <w:jc w:val="center"/>
        <w:outlineLvl w:val="0"/>
        <w:rPr>
          <w:rFonts w:hint="eastAsia" w:ascii="黑体" w:hAnsi="黑体" w:eastAsia="黑体"/>
          <w:sz w:val="32"/>
          <w:szCs w:val="32"/>
        </w:rPr>
      </w:pPr>
      <w:bookmarkStart w:id="4" w:name="_GoBack"/>
      <w:bookmarkEnd w:id="4"/>
      <w:r>
        <w:rPr>
          <w:rFonts w:hint="eastAsia" w:ascii="黑体" w:hAnsi="黑体" w:eastAsia="黑体"/>
          <w:sz w:val="32"/>
          <w:szCs w:val="32"/>
        </w:rPr>
        <w:t>第二部分 部门决算情况说明</w:t>
      </w:r>
      <w:bookmarkEnd w:id="0"/>
      <w:bookmarkEnd w:id="1"/>
    </w:p>
    <w:p>
      <w:pPr>
        <w:ind w:firstLine="640" w:firstLineChars="200"/>
        <w:outlineLvl w:val="1"/>
        <w:rPr>
          <w:rFonts w:hint="eastAsia" w:ascii="宋体" w:hAnsi="宋体" w:eastAsia="宋体" w:cs="宋体"/>
          <w:color w:val="333333"/>
          <w:kern w:val="0"/>
          <w:sz w:val="24"/>
          <w:szCs w:val="24"/>
        </w:rPr>
      </w:pPr>
      <w:bookmarkStart w:id="2" w:name="_Toc12566"/>
      <w:bookmarkStart w:id="3" w:name="_Toc25314"/>
      <w:r>
        <w:rPr>
          <w:rFonts w:hint="eastAsia" w:ascii="黑体" w:hAnsi="黑体" w:eastAsia="黑体" w:cs="宋体"/>
          <w:bCs/>
          <w:kern w:val="0"/>
          <w:sz w:val="32"/>
          <w:szCs w:val="32"/>
        </w:rPr>
        <w:t>一、收入支出决算总体情况说明</w:t>
      </w:r>
      <w:bookmarkEnd w:id="2"/>
      <w:bookmarkEnd w:id="3"/>
    </w:p>
    <w:p>
      <w:pPr>
        <w:widowControl/>
        <w:shd w:val="clear" w:color="auto" w:fill="FFFFFF"/>
        <w:spacing w:before="225" w:line="450" w:lineRule="atLeast"/>
        <w:ind w:firstLine="480"/>
        <w:jc w:val="left"/>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rPr>
        <w:t>2018年度收入2386.83万元,与上年相比，减少4712.28万元</w:t>
      </w:r>
      <w:r>
        <w:rPr>
          <w:rFonts w:hint="eastAsia" w:ascii="宋体" w:hAnsi="宋体" w:eastAsia="宋体" w:cs="宋体"/>
          <w:color w:val="333333"/>
          <w:kern w:val="0"/>
          <w:sz w:val="24"/>
          <w:szCs w:val="24"/>
          <w:highlight w:val="none"/>
        </w:rPr>
        <w:t>，降低</w:t>
      </w:r>
      <w:r>
        <w:rPr>
          <w:rFonts w:hint="eastAsia" w:ascii="宋体" w:hAnsi="宋体" w:eastAsia="宋体" w:cs="宋体"/>
          <w:color w:val="333333"/>
          <w:kern w:val="0"/>
          <w:sz w:val="24"/>
          <w:szCs w:val="24"/>
          <w:highlight w:val="none"/>
          <w:lang w:val="en-US" w:eastAsia="zh-CN"/>
        </w:rPr>
        <w:t>66.38</w:t>
      </w:r>
      <w:r>
        <w:rPr>
          <w:rFonts w:hint="eastAsia" w:ascii="宋体" w:hAnsi="宋体" w:eastAsia="宋体" w:cs="宋体"/>
          <w:color w:val="333333"/>
          <w:kern w:val="0"/>
          <w:sz w:val="24"/>
          <w:szCs w:val="24"/>
          <w:highlight w:val="none"/>
        </w:rPr>
        <w:t>%，</w:t>
      </w:r>
      <w:r>
        <w:rPr>
          <w:rFonts w:hint="eastAsia" w:ascii="宋体" w:hAnsi="宋体" w:eastAsia="宋体" w:cs="宋体"/>
          <w:color w:val="333333"/>
          <w:kern w:val="0"/>
          <w:sz w:val="24"/>
          <w:szCs w:val="24"/>
        </w:rPr>
        <w:t>增减变化主要原因是：2018年建设项目较2017年有所减少；支出2678.45万元,与上年相比，减少4302.95万</w:t>
      </w:r>
      <w:r>
        <w:rPr>
          <w:rFonts w:hint="eastAsia" w:ascii="宋体" w:hAnsi="宋体" w:eastAsia="宋体" w:cs="宋体"/>
          <w:color w:val="333333"/>
          <w:kern w:val="0"/>
          <w:sz w:val="24"/>
          <w:szCs w:val="24"/>
          <w:highlight w:val="none"/>
        </w:rPr>
        <w:t>元，降低</w:t>
      </w:r>
      <w:r>
        <w:rPr>
          <w:rFonts w:hint="eastAsia" w:ascii="宋体" w:hAnsi="宋体" w:eastAsia="宋体" w:cs="宋体"/>
          <w:color w:val="333333"/>
          <w:kern w:val="0"/>
          <w:sz w:val="24"/>
          <w:szCs w:val="24"/>
          <w:highlight w:val="none"/>
          <w:lang w:val="en-US" w:eastAsia="zh-CN"/>
        </w:rPr>
        <w:t>61.63</w:t>
      </w:r>
      <w:r>
        <w:rPr>
          <w:rFonts w:hint="eastAsia" w:ascii="宋体" w:hAnsi="宋体" w:eastAsia="宋体" w:cs="宋体"/>
          <w:color w:val="333333"/>
          <w:kern w:val="0"/>
          <w:sz w:val="24"/>
          <w:szCs w:val="24"/>
          <w:highlight w:val="none"/>
        </w:rPr>
        <w:t>%，增减变</w:t>
      </w:r>
      <w:r>
        <w:rPr>
          <w:rFonts w:hint="eastAsia" w:ascii="宋体" w:hAnsi="宋体" w:eastAsia="宋体" w:cs="宋体"/>
          <w:color w:val="333333"/>
          <w:kern w:val="0"/>
          <w:sz w:val="24"/>
          <w:szCs w:val="24"/>
        </w:rPr>
        <w:t>化主要原因是：2018年建设项目较2017年有所减少</w:t>
      </w:r>
      <w:r>
        <w:rPr>
          <w:rFonts w:hint="eastAsia" w:ascii="宋体" w:hAnsi="宋体" w:eastAsia="宋体" w:cs="宋体"/>
          <w:color w:val="333333"/>
          <w:kern w:val="0"/>
          <w:sz w:val="24"/>
          <w:szCs w:val="24"/>
          <w:lang w:eastAsia="zh-CN"/>
        </w:rPr>
        <w:t>。</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（二）部门收入总体情况说明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本年收入合计2386.83万元，其中：财政拨款收入2386.83万元，占100%；上级补助收入0万元，占0%；事业收入0万元，占0%；经营收入0万元，占0%；附属单位缴款0万元，占0%；其他收入0万元，占0%。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与年初预算数相比情况：本年收入年初预算数495.60万元，决算数2386.83万元，预决算差异率381.6%，差异主要原因预算未安排项目经费，决算数包含了追加的项目经费及人员增资等经费。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（三）部门支出总体情况说明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本年支出合计2678.45万元，其中：基本支出553万元，占20.65%；项目支出2125.45万元，占79.35%；上缴上级支出0万元，占0%；经营支出0万元，占0%；对附属单位补助支出0万元，占0%。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与年初预算数相比情况：本年支出年初预算数495.60万元，决算数2678.45万元，预决算差异率440.45%，差异主要原因预算未安排项目经费，决算数包含了追加的项目经费及人员增资等经费。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二、部门财政拨款收支情况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（一）财政拨款收支总体情况说明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2018年度财政拨款收入2386.83万元，减少4712.28万</w:t>
      </w:r>
      <w:r>
        <w:rPr>
          <w:rFonts w:hint="eastAsia" w:ascii="宋体" w:hAnsi="宋体" w:eastAsia="宋体" w:cs="宋体"/>
          <w:color w:val="333333"/>
          <w:kern w:val="0"/>
          <w:sz w:val="24"/>
          <w:szCs w:val="24"/>
          <w:highlight w:val="none"/>
        </w:rPr>
        <w:t>元，降低</w:t>
      </w:r>
      <w:r>
        <w:rPr>
          <w:rFonts w:hint="eastAsia" w:ascii="宋体" w:hAnsi="宋体" w:eastAsia="宋体" w:cs="宋体"/>
          <w:color w:val="333333"/>
          <w:kern w:val="0"/>
          <w:sz w:val="24"/>
          <w:szCs w:val="24"/>
          <w:highlight w:val="none"/>
          <w:lang w:val="en-US" w:eastAsia="zh-CN"/>
        </w:rPr>
        <w:t>66.38</w:t>
      </w:r>
      <w:r>
        <w:rPr>
          <w:rFonts w:hint="eastAsia" w:ascii="宋体" w:hAnsi="宋体" w:eastAsia="宋体" w:cs="宋体"/>
          <w:color w:val="333333"/>
          <w:kern w:val="0"/>
          <w:sz w:val="24"/>
          <w:szCs w:val="24"/>
          <w:highlight w:val="none"/>
        </w:rPr>
        <w:t>%，</w:t>
      </w:r>
      <w:r>
        <w:rPr>
          <w:rFonts w:hint="eastAsia" w:ascii="宋体" w:hAnsi="宋体" w:eastAsia="宋体" w:cs="宋体"/>
          <w:color w:val="333333"/>
          <w:kern w:val="0"/>
          <w:sz w:val="24"/>
          <w:szCs w:val="24"/>
        </w:rPr>
        <w:t>增减变化主要原因是：2018年建设项目较2017年有所减少。财政拨款支出2678.45万元，与上年相比，减少4302.95万元</w:t>
      </w:r>
      <w:r>
        <w:rPr>
          <w:rFonts w:hint="eastAsia" w:ascii="宋体" w:hAnsi="宋体" w:eastAsia="宋体" w:cs="宋体"/>
          <w:color w:val="333333"/>
          <w:kern w:val="0"/>
          <w:sz w:val="24"/>
          <w:szCs w:val="24"/>
          <w:highlight w:val="none"/>
        </w:rPr>
        <w:t>，降低</w:t>
      </w:r>
      <w:r>
        <w:rPr>
          <w:rFonts w:hint="eastAsia" w:ascii="宋体" w:hAnsi="宋体" w:eastAsia="宋体" w:cs="宋体"/>
          <w:color w:val="333333"/>
          <w:kern w:val="0"/>
          <w:sz w:val="24"/>
          <w:szCs w:val="24"/>
          <w:highlight w:val="none"/>
          <w:lang w:val="en-US" w:eastAsia="zh-CN"/>
        </w:rPr>
        <w:t>61.63</w:t>
      </w:r>
      <w:r>
        <w:rPr>
          <w:rFonts w:hint="eastAsia" w:ascii="宋体" w:hAnsi="宋体" w:eastAsia="宋体" w:cs="宋体"/>
          <w:color w:val="333333"/>
          <w:kern w:val="0"/>
          <w:sz w:val="24"/>
          <w:szCs w:val="24"/>
          <w:highlight w:val="none"/>
        </w:rPr>
        <w:t>%，增减</w:t>
      </w:r>
      <w:r>
        <w:rPr>
          <w:rFonts w:hint="eastAsia" w:ascii="宋体" w:hAnsi="宋体" w:eastAsia="宋体" w:cs="宋体"/>
          <w:color w:val="333333"/>
          <w:kern w:val="0"/>
          <w:sz w:val="24"/>
          <w:szCs w:val="24"/>
        </w:rPr>
        <w:t>变化主要原因是：2018年建设项目较2017年有所减少。其中：基本支出553万元，项目支出2125.45万元。财政拨款结转结余848.92万元，与上年相比，减少846.26万元，降低99.69%。增减变化的主要原因是：2018年建设项目较2017年有所减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财政拨款收入年初预算数495.60万元，决算数2386.83万元，预决算差异率381.60%，差异主要原因预算未安排项目经费，决算数包含了追加的项目经费及人员增资等经费。财政拨款支出年初预算数495.60万元，决算数2678.45万元，预决算差异率440.45%，差异主要原因预算未安排项目经费，决算数包含了追加的项目经费及人员增资等经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（二）一般公共预算收支决算情况说明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2018年度一般公共预算财政拨款收入2386.83万元。与上年相比，减少4712.28万</w:t>
      </w:r>
      <w:r>
        <w:rPr>
          <w:rFonts w:hint="eastAsia" w:ascii="宋体" w:hAnsi="宋体" w:eastAsia="宋体" w:cs="宋体"/>
          <w:color w:val="333333"/>
          <w:kern w:val="0"/>
          <w:sz w:val="24"/>
          <w:szCs w:val="24"/>
          <w:highlight w:val="none"/>
        </w:rPr>
        <w:t>元，降低</w:t>
      </w:r>
      <w:r>
        <w:rPr>
          <w:rFonts w:hint="eastAsia" w:ascii="宋体" w:hAnsi="宋体" w:eastAsia="宋体" w:cs="宋体"/>
          <w:color w:val="333333"/>
          <w:kern w:val="0"/>
          <w:sz w:val="24"/>
          <w:szCs w:val="24"/>
          <w:highlight w:val="none"/>
          <w:lang w:val="en-US" w:eastAsia="zh-CN"/>
        </w:rPr>
        <w:t>66.38</w:t>
      </w:r>
      <w:r>
        <w:rPr>
          <w:rFonts w:hint="eastAsia" w:ascii="宋体" w:hAnsi="宋体" w:eastAsia="宋体" w:cs="宋体"/>
          <w:color w:val="333333"/>
          <w:kern w:val="0"/>
          <w:sz w:val="24"/>
          <w:szCs w:val="24"/>
          <w:highlight w:val="none"/>
        </w:rPr>
        <w:t>%。增减变</w:t>
      </w:r>
      <w:r>
        <w:rPr>
          <w:rFonts w:hint="eastAsia" w:ascii="宋体" w:hAnsi="宋体" w:eastAsia="宋体" w:cs="宋体"/>
          <w:color w:val="333333"/>
          <w:kern w:val="0"/>
          <w:sz w:val="24"/>
          <w:szCs w:val="24"/>
        </w:rPr>
        <w:t>化的主要原因是：2018年建设项目较2017年有所减少。一般公共预算财政拨款支出2678.45万元。与上年相比，减少4302.95万</w:t>
      </w:r>
      <w:r>
        <w:rPr>
          <w:rFonts w:hint="eastAsia" w:ascii="宋体" w:hAnsi="宋体" w:eastAsia="宋体" w:cs="宋体"/>
          <w:color w:val="333333"/>
          <w:kern w:val="0"/>
          <w:sz w:val="24"/>
          <w:szCs w:val="24"/>
          <w:highlight w:val="none"/>
        </w:rPr>
        <w:t>元，降低</w:t>
      </w:r>
      <w:r>
        <w:rPr>
          <w:rFonts w:hint="eastAsia" w:ascii="宋体" w:hAnsi="宋体" w:eastAsia="宋体" w:cs="宋体"/>
          <w:color w:val="333333"/>
          <w:kern w:val="0"/>
          <w:sz w:val="24"/>
          <w:szCs w:val="24"/>
          <w:highlight w:val="none"/>
          <w:lang w:val="en-US" w:eastAsia="zh-CN"/>
        </w:rPr>
        <w:t>61.63</w:t>
      </w:r>
      <w:r>
        <w:rPr>
          <w:rFonts w:hint="eastAsia" w:ascii="宋体" w:hAnsi="宋体" w:eastAsia="宋体" w:cs="宋体"/>
          <w:color w:val="333333"/>
          <w:kern w:val="0"/>
          <w:sz w:val="24"/>
          <w:szCs w:val="24"/>
          <w:highlight w:val="none"/>
        </w:rPr>
        <w:t>%。增减变化</w:t>
      </w:r>
      <w:r>
        <w:rPr>
          <w:rFonts w:hint="eastAsia" w:ascii="宋体" w:hAnsi="宋体" w:eastAsia="宋体" w:cs="宋体"/>
          <w:color w:val="333333"/>
          <w:kern w:val="0"/>
          <w:sz w:val="24"/>
          <w:szCs w:val="24"/>
        </w:rPr>
        <w:t>的主要原因是：2018年建设项目较2017年有所减少。其中：按功能分类科目，208类社会保障和就业支出，35.89万元，213类农林水支出2638.67万元。按经济分类科目，301类工资福利支出458.44万元</w:t>
      </w:r>
      <w:r>
        <w:rPr>
          <w:rFonts w:hint="eastAsia" w:ascii="宋体" w:hAnsi="宋体" w:eastAsia="宋体" w:cs="宋体"/>
          <w:color w:val="333333"/>
          <w:kern w:val="0"/>
          <w:sz w:val="24"/>
          <w:szCs w:val="24"/>
          <w:highlight w:val="none"/>
        </w:rPr>
        <w:t>，302类商品和服务支出59.57万元，30</w:t>
      </w:r>
      <w:r>
        <w:rPr>
          <w:rFonts w:hint="eastAsia" w:ascii="宋体" w:hAnsi="宋体" w:eastAsia="宋体" w:cs="宋体"/>
          <w:color w:val="333333"/>
          <w:kern w:val="0"/>
          <w:sz w:val="24"/>
          <w:szCs w:val="24"/>
        </w:rPr>
        <w:t>3类对个人和家庭的补助34.25万元，310类资本性支出0.74万元。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财政拨款收入年初预算数495.60万元，决算数2386.83万元，预决算差异率381.60%，差异主要原因预算未安排项目经费，决算数包含了追加的项目经费及人员增资等经费。一般公共预算财政拨款支出年初预算数495.60万元，决算数2678.45万元，预决算差异率440.45%，差异主要原因预算未安排项目经费，决算数包含了追加的项目经费及人员增资等经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（三）政府性基金预算收支决算情况说明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三、部门结转结余情况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rPr>
        <w:t>年末结转结余848.92万元。与上年相比，减少846.26万元</w:t>
      </w:r>
      <w:r>
        <w:rPr>
          <w:rFonts w:hint="eastAsia" w:ascii="宋体" w:hAnsi="宋体" w:eastAsia="宋体" w:cs="宋体"/>
          <w:color w:val="333333"/>
          <w:kern w:val="0"/>
          <w:sz w:val="24"/>
          <w:szCs w:val="24"/>
          <w:highlight w:val="none"/>
        </w:rPr>
        <w:t>，降低</w:t>
      </w:r>
      <w:r>
        <w:rPr>
          <w:rFonts w:hint="eastAsia" w:ascii="宋体" w:hAnsi="宋体" w:eastAsia="宋体" w:cs="宋体"/>
          <w:color w:val="333333"/>
          <w:kern w:val="0"/>
          <w:sz w:val="24"/>
          <w:szCs w:val="24"/>
          <w:highlight w:val="none"/>
          <w:lang w:val="en-US" w:eastAsia="zh-CN"/>
        </w:rPr>
        <w:t>49.92</w:t>
      </w:r>
      <w:r>
        <w:rPr>
          <w:rFonts w:hint="eastAsia" w:ascii="宋体" w:hAnsi="宋体" w:eastAsia="宋体" w:cs="宋体"/>
          <w:color w:val="333333"/>
          <w:kern w:val="0"/>
          <w:sz w:val="24"/>
          <w:szCs w:val="24"/>
          <w:highlight w:val="none"/>
        </w:rPr>
        <w:t>%。</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yellow"/>
        </w:rPr>
      </w:pPr>
      <w:r>
        <w:rPr>
          <w:rFonts w:hint="eastAsia" w:ascii="宋体" w:hAnsi="宋体" w:eastAsia="宋体" w:cs="宋体"/>
          <w:color w:val="333333"/>
          <w:kern w:val="0"/>
          <w:sz w:val="24"/>
          <w:szCs w:val="24"/>
        </w:rPr>
        <w:t>其中财政拨款结转结余848.92万元。与上年相比，减少846.26万元</w:t>
      </w:r>
      <w:r>
        <w:rPr>
          <w:rFonts w:hint="eastAsia" w:ascii="宋体" w:hAnsi="宋体" w:eastAsia="宋体" w:cs="宋体"/>
          <w:color w:val="333333"/>
          <w:kern w:val="0"/>
          <w:sz w:val="24"/>
          <w:szCs w:val="24"/>
          <w:highlight w:val="none"/>
        </w:rPr>
        <w:t>，降低</w:t>
      </w:r>
      <w:r>
        <w:rPr>
          <w:rFonts w:hint="eastAsia" w:ascii="宋体" w:hAnsi="宋体" w:eastAsia="宋体" w:cs="宋体"/>
          <w:color w:val="333333"/>
          <w:kern w:val="0"/>
          <w:sz w:val="24"/>
          <w:szCs w:val="24"/>
          <w:highlight w:val="none"/>
          <w:lang w:val="en-US" w:eastAsia="zh-CN"/>
        </w:rPr>
        <w:t>49.92</w:t>
      </w:r>
      <w:r>
        <w:rPr>
          <w:rFonts w:hint="eastAsia" w:ascii="宋体" w:hAnsi="宋体" w:eastAsia="宋体" w:cs="宋体"/>
          <w:color w:val="333333"/>
          <w:kern w:val="0"/>
          <w:sz w:val="24"/>
          <w:szCs w:val="24"/>
          <w:highlight w:val="none"/>
        </w:rPr>
        <w:t>%。</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四、一般公共预算“三公”经费支出情况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2018年度一般公共预算“三公”经费支出决算10.40万元，比上年相比持平，其中，因公出国（境）费支出0万元，占0%；公务用车购置及运行维护费支出10.40万元，占100%，公务接待费支出0万元，占0%，具体情况如下：</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因公出国（境）费支出0万元。昌吉市水利局全年使用一般公共预算财政拨款安排的出国（境）团组0个，累计0人次。</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公务用车购置及运行维护费10.40万元,其中，公务用车购置0万元，公务用车运行维护费10.40万元。主要用于公务车辆的燃油及维修养护费用等。单位一般公共财政拨款安排的公务用车购置量0辆，保有量为4辆。</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公务接待费0万元。具体是：国内公务接待支出0万元。昌吉市水利局国内公务接待0批次，0人次。</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三公”经费支出年初预算数10.40万元，决算数10.40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10.40万元，决算数10.40万元，预决算差异率0%；公务接待费预算数0万元，决算数0万元，预决算差异率0%，差异主要原因本年无增减。</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五、机关运行经费支出情况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2018年度昌吉市水利局机关运行经费支出60.31万元，比上年增加16.03万元，增长36.18%，主要原因工作业务量增加。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六、政府采购情况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2018年度政府采购支出总额12.23万元，其中：政府采购货物支出6万元、政府采购工程支出0万元、政府采购服务支出6.23万元。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七、其他重要事项的情况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（一）国有资产占用情况说明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截至2018年12月31日，单位共有车辆4辆，价值80.81万元，其中：部级领导干部用车0辆、主要领导干部用车0辆、机要通信用车0辆、应急保障用车0辆、执法执勤用车0辆、特种专业技术用车0辆、离退休干部用车0辆、其他用车4辆，其他用车主要是：一般公务用车；单位价值50万元以上通用设备0台（套）、单位价值100万元以上专用设备0台（套），其他固定资产价值2068.66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（二）预算绩效情况的说明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2018年度，本部门单位预算绩效自评情况：自述有关预算绩效管理和绩效自评开展情况。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2018项目绩效自评综述：根据年初设定的绩效目标，6个项目，项目全年预算数为2125.45万元，完成数为2125.45万元，完成预算的100%。213农林水支出2125.45万元，其中：</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1、21301农业2130108 病虫害控制77.25万元，根据年初设定的绩效目标，2017-2018年自治区渔业发展专项资金项目绩效自评得分98分，项目全年预算数为77.25万元，完成数为77.25万元，完成预算的100%。主要产出和效果：一是改造老化鱼池100亩；二是购置微孔增氧机1台，涌浪式增氧机4台，投饵机10台，投饵机8台，配件管材12套；三是维护供电线路800米，发现的问题及原因：无。下一步改进措施：无。附项目支出绩效自评表。</w:t>
      </w:r>
    </w:p>
    <w:tbl>
      <w:tblPr>
        <w:tblStyle w:val="8"/>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409"/>
        <w:gridCol w:w="836"/>
        <w:gridCol w:w="929"/>
        <w:gridCol w:w="689"/>
        <w:gridCol w:w="1536"/>
        <w:gridCol w:w="1103"/>
        <w:gridCol w:w="890"/>
        <w:gridCol w:w="92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17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5140"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2017-2018年自治区渔业发展项目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17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222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昌吉市水利局</w:t>
            </w:r>
          </w:p>
        </w:tc>
        <w:tc>
          <w:tcPr>
            <w:tcW w:w="11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17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项目资金（万元）</w:t>
            </w:r>
          </w:p>
        </w:tc>
        <w:tc>
          <w:tcPr>
            <w:tcW w:w="6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全年预算数（A）</w:t>
            </w:r>
          </w:p>
        </w:tc>
        <w:tc>
          <w:tcPr>
            <w:tcW w:w="199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全年执行数（B）</w:t>
            </w:r>
          </w:p>
        </w:tc>
        <w:tc>
          <w:tcPr>
            <w:tcW w:w="9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执行率（B/A)</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年度资金总额：</w:t>
            </w:r>
          </w:p>
        </w:tc>
        <w:tc>
          <w:tcPr>
            <w:tcW w:w="8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30万元</w:t>
            </w:r>
          </w:p>
        </w:tc>
        <w:tc>
          <w:tcPr>
            <w:tcW w:w="161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77.25万元</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103" w:type="dxa"/>
            <w:shd w:val="clear" w:color="auto" w:fill="auto"/>
            <w:vAlign w:val="center"/>
          </w:tcPr>
          <w:p>
            <w:pPr>
              <w:widowControl/>
              <w:jc w:val="left"/>
              <w:rPr>
                <w:rFonts w:ascii="Times New Roman" w:hAnsi="Times New Roman" w:eastAsia="Times New Roman" w:cs="Times New Roman"/>
                <w:kern w:val="0"/>
                <w:sz w:val="20"/>
                <w:szCs w:val="20"/>
              </w:rPr>
            </w:pP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其中：中央补助</w:t>
            </w:r>
          </w:p>
        </w:tc>
        <w:tc>
          <w:tcPr>
            <w:tcW w:w="8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30万元</w:t>
            </w:r>
          </w:p>
        </w:tc>
        <w:tc>
          <w:tcPr>
            <w:tcW w:w="161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77.25万元</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103" w:type="dxa"/>
            <w:shd w:val="clear" w:color="auto" w:fill="auto"/>
            <w:vAlign w:val="center"/>
          </w:tcPr>
          <w:p>
            <w:pPr>
              <w:widowControl/>
              <w:jc w:val="left"/>
              <w:rPr>
                <w:rFonts w:ascii="Times New Roman" w:hAnsi="Times New Roman" w:eastAsia="Times New Roman" w:cs="Times New Roman"/>
                <w:kern w:val="0"/>
                <w:sz w:val="20"/>
                <w:szCs w:val="20"/>
              </w:rPr>
            </w:pP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地方资金</w:t>
            </w:r>
          </w:p>
        </w:tc>
        <w:tc>
          <w:tcPr>
            <w:tcW w:w="8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61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103" w:type="dxa"/>
            <w:shd w:val="clear" w:color="auto" w:fill="auto"/>
            <w:vAlign w:val="center"/>
          </w:tcPr>
          <w:p>
            <w:pPr>
              <w:widowControl/>
              <w:jc w:val="left"/>
              <w:rPr>
                <w:rFonts w:ascii="Times New Roman" w:hAnsi="Times New Roman" w:eastAsia="Times New Roman" w:cs="Times New Roman"/>
                <w:kern w:val="0"/>
                <w:sz w:val="20"/>
                <w:szCs w:val="20"/>
              </w:rPr>
            </w:pP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（包括结转结余）</w:t>
            </w:r>
          </w:p>
        </w:tc>
        <w:tc>
          <w:tcPr>
            <w:tcW w:w="8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61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03" w:type="dxa"/>
            <w:shd w:val="clear" w:color="auto" w:fill="auto"/>
            <w:vAlign w:val="center"/>
          </w:tcPr>
          <w:p>
            <w:pPr>
              <w:widowControl/>
              <w:jc w:val="left"/>
              <w:rPr>
                <w:rFonts w:ascii="Times New Roman" w:hAnsi="Times New Roman" w:eastAsia="Times New Roman" w:cs="Times New Roman"/>
                <w:kern w:val="0"/>
                <w:sz w:val="20"/>
                <w:szCs w:val="20"/>
              </w:rPr>
            </w:pP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年度总体目标</w:t>
            </w:r>
          </w:p>
        </w:tc>
        <w:tc>
          <w:tcPr>
            <w:tcW w:w="399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年初设定目标</w:t>
            </w:r>
          </w:p>
        </w:tc>
        <w:tc>
          <w:tcPr>
            <w:tcW w:w="291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全年实际完成情况</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863"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1、改造老化鱼池100亩，包括池塘清淤、护坡修整累计投入资金11万元，其中使用自筹资金3万元，使用项目专项补助资金8万元。</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2、购置微孔增氧机1台，涌浪式增氧机4台，投饵机10台，投饵机8台，配件管材12套。上述设备购置安装共投入资金10.85万元，其中使用自筹资金8.85万元，使用项目专项补助资金2万元。</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3、维护供电线路800米，累计投入资金3.25万元，全部为自筹资金。</w:t>
            </w:r>
          </w:p>
        </w:tc>
        <w:tc>
          <w:tcPr>
            <w:tcW w:w="352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1、改造老化鱼池100亩，包括池塘清淤、护坡修整累计投入资金11万元，其中使用自筹资金3万元，使用项目专项补助资金8万元。</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2、购置微孔增氧机1台，涌浪式增氧机4台，投饵机10台，投饵机8台，配件管材12套。上述设备购置安装共投入资金10.85万元，其中使用自筹资金8.85万元，使用项目专项补助资金2万元。</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3、维护供电线路800米，累计投入资金3.25万元，全部为自筹资金。</w:t>
            </w: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绩效指标</w:t>
            </w:r>
          </w:p>
        </w:tc>
        <w:tc>
          <w:tcPr>
            <w:tcW w:w="8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9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22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1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年度指标值</w:t>
            </w:r>
          </w:p>
        </w:tc>
        <w:tc>
          <w:tcPr>
            <w:tcW w:w="8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全年完成值</w:t>
            </w:r>
          </w:p>
        </w:tc>
        <w:tc>
          <w:tcPr>
            <w:tcW w:w="9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未完成原因和改进措施</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产</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出</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标</w:t>
            </w:r>
          </w:p>
        </w:tc>
        <w:tc>
          <w:tcPr>
            <w:tcW w:w="8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161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改造老化鱼池100亩</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100亩</w:t>
            </w:r>
          </w:p>
        </w:tc>
        <w:tc>
          <w:tcPr>
            <w:tcW w:w="11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100亩</w:t>
            </w:r>
          </w:p>
        </w:tc>
        <w:tc>
          <w:tcPr>
            <w:tcW w:w="8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24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购置微孔增氧机1台，涌浪式增氧机4台，投饵机10台，投饵机8台，配件管材12套</w:t>
            </w:r>
          </w:p>
        </w:tc>
        <w:tc>
          <w:tcPr>
            <w:tcW w:w="9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103" w:type="dxa"/>
            <w:shd w:val="clear" w:color="auto" w:fill="auto"/>
            <w:vAlign w:val="center"/>
          </w:tcPr>
          <w:p>
            <w:pPr>
              <w:widowControl/>
              <w:jc w:val="left"/>
              <w:rPr>
                <w:rFonts w:ascii="Times New Roman" w:hAnsi="Times New Roman" w:eastAsia="Times New Roman" w:cs="Times New Roman"/>
                <w:kern w:val="0"/>
                <w:sz w:val="20"/>
                <w:szCs w:val="20"/>
              </w:rPr>
            </w:pP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24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购置微孔增氧机1台，涌浪式增氧机4台，投饵机10台，投饵机8台，配件管材12套</w:t>
            </w:r>
          </w:p>
        </w:tc>
        <w:tc>
          <w:tcPr>
            <w:tcW w:w="9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103" w:type="dxa"/>
            <w:shd w:val="clear" w:color="auto" w:fill="auto"/>
            <w:vAlign w:val="center"/>
          </w:tcPr>
          <w:p>
            <w:pPr>
              <w:widowControl/>
              <w:jc w:val="left"/>
              <w:rPr>
                <w:rFonts w:ascii="Times New Roman" w:hAnsi="Times New Roman" w:eastAsia="Times New Roman" w:cs="Times New Roman"/>
                <w:kern w:val="0"/>
                <w:sz w:val="20"/>
                <w:szCs w:val="20"/>
              </w:rPr>
            </w:pP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24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工程验收合格率</w:t>
            </w:r>
          </w:p>
        </w:tc>
        <w:tc>
          <w:tcPr>
            <w:tcW w:w="9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6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103" w:type="dxa"/>
            <w:shd w:val="clear" w:color="auto" w:fill="auto"/>
            <w:vAlign w:val="center"/>
          </w:tcPr>
          <w:p>
            <w:pPr>
              <w:widowControl/>
              <w:jc w:val="left"/>
              <w:rPr>
                <w:rFonts w:ascii="Times New Roman" w:hAnsi="Times New Roman" w:eastAsia="Times New Roman" w:cs="Times New Roman"/>
                <w:kern w:val="0"/>
                <w:sz w:val="20"/>
                <w:szCs w:val="20"/>
              </w:rPr>
            </w:pP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7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投资完成比例</w:t>
            </w:r>
          </w:p>
        </w:tc>
        <w:tc>
          <w:tcPr>
            <w:tcW w:w="6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1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7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投资是否控制在批复的概算金额内</w:t>
            </w:r>
          </w:p>
        </w:tc>
        <w:tc>
          <w:tcPr>
            <w:tcW w:w="6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w:t>
            </w:r>
          </w:p>
        </w:tc>
        <w:tc>
          <w:tcPr>
            <w:tcW w:w="11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7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7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项目对环境的不利影响</w:t>
            </w:r>
          </w:p>
        </w:tc>
        <w:tc>
          <w:tcPr>
            <w:tcW w:w="6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无</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无</w:t>
            </w:r>
          </w:p>
        </w:tc>
        <w:tc>
          <w:tcPr>
            <w:tcW w:w="11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可持续影响指标</w:t>
            </w:r>
          </w:p>
        </w:tc>
        <w:tc>
          <w:tcPr>
            <w:tcW w:w="17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已建工程是否良性运行</w:t>
            </w:r>
          </w:p>
        </w:tc>
        <w:tc>
          <w:tcPr>
            <w:tcW w:w="6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w:t>
            </w:r>
          </w:p>
        </w:tc>
        <w:tc>
          <w:tcPr>
            <w:tcW w:w="11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24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工程是否达到设计使用年限</w:t>
            </w:r>
          </w:p>
        </w:tc>
        <w:tc>
          <w:tcPr>
            <w:tcW w:w="9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w:t>
            </w:r>
          </w:p>
        </w:tc>
        <w:tc>
          <w:tcPr>
            <w:tcW w:w="6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103" w:type="dxa"/>
            <w:shd w:val="clear" w:color="auto" w:fill="auto"/>
            <w:vAlign w:val="center"/>
          </w:tcPr>
          <w:p>
            <w:pPr>
              <w:widowControl/>
              <w:jc w:val="left"/>
              <w:rPr>
                <w:rFonts w:ascii="Times New Roman" w:hAnsi="Times New Roman" w:eastAsia="Times New Roman" w:cs="Times New Roman"/>
                <w:kern w:val="0"/>
                <w:sz w:val="20"/>
                <w:szCs w:val="20"/>
              </w:rPr>
            </w:pP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8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服务对象</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161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受益群众满意度</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1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8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24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9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6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103" w:type="dxa"/>
            <w:shd w:val="clear" w:color="auto" w:fill="auto"/>
            <w:vAlign w:val="center"/>
          </w:tcPr>
          <w:p>
            <w:pPr>
              <w:widowControl/>
              <w:jc w:val="left"/>
              <w:rPr>
                <w:rFonts w:ascii="Times New Roman" w:hAnsi="Times New Roman" w:eastAsia="Times New Roman" w:cs="Times New Roman"/>
                <w:kern w:val="0"/>
                <w:sz w:val="20"/>
                <w:szCs w:val="20"/>
              </w:rPr>
            </w:pPr>
          </w:p>
        </w:tc>
        <w:tc>
          <w:tcPr>
            <w:tcW w:w="890" w:type="dxa"/>
            <w:shd w:val="clear" w:color="auto" w:fill="auto"/>
            <w:vAlign w:val="center"/>
          </w:tcPr>
          <w:p>
            <w:pPr>
              <w:widowControl/>
              <w:jc w:val="left"/>
              <w:rPr>
                <w:rFonts w:ascii="Times New Roman" w:hAnsi="Times New Roman" w:eastAsia="Times New Roman" w:cs="Times New Roman"/>
                <w:kern w:val="0"/>
                <w:sz w:val="20"/>
                <w:szCs w:val="20"/>
              </w:rPr>
            </w:pPr>
          </w:p>
        </w:tc>
        <w:tc>
          <w:tcPr>
            <w:tcW w:w="92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说明</w:t>
            </w:r>
          </w:p>
        </w:tc>
        <w:tc>
          <w:tcPr>
            <w:tcW w:w="6905"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无</w:t>
            </w: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2、21303水利2044.30万元，其中：</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（1）2130314防汛19.30万元，根据年初设定的绩效目标， 2018年山洪灾害防治项目、2018年中央特大防汛抗旱、2017年山洪地质灾害预防项目绩效自评得分98分。项目全年预算数为19.30万元，完成数为19.30万元，完成预算的100%。主要产出和效果：一是完善昌吉市、庙尔沟、硫磺沟及7个村级预案编制；二是制作宣传栏、警示牌各5块；三是宣传手册、明白卡各1250份；举办演练一次，培训17人。发现的问题及原因：无。下一步改进措施：无。附项目支出绩效自评表。</w:t>
      </w:r>
    </w:p>
    <w:tbl>
      <w:tblPr>
        <w:tblStyle w:val="8"/>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780"/>
        <w:gridCol w:w="650"/>
        <w:gridCol w:w="1750"/>
        <w:gridCol w:w="1100"/>
        <w:gridCol w:w="1385"/>
        <w:gridCol w:w="896"/>
        <w:gridCol w:w="792"/>
        <w:gridCol w:w="96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18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513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昌吉市山洪地质灾害防治项目2017-2018年度工程</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18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248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昌吉市水利局</w:t>
            </w: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5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18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项目资金（万元）</w:t>
            </w:r>
          </w:p>
        </w:tc>
        <w:tc>
          <w:tcPr>
            <w:tcW w:w="1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全年预算数（A）</w:t>
            </w:r>
          </w:p>
        </w:tc>
        <w:tc>
          <w:tcPr>
            <w:tcW w:w="168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全年执行数（B）</w:t>
            </w:r>
          </w:p>
        </w:tc>
        <w:tc>
          <w:tcPr>
            <w:tcW w:w="9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执行率（B/A)</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年度资金总额：</w:t>
            </w:r>
          </w:p>
        </w:tc>
        <w:tc>
          <w:tcPr>
            <w:tcW w:w="6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19.3万元</w:t>
            </w:r>
          </w:p>
        </w:tc>
        <w:tc>
          <w:tcPr>
            <w:tcW w:w="285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19.3万元</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896" w:type="dxa"/>
            <w:shd w:val="clear" w:color="auto" w:fill="auto"/>
            <w:vAlign w:val="center"/>
          </w:tcPr>
          <w:p>
            <w:pPr>
              <w:widowControl/>
              <w:jc w:val="left"/>
              <w:rPr>
                <w:rFonts w:ascii="Times New Roman" w:hAnsi="Times New Roman" w:eastAsia="Times New Roman" w:cs="Times New Roman"/>
                <w:kern w:val="0"/>
                <w:sz w:val="20"/>
                <w:szCs w:val="20"/>
              </w:rPr>
            </w:pPr>
          </w:p>
        </w:tc>
        <w:tc>
          <w:tcPr>
            <w:tcW w:w="792" w:type="dxa"/>
            <w:shd w:val="clear" w:color="auto" w:fill="auto"/>
            <w:vAlign w:val="center"/>
          </w:tcPr>
          <w:p>
            <w:pPr>
              <w:widowControl/>
              <w:jc w:val="left"/>
              <w:rPr>
                <w:rFonts w:ascii="Times New Roman" w:hAnsi="Times New Roman" w:eastAsia="Times New Roman" w:cs="Times New Roman"/>
                <w:kern w:val="0"/>
                <w:sz w:val="20"/>
                <w:szCs w:val="20"/>
              </w:rPr>
            </w:pP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其中：中央补助</w:t>
            </w:r>
          </w:p>
        </w:tc>
        <w:tc>
          <w:tcPr>
            <w:tcW w:w="6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19.3万元</w:t>
            </w:r>
          </w:p>
        </w:tc>
        <w:tc>
          <w:tcPr>
            <w:tcW w:w="285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19.3万元</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896" w:type="dxa"/>
            <w:shd w:val="clear" w:color="auto" w:fill="auto"/>
            <w:vAlign w:val="center"/>
          </w:tcPr>
          <w:p>
            <w:pPr>
              <w:widowControl/>
              <w:jc w:val="left"/>
              <w:rPr>
                <w:rFonts w:ascii="Times New Roman" w:hAnsi="Times New Roman" w:eastAsia="Times New Roman" w:cs="Times New Roman"/>
                <w:kern w:val="0"/>
                <w:sz w:val="20"/>
                <w:szCs w:val="20"/>
              </w:rPr>
            </w:pPr>
          </w:p>
        </w:tc>
        <w:tc>
          <w:tcPr>
            <w:tcW w:w="792" w:type="dxa"/>
            <w:shd w:val="clear" w:color="auto" w:fill="auto"/>
            <w:vAlign w:val="center"/>
          </w:tcPr>
          <w:p>
            <w:pPr>
              <w:widowControl/>
              <w:jc w:val="left"/>
              <w:rPr>
                <w:rFonts w:ascii="Times New Roman" w:hAnsi="Times New Roman" w:eastAsia="Times New Roman" w:cs="Times New Roman"/>
                <w:kern w:val="0"/>
                <w:sz w:val="20"/>
                <w:szCs w:val="20"/>
              </w:rPr>
            </w:pP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地方资金</w:t>
            </w:r>
          </w:p>
        </w:tc>
        <w:tc>
          <w:tcPr>
            <w:tcW w:w="6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85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6" w:type="dxa"/>
            <w:shd w:val="clear" w:color="auto" w:fill="auto"/>
            <w:vAlign w:val="center"/>
          </w:tcPr>
          <w:p>
            <w:pPr>
              <w:widowControl/>
              <w:jc w:val="left"/>
              <w:rPr>
                <w:rFonts w:ascii="Times New Roman" w:hAnsi="Times New Roman" w:eastAsia="Times New Roman" w:cs="Times New Roman"/>
                <w:kern w:val="0"/>
                <w:sz w:val="20"/>
                <w:szCs w:val="20"/>
              </w:rPr>
            </w:pPr>
          </w:p>
        </w:tc>
        <w:tc>
          <w:tcPr>
            <w:tcW w:w="792" w:type="dxa"/>
            <w:shd w:val="clear" w:color="auto" w:fill="auto"/>
            <w:vAlign w:val="center"/>
          </w:tcPr>
          <w:p>
            <w:pPr>
              <w:widowControl/>
              <w:jc w:val="left"/>
              <w:rPr>
                <w:rFonts w:ascii="Times New Roman" w:hAnsi="Times New Roman" w:eastAsia="Times New Roman" w:cs="Times New Roman"/>
                <w:kern w:val="0"/>
                <w:sz w:val="20"/>
                <w:szCs w:val="20"/>
              </w:rPr>
            </w:pP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（包括结转结余）</w:t>
            </w:r>
          </w:p>
        </w:tc>
        <w:tc>
          <w:tcPr>
            <w:tcW w:w="6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85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6" w:type="dxa"/>
            <w:shd w:val="clear" w:color="auto" w:fill="auto"/>
            <w:vAlign w:val="center"/>
          </w:tcPr>
          <w:p>
            <w:pPr>
              <w:widowControl/>
              <w:jc w:val="left"/>
              <w:rPr>
                <w:rFonts w:ascii="Times New Roman" w:hAnsi="Times New Roman" w:eastAsia="Times New Roman" w:cs="Times New Roman"/>
                <w:kern w:val="0"/>
                <w:sz w:val="20"/>
                <w:szCs w:val="20"/>
              </w:rPr>
            </w:pPr>
          </w:p>
        </w:tc>
        <w:tc>
          <w:tcPr>
            <w:tcW w:w="792" w:type="dxa"/>
            <w:shd w:val="clear" w:color="auto" w:fill="auto"/>
            <w:vAlign w:val="center"/>
          </w:tcPr>
          <w:p>
            <w:pPr>
              <w:widowControl/>
              <w:jc w:val="left"/>
              <w:rPr>
                <w:rFonts w:ascii="Times New Roman" w:hAnsi="Times New Roman" w:eastAsia="Times New Roman" w:cs="Times New Roman"/>
                <w:kern w:val="0"/>
                <w:sz w:val="20"/>
                <w:szCs w:val="20"/>
              </w:rPr>
            </w:pP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年度总体目标</w:t>
            </w:r>
          </w:p>
        </w:tc>
        <w:tc>
          <w:tcPr>
            <w:tcW w:w="4885"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年初设定目标</w:t>
            </w:r>
          </w:p>
        </w:tc>
        <w:tc>
          <w:tcPr>
            <w:tcW w:w="264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全年实际完成情况</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428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群测群防体系：完善预案 制作宣传栏 警示牌 培训 演练</w:t>
            </w:r>
          </w:p>
        </w:tc>
        <w:tc>
          <w:tcPr>
            <w:tcW w:w="3073"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完善昌吉市、庙尔沟、硫磺沟及7个村级预案编制。制作宣传栏、警示牌各5块。宣传手册、明白卡各1250份。举办演练一次，培训17人。</w:t>
            </w: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绩效指标</w:t>
            </w:r>
          </w:p>
        </w:tc>
        <w:tc>
          <w:tcPr>
            <w:tcW w:w="6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7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48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年度指标值</w:t>
            </w:r>
          </w:p>
        </w:tc>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全年完成值</w:t>
            </w:r>
          </w:p>
        </w:tc>
        <w:tc>
          <w:tcPr>
            <w:tcW w:w="9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未完成原因和改进措施</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产</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出</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标</w:t>
            </w:r>
          </w:p>
        </w:tc>
        <w:tc>
          <w:tcPr>
            <w:tcW w:w="6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285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完善昌吉市、庙尔沟、硫磺沟及7个村级预案编制。制作宣传栏、警示牌各5块。宣传手册、明白卡各1250份。举办演练一次，培训17人。</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240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截止2017年12月底，完工项目初步验收率</w:t>
            </w:r>
          </w:p>
        </w:tc>
        <w:tc>
          <w:tcPr>
            <w:tcW w:w="1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792" w:type="dxa"/>
            <w:shd w:val="clear" w:color="auto" w:fill="auto"/>
            <w:vAlign w:val="center"/>
          </w:tcPr>
          <w:p>
            <w:pPr>
              <w:widowControl/>
              <w:jc w:val="left"/>
              <w:rPr>
                <w:rFonts w:ascii="Times New Roman" w:hAnsi="Times New Roman" w:eastAsia="Times New Roman" w:cs="Times New Roman"/>
                <w:kern w:val="0"/>
                <w:sz w:val="20"/>
                <w:szCs w:val="20"/>
              </w:rPr>
            </w:pP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3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工程验收合格率</w:t>
            </w:r>
          </w:p>
        </w:tc>
        <w:tc>
          <w:tcPr>
            <w:tcW w:w="17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6" w:type="dxa"/>
            <w:shd w:val="clear" w:color="auto" w:fill="auto"/>
            <w:vAlign w:val="center"/>
          </w:tcPr>
          <w:p>
            <w:pPr>
              <w:widowControl/>
              <w:jc w:val="left"/>
              <w:rPr>
                <w:rFonts w:ascii="Times New Roman" w:hAnsi="Times New Roman" w:eastAsia="Times New Roman" w:cs="Times New Roman"/>
                <w:kern w:val="0"/>
                <w:sz w:val="20"/>
                <w:szCs w:val="20"/>
              </w:rPr>
            </w:pPr>
          </w:p>
        </w:tc>
        <w:tc>
          <w:tcPr>
            <w:tcW w:w="792" w:type="dxa"/>
            <w:shd w:val="clear" w:color="auto" w:fill="auto"/>
            <w:vAlign w:val="center"/>
          </w:tcPr>
          <w:p>
            <w:pPr>
              <w:widowControl/>
              <w:jc w:val="left"/>
              <w:rPr>
                <w:rFonts w:ascii="Times New Roman" w:hAnsi="Times New Roman" w:eastAsia="Times New Roman" w:cs="Times New Roman"/>
                <w:kern w:val="0"/>
                <w:sz w:val="20"/>
                <w:szCs w:val="20"/>
              </w:rPr>
            </w:pP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3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2017年12月28日完成 ,投资完成比例</w:t>
            </w:r>
          </w:p>
        </w:tc>
        <w:tc>
          <w:tcPr>
            <w:tcW w:w="17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6" w:type="dxa"/>
            <w:shd w:val="clear" w:color="auto" w:fill="auto"/>
            <w:vAlign w:val="center"/>
          </w:tcPr>
          <w:p>
            <w:pPr>
              <w:widowControl/>
              <w:jc w:val="left"/>
              <w:rPr>
                <w:rFonts w:ascii="Times New Roman" w:hAnsi="Times New Roman" w:eastAsia="Times New Roman" w:cs="Times New Roman"/>
                <w:kern w:val="0"/>
                <w:sz w:val="20"/>
                <w:szCs w:val="20"/>
              </w:rPr>
            </w:pPr>
          </w:p>
        </w:tc>
        <w:tc>
          <w:tcPr>
            <w:tcW w:w="792" w:type="dxa"/>
            <w:shd w:val="clear" w:color="auto" w:fill="auto"/>
            <w:vAlign w:val="center"/>
          </w:tcPr>
          <w:p>
            <w:pPr>
              <w:widowControl/>
              <w:jc w:val="left"/>
              <w:rPr>
                <w:rFonts w:ascii="Times New Roman" w:hAnsi="Times New Roman" w:eastAsia="Times New Roman" w:cs="Times New Roman"/>
                <w:kern w:val="0"/>
                <w:sz w:val="20"/>
                <w:szCs w:val="20"/>
              </w:rPr>
            </w:pP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240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投资是否控制在批复的概算金额内</w:t>
            </w:r>
          </w:p>
        </w:tc>
        <w:tc>
          <w:tcPr>
            <w:tcW w:w="1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w:t>
            </w: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792" w:type="dxa"/>
            <w:shd w:val="clear" w:color="auto" w:fill="auto"/>
            <w:vAlign w:val="center"/>
          </w:tcPr>
          <w:p>
            <w:pPr>
              <w:widowControl/>
              <w:jc w:val="left"/>
              <w:rPr>
                <w:rFonts w:ascii="Times New Roman" w:hAnsi="Times New Roman" w:eastAsia="Times New Roman" w:cs="Times New Roman"/>
                <w:kern w:val="0"/>
                <w:sz w:val="20"/>
                <w:szCs w:val="20"/>
              </w:rPr>
            </w:pP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标</w:t>
            </w:r>
          </w:p>
        </w:tc>
        <w:tc>
          <w:tcPr>
            <w:tcW w:w="6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85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群测群防体系进一步完善。防灾自救能力得到加强，减少经济损失</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40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增强了防御山洪灾害意识。</w:t>
            </w:r>
          </w:p>
        </w:tc>
        <w:tc>
          <w:tcPr>
            <w:tcW w:w="1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792" w:type="dxa"/>
            <w:shd w:val="clear" w:color="auto" w:fill="auto"/>
            <w:vAlign w:val="center"/>
          </w:tcPr>
          <w:p>
            <w:pPr>
              <w:widowControl/>
              <w:jc w:val="left"/>
              <w:rPr>
                <w:rFonts w:ascii="Times New Roman" w:hAnsi="Times New Roman" w:eastAsia="Times New Roman" w:cs="Times New Roman"/>
                <w:kern w:val="0"/>
                <w:sz w:val="20"/>
                <w:szCs w:val="20"/>
              </w:rPr>
            </w:pP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40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792" w:type="dxa"/>
            <w:shd w:val="clear" w:color="auto" w:fill="auto"/>
            <w:vAlign w:val="center"/>
          </w:tcPr>
          <w:p>
            <w:pPr>
              <w:widowControl/>
              <w:jc w:val="left"/>
              <w:rPr>
                <w:rFonts w:ascii="Times New Roman" w:hAnsi="Times New Roman" w:eastAsia="Times New Roman" w:cs="Times New Roman"/>
                <w:kern w:val="0"/>
                <w:sz w:val="20"/>
                <w:szCs w:val="20"/>
              </w:rPr>
            </w:pP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6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服务对象</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285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受益群众满意度</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98%</w:t>
            </w: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98%</w:t>
            </w:r>
          </w:p>
        </w:tc>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3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7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96" w:type="dxa"/>
            <w:shd w:val="clear" w:color="auto" w:fill="auto"/>
            <w:vAlign w:val="center"/>
          </w:tcPr>
          <w:p>
            <w:pPr>
              <w:widowControl/>
              <w:jc w:val="left"/>
              <w:rPr>
                <w:rFonts w:ascii="Times New Roman" w:hAnsi="Times New Roman" w:eastAsia="Times New Roman" w:cs="Times New Roman"/>
                <w:kern w:val="0"/>
                <w:sz w:val="20"/>
                <w:szCs w:val="20"/>
              </w:rPr>
            </w:pPr>
          </w:p>
        </w:tc>
        <w:tc>
          <w:tcPr>
            <w:tcW w:w="792" w:type="dxa"/>
            <w:shd w:val="clear" w:color="auto" w:fill="auto"/>
            <w:vAlign w:val="center"/>
          </w:tcPr>
          <w:p>
            <w:pPr>
              <w:widowControl/>
              <w:jc w:val="left"/>
              <w:rPr>
                <w:rFonts w:ascii="Times New Roman" w:hAnsi="Times New Roman" w:eastAsia="Times New Roman" w:cs="Times New Roman"/>
                <w:kern w:val="0"/>
                <w:sz w:val="20"/>
                <w:szCs w:val="20"/>
              </w:rPr>
            </w:pPr>
          </w:p>
        </w:tc>
        <w:tc>
          <w:tcPr>
            <w:tcW w:w="96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说明</w:t>
            </w:r>
          </w:p>
        </w:tc>
        <w:tc>
          <w:tcPr>
            <w:tcW w:w="753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无</w:t>
            </w: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2130316农田水利714.14万元，根据年初设定的绩效目标，2018年高效节水补助资金、2017年高效节水补助资金、2017年中央农田水利建设项目绩效自评得分98分。项目全年预算数为714.14万元，完成数为714.14万元，完成预算的100%。主要产出和效果：一是改造高效节水面积（含自动化控制面积）8968亩，新安装滴灌面积1119亩，；二是新建沉砂池1座，改建2座，清淤1座。发现的问题及原因：无。下一步改进措施：无。附项目支出绩效自评表。</w:t>
      </w:r>
    </w:p>
    <w:tbl>
      <w:tblPr>
        <w:tblStyle w:val="8"/>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872"/>
        <w:gridCol w:w="999"/>
        <w:gridCol w:w="748"/>
        <w:gridCol w:w="1733"/>
        <w:gridCol w:w="1270"/>
        <w:gridCol w:w="1251"/>
        <w:gridCol w:w="144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9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4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61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5695"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昌吉市2017-2018年自治区高效节水补助资金建设项目</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61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5695"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昌吉市水利局</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30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515万元</w:t>
            </w:r>
          </w:p>
        </w:tc>
        <w:tc>
          <w:tcPr>
            <w:tcW w:w="12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4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714.14万元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tc>
        <w:tc>
          <w:tcPr>
            <w:tcW w:w="999" w:type="dxa"/>
            <w:shd w:val="clear" w:color="auto" w:fill="auto"/>
            <w:vAlign w:val="center"/>
          </w:tcPr>
          <w:p>
            <w:pPr>
              <w:widowControl/>
              <w:jc w:val="left"/>
              <w:rPr>
                <w:rFonts w:ascii="Times New Roman" w:hAnsi="Times New Roman" w:eastAsia="Times New Roman" w:cs="Times New Roman"/>
                <w:kern w:val="0"/>
                <w:sz w:val="20"/>
                <w:szCs w:val="20"/>
              </w:rPr>
            </w:pPr>
          </w:p>
        </w:tc>
        <w:tc>
          <w:tcPr>
            <w:tcW w:w="748" w:type="dxa"/>
            <w:shd w:val="clear" w:color="auto" w:fill="auto"/>
            <w:vAlign w:val="center"/>
          </w:tcPr>
          <w:p>
            <w:pPr>
              <w:widowControl/>
              <w:jc w:val="left"/>
              <w:rPr>
                <w:rFonts w:ascii="Times New Roman" w:hAnsi="Times New Roman" w:eastAsia="Times New Roman" w:cs="Times New Roman"/>
                <w:kern w:val="0"/>
                <w:sz w:val="20"/>
                <w:szCs w:val="20"/>
              </w:rPr>
            </w:pPr>
          </w:p>
        </w:tc>
        <w:tc>
          <w:tcPr>
            <w:tcW w:w="1733" w:type="dxa"/>
            <w:shd w:val="clear" w:color="auto" w:fill="auto"/>
            <w:vAlign w:val="center"/>
          </w:tcPr>
          <w:p>
            <w:pPr>
              <w:widowControl/>
              <w:jc w:val="left"/>
              <w:rPr>
                <w:rFonts w:ascii="Times New Roman" w:hAnsi="Times New Roman" w:eastAsia="Times New Roman" w:cs="Times New Roman"/>
                <w:kern w:val="0"/>
                <w:sz w:val="20"/>
                <w:szCs w:val="20"/>
              </w:rPr>
            </w:pPr>
          </w:p>
        </w:tc>
        <w:tc>
          <w:tcPr>
            <w:tcW w:w="1270" w:type="dxa"/>
            <w:shd w:val="clear" w:color="auto" w:fill="auto"/>
            <w:vAlign w:val="center"/>
          </w:tcPr>
          <w:p>
            <w:pPr>
              <w:widowControl/>
              <w:jc w:val="left"/>
              <w:rPr>
                <w:rFonts w:ascii="Times New Roman" w:hAnsi="Times New Roman" w:eastAsia="Times New Roman" w:cs="Times New Roman"/>
                <w:kern w:val="0"/>
                <w:sz w:val="20"/>
                <w:szCs w:val="20"/>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30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515万元</w:t>
            </w:r>
          </w:p>
        </w:tc>
        <w:tc>
          <w:tcPr>
            <w:tcW w:w="12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4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714.14万元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30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2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4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tc>
        <w:tc>
          <w:tcPr>
            <w:tcW w:w="475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269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tc>
        <w:tc>
          <w:tcPr>
            <w:tcW w:w="475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项目总规划控制面积10087亩，新建河水加压系统8个，含新建自动化面积1070亩，新装滴灌面积1119亩，新建沉砂池1座，改建2座，清淤1座</w:t>
            </w:r>
          </w:p>
        </w:tc>
        <w:tc>
          <w:tcPr>
            <w:tcW w:w="269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tc>
        <w:tc>
          <w:tcPr>
            <w:tcW w:w="999" w:type="dxa"/>
            <w:shd w:val="clear" w:color="auto" w:fill="auto"/>
            <w:vAlign w:val="center"/>
          </w:tcPr>
          <w:p>
            <w:pPr>
              <w:widowControl/>
              <w:jc w:val="left"/>
              <w:rPr>
                <w:rFonts w:ascii="Times New Roman" w:hAnsi="Times New Roman" w:eastAsia="Times New Roman" w:cs="Times New Roman"/>
                <w:kern w:val="0"/>
                <w:sz w:val="20"/>
                <w:szCs w:val="20"/>
              </w:rPr>
            </w:pPr>
          </w:p>
        </w:tc>
        <w:tc>
          <w:tcPr>
            <w:tcW w:w="748" w:type="dxa"/>
            <w:shd w:val="clear" w:color="auto" w:fill="auto"/>
            <w:vAlign w:val="center"/>
          </w:tcPr>
          <w:p>
            <w:pPr>
              <w:widowControl/>
              <w:jc w:val="left"/>
              <w:rPr>
                <w:rFonts w:ascii="Times New Roman" w:hAnsi="Times New Roman" w:eastAsia="Times New Roman" w:cs="Times New Roman"/>
                <w:kern w:val="0"/>
                <w:sz w:val="20"/>
                <w:szCs w:val="20"/>
              </w:rPr>
            </w:pPr>
          </w:p>
        </w:tc>
        <w:tc>
          <w:tcPr>
            <w:tcW w:w="1733" w:type="dxa"/>
            <w:shd w:val="clear" w:color="auto" w:fill="auto"/>
            <w:vAlign w:val="center"/>
          </w:tcPr>
          <w:p>
            <w:pPr>
              <w:widowControl/>
              <w:jc w:val="left"/>
              <w:rPr>
                <w:rFonts w:ascii="Times New Roman" w:hAnsi="Times New Roman" w:eastAsia="Times New Roman" w:cs="Times New Roman"/>
                <w:kern w:val="0"/>
                <w:sz w:val="20"/>
                <w:szCs w:val="20"/>
              </w:rPr>
            </w:pPr>
          </w:p>
        </w:tc>
        <w:tc>
          <w:tcPr>
            <w:tcW w:w="1270" w:type="dxa"/>
            <w:shd w:val="clear" w:color="auto" w:fill="auto"/>
            <w:vAlign w:val="center"/>
          </w:tcPr>
          <w:p>
            <w:pPr>
              <w:widowControl/>
              <w:jc w:val="left"/>
              <w:rPr>
                <w:rFonts w:ascii="Times New Roman" w:hAnsi="Times New Roman" w:eastAsia="Times New Roman" w:cs="Times New Roman"/>
                <w:kern w:val="0"/>
                <w:sz w:val="20"/>
                <w:szCs w:val="20"/>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999" w:type="dxa"/>
            <w:shd w:val="clear" w:color="auto" w:fill="auto"/>
            <w:vAlign w:val="center"/>
          </w:tcPr>
          <w:p>
            <w:pPr>
              <w:widowControl/>
              <w:jc w:val="left"/>
              <w:rPr>
                <w:rFonts w:ascii="Times New Roman" w:hAnsi="Times New Roman" w:eastAsia="Times New Roman" w:cs="Times New Roman"/>
                <w:kern w:val="0"/>
                <w:sz w:val="20"/>
                <w:szCs w:val="20"/>
              </w:rPr>
            </w:pPr>
          </w:p>
        </w:tc>
        <w:tc>
          <w:tcPr>
            <w:tcW w:w="748" w:type="dxa"/>
            <w:shd w:val="clear" w:color="auto" w:fill="auto"/>
            <w:vAlign w:val="center"/>
          </w:tcPr>
          <w:p>
            <w:pPr>
              <w:widowControl/>
              <w:jc w:val="left"/>
              <w:rPr>
                <w:rFonts w:ascii="Times New Roman" w:hAnsi="Times New Roman" w:eastAsia="Times New Roman" w:cs="Times New Roman"/>
                <w:kern w:val="0"/>
                <w:sz w:val="20"/>
                <w:szCs w:val="20"/>
              </w:rPr>
            </w:pPr>
          </w:p>
        </w:tc>
        <w:tc>
          <w:tcPr>
            <w:tcW w:w="1733" w:type="dxa"/>
            <w:shd w:val="clear" w:color="auto" w:fill="auto"/>
            <w:vAlign w:val="center"/>
          </w:tcPr>
          <w:p>
            <w:pPr>
              <w:widowControl/>
              <w:jc w:val="left"/>
              <w:rPr>
                <w:rFonts w:ascii="Times New Roman" w:hAnsi="Times New Roman" w:eastAsia="Times New Roman" w:cs="Times New Roman"/>
                <w:kern w:val="0"/>
                <w:sz w:val="20"/>
                <w:szCs w:val="20"/>
              </w:rPr>
            </w:pPr>
          </w:p>
        </w:tc>
        <w:tc>
          <w:tcPr>
            <w:tcW w:w="1270" w:type="dxa"/>
            <w:shd w:val="clear" w:color="auto" w:fill="auto"/>
            <w:vAlign w:val="center"/>
          </w:tcPr>
          <w:p>
            <w:pPr>
              <w:widowControl/>
              <w:jc w:val="left"/>
              <w:rPr>
                <w:rFonts w:ascii="Times New Roman" w:hAnsi="Times New Roman" w:eastAsia="Times New Roman" w:cs="Times New Roman"/>
                <w:kern w:val="0"/>
                <w:sz w:val="20"/>
                <w:szCs w:val="20"/>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年度绩效指标完成情况</w:t>
            </w:r>
          </w:p>
        </w:tc>
        <w:tc>
          <w:tcPr>
            <w:tcW w:w="99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74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30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2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4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99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248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1、改造高效节水面积（含自动化控制面积）</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8968亩</w:t>
            </w:r>
          </w:p>
        </w:tc>
        <w:tc>
          <w:tcPr>
            <w:tcW w:w="12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&gt;8968亩</w:t>
            </w: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2、新安装滴灌面积</w:t>
            </w:r>
          </w:p>
        </w:tc>
        <w:tc>
          <w:tcPr>
            <w:tcW w:w="74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1119亩</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1119亩</w:t>
            </w:r>
          </w:p>
        </w:tc>
        <w:tc>
          <w:tcPr>
            <w:tcW w:w="1270" w:type="dxa"/>
            <w:shd w:val="clear" w:color="auto" w:fill="auto"/>
            <w:vAlign w:val="center"/>
          </w:tcPr>
          <w:p>
            <w:pPr>
              <w:widowControl/>
              <w:jc w:val="left"/>
              <w:rPr>
                <w:rFonts w:ascii="Times New Roman" w:hAnsi="Times New Roman" w:eastAsia="Times New Roman" w:cs="Times New Roman"/>
                <w:kern w:val="0"/>
                <w:sz w:val="20"/>
                <w:szCs w:val="20"/>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3、沉砂池新建及改建（包括首部配套电力设备）</w:t>
            </w:r>
          </w:p>
        </w:tc>
        <w:tc>
          <w:tcPr>
            <w:tcW w:w="74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3座</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3座</w:t>
            </w:r>
          </w:p>
        </w:tc>
        <w:tc>
          <w:tcPr>
            <w:tcW w:w="1270" w:type="dxa"/>
            <w:shd w:val="clear" w:color="auto" w:fill="auto"/>
            <w:vAlign w:val="center"/>
          </w:tcPr>
          <w:p>
            <w:pPr>
              <w:widowControl/>
              <w:jc w:val="left"/>
              <w:rPr>
                <w:rFonts w:ascii="Times New Roman" w:hAnsi="Times New Roman" w:eastAsia="Times New Roman" w:cs="Times New Roman"/>
                <w:kern w:val="0"/>
                <w:sz w:val="20"/>
                <w:szCs w:val="20"/>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4、地埋管道</w:t>
            </w:r>
          </w:p>
        </w:tc>
        <w:tc>
          <w:tcPr>
            <w:tcW w:w="74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22.9千米</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22.9千米</w:t>
            </w:r>
          </w:p>
        </w:tc>
        <w:tc>
          <w:tcPr>
            <w:tcW w:w="1270" w:type="dxa"/>
            <w:shd w:val="clear" w:color="auto" w:fill="auto"/>
            <w:vAlign w:val="center"/>
          </w:tcPr>
          <w:p>
            <w:pPr>
              <w:widowControl/>
              <w:jc w:val="left"/>
              <w:rPr>
                <w:rFonts w:ascii="Times New Roman" w:hAnsi="Times New Roman" w:eastAsia="Times New Roman" w:cs="Times New Roman"/>
                <w:kern w:val="0"/>
                <w:sz w:val="20"/>
                <w:szCs w:val="20"/>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5、泵前低压渗透微滤机</w:t>
            </w:r>
          </w:p>
        </w:tc>
        <w:tc>
          <w:tcPr>
            <w:tcW w:w="74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7台</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7台</w:t>
            </w:r>
          </w:p>
        </w:tc>
        <w:tc>
          <w:tcPr>
            <w:tcW w:w="1270" w:type="dxa"/>
            <w:shd w:val="clear" w:color="auto" w:fill="auto"/>
            <w:vAlign w:val="center"/>
          </w:tcPr>
          <w:p>
            <w:pPr>
              <w:widowControl/>
              <w:jc w:val="left"/>
              <w:rPr>
                <w:rFonts w:ascii="Times New Roman" w:hAnsi="Times New Roman" w:eastAsia="Times New Roman" w:cs="Times New Roman"/>
                <w:kern w:val="0"/>
                <w:sz w:val="20"/>
                <w:szCs w:val="20"/>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9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田间电磁控制阀及相关配件</w:t>
            </w:r>
          </w:p>
        </w:tc>
        <w:tc>
          <w:tcPr>
            <w:tcW w:w="74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100套</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270" w:type="dxa"/>
            <w:shd w:val="clear" w:color="auto" w:fill="auto"/>
            <w:vAlign w:val="center"/>
          </w:tcPr>
          <w:p>
            <w:pPr>
              <w:widowControl/>
              <w:jc w:val="left"/>
              <w:rPr>
                <w:rFonts w:ascii="Times New Roman" w:hAnsi="Times New Roman" w:eastAsia="Times New Roman" w:cs="Times New Roman"/>
                <w:kern w:val="0"/>
                <w:sz w:val="20"/>
                <w:szCs w:val="20"/>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室内自动化控制系统</w:t>
            </w:r>
          </w:p>
        </w:tc>
        <w:tc>
          <w:tcPr>
            <w:tcW w:w="74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1套</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270" w:type="dxa"/>
            <w:shd w:val="clear" w:color="auto" w:fill="auto"/>
            <w:vAlign w:val="center"/>
          </w:tcPr>
          <w:p>
            <w:pPr>
              <w:widowControl/>
              <w:jc w:val="left"/>
              <w:rPr>
                <w:rFonts w:ascii="Times New Roman" w:hAnsi="Times New Roman" w:eastAsia="Times New Roman" w:cs="Times New Roman"/>
                <w:kern w:val="0"/>
                <w:sz w:val="20"/>
                <w:szCs w:val="20"/>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项目（工程）验收合格率</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项目（工程）完成及时率</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绩效目标设定完成时间82天，完成率100%</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完成项目申报及批复时间</w:t>
            </w:r>
          </w:p>
        </w:tc>
        <w:tc>
          <w:tcPr>
            <w:tcW w:w="74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2018年3月</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w:t>
            </w:r>
          </w:p>
        </w:tc>
        <w:tc>
          <w:tcPr>
            <w:tcW w:w="1270" w:type="dxa"/>
            <w:shd w:val="clear" w:color="auto" w:fill="auto"/>
            <w:vAlign w:val="center"/>
          </w:tcPr>
          <w:p>
            <w:pPr>
              <w:widowControl/>
              <w:jc w:val="left"/>
              <w:rPr>
                <w:rFonts w:ascii="Times New Roman" w:hAnsi="Times New Roman" w:eastAsia="Times New Roman" w:cs="Times New Roman"/>
                <w:kern w:val="0"/>
                <w:sz w:val="20"/>
                <w:szCs w:val="20"/>
              </w:rPr>
            </w:pP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1、改造高效节水挖填面积（含自动化控制面积）</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8968亩</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28.99万元</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2、新安装滴灌挖填面积</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1119亩</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41.96万元</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3、沉砂池新建及改建（包括首部配套电力设备）</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3座</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207.19万元</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4、地埋管道</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22.9千米</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89.63万元</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5、泵前低压渗透微滤机</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7台</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23.1万元</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6、田间电磁控制阀及相关配件</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100套</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42.83万元</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7、室内自动化控制台</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1套</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72.05万元</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年增加收入</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每亩增加200元</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2019年投入运行后实现</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年增加节水能力（生态效益）</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91万方</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91万方</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项目区受益低收入人口数</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4户12人</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受益率100%</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项目区受益人口</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1692人</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受益率100%</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新增和改善灌溉面积</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10087</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10087</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压减地下水开采量</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30万方</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30万方</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项目区高效节水示范作用</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≥1０年</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≥1０年</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7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项目工程使用年限</w:t>
            </w:r>
          </w:p>
        </w:tc>
        <w:tc>
          <w:tcPr>
            <w:tcW w:w="173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≥１０年</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≥１０年</w:t>
            </w:r>
          </w:p>
        </w:tc>
        <w:tc>
          <w:tcPr>
            <w:tcW w:w="1251" w:type="dxa"/>
            <w:shd w:val="clear" w:color="auto" w:fill="auto"/>
            <w:vAlign w:val="center"/>
          </w:tcPr>
          <w:p>
            <w:pPr>
              <w:widowControl/>
              <w:jc w:val="left"/>
              <w:rPr>
                <w:rFonts w:ascii="Times New Roman" w:hAnsi="Times New Roman" w:eastAsia="Times New Roman" w:cs="Times New Roman"/>
                <w:kern w:val="0"/>
                <w:sz w:val="20"/>
                <w:szCs w:val="20"/>
              </w:rPr>
            </w:pP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tc>
        <w:tc>
          <w:tcPr>
            <w:tcW w:w="99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248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：受益人口满意度</w:t>
            </w:r>
          </w:p>
        </w:tc>
        <w:tc>
          <w:tcPr>
            <w:tcW w:w="12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≧95%</w:t>
            </w:r>
          </w:p>
        </w:tc>
        <w:tc>
          <w:tcPr>
            <w:tcW w:w="12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≧95%</w:t>
            </w:r>
          </w:p>
        </w:tc>
        <w:tc>
          <w:tcPr>
            <w:tcW w:w="1441" w:type="dxa"/>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2130319江河湖库水系综合整治966万元，根据年初设定的绩效目标，2018年中小河流治理，昌吉市大沙河河道渡槽至二六工红星三队段河道治理项目绩效自评得分98分。项目全年预算数为966万元，完成数为966万元，完成预算的100%。。主要产出和效果：一是本次河道治理新建堤防长度2.35km，其中左岸长度1.35km，右岸长度1.0km；二是本次对新建防洪堤河段的1.35km河床进行疏浚，保证河道的正常行洪能力和防洪建筑物的安全。发现的问题及原因：无。下一步改进措施：无。附项目支出绩效自评表。</w:t>
      </w:r>
    </w:p>
    <w:tbl>
      <w:tblPr>
        <w:tblStyle w:val="8"/>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637"/>
        <w:gridCol w:w="397"/>
        <w:gridCol w:w="361"/>
        <w:gridCol w:w="1410"/>
        <w:gridCol w:w="2277"/>
        <w:gridCol w:w="2174"/>
        <w:gridCol w:w="105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39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9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919"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昌吉市大沙河河道渡槽至二六工红星三队段河道治理项目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9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919"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昌吉市水利局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75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368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1380万元　</w:t>
            </w:r>
          </w:p>
        </w:tc>
        <w:tc>
          <w:tcPr>
            <w:tcW w:w="21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0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966万元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03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7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966万元</w:t>
            </w: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21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966万元　</w:t>
            </w: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03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7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414万元</w:t>
            </w: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21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445"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323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805"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本次河道治理新建堤防长度2.35km，其中左岸长度1.35km，右岸长度1.0km。</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本次对新建防洪堤河段的1.35km河床进行疏浚，保证河道的正常行洪能力和防洪建筑物的安全。</w:t>
            </w:r>
          </w:p>
        </w:tc>
        <w:tc>
          <w:tcPr>
            <w:tcW w:w="44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本次河道治理新建堤防长度2.35km，其中左岸长度1.35km，右岸长度1.0km。</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本次对新建防洪堤河段的1.35km河床进行疏浚，保证河道的正常行洪能力和防洪建筑物的安全。</w:t>
            </w: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39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3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368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1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0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39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17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绩效目标设定任务量2.35km。</w:t>
            </w:r>
          </w:p>
        </w:tc>
        <w:tc>
          <w:tcPr>
            <w:tcW w:w="21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实际完成任务量2.35公里，数量指标为100%。</w:t>
            </w: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75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符合绩效目标设定的验收标准，达到行业基准水平。</w:t>
            </w: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符合绩效目标设定的验收标准，达到行业基准水平。</w:t>
            </w:r>
          </w:p>
        </w:tc>
        <w:tc>
          <w:tcPr>
            <w:tcW w:w="2174"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75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绩效目标设定完成时间3个月。</w:t>
            </w: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实际完成时间3个月，完成指标为100%。</w:t>
            </w:r>
          </w:p>
        </w:tc>
        <w:tc>
          <w:tcPr>
            <w:tcW w:w="2174"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75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预计完成成本1380万元。</w:t>
            </w: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实际完成价，以审计决算为准</w:t>
            </w:r>
          </w:p>
        </w:tc>
        <w:tc>
          <w:tcPr>
            <w:tcW w:w="2174"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39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7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对新建防洪堤河段的1.350km河床进行疏浚，保证河道的正常行洪能力和防洪建筑物的安全。</w:t>
            </w:r>
          </w:p>
        </w:tc>
        <w:tc>
          <w:tcPr>
            <w:tcW w:w="21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对新建防洪堤河段的1.350km河床进行疏浚，保证河道的正常行洪能力和防洪建筑物的安全。</w:t>
            </w: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75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保护二六工镇的村民财产。</w:t>
            </w: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保护二六工镇的村民财产。完成指标100%</w:t>
            </w:r>
          </w:p>
        </w:tc>
        <w:tc>
          <w:tcPr>
            <w:tcW w:w="2174"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75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对大沙河河道渡槽至二六工红星三队段河道的防洪效果起到作用</w:t>
            </w: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对大沙河河道渡槽至二六工红星三队段河道的防洪效果起到作用</w:t>
            </w:r>
          </w:p>
        </w:tc>
        <w:tc>
          <w:tcPr>
            <w:tcW w:w="2174"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75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有效的保护河道两岸农田及土地的水土流失。</w:t>
            </w: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有效的保护河道两岸农田及土地的水土流失，完成指标100%。</w:t>
            </w:r>
          </w:p>
        </w:tc>
        <w:tc>
          <w:tcPr>
            <w:tcW w:w="2174"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39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17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满意率100%。</w:t>
            </w:r>
          </w:p>
        </w:tc>
        <w:tc>
          <w:tcPr>
            <w:tcW w:w="21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满意率100%。</w:t>
            </w:r>
          </w:p>
        </w:tc>
        <w:tc>
          <w:tcPr>
            <w:tcW w:w="1058" w:type="dxa"/>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2130399其他水利支出344.86万元，根据年初设定的绩效目标，2018年水利统筹金、水资源调查评价费、最严格水资源管理、南部矿区浇水项目绩效自评得分96分。项目全年预算数为344.86万元，完成数为344.86万元，完成预算的100%。主要产出和效果：一是按时足额支付上缴州级水利建设统筹金；二是完成水资源调查评价报告，按时完成浇水任务，保证南部矿区植树浇水保障树木成活率，用于最严格水资源管理工作；发现的问题及原因：无。下一步改进措施：无。附项目支出绩效自评表。</w:t>
      </w:r>
    </w:p>
    <w:tbl>
      <w:tblPr>
        <w:tblStyle w:val="8"/>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792"/>
        <w:gridCol w:w="541"/>
        <w:gridCol w:w="1005"/>
        <w:gridCol w:w="963"/>
        <w:gridCol w:w="1537"/>
        <w:gridCol w:w="1862"/>
        <w:gridCol w:w="161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5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6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61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33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597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2018年其他水利支出项目</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33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597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昌吉市水利局</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5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50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366.86万元</w:t>
            </w:r>
          </w:p>
        </w:tc>
        <w:tc>
          <w:tcPr>
            <w:tcW w:w="186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61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344.86万元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3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96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366.86万元</w:t>
            </w: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86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344.86万元</w:t>
            </w: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3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96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86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04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347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301"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339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1、上缴州级水利建设统筹金，昌吉市分解任务288万元。</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2、最严格水资源管理经费20万元，拨付水政水资源管理处用于最严格水资源管理工作。</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3、昌吉市水资源调查评价报告编报费用50万元。</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4、南部矿区种树临时浇水费用8.86万元。</w:t>
            </w: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10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50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86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61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5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196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按时足额支付</w:t>
            </w: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366.86</w:t>
            </w:r>
          </w:p>
        </w:tc>
        <w:tc>
          <w:tcPr>
            <w:tcW w:w="186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344.86</w:t>
            </w: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5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按时上缴</w:t>
            </w:r>
          </w:p>
        </w:tc>
        <w:tc>
          <w:tcPr>
            <w:tcW w:w="9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12月完成</w:t>
            </w: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12月完成</w:t>
            </w:r>
          </w:p>
        </w:tc>
        <w:tc>
          <w:tcPr>
            <w:tcW w:w="1862" w:type="dxa"/>
            <w:shd w:val="clear" w:color="auto" w:fill="auto"/>
            <w:vAlign w:val="center"/>
          </w:tcPr>
          <w:p>
            <w:pPr>
              <w:widowControl/>
              <w:jc w:val="left"/>
              <w:rPr>
                <w:rFonts w:ascii="Times New Roman" w:hAnsi="Times New Roman" w:eastAsia="Times New Roman" w:cs="Times New Roman"/>
                <w:kern w:val="0"/>
                <w:sz w:val="20"/>
                <w:szCs w:val="20"/>
              </w:rPr>
            </w:pP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5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按年度完成</w:t>
            </w:r>
          </w:p>
        </w:tc>
        <w:tc>
          <w:tcPr>
            <w:tcW w:w="9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12月底完成</w:t>
            </w: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12月底完成</w:t>
            </w:r>
          </w:p>
        </w:tc>
        <w:tc>
          <w:tcPr>
            <w:tcW w:w="1862" w:type="dxa"/>
            <w:shd w:val="clear" w:color="auto" w:fill="auto"/>
            <w:vAlign w:val="center"/>
          </w:tcPr>
          <w:p>
            <w:pPr>
              <w:widowControl/>
              <w:jc w:val="left"/>
              <w:rPr>
                <w:rFonts w:ascii="Times New Roman" w:hAnsi="Times New Roman" w:eastAsia="Times New Roman" w:cs="Times New Roman"/>
                <w:kern w:val="0"/>
                <w:sz w:val="20"/>
                <w:szCs w:val="20"/>
              </w:rPr>
            </w:pP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5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上缴州级水利建设统筹金</w:t>
            </w:r>
          </w:p>
        </w:tc>
        <w:tc>
          <w:tcPr>
            <w:tcW w:w="9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按时足额上缴</w:t>
            </w: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按时足额上缴288万</w:t>
            </w:r>
          </w:p>
        </w:tc>
        <w:tc>
          <w:tcPr>
            <w:tcW w:w="1862" w:type="dxa"/>
            <w:shd w:val="clear" w:color="auto" w:fill="auto"/>
            <w:vAlign w:val="center"/>
          </w:tcPr>
          <w:p>
            <w:pPr>
              <w:widowControl/>
              <w:jc w:val="left"/>
              <w:rPr>
                <w:rFonts w:ascii="Times New Roman" w:hAnsi="Times New Roman" w:eastAsia="Times New Roman" w:cs="Times New Roman"/>
                <w:kern w:val="0"/>
                <w:sz w:val="20"/>
                <w:szCs w:val="20"/>
              </w:rPr>
            </w:pP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5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96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为昌吉市水资源提高评价依据</w:t>
            </w: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完成水资源调查评价报告</w:t>
            </w:r>
          </w:p>
        </w:tc>
        <w:tc>
          <w:tcPr>
            <w:tcW w:w="186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水资源调查评价报告</w:t>
            </w: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3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为最严格水资源管理提供保障</w:t>
            </w:r>
          </w:p>
        </w:tc>
        <w:tc>
          <w:tcPr>
            <w:tcW w:w="10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用于最严格水资源管理工作</w:t>
            </w:r>
          </w:p>
        </w:tc>
        <w:tc>
          <w:tcPr>
            <w:tcW w:w="9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用于最严格水资源管理工作</w:t>
            </w:r>
          </w:p>
        </w:tc>
        <w:tc>
          <w:tcPr>
            <w:tcW w:w="1537" w:type="dxa"/>
            <w:shd w:val="clear" w:color="auto" w:fill="auto"/>
            <w:vAlign w:val="center"/>
          </w:tcPr>
          <w:p>
            <w:pPr>
              <w:widowControl/>
              <w:jc w:val="left"/>
              <w:rPr>
                <w:rFonts w:ascii="Times New Roman" w:hAnsi="Times New Roman" w:eastAsia="Times New Roman" w:cs="Times New Roman"/>
                <w:kern w:val="0"/>
                <w:sz w:val="20"/>
                <w:szCs w:val="20"/>
              </w:rPr>
            </w:pPr>
          </w:p>
        </w:tc>
        <w:tc>
          <w:tcPr>
            <w:tcW w:w="1862" w:type="dxa"/>
            <w:shd w:val="clear" w:color="auto" w:fill="auto"/>
            <w:vAlign w:val="center"/>
          </w:tcPr>
          <w:p>
            <w:pPr>
              <w:widowControl/>
              <w:jc w:val="left"/>
              <w:rPr>
                <w:rFonts w:ascii="Times New Roman" w:hAnsi="Times New Roman" w:eastAsia="Times New Roman" w:cs="Times New Roman"/>
                <w:kern w:val="0"/>
                <w:sz w:val="20"/>
                <w:szCs w:val="20"/>
              </w:rPr>
            </w:pP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3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0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37" w:type="dxa"/>
            <w:shd w:val="clear" w:color="auto" w:fill="auto"/>
            <w:vAlign w:val="center"/>
          </w:tcPr>
          <w:p>
            <w:pPr>
              <w:widowControl/>
              <w:jc w:val="left"/>
              <w:rPr>
                <w:rFonts w:ascii="Times New Roman" w:hAnsi="Times New Roman" w:eastAsia="Times New Roman" w:cs="Times New Roman"/>
                <w:kern w:val="0"/>
                <w:sz w:val="20"/>
                <w:szCs w:val="20"/>
              </w:rPr>
            </w:pPr>
          </w:p>
        </w:tc>
        <w:tc>
          <w:tcPr>
            <w:tcW w:w="1862" w:type="dxa"/>
            <w:shd w:val="clear" w:color="auto" w:fill="auto"/>
            <w:vAlign w:val="center"/>
          </w:tcPr>
          <w:p>
            <w:pPr>
              <w:widowControl/>
              <w:jc w:val="left"/>
              <w:rPr>
                <w:rFonts w:ascii="Times New Roman" w:hAnsi="Times New Roman" w:eastAsia="Times New Roman" w:cs="Times New Roman"/>
                <w:kern w:val="0"/>
                <w:sz w:val="20"/>
                <w:szCs w:val="20"/>
              </w:rPr>
            </w:pP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5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南部矿区植树浇水保障树木成活率</w:t>
            </w:r>
          </w:p>
        </w:tc>
        <w:tc>
          <w:tcPr>
            <w:tcW w:w="9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按时完成浇水任务</w:t>
            </w: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按时完成浇水任务</w:t>
            </w:r>
          </w:p>
        </w:tc>
        <w:tc>
          <w:tcPr>
            <w:tcW w:w="1862" w:type="dxa"/>
            <w:shd w:val="clear" w:color="auto" w:fill="auto"/>
            <w:vAlign w:val="center"/>
          </w:tcPr>
          <w:p>
            <w:pPr>
              <w:widowControl/>
              <w:jc w:val="left"/>
              <w:rPr>
                <w:rFonts w:ascii="Times New Roman" w:hAnsi="Times New Roman" w:eastAsia="Times New Roman" w:cs="Times New Roman"/>
                <w:kern w:val="0"/>
                <w:sz w:val="20"/>
                <w:szCs w:val="20"/>
              </w:rPr>
            </w:pP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5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为最严格水资源管理提供保障</w:t>
            </w:r>
          </w:p>
        </w:tc>
        <w:tc>
          <w:tcPr>
            <w:tcW w:w="9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用于最严格水资源管理工作</w:t>
            </w: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用于最严格水资源管理工作</w:t>
            </w:r>
          </w:p>
        </w:tc>
        <w:tc>
          <w:tcPr>
            <w:tcW w:w="1862" w:type="dxa"/>
            <w:shd w:val="clear" w:color="auto" w:fill="auto"/>
            <w:vAlign w:val="center"/>
          </w:tcPr>
          <w:p>
            <w:pPr>
              <w:widowControl/>
              <w:jc w:val="left"/>
              <w:rPr>
                <w:rFonts w:ascii="Times New Roman" w:hAnsi="Times New Roman" w:eastAsia="Times New Roman" w:cs="Times New Roman"/>
                <w:kern w:val="0"/>
                <w:sz w:val="20"/>
                <w:szCs w:val="20"/>
              </w:rPr>
            </w:pP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3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0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37" w:type="dxa"/>
            <w:shd w:val="clear" w:color="auto" w:fill="auto"/>
            <w:vAlign w:val="center"/>
          </w:tcPr>
          <w:p>
            <w:pPr>
              <w:widowControl/>
              <w:jc w:val="left"/>
              <w:rPr>
                <w:rFonts w:ascii="Times New Roman" w:hAnsi="Times New Roman" w:eastAsia="Times New Roman" w:cs="Times New Roman"/>
                <w:kern w:val="0"/>
                <w:sz w:val="20"/>
                <w:szCs w:val="20"/>
              </w:rPr>
            </w:pPr>
          </w:p>
        </w:tc>
        <w:tc>
          <w:tcPr>
            <w:tcW w:w="1862" w:type="dxa"/>
            <w:shd w:val="clear" w:color="auto" w:fill="auto"/>
            <w:vAlign w:val="center"/>
          </w:tcPr>
          <w:p>
            <w:pPr>
              <w:widowControl/>
              <w:jc w:val="left"/>
              <w:rPr>
                <w:rFonts w:ascii="Times New Roman" w:hAnsi="Times New Roman" w:eastAsia="Times New Roman" w:cs="Times New Roman"/>
                <w:kern w:val="0"/>
                <w:sz w:val="20"/>
                <w:szCs w:val="20"/>
              </w:rPr>
            </w:pP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5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保证地下水的可持续合理利用</w:t>
            </w:r>
          </w:p>
        </w:tc>
        <w:tc>
          <w:tcPr>
            <w:tcW w:w="9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实行最严格水资源管理</w:t>
            </w: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实行最严格水资源管理</w:t>
            </w:r>
          </w:p>
        </w:tc>
        <w:tc>
          <w:tcPr>
            <w:tcW w:w="1862" w:type="dxa"/>
            <w:shd w:val="clear" w:color="auto" w:fill="auto"/>
            <w:vAlign w:val="center"/>
          </w:tcPr>
          <w:p>
            <w:pPr>
              <w:widowControl/>
              <w:jc w:val="left"/>
              <w:rPr>
                <w:rFonts w:ascii="Times New Roman" w:hAnsi="Times New Roman" w:eastAsia="Times New Roman" w:cs="Times New Roman"/>
                <w:kern w:val="0"/>
                <w:sz w:val="20"/>
                <w:szCs w:val="20"/>
              </w:rPr>
            </w:pP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5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196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社会满意度</w:t>
            </w:r>
          </w:p>
        </w:tc>
        <w:tc>
          <w:tcPr>
            <w:tcW w:w="1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98%</w:t>
            </w:r>
          </w:p>
        </w:tc>
        <w:tc>
          <w:tcPr>
            <w:tcW w:w="186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98%</w:t>
            </w:r>
          </w:p>
        </w:tc>
        <w:tc>
          <w:tcPr>
            <w:tcW w:w="1614" w:type="dxa"/>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299其他支出2299901其他支出3.89万元，根据年初设定的绩效目标，2017为民办实事好事工作经费补助项目绩效自评得分98分。项目全年预算数为3.89万元，完成数为3.89万元，完成预算的100%。。主要产出和效果：一是解决辖区村民居民困难诉求35件，为民办实事好事21件，帮助10户困难群众解决生活工作方面的问题，开展就业创业技能培训6期，更新村社区办公设施3.8万元，党内激励关怀帮扶，补充村级组织工作经费，积极开展各类活动，开展就业创业技能培训6期，；二是更新村社区办公设施3.8万元，党内激励关怀帮扶，补充村级组织工作经费，积极开展各类活动；发现的问题及原因：无。下一步改进措施：无。附项目支出绩效自评表。</w:t>
      </w:r>
    </w:p>
    <w:tbl>
      <w:tblPr>
        <w:tblStyle w:val="8"/>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655"/>
        <w:gridCol w:w="404"/>
        <w:gridCol w:w="1099"/>
        <w:gridCol w:w="1800"/>
        <w:gridCol w:w="2159"/>
        <w:gridCol w:w="1326"/>
        <w:gridCol w:w="87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9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87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15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15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为民办实事好事</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15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15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昌吉市水利局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5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395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3.89万元</w:t>
            </w:r>
          </w:p>
        </w:tc>
        <w:tc>
          <w:tcPr>
            <w:tcW w:w="13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87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3.89万元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05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289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3.89万元</w:t>
            </w: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3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3.89万元</w:t>
            </w: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05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289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3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46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219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958"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解决辖区村民居民困难诉求，帮助困难群众解决生活工作方面的问题，为群众送信息送服务送温暖，组织群众参观学习开展就业创业技能培训，更新村社区办公设施，党内激励关怀帮扶，补充村级组织工作经费，积极开展各类活动</w:t>
            </w:r>
          </w:p>
        </w:tc>
        <w:tc>
          <w:tcPr>
            <w:tcW w:w="348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解决辖区村民居民困难诉求35件，为民办实事好事21件，帮助10户困难群众解决生活工作方面的问题，开展就业创业技能培训6期，更新村社区办公设施3.8万元，党内激励关怀帮扶，补充村级组织工作经费，积极开展各类活动</w:t>
            </w: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109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395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3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87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4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289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解决辖区村民居民困难诉求</w:t>
            </w:r>
          </w:p>
        </w:tc>
        <w:tc>
          <w:tcPr>
            <w:tcW w:w="13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解决辖区村民居民困难诉求35件，</w:t>
            </w: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05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09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为民办实事好事</w:t>
            </w:r>
          </w:p>
        </w:tc>
        <w:tc>
          <w:tcPr>
            <w:tcW w:w="1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为民办实事好事21件</w:t>
            </w:r>
          </w:p>
        </w:tc>
        <w:tc>
          <w:tcPr>
            <w:tcW w:w="2159" w:type="dxa"/>
            <w:shd w:val="clear" w:color="auto" w:fill="auto"/>
            <w:vAlign w:val="center"/>
          </w:tcPr>
          <w:p>
            <w:pPr>
              <w:widowControl/>
              <w:jc w:val="left"/>
              <w:rPr>
                <w:rFonts w:ascii="Times New Roman" w:hAnsi="Times New Roman" w:eastAsia="Times New Roman" w:cs="Times New Roman"/>
                <w:kern w:val="0"/>
                <w:sz w:val="20"/>
                <w:szCs w:val="20"/>
              </w:rPr>
            </w:pPr>
          </w:p>
        </w:tc>
        <w:tc>
          <w:tcPr>
            <w:tcW w:w="1326" w:type="dxa"/>
            <w:shd w:val="clear" w:color="auto" w:fill="auto"/>
            <w:vAlign w:val="center"/>
          </w:tcPr>
          <w:p>
            <w:pPr>
              <w:widowControl/>
              <w:jc w:val="left"/>
              <w:rPr>
                <w:rFonts w:ascii="Times New Roman" w:hAnsi="Times New Roman" w:eastAsia="Times New Roman" w:cs="Times New Roman"/>
                <w:kern w:val="0"/>
                <w:sz w:val="20"/>
                <w:szCs w:val="20"/>
              </w:rPr>
            </w:pP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05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109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帮助困难群众解决生活工作方面的问题，</w:t>
            </w:r>
          </w:p>
        </w:tc>
        <w:tc>
          <w:tcPr>
            <w:tcW w:w="1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帮助10户困难群众解决生活工作方面的问题，　</w:t>
            </w:r>
          </w:p>
        </w:tc>
        <w:tc>
          <w:tcPr>
            <w:tcW w:w="2159" w:type="dxa"/>
            <w:shd w:val="clear" w:color="auto" w:fill="auto"/>
            <w:vAlign w:val="center"/>
          </w:tcPr>
          <w:p>
            <w:pPr>
              <w:widowControl/>
              <w:jc w:val="left"/>
              <w:rPr>
                <w:rFonts w:ascii="Times New Roman" w:hAnsi="Times New Roman" w:eastAsia="Times New Roman" w:cs="Times New Roman"/>
                <w:kern w:val="0"/>
                <w:sz w:val="20"/>
                <w:szCs w:val="20"/>
              </w:rPr>
            </w:pPr>
          </w:p>
        </w:tc>
        <w:tc>
          <w:tcPr>
            <w:tcW w:w="1326" w:type="dxa"/>
            <w:shd w:val="clear" w:color="auto" w:fill="auto"/>
            <w:vAlign w:val="center"/>
          </w:tcPr>
          <w:p>
            <w:pPr>
              <w:widowControl/>
              <w:jc w:val="left"/>
              <w:rPr>
                <w:rFonts w:ascii="Times New Roman" w:hAnsi="Times New Roman" w:eastAsia="Times New Roman" w:cs="Times New Roman"/>
                <w:kern w:val="0"/>
                <w:sz w:val="20"/>
                <w:szCs w:val="20"/>
              </w:rPr>
            </w:pP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5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严格按照自治区访惠聚驻村工作专项经费的通知精神和规定管理使用好专项资金15万元</w:t>
            </w: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根据资金管理办法，3.75万元用于访贫问苦，7.5万用于村道桥函维修等，3.75万元用于补助村级组织工作经费</w:t>
            </w:r>
          </w:p>
        </w:tc>
        <w:tc>
          <w:tcPr>
            <w:tcW w:w="1326" w:type="dxa"/>
            <w:shd w:val="clear" w:color="auto" w:fill="auto"/>
            <w:vAlign w:val="center"/>
          </w:tcPr>
          <w:p>
            <w:pPr>
              <w:widowControl/>
              <w:jc w:val="left"/>
              <w:rPr>
                <w:rFonts w:ascii="Times New Roman" w:hAnsi="Times New Roman" w:eastAsia="Times New Roman" w:cs="Times New Roman"/>
                <w:kern w:val="0"/>
                <w:sz w:val="20"/>
                <w:szCs w:val="20"/>
              </w:rPr>
            </w:pP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5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及时支付率100%</w:t>
            </w: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及时支付率74.06%　</w:t>
            </w:r>
          </w:p>
        </w:tc>
        <w:tc>
          <w:tcPr>
            <w:tcW w:w="1326" w:type="dxa"/>
            <w:shd w:val="clear" w:color="auto" w:fill="auto"/>
            <w:vAlign w:val="center"/>
          </w:tcPr>
          <w:p>
            <w:pPr>
              <w:widowControl/>
              <w:jc w:val="left"/>
              <w:rPr>
                <w:rFonts w:ascii="Times New Roman" w:hAnsi="Times New Roman" w:eastAsia="Times New Roman" w:cs="Times New Roman"/>
                <w:kern w:val="0"/>
                <w:sz w:val="20"/>
                <w:szCs w:val="20"/>
              </w:rPr>
            </w:pP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5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无超额支付</w:t>
            </w: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无超额支付</w:t>
            </w:r>
          </w:p>
        </w:tc>
        <w:tc>
          <w:tcPr>
            <w:tcW w:w="1326" w:type="dxa"/>
            <w:shd w:val="clear" w:color="auto" w:fill="auto"/>
            <w:vAlign w:val="center"/>
          </w:tcPr>
          <w:p>
            <w:pPr>
              <w:widowControl/>
              <w:jc w:val="left"/>
              <w:rPr>
                <w:rFonts w:ascii="Times New Roman" w:hAnsi="Times New Roman" w:eastAsia="Times New Roman" w:cs="Times New Roman"/>
                <w:kern w:val="0"/>
                <w:sz w:val="20"/>
                <w:szCs w:val="20"/>
              </w:rPr>
            </w:pP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4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89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解决村民的就业安置问题</w:t>
            </w:r>
          </w:p>
        </w:tc>
        <w:tc>
          <w:tcPr>
            <w:tcW w:w="13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解决16名无业村民的就业安置问题，为他们带来稳定的经济收入</w:t>
            </w: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5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化解矛盾排查隐患，增强群众群防群治意识，维护辖区平安稳定</w:t>
            </w: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化解矛盾11起，排查隐患15处，增强群众群防群治意识，维护辖区平安稳定</w:t>
            </w:r>
          </w:p>
        </w:tc>
        <w:tc>
          <w:tcPr>
            <w:tcW w:w="1326" w:type="dxa"/>
            <w:shd w:val="clear" w:color="auto" w:fill="auto"/>
            <w:vAlign w:val="center"/>
          </w:tcPr>
          <w:p>
            <w:pPr>
              <w:widowControl/>
              <w:jc w:val="left"/>
              <w:rPr>
                <w:rFonts w:ascii="Times New Roman" w:hAnsi="Times New Roman" w:eastAsia="Times New Roman" w:cs="Times New Roman"/>
                <w:kern w:val="0"/>
                <w:sz w:val="20"/>
                <w:szCs w:val="20"/>
              </w:rPr>
            </w:pP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5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无</w:t>
            </w: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无</w:t>
            </w:r>
          </w:p>
        </w:tc>
        <w:tc>
          <w:tcPr>
            <w:tcW w:w="1326" w:type="dxa"/>
            <w:shd w:val="clear" w:color="auto" w:fill="auto"/>
            <w:vAlign w:val="center"/>
          </w:tcPr>
          <w:p>
            <w:pPr>
              <w:widowControl/>
              <w:jc w:val="left"/>
              <w:rPr>
                <w:rFonts w:ascii="Times New Roman" w:hAnsi="Times New Roman" w:eastAsia="Times New Roman" w:cs="Times New Roman"/>
                <w:kern w:val="0"/>
                <w:sz w:val="20"/>
                <w:szCs w:val="20"/>
              </w:rPr>
            </w:pP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5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促进社会稳定</w:t>
            </w: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辖区社会面基本稳定</w:t>
            </w:r>
          </w:p>
        </w:tc>
        <w:tc>
          <w:tcPr>
            <w:tcW w:w="1326" w:type="dxa"/>
            <w:shd w:val="clear" w:color="auto" w:fill="auto"/>
            <w:vAlign w:val="center"/>
          </w:tcPr>
          <w:p>
            <w:pPr>
              <w:widowControl/>
              <w:jc w:val="left"/>
              <w:rPr>
                <w:rFonts w:ascii="Times New Roman" w:hAnsi="Times New Roman" w:eastAsia="Times New Roman" w:cs="Times New Roman"/>
                <w:kern w:val="0"/>
                <w:sz w:val="20"/>
                <w:szCs w:val="20"/>
              </w:rPr>
            </w:pP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4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289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群众满意度100%　</w:t>
            </w:r>
          </w:p>
        </w:tc>
        <w:tc>
          <w:tcPr>
            <w:tcW w:w="13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群众满意度100%</w:t>
            </w: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05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09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59" w:type="dxa"/>
            <w:shd w:val="clear" w:color="auto" w:fill="auto"/>
            <w:vAlign w:val="center"/>
          </w:tcPr>
          <w:p>
            <w:pPr>
              <w:widowControl/>
              <w:jc w:val="left"/>
              <w:rPr>
                <w:rFonts w:ascii="Times New Roman" w:hAnsi="Times New Roman" w:eastAsia="Times New Roman" w:cs="Times New Roman"/>
                <w:kern w:val="0"/>
                <w:sz w:val="20"/>
                <w:szCs w:val="20"/>
              </w:rPr>
            </w:pPr>
          </w:p>
        </w:tc>
        <w:tc>
          <w:tcPr>
            <w:tcW w:w="1326" w:type="dxa"/>
            <w:shd w:val="clear" w:color="auto" w:fill="auto"/>
            <w:vAlign w:val="center"/>
          </w:tcPr>
          <w:p>
            <w:pPr>
              <w:widowControl/>
              <w:jc w:val="left"/>
              <w:rPr>
                <w:rFonts w:ascii="Times New Roman" w:hAnsi="Times New Roman" w:eastAsia="Times New Roman" w:cs="Times New Roman"/>
                <w:kern w:val="0"/>
                <w:sz w:val="20"/>
                <w:szCs w:val="20"/>
              </w:rPr>
            </w:pPr>
          </w:p>
        </w:tc>
        <w:tc>
          <w:tcPr>
            <w:tcW w:w="871" w:type="dxa"/>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第三部分 专业名词解释</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财政拨款收入：指同级财政当年拨付的资金。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上级补助收入：指事业单位从主管部门和上级单位取得的非财政补助收入。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事业收入：指事业单位开展专业业务活动及其辅助活动所取得的收入。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经营收入：指事业单位在专业业务活动及其辅助活动之外开展非独立核算经营活动取得的收入。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附属单位上缴收入：指事业单位附属的独立核算单位按有关规定上缴的收入。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其他收入：指除上述“财政拨款收入”、“事业收入”、“经营收入”、“附属单位上缴收入”等之外取得的收入。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上年结转和结余：指以前年度支出预算因客观条件变化未执行完毕、结转到本年度按有关规定继续使用的资金，既包括财政拨款结转和结余，也包括事业收入、经营收入、其他收入的结转和结余。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结余分配：反映单位当年结余的分配情况。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基本支出：指为保障机构正常运转、完成日常工作任务而发生的人员支出和公用支出。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项目支出：指在基本支出之外为完成特定行政任务和事业发展目标所发生的支出。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经营支出：指事业单位在专业业务活动及其辅助活动之外开展非独立核算经营活动发生的支出。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对附属单位补助支出：指事业单位发生的用非财政预算资金对附属单位的补助支出。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本单位支出功能分类说明。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208（类）05（款）05（项）：指机关事业单位基本养老保险缴费支出。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213（类）03（款）01（项）：指行政运行。</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213（类）03（款）17（项）：指水利技术推广。</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213（类）03（款）17（项）：病虫害控制。</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213（类）01（款）99（项）：其他农业支出。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213（类）03（款）14（项）：防汛。</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213（类）03（款）16（项）：农田水利。</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213（类）03（款）19（项）：江河湖库水系综合整治。</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213（类）03（款）99（项）：其他水利支出。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229（类）99（款）01（项）：其他支出。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其他有关说明内容：无。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第四部分 部门决算公开的8张报表（见附表）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一、《收入支出决算总表》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二、《收入决算表》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四、《财政拨款收入支出决算总表》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五、《一般公共预算财政拨款支出决算明细表》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六、《一般公共预算财政拨款基本支出决算明细表》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七、《一般公共预算财政拨款“三公”经费支出决算表》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_GBK">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å®‹ä½“">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82D"/>
    <w:rsid w:val="00165AEE"/>
    <w:rsid w:val="00DE782D"/>
    <w:rsid w:val="00FC51E2"/>
    <w:rsid w:val="0A8746ED"/>
    <w:rsid w:val="0A8D067E"/>
    <w:rsid w:val="140B5654"/>
    <w:rsid w:val="2F2571AD"/>
    <w:rsid w:val="5833782F"/>
    <w:rsid w:val="5AF2012D"/>
    <w:rsid w:val="5C5C71E1"/>
    <w:rsid w:val="5DD424E3"/>
    <w:rsid w:val="6D413DE4"/>
    <w:rsid w:val="7B574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uiPriority w:val="0"/>
    <w:pPr>
      <w:spacing w:after="120" w:line="480" w:lineRule="auto"/>
      <w:ind w:left="420" w:leftChars="200"/>
    </w:pPr>
  </w:style>
  <w:style w:type="paragraph" w:styleId="4">
    <w:name w:val="toc 3"/>
    <w:basedOn w:val="1"/>
    <w:next w:val="1"/>
    <w:uiPriority w:val="0"/>
    <w:pPr>
      <w:ind w:left="840" w:leftChars="400"/>
    </w:pPr>
  </w:style>
  <w:style w:type="paragraph" w:styleId="5">
    <w:name w:val="toc 1"/>
    <w:basedOn w:val="1"/>
    <w:next w:val="1"/>
    <w:uiPriority w:val="0"/>
  </w:style>
  <w:style w:type="paragraph" w:styleId="6">
    <w:name w:val="toc 2"/>
    <w:basedOn w:val="1"/>
    <w:next w:val="1"/>
    <w:uiPriority w:val="0"/>
    <w:pPr>
      <w:ind w:left="420" w:leftChars="200"/>
    </w:p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FollowedHyperlink"/>
    <w:basedOn w:val="9"/>
    <w:semiHidden/>
    <w:unhideWhenUsed/>
    <w:qFormat/>
    <w:uiPriority w:val="99"/>
    <w:rPr>
      <w:color w:val="800080"/>
      <w:u w:val="single"/>
    </w:rPr>
  </w:style>
  <w:style w:type="character" w:styleId="11">
    <w:name w:val="Hyperlink"/>
    <w:basedOn w:val="9"/>
    <w:semiHidden/>
    <w:unhideWhenUsed/>
    <w:qFormat/>
    <w:uiPriority w:val="99"/>
    <w:rPr>
      <w:color w:val="0000FF"/>
      <w:u w:val="single"/>
    </w:rPr>
  </w:style>
  <w:style w:type="character" w:customStyle="1" w:styleId="12">
    <w:name w:val="标题 2 字符"/>
    <w:basedOn w:val="9"/>
    <w:link w:val="3"/>
    <w:qFormat/>
    <w:uiPriority w:val="9"/>
    <w:rPr>
      <w:rFonts w:ascii="宋体" w:hAnsi="宋体" w:eastAsia="宋体" w:cs="宋体"/>
      <w:b/>
      <w:bCs/>
      <w:kern w:val="0"/>
      <w:sz w:val="36"/>
      <w:szCs w:val="36"/>
    </w:rPr>
  </w:style>
  <w:style w:type="paragraph" w:customStyle="1" w:styleId="13">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4">
    <w:name w:val="pages_print_font"/>
    <w:basedOn w:val="9"/>
    <w:qFormat/>
    <w:uiPriority w:val="0"/>
  </w:style>
  <w:style w:type="character" w:customStyle="1" w:styleId="15">
    <w:name w:val="am-margin-right-sm"/>
    <w:basedOn w:val="9"/>
    <w:qFormat/>
    <w:uiPriority w:val="0"/>
  </w:style>
  <w:style w:type="character" w:customStyle="1" w:styleId="16">
    <w:name w:val="pointer"/>
    <w:basedOn w:val="9"/>
    <w:qFormat/>
    <w:uiPriority w:val="0"/>
  </w:style>
  <w:style w:type="character" w:customStyle="1" w:styleId="17">
    <w:name w:val="btnprint"/>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1857</Words>
  <Characters>10586</Characters>
  <Lines>88</Lines>
  <Paragraphs>24</Paragraphs>
  <TotalTime>234</TotalTime>
  <ScaleCrop>false</ScaleCrop>
  <LinksUpToDate>false</LinksUpToDate>
  <CharactersWithSpaces>12419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2021-05-21T12:08:00Z</dcterms:created>
  <dc:creator>Lenovo</dc:creator>
  <cp:lastModifiedBy>绿色森林</cp:lastModifiedBy>
  <dcterms:modified xsi:type="dcterms:W3CDTF">2021-06-01T10:34:40Z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5C79F9C117F64137B17CE7C13CF00959</vt:lpwstr>
  </property>
</Properties>
</file>