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2018年昌吉市种子站部门决算公开</w:t>
      </w:r>
    </w:p>
    <w:p>
      <w:pPr>
        <w:spacing w:line="540" w:lineRule="exact"/>
        <w:jc w:val="center"/>
        <w:rPr>
          <w:rFonts w:hint="eastAsia" w:ascii="黑体" w:hAnsi="黑体" w:eastAsia="黑体" w:cs="Times New Roman"/>
          <w:b w:val="0"/>
          <w:bCs/>
          <w:kern w:val="0"/>
          <w:sz w:val="32"/>
          <w:szCs w:val="32"/>
        </w:rPr>
      </w:pPr>
      <w:r>
        <w:rPr>
          <w:rFonts w:hint="eastAsia" w:ascii="黑体" w:hAnsi="黑体" w:eastAsia="黑体" w:cs="Times New Roman"/>
          <w:b w:val="0"/>
          <w:bCs/>
          <w:kern w:val="0"/>
          <w:sz w:val="32"/>
          <w:szCs w:val="32"/>
        </w:rPr>
        <w:t>目  录</w:t>
      </w:r>
    </w:p>
    <w:p>
      <w:pPr>
        <w:spacing w:line="540" w:lineRule="exact"/>
        <w:rPr>
          <w:rFonts w:ascii="宋体" w:hAnsi="宋体" w:eastAsia="宋体" w:cs="Times New Roman"/>
          <w:b/>
          <w:kern w:val="0"/>
          <w:sz w:val="24"/>
          <w:szCs w:val="24"/>
        </w:rPr>
      </w:pP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第一部分 部门单位概况</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一、主要职能</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二、机构设置情况</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第二部分 部门决算情况说明</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一、部门收支总体情况</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（一）部门收入支出决算总体情况说明</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（二）部门收入总体情况说明</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（三）部门支出总体情况说明</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二、部门财政拨款收支情况</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（一）财政拨款收支总体情况说明</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（二）一般公共预算收支决算情况说明</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（三）政府性基金预算收支决算情况说明</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三、部门结转结余情况</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四、一般公共预算“三公”经费支出情况</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五、机关运行经费支出情况</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六、政府采购情况</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七、其他重要事项的情况</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（一）国有资产占用情况说明</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（二）预算绩效情况的说明</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第三部分 专业名词解释</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第四部分 部门决算公开的8张报表</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《收入支出决算总表》</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《收入决算表》</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《支出决算表》</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《财政拨款收入支出决算总表》</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《一般公共预算财政拨款支出决算表》</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《一般公共预算财政拨款基本支出决算表》</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《一般公共预算财政拨款“三公”经费支出决算表》</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《政府性基金预算财政拨款收入支出决算表》</w:t>
      </w:r>
    </w:p>
    <w:p>
      <w:pPr>
        <w:spacing w:line="540" w:lineRule="exact"/>
        <w:ind w:firstLine="2240" w:firstLineChars="700"/>
        <w:rPr>
          <w:rFonts w:hint="eastAsia" w:ascii="黑体" w:hAnsi="黑体" w:eastAsia="黑体" w:cs="Times New Roman"/>
          <w:kern w:val="0"/>
          <w:sz w:val="32"/>
          <w:szCs w:val="32"/>
        </w:rPr>
      </w:pPr>
      <w:r>
        <w:rPr>
          <w:rFonts w:hint="eastAsia" w:ascii="黑体" w:hAnsi="黑体" w:eastAsia="黑体" w:cs="Times New Roman"/>
          <w:kern w:val="0"/>
          <w:sz w:val="32"/>
          <w:szCs w:val="32"/>
        </w:rPr>
        <w:t>第一部分 部门单位概况</w:t>
      </w:r>
    </w:p>
    <w:p>
      <w:pPr>
        <w:spacing w:line="540" w:lineRule="exact"/>
        <w:ind w:firstLine="640" w:firstLineChars="200"/>
        <w:rPr>
          <w:rFonts w:hint="eastAsia" w:ascii="黑体" w:hAnsi="黑体" w:eastAsia="黑体" w:cs="Times New Roman"/>
          <w:kern w:val="0"/>
          <w:sz w:val="32"/>
          <w:szCs w:val="32"/>
        </w:rPr>
      </w:pPr>
      <w:r>
        <w:rPr>
          <w:rFonts w:hint="eastAsia" w:ascii="黑体" w:hAnsi="黑体" w:eastAsia="黑体" w:cs="Times New Roman"/>
          <w:kern w:val="0"/>
          <w:sz w:val="32"/>
          <w:szCs w:val="32"/>
        </w:rPr>
        <w:t>一、主要职能。</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1、受农业局委托负责宣传、贯彻、执行国家、自治区和州、市有关种子、农药、肥料及农产品安全的法律、法规、政策和文件；</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2、负责制定昌吉市种子、农药、肥料及农产品安全总体规划；</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3、负责对辖区内生产、经营种子、农药、肥料的单位个人进行监督、检查、管理；</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4、负责全市农产品质量安全的监督管理工作；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5、负责对种子、农药、肥料和农产品质量安全违法案件进行查处；</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6、负责本辖区农作物种子生产、经营许可证的审核、审批、发放；</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7、负责对辖区内的农业转基因生物安全和农业转基因生物标识进行监督管理；</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8、负责新品种引进、试验、推广工作并制定本辖区农作物品种布局意见；</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9、负责对本辖区农作物种子生产基地进行监督管理。</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从决算单位构成看，昌吉市种子管理站部门决算包括昌吉市种子管理站本级决算。</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纳入昌吉市种子管理站2018年部门决算编制范围的单位名单见下表：</w:t>
      </w:r>
    </w:p>
    <w:tbl>
      <w:tblPr>
        <w:tblStyle w:val="4"/>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shd w:val="clear" w:color="auto" w:fill="FFFFFF"/>
        <w:tblLayout w:type="autofit"/>
        <w:tblCellMar>
          <w:top w:w="24" w:type="dxa"/>
          <w:left w:w="24" w:type="dxa"/>
          <w:bottom w:w="24" w:type="dxa"/>
          <w:right w:w="24" w:type="dxa"/>
        </w:tblCellMar>
      </w:tblPr>
      <w:tblGrid>
        <w:gridCol w:w="1076"/>
        <w:gridCol w:w="3527"/>
        <w:gridCol w:w="1240"/>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shd w:val="clear" w:color="auto" w:fill="FFFFFF"/>
        </w:tblPrEx>
        <w:tc>
          <w:tcPr>
            <w:tcW w:w="0" w:type="auto"/>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序号</w:t>
            </w:r>
          </w:p>
        </w:tc>
        <w:tc>
          <w:tcPr>
            <w:tcW w:w="3527"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单位名称</w:t>
            </w:r>
          </w:p>
        </w:tc>
        <w:tc>
          <w:tcPr>
            <w:tcW w:w="1240"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w:t>
            </w:r>
          </w:p>
        </w:tc>
        <w:tc>
          <w:tcPr>
            <w:tcW w:w="3527"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widowControl w:val="0"/>
              <w:spacing w:line="540" w:lineRule="exact"/>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昌吉市种子管理站本级</w:t>
            </w:r>
          </w:p>
        </w:tc>
        <w:tc>
          <w:tcPr>
            <w:tcW w:w="1240"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p>
        </w:tc>
        <w:tc>
          <w:tcPr>
            <w:tcW w:w="3527"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p>
        </w:tc>
        <w:tc>
          <w:tcPr>
            <w:tcW w:w="1240"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widowControl w:val="0"/>
              <w:spacing w:line="540" w:lineRule="exact"/>
              <w:ind w:firstLine="640" w:firstLineChars="200"/>
              <w:jc w:val="both"/>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widowControl/>
              <w:jc w:val="left"/>
              <w:rPr>
                <w:rFonts w:ascii="å®‹ä½“" w:hAnsi="宋体" w:eastAsia="å®‹ä½“" w:cs="宋体"/>
                <w:color w:val="333333"/>
                <w:kern w:val="0"/>
                <w:sz w:val="24"/>
                <w:szCs w:val="24"/>
              </w:rPr>
            </w:pPr>
          </w:p>
        </w:tc>
        <w:tc>
          <w:tcPr>
            <w:tcW w:w="3527"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widowControl/>
              <w:jc w:val="left"/>
              <w:rPr>
                <w:rFonts w:ascii="å®‹ä½“" w:hAnsi="宋体" w:eastAsia="å®‹ä½“" w:cs="宋体"/>
                <w:color w:val="333333"/>
                <w:kern w:val="0"/>
                <w:sz w:val="24"/>
                <w:szCs w:val="24"/>
              </w:rPr>
            </w:pPr>
          </w:p>
        </w:tc>
        <w:tc>
          <w:tcPr>
            <w:tcW w:w="1240"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widowControl/>
              <w:jc w:val="left"/>
              <w:rPr>
                <w:rFonts w:ascii="å®‹ä½“" w:hAnsi="宋体" w:eastAsia="å®‹ä½“"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widowControl/>
              <w:jc w:val="left"/>
              <w:rPr>
                <w:rFonts w:ascii="å®‹ä½“" w:hAnsi="宋体" w:eastAsia="å®‹ä½“" w:cs="宋体"/>
                <w:color w:val="333333"/>
                <w:kern w:val="0"/>
                <w:sz w:val="24"/>
                <w:szCs w:val="24"/>
              </w:rPr>
            </w:pPr>
          </w:p>
        </w:tc>
        <w:tc>
          <w:tcPr>
            <w:tcW w:w="3527"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widowControl/>
              <w:jc w:val="left"/>
              <w:rPr>
                <w:rFonts w:ascii="å®‹ä½“" w:hAnsi="宋体" w:eastAsia="å®‹ä½“" w:cs="宋体"/>
                <w:color w:val="333333"/>
                <w:kern w:val="0"/>
                <w:sz w:val="24"/>
                <w:szCs w:val="24"/>
              </w:rPr>
            </w:pPr>
          </w:p>
        </w:tc>
        <w:tc>
          <w:tcPr>
            <w:tcW w:w="1240" w:type="dxa"/>
            <w:tcBorders>
              <w:top w:val="outset" w:color="000000" w:sz="6" w:space="0"/>
              <w:left w:val="outset" w:color="000000" w:sz="6" w:space="0"/>
              <w:bottom w:val="outset" w:color="000000" w:sz="6" w:space="0"/>
              <w:right w:val="outset" w:color="000000" w:sz="6" w:space="0"/>
            </w:tcBorders>
            <w:shd w:val="clear" w:color="auto" w:fill="FFFFFF"/>
            <w:tcMar>
              <w:top w:w="0" w:type="dxa"/>
              <w:left w:w="0" w:type="dxa"/>
              <w:bottom w:w="0" w:type="dxa"/>
              <w:right w:w="0" w:type="dxa"/>
            </w:tcMar>
            <w:vAlign w:val="center"/>
          </w:tcPr>
          <w:p>
            <w:pPr>
              <w:widowControl/>
              <w:jc w:val="left"/>
              <w:rPr>
                <w:rFonts w:ascii="å®‹ä½“" w:hAnsi="宋体" w:eastAsia="å®‹ä½“" w:cs="宋体"/>
                <w:color w:val="333333"/>
                <w:kern w:val="0"/>
                <w:sz w:val="24"/>
                <w:szCs w:val="24"/>
              </w:rPr>
            </w:pPr>
          </w:p>
        </w:tc>
      </w:tr>
    </w:tbl>
    <w:p>
      <w:pPr>
        <w:spacing w:line="540" w:lineRule="exact"/>
        <w:ind w:firstLine="0"/>
        <w:jc w:val="center"/>
        <w:rPr>
          <w:rFonts w:hint="eastAsia" w:ascii="黑体" w:hAnsi="黑体" w:eastAsia="黑体" w:cs="Times New Roman"/>
          <w:sz w:val="32"/>
          <w:szCs w:val="32"/>
        </w:rPr>
      </w:pPr>
    </w:p>
    <w:p>
      <w:pPr>
        <w:spacing w:line="540" w:lineRule="exact"/>
        <w:ind w:firstLine="0"/>
        <w:jc w:val="center"/>
        <w:rPr>
          <w:rFonts w:hint="eastAsia" w:ascii="黑体" w:hAnsi="黑体" w:eastAsia="黑体" w:cs="Times New Roman"/>
          <w:sz w:val="32"/>
          <w:szCs w:val="32"/>
        </w:rPr>
      </w:pPr>
      <w:r>
        <w:rPr>
          <w:rFonts w:hint="eastAsia" w:ascii="黑体" w:hAnsi="黑体" w:eastAsia="黑体" w:cs="Times New Roman"/>
          <w:sz w:val="32"/>
          <w:szCs w:val="32"/>
        </w:rPr>
        <w:t>第二部分 部门决算情况说明</w:t>
      </w:r>
    </w:p>
    <w:p>
      <w:pPr>
        <w:spacing w:line="540" w:lineRule="exact"/>
        <w:ind w:firstLine="0"/>
        <w:jc w:val="both"/>
        <w:rPr>
          <w:rFonts w:hint="eastAsia" w:ascii="黑体" w:hAnsi="黑体" w:eastAsia="黑体" w:cs="Times New Roman"/>
          <w:sz w:val="32"/>
          <w:szCs w:val="32"/>
        </w:rPr>
      </w:pPr>
      <w:r>
        <w:rPr>
          <w:rFonts w:hint="eastAsia" w:ascii="黑体" w:hAnsi="黑体" w:eastAsia="黑体" w:cs="Times New Roman"/>
          <w:sz w:val="32"/>
          <w:szCs w:val="32"/>
        </w:rPr>
        <w:t>一、部门收支总体情况</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（一）部门收入支出决算总体情况说明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2018年度收入287.21万元，与上年相比，增加0.45万元，增长0.16%，增减变化主要原因</w:t>
      </w:r>
      <w:bookmarkStart w:id="0" w:name="_GoBack"/>
      <w:bookmarkEnd w:id="0"/>
      <w:r>
        <w:rPr>
          <w:rFonts w:hint="eastAsia" w:ascii="仿宋_GB2312" w:hAnsi="Times New Roman" w:eastAsia="仿宋_GB2312" w:cs="Times New Roman"/>
          <w:sz w:val="32"/>
          <w:szCs w:val="32"/>
        </w:rPr>
        <w:t>是：人员工资增加，社保缴费增加。支出290.06万元,与上年相比，增加6.14万元，增加2.16%，增减变化主要原因是：人员工资增加，社保缴费增加。</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（二）部门收入总体情况说明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本年收入合计287.21万元，其中：财政拨款收入287.21万元，占100%；上级补助收入 0万元，占0 %；事业收入0万元，占0 %；经营收入 0万元，占0%；附属单位缴款0万元，占0%；其他收入0万元，占0%。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与年初预算数相比情况。本年收入年初预算241.62万元，决算数287.21万元，预决算差异率18.87%，差异主要原因是预算未安排项目经费。</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（三）部门支出总体情况说明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本年支出合计290.06万元，其中：基本支出290.06万元，占100%；项目支出0万元，占0%；上缴上级支出0万元，占0%；经营支出0万元，占0%；对附属单位补助支出0万元，占0%。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与年初预算数相比情况。本年支出年初预算241.62万元，决算数290.06万元，预决算差异率18.87%，差异主要原因是预算未安排项目经费。</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二、部门财政拨款收支情况</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（一）财政拨款收支总体情况说明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财政拨款收入287.21万元，与上年相比，增加0.45万元，增加0.16%。增加的主要原因是：人员工资增加，社保缴费增加。财政拨款支出290.06万元，与上年相比，增加6.14万元，增加2.16%。其中：基本支出290.06万元，项目支出0万元，财政拨款结转结余0万元，与上年相比，增加0元增长0%，增减变化的主要原因是：加快支付进度，无结余。</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财政拨款收入年初预算241.62万元，决算数287.21万元，预决算差异率18.87%，差异主要原因是预算未安排项目经费。财政拨款支出年初预算241.62万元，决算数290.06万元，预决算差异率20%，差异主要原因是人员工资增加，社保缴费增加。</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（二）一般公共预算支出决算情况说明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财政拨款收入287.21万元，与上年相比增加0.45万元，增长0.16%，增加的主要原因是：人员工资增加，社保缴费增加。一般公共预算财政拨款支出290.06万元，与上年相比，增加6.14万元，增加2.16%，增加变化的主要原因是：人员工资增加，社保缴费增加。其中：按功能分类科目,213类农林水支出264.78万元，208类机关事业单位基本养老保险缴费支出25.28万元。按经济分类科目，工资福利支出238.59万元，商品和服务支出25.33万元，对个人及家庭补助支出23.74万元，资本性支出2.4万元。</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财政拨款收入年初预算数241.62万元，决算数287.21万元，预决算差异率18.87%，差异的主要原因是人员工资增加，社保缴费增加增加了基本收入。一般公共预算财政拨款支出年初预算241.62万元，决算数290.06万元，预决算差异率20%，差异主要原因是人员工资增加，社保缴费增加。</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（三）政府性基金预算收支决算情况说明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性基金预算财政拨款收入0万元，与上年相比，增加0万元，增长0%。增减变化的主要原因是：预算未安排政府性基金。政府性基金预算财政拨款支出0万元，与上年相比，增加0万元，增长0%。增减变化的主要原因是：预算未安排政府性基金。其中：按功能分类科目，支出0万元。按经济分类科目，支出0万元。</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政府性基金预算财政拨款收入年初预算数0万元，决算数0万元，预决算差异率0%，差异主要原因是预算未安排政府性基金。政府性基金预算财政拨款支出年初预算数0万元，决算数0万元，预决算差异率0%，差异主要原因是预算未安排政府性基金。</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三、部门结转结余情况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年末结转结余0万元。与上年相比，减少2.85万元，减少100%。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其中财政拨款结转结余0万元。与上年相比，减少2.85万元，减少100%。</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四、一般公共预算“三公”经费支出情况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三公”经费支出决算4.29万元，比上年减少0.06万元，降低率1.39%，减少的主要原因是节约开支。其中，因公出国（境）费支出0万元，占0%，比上年增加0万元，增长0%，增加原因是本年无增减；公务用车购置及运行维护费支出4.29万元，占100%，比上年减少0.06万元，减少1.39%；公务接待费支出0万元，占0%，比上年增加0万元，增加0%。具体情况如下：</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因公出国（境）费支出0万元。昌吉市种子管理站全年使用一般公共预算财政拨款安排的出国（境）团组0个，累计0人次。开支内容包括：无开支。</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公务用车购置及运行维护费4.29万元,其中，公务用车购置0万元，公务用车运行维护费4.29万元。主要用于车辆维修及加油等。单位一般公共财政拨款安排的公务用车购置量0辆，保有量为2辆。</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公务接待费0万元。具体是：国内公务接待支出0万元。 单位国内公务接待0批次，0人次。</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三公”经费支出年初预算数4.40万元，决算数4.29万元，预决算差异率-2.5%，差异主要原因节约。其中：因公出国（境）费预算数0万元，决算数0万元，预决算差异率0%，差异主要原因本年无增减；公务用车购置预算数0万元，决算数0万元，预决算差异率0%，差异主要原因本年无增减；公务用车运行费预算数4.4万元，决算数4.29万元，预决算差异率-2.5%，差异主要原因节约经费；公务接待费预算数0万元，决算数0万元，预决算差异率0%，差异主要原因本年无增减。</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五、机关运行经费支出情况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2018年度昌吉市种子管理站机关运行经费支出27.73万元，比上年减少0.7万元，减少2.47%，主要原因是：节约经费。</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六、政府采购情况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2018年度政府采购支出总额3.19万元，其中：政府采购货物支出1.37万元、政府采购工程支出0万元、政府采购服务支出1.82万元。</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七、其他重要事项的情况</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（一）国有资产占用情况说明</w:t>
      </w:r>
    </w:p>
    <w:p>
      <w:pPr>
        <w:spacing w:line="540" w:lineRule="exact"/>
        <w:ind w:firstLine="640" w:firstLineChars="200"/>
        <w:rPr>
          <w:rFonts w:ascii="宋体" w:hAnsi="宋体" w:eastAsia="宋体" w:cs="宋体"/>
          <w:color w:val="333333"/>
          <w:kern w:val="0"/>
          <w:sz w:val="24"/>
          <w:szCs w:val="24"/>
        </w:rPr>
      </w:pPr>
      <w:r>
        <w:rPr>
          <w:rFonts w:hint="eastAsia" w:ascii="仿宋_GB2312" w:hAnsi="Times New Roman" w:eastAsia="仿宋_GB2312" w:cs="Times New Roman"/>
          <w:sz w:val="32"/>
          <w:szCs w:val="32"/>
        </w:rPr>
        <w:t>截至2018年12月31日，单位共有车辆2辆，价值32.42万元，其中：副部（省）级及以上领导用车0辆、主要领导干部用车0辆、机要通信用车0辆、应急保障用车0辆、执法执勤用车2辆、特种专业技术用车0辆、离退休干部用车0辆、其他用车0辆，其他用车主要是：无；单位价值50万元以上通用设备0台（套）、单位价值100万元以上专用设备0台（套）。</w:t>
      </w:r>
    </w:p>
    <w:p>
      <w:pPr>
        <w:spacing w:line="540" w:lineRule="exact"/>
        <w:ind w:firstLine="643" w:firstLineChars="200"/>
        <w:rPr>
          <w:rFonts w:hint="eastAsia"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（二）预算绩效情况的说明</w:t>
      </w:r>
    </w:p>
    <w:p>
      <w:pPr>
        <w:widowControl/>
        <w:shd w:val="clear" w:color="auto" w:fill="FFFFFF"/>
        <w:spacing w:before="225" w:line="450" w:lineRule="atLeast"/>
        <w:ind w:firstLine="480"/>
        <w:jc w:val="left"/>
        <w:rPr>
          <w:rFonts w:ascii="宋体" w:hAnsi="宋体" w:eastAsia="宋体" w:cs="宋体"/>
          <w:color w:val="333333"/>
          <w:kern w:val="0"/>
          <w:sz w:val="24"/>
          <w:szCs w:val="24"/>
        </w:rPr>
      </w:pPr>
      <w:r>
        <w:rPr>
          <w:rFonts w:hint="eastAsia" w:ascii="仿宋_GB2312" w:hAnsi="Times New Roman" w:eastAsia="仿宋_GB2312" w:cs="Times New Roman"/>
          <w:sz w:val="32"/>
          <w:szCs w:val="32"/>
        </w:rPr>
        <w:t>2018年度，昌吉市种子管理站预算绩效自评情况：2018年昌吉市种子管理站无预算项目绩效自评。</w:t>
      </w:r>
    </w:p>
    <w:p>
      <w:pPr>
        <w:spacing w:line="540" w:lineRule="exact"/>
        <w:ind w:firstLine="0"/>
        <w:jc w:val="center"/>
        <w:rPr>
          <w:rFonts w:hint="eastAsia" w:ascii="黑体" w:hAnsi="黑体" w:eastAsia="黑体" w:cs="Times New Roman"/>
          <w:sz w:val="32"/>
          <w:szCs w:val="32"/>
        </w:rPr>
      </w:pPr>
      <w:r>
        <w:rPr>
          <w:rFonts w:hint="eastAsia" w:ascii="黑体" w:hAnsi="黑体" w:eastAsia="黑体" w:cs="Times New Roman"/>
          <w:sz w:val="32"/>
          <w:szCs w:val="32"/>
        </w:rPr>
        <w:t>第三部分 专业名词解释</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财政拨款收入：指同级财政当年拨付的资金。</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上级补助收入：指事业单位从主管部门和上级单位取得的非财政补助收入。</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事业收入：指事业单位开展专业业务活动及其辅助活动所取得的收入。</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经营收入：指事业单位在专业业务活动及其辅助活动之外开展非独立核算经营活动取得的收入。</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附属单位缴款：指事业单位附属的独立核算单位按有关规定上缴的收入。</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其他收入：指除上述“财政拨款收入”、“事业收入”、“经营收入”、“附属单位缴款”等之外取得的收入。</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结余分配：反映单位当年结余的分配情况。</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基本支出：指为保障机构正常运转、完成日常工作任务而发生的人员支出和公用支出。</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项目支出：指在基本支出之外为完成特定行政任务和事业发展目标所发生的支出。</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经营支出：指事业单位在专业业务活动及其辅助活动之外开展非独立核算经营活动发生的支出。</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对附属单位补助支出：指事业单位发生的用非财政预算资金对附属单位的补助支出。</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本单位支出功能分类说明。208（类）05（款）05（项）：指机关事业单位基本养老保险缴费支出。213（类）01（款）04（项）：指行政运行。213（类）01（款）04（项）：指事业运行。</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其他有关说明内容。</w:t>
      </w:r>
    </w:p>
    <w:p>
      <w:pPr>
        <w:spacing w:line="540" w:lineRule="exact"/>
        <w:ind w:firstLine="0"/>
        <w:jc w:val="center"/>
        <w:rPr>
          <w:rFonts w:hint="eastAsia" w:ascii="黑体" w:hAnsi="黑体" w:eastAsia="黑体" w:cs="Times New Roman"/>
          <w:sz w:val="32"/>
          <w:szCs w:val="32"/>
        </w:rPr>
      </w:pPr>
      <w:r>
        <w:rPr>
          <w:rFonts w:hint="eastAsia" w:ascii="黑体" w:hAnsi="黑体" w:eastAsia="黑体" w:cs="Times New Roman"/>
          <w:sz w:val="32"/>
          <w:szCs w:val="32"/>
        </w:rPr>
        <w:t>第四部分 部门决算报表（见附表）</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一、《收入支出决算总表》</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二、《收入决算表》</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三、《支出决算表》</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四、《财政拨款收入支出决算总表》</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五、《一般公共预算财政拨款支出决算明细表》</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六、《一般公共预算财政拨款基本支出决算明细表》</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七、《一般公共预算财政拨款“三公”经费支出决算表》</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八、《政府性基金预算财政拨款收入支出决算表》</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å®‹ä½“">
    <w:altName w:val="宋体"/>
    <w:panose1 w:val="00000000000000000000"/>
    <w:charset w:val="86"/>
    <w:family w:val="roman"/>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E0235"/>
    <w:rsid w:val="000246F6"/>
    <w:rsid w:val="001E0235"/>
    <w:rsid w:val="00324D91"/>
    <w:rsid w:val="0038494C"/>
    <w:rsid w:val="004E0B47"/>
    <w:rsid w:val="0061561F"/>
    <w:rsid w:val="006B4FD7"/>
    <w:rsid w:val="006F4889"/>
    <w:rsid w:val="008001ED"/>
    <w:rsid w:val="008633BD"/>
    <w:rsid w:val="00C84950"/>
    <w:rsid w:val="334A6DE4"/>
    <w:rsid w:val="391C7A5E"/>
    <w:rsid w:val="45830588"/>
    <w:rsid w:val="5F276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6"/>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6">
    <w:name w:val="标题 2 Char"/>
    <w:basedOn w:val="5"/>
    <w:link w:val="2"/>
    <w:qFormat/>
    <w:uiPriority w:val="9"/>
    <w:rPr>
      <w:rFonts w:ascii="宋体" w:hAnsi="宋体" w:eastAsia="宋体" w:cs="宋体"/>
      <w:b/>
      <w:bCs/>
      <w:kern w:val="0"/>
      <w:sz w:val="36"/>
      <w:szCs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9</Pages>
  <Words>739</Words>
  <Characters>4218</Characters>
  <Lines>35</Lines>
  <Paragraphs>9</Paragraphs>
  <TotalTime>55</TotalTime>
  <ScaleCrop>false</ScaleCrop>
  <LinksUpToDate>false</LinksUpToDate>
  <CharactersWithSpaces>4948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2021-05-26T03:52:00Z</dcterms:created>
  <dc:creator>243562800@qq.com</dc:creator>
  <cp:lastModifiedBy>绿色森林</cp:lastModifiedBy>
  <dcterms:modified xsi:type="dcterms:W3CDTF">2021-06-01T05:00:43Z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ICV">
    <vt:lpwstr>89073EAEF8694E55B776CD0EB1885210</vt:lpwstr>
  </property>
</Properties>
</file>