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bookmarkStart w:id="54" w:name="_GoBack"/>
      <w:bookmarkEnd w:id="54"/>
      <w:r>
        <w:rPr>
          <w:rFonts w:hint="eastAsia" w:ascii="黑体" w:hAnsi="黑体" w:eastAsia="黑体"/>
          <w:sz w:val="32"/>
          <w:szCs w:val="32"/>
        </w:rPr>
        <w:t>附件：</w:t>
      </w:r>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p>
    <w:p>
      <w:pPr>
        <w:jc w:val="center"/>
        <w:rPr>
          <w:rFonts w:hint="eastAsia" w:ascii="方正小标宋_GBK" w:hAnsi="宋体" w:eastAsia="方正小标宋_GBK"/>
          <w:b/>
          <w:sz w:val="44"/>
          <w:szCs w:val="44"/>
        </w:rPr>
      </w:pPr>
      <w:r>
        <w:rPr>
          <w:rFonts w:hint="eastAsia" w:ascii="方正小标宋_GBK" w:hAnsi="宋体" w:eastAsia="方正小标宋_GBK"/>
          <w:b/>
          <w:sz w:val="44"/>
          <w:szCs w:val="44"/>
        </w:rPr>
        <w:t>昌吉市图书馆2019年度部门决算</w:t>
      </w:r>
    </w:p>
    <w:p>
      <w:pPr>
        <w:jc w:val="center"/>
        <w:rPr>
          <w:rFonts w:hint="eastAsia" w:ascii="方正小标宋_GBK" w:hAnsi="宋体" w:eastAsia="方正小标宋_GBK"/>
          <w:b/>
          <w:sz w:val="44"/>
          <w:szCs w:val="44"/>
        </w:rPr>
      </w:pPr>
      <w:r>
        <w:rPr>
          <w:rFonts w:hint="eastAsia" w:ascii="方正小标宋_GBK" w:hAnsi="宋体" w:eastAsia="方正小标宋_GBK"/>
          <w:b/>
          <w:sz w:val="44"/>
          <w:szCs w:val="44"/>
        </w:rPr>
        <w:t>公开说明</w:t>
      </w:r>
    </w:p>
    <w:p>
      <w:pPr>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HYPERLINK \l _Toc32314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_Toc30567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_Toc2151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sz w:val="32"/>
          <w:szCs w:val="32"/>
        </w:rPr>
        <w:fldChar w:fldCharType="end"/>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HYPERLINK \l _Toc29374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_Toc25314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_Toc12142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_Toc13201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_Toc26564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_Toc20360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_Toc30870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_Toc21518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_Toc5810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_Toc1235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_Toc14519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_Toc227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_Toc8391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_Toc11283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sz w:val="32"/>
          <w:szCs w:val="32"/>
        </w:rPr>
        <w:fldChar w:fldCharType="end"/>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HYPERLINK \l _Toc3250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HYPERLINK \l _Toc22784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_Toc2183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_Toc24532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_Toc32434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_Toc28786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_Toc14869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_Toc8884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_Toc29106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_Toc7643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spacing w:line="560" w:lineRule="exact"/>
        <w:ind w:firstLine="640" w:firstLineChars="200"/>
        <w:rPr>
          <w:rFonts w:ascii="仿宋" w:hAnsi="仿宋" w:eastAsia="仿宋" w:cs="仿宋"/>
          <w:sz w:val="32"/>
          <w:szCs w:val="32"/>
        </w:rPr>
      </w:pPr>
      <w:bookmarkStart w:id="4" w:name="_Toc31238"/>
      <w:bookmarkStart w:id="5" w:name="_Toc2151"/>
      <w:r>
        <w:rPr>
          <w:rFonts w:hint="eastAsia" w:ascii="仿宋" w:hAnsi="仿宋" w:eastAsia="仿宋" w:cs="仿宋"/>
          <w:sz w:val="32"/>
          <w:szCs w:val="32"/>
        </w:rPr>
        <w:t>主要职能根据机构改革三定方案，本单位承担的职能共7项，具体是：</w:t>
      </w:r>
      <w:r>
        <w:rPr>
          <w:rFonts w:hint="eastAsia" w:ascii="仿宋" w:hAnsi="仿宋" w:eastAsia="仿宋" w:cs="仿宋"/>
          <w:sz w:val="32"/>
          <w:szCs w:val="32"/>
        </w:rPr>
        <w:br w:type="textWrapping"/>
      </w:r>
      <w:r>
        <w:rPr>
          <w:rFonts w:hint="eastAsia" w:ascii="仿宋" w:hAnsi="仿宋" w:eastAsia="仿宋" w:cs="仿宋"/>
          <w:sz w:val="32"/>
          <w:szCs w:val="32"/>
        </w:rPr>
        <w:t xml:space="preserve">    1、紧密结合昌吉市政治、经济、科学和文化教育事业的实际,收集、整理、保存和提供各种书刊资料。</w:t>
      </w:r>
      <w:r>
        <w:rPr>
          <w:rFonts w:hint="eastAsia" w:ascii="仿宋" w:hAnsi="仿宋" w:eastAsia="仿宋" w:cs="仿宋"/>
          <w:sz w:val="32"/>
          <w:szCs w:val="32"/>
        </w:rPr>
        <w:br w:type="textWrapping"/>
      </w:r>
      <w:r>
        <w:rPr>
          <w:rFonts w:hint="eastAsia" w:ascii="仿宋" w:hAnsi="仿宋" w:eastAsia="仿宋" w:cs="仿宋"/>
          <w:sz w:val="32"/>
          <w:szCs w:val="32"/>
        </w:rPr>
        <w:t xml:space="preserve">    2、为全市的科研生产教学经济发展服务,为提高全民的思想道德和科学文化素质服务。宣传马列主义、毛泽东思想、邓小平理论、“三个代表”重要思想,以及党和政府的政策法令,向各族人民群众进行社会主义和爱国主义教育。</w:t>
      </w:r>
      <w:r>
        <w:rPr>
          <w:rFonts w:hint="eastAsia" w:ascii="仿宋" w:hAnsi="仿宋" w:eastAsia="仿宋" w:cs="仿宋"/>
          <w:sz w:val="32"/>
          <w:szCs w:val="32"/>
        </w:rPr>
        <w:br w:type="textWrapping"/>
      </w:r>
      <w:r>
        <w:rPr>
          <w:rFonts w:hint="eastAsia" w:ascii="仿宋" w:hAnsi="仿宋" w:eastAsia="仿宋" w:cs="仿宋"/>
          <w:sz w:val="32"/>
          <w:szCs w:val="32"/>
        </w:rPr>
        <w:t xml:space="preserve">    3、努力做好地方文献的征集工作。开展书刊资料的阅览,对读者进行阅读辅导,作好读者服务工作。</w:t>
      </w:r>
      <w:r>
        <w:rPr>
          <w:rFonts w:hint="eastAsia" w:ascii="仿宋" w:hAnsi="仿宋" w:eastAsia="仿宋" w:cs="仿宋"/>
          <w:sz w:val="32"/>
          <w:szCs w:val="32"/>
        </w:rPr>
        <w:br w:type="textWrapping"/>
      </w:r>
      <w:r>
        <w:rPr>
          <w:rFonts w:hint="eastAsia" w:ascii="仿宋" w:hAnsi="仿宋" w:eastAsia="仿宋" w:cs="仿宋"/>
          <w:sz w:val="32"/>
          <w:szCs w:val="32"/>
        </w:rPr>
        <w:t xml:space="preserve">    4、对乡镇、社区、机关、学校、企事业单位的图书室进行业务辅导。</w:t>
      </w:r>
      <w:r>
        <w:rPr>
          <w:rFonts w:hint="eastAsia" w:ascii="仿宋" w:hAnsi="仿宋" w:eastAsia="仿宋" w:cs="仿宋"/>
          <w:sz w:val="32"/>
          <w:szCs w:val="32"/>
        </w:rPr>
        <w:br w:type="textWrapping"/>
      </w:r>
      <w:r>
        <w:rPr>
          <w:rFonts w:hint="eastAsia" w:ascii="仿宋" w:hAnsi="仿宋" w:eastAsia="仿宋" w:cs="仿宋"/>
          <w:sz w:val="32"/>
          <w:szCs w:val="32"/>
        </w:rPr>
        <w:t xml:space="preserve">    5、加强图书馆队伍建设,培养图书馆专业干部,建立一只思想业务强的图书馆干部队伍。</w:t>
      </w:r>
      <w:r>
        <w:rPr>
          <w:rFonts w:hint="eastAsia" w:ascii="仿宋" w:hAnsi="仿宋" w:eastAsia="仿宋" w:cs="仿宋"/>
          <w:sz w:val="32"/>
          <w:szCs w:val="32"/>
        </w:rPr>
        <w:br w:type="textWrapping"/>
      </w:r>
      <w:r>
        <w:rPr>
          <w:rFonts w:hint="eastAsia" w:ascii="仿宋" w:hAnsi="仿宋" w:eastAsia="仿宋" w:cs="仿宋"/>
          <w:sz w:val="32"/>
          <w:szCs w:val="32"/>
        </w:rPr>
        <w:t xml:space="preserve">    6、重视由传统图书馆向现代化图书馆的过度,逐步采用现代化手段进行管理和服务。</w:t>
      </w:r>
      <w:r>
        <w:rPr>
          <w:rFonts w:hint="eastAsia" w:ascii="仿宋" w:hAnsi="仿宋" w:eastAsia="仿宋" w:cs="仿宋"/>
          <w:sz w:val="32"/>
          <w:szCs w:val="32"/>
        </w:rPr>
        <w:br w:type="textWrapping"/>
      </w:r>
      <w:r>
        <w:rPr>
          <w:rFonts w:hint="eastAsia" w:ascii="仿宋" w:hAnsi="仿宋" w:eastAsia="仿宋" w:cs="仿宋"/>
          <w:sz w:val="32"/>
          <w:szCs w:val="32"/>
        </w:rPr>
        <w:t xml:space="preserve">    7、教育读者爱护书刊资料和馆内财物。在图书馆业务建设方面,接受上级图书馆的指导。</w:t>
      </w:r>
    </w:p>
    <w:p>
      <w:pPr>
        <w:ind w:firstLine="640" w:firstLineChars="200"/>
        <w:outlineLvl w:val="1"/>
        <w:rPr>
          <w:rFonts w:hint="eastAsia" w:ascii="黑体" w:hAnsi="黑体" w:eastAsia="黑体" w:cs="宋体"/>
          <w:bCs/>
          <w:kern w:val="0"/>
          <w:sz w:val="32"/>
          <w:szCs w:val="32"/>
          <w:highlight w:val="none"/>
        </w:rPr>
      </w:pPr>
      <w:r>
        <w:rPr>
          <w:rFonts w:hint="eastAsia" w:ascii="黑体" w:hAnsi="黑体" w:eastAsia="黑体" w:cs="宋体"/>
          <w:bCs/>
          <w:kern w:val="0"/>
          <w:sz w:val="32"/>
          <w:szCs w:val="32"/>
          <w:highlight w:val="none"/>
        </w:rPr>
        <w:t>二、机构设置及</w:t>
      </w:r>
      <w:bookmarkEnd w:id="4"/>
      <w:r>
        <w:rPr>
          <w:rFonts w:hint="eastAsia" w:ascii="黑体" w:hAnsi="黑体" w:eastAsia="黑体" w:cs="宋体"/>
          <w:bCs/>
          <w:kern w:val="0"/>
          <w:sz w:val="32"/>
          <w:szCs w:val="32"/>
          <w:highlight w:val="none"/>
        </w:rPr>
        <w:t>人员情况</w:t>
      </w:r>
      <w:bookmarkEnd w:id="5"/>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lang w:eastAsia="zh-CN"/>
        </w:rPr>
        <w:t>昌吉市图书馆</w:t>
      </w:r>
      <w:r>
        <w:rPr>
          <w:rFonts w:hint="eastAsia" w:ascii="仿宋_GB2312" w:eastAsia="仿宋_GB2312"/>
          <w:sz w:val="32"/>
          <w:szCs w:val="32"/>
          <w:highlight w:val="none"/>
          <w:lang w:val="en-US" w:eastAsia="zh-CN"/>
        </w:rPr>
        <w:t>2019</w:t>
      </w:r>
      <w:r>
        <w:rPr>
          <w:rFonts w:hint="eastAsia" w:ascii="仿宋_GB2312" w:eastAsia="仿宋_GB2312"/>
          <w:spacing w:val="0"/>
          <w:sz w:val="32"/>
          <w:szCs w:val="32"/>
          <w:highlight w:val="none"/>
          <w:lang w:eastAsia="zh-CN"/>
        </w:rPr>
        <w:t>年度</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实有人数</w:t>
      </w:r>
      <w:r>
        <w:rPr>
          <w:rFonts w:hint="eastAsia" w:ascii="仿宋_GB2312" w:eastAsia="仿宋_GB2312"/>
          <w:sz w:val="32"/>
          <w:szCs w:val="32"/>
          <w:highlight w:val="none"/>
          <w:lang w:val="en-US" w:eastAsia="zh-CN"/>
        </w:rPr>
        <w:t>8</w:t>
      </w:r>
      <w:r>
        <w:rPr>
          <w:rFonts w:hint="eastAsia" w:ascii="仿宋_GB2312" w:eastAsia="仿宋_GB2312"/>
          <w:sz w:val="32"/>
          <w:szCs w:val="32"/>
          <w:highlight w:val="none"/>
        </w:rPr>
        <w:t>人，其中：在职人员</w:t>
      </w:r>
      <w:r>
        <w:rPr>
          <w:rFonts w:hint="eastAsia" w:ascii="仿宋_GB2312" w:eastAsia="仿宋_GB2312"/>
          <w:sz w:val="32"/>
          <w:szCs w:val="32"/>
          <w:highlight w:val="none"/>
          <w:lang w:val="en-US" w:eastAsia="zh-CN"/>
        </w:rPr>
        <w:t>8</w:t>
      </w:r>
      <w:r>
        <w:rPr>
          <w:rFonts w:hint="eastAsia" w:ascii="仿宋_GB2312" w:eastAsia="仿宋_GB2312"/>
          <w:sz w:val="32"/>
          <w:szCs w:val="32"/>
          <w:highlight w:val="none"/>
        </w:rPr>
        <w:t>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离休人员</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人，退休人员</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ascii="仿宋_GB2312" w:hAnsi="宋体" w:eastAsia="仿宋_GB2312" w:cs="宋体"/>
          <w:kern w:val="0"/>
          <w:sz w:val="32"/>
          <w:szCs w:val="32"/>
          <w:highlight w:val="none"/>
        </w:rPr>
      </w:pPr>
      <w:r>
        <w:rPr>
          <w:rFonts w:hint="eastAsia" w:ascii="仿宋_GB2312" w:eastAsia="仿宋_GB2312"/>
          <w:sz w:val="32"/>
          <w:szCs w:val="32"/>
          <w:highlight w:val="none"/>
        </w:rPr>
        <w:t>从</w:t>
      </w:r>
      <w:r>
        <w:rPr>
          <w:rFonts w:hint="eastAsia" w:ascii="仿宋_GB2312" w:eastAsia="仿宋_GB2312"/>
          <w:sz w:val="32"/>
          <w:szCs w:val="32"/>
          <w:highlight w:val="none"/>
          <w:lang w:eastAsia="zh-CN"/>
        </w:rPr>
        <w:t>部门</w:t>
      </w:r>
      <w:r>
        <w:rPr>
          <w:rFonts w:hint="eastAsia" w:ascii="仿宋_GB2312" w:eastAsia="仿宋_GB2312"/>
          <w:sz w:val="32"/>
          <w:szCs w:val="32"/>
          <w:highlight w:val="none"/>
        </w:rPr>
        <w:t>决算单位构成看，</w:t>
      </w:r>
      <w:r>
        <w:rPr>
          <w:rFonts w:hint="eastAsia" w:ascii="仿宋_GB2312" w:eastAsia="仿宋_GB2312"/>
          <w:sz w:val="32"/>
          <w:szCs w:val="32"/>
          <w:highlight w:val="none"/>
          <w:lang w:eastAsia="zh-CN"/>
        </w:rPr>
        <w:t>昌吉市图书馆</w:t>
      </w:r>
      <w:r>
        <w:rPr>
          <w:rFonts w:hint="eastAsia" w:ascii="仿宋_GB2312" w:eastAsia="仿宋_GB2312"/>
          <w:sz w:val="32"/>
          <w:szCs w:val="32"/>
          <w:highlight w:val="none"/>
        </w:rPr>
        <w:t>部门决算包括：</w:t>
      </w:r>
      <w:r>
        <w:rPr>
          <w:rFonts w:hint="eastAsia" w:ascii="仿宋_GB2312" w:eastAsia="仿宋_GB2312"/>
          <w:sz w:val="32"/>
          <w:szCs w:val="32"/>
          <w:highlight w:val="none"/>
          <w:lang w:eastAsia="zh-CN"/>
        </w:rPr>
        <w:t>昌吉市图书馆</w:t>
      </w:r>
      <w:r>
        <w:rPr>
          <w:rFonts w:hint="eastAsia" w:ascii="仿宋_GB2312" w:eastAsia="仿宋_GB2312"/>
          <w:sz w:val="32"/>
          <w:szCs w:val="32"/>
          <w:highlight w:val="none"/>
        </w:rPr>
        <w:t>部门本级决算。</w:t>
      </w:r>
    </w:p>
    <w:p>
      <w:pPr>
        <w:keepNext w:val="0"/>
        <w:keepLines w:val="0"/>
        <w:pageBreakBefore w:val="0"/>
        <w:widowControl w:val="0"/>
        <w:kinsoku/>
        <w:wordWrap/>
        <w:overflowPunct/>
        <w:topLinePunct w:val="0"/>
        <w:bidi w:val="0"/>
        <w:adjustRightInd/>
        <w:snapToGrid/>
        <w:spacing w:line="240" w:lineRule="auto"/>
        <w:ind w:firstLine="616" w:firstLineChars="200"/>
        <w:textAlignment w:val="auto"/>
        <w:rPr>
          <w:rFonts w:hint="eastAsia" w:ascii="仿宋_GB2312" w:eastAsia="仿宋_GB2312"/>
          <w:spacing w:val="-6"/>
          <w:sz w:val="32"/>
          <w:szCs w:val="32"/>
          <w:highlight w:val="none"/>
        </w:rPr>
      </w:pPr>
    </w:p>
    <w:p>
      <w:pPr>
        <w:ind w:firstLine="640" w:firstLineChars="200"/>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hint="eastAsia" w:ascii="仿宋_GB2312" w:eastAsia="仿宋_GB2312"/>
          <w:sz w:val="32"/>
          <w:szCs w:val="32"/>
        </w:rPr>
      </w:pPr>
      <w:r>
        <w:rPr>
          <w:rFonts w:hint="eastAsia" w:ascii="仿宋_GB2312" w:eastAsia="仿宋_GB2312"/>
          <w:sz w:val="32"/>
          <w:szCs w:val="32"/>
        </w:rPr>
        <w:t>2019年度本年收入155.11万元，与上年相比，减少34.3万元，降低18.11%，主要原因是：本年度人员经费及专项项目减少。本年支出165.11万元，与上年相比，减少14.66万元，降低8.16%，主要原因是：人员经费、日常公用经费的减少及本年度无新增专项资金项目。</w:t>
      </w:r>
    </w:p>
    <w:p>
      <w:pPr>
        <w:ind w:firstLine="640" w:firstLineChars="200"/>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hint="eastAsia" w:ascii="仿宋_GB2312" w:eastAsia="仿宋_GB2312"/>
          <w:sz w:val="32"/>
          <w:szCs w:val="32"/>
        </w:rPr>
      </w:pPr>
      <w:r>
        <w:rPr>
          <w:rFonts w:hint="eastAsia" w:ascii="仿宋_GB2312" w:eastAsia="仿宋_GB2312"/>
          <w:sz w:val="32"/>
          <w:szCs w:val="32"/>
        </w:rPr>
        <w:t>2019年度本年收入155.11万元，其中：财政拨款收入155.11万元，占100%；上级补助收入0万元，占0%；事业收入0万元，占0%；经营收入0万元，占0%；附属单位上缴收入0万元，占0%；其他收入0万元，占0%。</w:t>
      </w:r>
    </w:p>
    <w:p>
      <w:pPr>
        <w:ind w:firstLine="640" w:firstLineChars="200"/>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hint="eastAsia" w:ascii="仿宋_GB2312" w:eastAsia="仿宋_GB2312"/>
          <w:sz w:val="32"/>
          <w:szCs w:val="32"/>
        </w:rPr>
      </w:pPr>
      <w:r>
        <w:rPr>
          <w:rFonts w:hint="eastAsia" w:ascii="仿宋_GB2312" w:eastAsia="仿宋_GB2312"/>
          <w:sz w:val="32"/>
          <w:szCs w:val="32"/>
        </w:rPr>
        <w:t>2019年度本年支出165.11万元，其中：基本支出155.11万元，占93.94%；项目支出10万元，占6.06%；上缴上级支出0万元，占0%；经营支出0万元，占0%；对附属单位补助支出0万元，占0%。</w:t>
      </w:r>
    </w:p>
    <w:p>
      <w:pPr>
        <w:ind w:firstLine="640" w:firstLineChars="200"/>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hint="eastAsia" w:ascii="仿宋_GB2312" w:eastAsia="仿宋_GB2312"/>
          <w:sz w:val="32"/>
          <w:szCs w:val="32"/>
        </w:rPr>
      </w:pPr>
      <w:r>
        <w:rPr>
          <w:rFonts w:hint="eastAsia" w:ascii="仿宋_GB2312" w:eastAsia="仿宋_GB2312"/>
          <w:sz w:val="32"/>
          <w:szCs w:val="32"/>
        </w:rPr>
        <w:t>2019年度财政拨款收入155.11万元，与上年相比，减少34.3万元，降低18.11%。主要原因是：本年度人员经费及专项项目减少。财政拨款支出165.11万元，与上年相比，减少14.66万元，降低8.16%，主要原因是：人员经费、日常公用经费的减少及本年度无新增专项资金项目。</w:t>
      </w:r>
    </w:p>
    <w:p>
      <w:pPr>
        <w:ind w:firstLine="640" w:firstLineChars="200"/>
        <w:rPr>
          <w:rFonts w:hint="eastAsia" w:ascii="仿宋_GB2312" w:eastAsia="仿宋_GB2312"/>
          <w:sz w:val="32"/>
          <w:szCs w:val="32"/>
        </w:rPr>
      </w:pPr>
      <w:r>
        <w:rPr>
          <w:rFonts w:hint="eastAsia" w:ascii="仿宋_GB2312" w:eastAsia="仿宋_GB2312"/>
          <w:sz w:val="32"/>
          <w:szCs w:val="32"/>
        </w:rPr>
        <w:t>与年初预算数相比情况：财政拨款收入年初预算数147.26万元，决算数155.11万元，预决算差异率5.33%，主要原因是：增加了机关事业单位职业年金缴费支出。财政拨款支出年初预算数147.26万元，决算数165.11万元，预决算差异率12.12%，主要原因是：增资及增加了事业单位职业年金缴费支出。</w:t>
      </w:r>
    </w:p>
    <w:p>
      <w:pPr>
        <w:ind w:firstLine="640" w:firstLineChars="200"/>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hint="eastAsia" w:ascii="仿宋_GB2312" w:eastAsia="仿宋_GB2312"/>
          <w:sz w:val="32"/>
          <w:szCs w:val="32"/>
        </w:rPr>
      </w:pPr>
      <w:r>
        <w:rPr>
          <w:rFonts w:hint="eastAsia" w:ascii="仿宋_GB2312" w:eastAsia="仿宋_GB2312"/>
          <w:sz w:val="32"/>
          <w:szCs w:val="32"/>
        </w:rPr>
        <w:t>2019年度一般公共预算财政拨款支出165.11万元。按功能分类科目项级科目公开，其中：</w:t>
      </w:r>
    </w:p>
    <w:p>
      <w:pPr>
        <w:ind w:firstLine="640" w:firstLineChars="200"/>
        <w:rPr>
          <w:rFonts w:hint="eastAsia" w:ascii="仿宋_GB2312" w:eastAsia="仿宋_GB2312"/>
          <w:sz w:val="32"/>
          <w:szCs w:val="32"/>
        </w:rPr>
      </w:pPr>
      <w:r>
        <w:rPr>
          <w:rFonts w:hint="eastAsia" w:ascii="仿宋_GB2312" w:eastAsia="仿宋_GB2312"/>
          <w:sz w:val="32"/>
          <w:szCs w:val="32"/>
        </w:rPr>
        <w:t>2070104 图书馆135.43万元；</w:t>
      </w:r>
    </w:p>
    <w:p>
      <w:pPr>
        <w:ind w:firstLine="640" w:firstLineChars="200"/>
        <w:rPr>
          <w:rFonts w:hint="eastAsia" w:ascii="仿宋_GB2312" w:eastAsia="仿宋_GB2312"/>
          <w:sz w:val="32"/>
          <w:szCs w:val="32"/>
        </w:rPr>
      </w:pPr>
      <w:r>
        <w:rPr>
          <w:rFonts w:hint="eastAsia" w:ascii="仿宋_GB2312" w:eastAsia="仿宋_GB2312"/>
          <w:sz w:val="32"/>
          <w:szCs w:val="32"/>
        </w:rPr>
        <w:t>2079999其他文化体育与传媒支出10万元；</w:t>
      </w:r>
    </w:p>
    <w:p>
      <w:pPr>
        <w:ind w:firstLine="640" w:firstLineChars="200"/>
        <w:rPr>
          <w:rFonts w:hint="eastAsia" w:ascii="仿宋_GB2312" w:eastAsia="仿宋_GB2312"/>
          <w:sz w:val="30"/>
          <w:szCs w:val="30"/>
        </w:rPr>
      </w:pPr>
      <w:r>
        <w:rPr>
          <w:rFonts w:hint="eastAsia" w:ascii="仿宋_GB2312" w:eastAsia="仿宋_GB2312"/>
          <w:sz w:val="32"/>
          <w:szCs w:val="32"/>
        </w:rPr>
        <w:t>2080505机</w:t>
      </w:r>
      <w:r>
        <w:rPr>
          <w:rFonts w:hint="eastAsia" w:ascii="仿宋_GB2312" w:eastAsia="仿宋_GB2312"/>
          <w:sz w:val="30"/>
          <w:szCs w:val="30"/>
        </w:rPr>
        <w:t>关事业单位基本养老保险缴费支出12.86万元；</w:t>
      </w:r>
    </w:p>
    <w:p>
      <w:pPr>
        <w:ind w:firstLine="640" w:firstLineChars="200"/>
        <w:rPr>
          <w:rFonts w:hint="eastAsia" w:ascii="仿宋_GB2312" w:eastAsia="仿宋_GB2312"/>
          <w:sz w:val="32"/>
          <w:szCs w:val="32"/>
        </w:rPr>
      </w:pPr>
      <w:r>
        <w:rPr>
          <w:rFonts w:hint="eastAsia" w:ascii="仿宋_GB2312" w:eastAsia="仿宋_GB2312"/>
          <w:sz w:val="32"/>
          <w:szCs w:val="32"/>
        </w:rPr>
        <w:t>2080506机关事业单位职业年金缴费支出6.82万元。</w:t>
      </w:r>
    </w:p>
    <w:p>
      <w:pPr>
        <w:ind w:firstLine="640" w:firstLineChars="200"/>
        <w:outlineLvl w:val="1"/>
        <w:rPr>
          <w:rFonts w:hint="eastAsia" w:ascii="黑体" w:hAnsi="黑体" w:eastAsia="黑体" w:cs="宋体"/>
          <w:bCs/>
          <w:kern w:val="0"/>
          <w:sz w:val="32"/>
          <w:szCs w:val="32"/>
        </w:rPr>
      </w:pPr>
      <w:bookmarkStart w:id="18" w:name="_Toc11146"/>
      <w:bookmarkStart w:id="19" w:name="_Toc30870"/>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hint="eastAsia" w:ascii="仿宋_GB2312" w:eastAsia="仿宋_GB2312"/>
          <w:sz w:val="32"/>
          <w:szCs w:val="32"/>
        </w:rPr>
      </w:pPr>
      <w:r>
        <w:rPr>
          <w:rFonts w:hint="eastAsia" w:ascii="仿宋_GB2312" w:eastAsia="仿宋_GB2312"/>
          <w:sz w:val="32"/>
          <w:szCs w:val="32"/>
        </w:rPr>
        <w:t>2019年度一般公共预算财政拨款基本支出155.11万元，其中：</w:t>
      </w:r>
    </w:p>
    <w:p>
      <w:pPr>
        <w:ind w:firstLine="640" w:firstLineChars="200"/>
        <w:rPr>
          <w:rFonts w:hint="eastAsia" w:ascii="仿宋_GB2312" w:eastAsia="仿宋_GB2312"/>
          <w:sz w:val="32"/>
          <w:szCs w:val="32"/>
        </w:rPr>
      </w:pPr>
      <w:r>
        <w:rPr>
          <w:rFonts w:hint="eastAsia" w:ascii="仿宋_GB2312" w:eastAsia="仿宋_GB2312"/>
          <w:sz w:val="32"/>
          <w:szCs w:val="32"/>
        </w:rPr>
        <w:t>人员经费134.82万元，包括：基本工资、津贴补贴、奖金、伙食补助费、机关事业单位基本养老保险缴费、职业年金缴费、职工基本医疗保险缴费、其他社会保障缴费、住房公积金、其他工资福利支出、生活补助、奖励金。</w:t>
      </w:r>
    </w:p>
    <w:p>
      <w:pPr>
        <w:ind w:firstLine="640" w:firstLineChars="200"/>
        <w:rPr>
          <w:rFonts w:hint="eastAsia" w:ascii="仿宋_GB2312" w:eastAsia="仿宋_GB2312"/>
          <w:sz w:val="32"/>
          <w:szCs w:val="32"/>
        </w:rPr>
      </w:pPr>
      <w:r>
        <w:rPr>
          <w:rFonts w:hint="eastAsia" w:ascii="仿宋_GB2312" w:eastAsia="仿宋_GB2312"/>
          <w:sz w:val="32"/>
          <w:szCs w:val="32"/>
        </w:rPr>
        <w:t>公用经费20.29万元，包括：办公费、印刷费、咨询费、手续费、水费、电费、差旅费、维修（护）费、劳务费、委托业务费、其他交通费用、税金及附加费用。</w:t>
      </w:r>
    </w:p>
    <w:p>
      <w:pPr>
        <w:ind w:firstLine="640" w:firstLineChars="200"/>
        <w:outlineLvl w:val="1"/>
        <w:rPr>
          <w:rFonts w:hint="eastAsia"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hint="eastAsia" w:ascii="仿宋_GB2312" w:eastAsia="仿宋_GB2312"/>
          <w:sz w:val="32"/>
          <w:szCs w:val="32"/>
        </w:rPr>
      </w:pPr>
      <w:r>
        <w:rPr>
          <w:rFonts w:hint="eastAsia" w:ascii="仿宋_GB2312" w:eastAsia="仿宋_GB2312"/>
          <w:sz w:val="32"/>
          <w:szCs w:val="32"/>
        </w:rPr>
        <w:t>2019年度一般公共预算“三公”经费支出决算0万元，比上年增加0万元，增长0%，主要原因是未发生“三公”经费。其中，因公出国（境）费支出0万元，占0%，比上年增加0万元，增长0%，主要原因是与上年数据一致；公务用车购置及运行维护费支出0万元，占0%，比上年增加0万元，增长0%，主要原因是与上年数据一致；公务接待费支出0万元，占0%，比上年增加0万元，增长0%，主要原因是与上年数据一致。具体情况如下：</w:t>
      </w:r>
    </w:p>
    <w:p>
      <w:pPr>
        <w:ind w:firstLine="640" w:firstLineChars="200"/>
        <w:rPr>
          <w:rFonts w:hint="eastAsia" w:ascii="仿宋_GB2312" w:eastAsia="仿宋_GB2312"/>
          <w:sz w:val="32"/>
          <w:szCs w:val="32"/>
        </w:rPr>
      </w:pPr>
      <w:r>
        <w:rPr>
          <w:rFonts w:hint="eastAsia" w:ascii="仿宋_GB2312" w:eastAsia="仿宋_GB2312"/>
          <w:sz w:val="32"/>
          <w:szCs w:val="32"/>
        </w:rPr>
        <w:t>因公出国（境）费支出0万元，开支内容包括：因公出国（境）费未支出。单位全年安排的因公出国（境）团组0个，因公出国（境）0人次。</w:t>
      </w:r>
    </w:p>
    <w:p>
      <w:pPr>
        <w:ind w:firstLine="640" w:firstLineChars="200"/>
        <w:rPr>
          <w:rFonts w:hint="eastAsia" w:ascii="仿宋_GB2312" w:eastAsia="仿宋_GB2312"/>
          <w:sz w:val="32"/>
          <w:szCs w:val="32"/>
        </w:rPr>
      </w:pPr>
      <w:r>
        <w:rPr>
          <w:rFonts w:hint="eastAsia" w:ascii="仿宋_GB2312" w:eastAsia="仿宋_GB2312"/>
          <w:sz w:val="32"/>
          <w:szCs w:val="32"/>
        </w:rPr>
        <w:t>公务用车购置及运行维护费0万元，其中，公务用车购置费0万元，公务用车运行维护费0万元。公务用车购置数0辆，公务用车保有量0辆。</w:t>
      </w:r>
    </w:p>
    <w:p>
      <w:pPr>
        <w:ind w:firstLine="640" w:firstLineChars="200"/>
        <w:rPr>
          <w:rFonts w:hint="eastAsia" w:ascii="仿宋_GB2312" w:eastAsia="仿宋_GB2312"/>
          <w:sz w:val="32"/>
          <w:szCs w:val="32"/>
        </w:rPr>
      </w:pPr>
      <w:r>
        <w:rPr>
          <w:rFonts w:hint="eastAsia" w:ascii="仿宋_GB2312" w:eastAsia="仿宋_GB2312"/>
          <w:sz w:val="32"/>
          <w:szCs w:val="32"/>
        </w:rPr>
        <w:t>公务接待费0万元。单位全年安排的国内公务接待0批次，0人次。</w:t>
      </w:r>
    </w:p>
    <w:p>
      <w:pPr>
        <w:ind w:firstLine="640" w:firstLineChars="200"/>
        <w:rPr>
          <w:rFonts w:hint="eastAsia" w:ascii="仿宋_GB2312" w:eastAsia="仿宋_GB2312"/>
          <w:sz w:val="32"/>
          <w:szCs w:val="32"/>
        </w:rPr>
      </w:pPr>
      <w:r>
        <w:rPr>
          <w:rFonts w:hint="eastAsia" w:ascii="仿宋_GB2312" w:eastAsia="仿宋_GB2312"/>
          <w:sz w:val="32"/>
          <w:szCs w:val="32"/>
        </w:rPr>
        <w:t>与年初预算数相比情况：一般公共预算“三公”经费支出年初预算数2.2万元，决算数0万元，预决算差异率-100%，主要原因是：未发生“三公”经费支出。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预算数0万元，决算数0万元，预决算差异率0%，主要原因是：未安排预算；</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费预算数0万元，决算数0万元，预决算差异率0%，主要原因是：未安排预算；</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预算数2.2万元，决算数0万元，预决算差异率-100%，主要原因是：未发生公务用车运行费；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预算数0万元，决算数0万元，预决算差异率0%，主要原因是：未按期预算。</w:t>
      </w:r>
    </w:p>
    <w:p>
      <w:pPr>
        <w:ind w:firstLine="640" w:firstLineChars="200"/>
        <w:outlineLvl w:val="1"/>
        <w:rPr>
          <w:rFonts w:hint="eastAsia"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hint="eastAsia" w:ascii="仿宋_GB2312" w:eastAsia="仿宋_GB2312"/>
          <w:sz w:val="32"/>
          <w:szCs w:val="32"/>
        </w:rPr>
      </w:pPr>
      <w:r>
        <w:rPr>
          <w:rFonts w:hint="eastAsia" w:ascii="仿宋_GB2312" w:eastAsia="仿宋_GB2312"/>
          <w:sz w:val="32"/>
          <w:szCs w:val="32"/>
        </w:rPr>
        <w:t>我单位本年度无政府性基金预算财政拨款收入支出，政府性基金预算财政拨款收入支出决算表为空表。</w:t>
      </w:r>
    </w:p>
    <w:p>
      <w:pPr>
        <w:ind w:firstLine="640" w:firstLineChars="200"/>
        <w:outlineLvl w:val="1"/>
        <w:rPr>
          <w:rFonts w:hint="eastAsia"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hint="eastAsia"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rPr>
          <w:rFonts w:hint="eastAsia" w:ascii="仿宋_GB2312" w:eastAsia="仿宋_GB2312"/>
          <w:sz w:val="32"/>
          <w:szCs w:val="32"/>
        </w:rPr>
      </w:pPr>
      <w:r>
        <w:rPr>
          <w:rFonts w:hint="eastAsia" w:ascii="仿宋_GB2312" w:eastAsia="仿宋_GB2312"/>
          <w:sz w:val="32"/>
          <w:szCs w:val="32"/>
        </w:rPr>
        <w:t>昌吉市图书馆（事业单位）日常公用经费20.29万元，比上年增加4.25万元，增长26.51%，主要原因是：一、维修图书馆地下室及图书书架的维修及制作；二、电子图书室网络平台维护。</w:t>
      </w:r>
    </w:p>
    <w:p>
      <w:pPr>
        <w:ind w:firstLine="640" w:firstLineChars="200"/>
        <w:outlineLvl w:val="2"/>
        <w:rPr>
          <w:rFonts w:hint="eastAsia"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hint="eastAsia" w:ascii="仿宋_GB2312" w:eastAsia="仿宋_GB2312"/>
          <w:sz w:val="32"/>
          <w:szCs w:val="32"/>
        </w:rPr>
      </w:pPr>
      <w:r>
        <w:rPr>
          <w:rFonts w:hint="eastAsia" w:ascii="仿宋_GB2312" w:eastAsia="仿宋_GB2312"/>
          <w:sz w:val="32"/>
          <w:szCs w:val="32"/>
        </w:rPr>
        <w:t>2019年度政府采购支出总额15.13万元，其中：政府采购货物支出1.09万元、政府采购工程支出0万元、政府采购服务支出14.04万元。</w:t>
      </w:r>
    </w:p>
    <w:p>
      <w:pPr>
        <w:ind w:firstLine="640" w:firstLineChars="200"/>
        <w:rPr>
          <w:rFonts w:hint="eastAsia" w:ascii="仿宋_GB2312" w:eastAsia="仿宋_GB2312"/>
          <w:sz w:val="32"/>
          <w:szCs w:val="32"/>
        </w:rPr>
      </w:pPr>
      <w:r>
        <w:rPr>
          <w:rFonts w:hint="eastAsia" w:ascii="仿宋_GB2312" w:eastAsia="仿宋_GB2312"/>
          <w:sz w:val="32"/>
          <w:szCs w:val="32"/>
        </w:rPr>
        <w:t>授予中小企业合同金额0万元，占政府采购支出总额的100%，其中：授予小微企业合同金额0万元，占政府采购支出总额的100%。</w:t>
      </w:r>
    </w:p>
    <w:p>
      <w:pPr>
        <w:ind w:firstLine="640" w:firstLineChars="200"/>
        <w:outlineLvl w:val="2"/>
        <w:rPr>
          <w:rFonts w:hint="eastAsia"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hint="eastAsia" w:ascii="仿宋_GB2312" w:eastAsia="仿宋_GB2312"/>
          <w:sz w:val="32"/>
          <w:szCs w:val="32"/>
        </w:rPr>
      </w:pPr>
      <w:r>
        <w:rPr>
          <w:rFonts w:hint="eastAsia" w:ascii="仿宋_GB2312" w:eastAsia="仿宋_GB2312"/>
          <w:sz w:val="32"/>
          <w:szCs w:val="32"/>
        </w:rPr>
        <w:t>截止2019年12月31日，单位共有房屋0（平方米），价值0万元。车辆0辆，价值0万元，其中：副部（省）级及以上领导用车0辆、主要领导干部用车0辆、机要通信用车0辆、应急保障用车0辆、执法执勤用车0辆、特种专业技术用车0辆、离退休干部用车0辆、其他用车0辆，其他用车主要是：无其他用车；单位价值50万元以上通用设备0台（套）、单位价值100万元以上专用设备0台（套）。</w:t>
      </w:r>
    </w:p>
    <w:p>
      <w:pPr>
        <w:ind w:firstLine="640" w:firstLineChars="200"/>
        <w:outlineLvl w:val="1"/>
        <w:rPr>
          <w:rFonts w:hint="eastAsia"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十、预算绩效的情况说明</w:t>
      </w:r>
      <w:bookmarkEnd w:id="32"/>
      <w:bookmarkEnd w:id="33"/>
    </w:p>
    <w:p>
      <w:pPr>
        <w:ind w:firstLine="640" w:firstLineChars="200"/>
        <w:rPr>
          <w:rFonts w:hint="eastAsia" w:ascii="仿宋_GB2312" w:eastAsia="仿宋_GB2312"/>
          <w:sz w:val="32"/>
          <w:szCs w:val="32"/>
        </w:rPr>
      </w:pPr>
      <w:r>
        <w:rPr>
          <w:rFonts w:hint="eastAsia" w:ascii="仿宋_GB2312" w:eastAsia="仿宋_GB2312"/>
          <w:sz w:val="32"/>
          <w:szCs w:val="32"/>
        </w:rPr>
        <w:t>根据预算绩效管理要求，我单位2019年度开展预算绩效评价项目1个，共涉及资金4万元。预算绩效管理取得的成效：一是丰富了报刊馆藏量；二是为全市人民提供了丰富的精神文化大餐。发现的问题及原因：一是只能满足读者的一些基本文化需求；二是与其兄弟县市图书馆仍有一定差距。下一步改进措施：一是加强培训，提高预算资金绩效的管理能力；二是按照国家三级图书馆达标验收标准、公共文化服务体系示范区建设标准，完成图书馆2019年报刊征订工作。具体项目自评情况附项目支出绩效自评表。</w:t>
      </w:r>
    </w:p>
    <w:tbl>
      <w:tblPr>
        <w:tblStyle w:val="8"/>
        <w:tblW w:w="9450" w:type="dxa"/>
        <w:tblInd w:w="-93" w:type="dxa"/>
        <w:tblLayout w:type="fixed"/>
        <w:tblCellMar>
          <w:top w:w="0" w:type="dxa"/>
          <w:left w:w="15" w:type="dxa"/>
          <w:bottom w:w="0" w:type="dxa"/>
          <w:right w:w="15" w:type="dxa"/>
        </w:tblCellMar>
      </w:tblPr>
      <w:tblGrid>
        <w:gridCol w:w="555"/>
        <w:gridCol w:w="645"/>
        <w:gridCol w:w="900"/>
        <w:gridCol w:w="870"/>
        <w:gridCol w:w="345"/>
        <w:gridCol w:w="1290"/>
        <w:gridCol w:w="634"/>
        <w:gridCol w:w="371"/>
        <w:gridCol w:w="1110"/>
        <w:gridCol w:w="319"/>
        <w:gridCol w:w="311"/>
        <w:gridCol w:w="544"/>
        <w:gridCol w:w="356"/>
        <w:gridCol w:w="360"/>
        <w:gridCol w:w="840"/>
      </w:tblGrid>
      <w:tr>
        <w:tblPrEx>
          <w:tblLayout w:type="fixed"/>
          <w:tblCellMar>
            <w:top w:w="0" w:type="dxa"/>
            <w:left w:w="15" w:type="dxa"/>
            <w:bottom w:w="0" w:type="dxa"/>
            <w:right w:w="15" w:type="dxa"/>
          </w:tblCellMar>
        </w:tblPrEx>
        <w:trPr>
          <w:trHeight w:val="405" w:hRule="atLeast"/>
        </w:trPr>
        <w:tc>
          <w:tcPr>
            <w:tcW w:w="9450" w:type="dxa"/>
            <w:gridSpan w:val="15"/>
            <w:noWrap w:val="0"/>
            <w:vAlign w:val="center"/>
          </w:tcPr>
          <w:p>
            <w:pPr>
              <w:autoSpaceDN w:val="0"/>
              <w:jc w:val="center"/>
              <w:textAlignment w:val="center"/>
              <w:rPr>
                <w:rFonts w:ascii="宋体" w:hAnsi="宋体"/>
                <w:b/>
                <w:color w:val="000000"/>
                <w:sz w:val="32"/>
              </w:rPr>
            </w:pPr>
            <w:bookmarkStart w:id="34" w:name="_Toc24143"/>
            <w:bookmarkStart w:id="35" w:name="_Toc3250"/>
            <w:r>
              <w:rPr>
                <w:rFonts w:ascii="宋体" w:hAnsi="宋体"/>
                <w:b/>
                <w:color w:val="000000"/>
                <w:sz w:val="32"/>
              </w:rPr>
              <w:t>项目支出绩效自评表</w:t>
            </w:r>
          </w:p>
        </w:tc>
      </w:tr>
      <w:tr>
        <w:tblPrEx>
          <w:tblLayout w:type="fixed"/>
          <w:tblCellMar>
            <w:top w:w="0" w:type="dxa"/>
            <w:left w:w="15" w:type="dxa"/>
            <w:bottom w:w="0" w:type="dxa"/>
            <w:right w:w="15" w:type="dxa"/>
          </w:tblCellMar>
        </w:tblPrEx>
        <w:trPr>
          <w:trHeight w:val="405" w:hRule="atLeast"/>
        </w:trPr>
        <w:tc>
          <w:tcPr>
            <w:tcW w:w="9450" w:type="dxa"/>
            <w:gridSpan w:val="15"/>
            <w:noWrap w:val="0"/>
            <w:vAlign w:val="center"/>
          </w:tcPr>
          <w:p>
            <w:pPr>
              <w:autoSpaceDN w:val="0"/>
              <w:jc w:val="center"/>
              <w:textAlignment w:val="center"/>
              <w:rPr>
                <w:rFonts w:ascii="宋体" w:hAnsi="宋体"/>
                <w:color w:val="000000"/>
                <w:sz w:val="22"/>
              </w:rPr>
            </w:pPr>
            <w:r>
              <w:rPr>
                <w:rFonts w:ascii="宋体" w:hAnsi="宋体"/>
                <w:color w:val="000000"/>
                <w:sz w:val="22"/>
              </w:rPr>
              <w:t>（2019年度）</w:t>
            </w:r>
          </w:p>
        </w:tc>
      </w:tr>
      <w:tr>
        <w:tblPrEx>
          <w:tblLayout w:type="fixed"/>
          <w:tblCellMar>
            <w:top w:w="0" w:type="dxa"/>
            <w:left w:w="15" w:type="dxa"/>
            <w:bottom w:w="0" w:type="dxa"/>
            <w:right w:w="15" w:type="dxa"/>
          </w:tblCellMar>
        </w:tblPrEx>
        <w:trPr>
          <w:trHeight w:val="315" w:hRule="atLeast"/>
        </w:trPr>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2"/>
              </w:rPr>
            </w:pPr>
            <w:r>
              <w:rPr>
                <w:rFonts w:ascii="宋体" w:hAnsi="宋体"/>
                <w:color w:val="000000"/>
                <w:sz w:val="22"/>
              </w:rPr>
              <w:t>项目名称</w:t>
            </w:r>
          </w:p>
        </w:tc>
        <w:tc>
          <w:tcPr>
            <w:tcW w:w="8250" w:type="dxa"/>
            <w:gridSpan w:val="1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2"/>
              </w:rPr>
            </w:pPr>
            <w:r>
              <w:rPr>
                <w:rFonts w:ascii="宋体" w:hAnsi="宋体"/>
                <w:color w:val="000000"/>
                <w:sz w:val="22"/>
              </w:rPr>
              <w:t>2018年报刊征订费</w:t>
            </w:r>
          </w:p>
        </w:tc>
      </w:tr>
      <w:tr>
        <w:tblPrEx>
          <w:tblLayout w:type="fixed"/>
          <w:tblCellMar>
            <w:top w:w="0" w:type="dxa"/>
            <w:left w:w="15" w:type="dxa"/>
            <w:bottom w:w="0" w:type="dxa"/>
            <w:right w:w="15" w:type="dxa"/>
          </w:tblCellMar>
        </w:tblPrEx>
        <w:trPr>
          <w:trHeight w:val="315" w:hRule="atLeast"/>
        </w:trPr>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2"/>
              </w:rPr>
            </w:pPr>
            <w:r>
              <w:rPr>
                <w:rFonts w:ascii="宋体" w:hAnsi="宋体"/>
                <w:color w:val="000000"/>
                <w:sz w:val="22"/>
              </w:rPr>
              <w:t>主管部门</w:t>
            </w:r>
          </w:p>
        </w:tc>
        <w:tc>
          <w:tcPr>
            <w:tcW w:w="4039" w:type="dxa"/>
            <w:gridSpan w:val="5"/>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2"/>
              </w:rPr>
            </w:pPr>
            <w:r>
              <w:rPr>
                <w:rFonts w:ascii="宋体" w:hAnsi="宋体"/>
                <w:color w:val="000000"/>
                <w:sz w:val="22"/>
              </w:rPr>
              <w:t>昌吉市文化体育广播电视和旅游局</w:t>
            </w:r>
          </w:p>
        </w:tc>
        <w:tc>
          <w:tcPr>
            <w:tcW w:w="1800"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2"/>
              </w:rPr>
            </w:pPr>
            <w:r>
              <w:rPr>
                <w:rFonts w:ascii="宋体" w:hAnsi="宋体"/>
                <w:color w:val="000000"/>
                <w:sz w:val="22"/>
              </w:rPr>
              <w:t>实施单位</w:t>
            </w:r>
          </w:p>
        </w:tc>
        <w:tc>
          <w:tcPr>
            <w:tcW w:w="2411" w:type="dxa"/>
            <w:gridSpan w:val="5"/>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2"/>
              </w:rPr>
            </w:pPr>
            <w:r>
              <w:rPr>
                <w:rFonts w:ascii="宋体" w:hAnsi="宋体"/>
                <w:color w:val="000000"/>
                <w:sz w:val="22"/>
              </w:rPr>
              <w:t>昌吉市图书馆</w:t>
            </w:r>
          </w:p>
        </w:tc>
      </w:tr>
      <w:tr>
        <w:tblPrEx>
          <w:tblLayout w:type="fixed"/>
          <w:tblCellMar>
            <w:top w:w="0" w:type="dxa"/>
            <w:left w:w="15" w:type="dxa"/>
            <w:bottom w:w="0" w:type="dxa"/>
            <w:right w:w="15" w:type="dxa"/>
          </w:tblCellMar>
        </w:tblPrEx>
        <w:trPr>
          <w:trHeight w:val="540" w:hRule="atLeast"/>
        </w:trPr>
        <w:tc>
          <w:tcPr>
            <w:tcW w:w="120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项目资金       （万元）</w:t>
            </w:r>
          </w:p>
        </w:tc>
        <w:tc>
          <w:tcPr>
            <w:tcW w:w="177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p>
        </w:tc>
        <w:tc>
          <w:tcPr>
            <w:tcW w:w="34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年初预算数</w:t>
            </w:r>
          </w:p>
        </w:tc>
        <w:tc>
          <w:tcPr>
            <w:tcW w:w="1924"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全年预算数</w:t>
            </w:r>
          </w:p>
        </w:tc>
        <w:tc>
          <w:tcPr>
            <w:tcW w:w="1800"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全年执行数</w:t>
            </w:r>
          </w:p>
        </w:tc>
        <w:tc>
          <w:tcPr>
            <w:tcW w:w="85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分值</w:t>
            </w:r>
          </w:p>
        </w:tc>
        <w:tc>
          <w:tcPr>
            <w:tcW w:w="71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执行率</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得分</w:t>
            </w:r>
          </w:p>
        </w:tc>
      </w:tr>
      <w:tr>
        <w:tblPrEx>
          <w:tblLayout w:type="fixed"/>
          <w:tblCellMar>
            <w:top w:w="0" w:type="dxa"/>
            <w:left w:w="15" w:type="dxa"/>
            <w:bottom w:w="0" w:type="dxa"/>
            <w:right w:w="15" w:type="dxa"/>
          </w:tblCellMar>
        </w:tblPrEx>
        <w:trPr>
          <w:trHeight w:val="315" w:hRule="atLeast"/>
        </w:trPr>
        <w:tc>
          <w:tcPr>
            <w:tcW w:w="120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sz w:val="24"/>
              </w:rPr>
            </w:pPr>
          </w:p>
        </w:tc>
        <w:tc>
          <w:tcPr>
            <w:tcW w:w="177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textAlignment w:val="center"/>
              <w:rPr>
                <w:rFonts w:ascii="宋体" w:hAnsi="宋体"/>
                <w:color w:val="000000"/>
                <w:sz w:val="20"/>
              </w:rPr>
            </w:pPr>
            <w:r>
              <w:rPr>
                <w:rFonts w:ascii="宋体" w:hAnsi="宋体"/>
                <w:color w:val="000000"/>
                <w:sz w:val="20"/>
              </w:rPr>
              <w:t>年度资金总额</w:t>
            </w:r>
          </w:p>
        </w:tc>
        <w:tc>
          <w:tcPr>
            <w:tcW w:w="34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4</w:t>
            </w:r>
          </w:p>
        </w:tc>
        <w:tc>
          <w:tcPr>
            <w:tcW w:w="1924"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4</w:t>
            </w:r>
          </w:p>
        </w:tc>
        <w:tc>
          <w:tcPr>
            <w:tcW w:w="1800"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4</w:t>
            </w:r>
          </w:p>
        </w:tc>
        <w:tc>
          <w:tcPr>
            <w:tcW w:w="85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w:t>
            </w:r>
          </w:p>
        </w:tc>
        <w:tc>
          <w:tcPr>
            <w:tcW w:w="71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100%</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w:t>
            </w:r>
          </w:p>
        </w:tc>
      </w:tr>
      <w:tr>
        <w:tblPrEx>
          <w:tblLayout w:type="fixed"/>
          <w:tblCellMar>
            <w:top w:w="0" w:type="dxa"/>
            <w:left w:w="15" w:type="dxa"/>
            <w:bottom w:w="0" w:type="dxa"/>
            <w:right w:w="15" w:type="dxa"/>
          </w:tblCellMar>
        </w:tblPrEx>
        <w:trPr>
          <w:trHeight w:val="315" w:hRule="atLeast"/>
        </w:trPr>
        <w:tc>
          <w:tcPr>
            <w:tcW w:w="120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sz w:val="24"/>
              </w:rPr>
            </w:pPr>
          </w:p>
        </w:tc>
        <w:tc>
          <w:tcPr>
            <w:tcW w:w="177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其中：当年财政拨款</w:t>
            </w:r>
          </w:p>
        </w:tc>
        <w:tc>
          <w:tcPr>
            <w:tcW w:w="34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4</w:t>
            </w:r>
          </w:p>
        </w:tc>
        <w:tc>
          <w:tcPr>
            <w:tcW w:w="1924"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4</w:t>
            </w:r>
          </w:p>
        </w:tc>
        <w:tc>
          <w:tcPr>
            <w:tcW w:w="1800"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4</w:t>
            </w:r>
          </w:p>
        </w:tc>
        <w:tc>
          <w:tcPr>
            <w:tcW w:w="85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w:t>
            </w:r>
          </w:p>
        </w:tc>
        <w:tc>
          <w:tcPr>
            <w:tcW w:w="71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100%</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w:t>
            </w:r>
          </w:p>
        </w:tc>
      </w:tr>
      <w:tr>
        <w:tblPrEx>
          <w:tblLayout w:type="fixed"/>
          <w:tblCellMar>
            <w:top w:w="0" w:type="dxa"/>
            <w:left w:w="15" w:type="dxa"/>
            <w:bottom w:w="0" w:type="dxa"/>
            <w:right w:w="15" w:type="dxa"/>
          </w:tblCellMar>
        </w:tblPrEx>
        <w:trPr>
          <w:trHeight w:val="315" w:hRule="atLeast"/>
        </w:trPr>
        <w:tc>
          <w:tcPr>
            <w:tcW w:w="120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sz w:val="24"/>
              </w:rPr>
            </w:pPr>
          </w:p>
        </w:tc>
        <w:tc>
          <w:tcPr>
            <w:tcW w:w="177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 xml:space="preserve">      上年结转资金</w:t>
            </w:r>
          </w:p>
        </w:tc>
        <w:tc>
          <w:tcPr>
            <w:tcW w:w="34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p>
        </w:tc>
        <w:tc>
          <w:tcPr>
            <w:tcW w:w="1924"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p>
        </w:tc>
        <w:tc>
          <w:tcPr>
            <w:tcW w:w="1800"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p>
        </w:tc>
        <w:tc>
          <w:tcPr>
            <w:tcW w:w="85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w:t>
            </w:r>
          </w:p>
        </w:tc>
        <w:tc>
          <w:tcPr>
            <w:tcW w:w="71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w:t>
            </w:r>
          </w:p>
        </w:tc>
      </w:tr>
      <w:tr>
        <w:tblPrEx>
          <w:tblLayout w:type="fixed"/>
          <w:tblCellMar>
            <w:top w:w="0" w:type="dxa"/>
            <w:left w:w="15" w:type="dxa"/>
            <w:bottom w:w="0" w:type="dxa"/>
            <w:right w:w="15" w:type="dxa"/>
          </w:tblCellMar>
        </w:tblPrEx>
        <w:trPr>
          <w:trHeight w:val="315" w:hRule="atLeast"/>
        </w:trPr>
        <w:tc>
          <w:tcPr>
            <w:tcW w:w="120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sz w:val="24"/>
              </w:rPr>
            </w:pPr>
          </w:p>
        </w:tc>
        <w:tc>
          <w:tcPr>
            <w:tcW w:w="177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 xml:space="preserve">  其他资金</w:t>
            </w:r>
          </w:p>
        </w:tc>
        <w:tc>
          <w:tcPr>
            <w:tcW w:w="34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p>
        </w:tc>
        <w:tc>
          <w:tcPr>
            <w:tcW w:w="1924"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p>
        </w:tc>
        <w:tc>
          <w:tcPr>
            <w:tcW w:w="1800"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p>
        </w:tc>
        <w:tc>
          <w:tcPr>
            <w:tcW w:w="85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w:t>
            </w:r>
          </w:p>
        </w:tc>
        <w:tc>
          <w:tcPr>
            <w:tcW w:w="71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w:t>
            </w:r>
          </w:p>
        </w:tc>
      </w:tr>
      <w:tr>
        <w:tblPrEx>
          <w:tblLayout w:type="fixed"/>
          <w:tblCellMar>
            <w:top w:w="0" w:type="dxa"/>
            <w:left w:w="15" w:type="dxa"/>
            <w:bottom w:w="0" w:type="dxa"/>
            <w:right w:w="15" w:type="dxa"/>
          </w:tblCellMar>
        </w:tblPrEx>
        <w:trPr>
          <w:trHeight w:val="315" w:hRule="atLeast"/>
        </w:trPr>
        <w:tc>
          <w:tcPr>
            <w:tcW w:w="555"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年度总体目标</w:t>
            </w:r>
          </w:p>
        </w:tc>
        <w:tc>
          <w:tcPr>
            <w:tcW w:w="4684" w:type="dxa"/>
            <w:gridSpan w:val="6"/>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预期目标</w:t>
            </w:r>
          </w:p>
        </w:tc>
        <w:tc>
          <w:tcPr>
            <w:tcW w:w="4211" w:type="dxa"/>
            <w:gridSpan w:val="8"/>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实际完成情况</w:t>
            </w:r>
          </w:p>
        </w:tc>
      </w:tr>
      <w:tr>
        <w:tblPrEx>
          <w:tblLayout w:type="fixed"/>
          <w:tblCellMar>
            <w:top w:w="0" w:type="dxa"/>
            <w:left w:w="15" w:type="dxa"/>
            <w:bottom w:w="0" w:type="dxa"/>
            <w:right w:w="15" w:type="dxa"/>
          </w:tblCellMar>
        </w:tblPrEx>
        <w:trPr>
          <w:trHeight w:val="1470" w:hRule="atLeast"/>
        </w:trPr>
        <w:tc>
          <w:tcPr>
            <w:tcW w:w="555"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sz w:val="24"/>
              </w:rPr>
            </w:pPr>
          </w:p>
        </w:tc>
        <w:tc>
          <w:tcPr>
            <w:tcW w:w="5055" w:type="dxa"/>
            <w:gridSpan w:val="7"/>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宋体" w:hAnsi="宋体"/>
                <w:color w:val="000000"/>
                <w:sz w:val="20"/>
              </w:rPr>
            </w:pPr>
            <w:r>
              <w:rPr>
                <w:rFonts w:ascii="宋体" w:hAnsi="宋体"/>
                <w:color w:val="000000"/>
                <w:sz w:val="20"/>
              </w:rPr>
              <w:t>目标一：完成2018年报刊征订，完善图书馆“地方文献特色数据库”建设；目标二：2018年12月完成2019年报刊征订。</w:t>
            </w:r>
          </w:p>
        </w:tc>
        <w:tc>
          <w:tcPr>
            <w:tcW w:w="3840" w:type="dxa"/>
            <w:gridSpan w:val="7"/>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宋体" w:hAnsi="宋体"/>
                <w:color w:val="000000"/>
                <w:sz w:val="20"/>
              </w:rPr>
            </w:pPr>
            <w:r>
              <w:rPr>
                <w:rFonts w:ascii="宋体" w:hAnsi="宋体"/>
                <w:color w:val="000000"/>
                <w:sz w:val="20"/>
              </w:rPr>
              <w:t>目标一：完成2018年报刊征订，完善图书馆“地方文献特色数据库”建设；目标二：2018年12月完成2019年报刊征订。</w:t>
            </w:r>
          </w:p>
        </w:tc>
      </w:tr>
      <w:tr>
        <w:tblPrEx>
          <w:tblLayout w:type="fixed"/>
          <w:tblCellMar>
            <w:top w:w="0" w:type="dxa"/>
            <w:left w:w="15" w:type="dxa"/>
            <w:bottom w:w="0" w:type="dxa"/>
            <w:right w:w="15" w:type="dxa"/>
          </w:tblCellMar>
        </w:tblPrEx>
        <w:trPr>
          <w:trHeight w:val="420" w:hRule="atLeast"/>
        </w:trPr>
        <w:tc>
          <w:tcPr>
            <w:tcW w:w="555"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绩              效    指    标</w:t>
            </w:r>
          </w:p>
        </w:tc>
        <w:tc>
          <w:tcPr>
            <w:tcW w:w="645"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一级指标</w:t>
            </w:r>
          </w:p>
        </w:tc>
        <w:tc>
          <w:tcPr>
            <w:tcW w:w="900"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二级指标</w:t>
            </w:r>
          </w:p>
        </w:tc>
        <w:tc>
          <w:tcPr>
            <w:tcW w:w="2505"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三级指标</w:t>
            </w:r>
          </w:p>
        </w:tc>
        <w:tc>
          <w:tcPr>
            <w:tcW w:w="100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年度</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实际</w:t>
            </w:r>
          </w:p>
        </w:tc>
        <w:tc>
          <w:tcPr>
            <w:tcW w:w="63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分值</w:t>
            </w:r>
          </w:p>
        </w:tc>
        <w:tc>
          <w:tcPr>
            <w:tcW w:w="90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得分</w:t>
            </w:r>
          </w:p>
        </w:tc>
        <w:tc>
          <w:tcPr>
            <w:tcW w:w="120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偏差原因分析及改进措施</w:t>
            </w:r>
          </w:p>
        </w:tc>
      </w:tr>
      <w:tr>
        <w:tblPrEx>
          <w:tblLayout w:type="fixed"/>
          <w:tblCellMar>
            <w:top w:w="0" w:type="dxa"/>
            <w:left w:w="15" w:type="dxa"/>
            <w:bottom w:w="0" w:type="dxa"/>
            <w:right w:w="15" w:type="dxa"/>
          </w:tblCellMar>
        </w:tblPrEx>
        <w:trPr>
          <w:trHeight w:val="420" w:hRule="atLeast"/>
        </w:trPr>
        <w:tc>
          <w:tcPr>
            <w:tcW w:w="555" w:type="dxa"/>
            <w:vMerge w:val="continue"/>
            <w:tcBorders>
              <w:top w:val="single" w:color="000000" w:sz="4" w:space="0"/>
              <w:left w:val="single" w:color="000000" w:sz="4" w:space="0"/>
              <w:right w:val="single" w:color="000000" w:sz="4" w:space="0"/>
            </w:tcBorders>
            <w:noWrap w:val="0"/>
            <w:vAlign w:val="center"/>
          </w:tcPr>
          <w:p>
            <w:pPr>
              <w:rPr>
                <w:rFonts w:ascii="宋体" w:hAnsi="宋体"/>
                <w:sz w:val="24"/>
              </w:rPr>
            </w:pPr>
          </w:p>
        </w:tc>
        <w:tc>
          <w:tcPr>
            <w:tcW w:w="645"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rPr>
                <w:rFonts w:ascii="宋体" w:hAnsi="宋体"/>
                <w:sz w:val="24"/>
              </w:rPr>
            </w:pPr>
          </w:p>
        </w:tc>
        <w:tc>
          <w:tcPr>
            <w:tcW w:w="90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sz w:val="24"/>
              </w:rPr>
            </w:pPr>
          </w:p>
        </w:tc>
        <w:tc>
          <w:tcPr>
            <w:tcW w:w="250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sz w:val="24"/>
              </w:rPr>
            </w:pPr>
          </w:p>
        </w:tc>
        <w:tc>
          <w:tcPr>
            <w:tcW w:w="100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指标值</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完成值</w:t>
            </w:r>
          </w:p>
        </w:tc>
        <w:tc>
          <w:tcPr>
            <w:tcW w:w="63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sz w:val="24"/>
              </w:rPr>
            </w:pPr>
          </w:p>
        </w:tc>
        <w:tc>
          <w:tcPr>
            <w:tcW w:w="90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sz w:val="24"/>
              </w:rPr>
            </w:pPr>
          </w:p>
        </w:tc>
        <w:tc>
          <w:tcPr>
            <w:tcW w:w="120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sz w:val="24"/>
              </w:rPr>
            </w:pPr>
          </w:p>
        </w:tc>
      </w:tr>
      <w:tr>
        <w:tblPrEx>
          <w:tblLayout w:type="fixed"/>
          <w:tblCellMar>
            <w:top w:w="0" w:type="dxa"/>
            <w:left w:w="15" w:type="dxa"/>
            <w:bottom w:w="0" w:type="dxa"/>
            <w:right w:w="15" w:type="dxa"/>
          </w:tblCellMar>
        </w:tblPrEx>
        <w:trPr>
          <w:trHeight w:val="690" w:hRule="atLeast"/>
        </w:trPr>
        <w:tc>
          <w:tcPr>
            <w:tcW w:w="555" w:type="dxa"/>
            <w:vMerge w:val="continue"/>
            <w:tcBorders>
              <w:top w:val="single" w:color="000000" w:sz="4" w:space="0"/>
              <w:left w:val="single" w:color="000000" w:sz="4" w:space="0"/>
              <w:right w:val="single" w:color="000000" w:sz="4" w:space="0"/>
            </w:tcBorders>
            <w:noWrap w:val="0"/>
            <w:vAlign w:val="center"/>
          </w:tcPr>
          <w:p>
            <w:pPr>
              <w:rPr>
                <w:rFonts w:ascii="宋体" w:hAnsi="宋体"/>
                <w:sz w:val="24"/>
              </w:rPr>
            </w:pPr>
          </w:p>
        </w:tc>
        <w:tc>
          <w:tcPr>
            <w:tcW w:w="645"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产出指标</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数量指标</w:t>
            </w:r>
          </w:p>
        </w:tc>
        <w:tc>
          <w:tcPr>
            <w:tcW w:w="250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宋体" w:hAnsi="宋体"/>
                <w:color w:val="000000"/>
                <w:sz w:val="20"/>
              </w:rPr>
            </w:pPr>
            <w:r>
              <w:rPr>
                <w:rFonts w:ascii="宋体" w:hAnsi="宋体"/>
                <w:color w:val="000000"/>
                <w:sz w:val="20"/>
              </w:rPr>
              <w:t>指标1：报刊征订</w:t>
            </w:r>
          </w:p>
        </w:tc>
        <w:tc>
          <w:tcPr>
            <w:tcW w:w="100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230种共计2760册</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宋体" w:hAnsi="宋体"/>
                <w:color w:val="000000"/>
                <w:sz w:val="20"/>
              </w:rPr>
            </w:pPr>
            <w:r>
              <w:rPr>
                <w:rFonts w:ascii="宋体" w:hAnsi="宋体"/>
                <w:color w:val="000000"/>
                <w:sz w:val="20"/>
              </w:rPr>
              <w:t>230种共计2760册</w:t>
            </w:r>
          </w:p>
        </w:tc>
        <w:tc>
          <w:tcPr>
            <w:tcW w:w="63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100%</w:t>
            </w:r>
          </w:p>
        </w:tc>
        <w:tc>
          <w:tcPr>
            <w:tcW w:w="90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w:t>
            </w: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无偏差</w:t>
            </w:r>
          </w:p>
        </w:tc>
      </w:tr>
      <w:tr>
        <w:tblPrEx>
          <w:tblLayout w:type="fixed"/>
          <w:tblCellMar>
            <w:top w:w="0" w:type="dxa"/>
            <w:left w:w="15" w:type="dxa"/>
            <w:bottom w:w="0" w:type="dxa"/>
            <w:right w:w="15" w:type="dxa"/>
          </w:tblCellMar>
        </w:tblPrEx>
        <w:trPr>
          <w:trHeight w:val="720" w:hRule="atLeast"/>
        </w:trPr>
        <w:tc>
          <w:tcPr>
            <w:tcW w:w="555" w:type="dxa"/>
            <w:vMerge w:val="continue"/>
            <w:tcBorders>
              <w:top w:val="single" w:color="000000" w:sz="4" w:space="0"/>
              <w:left w:val="single" w:color="000000" w:sz="4" w:space="0"/>
              <w:right w:val="single" w:color="000000" w:sz="4" w:space="0"/>
            </w:tcBorders>
            <w:noWrap w:val="0"/>
            <w:vAlign w:val="center"/>
          </w:tcPr>
          <w:p>
            <w:pPr>
              <w:rPr>
                <w:rFonts w:ascii="宋体" w:hAnsi="宋体"/>
                <w:sz w:val="24"/>
              </w:rPr>
            </w:pPr>
          </w:p>
        </w:tc>
        <w:tc>
          <w:tcPr>
            <w:tcW w:w="645"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rPr>
                <w:rFonts w:ascii="宋体" w:hAnsi="宋体"/>
                <w:sz w:val="24"/>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质量指标</w:t>
            </w:r>
          </w:p>
        </w:tc>
        <w:tc>
          <w:tcPr>
            <w:tcW w:w="250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宋体" w:hAnsi="宋体"/>
                <w:color w:val="000000"/>
                <w:sz w:val="20"/>
              </w:rPr>
            </w:pPr>
            <w:r>
              <w:rPr>
                <w:rFonts w:ascii="宋体" w:hAnsi="宋体"/>
                <w:color w:val="000000"/>
                <w:sz w:val="20"/>
              </w:rPr>
              <w:t>指标1：报刊内容健康，印刷质量合格。</w:t>
            </w:r>
          </w:p>
        </w:tc>
        <w:tc>
          <w:tcPr>
            <w:tcW w:w="100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100%</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100%</w:t>
            </w:r>
          </w:p>
        </w:tc>
        <w:tc>
          <w:tcPr>
            <w:tcW w:w="63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100%</w:t>
            </w:r>
          </w:p>
        </w:tc>
        <w:tc>
          <w:tcPr>
            <w:tcW w:w="90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w:t>
            </w: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无偏差</w:t>
            </w:r>
          </w:p>
        </w:tc>
      </w:tr>
      <w:tr>
        <w:tblPrEx>
          <w:tblLayout w:type="fixed"/>
          <w:tblCellMar>
            <w:top w:w="0" w:type="dxa"/>
            <w:left w:w="15" w:type="dxa"/>
            <w:bottom w:w="0" w:type="dxa"/>
            <w:right w:w="15" w:type="dxa"/>
          </w:tblCellMar>
        </w:tblPrEx>
        <w:trPr>
          <w:trHeight w:val="510" w:hRule="atLeast"/>
        </w:trPr>
        <w:tc>
          <w:tcPr>
            <w:tcW w:w="555" w:type="dxa"/>
            <w:vMerge w:val="continue"/>
            <w:tcBorders>
              <w:top w:val="single" w:color="000000" w:sz="4" w:space="0"/>
              <w:left w:val="single" w:color="000000" w:sz="4" w:space="0"/>
              <w:right w:val="single" w:color="000000" w:sz="4" w:space="0"/>
            </w:tcBorders>
            <w:noWrap w:val="0"/>
            <w:vAlign w:val="center"/>
          </w:tcPr>
          <w:p>
            <w:pPr>
              <w:rPr>
                <w:rFonts w:ascii="宋体" w:hAnsi="宋体"/>
                <w:sz w:val="24"/>
              </w:rPr>
            </w:pPr>
          </w:p>
        </w:tc>
        <w:tc>
          <w:tcPr>
            <w:tcW w:w="645"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rPr>
                <w:rFonts w:ascii="宋体" w:hAnsi="宋体"/>
                <w:sz w:val="24"/>
              </w:rPr>
            </w:pPr>
          </w:p>
        </w:tc>
        <w:tc>
          <w:tcPr>
            <w:tcW w:w="900"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时效指标</w:t>
            </w:r>
          </w:p>
        </w:tc>
        <w:tc>
          <w:tcPr>
            <w:tcW w:w="250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宋体" w:hAnsi="宋体"/>
                <w:color w:val="000000"/>
                <w:sz w:val="20"/>
              </w:rPr>
            </w:pPr>
            <w:r>
              <w:rPr>
                <w:rFonts w:ascii="宋体" w:hAnsi="宋体"/>
                <w:color w:val="000000"/>
                <w:sz w:val="20"/>
              </w:rPr>
              <w:t>指标1：资金按时拨付到位</w:t>
            </w:r>
          </w:p>
        </w:tc>
        <w:tc>
          <w:tcPr>
            <w:tcW w:w="100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100%</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100%</w:t>
            </w:r>
          </w:p>
        </w:tc>
        <w:tc>
          <w:tcPr>
            <w:tcW w:w="63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100%</w:t>
            </w:r>
          </w:p>
        </w:tc>
        <w:tc>
          <w:tcPr>
            <w:tcW w:w="90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w:t>
            </w: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无偏差</w:t>
            </w:r>
          </w:p>
        </w:tc>
      </w:tr>
      <w:tr>
        <w:tblPrEx>
          <w:tblLayout w:type="fixed"/>
          <w:tblCellMar>
            <w:top w:w="0" w:type="dxa"/>
            <w:left w:w="15" w:type="dxa"/>
            <w:bottom w:w="0" w:type="dxa"/>
            <w:right w:w="15" w:type="dxa"/>
          </w:tblCellMar>
        </w:tblPrEx>
        <w:trPr>
          <w:trHeight w:val="510" w:hRule="atLeast"/>
        </w:trPr>
        <w:tc>
          <w:tcPr>
            <w:tcW w:w="555" w:type="dxa"/>
            <w:vMerge w:val="continue"/>
            <w:tcBorders>
              <w:top w:val="single" w:color="000000" w:sz="4" w:space="0"/>
              <w:left w:val="single" w:color="000000" w:sz="4" w:space="0"/>
              <w:right w:val="single" w:color="000000" w:sz="4" w:space="0"/>
            </w:tcBorders>
            <w:noWrap w:val="0"/>
            <w:vAlign w:val="center"/>
          </w:tcPr>
          <w:p>
            <w:pPr>
              <w:rPr>
                <w:rFonts w:ascii="宋体" w:hAnsi="宋体"/>
                <w:sz w:val="24"/>
              </w:rPr>
            </w:pPr>
          </w:p>
        </w:tc>
        <w:tc>
          <w:tcPr>
            <w:tcW w:w="645"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rPr>
                <w:rFonts w:ascii="宋体" w:hAnsi="宋体"/>
                <w:sz w:val="24"/>
              </w:rPr>
            </w:pPr>
          </w:p>
        </w:tc>
        <w:tc>
          <w:tcPr>
            <w:tcW w:w="900"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sz w:val="24"/>
              </w:rPr>
            </w:pPr>
          </w:p>
        </w:tc>
        <w:tc>
          <w:tcPr>
            <w:tcW w:w="250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宋体" w:hAnsi="宋体"/>
                <w:color w:val="000000"/>
                <w:sz w:val="20"/>
              </w:rPr>
            </w:pPr>
            <w:r>
              <w:rPr>
                <w:rFonts w:ascii="宋体" w:hAnsi="宋体"/>
                <w:color w:val="000000"/>
                <w:sz w:val="20"/>
              </w:rPr>
              <w:t>指标2：按时完成报刊征订</w:t>
            </w:r>
          </w:p>
        </w:tc>
        <w:tc>
          <w:tcPr>
            <w:tcW w:w="100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100%</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100%</w:t>
            </w:r>
          </w:p>
        </w:tc>
        <w:tc>
          <w:tcPr>
            <w:tcW w:w="63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100%</w:t>
            </w:r>
          </w:p>
        </w:tc>
        <w:tc>
          <w:tcPr>
            <w:tcW w:w="90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w:t>
            </w: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无偏差</w:t>
            </w:r>
          </w:p>
        </w:tc>
      </w:tr>
      <w:tr>
        <w:tblPrEx>
          <w:tblLayout w:type="fixed"/>
          <w:tblCellMar>
            <w:top w:w="0" w:type="dxa"/>
            <w:left w:w="15" w:type="dxa"/>
            <w:bottom w:w="0" w:type="dxa"/>
            <w:right w:w="15" w:type="dxa"/>
          </w:tblCellMar>
        </w:tblPrEx>
        <w:trPr>
          <w:trHeight w:val="810" w:hRule="atLeast"/>
        </w:trPr>
        <w:tc>
          <w:tcPr>
            <w:tcW w:w="555" w:type="dxa"/>
            <w:vMerge w:val="continue"/>
            <w:tcBorders>
              <w:top w:val="single" w:color="000000" w:sz="4" w:space="0"/>
              <w:left w:val="single" w:color="000000" w:sz="4" w:space="0"/>
              <w:right w:val="single" w:color="000000" w:sz="4" w:space="0"/>
            </w:tcBorders>
            <w:noWrap w:val="0"/>
            <w:vAlign w:val="center"/>
          </w:tcPr>
          <w:p>
            <w:pPr>
              <w:rPr>
                <w:rFonts w:ascii="宋体" w:hAnsi="宋体"/>
                <w:sz w:val="24"/>
              </w:rPr>
            </w:pPr>
          </w:p>
        </w:tc>
        <w:tc>
          <w:tcPr>
            <w:tcW w:w="645"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rPr>
                <w:rFonts w:ascii="宋体" w:hAnsi="宋体"/>
                <w:sz w:val="24"/>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成本指标</w:t>
            </w:r>
          </w:p>
        </w:tc>
        <w:tc>
          <w:tcPr>
            <w:tcW w:w="250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宋体" w:hAnsi="宋体"/>
                <w:color w:val="000000"/>
                <w:sz w:val="20"/>
              </w:rPr>
            </w:pPr>
            <w:r>
              <w:rPr>
                <w:rFonts w:ascii="宋体" w:hAnsi="宋体"/>
                <w:color w:val="000000"/>
                <w:sz w:val="20"/>
              </w:rPr>
              <w:t>指标1：报刊征订执行国家统一价格</w:t>
            </w:r>
          </w:p>
        </w:tc>
        <w:tc>
          <w:tcPr>
            <w:tcW w:w="100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宋体" w:hAnsi="宋体"/>
                <w:color w:val="000000"/>
                <w:sz w:val="20"/>
              </w:rPr>
            </w:pPr>
            <w:r>
              <w:rPr>
                <w:rFonts w:ascii="宋体" w:hAnsi="宋体"/>
                <w:color w:val="000000"/>
                <w:sz w:val="20"/>
              </w:rPr>
              <w:t>报刊230种，共计4万元</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宋体" w:hAnsi="宋体"/>
                <w:color w:val="000000"/>
                <w:sz w:val="20"/>
              </w:rPr>
            </w:pPr>
            <w:r>
              <w:rPr>
                <w:rFonts w:ascii="宋体" w:hAnsi="宋体"/>
                <w:color w:val="000000"/>
                <w:sz w:val="20"/>
              </w:rPr>
              <w:t>报刊230种，共计4万元</w:t>
            </w:r>
          </w:p>
        </w:tc>
        <w:tc>
          <w:tcPr>
            <w:tcW w:w="63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100%</w:t>
            </w:r>
          </w:p>
        </w:tc>
        <w:tc>
          <w:tcPr>
            <w:tcW w:w="90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w:t>
            </w: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无偏差</w:t>
            </w:r>
          </w:p>
        </w:tc>
      </w:tr>
      <w:tr>
        <w:tblPrEx>
          <w:tblLayout w:type="fixed"/>
          <w:tblCellMar>
            <w:top w:w="0" w:type="dxa"/>
            <w:left w:w="15" w:type="dxa"/>
            <w:bottom w:w="0" w:type="dxa"/>
            <w:right w:w="15" w:type="dxa"/>
          </w:tblCellMar>
        </w:tblPrEx>
        <w:trPr>
          <w:trHeight w:val="855" w:hRule="atLeast"/>
        </w:trPr>
        <w:tc>
          <w:tcPr>
            <w:tcW w:w="555" w:type="dxa"/>
            <w:vMerge w:val="continue"/>
            <w:tcBorders>
              <w:top w:val="single" w:color="000000" w:sz="4" w:space="0"/>
              <w:left w:val="single" w:color="000000" w:sz="4" w:space="0"/>
              <w:right w:val="single" w:color="000000" w:sz="4" w:space="0"/>
            </w:tcBorders>
            <w:noWrap w:val="0"/>
            <w:vAlign w:val="center"/>
          </w:tcPr>
          <w:p>
            <w:pPr>
              <w:rPr>
                <w:rFonts w:ascii="宋体" w:hAnsi="宋体"/>
                <w:sz w:val="24"/>
              </w:rPr>
            </w:pPr>
          </w:p>
        </w:tc>
        <w:tc>
          <w:tcPr>
            <w:tcW w:w="645"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效益指标</w:t>
            </w:r>
          </w:p>
        </w:tc>
        <w:tc>
          <w:tcPr>
            <w:tcW w:w="900"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社会效益指标</w:t>
            </w:r>
          </w:p>
        </w:tc>
        <w:tc>
          <w:tcPr>
            <w:tcW w:w="250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宋体" w:hAnsi="宋体"/>
                <w:color w:val="000000"/>
                <w:sz w:val="20"/>
              </w:rPr>
            </w:pPr>
            <w:r>
              <w:rPr>
                <w:rFonts w:ascii="宋体" w:hAnsi="宋体"/>
                <w:color w:val="000000"/>
                <w:sz w:val="20"/>
              </w:rPr>
              <w:t>指标1：丰富了馆藏量</w:t>
            </w:r>
          </w:p>
        </w:tc>
        <w:tc>
          <w:tcPr>
            <w:tcW w:w="100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230种共计2760册</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宋体" w:hAnsi="宋体"/>
                <w:color w:val="000000"/>
                <w:sz w:val="20"/>
              </w:rPr>
            </w:pPr>
            <w:r>
              <w:rPr>
                <w:rFonts w:ascii="宋体" w:hAnsi="宋体"/>
                <w:color w:val="000000"/>
                <w:sz w:val="20"/>
              </w:rPr>
              <w:t>230种共计2760册</w:t>
            </w:r>
          </w:p>
        </w:tc>
        <w:tc>
          <w:tcPr>
            <w:tcW w:w="63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100%</w:t>
            </w:r>
          </w:p>
        </w:tc>
        <w:tc>
          <w:tcPr>
            <w:tcW w:w="90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w:t>
            </w: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无偏差</w:t>
            </w:r>
          </w:p>
        </w:tc>
      </w:tr>
      <w:tr>
        <w:tblPrEx>
          <w:tblLayout w:type="fixed"/>
          <w:tblCellMar>
            <w:top w:w="0" w:type="dxa"/>
            <w:left w:w="15" w:type="dxa"/>
            <w:bottom w:w="0" w:type="dxa"/>
            <w:right w:w="15" w:type="dxa"/>
          </w:tblCellMar>
        </w:tblPrEx>
        <w:trPr>
          <w:trHeight w:val="1020" w:hRule="atLeast"/>
        </w:trPr>
        <w:tc>
          <w:tcPr>
            <w:tcW w:w="555" w:type="dxa"/>
            <w:vMerge w:val="continue"/>
            <w:tcBorders>
              <w:top w:val="single" w:color="000000" w:sz="4" w:space="0"/>
              <w:left w:val="single" w:color="000000" w:sz="4" w:space="0"/>
              <w:right w:val="single" w:color="000000" w:sz="4" w:space="0"/>
            </w:tcBorders>
            <w:noWrap w:val="0"/>
            <w:vAlign w:val="center"/>
          </w:tcPr>
          <w:p>
            <w:pPr>
              <w:rPr>
                <w:rFonts w:ascii="宋体" w:hAnsi="宋体"/>
                <w:sz w:val="24"/>
              </w:rPr>
            </w:pPr>
          </w:p>
        </w:tc>
        <w:tc>
          <w:tcPr>
            <w:tcW w:w="645"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rPr>
                <w:rFonts w:ascii="宋体" w:hAnsi="宋体"/>
                <w:sz w:val="24"/>
              </w:rPr>
            </w:pPr>
          </w:p>
        </w:tc>
        <w:tc>
          <w:tcPr>
            <w:tcW w:w="900" w:type="dxa"/>
            <w:vMerge w:val="continue"/>
            <w:tcBorders>
              <w:top w:val="single" w:color="000000" w:sz="4" w:space="0"/>
              <w:left w:val="single" w:color="000000" w:sz="4" w:space="0"/>
              <w:right w:val="single" w:color="000000" w:sz="4" w:space="0"/>
            </w:tcBorders>
            <w:noWrap w:val="0"/>
            <w:vAlign w:val="center"/>
          </w:tcPr>
          <w:p>
            <w:pPr>
              <w:autoSpaceDN w:val="0"/>
              <w:jc w:val="center"/>
              <w:textAlignment w:val="center"/>
              <w:rPr>
                <w:rFonts w:ascii="宋体" w:hAnsi="宋体"/>
                <w:sz w:val="24"/>
              </w:rPr>
            </w:pPr>
          </w:p>
        </w:tc>
        <w:tc>
          <w:tcPr>
            <w:tcW w:w="250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宋体" w:hAnsi="宋体"/>
                <w:color w:val="000000"/>
                <w:sz w:val="20"/>
              </w:rPr>
            </w:pPr>
            <w:r>
              <w:rPr>
                <w:rFonts w:ascii="宋体" w:hAnsi="宋体"/>
                <w:color w:val="000000"/>
                <w:sz w:val="20"/>
              </w:rPr>
              <w:t>指标2：为全市人民提供了丰富的精神文化大餐。</w:t>
            </w:r>
          </w:p>
        </w:tc>
        <w:tc>
          <w:tcPr>
            <w:tcW w:w="100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宋体" w:hAnsi="宋体"/>
                <w:color w:val="000000"/>
                <w:sz w:val="20"/>
              </w:rPr>
            </w:pPr>
            <w:r>
              <w:rPr>
                <w:rFonts w:ascii="宋体" w:hAnsi="宋体"/>
                <w:color w:val="000000"/>
                <w:sz w:val="20"/>
              </w:rPr>
              <w:t>年均接待读者约≥4万人次/年</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宋体" w:hAnsi="宋体"/>
                <w:color w:val="000000"/>
                <w:sz w:val="20"/>
              </w:rPr>
            </w:pPr>
            <w:r>
              <w:rPr>
                <w:rFonts w:ascii="宋体" w:hAnsi="宋体"/>
                <w:color w:val="000000"/>
                <w:sz w:val="20"/>
              </w:rPr>
              <w:t>年均接待读者约≥4万人次/年</w:t>
            </w:r>
          </w:p>
        </w:tc>
        <w:tc>
          <w:tcPr>
            <w:tcW w:w="63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100%</w:t>
            </w:r>
          </w:p>
        </w:tc>
        <w:tc>
          <w:tcPr>
            <w:tcW w:w="90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w:t>
            </w: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无偏差</w:t>
            </w:r>
          </w:p>
        </w:tc>
      </w:tr>
      <w:tr>
        <w:tblPrEx>
          <w:tblLayout w:type="fixed"/>
          <w:tblCellMar>
            <w:top w:w="0" w:type="dxa"/>
            <w:left w:w="15" w:type="dxa"/>
            <w:bottom w:w="0" w:type="dxa"/>
            <w:right w:w="15" w:type="dxa"/>
          </w:tblCellMar>
        </w:tblPrEx>
        <w:trPr>
          <w:trHeight w:val="1470" w:hRule="atLeast"/>
        </w:trPr>
        <w:tc>
          <w:tcPr>
            <w:tcW w:w="555" w:type="dxa"/>
            <w:vMerge w:val="continue"/>
            <w:tcBorders>
              <w:top w:val="single" w:color="000000" w:sz="4" w:space="0"/>
              <w:left w:val="single" w:color="000000" w:sz="4" w:space="0"/>
              <w:right w:val="single" w:color="000000" w:sz="4" w:space="0"/>
            </w:tcBorders>
            <w:noWrap w:val="0"/>
            <w:vAlign w:val="center"/>
          </w:tcPr>
          <w:p>
            <w:pPr>
              <w:rPr>
                <w:rFonts w:ascii="宋体" w:hAnsi="宋体"/>
                <w:sz w:val="24"/>
              </w:rPr>
            </w:pPr>
          </w:p>
        </w:tc>
        <w:tc>
          <w:tcPr>
            <w:tcW w:w="645"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rPr>
                <w:rFonts w:ascii="宋体" w:hAnsi="宋体"/>
                <w:sz w:val="24"/>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可持续影响指标</w:t>
            </w:r>
          </w:p>
        </w:tc>
        <w:tc>
          <w:tcPr>
            <w:tcW w:w="250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宋体" w:hAnsi="宋体"/>
                <w:color w:val="000000"/>
                <w:sz w:val="20"/>
              </w:rPr>
            </w:pPr>
            <w:r>
              <w:rPr>
                <w:rFonts w:ascii="宋体" w:hAnsi="宋体"/>
                <w:color w:val="000000"/>
                <w:sz w:val="20"/>
              </w:rPr>
              <w:t>指标1：长期收益≥30年</w:t>
            </w:r>
          </w:p>
        </w:tc>
        <w:tc>
          <w:tcPr>
            <w:tcW w:w="100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宋体" w:hAnsi="宋体"/>
                <w:color w:val="000000"/>
                <w:sz w:val="20"/>
              </w:rPr>
            </w:pPr>
            <w:r>
              <w:rPr>
                <w:rFonts w:ascii="宋体" w:hAnsi="宋体"/>
                <w:color w:val="000000"/>
                <w:sz w:val="20"/>
              </w:rPr>
              <w:t>长期收益≥30年，为全市市民提供丰富的精神食粮。</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宋体" w:hAnsi="宋体"/>
                <w:color w:val="000000"/>
                <w:sz w:val="20"/>
              </w:rPr>
            </w:pPr>
            <w:r>
              <w:rPr>
                <w:rFonts w:ascii="宋体" w:hAnsi="宋体"/>
                <w:color w:val="000000"/>
                <w:sz w:val="20"/>
              </w:rPr>
              <w:t>长期收益≥30年，为全市市民提供丰富的精神食粮。</w:t>
            </w:r>
          </w:p>
        </w:tc>
        <w:tc>
          <w:tcPr>
            <w:tcW w:w="63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100%</w:t>
            </w:r>
          </w:p>
        </w:tc>
        <w:tc>
          <w:tcPr>
            <w:tcW w:w="90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w:t>
            </w: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无偏差</w:t>
            </w:r>
          </w:p>
        </w:tc>
      </w:tr>
      <w:tr>
        <w:tblPrEx>
          <w:tblLayout w:type="fixed"/>
          <w:tblCellMar>
            <w:top w:w="0" w:type="dxa"/>
            <w:left w:w="15" w:type="dxa"/>
            <w:bottom w:w="0" w:type="dxa"/>
            <w:right w:w="15" w:type="dxa"/>
          </w:tblCellMar>
        </w:tblPrEx>
        <w:trPr>
          <w:trHeight w:val="855" w:hRule="atLeast"/>
        </w:trPr>
        <w:tc>
          <w:tcPr>
            <w:tcW w:w="555" w:type="dxa"/>
            <w:vMerge w:val="continue"/>
            <w:tcBorders>
              <w:top w:val="single" w:color="000000" w:sz="4" w:space="0"/>
              <w:left w:val="single" w:color="000000" w:sz="4" w:space="0"/>
              <w:right w:val="single" w:color="000000" w:sz="4" w:space="0"/>
            </w:tcBorders>
            <w:noWrap w:val="0"/>
            <w:vAlign w:val="center"/>
          </w:tcPr>
          <w:p>
            <w:pPr>
              <w:rPr>
                <w:rFonts w:ascii="宋体" w:hAnsi="宋体"/>
                <w:sz w:val="24"/>
              </w:rPr>
            </w:pPr>
          </w:p>
        </w:tc>
        <w:tc>
          <w:tcPr>
            <w:tcW w:w="64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满意度指标</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服务对象满意度指标</w:t>
            </w:r>
          </w:p>
        </w:tc>
        <w:tc>
          <w:tcPr>
            <w:tcW w:w="250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宋体" w:hAnsi="宋体"/>
                <w:color w:val="000000"/>
                <w:sz w:val="20"/>
              </w:rPr>
            </w:pPr>
            <w:r>
              <w:rPr>
                <w:rFonts w:ascii="宋体" w:hAnsi="宋体"/>
                <w:color w:val="000000"/>
                <w:sz w:val="20"/>
              </w:rPr>
              <w:t>指标1：读者满意度≥95%</w:t>
            </w:r>
          </w:p>
        </w:tc>
        <w:tc>
          <w:tcPr>
            <w:tcW w:w="100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读者满意度≥95%</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读者满意度≥95%</w:t>
            </w:r>
          </w:p>
        </w:tc>
        <w:tc>
          <w:tcPr>
            <w:tcW w:w="63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100%</w:t>
            </w:r>
          </w:p>
        </w:tc>
        <w:tc>
          <w:tcPr>
            <w:tcW w:w="90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w:t>
            </w: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无偏差</w:t>
            </w:r>
          </w:p>
        </w:tc>
      </w:tr>
      <w:tr>
        <w:tblPrEx>
          <w:tblLayout w:type="fixed"/>
          <w:tblCellMar>
            <w:top w:w="0" w:type="dxa"/>
            <w:left w:w="15" w:type="dxa"/>
            <w:bottom w:w="0" w:type="dxa"/>
            <w:right w:w="15" w:type="dxa"/>
          </w:tblCellMar>
        </w:tblPrEx>
        <w:trPr>
          <w:trHeight w:val="690" w:hRule="atLeast"/>
        </w:trPr>
        <w:tc>
          <w:tcPr>
            <w:tcW w:w="6720" w:type="dxa"/>
            <w:gridSpan w:val="9"/>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总分</w:t>
            </w:r>
          </w:p>
        </w:tc>
        <w:tc>
          <w:tcPr>
            <w:tcW w:w="63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100</w:t>
            </w:r>
          </w:p>
        </w:tc>
        <w:tc>
          <w:tcPr>
            <w:tcW w:w="90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r>
              <w:rPr>
                <w:rFonts w:ascii="宋体" w:hAnsi="宋体"/>
                <w:color w:val="000000"/>
                <w:sz w:val="20"/>
              </w:rPr>
              <w:t>100</w:t>
            </w: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0"/>
              </w:rPr>
            </w:pPr>
          </w:p>
        </w:tc>
      </w:tr>
    </w:tbl>
    <w:p>
      <w:pPr>
        <w:ind w:firstLine="640" w:firstLineChars="200"/>
        <w:jc w:val="center"/>
        <w:outlineLvl w:val="0"/>
        <w:rPr>
          <w:rFonts w:hint="eastAsia" w:ascii="黑体" w:hAnsi="黑体" w:eastAsia="黑体"/>
          <w:sz w:val="32"/>
          <w:szCs w:val="32"/>
        </w:rPr>
      </w:pPr>
    </w:p>
    <w:p>
      <w:pPr>
        <w:ind w:firstLine="640" w:firstLineChars="200"/>
        <w:jc w:val="center"/>
        <w:outlineLvl w:val="0"/>
        <w:rPr>
          <w:rFonts w:hint="eastAsia" w:ascii="黑体" w:hAnsi="黑体" w:eastAsia="黑体"/>
          <w:sz w:val="32"/>
          <w:szCs w:val="32"/>
        </w:rPr>
      </w:pPr>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hint="eastAsia"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hint="eastAsia"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pPr>
        <w:ind w:firstLine="640" w:firstLineChars="200"/>
        <w:outlineLvl w:val="1"/>
        <w:rPr>
          <w:rFonts w:hint="eastAsia"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hint="eastAsia"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hint="eastAsia" w:ascii="黑体" w:hAnsi="黑体" w:eastAsia="黑体" w:cs="宋体"/>
          <w:bCs/>
          <w:kern w:val="0"/>
          <w:sz w:val="32"/>
          <w:szCs w:val="32"/>
        </w:rPr>
      </w:pPr>
      <w:bookmarkStart w:id="42" w:name="_Toc32434"/>
      <w:bookmarkStart w:id="43" w:name="_Toc21304"/>
      <w:r>
        <w:rPr>
          <w:rFonts w:hint="eastAsia" w:ascii="黑体" w:hAnsi="黑体" w:eastAsia="黑体" w:cs="宋体"/>
          <w:bCs/>
          <w:kern w:val="0"/>
          <w:sz w:val="32"/>
          <w:szCs w:val="32"/>
        </w:rPr>
        <w:t>三、《支出决算表》</w:t>
      </w:r>
      <w:bookmarkEnd w:id="42"/>
      <w:bookmarkEnd w:id="43"/>
    </w:p>
    <w:p>
      <w:pPr>
        <w:ind w:firstLine="640" w:firstLineChars="200"/>
        <w:outlineLvl w:val="1"/>
        <w:rPr>
          <w:rFonts w:hint="eastAsia"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hint="eastAsia" w:ascii="黑体" w:hAnsi="黑体" w:eastAsia="黑体" w:cs="宋体"/>
          <w:bCs/>
          <w:kern w:val="0"/>
          <w:sz w:val="32"/>
          <w:szCs w:val="32"/>
        </w:rPr>
      </w:pPr>
      <w:bookmarkStart w:id="46" w:name="_Toc14869"/>
      <w:bookmarkStart w:id="47" w:name="_Toc10347"/>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hint="eastAsia"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hint="eastAsia" w:ascii="黑体" w:hAnsi="黑体" w:eastAsia="黑体" w:cs="宋体"/>
          <w:bCs/>
          <w:kern w:val="0"/>
          <w:sz w:val="32"/>
          <w:szCs w:val="32"/>
        </w:rPr>
      </w:pPr>
      <w:bookmarkStart w:id="50" w:name="_Toc29106"/>
      <w:bookmarkStart w:id="51" w:name="_Toc32663"/>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hint="eastAsia"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宋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rPr>
                            <w:t>4</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fill on="f" focussize="0,0"/>
              <v:stroke on="f"/>
              <v:imagedata o:title=""/>
              <o:lock v:ext="edit" aspectratio="f"/>
              <v:textbox inset="0mm,0mm,0mm,0mm" style="mso-fit-shape-to-text:t;">
                <w:txbxContent>
                  <w:p>
                    <w:pPr>
                      <w:pStyle w:val="4"/>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rPr>
                      <w:t>4</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2222FC"/>
    <w:rsid w:val="004979B9"/>
    <w:rsid w:val="006C66A7"/>
    <w:rsid w:val="0070360E"/>
    <w:rsid w:val="00756455"/>
    <w:rsid w:val="0079273F"/>
    <w:rsid w:val="007B2A42"/>
    <w:rsid w:val="00AC0C10"/>
    <w:rsid w:val="00BC7DAC"/>
    <w:rsid w:val="00BD7B5D"/>
    <w:rsid w:val="00D4149A"/>
    <w:rsid w:val="00D445D5"/>
    <w:rsid w:val="00D904FD"/>
    <w:rsid w:val="00E804B8"/>
    <w:rsid w:val="00F23E80"/>
    <w:rsid w:val="00F4091C"/>
    <w:rsid w:val="1B1435E9"/>
    <w:rsid w:val="4AA030F6"/>
    <w:rsid w:val="4B1502B6"/>
    <w:rsid w:val="538A3132"/>
    <w:rsid w:val="5F1E539A"/>
    <w:rsid w:val="646C7387"/>
    <w:rsid w:val="6E9010B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9">
    <w:name w:val="Default Paragraph Font"/>
    <w:uiPriority w:val="0"/>
  </w:style>
  <w:style w:type="table" w:default="1" w:styleId="8">
    <w:name w:val="Normal Table"/>
    <w:unhideWhenUsed/>
    <w:uiPriority w:val="99"/>
    <w:tblPr>
      <w:tblStyle w:val="8"/>
      <w:tblLayout w:type="fixed"/>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uiPriority w:val="0"/>
  </w:style>
  <w:style w:type="paragraph" w:styleId="7">
    <w:name w:val="toc 2"/>
    <w:basedOn w:val="1"/>
    <w:next w:val="1"/>
    <w:uiPriority w:val="0"/>
    <w:pPr>
      <w:ind w:left="420" w:leftChars="200"/>
    </w:pPr>
  </w:style>
  <w:style w:type="paragraph" w:customStyle="1" w:styleId="10">
    <w:name w:val="WPSOffice手动目录 1"/>
    <w:uiPriority w:val="0"/>
    <w:rPr>
      <w:lang w:val="en-US" w:eastAsia="zh-CN" w:bidi="ar-SA"/>
    </w:rPr>
  </w:style>
  <w:style w:type="paragraph" w:customStyle="1" w:styleId="11">
    <w:name w:val="WPSOffice手动目录 3"/>
    <w:uiPriority w:val="0"/>
    <w:pPr>
      <w:ind w:leftChars="400"/>
    </w:pPr>
    <w:rPr>
      <w:lang w:val="en-US" w:eastAsia="zh-CN" w:bidi="ar-SA"/>
    </w:rPr>
  </w:style>
  <w:style w:type="paragraph" w:customStyle="1" w:styleId="12">
    <w:name w:val="WPSOffice手动目录 2"/>
    <w:uiPriority w:val="0"/>
    <w:pPr>
      <w:ind w:leftChars="200"/>
    </w:pPr>
    <w:rPr>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960</Words>
  <Characters>5475</Characters>
  <Lines>45</Lines>
  <Paragraphs>12</Paragraphs>
  <TotalTime>2</TotalTime>
  <ScaleCrop>false</ScaleCrop>
  <LinksUpToDate>false</LinksUpToDate>
  <CharactersWithSpaces>6423</CharactersWithSpaces>
  <Application>WPS Office_11.8.2.8276_F1E327BC-269C-435d-A152-05C5408002CA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2021-05-28T11:32:31Z</dcterms:modified>
  <dc:title>附件：</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y fmtid="{D5CDD505-2E9C-101B-9397-08002B2CF9AE}" pid="3" name="ICV">
    <vt:lpwstr>4FDDC36183AC45208DA9DD5F235FCBCB</vt:lpwstr>
  </property>
</Properties>
</file>