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昌吉市工商业联合会2019年度部门决算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00" w:lineRule="exact"/>
        <w:jc w:val="center"/>
        <w:rPr>
          <w:rFonts w:ascii="黑体" w:hAnsi="黑体" w:eastAsia="黑体" w:cs="黑体"/>
          <w:b/>
          <w:sz w:val="36"/>
          <w:szCs w:val="36"/>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end"/>
      </w: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仿宋_GB2312" w:hAnsi="仿宋_GB2312" w:eastAsia="仿宋_GB2312" w:cs="仿宋_GB2312"/>
          <w:sz w:val="32"/>
          <w:szCs w:val="32"/>
        </w:rPr>
      </w:pPr>
    </w:p>
    <w:p>
      <w:pPr>
        <w:spacing w:line="500" w:lineRule="exact"/>
        <w:jc w:val="center"/>
        <w:rPr>
          <w:rFonts w:ascii="黑体" w:hAnsi="黑体" w:eastAsia="黑体" w:cs="黑体"/>
          <w:b/>
          <w:sz w:val="36"/>
          <w:szCs w:val="36"/>
        </w:rPr>
      </w:pPr>
    </w:p>
    <w:p>
      <w:pPr>
        <w:spacing w:line="500" w:lineRule="exact"/>
        <w:jc w:val="center"/>
        <w:rPr>
          <w:rFonts w:ascii="黑体" w:hAnsi="黑体" w:eastAsia="黑体" w:cs="黑体"/>
          <w:b/>
          <w:sz w:val="36"/>
          <w:szCs w:val="36"/>
        </w:rPr>
      </w:pPr>
    </w:p>
    <w:p>
      <w:pPr>
        <w:spacing w:line="500" w:lineRule="exact"/>
        <w:jc w:val="center"/>
        <w:rPr>
          <w:rFonts w:ascii="黑体" w:hAnsi="黑体" w:eastAsia="黑体" w:cs="黑体"/>
          <w:b/>
          <w:sz w:val="36"/>
          <w:szCs w:val="36"/>
        </w:rPr>
      </w:pPr>
    </w:p>
    <w:p>
      <w:pPr>
        <w:spacing w:line="500" w:lineRule="exact"/>
        <w:jc w:val="center"/>
        <w:rPr>
          <w:rFonts w:ascii="黑体" w:hAnsi="黑体" w:eastAsia="黑体" w:cs="黑体"/>
          <w:b/>
          <w:sz w:val="36"/>
          <w:szCs w:val="36"/>
        </w:rPr>
      </w:pPr>
    </w:p>
    <w:p>
      <w:pPr>
        <w:spacing w:line="500" w:lineRule="exact"/>
        <w:jc w:val="center"/>
        <w:rPr>
          <w:rFonts w:ascii="黑体" w:hAnsi="黑体" w:eastAsia="黑体" w:cs="黑体"/>
          <w:b/>
          <w:sz w:val="36"/>
          <w:szCs w:val="36"/>
        </w:rPr>
      </w:pPr>
    </w:p>
    <w:p>
      <w:pPr>
        <w:spacing w:line="500" w:lineRule="exact"/>
        <w:jc w:val="center"/>
        <w:rPr>
          <w:rFonts w:ascii="黑体" w:hAnsi="黑体" w:eastAsia="黑体" w:cs="黑体"/>
          <w:b/>
          <w:sz w:val="36"/>
          <w:szCs w:val="36"/>
        </w:rPr>
      </w:pPr>
    </w:p>
    <w:p>
      <w:pPr>
        <w:ind w:firstLine="640" w:firstLineChars="200"/>
        <w:jc w:val="center"/>
        <w:outlineLvl w:val="0"/>
        <w:rPr>
          <w:rFonts w:ascii="黑体" w:hAnsi="黑体" w:eastAsia="黑体" w:cs="黑体"/>
          <w:sz w:val="44"/>
          <w:szCs w:val="44"/>
        </w:rPr>
      </w:pPr>
      <w:r>
        <w:rPr>
          <w:rFonts w:hint="eastAsia" w:ascii="黑体" w:hAnsi="黑体" w:eastAsia="黑体"/>
          <w:sz w:val="32"/>
          <w:szCs w:val="32"/>
        </w:rPr>
        <w:t>第一部分 部门单位概况</w:t>
      </w:r>
    </w:p>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一、主要职能</w:t>
      </w:r>
    </w:p>
    <w:p>
      <w:pPr>
        <w:ind w:firstLine="640" w:firstLineChars="200"/>
        <w:rPr>
          <w:rFonts w:ascii="仿宋_GB2312" w:eastAsia="仿宋_GB2312"/>
          <w:sz w:val="32"/>
          <w:szCs w:val="32"/>
        </w:rPr>
      </w:pPr>
      <w:r>
        <w:rPr>
          <w:rFonts w:hint="eastAsia" w:ascii="仿宋_GB2312" w:eastAsia="仿宋_GB2312"/>
          <w:sz w:val="32"/>
          <w:szCs w:val="32"/>
        </w:rPr>
        <w:t>昌吉市工商业联合会是昌吉市党委领导的全市工商联界组成的具有统战性、经济性、民间性的人民团体和民间商会，是党和政府联系非公有制经济人士的桥梁和纽带，是政府管理非公有制经济的助手。</w:t>
      </w:r>
    </w:p>
    <w:p>
      <w:pPr>
        <w:ind w:firstLine="640" w:firstLineChars="200"/>
        <w:rPr>
          <w:rFonts w:ascii="仿宋_GB2312" w:eastAsia="仿宋_GB2312"/>
          <w:sz w:val="32"/>
          <w:szCs w:val="32"/>
        </w:rPr>
      </w:pPr>
      <w:r>
        <w:rPr>
          <w:rFonts w:hint="eastAsia" w:ascii="仿宋_GB2312" w:eastAsia="仿宋_GB2312"/>
          <w:sz w:val="32"/>
          <w:szCs w:val="32"/>
        </w:rPr>
        <w:t>主要职能：</w:t>
      </w:r>
    </w:p>
    <w:p>
      <w:pPr>
        <w:ind w:firstLine="640" w:firstLineChars="200"/>
        <w:rPr>
          <w:rFonts w:ascii="仿宋_GB2312" w:eastAsia="仿宋_GB2312"/>
          <w:sz w:val="32"/>
          <w:szCs w:val="32"/>
        </w:rPr>
      </w:pPr>
      <w:r>
        <w:rPr>
          <w:rFonts w:hint="eastAsia" w:ascii="仿宋_GB2312" w:eastAsia="仿宋_GB2312"/>
          <w:sz w:val="32"/>
          <w:szCs w:val="32"/>
        </w:rPr>
        <w:t>1、依据《中国工商业联合会章程》，贯彻执行昌吉市工商联执委会、常委会决议。</w:t>
      </w:r>
    </w:p>
    <w:p>
      <w:pPr>
        <w:ind w:firstLine="640" w:firstLineChars="200"/>
        <w:rPr>
          <w:rFonts w:ascii="仿宋_GB2312" w:eastAsia="仿宋_GB2312"/>
          <w:sz w:val="32"/>
          <w:szCs w:val="32"/>
        </w:rPr>
      </w:pPr>
      <w:r>
        <w:rPr>
          <w:rFonts w:hint="eastAsia" w:ascii="仿宋_GB2312" w:eastAsia="仿宋_GB2312"/>
          <w:sz w:val="32"/>
          <w:szCs w:val="32"/>
        </w:rPr>
        <w:t>2、做好昌吉市工商联履行政治协商、参政议政、民主监督职能的有关工作。</w:t>
      </w:r>
    </w:p>
    <w:p>
      <w:pPr>
        <w:ind w:firstLine="640" w:firstLineChars="200"/>
        <w:rPr>
          <w:rFonts w:ascii="仿宋_GB2312" w:eastAsia="仿宋_GB2312"/>
          <w:sz w:val="32"/>
          <w:szCs w:val="32"/>
        </w:rPr>
      </w:pPr>
      <w:r>
        <w:rPr>
          <w:rFonts w:hint="eastAsia" w:ascii="仿宋_GB2312" w:eastAsia="仿宋_GB2312"/>
          <w:sz w:val="32"/>
          <w:szCs w:val="32"/>
        </w:rPr>
        <w:t>3、宣传党和国家的方针政策，开展非公有制经济人士思想政治工作。做好非公有制经济代表人士的日常联系、考察、培养工作，协助做好政治安排推荐的有关工作。</w:t>
      </w:r>
    </w:p>
    <w:p>
      <w:pPr>
        <w:ind w:firstLine="640" w:firstLineChars="200"/>
        <w:rPr>
          <w:rFonts w:ascii="仿宋_GB2312" w:eastAsia="仿宋_GB2312"/>
          <w:sz w:val="32"/>
          <w:szCs w:val="32"/>
        </w:rPr>
      </w:pPr>
      <w:r>
        <w:rPr>
          <w:rFonts w:hint="eastAsia" w:ascii="仿宋_GB2312" w:eastAsia="仿宋_GB2312"/>
          <w:sz w:val="32"/>
          <w:szCs w:val="32"/>
        </w:rPr>
        <w:t xml:space="preserve">4、负责昌吉市商会具体工作，加强与政府部门及有关经济组织的联系，为会员企业开展经济活动提供服务。   </w:t>
      </w:r>
    </w:p>
    <w:p>
      <w:pPr>
        <w:ind w:firstLine="640" w:firstLineChars="200"/>
        <w:rPr>
          <w:rFonts w:ascii="仿宋_GB2312" w:eastAsia="仿宋_GB2312"/>
          <w:sz w:val="32"/>
          <w:szCs w:val="32"/>
        </w:rPr>
      </w:pPr>
      <w:r>
        <w:rPr>
          <w:rFonts w:hint="eastAsia" w:ascii="仿宋_GB2312" w:eastAsia="仿宋_GB2312"/>
          <w:sz w:val="32"/>
          <w:szCs w:val="32"/>
        </w:rPr>
        <w:t>5、依照法律和《中国工商业联合会章程》，维护会员的合法权利；反映会员的意见、建议，为会员提供服务，帮助解决生产经营中的实际问题。</w:t>
      </w:r>
    </w:p>
    <w:p>
      <w:pPr>
        <w:ind w:firstLine="640" w:firstLineChars="200"/>
        <w:rPr>
          <w:rFonts w:ascii="仿宋_GB2312" w:eastAsia="仿宋_GB2312"/>
          <w:sz w:val="32"/>
          <w:szCs w:val="32"/>
        </w:rPr>
      </w:pPr>
      <w:r>
        <w:rPr>
          <w:rFonts w:hint="eastAsia" w:ascii="仿宋_GB2312" w:eastAsia="仿宋_GB2312"/>
          <w:sz w:val="32"/>
          <w:szCs w:val="32"/>
        </w:rPr>
        <w:t>6、加强对外联系，促进经济、技术和贸易合作，协助引进资金、技术、人才。</w:t>
      </w:r>
    </w:p>
    <w:p>
      <w:pPr>
        <w:ind w:firstLine="640" w:firstLineChars="200"/>
        <w:rPr>
          <w:rFonts w:ascii="仿宋_GB2312" w:eastAsia="仿宋_GB2312"/>
          <w:sz w:val="32"/>
          <w:szCs w:val="32"/>
        </w:rPr>
      </w:pPr>
      <w:r>
        <w:rPr>
          <w:rFonts w:hint="eastAsia" w:ascii="仿宋_GB2312" w:eastAsia="仿宋_GB2312"/>
          <w:sz w:val="32"/>
          <w:szCs w:val="32"/>
        </w:rPr>
        <w:t>7、开展工商专业培训，帮助会员改善经营管理，提高生产技术和产品质量。</w:t>
      </w:r>
    </w:p>
    <w:p>
      <w:pPr>
        <w:ind w:firstLine="640" w:firstLineChars="200"/>
        <w:rPr>
          <w:rFonts w:ascii="仿宋_GB2312" w:eastAsia="仿宋_GB2312"/>
          <w:sz w:val="32"/>
          <w:szCs w:val="32"/>
        </w:rPr>
      </w:pPr>
      <w:r>
        <w:rPr>
          <w:rFonts w:hint="eastAsia" w:ascii="仿宋_GB2312" w:eastAsia="仿宋_GB2312"/>
          <w:sz w:val="32"/>
          <w:szCs w:val="32"/>
        </w:rPr>
        <w:t>8、对基层工商联工作进行业务指导。</w:t>
      </w:r>
    </w:p>
    <w:p>
      <w:pPr>
        <w:ind w:firstLine="640" w:firstLineChars="200"/>
        <w:rPr>
          <w:rFonts w:ascii="仿宋_GB2312" w:eastAsia="仿宋_GB2312"/>
          <w:sz w:val="32"/>
          <w:szCs w:val="32"/>
        </w:rPr>
      </w:pPr>
      <w:r>
        <w:rPr>
          <w:rFonts w:hint="eastAsia" w:ascii="仿宋_GB2312" w:eastAsia="仿宋_GB2312"/>
          <w:sz w:val="32"/>
          <w:szCs w:val="32"/>
        </w:rPr>
        <w:t>9、承担昌吉市党委、人民政府授权和交办的其他工作。</w:t>
      </w:r>
    </w:p>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二、机构设置及人员情况</w:t>
      </w:r>
    </w:p>
    <w:p>
      <w:pPr>
        <w:ind w:firstLine="640" w:firstLineChars="200"/>
        <w:rPr>
          <w:rFonts w:ascii="仿宋_GB2312" w:eastAsia="仿宋_GB2312"/>
          <w:sz w:val="32"/>
          <w:szCs w:val="32"/>
        </w:rPr>
      </w:pPr>
      <w:r>
        <w:rPr>
          <w:rFonts w:hint="eastAsia" w:ascii="仿宋_GB2312" w:eastAsia="仿宋_GB2312"/>
          <w:sz w:val="32"/>
          <w:szCs w:val="32"/>
        </w:rPr>
        <w:t>昌吉市工商业联合会2019年度，实有人数12人，其中：在职7人，离休人员0人，退休人员5人。</w:t>
      </w:r>
    </w:p>
    <w:p>
      <w:pPr>
        <w:ind w:firstLine="640" w:firstLineChars="200"/>
        <w:rPr>
          <w:rFonts w:ascii="仿宋_GB2312" w:eastAsia="仿宋_GB2312"/>
          <w:sz w:val="32"/>
          <w:szCs w:val="32"/>
        </w:rPr>
      </w:pPr>
      <w:r>
        <w:rPr>
          <w:rFonts w:hint="eastAsia" w:ascii="仿宋_GB2312" w:eastAsia="仿宋_GB2312"/>
          <w:sz w:val="32"/>
          <w:szCs w:val="32"/>
        </w:rPr>
        <w:t>从决算单位构成看，昌吉市工商业联合会部门决算包括：昌吉市工商业联合会部门决算。</w:t>
      </w:r>
    </w:p>
    <w:p>
      <w:pPr>
        <w:ind w:firstLine="640" w:firstLineChars="200"/>
        <w:jc w:val="center"/>
        <w:outlineLvl w:val="0"/>
        <w:rPr>
          <w:rFonts w:ascii="仿宋_GB2312" w:eastAsia="仿宋_GB2312"/>
          <w:sz w:val="32"/>
          <w:szCs w:val="32"/>
        </w:rPr>
      </w:pPr>
      <w:bookmarkStart w:id="0" w:name="_Toc29374"/>
      <w:bookmarkStart w:id="1" w:name="_Toc3092"/>
      <w:r>
        <w:rPr>
          <w:rFonts w:hint="eastAsia" w:ascii="黑体" w:hAnsi="黑体" w:eastAsia="黑体"/>
          <w:sz w:val="32"/>
          <w:szCs w:val="32"/>
        </w:rPr>
        <w:t>第二部分 部门决算情况说明</w:t>
      </w:r>
      <w:bookmarkEnd w:id="0"/>
      <w:bookmarkEnd w:id="1"/>
    </w:p>
    <w:p>
      <w:pPr>
        <w:ind w:firstLine="640" w:firstLineChars="200"/>
        <w:rPr>
          <w:rFonts w:ascii="黑体" w:hAnsi="黑体" w:eastAsia="黑体" w:cs="黑体"/>
          <w:sz w:val="32"/>
          <w:szCs w:val="32"/>
        </w:rPr>
      </w:pPr>
      <w:r>
        <w:rPr>
          <w:rFonts w:hint="eastAsia" w:ascii="黑体" w:hAnsi="黑体" w:eastAsia="黑体" w:cs="黑体"/>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2019年度收入136.66万元,与上年相比，增加20.81万元，增长17.96%，主要原因是：财政预算增加访惠聚工作经费；支出136.66万元,与上年相比，增加20.81万元，增长17.96%，主要原因是：财政预算增加访惠聚工作经费。</w:t>
      </w:r>
    </w:p>
    <w:p>
      <w:pPr>
        <w:ind w:firstLine="640" w:firstLineChars="200"/>
        <w:rPr>
          <w:rFonts w:ascii="黑体" w:hAnsi="黑体" w:eastAsia="黑体" w:cs="黑体"/>
          <w:sz w:val="32"/>
          <w:szCs w:val="32"/>
        </w:rPr>
      </w:pPr>
      <w:r>
        <w:rPr>
          <w:rFonts w:hint="eastAsia" w:ascii="黑体" w:hAnsi="黑体" w:eastAsia="黑体" w:cs="黑体"/>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2019年度本年收入合计136.66万元，其中：财政拨款收入136.66万元，占100%；上级补助收入0万元，占0%；事业收入0万元，占0%；经营收入0万元，占0%；附属单位缴款0万元，占0%；其他收入0万元，占0%。</w:t>
      </w:r>
    </w:p>
    <w:p>
      <w:pPr>
        <w:ind w:firstLine="640" w:firstLineChars="200"/>
        <w:rPr>
          <w:rFonts w:ascii="黑体" w:hAnsi="黑体" w:eastAsia="黑体" w:cs="黑体"/>
          <w:sz w:val="32"/>
          <w:szCs w:val="32"/>
        </w:rPr>
      </w:pPr>
      <w:r>
        <w:rPr>
          <w:rFonts w:hint="eastAsia" w:ascii="黑体" w:hAnsi="黑体" w:eastAsia="黑体" w:cs="黑体"/>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2019年度本年支出136.66万元，其中：基本支出123.66万元，占90.49%；项目支出13万元，占9.51%；上缴上级支出0万元，占0%；经营支出0万元，占0%；对附属单位补助支出0万元，占0%。</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四、财政拨款收入支出决算总体情况说明</w:t>
      </w:r>
      <w:r>
        <w:rPr>
          <w:rFonts w:hint="eastAsia" w:ascii="仿宋_GB2312" w:hAnsi="仿宋_GB2312" w:eastAsia="仿宋_GB2312" w:cs="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2019年度财政拨款收入136.66万元，与上年相比，增加20.81万元，增长17.96%。主要原因是：财政预算增加访惠聚工作经费。财政拨款支出136.66万元，与上年相比，增加20.81万元，增长17.96%，主要原因是：财政预算增加访惠聚工作经费。</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96.35万元，决算数136.66万元，预决算差异率41.83%，主要原因财政预算增加访惠聚工作经费。财政拨款支出年初预算数96.35万元，决算数136.66万元，预决算差异率41.83%，差异主要原因财政预算增加访惠聚工作经费。</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2019年度一般公共预算财政拨款收入136.66万元。按功能分类科目项级科目公开，其中：</w:t>
      </w:r>
    </w:p>
    <w:p>
      <w:pPr>
        <w:ind w:firstLine="640" w:firstLineChars="200"/>
        <w:rPr>
          <w:rFonts w:ascii="仿宋_GB2312" w:eastAsia="仿宋_GB2312"/>
          <w:sz w:val="32"/>
          <w:szCs w:val="32"/>
        </w:rPr>
      </w:pPr>
      <w:r>
        <w:rPr>
          <w:rFonts w:hint="eastAsia" w:ascii="仿宋_GB2312" w:eastAsia="仿宋_GB2312"/>
          <w:sz w:val="32"/>
          <w:szCs w:val="32"/>
        </w:rPr>
        <w:t>2012801行政运行108.61万元；</w:t>
      </w:r>
    </w:p>
    <w:p>
      <w:pPr>
        <w:ind w:firstLine="640" w:firstLineChars="200"/>
        <w:rPr>
          <w:rFonts w:ascii="仿宋_GB2312" w:eastAsia="仿宋_GB2312"/>
          <w:sz w:val="32"/>
          <w:szCs w:val="32"/>
        </w:rPr>
      </w:pPr>
      <w:r>
        <w:rPr>
          <w:rFonts w:hint="eastAsia" w:ascii="仿宋_GB2312" w:eastAsia="仿宋_GB2312"/>
          <w:sz w:val="32"/>
          <w:szCs w:val="32"/>
        </w:rPr>
        <w:t>2013299其他组织事务支出13万元；</w:t>
      </w:r>
    </w:p>
    <w:p>
      <w:pPr>
        <w:ind w:firstLine="640" w:firstLineChars="200"/>
        <w:rPr>
          <w:rFonts w:ascii="仿宋_GB2312" w:eastAsia="仿宋_GB2312"/>
          <w:sz w:val="32"/>
          <w:szCs w:val="32"/>
        </w:rPr>
      </w:pPr>
      <w:r>
        <w:rPr>
          <w:rFonts w:hint="eastAsia" w:ascii="仿宋_GB2312" w:eastAsia="仿宋_GB2312"/>
          <w:sz w:val="32"/>
          <w:szCs w:val="32"/>
        </w:rPr>
        <w:t>2080505机关事业单位基本养老保险缴费支出9.62万元；</w:t>
      </w:r>
    </w:p>
    <w:p>
      <w:pPr>
        <w:ind w:firstLine="640" w:firstLineChars="200"/>
        <w:rPr>
          <w:rFonts w:ascii="仿宋_GB2312" w:eastAsia="仿宋_GB2312"/>
          <w:sz w:val="32"/>
          <w:szCs w:val="32"/>
        </w:rPr>
      </w:pPr>
      <w:r>
        <w:rPr>
          <w:rFonts w:hint="eastAsia" w:ascii="仿宋_GB2312" w:eastAsia="仿宋_GB2312"/>
          <w:sz w:val="32"/>
          <w:szCs w:val="32"/>
        </w:rPr>
        <w:t>2080506机关事业单位职业年金缴费支出5.44万元。</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2019年度一般公共预算财政拨款基本支出123.66万元，其中：</w:t>
      </w:r>
    </w:p>
    <w:p>
      <w:pPr>
        <w:ind w:firstLine="640" w:firstLineChars="200"/>
        <w:rPr>
          <w:rFonts w:ascii="仿宋_GB2312" w:eastAsia="仿宋_GB2312"/>
          <w:sz w:val="32"/>
          <w:szCs w:val="32"/>
        </w:rPr>
      </w:pPr>
      <w:r>
        <w:rPr>
          <w:rFonts w:hint="eastAsia" w:ascii="仿宋_GB2312" w:eastAsia="仿宋_GB2312"/>
          <w:sz w:val="32"/>
          <w:szCs w:val="32"/>
        </w:rPr>
        <w:t>人员经费108.82万元，包括：基本工资、津贴补贴、奖金、机关事业单位基本养老保险缴费、职业年金缴费、职工基本医疗保险缴费、公务员医疗补助缴费、住房公积金、其他对个人和家庭的补助、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公用经费14.84万元，包括：办公费、邮电费、维修（护）费、租赁费、专用材料费、劳务费、公务用车运行维护费、其他商品和服务支出、办公设备购置。</w:t>
      </w:r>
    </w:p>
    <w:p>
      <w:pPr>
        <w:ind w:firstLine="640" w:firstLineChars="200"/>
        <w:rPr>
          <w:rFonts w:ascii="黑体" w:hAnsi="黑体" w:eastAsia="黑体" w:cs="黑体"/>
          <w:sz w:val="32"/>
          <w:szCs w:val="32"/>
        </w:rPr>
      </w:pPr>
      <w:r>
        <w:rPr>
          <w:rFonts w:hint="eastAsia" w:ascii="黑体" w:hAnsi="黑体" w:eastAsia="黑体" w:cs="黑体"/>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highlight w:val="none"/>
        </w:rPr>
        <w:t>2019年度一般公共预算“三公”经费支出决算1.86万元，比上年增加0.31万元，增长</w:t>
      </w:r>
      <w:r>
        <w:rPr>
          <w:rFonts w:hint="eastAsia" w:ascii="仿宋_GB2312" w:eastAsia="仿宋_GB2312"/>
          <w:sz w:val="32"/>
          <w:szCs w:val="32"/>
          <w:highlight w:val="none"/>
          <w:lang w:val="en-US" w:eastAsia="zh-CN"/>
        </w:rPr>
        <w:t>14.26</w:t>
      </w:r>
      <w:r>
        <w:rPr>
          <w:rFonts w:hint="eastAsia" w:ascii="仿宋_GB2312" w:eastAsia="仿宋_GB2312"/>
          <w:sz w:val="32"/>
          <w:szCs w:val="32"/>
          <w:highlight w:val="none"/>
        </w:rPr>
        <w:t>%，主要</w:t>
      </w:r>
      <w:r>
        <w:rPr>
          <w:rFonts w:hint="eastAsia" w:ascii="仿宋_GB2312" w:eastAsia="仿宋_GB2312"/>
          <w:sz w:val="32"/>
          <w:szCs w:val="32"/>
        </w:rPr>
        <w:t>原因是车辆运行维护费用增加。其中，因公出国（境）费支出0万元，占0%，比上年增加0万元，增长0%，主要原因是此项开支；公务用车购置及运行维护费支出1.86万元，占100%，比上年增加0.31万元，增长20.00%，主要原因是车辆运行维修费用增加；公务接待费支出0万元，占0%，比上年增加0万元，增长0%，主要原因是无此项开支。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因公出国（境）费支出0万元。开支内容包括：无此项开支。昌吉市工商业联合会全年安排的因公出国（境）团组0个，因公出国（境）0人次。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公务用车购置及运行维护费1.86万元,其中，公务用车购置0万元，公务用车运行维护费1.86万元。公务用车运行维护费开支内容包括：车辆加油、维修及购买保险等。公务用车购置数0辆，公务用车保有量为2辆。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公务接待费0万元，开支内容包括：无此项开支。昌吉市工商业联合会安排的国内公务接待0批次，0人次。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5.2万元，决算数1.86万元，预决算差异率－64.23%，主要原因严格管理车辆费用支出，节约开支。其中：因公出国（境）费预算数0万元，决算数0万元，预决算差异率0%，主要原因预算未安排；公务用车购置预算数0万元，决算数0万元，预决算差异率0%，主要原因预算未安排；公务用车运行费预算数5.2万元，决算数1.86万元，预决算差异率－64.23%，主要原因严格管理车辆费用支出，节约开支；公务接待费预算数0万元，决算数0万元，预决算差异率0%，主要原因预算未安排。</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八、政府性基金预算收入支出决算情况说明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rPr>
          <w:rFonts w:ascii="黑体" w:hAnsi="黑体" w:eastAsia="黑体" w:cs="黑体"/>
          <w:sz w:val="32"/>
          <w:szCs w:val="32"/>
        </w:rPr>
      </w:pPr>
      <w:r>
        <w:rPr>
          <w:rFonts w:hint="eastAsia" w:ascii="黑体" w:hAnsi="黑体" w:eastAsia="黑体" w:cs="黑体"/>
          <w:sz w:val="32"/>
          <w:szCs w:val="32"/>
        </w:rPr>
        <w:t>九、其他重要事项的情况说明</w:t>
      </w:r>
    </w:p>
    <w:p>
      <w:pPr>
        <w:ind w:firstLine="640" w:firstLineChars="200"/>
        <w:rPr>
          <w:rFonts w:ascii="黑体" w:hAnsi="黑体" w:eastAsia="黑体" w:cs="黑体"/>
          <w:sz w:val="32"/>
          <w:szCs w:val="32"/>
        </w:rPr>
      </w:pPr>
      <w:r>
        <w:rPr>
          <w:rFonts w:hint="eastAsia" w:ascii="黑体" w:hAnsi="黑体" w:eastAsia="黑体" w:cs="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2019年度昌吉市工商业联合会机关运行经费支出14.84万元，比上年减少2.48万元，降低14.31%，主要原因是加强管理，减少浪费。</w:t>
      </w:r>
    </w:p>
    <w:p>
      <w:pPr>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2019年度政府采购支出总额4.56万元，其中：政府采购货物支出2.65万元、政府采购工程支出0万元、政府采购服务支出1.91万元。</w:t>
      </w:r>
    </w:p>
    <w:p>
      <w:pPr>
        <w:ind w:firstLine="640" w:firstLineChars="200"/>
        <w:rPr>
          <w:rFonts w:ascii="仿宋_GB2312" w:eastAsia="仿宋_GB2312"/>
          <w:sz w:val="32"/>
          <w:szCs w:val="32"/>
          <w:lang w:val="en-GB"/>
        </w:rPr>
      </w:pPr>
      <w:r>
        <w:rPr>
          <w:rFonts w:hint="eastAsia" w:ascii="仿宋_GB2312" w:eastAsia="仿宋_GB2312"/>
          <w:sz w:val="32"/>
          <w:szCs w:val="32"/>
        </w:rPr>
        <w:t>授予中小企业合同金额0万元，占政府采购支出总额的0%，其中：授予小微企业合同金额0万元，占政府采购支出总额的0%。</w:t>
      </w:r>
    </w:p>
    <w:p>
      <w:pPr>
        <w:ind w:firstLine="640" w:firstLineChars="200"/>
        <w:rPr>
          <w:rFonts w:ascii="黑体" w:hAnsi="黑体" w:eastAsia="黑体" w:cs="黑体"/>
          <w:sz w:val="32"/>
          <w:szCs w:val="32"/>
        </w:rPr>
      </w:pPr>
      <w:r>
        <w:rPr>
          <w:rFonts w:hint="eastAsia" w:ascii="黑体" w:hAnsi="黑体" w:eastAsia="黑体" w:cs="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至2019年12月31日，昌吉市工商业联合会共有车辆2辆，价值27.08万元，其中：部级领导干部用车0辆、主要领导干部用车1辆、机要通信用车0辆、应急保障用车0辆、执法执勤用车0辆、特种专业技术用车0辆、离退休干部用车0辆、其他用车1辆，其他用车主要是：公务用车；单位价值50万元以上通用设备0台（套）、单位价值100万元以上专用设备0台（套）。</w:t>
      </w:r>
    </w:p>
    <w:p>
      <w:pPr>
        <w:ind w:firstLine="640" w:firstLineChars="200"/>
        <w:rPr>
          <w:rFonts w:ascii="黑体" w:hAnsi="黑体" w:eastAsia="黑体" w:cs="黑体"/>
          <w:sz w:val="32"/>
          <w:szCs w:val="32"/>
          <w:highlight w:val="none"/>
        </w:rPr>
      </w:pPr>
      <w:bookmarkStart w:id="22" w:name="_GoBack"/>
      <w:r>
        <w:rPr>
          <w:rFonts w:hint="eastAsia" w:ascii="黑体" w:hAnsi="黑体" w:eastAsia="黑体" w:cs="黑体"/>
          <w:sz w:val="32"/>
          <w:szCs w:val="32"/>
          <w:highlight w:val="none"/>
        </w:rPr>
        <w:t>十、预算绩效的情况说明</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根据预算绩效管理要求，我单位2019年度开展预算绩效评价项目1个，共涉及资金13.00万元。预算管理取得的成效：一是改善了居民出行安全，提升群众安全感；二是改善了居民居住环境，提升群众幸福感。发现的问题及原因：无问题。下一步改进措施：无措施。具体项目自评情况附项目支出绩效自评表。</w:t>
      </w:r>
    </w:p>
    <w:p>
      <w:pPr>
        <w:ind w:firstLine="640" w:firstLineChars="200"/>
        <w:rPr>
          <w:rFonts w:ascii="仿宋_GB2312" w:eastAsia="仿宋_GB2312"/>
          <w:sz w:val="32"/>
          <w:szCs w:val="32"/>
          <w:highlight w:val="none"/>
        </w:rPr>
      </w:pPr>
    </w:p>
    <w:bookmarkEnd w:id="22"/>
    <w:tbl>
      <w:tblPr>
        <w:tblStyle w:val="9"/>
        <w:tblW w:w="8861" w:type="dxa"/>
        <w:tblInd w:w="0" w:type="dxa"/>
        <w:tblLayout w:type="fixed"/>
        <w:tblCellMar>
          <w:top w:w="15" w:type="dxa"/>
          <w:left w:w="15" w:type="dxa"/>
          <w:bottom w:w="15" w:type="dxa"/>
          <w:right w:w="15" w:type="dxa"/>
        </w:tblCellMar>
      </w:tblPr>
      <w:tblGrid>
        <w:gridCol w:w="617"/>
        <w:gridCol w:w="617"/>
        <w:gridCol w:w="610"/>
        <w:gridCol w:w="613"/>
        <w:gridCol w:w="611"/>
        <w:gridCol w:w="612"/>
        <w:gridCol w:w="323"/>
        <w:gridCol w:w="579"/>
        <w:gridCol w:w="433"/>
        <w:gridCol w:w="182"/>
        <w:gridCol w:w="306"/>
        <w:gridCol w:w="306"/>
        <w:gridCol w:w="609"/>
        <w:gridCol w:w="135"/>
        <w:gridCol w:w="1090"/>
        <w:gridCol w:w="136"/>
        <w:gridCol w:w="1082"/>
      </w:tblGrid>
      <w:tr>
        <w:tblPrEx>
          <w:tblLayout w:type="fixed"/>
          <w:tblCellMar>
            <w:top w:w="15" w:type="dxa"/>
            <w:left w:w="15" w:type="dxa"/>
            <w:bottom w:w="15" w:type="dxa"/>
            <w:right w:w="15" w:type="dxa"/>
          </w:tblCellMar>
        </w:tblPrEx>
        <w:trPr>
          <w:trHeight w:val="405" w:hRule="atLeast"/>
        </w:trPr>
        <w:tc>
          <w:tcPr>
            <w:tcW w:w="8861" w:type="dxa"/>
            <w:gridSpan w:val="17"/>
            <w:shd w:val="clear" w:color="auto" w:fill="auto"/>
            <w:vAlign w:val="center"/>
          </w:tcPr>
          <w:p>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Layout w:type="fixed"/>
          <w:tblCellMar>
            <w:top w:w="15" w:type="dxa"/>
            <w:left w:w="15" w:type="dxa"/>
            <w:bottom w:w="15" w:type="dxa"/>
            <w:right w:w="15" w:type="dxa"/>
          </w:tblCellMar>
        </w:tblPrEx>
        <w:trPr>
          <w:trHeight w:val="285" w:hRule="atLeast"/>
        </w:trPr>
        <w:tc>
          <w:tcPr>
            <w:tcW w:w="8861" w:type="dxa"/>
            <w:gridSpan w:val="17"/>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（2019年度）</w:t>
            </w:r>
          </w:p>
        </w:tc>
      </w:tr>
      <w:tr>
        <w:tblPrEx>
          <w:tblLayout w:type="fixed"/>
          <w:tblCellMar>
            <w:top w:w="15" w:type="dxa"/>
            <w:left w:w="15" w:type="dxa"/>
            <w:bottom w:w="15" w:type="dxa"/>
            <w:right w:w="15" w:type="dxa"/>
          </w:tblCellMar>
        </w:tblPrEx>
        <w:trPr>
          <w:trHeight w:val="285" w:hRule="atLeast"/>
        </w:trPr>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627"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2019年“为民办实事”工作经费</w:t>
            </w:r>
          </w:p>
        </w:tc>
      </w:tr>
      <w:tr>
        <w:tblPrEx>
          <w:tblLayout w:type="fixed"/>
          <w:tblCellMar>
            <w:top w:w="15" w:type="dxa"/>
            <w:left w:w="15" w:type="dxa"/>
            <w:bottom w:w="15" w:type="dxa"/>
            <w:right w:w="15" w:type="dxa"/>
          </w:tblCellMar>
        </w:tblPrEx>
        <w:trPr>
          <w:trHeight w:val="285" w:hRule="atLeast"/>
        </w:trPr>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w:t>
            </w:r>
          </w:p>
        </w:tc>
        <w:tc>
          <w:tcPr>
            <w:tcW w:w="33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昌吉市工商业联合会</w:t>
            </w: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0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北京南路街道文化宫社区为民办实事工作队</w:t>
            </w:r>
          </w:p>
        </w:tc>
      </w:tr>
      <w:tr>
        <w:tblPrEx>
          <w:tblLayout w:type="fixed"/>
          <w:tblCellMar>
            <w:top w:w="15" w:type="dxa"/>
            <w:left w:w="15" w:type="dxa"/>
            <w:bottom w:w="15" w:type="dxa"/>
            <w:right w:w="15" w:type="dxa"/>
          </w:tblCellMar>
        </w:tblPrEx>
        <w:trPr>
          <w:trHeight w:val="742" w:hRule="atLeast"/>
        </w:trPr>
        <w:tc>
          <w:tcPr>
            <w:tcW w:w="12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项目资金       （万元）</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年初预算数</w:t>
            </w: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全年预算数</w:t>
            </w: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全年执行数</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执行率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得分</w:t>
            </w:r>
          </w:p>
        </w:tc>
      </w:tr>
      <w:tr>
        <w:tblPrEx>
          <w:tblLayout w:type="fixed"/>
          <w:tblCellMar>
            <w:top w:w="15" w:type="dxa"/>
            <w:left w:w="15" w:type="dxa"/>
            <w:bottom w:w="15" w:type="dxa"/>
            <w:right w:w="15" w:type="dxa"/>
          </w:tblCellMar>
        </w:tblPrEx>
        <w:trPr>
          <w:trHeight w:val="285" w:hRule="atLeast"/>
        </w:trPr>
        <w:tc>
          <w:tcPr>
            <w:tcW w:w="12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2"/>
                <w:szCs w:val="22"/>
              </w:rPr>
            </w:pPr>
            <w:r>
              <w:rPr>
                <w:rFonts w:hint="eastAsia" w:ascii="宋体" w:hAnsi="宋体" w:cs="宋体"/>
                <w:color w:val="000000"/>
                <w:kern w:val="0"/>
                <w:sz w:val="22"/>
                <w:szCs w:val="22"/>
                <w:lang w:bidi="ar"/>
              </w:rPr>
              <w:t>年度资金总额</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13.00 </w:t>
            </w: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13.00 </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100.0%</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r>
        <w:tblPrEx>
          <w:tblLayout w:type="fixed"/>
          <w:tblCellMar>
            <w:top w:w="15" w:type="dxa"/>
            <w:left w:w="15" w:type="dxa"/>
            <w:bottom w:w="15" w:type="dxa"/>
            <w:right w:w="15" w:type="dxa"/>
          </w:tblCellMar>
        </w:tblPrEx>
        <w:trPr>
          <w:trHeight w:val="285" w:hRule="atLeast"/>
        </w:trPr>
        <w:tc>
          <w:tcPr>
            <w:tcW w:w="12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其中：当年财政拨款</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13.00 </w:t>
            </w: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13.00 </w:t>
            </w: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15" w:type="dxa"/>
            <w:left w:w="15" w:type="dxa"/>
            <w:bottom w:w="15" w:type="dxa"/>
            <w:right w:w="15" w:type="dxa"/>
          </w:tblCellMar>
        </w:tblPrEx>
        <w:trPr>
          <w:trHeight w:val="285" w:hRule="atLeast"/>
        </w:trPr>
        <w:tc>
          <w:tcPr>
            <w:tcW w:w="12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上年结转资金</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15" w:type="dxa"/>
            <w:left w:w="15" w:type="dxa"/>
            <w:bottom w:w="15" w:type="dxa"/>
            <w:right w:w="15" w:type="dxa"/>
          </w:tblCellMar>
        </w:tblPrEx>
        <w:trPr>
          <w:trHeight w:val="285" w:hRule="atLeast"/>
        </w:trPr>
        <w:tc>
          <w:tcPr>
            <w:tcW w:w="12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15" w:type="dxa"/>
            <w:left w:w="15" w:type="dxa"/>
            <w:bottom w:w="15" w:type="dxa"/>
            <w:right w:w="15" w:type="dxa"/>
          </w:tblCellMar>
        </w:tblPrEx>
        <w:trPr>
          <w:trHeight w:val="360" w:hRule="atLeast"/>
        </w:trPr>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年度总体目标</w:t>
            </w:r>
          </w:p>
        </w:tc>
        <w:tc>
          <w:tcPr>
            <w:tcW w:w="39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预期目标</w:t>
            </w:r>
          </w:p>
        </w:tc>
        <w:tc>
          <w:tcPr>
            <w:tcW w:w="427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实际完成情况</w:t>
            </w:r>
          </w:p>
        </w:tc>
      </w:tr>
      <w:tr>
        <w:tblPrEx>
          <w:tblLayout w:type="fixed"/>
          <w:tblCellMar>
            <w:top w:w="15" w:type="dxa"/>
            <w:left w:w="15" w:type="dxa"/>
            <w:bottom w:w="15" w:type="dxa"/>
            <w:right w:w="15" w:type="dxa"/>
          </w:tblCellMar>
        </w:tblPrEx>
        <w:trPr>
          <w:trHeight w:val="2280" w:hRule="atLeast"/>
        </w:trPr>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3965"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围绕实现新疆总目标要求，深入贯彻落实自治区党委政府各项政策和工作部署及“为民办实事”驻（村）社区“1+2+5”八项工作目标任务，坚强基层基础、做好群众工作、办好实事好事，拓展致富门路等，不断提升群众的安全感、获得感和幸福感。</w:t>
            </w:r>
          </w:p>
        </w:tc>
        <w:tc>
          <w:tcPr>
            <w:tcW w:w="4279" w:type="dxa"/>
            <w:gridSpan w:val="9"/>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1.完成新建居民小区路灯13盏亮化工程；2.新建老旧小区绿化美化1000平；3.改造广场周边绿化亮化工程2处；4.协助修缮小区共用排污、供水等官网3处；5.完成新安装3个居民小区健身器材配置13套；6.为网格支部新购置文体健身器材2套；7.新建社区储物间1间；8.新建和改造社区值班休息室；9.综合改造社区为民服务公共卫生间；10.文化活动设施修缮工程4件；11.为社区体育队、文艺队新购置服装50套；12.为社区值班室安装空调1台；13.走访慰问小区低保户、困难户及模范人物及网格支部书记、委员，退役伤残军人及便民警备站等群众121户。</w:t>
            </w:r>
          </w:p>
        </w:tc>
      </w:tr>
      <w:tr>
        <w:tblPrEx>
          <w:tblLayout w:type="fixed"/>
          <w:tblCellMar>
            <w:top w:w="15" w:type="dxa"/>
            <w:left w:w="15" w:type="dxa"/>
            <w:bottom w:w="15" w:type="dxa"/>
            <w:right w:w="15" w:type="dxa"/>
          </w:tblCellMar>
        </w:tblPrEx>
        <w:trPr>
          <w:trHeight w:val="285" w:hRule="atLeast"/>
        </w:trPr>
        <w:tc>
          <w:tcPr>
            <w:tcW w:w="61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绩              效    指    标</w:t>
            </w: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183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年度</w:t>
            </w:r>
          </w:p>
        </w:tc>
        <w:tc>
          <w:tcPr>
            <w:tcW w:w="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实际</w:t>
            </w:r>
          </w:p>
        </w:tc>
        <w:tc>
          <w:tcPr>
            <w:tcW w:w="12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w:t>
            </w:r>
          </w:p>
        </w:tc>
        <w:tc>
          <w:tcPr>
            <w:tcW w:w="1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得分</w:t>
            </w:r>
          </w:p>
        </w:tc>
        <w:tc>
          <w:tcPr>
            <w:tcW w:w="12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偏差原因分析及改进措施</w:t>
            </w:r>
          </w:p>
        </w:tc>
      </w:tr>
      <w:tr>
        <w:tblPrEx>
          <w:tblLayout w:type="fixed"/>
          <w:tblCellMar>
            <w:top w:w="15" w:type="dxa"/>
            <w:left w:w="15" w:type="dxa"/>
            <w:bottom w:w="15" w:type="dxa"/>
            <w:right w:w="15" w:type="dxa"/>
          </w:tblCellMar>
        </w:tblPrEx>
        <w:trPr>
          <w:trHeight w:val="285"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83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完成值</w:t>
            </w:r>
          </w:p>
        </w:tc>
        <w:tc>
          <w:tcPr>
            <w:tcW w:w="12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2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r>
      <w:tr>
        <w:tblPrEx>
          <w:tblLayout w:type="fixed"/>
          <w:tblCellMar>
            <w:top w:w="15" w:type="dxa"/>
            <w:left w:w="15" w:type="dxa"/>
            <w:bottom w:w="15" w:type="dxa"/>
            <w:right w:w="15" w:type="dxa"/>
          </w:tblCellMar>
        </w:tblPrEx>
        <w:trPr>
          <w:trHeight w:val="855"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指标1：完善居民小区健身器材配置，文化活动设置修缮和更新等10件实事好事（件）。</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117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指标2：走访慰问小区低保户、困难户及模范人物及网格支部书记、委员及便民警务站等群众85户（户数）。</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85</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85</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69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指标1：新建居民小区路灯亮化工程达到亮化规定标准。</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285"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时效指标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指标1：任务完成时间</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2019年12月底</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63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成本指标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指标1：驻社区工作队为民办实事经费（万）</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42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指标2：工作队工作经费（万）</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60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指标3：第一书记为民办实事经费（万）</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153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指标1：居民小区亮化工程，新建LED路灯12盏，可以改变居民出行安全，提色居民的安全感。</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改善居民出行安全，提升群众安全感</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81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指标1：居民小区楼栋之间的空间进行绿化美化建设，可改善居民群众的居住环境，提升其幸福感。</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改善居民居住环境，提升群众幸福感</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810" w:hRule="atLeast"/>
        </w:trPr>
        <w:tc>
          <w:tcPr>
            <w:tcW w:w="61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指标1：广泛地宣传社保、医疗、就业等党的惠民政策,受益群众满意度</w:t>
            </w:r>
          </w:p>
        </w:tc>
        <w:tc>
          <w:tcPr>
            <w:tcW w:w="10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无偏差</w:t>
            </w:r>
          </w:p>
        </w:tc>
      </w:tr>
      <w:tr>
        <w:tblPrEx>
          <w:tblLayout w:type="fixed"/>
          <w:tblCellMar>
            <w:top w:w="15" w:type="dxa"/>
            <w:left w:w="15" w:type="dxa"/>
            <w:bottom w:w="15" w:type="dxa"/>
            <w:right w:w="15" w:type="dxa"/>
          </w:tblCellMar>
        </w:tblPrEx>
        <w:trPr>
          <w:trHeight w:val="420" w:hRule="atLeast"/>
        </w:trPr>
        <w:tc>
          <w:tcPr>
            <w:tcW w:w="550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总分</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2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r>
    </w:tbl>
    <w:p>
      <w:pPr>
        <w:ind w:firstLine="640" w:firstLineChars="200"/>
        <w:rPr>
          <w:rFonts w:ascii="仿宋_GB2312" w:eastAsia="仿宋_GB2312"/>
          <w:sz w:val="32"/>
          <w:szCs w:val="32"/>
          <w:highlight w:val="yellow"/>
        </w:rPr>
      </w:pPr>
    </w:p>
    <w:p>
      <w:pPr>
        <w:ind w:firstLine="640" w:firstLineChars="200"/>
        <w:rPr>
          <w:rFonts w:ascii="仿宋_GB2312" w:eastAsia="仿宋_GB2312"/>
          <w:sz w:val="32"/>
          <w:szCs w:val="32"/>
          <w:highlight w:val="yellow"/>
        </w:rPr>
      </w:pPr>
    </w:p>
    <w:p>
      <w:pPr>
        <w:ind w:firstLine="640" w:firstLineChars="200"/>
        <w:jc w:val="center"/>
        <w:outlineLvl w:val="0"/>
        <w:rPr>
          <w:rFonts w:ascii="黑体" w:hAnsi="黑体" w:eastAsia="黑体"/>
          <w:sz w:val="32"/>
          <w:szCs w:val="32"/>
        </w:rPr>
      </w:pPr>
      <w:bookmarkStart w:id="2" w:name="_Toc24143"/>
      <w:bookmarkStart w:id="3" w:name="_Toc3250"/>
      <w:r>
        <w:rPr>
          <w:rFonts w:hint="eastAsia" w:ascii="黑体" w:hAnsi="黑体" w:eastAsia="黑体"/>
          <w:sz w:val="32"/>
          <w:szCs w:val="32"/>
        </w:rPr>
        <w:t>第三部分 专业名词解释</w:t>
      </w:r>
      <w:bookmarkEnd w:id="2"/>
      <w:bookmarkEnd w:id="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4" w:name="_Toc22784"/>
      <w:bookmarkStart w:id="5" w:name="_Toc28903"/>
      <w:r>
        <w:rPr>
          <w:rFonts w:hint="eastAsia" w:ascii="黑体" w:hAnsi="黑体" w:eastAsia="黑体"/>
          <w:sz w:val="32"/>
          <w:szCs w:val="32"/>
        </w:rPr>
        <w:t>第四部分 部门决算报表（见附表）</w:t>
      </w:r>
      <w:bookmarkEnd w:id="4"/>
      <w:bookmarkEnd w:id="5"/>
    </w:p>
    <w:p>
      <w:pPr>
        <w:ind w:firstLine="640" w:firstLineChars="200"/>
        <w:outlineLvl w:val="1"/>
        <w:rPr>
          <w:rFonts w:ascii="黑体" w:hAnsi="黑体" w:eastAsia="黑体" w:cs="宋体"/>
          <w:bCs/>
          <w:kern w:val="0"/>
          <w:sz w:val="32"/>
          <w:szCs w:val="32"/>
        </w:rPr>
      </w:pPr>
      <w:bookmarkStart w:id="6" w:name="_Toc6062"/>
      <w:bookmarkStart w:id="7" w:name="_Toc2183"/>
      <w:r>
        <w:rPr>
          <w:rFonts w:hint="eastAsia" w:ascii="黑体" w:hAnsi="黑体" w:eastAsia="黑体" w:cs="宋体"/>
          <w:bCs/>
          <w:kern w:val="0"/>
          <w:sz w:val="32"/>
          <w:szCs w:val="32"/>
        </w:rPr>
        <w:t>一、《收入支出决算总表》</w:t>
      </w:r>
      <w:bookmarkEnd w:id="6"/>
      <w:bookmarkEnd w:id="7"/>
    </w:p>
    <w:p>
      <w:pPr>
        <w:ind w:firstLine="640" w:firstLineChars="200"/>
        <w:outlineLvl w:val="1"/>
        <w:rPr>
          <w:rFonts w:ascii="黑体" w:hAnsi="黑体" w:eastAsia="黑体" w:cs="宋体"/>
          <w:bCs/>
          <w:kern w:val="0"/>
          <w:sz w:val="32"/>
          <w:szCs w:val="32"/>
        </w:rPr>
      </w:pPr>
      <w:bookmarkStart w:id="8" w:name="_Toc30364"/>
      <w:bookmarkStart w:id="9" w:name="_Toc24532"/>
      <w:r>
        <w:rPr>
          <w:rFonts w:hint="eastAsia" w:ascii="黑体" w:hAnsi="黑体" w:eastAsia="黑体" w:cs="宋体"/>
          <w:bCs/>
          <w:kern w:val="0"/>
          <w:sz w:val="32"/>
          <w:szCs w:val="32"/>
        </w:rPr>
        <w:t>二、《收入决算表》</w:t>
      </w:r>
      <w:bookmarkEnd w:id="8"/>
      <w:bookmarkEnd w:id="9"/>
    </w:p>
    <w:p>
      <w:pPr>
        <w:ind w:firstLine="640" w:firstLineChars="200"/>
        <w:outlineLvl w:val="1"/>
        <w:rPr>
          <w:rFonts w:ascii="黑体" w:hAnsi="黑体" w:eastAsia="黑体" w:cs="宋体"/>
          <w:bCs/>
          <w:kern w:val="0"/>
          <w:sz w:val="32"/>
          <w:szCs w:val="32"/>
        </w:rPr>
      </w:pPr>
      <w:bookmarkStart w:id="10" w:name="_Toc21304"/>
      <w:bookmarkStart w:id="11" w:name="_Toc32434"/>
      <w:r>
        <w:rPr>
          <w:rFonts w:hint="eastAsia" w:ascii="黑体" w:hAnsi="黑体" w:eastAsia="黑体" w:cs="宋体"/>
          <w:bCs/>
          <w:kern w:val="0"/>
          <w:sz w:val="32"/>
          <w:szCs w:val="32"/>
        </w:rPr>
        <w:t>三、《支出决算表》</w:t>
      </w:r>
      <w:bookmarkEnd w:id="10"/>
      <w:bookmarkEnd w:id="11"/>
    </w:p>
    <w:p>
      <w:pPr>
        <w:ind w:firstLine="640" w:firstLineChars="200"/>
        <w:outlineLvl w:val="1"/>
        <w:rPr>
          <w:rFonts w:ascii="黑体" w:hAnsi="黑体" w:eastAsia="黑体" w:cs="宋体"/>
          <w:bCs/>
          <w:kern w:val="0"/>
          <w:sz w:val="32"/>
          <w:szCs w:val="32"/>
        </w:rPr>
      </w:pPr>
      <w:bookmarkStart w:id="12" w:name="_Toc14238"/>
      <w:bookmarkStart w:id="13" w:name="_Toc28786"/>
      <w:r>
        <w:rPr>
          <w:rFonts w:hint="eastAsia" w:ascii="黑体" w:hAnsi="黑体" w:eastAsia="黑体" w:cs="宋体"/>
          <w:bCs/>
          <w:kern w:val="0"/>
          <w:sz w:val="32"/>
          <w:szCs w:val="32"/>
        </w:rPr>
        <w:t>四、《财政拨款收入支出决算总表》</w:t>
      </w:r>
      <w:bookmarkEnd w:id="12"/>
      <w:bookmarkEnd w:id="13"/>
    </w:p>
    <w:p>
      <w:pPr>
        <w:ind w:firstLine="640" w:firstLineChars="200"/>
        <w:outlineLvl w:val="1"/>
        <w:rPr>
          <w:rFonts w:ascii="黑体" w:hAnsi="黑体" w:eastAsia="黑体" w:cs="宋体"/>
          <w:bCs/>
          <w:kern w:val="0"/>
          <w:sz w:val="32"/>
          <w:szCs w:val="32"/>
        </w:rPr>
      </w:pPr>
      <w:bookmarkStart w:id="14" w:name="_Toc10347"/>
      <w:bookmarkStart w:id="15" w:name="_Toc14869"/>
      <w:r>
        <w:rPr>
          <w:rFonts w:hint="eastAsia" w:ascii="黑体" w:hAnsi="黑体" w:eastAsia="黑体" w:cs="宋体"/>
          <w:bCs/>
          <w:kern w:val="0"/>
          <w:sz w:val="32"/>
          <w:szCs w:val="32"/>
        </w:rPr>
        <w:t>五、《一般公共预算财政拨款支出决算表》</w:t>
      </w:r>
      <w:bookmarkEnd w:id="14"/>
      <w:bookmarkEnd w:id="15"/>
    </w:p>
    <w:p>
      <w:pPr>
        <w:ind w:firstLine="640" w:firstLineChars="200"/>
        <w:outlineLvl w:val="1"/>
        <w:rPr>
          <w:rFonts w:ascii="黑体" w:hAnsi="黑体" w:eastAsia="黑体" w:cs="宋体"/>
          <w:bCs/>
          <w:kern w:val="0"/>
          <w:sz w:val="32"/>
          <w:szCs w:val="32"/>
        </w:rPr>
      </w:pPr>
      <w:bookmarkStart w:id="16" w:name="_Toc8884"/>
      <w:bookmarkStart w:id="17" w:name="_Toc5626"/>
      <w:r>
        <w:rPr>
          <w:rFonts w:hint="eastAsia" w:ascii="黑体" w:hAnsi="黑体" w:eastAsia="黑体" w:cs="宋体"/>
          <w:bCs/>
          <w:kern w:val="0"/>
          <w:sz w:val="32"/>
          <w:szCs w:val="32"/>
        </w:rPr>
        <w:t>六、《一般公共预算财政拨款基本支出决算表》</w:t>
      </w:r>
      <w:bookmarkEnd w:id="16"/>
      <w:bookmarkEnd w:id="17"/>
    </w:p>
    <w:p>
      <w:pPr>
        <w:ind w:firstLine="640" w:firstLineChars="200"/>
        <w:outlineLvl w:val="1"/>
        <w:rPr>
          <w:rFonts w:ascii="黑体" w:hAnsi="黑体" w:eastAsia="黑体" w:cs="宋体"/>
          <w:bCs/>
          <w:kern w:val="0"/>
          <w:sz w:val="32"/>
          <w:szCs w:val="32"/>
        </w:rPr>
      </w:pPr>
      <w:bookmarkStart w:id="18" w:name="_Toc32663"/>
      <w:bookmarkStart w:id="19" w:name="_Toc29106"/>
      <w:r>
        <w:rPr>
          <w:rFonts w:hint="eastAsia" w:ascii="黑体" w:hAnsi="黑体" w:eastAsia="黑体" w:cs="宋体"/>
          <w:bCs/>
          <w:kern w:val="0"/>
          <w:sz w:val="32"/>
          <w:szCs w:val="32"/>
        </w:rPr>
        <w:t>七、《一般公共预算财政拨款“三公”经费支出决算表》</w:t>
      </w:r>
      <w:bookmarkEnd w:id="18"/>
      <w:bookmarkEnd w:id="19"/>
    </w:p>
    <w:p>
      <w:pPr>
        <w:ind w:firstLine="640" w:firstLineChars="200"/>
        <w:outlineLvl w:val="1"/>
        <w:rPr>
          <w:rFonts w:ascii="黑体" w:hAnsi="黑体" w:eastAsia="黑体" w:cs="宋体"/>
          <w:bCs/>
          <w:kern w:val="0"/>
          <w:sz w:val="32"/>
          <w:szCs w:val="32"/>
        </w:rPr>
      </w:pPr>
      <w:bookmarkStart w:id="20" w:name="_Toc7643"/>
      <w:bookmarkStart w:id="21" w:name="_Toc5453"/>
      <w:r>
        <w:rPr>
          <w:rFonts w:hint="eastAsia" w:ascii="黑体" w:hAnsi="黑体" w:eastAsia="黑体" w:cs="宋体"/>
          <w:bCs/>
          <w:kern w:val="0"/>
          <w:sz w:val="32"/>
          <w:szCs w:val="32"/>
        </w:rPr>
        <w:t>八、《政府性基金预算财政拨款收入支出决算表》</w:t>
      </w:r>
      <w:bookmarkEnd w:id="20"/>
      <w:bookmarkEnd w:id="21"/>
    </w:p>
    <w:p>
      <w:pPr>
        <w:snapToGrid w:val="0"/>
        <w:spacing w:line="440" w:lineRule="exact"/>
        <w:ind w:firstLine="640" w:firstLineChars="200"/>
        <w:rPr>
          <w:rFonts w:ascii="仿宋_GB2312" w:hAnsi="仿宋_GB2312" w:eastAsia="仿宋_GB2312" w:cs="仿宋_GB2312"/>
          <w:sz w:val="32"/>
          <w:szCs w:val="32"/>
        </w:rPr>
      </w:pPr>
    </w:p>
    <w:sectPr>
      <w:headerReference r:id="rId3" w:type="default"/>
      <w:footerReference r:id="rId4" w:type="default"/>
      <w:pgSz w:w="11906" w:h="16838"/>
      <w:pgMar w:top="1701" w:right="1531" w:bottom="1417"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2318D8"/>
    <w:rsid w:val="00231FF6"/>
    <w:rsid w:val="003B0209"/>
    <w:rsid w:val="004A1352"/>
    <w:rsid w:val="00543C8F"/>
    <w:rsid w:val="00547089"/>
    <w:rsid w:val="007313F8"/>
    <w:rsid w:val="007D2472"/>
    <w:rsid w:val="0088392C"/>
    <w:rsid w:val="0091077D"/>
    <w:rsid w:val="00934DC3"/>
    <w:rsid w:val="00985E29"/>
    <w:rsid w:val="00AA75C8"/>
    <w:rsid w:val="00AB2E83"/>
    <w:rsid w:val="00AE1875"/>
    <w:rsid w:val="00BC1FD0"/>
    <w:rsid w:val="00E145EF"/>
    <w:rsid w:val="00E854F0"/>
    <w:rsid w:val="00EE5276"/>
    <w:rsid w:val="016C137D"/>
    <w:rsid w:val="0183490B"/>
    <w:rsid w:val="02A02376"/>
    <w:rsid w:val="03321046"/>
    <w:rsid w:val="03EC117E"/>
    <w:rsid w:val="04845A66"/>
    <w:rsid w:val="060B029C"/>
    <w:rsid w:val="062026A2"/>
    <w:rsid w:val="068D298E"/>
    <w:rsid w:val="06B07FFD"/>
    <w:rsid w:val="06FD3ACC"/>
    <w:rsid w:val="07BE3C1D"/>
    <w:rsid w:val="0C021647"/>
    <w:rsid w:val="0C036429"/>
    <w:rsid w:val="0C9C0871"/>
    <w:rsid w:val="0EF8693E"/>
    <w:rsid w:val="0F0A3900"/>
    <w:rsid w:val="0FA8476F"/>
    <w:rsid w:val="111F2801"/>
    <w:rsid w:val="117D74A8"/>
    <w:rsid w:val="125C45D1"/>
    <w:rsid w:val="129E0E14"/>
    <w:rsid w:val="131679D8"/>
    <w:rsid w:val="136E5AE0"/>
    <w:rsid w:val="13CA5EA2"/>
    <w:rsid w:val="150A1CD8"/>
    <w:rsid w:val="15556A0D"/>
    <w:rsid w:val="170E1EE6"/>
    <w:rsid w:val="174B480D"/>
    <w:rsid w:val="17A15BCC"/>
    <w:rsid w:val="17AF3D75"/>
    <w:rsid w:val="190B6A7F"/>
    <w:rsid w:val="1A7542A6"/>
    <w:rsid w:val="1BB17501"/>
    <w:rsid w:val="1BCD7EF8"/>
    <w:rsid w:val="1E202298"/>
    <w:rsid w:val="1E612774"/>
    <w:rsid w:val="1EE73801"/>
    <w:rsid w:val="1F0316DE"/>
    <w:rsid w:val="1FCC56E9"/>
    <w:rsid w:val="209E1416"/>
    <w:rsid w:val="219E069A"/>
    <w:rsid w:val="22AC0A2D"/>
    <w:rsid w:val="235C1868"/>
    <w:rsid w:val="2A173709"/>
    <w:rsid w:val="2A724BD5"/>
    <w:rsid w:val="2B8A1C81"/>
    <w:rsid w:val="2C1A3F0B"/>
    <w:rsid w:val="2CDC74F8"/>
    <w:rsid w:val="2D5C00A0"/>
    <w:rsid w:val="37A02185"/>
    <w:rsid w:val="37FB069D"/>
    <w:rsid w:val="3AED5049"/>
    <w:rsid w:val="3D510B38"/>
    <w:rsid w:val="3DBE3067"/>
    <w:rsid w:val="3EBB0CB9"/>
    <w:rsid w:val="448E09A1"/>
    <w:rsid w:val="44B73325"/>
    <w:rsid w:val="44F9102A"/>
    <w:rsid w:val="467561FC"/>
    <w:rsid w:val="46A50AD1"/>
    <w:rsid w:val="46A635D3"/>
    <w:rsid w:val="46A74D07"/>
    <w:rsid w:val="48723C04"/>
    <w:rsid w:val="48835446"/>
    <w:rsid w:val="49385B8B"/>
    <w:rsid w:val="4B7C4FFE"/>
    <w:rsid w:val="4E261C34"/>
    <w:rsid w:val="522A7E7F"/>
    <w:rsid w:val="52DA4E53"/>
    <w:rsid w:val="56571469"/>
    <w:rsid w:val="56955F8C"/>
    <w:rsid w:val="56A70CDC"/>
    <w:rsid w:val="58250B36"/>
    <w:rsid w:val="589F75CD"/>
    <w:rsid w:val="598474C0"/>
    <w:rsid w:val="5B740625"/>
    <w:rsid w:val="5BB43D5E"/>
    <w:rsid w:val="5C1442F6"/>
    <w:rsid w:val="5D8A0629"/>
    <w:rsid w:val="5E8E56D8"/>
    <w:rsid w:val="5EF67F16"/>
    <w:rsid w:val="5FFF23C0"/>
    <w:rsid w:val="61ED4D34"/>
    <w:rsid w:val="62713E0E"/>
    <w:rsid w:val="63155128"/>
    <w:rsid w:val="64582377"/>
    <w:rsid w:val="65FC3C3A"/>
    <w:rsid w:val="67EC612B"/>
    <w:rsid w:val="695075E5"/>
    <w:rsid w:val="6A8723CD"/>
    <w:rsid w:val="6BFA1291"/>
    <w:rsid w:val="6D460F22"/>
    <w:rsid w:val="6D4D6630"/>
    <w:rsid w:val="6D5A680B"/>
    <w:rsid w:val="6D852CD5"/>
    <w:rsid w:val="6E3D5983"/>
    <w:rsid w:val="6F5810BD"/>
    <w:rsid w:val="6FE5646A"/>
    <w:rsid w:val="719B7B52"/>
    <w:rsid w:val="71FC2A9A"/>
    <w:rsid w:val="73C52F41"/>
    <w:rsid w:val="742B0DB6"/>
    <w:rsid w:val="76D74511"/>
    <w:rsid w:val="78173FA0"/>
    <w:rsid w:val="7ABF4C8C"/>
    <w:rsid w:val="7B39452D"/>
    <w:rsid w:val="7B51699A"/>
    <w:rsid w:val="7BF722BF"/>
    <w:rsid w:val="7CA65B39"/>
    <w:rsid w:val="7CA72659"/>
    <w:rsid w:val="7F4D38C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toc 3"/>
    <w:basedOn w:val="1"/>
    <w:next w:val="1"/>
    <w:qFormat/>
    <w:uiPriority w:val="0"/>
    <w:pPr>
      <w:ind w:left="840" w:leftChars="400"/>
    </w:p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14</Pages>
  <Words>1020</Words>
  <Characters>5816</Characters>
  <Lines>48</Lines>
  <Paragraphs>13</Paragraphs>
  <TotalTime>0</TotalTime>
  <ScaleCrop>false</ScaleCrop>
  <LinksUpToDate>false</LinksUpToDate>
  <CharactersWithSpaces>6823</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2019-06-13T10:32:00Z</dcterms:created>
  <dc:creator>Administrator</dc:creator>
  <cp:lastModifiedBy>Administrator</cp:lastModifiedBy>
  <cp:lastPrinted>2020-09-02T08:39:00Z</cp:lastPrinted>
  <dcterms:modified xsi:type="dcterms:W3CDTF">2021-05-28T03:08:28Z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