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765" w:rsidRPr="00711B17" w:rsidRDefault="003C5765" w:rsidP="003C5765">
      <w:pPr>
        <w:pStyle w:val="2"/>
        <w:spacing w:line="560" w:lineRule="exact"/>
        <w:ind w:firstLineChars="0" w:firstLine="0"/>
        <w:jc w:val="center"/>
        <w:rPr>
          <w:rFonts w:ascii="Times New Roman" w:eastAsia="方正小标宋_GBK" w:hAnsi="Times New Roman"/>
          <w:sz w:val="36"/>
          <w:szCs w:val="36"/>
        </w:rPr>
      </w:pPr>
      <w:r w:rsidRPr="00711B17">
        <w:rPr>
          <w:rFonts w:ascii="Times New Roman" w:eastAsia="方正小标宋_GBK" w:hAnsi="方正小标宋_GBK"/>
          <w:sz w:val="36"/>
          <w:szCs w:val="36"/>
        </w:rPr>
        <w:t>公众聚集场所投入使用、营业前消防安全检查承诺内容不符责令限期整改期限（试行）</w:t>
      </w:r>
    </w:p>
    <w:tbl>
      <w:tblPr>
        <w:tblW w:w="101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581"/>
        <w:gridCol w:w="1252"/>
        <w:gridCol w:w="825"/>
        <w:gridCol w:w="5760"/>
        <w:gridCol w:w="1725"/>
      </w:tblGrid>
      <w:tr w:rsidR="003C5765" w:rsidRPr="00711B17" w:rsidTr="001222C1">
        <w:trPr>
          <w:trHeight w:val="299"/>
          <w:jc w:val="center"/>
        </w:trPr>
        <w:tc>
          <w:tcPr>
            <w:tcW w:w="1833" w:type="dxa"/>
            <w:gridSpan w:val="2"/>
            <w:vAlign w:val="center"/>
          </w:tcPr>
          <w:p w:rsidR="003C5765" w:rsidRPr="00711B17" w:rsidRDefault="003C5765" w:rsidP="001222C1">
            <w:pPr>
              <w:pStyle w:val="TableParagraph"/>
              <w:autoSpaceDE w:val="0"/>
              <w:autoSpaceDN w:val="0"/>
              <w:spacing w:before="22" w:line="500" w:lineRule="exact"/>
              <w:ind w:left="10"/>
              <w:jc w:val="center"/>
              <w:rPr>
                <w:rFonts w:ascii="Times New Roman" w:eastAsia="黑体" w:hAnsi="Times New Roman" w:cs="Times New Roman"/>
              </w:rPr>
            </w:pPr>
            <w:r w:rsidRPr="00711B17">
              <w:rPr>
                <w:rFonts w:ascii="Times New Roman" w:eastAsia="黑体" w:hAnsi="黑体" w:cs="Times New Roman"/>
              </w:rPr>
              <w:t>抽查项目</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rPr>
            </w:pPr>
            <w:r w:rsidRPr="00711B17">
              <w:rPr>
                <w:rFonts w:ascii="Times New Roman" w:eastAsia="黑体" w:hAnsi="黑体" w:cs="Times New Roman"/>
              </w:rPr>
              <w:t>序号</w:t>
            </w:r>
          </w:p>
        </w:tc>
        <w:tc>
          <w:tcPr>
            <w:tcW w:w="5760" w:type="dxa"/>
            <w:vAlign w:val="center"/>
          </w:tcPr>
          <w:p w:rsidR="003C5765" w:rsidRPr="00711B17" w:rsidRDefault="003C5765" w:rsidP="001222C1">
            <w:pPr>
              <w:pStyle w:val="TableParagraph"/>
              <w:autoSpaceDE w:val="0"/>
              <w:autoSpaceDN w:val="0"/>
              <w:spacing w:before="22" w:line="500" w:lineRule="exact"/>
              <w:jc w:val="center"/>
              <w:rPr>
                <w:rFonts w:ascii="Times New Roman" w:eastAsia="黑体" w:hAnsi="Times New Roman" w:cs="Times New Roman"/>
              </w:rPr>
            </w:pPr>
            <w:r w:rsidRPr="00711B17">
              <w:rPr>
                <w:rFonts w:ascii="Times New Roman" w:eastAsia="黑体" w:hAnsi="黑体" w:cs="Times New Roman"/>
              </w:rPr>
              <w:t>现场核查不合格事项</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黑体" w:hAnsi="Times New Roman" w:cs="Times New Roman"/>
              </w:rPr>
            </w:pPr>
            <w:r w:rsidRPr="00711B17">
              <w:rPr>
                <w:rFonts w:ascii="Times New Roman" w:eastAsia="黑体" w:hAnsi="黑体" w:cs="Times New Roman"/>
              </w:rPr>
              <w:t>责令限期</w:t>
            </w:r>
          </w:p>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rPr>
            </w:pPr>
            <w:r w:rsidRPr="00711B17">
              <w:rPr>
                <w:rFonts w:ascii="Times New Roman" w:eastAsia="黑体" w:hAnsi="黑体" w:cs="Times New Roman"/>
              </w:rPr>
              <w:t>整改期限</w:t>
            </w:r>
          </w:p>
        </w:tc>
      </w:tr>
      <w:tr w:rsidR="003C5765" w:rsidRPr="00711B17" w:rsidTr="001222C1">
        <w:trPr>
          <w:trHeight w:val="299"/>
          <w:jc w:val="center"/>
        </w:trPr>
        <w:tc>
          <w:tcPr>
            <w:tcW w:w="1833" w:type="dxa"/>
            <w:gridSpan w:val="2"/>
            <w:vMerge w:val="restart"/>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消防安全责任</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1</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未依法确定消防安全责任人，或者未明确相应职责的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5</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1833" w:type="dxa"/>
            <w:gridSpan w:val="2"/>
            <w:vMerge/>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2</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未依法确定消防安全管理人，或者未明确相应职责的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5</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581" w:type="dxa"/>
            <w:vMerge w:val="restart"/>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消防安全技术条件</w:t>
            </w:r>
          </w:p>
        </w:tc>
        <w:tc>
          <w:tcPr>
            <w:tcW w:w="1252" w:type="dxa"/>
            <w:vMerge w:val="restart"/>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总平面</w:t>
            </w:r>
          </w:p>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布局</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3</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场所所在建筑和其他建筑之间的防火间距被占用无法当场改正的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20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4</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场所所在建筑未按消防技术标准设置消防车道，或者消防车道不能满足消防车通行，无法当场改正的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20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5</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场所所在建筑消防车登高操作场地不能满足消防扑救作业条件，无法当场改正的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20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1252" w:type="dxa"/>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平面布置</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6</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场所位置的设置不符合法律法规和消防技术标准要求的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5</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1252" w:type="dxa"/>
            <w:vMerge w:val="restart"/>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防火分区及防火</w:t>
            </w:r>
          </w:p>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分隔</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7</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场所的防火分区设置不符合消防技术标准的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30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8</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场所的防火墙、防火卷帘、防火门、防火窗等防火分隔设施被拆除或者损坏，无法当场改正的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10</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9</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场所的电缆井、管道井等穿越楼板处的防火封堵材料选用或者填塞不符合消防技术标准，无法当场改正的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10</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1252" w:type="dxa"/>
            <w:vMerge w:val="restart"/>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安全疏散</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10</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场所未按消防技术标准设置独立的安全出口或疏散楼梯的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30</w:t>
            </w:r>
            <w:r w:rsidRPr="00711B17">
              <w:rPr>
                <w:rFonts w:ascii="Times New Roman" w:eastAsia="方正仿宋_GBK" w:hAnsi="方正仿宋_GBK" w:cs="Times New Roman"/>
                <w:sz w:val="30"/>
                <w:szCs w:val="30"/>
                <w:lang w:val="en-US"/>
              </w:rPr>
              <w:t>日</w:t>
            </w:r>
          </w:p>
        </w:tc>
      </w:tr>
      <w:tr w:rsidR="003C5765" w:rsidRPr="00711B17" w:rsidTr="001222C1">
        <w:trPr>
          <w:trHeight w:val="90"/>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11</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场所的安全出口数量、间距，疏散门形式、开启方向等设置不符合消防技术标准的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20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bottom w:val="single" w:sz="4" w:space="0" w:color="auto"/>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12</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场所的疏散楼梯间设置形式、防火分隔、前室面积穿越管线等不符合消防技术标准的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20</w:t>
            </w:r>
            <w:r w:rsidRPr="00711B17">
              <w:rPr>
                <w:rFonts w:ascii="Times New Roman" w:eastAsia="方正仿宋_GBK" w:hAnsi="方正仿宋_GBK" w:cs="Times New Roman"/>
                <w:sz w:val="30"/>
                <w:szCs w:val="30"/>
                <w:lang w:val="en-US"/>
              </w:rPr>
              <w:t>日</w:t>
            </w:r>
          </w:p>
        </w:tc>
      </w:tr>
      <w:tr w:rsidR="003C5765" w:rsidRPr="00711B17" w:rsidTr="001222C1">
        <w:trPr>
          <w:trHeight w:val="502"/>
          <w:jc w:val="center"/>
        </w:trPr>
        <w:tc>
          <w:tcPr>
            <w:tcW w:w="581" w:type="dxa"/>
            <w:vMerge/>
            <w:tcBorders>
              <w:top w:val="single" w:sz="4" w:space="0" w:color="auto"/>
              <w:bottom w:val="single" w:sz="4" w:space="0" w:color="auto"/>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825" w:type="dxa"/>
            <w:vMerge w:val="restart"/>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13</w:t>
            </w:r>
          </w:p>
        </w:tc>
        <w:tc>
          <w:tcPr>
            <w:tcW w:w="5760" w:type="dxa"/>
            <w:vMerge w:val="restart"/>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场所的疏散距离不符合消防技术标准的</w:t>
            </w:r>
          </w:p>
        </w:tc>
        <w:tc>
          <w:tcPr>
            <w:tcW w:w="1725" w:type="dxa"/>
            <w:vMerge w:val="restart"/>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20</w:t>
            </w:r>
            <w:r w:rsidRPr="00711B17">
              <w:rPr>
                <w:rFonts w:ascii="Times New Roman" w:eastAsia="方正仿宋_GBK" w:hAnsi="方正仿宋_GBK" w:cs="Times New Roman"/>
                <w:sz w:val="30"/>
                <w:szCs w:val="30"/>
                <w:lang w:val="en-US"/>
              </w:rPr>
              <w:t>日</w:t>
            </w:r>
          </w:p>
        </w:tc>
      </w:tr>
      <w:tr w:rsidR="003C5765" w:rsidRPr="00711B17" w:rsidTr="001222C1">
        <w:trPr>
          <w:trHeight w:val="500"/>
          <w:jc w:val="center"/>
        </w:trPr>
        <w:tc>
          <w:tcPr>
            <w:tcW w:w="581" w:type="dxa"/>
            <w:vMerge w:val="restart"/>
            <w:tcBorders>
              <w:top w:val="single" w:sz="4" w:space="0" w:color="auto"/>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lastRenderedPageBreak/>
              <w:t>消防安全技术条件</w:t>
            </w: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825" w:type="dxa"/>
            <w:vMerge/>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p>
        </w:tc>
        <w:tc>
          <w:tcPr>
            <w:tcW w:w="5760" w:type="dxa"/>
            <w:vMerge/>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p>
        </w:tc>
        <w:tc>
          <w:tcPr>
            <w:tcW w:w="1725" w:type="dxa"/>
            <w:vMerge/>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14</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场所的安全出口、疏散楼梯、疏散走道宽度不符合消防技术标准的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20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15</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场所未按消防技术标准设置避难走道、避难间、避难层，或者避难走道、避难间、避难层被占用，无法当场改正的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20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16</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场所在门窗设置影响逃生和灭火救援的障碍物，无法当场改正的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20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内部装修</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17</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场所违反消防技术标准使用易燃、可燃材料装修装饰的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5</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val="restart"/>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消防水源</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18</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场所所在建筑按照消防技术标准应当设置消防水池、消防水箱、消防水泵房而未设置的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60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19</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场所所在建筑消防水泵房设置位置、耐火等级不符合消防技术标准的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60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20</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场所所在建筑消防水泵房疏散门不能直通室外或安全出口的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60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val="restart"/>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室外消火栓系统和水泵接合器</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21</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场所所在建筑按照消防技术标准应当设置而未设置的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60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22</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场所所在建筑管网无水，或者栓口压力等不符合消防技术标准规定，无法正常供水的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5</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val="restart"/>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室内消火栓系统</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23</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所按照消防技术标准应当设置而未设置的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60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24</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场所管网无水，或者栓口压力等不符合消防技术标准规定，无法正常供水的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5</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25</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场所所在建筑消防水泵无法联动控制启动，或者无法在消防水泵房现场启动，或者无法在消防控制室远程启动，且无法当场改正的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5</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val="restart"/>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自动喷水灭火系统</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26</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场所按照消防技术标准应当设置而未设置的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60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27</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场所管网无水，或者末端试水装置压力等不符合消防技术标准规定，无法正常供水的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5</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581" w:type="dxa"/>
            <w:vMerge/>
            <w:tcBorders>
              <w:bottom w:val="single" w:sz="4" w:space="0" w:color="auto"/>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28</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场所所在建筑消防水泵无法联动控制启动，或者无法在消防水泵房现场启动，或者无法</w:t>
            </w:r>
            <w:r w:rsidRPr="00711B17">
              <w:rPr>
                <w:rFonts w:ascii="Times New Roman" w:eastAsia="方正仿宋_GBK" w:hAnsi="方正仿宋_GBK" w:cs="Times New Roman"/>
                <w:kern w:val="0"/>
                <w:sz w:val="30"/>
                <w:szCs w:val="30"/>
              </w:rPr>
              <w:lastRenderedPageBreak/>
              <w:t>在消防控制室远程启动，且无法当场改正的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lastRenderedPageBreak/>
              <w:t>5</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581" w:type="dxa"/>
            <w:vMerge w:val="restart"/>
            <w:tcBorders>
              <w:top w:val="single" w:sz="4" w:space="0" w:color="auto"/>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lastRenderedPageBreak/>
              <w:t>消防安全技术条件</w:t>
            </w:r>
          </w:p>
        </w:tc>
        <w:tc>
          <w:tcPr>
            <w:tcW w:w="1252" w:type="dxa"/>
            <w:vMerge w:val="restart"/>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火灾自动报警系统</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29</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场所按照消防技术标准应当设置而未设置的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60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30</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场所设置的系统无法报警或者无法实现联动控制功能，无法当场改正的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5</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val="restart"/>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防烟排烟系统</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31</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场所按照消防技术标准应当设置而未设置的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60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32</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场所所在建筑防烟排烟风机、补风机无法联动控制启动，或者无法现场手动启动，或者无法在消防控制室远程启动，且无法当场改正的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5</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val="restart"/>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消防应急照明和疏散指示标志</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33</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场所按照消防技术标准应当设置消防应急照明或者疏散指示标志而未设置的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30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34</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场所的消防应急照明或者疏散指示标志选型、照度、连续供电时间等不符合消防技术标准的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5</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val="restart"/>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电气线路</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35</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场所按照消防技术标准应当设置电气火灾监控系统而未设置的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60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36</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消防配电线路未按消防技术标准要求采取穿金属导管、封闭式金属槽盒等防火保护措施的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20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37</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额定功率不小于</w:t>
            </w:r>
            <w:r w:rsidRPr="00711B17">
              <w:rPr>
                <w:rFonts w:ascii="Times New Roman" w:eastAsia="方正仿宋_GBK" w:hAnsi="Times New Roman" w:cs="Times New Roman"/>
                <w:kern w:val="0"/>
                <w:sz w:val="30"/>
                <w:szCs w:val="30"/>
              </w:rPr>
              <w:t xml:space="preserve"> 100W </w:t>
            </w:r>
            <w:r w:rsidRPr="00711B17">
              <w:rPr>
                <w:rFonts w:ascii="Times New Roman" w:eastAsia="方正仿宋_GBK" w:hAnsi="方正仿宋_GBK" w:cs="Times New Roman"/>
                <w:kern w:val="0"/>
                <w:sz w:val="30"/>
                <w:szCs w:val="30"/>
              </w:rPr>
              <w:t>的高温照明灯具的引入线未采用不燃材料作隔热保护的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5</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38</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额定功率不小于</w:t>
            </w:r>
            <w:r w:rsidRPr="00711B17">
              <w:rPr>
                <w:rFonts w:ascii="Times New Roman" w:eastAsia="方正仿宋_GBK" w:hAnsi="Times New Roman" w:cs="Times New Roman"/>
                <w:kern w:val="0"/>
                <w:sz w:val="30"/>
                <w:szCs w:val="30"/>
              </w:rPr>
              <w:t xml:space="preserve"> 60W </w:t>
            </w:r>
            <w:r w:rsidRPr="00711B17">
              <w:rPr>
                <w:rFonts w:ascii="Times New Roman" w:eastAsia="方正仿宋_GBK" w:hAnsi="方正仿宋_GBK" w:cs="Times New Roman"/>
                <w:kern w:val="0"/>
                <w:sz w:val="30"/>
                <w:szCs w:val="30"/>
              </w:rPr>
              <w:t>的高温照明灯具直接安装在易燃、可燃物体上的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5</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1252" w:type="dxa"/>
            <w:vMerge w:val="restart"/>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消防电梯</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39</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场所按照消防技术标准应当设置而未设置的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60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40</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场所的消防电梯前室使用面积，消防电梯前室、消防电梯井的防火分隔措施不符合消防技术标准的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60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41</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场所的消防电梯载重、运行速度、控制方式、内部装修、防水措施、井底排水等不符合消防技术标准的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20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1252" w:type="dxa"/>
            <w:vMerge w:val="restart"/>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消防控制</w:t>
            </w:r>
            <w:r w:rsidRPr="00711B17">
              <w:rPr>
                <w:rFonts w:ascii="Times New Roman" w:eastAsia="黑体" w:hAnsi="黑体" w:cs="Times New Roman"/>
                <w:kern w:val="0"/>
                <w:sz w:val="30"/>
                <w:szCs w:val="30"/>
              </w:rPr>
              <w:lastRenderedPageBreak/>
              <w:t>室</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lastRenderedPageBreak/>
              <w:t>42</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场所所在建筑按照消防技术标准应当设置而未设置的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60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43</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场所所在建筑消防控制室设置位置、耐火等级不符合消防技术标准的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30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44</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场所所在建筑消防控制室疏散门不能直通室外或安全出口的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20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45</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场所所在建筑消防控制室有穿过与消防设施无关的电气线路及管路的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20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1252" w:type="dxa"/>
            <w:vMerge w:val="restart"/>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其他消防设施</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46</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场所按照消防技术标准应当设置而未设置的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60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581" w:type="dxa"/>
            <w:vMerge/>
            <w:tcBorders>
              <w:righ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1252" w:type="dxa"/>
            <w:vMerge/>
            <w:tcBorders>
              <w:left w:val="single" w:sz="4" w:space="0" w:color="auto"/>
            </w:tcBorders>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47</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场所设置的其他消防设施，无法实现功能的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20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1833" w:type="dxa"/>
            <w:gridSpan w:val="2"/>
            <w:vMerge w:val="restart"/>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消防安全管理</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48</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lang w:val="en-US"/>
              </w:rPr>
            </w:pPr>
            <w:r w:rsidRPr="00711B17">
              <w:rPr>
                <w:rFonts w:ascii="Times New Roman" w:eastAsia="方正仿宋_GBK" w:hAnsi="方正仿宋_GBK" w:cs="Times New Roman"/>
                <w:kern w:val="0"/>
                <w:sz w:val="30"/>
                <w:szCs w:val="30"/>
              </w:rPr>
              <w:t>未建立消防安全制度的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5</w:t>
            </w:r>
            <w:r w:rsidRPr="00711B17">
              <w:rPr>
                <w:rFonts w:ascii="Times New Roman" w:eastAsia="方正仿宋_GBK" w:hAnsi="方正仿宋_GBK" w:cs="Times New Roman"/>
                <w:sz w:val="30"/>
                <w:szCs w:val="30"/>
                <w:lang w:val="en-US"/>
              </w:rPr>
              <w:t>个工作日</w:t>
            </w:r>
          </w:p>
        </w:tc>
      </w:tr>
      <w:tr w:rsidR="003C5765" w:rsidRPr="00711B17" w:rsidTr="001222C1">
        <w:trPr>
          <w:trHeight w:val="90"/>
          <w:jc w:val="center"/>
        </w:trPr>
        <w:tc>
          <w:tcPr>
            <w:tcW w:w="1833" w:type="dxa"/>
            <w:gridSpan w:val="2"/>
            <w:vMerge/>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49</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自动消防系统操作人员未持证上岗的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60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1833" w:type="dxa"/>
            <w:gridSpan w:val="2"/>
            <w:vMerge/>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50</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未制定灭火和应急疏散预案的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5</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1833" w:type="dxa"/>
            <w:gridSpan w:val="2"/>
            <w:vMerge/>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51</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未按照要求建立专职消防队、志愿消防队（微型消防站）的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60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1833" w:type="dxa"/>
            <w:gridSpan w:val="2"/>
            <w:vMerge/>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52</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违反消防安全规定使用、储存易燃易爆危险品的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2</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1833" w:type="dxa"/>
            <w:gridSpan w:val="2"/>
            <w:vMerge/>
            <w:vAlign w:val="center"/>
          </w:tcPr>
          <w:p w:rsidR="003C5765" w:rsidRPr="00711B17" w:rsidRDefault="003C5765" w:rsidP="001222C1">
            <w:pPr>
              <w:pStyle w:val="TableParagraph"/>
              <w:autoSpaceDE w:val="0"/>
              <w:autoSpaceDN w:val="0"/>
              <w:spacing w:before="2" w:line="500" w:lineRule="exact"/>
              <w:jc w:val="left"/>
              <w:rPr>
                <w:rFonts w:ascii="Times New Roman" w:eastAsia="黑体"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53</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未按消防技术标准设置可燃气体浓度报警和燃油燃气管道紧急切断装置的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rPr>
            </w:pPr>
            <w:r w:rsidRPr="00711B17">
              <w:rPr>
                <w:rFonts w:ascii="Times New Roman" w:eastAsia="方正仿宋_GBK" w:hAnsi="Times New Roman" w:cs="Times New Roman"/>
                <w:sz w:val="30"/>
                <w:szCs w:val="30"/>
                <w:lang w:val="en-US"/>
              </w:rPr>
              <w:t>5</w:t>
            </w:r>
            <w:r w:rsidRPr="00711B17">
              <w:rPr>
                <w:rFonts w:ascii="Times New Roman" w:eastAsia="方正仿宋_GBK" w:hAnsi="方正仿宋_GBK" w:cs="Times New Roman"/>
                <w:sz w:val="30"/>
                <w:szCs w:val="30"/>
                <w:lang w:val="en-US"/>
              </w:rPr>
              <w:t>个工作日</w:t>
            </w:r>
          </w:p>
        </w:tc>
      </w:tr>
      <w:tr w:rsidR="003C5765" w:rsidRPr="00711B17" w:rsidTr="001222C1">
        <w:trPr>
          <w:trHeight w:val="299"/>
          <w:jc w:val="center"/>
        </w:trPr>
        <w:tc>
          <w:tcPr>
            <w:tcW w:w="1833" w:type="dxa"/>
            <w:gridSpan w:val="2"/>
            <w:vMerge w:val="restart"/>
            <w:vAlign w:val="center"/>
          </w:tcPr>
          <w:p w:rsidR="003C5765" w:rsidRPr="00711B17" w:rsidRDefault="003C5765" w:rsidP="001222C1">
            <w:pPr>
              <w:pStyle w:val="TableParagraph"/>
              <w:autoSpaceDE w:val="0"/>
              <w:autoSpaceDN w:val="0"/>
              <w:spacing w:before="2" w:line="500" w:lineRule="exact"/>
              <w:jc w:val="center"/>
              <w:rPr>
                <w:rFonts w:ascii="Times New Roman" w:eastAsia="黑体" w:hAnsi="Times New Roman" w:cs="Times New Roman"/>
                <w:kern w:val="0"/>
                <w:sz w:val="30"/>
                <w:szCs w:val="30"/>
              </w:rPr>
            </w:pPr>
            <w:r w:rsidRPr="00711B17">
              <w:rPr>
                <w:rFonts w:ascii="Times New Roman" w:eastAsia="黑体" w:hAnsi="黑体" w:cs="Times New Roman"/>
                <w:kern w:val="0"/>
                <w:sz w:val="30"/>
                <w:szCs w:val="30"/>
              </w:rPr>
              <w:t>其他消防安全事项</w:t>
            </w: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54</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场所存在其他消防安全问题，可能构成重大火灾隐患，或者违反消防技术标准强制性条文规定，无法当场改正的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60</w:t>
            </w:r>
            <w:r w:rsidRPr="00711B17">
              <w:rPr>
                <w:rFonts w:ascii="Times New Roman" w:eastAsia="方正仿宋_GBK" w:hAnsi="方正仿宋_GBK" w:cs="Times New Roman"/>
                <w:sz w:val="30"/>
                <w:szCs w:val="30"/>
                <w:lang w:val="en-US"/>
              </w:rPr>
              <w:t>日</w:t>
            </w:r>
          </w:p>
        </w:tc>
      </w:tr>
      <w:tr w:rsidR="003C5765" w:rsidRPr="00711B17" w:rsidTr="001222C1">
        <w:trPr>
          <w:trHeight w:val="299"/>
          <w:jc w:val="center"/>
        </w:trPr>
        <w:tc>
          <w:tcPr>
            <w:tcW w:w="1833" w:type="dxa"/>
            <w:gridSpan w:val="2"/>
            <w:vMerge/>
            <w:vAlign w:val="center"/>
          </w:tcPr>
          <w:p w:rsidR="003C5765" w:rsidRPr="00711B17" w:rsidRDefault="003C5765" w:rsidP="001222C1">
            <w:pPr>
              <w:pStyle w:val="TableParagraph"/>
              <w:autoSpaceDE w:val="0"/>
              <w:autoSpaceDN w:val="0"/>
              <w:spacing w:before="2" w:line="500" w:lineRule="exact"/>
              <w:jc w:val="left"/>
              <w:rPr>
                <w:rFonts w:ascii="Times New Roman" w:eastAsia="方正仿宋_GBK" w:hAnsi="Times New Roman" w:cs="Times New Roman"/>
                <w:kern w:val="0"/>
                <w:sz w:val="30"/>
                <w:szCs w:val="30"/>
              </w:rPr>
            </w:pPr>
          </w:p>
        </w:tc>
        <w:tc>
          <w:tcPr>
            <w:tcW w:w="8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楷体_GBK" w:hAnsi="Times New Roman" w:cs="Times New Roman"/>
                <w:sz w:val="30"/>
                <w:szCs w:val="30"/>
                <w:lang w:val="en-US"/>
              </w:rPr>
            </w:pPr>
            <w:r w:rsidRPr="00711B17">
              <w:rPr>
                <w:rFonts w:ascii="Times New Roman" w:eastAsia="方正楷体_GBK" w:hAnsi="Times New Roman" w:cs="Times New Roman"/>
                <w:sz w:val="30"/>
                <w:szCs w:val="30"/>
                <w:lang w:val="en-US"/>
              </w:rPr>
              <w:t>55</w:t>
            </w:r>
          </w:p>
        </w:tc>
        <w:tc>
          <w:tcPr>
            <w:tcW w:w="5760" w:type="dxa"/>
            <w:vAlign w:val="center"/>
          </w:tcPr>
          <w:p w:rsidR="003C5765" w:rsidRPr="00711B17" w:rsidRDefault="003C5765" w:rsidP="001222C1">
            <w:pPr>
              <w:pStyle w:val="TableParagraph"/>
              <w:autoSpaceDE w:val="0"/>
              <w:autoSpaceDN w:val="0"/>
              <w:spacing w:before="2" w:line="410" w:lineRule="exact"/>
              <w:jc w:val="left"/>
              <w:rPr>
                <w:rFonts w:ascii="Times New Roman" w:eastAsia="方正仿宋_GBK" w:hAnsi="Times New Roman" w:cs="Times New Roman"/>
                <w:kern w:val="0"/>
                <w:sz w:val="30"/>
                <w:szCs w:val="30"/>
              </w:rPr>
            </w:pPr>
            <w:r w:rsidRPr="00711B17">
              <w:rPr>
                <w:rFonts w:ascii="Times New Roman" w:eastAsia="方正仿宋_GBK" w:hAnsi="方正仿宋_GBK" w:cs="Times New Roman"/>
                <w:kern w:val="0"/>
                <w:sz w:val="30"/>
                <w:szCs w:val="30"/>
              </w:rPr>
              <w:t>场所存在其他违反法律法规规章的规定，可能严重威胁公共安全的</w:t>
            </w:r>
          </w:p>
        </w:tc>
        <w:tc>
          <w:tcPr>
            <w:tcW w:w="1725" w:type="dxa"/>
            <w:vAlign w:val="center"/>
          </w:tcPr>
          <w:p w:rsidR="003C5765" w:rsidRPr="00711B17" w:rsidRDefault="003C5765" w:rsidP="001222C1">
            <w:pPr>
              <w:pStyle w:val="TableParagraph"/>
              <w:autoSpaceDE w:val="0"/>
              <w:autoSpaceDN w:val="0"/>
              <w:spacing w:before="22" w:line="500" w:lineRule="exact"/>
              <w:jc w:val="center"/>
              <w:rPr>
                <w:rFonts w:ascii="Times New Roman" w:eastAsia="方正仿宋_GBK" w:hAnsi="Times New Roman" w:cs="Times New Roman"/>
                <w:sz w:val="30"/>
                <w:szCs w:val="30"/>
                <w:lang w:val="en-US"/>
              </w:rPr>
            </w:pPr>
            <w:r w:rsidRPr="00711B17">
              <w:rPr>
                <w:rFonts w:ascii="Times New Roman" w:eastAsia="方正仿宋_GBK" w:hAnsi="Times New Roman" w:cs="Times New Roman"/>
                <w:sz w:val="30"/>
                <w:szCs w:val="30"/>
                <w:lang w:val="en-US"/>
              </w:rPr>
              <w:t>20</w:t>
            </w:r>
            <w:r w:rsidRPr="00711B17">
              <w:rPr>
                <w:rFonts w:ascii="Times New Roman" w:eastAsia="方正仿宋_GBK" w:hAnsi="方正仿宋_GBK" w:cs="Times New Roman"/>
                <w:sz w:val="30"/>
                <w:szCs w:val="30"/>
                <w:lang w:val="en-US"/>
              </w:rPr>
              <w:t>日</w:t>
            </w:r>
          </w:p>
        </w:tc>
      </w:tr>
    </w:tbl>
    <w:p w:rsidR="004358AB" w:rsidRPr="00711B17" w:rsidRDefault="004358AB" w:rsidP="00D31D50">
      <w:pPr>
        <w:spacing w:line="220" w:lineRule="atLeast"/>
        <w:rPr>
          <w:rFonts w:ascii="Times New Roman" w:hAnsi="Times New Roman" w:cs="Times New Roman"/>
        </w:rPr>
      </w:pPr>
    </w:p>
    <w:sectPr w:rsidR="004358AB" w:rsidRPr="00711B17"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54F" w:rsidRDefault="0008254F" w:rsidP="003C5765">
      <w:pPr>
        <w:spacing w:after="0"/>
      </w:pPr>
      <w:r>
        <w:separator/>
      </w:r>
    </w:p>
  </w:endnote>
  <w:endnote w:type="continuationSeparator" w:id="0">
    <w:p w:rsidR="0008254F" w:rsidRDefault="0008254F" w:rsidP="003C576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roma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54F" w:rsidRDefault="0008254F" w:rsidP="003C5765">
      <w:pPr>
        <w:spacing w:after="0"/>
      </w:pPr>
      <w:r>
        <w:separator/>
      </w:r>
    </w:p>
  </w:footnote>
  <w:footnote w:type="continuationSeparator" w:id="0">
    <w:p w:rsidR="0008254F" w:rsidRDefault="0008254F" w:rsidP="003C576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08254F"/>
    <w:rsid w:val="000866AF"/>
    <w:rsid w:val="00323B43"/>
    <w:rsid w:val="003C5765"/>
    <w:rsid w:val="003D37D8"/>
    <w:rsid w:val="00426133"/>
    <w:rsid w:val="004358AB"/>
    <w:rsid w:val="00711B17"/>
    <w:rsid w:val="008B7726"/>
    <w:rsid w:val="00CC1502"/>
    <w:rsid w:val="00D31D50"/>
    <w:rsid w:val="00F358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576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C5765"/>
    <w:rPr>
      <w:rFonts w:ascii="Tahoma" w:hAnsi="Tahoma"/>
      <w:sz w:val="18"/>
      <w:szCs w:val="18"/>
    </w:rPr>
  </w:style>
  <w:style w:type="paragraph" w:styleId="a4">
    <w:name w:val="footer"/>
    <w:basedOn w:val="a"/>
    <w:link w:val="Char0"/>
    <w:uiPriority w:val="99"/>
    <w:semiHidden/>
    <w:unhideWhenUsed/>
    <w:rsid w:val="003C5765"/>
    <w:pPr>
      <w:tabs>
        <w:tab w:val="center" w:pos="4153"/>
        <w:tab w:val="right" w:pos="8306"/>
      </w:tabs>
    </w:pPr>
    <w:rPr>
      <w:sz w:val="18"/>
      <w:szCs w:val="18"/>
    </w:rPr>
  </w:style>
  <w:style w:type="character" w:customStyle="1" w:styleId="Char0">
    <w:name w:val="页脚 Char"/>
    <w:basedOn w:val="a0"/>
    <w:link w:val="a4"/>
    <w:uiPriority w:val="99"/>
    <w:semiHidden/>
    <w:rsid w:val="003C5765"/>
    <w:rPr>
      <w:rFonts w:ascii="Tahoma" w:hAnsi="Tahoma"/>
      <w:sz w:val="18"/>
      <w:szCs w:val="18"/>
    </w:rPr>
  </w:style>
  <w:style w:type="paragraph" w:styleId="a5">
    <w:name w:val="Body Text Indent"/>
    <w:basedOn w:val="a"/>
    <w:link w:val="Char1"/>
    <w:uiPriority w:val="99"/>
    <w:semiHidden/>
    <w:unhideWhenUsed/>
    <w:rsid w:val="003C5765"/>
    <w:pPr>
      <w:spacing w:after="120"/>
      <w:ind w:leftChars="200" w:left="420"/>
    </w:pPr>
  </w:style>
  <w:style w:type="character" w:customStyle="1" w:styleId="Char1">
    <w:name w:val="正文文本缩进 Char"/>
    <w:basedOn w:val="a0"/>
    <w:link w:val="a5"/>
    <w:uiPriority w:val="99"/>
    <w:semiHidden/>
    <w:rsid w:val="003C5765"/>
    <w:rPr>
      <w:rFonts w:ascii="Tahoma" w:hAnsi="Tahoma"/>
    </w:rPr>
  </w:style>
  <w:style w:type="paragraph" w:styleId="2">
    <w:name w:val="Body Text First Indent 2"/>
    <w:basedOn w:val="a5"/>
    <w:next w:val="a"/>
    <w:link w:val="2Char"/>
    <w:qFormat/>
    <w:rsid w:val="003C5765"/>
    <w:pPr>
      <w:widowControl w:val="0"/>
      <w:adjustRightInd/>
      <w:snapToGrid/>
      <w:spacing w:after="0"/>
      <w:ind w:leftChars="0" w:left="0" w:firstLineChars="200" w:firstLine="420"/>
      <w:jc w:val="both"/>
    </w:pPr>
    <w:rPr>
      <w:rFonts w:ascii="Calibri" w:eastAsia="仿宋体" w:hAnsi="Calibri" w:cs="Times New Roman"/>
      <w:color w:val="000000"/>
      <w:kern w:val="2"/>
      <w:sz w:val="32"/>
      <w:szCs w:val="21"/>
    </w:rPr>
  </w:style>
  <w:style w:type="character" w:customStyle="1" w:styleId="2Char">
    <w:name w:val="正文首行缩进 2 Char"/>
    <w:basedOn w:val="Char1"/>
    <w:link w:val="2"/>
    <w:rsid w:val="003C5765"/>
    <w:rPr>
      <w:rFonts w:ascii="Calibri" w:eastAsia="仿宋体" w:hAnsi="Calibri" w:cs="Times New Roman"/>
      <w:color w:val="000000"/>
      <w:kern w:val="2"/>
      <w:sz w:val="32"/>
      <w:szCs w:val="21"/>
    </w:rPr>
  </w:style>
  <w:style w:type="paragraph" w:customStyle="1" w:styleId="TableParagraph">
    <w:name w:val="Table Paragraph"/>
    <w:basedOn w:val="a"/>
    <w:uiPriority w:val="1"/>
    <w:qFormat/>
    <w:rsid w:val="003C5765"/>
    <w:pPr>
      <w:widowControl w:val="0"/>
      <w:adjustRightInd/>
      <w:snapToGrid/>
      <w:spacing w:after="0"/>
      <w:jc w:val="both"/>
    </w:pPr>
    <w:rPr>
      <w:rFonts w:ascii="宋体" w:eastAsia="宋体" w:hAnsi="宋体" w:cs="宋体"/>
      <w:kern w:val="2"/>
      <w:sz w:val="32"/>
      <w:szCs w:val="32"/>
      <w:lang w:val="zh-CN"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2021-06-22T05:19:00Z</dcterms:created>
  <dcterms:modified xsi:type="dcterms:W3CDTF">2021-06-24T02:19:00Z</dcterms:modified>
</cp:coreProperties>
</file>