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widowControl/>
        <w:spacing w:before="100" w:beforeAutospacing="1" w:after="100" w:afterAutospacing="1"/>
        <w:jc w:val="center"/>
        <w:outlineLvl w:val="1"/>
        <w:rPr>
          <w:rFonts w:ascii="方正小标宋_GBK" w:hAnsi="宋体" w:eastAsia="方正小标宋_GBK" w:cs="Times New Roman"/>
          <w:kern w:val="0"/>
          <w:sz w:val="44"/>
          <w:szCs w:val="44"/>
        </w:rPr>
      </w:pPr>
    </w:p>
    <w:p>
      <w:pPr>
        <w:widowControl/>
        <w:spacing w:before="100" w:beforeAutospacing="1" w:after="100" w:afterAutospacing="1"/>
        <w:jc w:val="center"/>
        <w:outlineLvl w:val="1"/>
        <w:rPr>
          <w:rFonts w:ascii="方正小标宋_GBK" w:hAnsi="宋体" w:eastAsia="方正小标宋_GBK" w:cs="Times New Roman"/>
          <w:kern w:val="0"/>
          <w:sz w:val="44"/>
          <w:szCs w:val="44"/>
        </w:rPr>
      </w:pPr>
    </w:p>
    <w:p>
      <w:pPr>
        <w:widowControl/>
        <w:spacing w:before="100" w:beforeAutospacing="1" w:after="100" w:afterAutospacing="1"/>
        <w:jc w:val="center"/>
        <w:outlineLvl w:val="1"/>
        <w:rPr>
          <w:rFonts w:ascii="方正小标宋_GBK" w:hAnsi="宋体" w:eastAsia="方正小标宋_GBK" w:cs="Times New Roman"/>
          <w:kern w:val="0"/>
          <w:sz w:val="44"/>
          <w:szCs w:val="44"/>
        </w:rPr>
      </w:pPr>
    </w:p>
    <w:p>
      <w:pPr>
        <w:widowControl/>
        <w:spacing w:before="100" w:beforeAutospacing="1" w:after="100" w:afterAutospacing="1"/>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Times New Roman"/>
          <w:kern w:val="0"/>
          <w:sz w:val="44"/>
          <w:szCs w:val="44"/>
        </w:rPr>
        <w:t>昌吉市</w:t>
      </w:r>
      <w:r>
        <w:rPr>
          <w:rFonts w:hint="eastAsia" w:ascii="方正小标宋_GBK" w:hAnsi="宋体" w:eastAsia="方正小标宋_GBK" w:cs="Times New Roman"/>
          <w:kern w:val="0"/>
          <w:sz w:val="44"/>
          <w:szCs w:val="44"/>
          <w:lang w:eastAsia="zh-CN"/>
        </w:rPr>
        <w:t>商务和工业信息化局</w:t>
      </w:r>
      <w:r>
        <w:rPr>
          <w:rFonts w:hint="eastAsia" w:ascii="方正小标宋_GBK" w:hAnsi="宋体" w:eastAsia="方正小标宋_GBK" w:cs="Times New Roman"/>
          <w:kern w:val="0"/>
          <w:sz w:val="44"/>
          <w:szCs w:val="44"/>
        </w:rPr>
        <w:t>2021年部门预算公开</w:t>
      </w: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jc w:val="center"/>
        <w:outlineLvl w:val="1"/>
        <w:rPr>
          <w:rFonts w:ascii="宋体" w:hAnsi="宋体" w:eastAsia="宋体" w:cs="Times New Roman"/>
          <w:b/>
          <w:kern w:val="0"/>
          <w:sz w:val="44"/>
          <w:szCs w:val="44"/>
        </w:rPr>
      </w:pPr>
    </w:p>
    <w:p>
      <w:pPr>
        <w:widowControl/>
        <w:spacing w:before="100" w:beforeAutospacing="1" w:after="100" w:afterAutospacing="1"/>
        <w:outlineLvl w:val="1"/>
        <w:rPr>
          <w:rFonts w:ascii="宋体" w:hAnsi="宋体" w:eastAsia="宋体" w:cs="Times New Roman"/>
          <w:b/>
          <w:kern w:val="0"/>
          <w:sz w:val="44"/>
          <w:szCs w:val="44"/>
        </w:rPr>
      </w:pPr>
    </w:p>
    <w:p>
      <w:pPr>
        <w:widowControl/>
        <w:spacing w:line="440" w:lineRule="exact"/>
        <w:jc w:val="center"/>
        <w:outlineLvl w:val="1"/>
        <w:rPr>
          <w:rFonts w:ascii="黑体" w:hAnsi="黑体" w:eastAsia="黑体" w:cs="Times New Roman"/>
          <w:kern w:val="0"/>
          <w:sz w:val="36"/>
          <w:szCs w:val="32"/>
        </w:rPr>
      </w:pPr>
      <w:r>
        <w:rPr>
          <w:rFonts w:hint="eastAsia" w:ascii="黑体" w:hAnsi="黑体" w:eastAsia="黑体" w:cs="Times New Roman"/>
          <w:kern w:val="0"/>
          <w:sz w:val="36"/>
          <w:szCs w:val="32"/>
        </w:rPr>
        <w:t>目 录</w:t>
      </w:r>
    </w:p>
    <w:p>
      <w:pPr>
        <w:widowControl/>
        <w:spacing w:line="440" w:lineRule="exact"/>
        <w:ind w:firstLine="883" w:firstLineChars="200"/>
        <w:outlineLvl w:val="1"/>
        <w:rPr>
          <w:rFonts w:ascii="宋体" w:hAnsi="宋体" w:eastAsia="宋体" w:cs="Times New Roman"/>
          <w:b/>
          <w:kern w:val="0"/>
          <w:sz w:val="44"/>
          <w:szCs w:val="44"/>
        </w:rPr>
      </w:pPr>
    </w:p>
    <w:p>
      <w:pPr>
        <w:widowControl/>
        <w:spacing w:line="440" w:lineRule="exact"/>
        <w:ind w:firstLine="643" w:firstLineChars="200"/>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 xml:space="preserve">第一部分  </w:t>
      </w:r>
      <w:r>
        <w:rPr>
          <w:rFonts w:hint="eastAsia" w:ascii="仿宋_GB2312" w:hAnsi="宋体" w:eastAsia="仿宋_GB2312" w:cs="Times New Roman"/>
          <w:b/>
          <w:kern w:val="0"/>
          <w:sz w:val="32"/>
          <w:szCs w:val="32"/>
          <w:lang w:eastAsia="zh-CN"/>
        </w:rPr>
        <w:t>昌吉市商务和工业信息化局</w:t>
      </w:r>
      <w:r>
        <w:rPr>
          <w:rFonts w:hint="eastAsia" w:ascii="仿宋_GB2312" w:hAnsi="宋体" w:eastAsia="仿宋_GB2312" w:cs="Times New Roman"/>
          <w:b/>
          <w:kern w:val="0"/>
          <w:sz w:val="32"/>
          <w:szCs w:val="32"/>
        </w:rPr>
        <w:t>概况</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一、主要职能</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二、机构设置及人员情况</w:t>
      </w:r>
    </w:p>
    <w:p>
      <w:pPr>
        <w:widowControl/>
        <w:spacing w:line="440" w:lineRule="exact"/>
        <w:ind w:firstLine="643" w:firstLineChars="200"/>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第二部分  2021年部门预算公开表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一、部门收支总体情况表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二、部门收入总体情况表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三、部门支出总体情况表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四、财政拨款收支总体情况表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五、一般公共预算支出情况表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六、一般公共预算基本支出情况表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七、一般公共预算</w:t>
      </w:r>
      <w:r>
        <w:rPr>
          <w:rFonts w:hint="eastAsia" w:ascii="仿宋_GB2312" w:hAnsi="宋体" w:eastAsia="仿宋_GB2312" w:cs="Times New Roman"/>
          <w:bCs/>
          <w:kern w:val="0"/>
          <w:sz w:val="32"/>
          <w:szCs w:val="32"/>
        </w:rPr>
        <w:t>项目支出情况表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九、政府性基金预算支出情况表</w:t>
      </w:r>
    </w:p>
    <w:p>
      <w:pPr>
        <w:widowControl/>
        <w:spacing w:line="440" w:lineRule="exact"/>
        <w:ind w:firstLine="643" w:firstLineChars="200"/>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第三部分  2021年部门预算情况说明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2021年收支预算情况的总体说明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2021年收入预算情况说明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2021年支出预算情况说明</w:t>
      </w:r>
    </w:p>
    <w:p>
      <w:pPr>
        <w:widowControl/>
        <w:spacing w:line="440" w:lineRule="exact"/>
        <w:ind w:firstLine="640" w:firstLineChars="200"/>
        <w:outlineLvl w:val="1"/>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四、关于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bCs/>
          <w:kern w:val="0"/>
          <w:sz w:val="32"/>
          <w:szCs w:val="32"/>
        </w:rPr>
        <w:t>2021年财政拨款收支预算情况的总体说明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2021年一般公共预算当年拨款情况说明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2021年一般公共预算基本支出情况说明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七、关于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2021年一般公共预算项目支出情况说明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八、关于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2021年一般公共预算“三公”经费预算情况说明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九、关于</w:t>
      </w: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Times New Roman"/>
          <w:kern w:val="0"/>
          <w:sz w:val="32"/>
          <w:szCs w:val="32"/>
        </w:rPr>
        <w:t>2021年政府性基金预算拨款情况说明</w:t>
      </w:r>
    </w:p>
    <w:p>
      <w:pPr>
        <w:widowControl/>
        <w:spacing w:line="440" w:lineRule="exact"/>
        <w:ind w:firstLine="640" w:firstLineChars="20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十、其他重要事项的情况说明</w:t>
      </w:r>
    </w:p>
    <w:p>
      <w:pPr>
        <w:widowControl/>
        <w:spacing w:line="440" w:lineRule="exact"/>
        <w:ind w:firstLine="643" w:firstLineChars="200"/>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第四部分  名词解释</w:t>
      </w:r>
    </w:p>
    <w:p>
      <w:pPr>
        <w:widowControl/>
        <w:jc w:val="center"/>
        <w:outlineLvl w:val="1"/>
        <w:rPr>
          <w:rFonts w:ascii="黑体" w:hAnsi="黑体" w:eastAsia="黑体" w:cs="Times New Roman"/>
          <w:kern w:val="0"/>
          <w:sz w:val="32"/>
          <w:szCs w:val="32"/>
        </w:rPr>
      </w:pPr>
    </w:p>
    <w:p>
      <w:pPr>
        <w:widowControl/>
        <w:jc w:val="center"/>
        <w:outlineLvl w:val="1"/>
        <w:rPr>
          <w:rFonts w:ascii="黑体" w:hAnsi="黑体" w:eastAsia="黑体" w:cs="Times New Roman"/>
          <w:kern w:val="0"/>
          <w:sz w:val="32"/>
          <w:szCs w:val="32"/>
        </w:rPr>
      </w:pPr>
      <w:r>
        <w:rPr>
          <w:rFonts w:hint="eastAsia" w:ascii="黑体" w:hAnsi="黑体" w:eastAsia="黑体" w:cs="Times New Roman"/>
          <w:kern w:val="0"/>
          <w:sz w:val="32"/>
          <w:szCs w:val="32"/>
        </w:rPr>
        <w:t xml:space="preserve">第一部分   </w:t>
      </w:r>
      <w:r>
        <w:rPr>
          <w:rFonts w:hint="eastAsia" w:ascii="黑体" w:hAnsi="黑体" w:eastAsia="黑体" w:cs="Times New Roman"/>
          <w:kern w:val="0"/>
          <w:sz w:val="32"/>
          <w:szCs w:val="32"/>
          <w:lang w:eastAsia="zh-CN"/>
        </w:rPr>
        <w:t>昌吉市商务和工业信息化局</w:t>
      </w:r>
      <w:r>
        <w:rPr>
          <w:rFonts w:hint="eastAsia" w:ascii="黑体" w:hAnsi="黑体" w:eastAsia="黑体" w:cs="Times New Roman"/>
          <w:kern w:val="0"/>
          <w:sz w:val="32"/>
          <w:szCs w:val="32"/>
        </w:rPr>
        <w:t>概况</w:t>
      </w:r>
    </w:p>
    <w:p>
      <w:pPr>
        <w:widowControl/>
        <w:jc w:val="center"/>
        <w:outlineLvl w:val="1"/>
        <w:rPr>
          <w:rFonts w:ascii="宋体" w:hAnsi="宋体" w:eastAsia="宋体" w:cs="Times New Roman"/>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昌吉市商务和工业信息化局（以下简称市商务和工业信息化局）是市人民政府工作部门，为正科级。</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市商务和工业信息化局贯彻落实党中央关于商务和工业信息化工作的方针政策和决策部署，在履行职责过程中坚持和加强党对商务和工业信息化工作的集中统一领导，主要职责是：</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(一)贯彻执行国家、自治区、自治州商务和工业信息化的法律法规和方针政策，研究商务和工业信息化发展规划和政策建议；拟订商务、工业和信息化发展的政策措施，并组织实施和监督检查。</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（二）贯彻落实国家、自治区和自治州产业政策，并组织实施和监督检查；指导产业合理布局和结构调整；组织协调重点产业调整和高质量发展规划的拟订与实施。</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推进流通产业结构调整，指导流通企业改革、商贸服务业和社区商业发展，提出促进商贸中小企业发展的政策建议，推动流通标准化和连锁经营、商业特许经营、物流配送、电子商务等现代流通方式的发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大宗产品批发市场规划和城市商业网点规划、商业体系建设工作，促进城乡市场发展，推进有关农村市场体系建设，完善农村现代流通网络；研究提出流通行业和生活服务业重点设施布局意见，协调昌吉市商业中心、特色商业街和各类商品交易市场的规划和建设。</w:t>
      </w:r>
    </w:p>
    <w:p>
      <w:pPr>
        <w:snapToGrid w:val="0"/>
        <w:spacing w:line="560" w:lineRule="exact"/>
        <w:ind w:firstLine="59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（五）</w:t>
      </w:r>
      <w:r>
        <w:rPr>
          <w:rFonts w:hint="eastAsia" w:ascii="仿宋_GB2312" w:hAnsi="仿宋_GB2312" w:eastAsia="仿宋_GB2312" w:cs="仿宋_GB2312"/>
          <w:sz w:val="32"/>
          <w:szCs w:val="32"/>
        </w:rPr>
        <w:t>协调整顿和规范市场经济秩序工作的责任。拟订昌吉市规范市场运行、流通秩序的政策，推动商务领域信用建设，指导商业信用销售；建立市场诚信公共服务平台，按有关规定对酒类流通、再生资源流通等特殊流通行业进行监督管理。</w:t>
      </w:r>
    </w:p>
    <w:p>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承担组织实施重要消费品市场调控和重要生产资料流通管理的责任，负责建立健全生活必需品市场供应应急管理机制，监测分析市场运行、商品供应状况，调查分析商品价格信息并进行预测预警和信息引导；按分工负责重要消费品储备管理和市场调控工作；按有关规定对成品油流通环节进行监督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（七）制定电子商务发展规划和政策措施并组织实施；指导企业信息化及运用电子商务开拓国内外市场；负责建立电子商务行业统计和评价体系，牵头推进电子商务支撑服务体系发展。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（八）负责对外贸易的管理。贯彻执行国家、</w:t>
      </w:r>
      <w:r>
        <w:rPr>
          <w:rFonts w:hint="eastAsia" w:ascii="仿宋_GB2312" w:hAnsi="方正仿宋_GBK" w:eastAsia="仿宋_GB2312" w:cs="方正仿宋_GBK"/>
          <w:sz w:val="32"/>
          <w:szCs w:val="32"/>
        </w:rPr>
        <w:t>自治区和自治州</w:t>
      </w:r>
      <w:r>
        <w:rPr>
          <w:rFonts w:hint="eastAsia" w:ascii="仿宋_GB2312" w:hAnsi="仿宋_GB2312" w:eastAsia="仿宋_GB2312" w:cs="仿宋_GB2312"/>
          <w:sz w:val="32"/>
          <w:szCs w:val="32"/>
        </w:rPr>
        <w:t>进出口商品、加工贸易管理办法和进出口管理商品、技术目录，拟订促进外贸增长方式转变的政策措施；组织实施本市进出口配额计划，贯彻落实国家、</w:t>
      </w:r>
      <w:r>
        <w:rPr>
          <w:rFonts w:hint="eastAsia" w:ascii="仿宋_GB2312" w:hAnsi="方正仿宋_GBK" w:eastAsia="仿宋_GB2312" w:cs="方正仿宋_GBK"/>
          <w:sz w:val="32"/>
          <w:szCs w:val="32"/>
        </w:rPr>
        <w:t>自治区和自治</w:t>
      </w:r>
      <w:r>
        <w:rPr>
          <w:rFonts w:hint="eastAsia" w:ascii="仿宋_GB2312" w:hAnsi="仿宋_GB2312" w:eastAsia="仿宋_GB2312" w:cs="仿宋_GB2312"/>
          <w:sz w:val="32"/>
          <w:szCs w:val="32"/>
        </w:rPr>
        <w:t>对外技术贸易、出口管制以及鼓励技术和成套设备进出口的贸易政策；会同有关部门制定促进本市服务贸易和服务外包发展的规划并组织实施；推动服务外包平台建设；组织协调本市反倾销、反补贴、保障措施及其他与进出口公平贸易相关的工作，建立进出口公平贸易及产业损害预警机制；依法实施对外贸易调查和产业损害调查，指导协调产业安全应对工作及国外对本市出口商品的反倾销、反补贴、保障措施的应诉等相关工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（九）负责招商引资工作的协调、组织、管理；执行</w:t>
      </w:r>
      <w:r>
        <w:rPr>
          <w:rFonts w:hint="eastAsia" w:ascii="仿宋_GB2312" w:hAnsi="方正仿宋_GBK" w:eastAsia="仿宋_GB2312" w:cs="方正仿宋_GBK"/>
          <w:sz w:val="32"/>
          <w:szCs w:val="32"/>
        </w:rPr>
        <w:t>自治区和自治州</w:t>
      </w:r>
      <w:r>
        <w:rPr>
          <w:rFonts w:hint="eastAsia" w:ascii="仿宋_GB2312" w:hAnsi="仿宋_GB2312" w:eastAsia="仿宋_GB2312" w:cs="仿宋_GB2312"/>
          <w:sz w:val="32"/>
          <w:szCs w:val="32"/>
        </w:rPr>
        <w:t>招商引资方针政策，编制招商引资发展规划和年度计划，建设绿色招商项目库，落实重大招商项目跟进责任制，参与评审论证重点招商项目，完善招商引资服务体系；负责招商引资统计通报、信息收集和目标考核等工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外商投资工作；依法核准权限内外商投资企业的合同、章程及变更事项；负责国家规定的限额以上、限制投资和涉及配额、许可证管理的外商投资企业的设立及其变更事项的审核上报工作；负责管理、监督本市外商投资企业执行有关法律、法规、合同情况。负责对外经济合作工作，执行对外经济合作政策，指导和监督本市境外承包工程及对外劳务合作；审核上报昌吉市企业（组织）在境外投资项目和驻外机构，协调外派劳务人员的权益保护工作；申报多边、双边国际及民间无偿援助项目。</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（十一）负责与自治区各地州市及内地各省市之间的横向经济联合协作。开展外引内联、对口支援及有关项目的对接落实工作；组织和参与各类商务领域交易会、洽谈会、博览会、展览会和有关招商活动。</w:t>
      </w:r>
    </w:p>
    <w:p>
      <w:pPr>
        <w:widowControl/>
        <w:autoSpaceDN w:val="0"/>
        <w:snapToGrid w:val="0"/>
        <w:spacing w:line="560" w:lineRule="exact"/>
        <w:ind w:firstLine="59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（十二）</w:t>
      </w:r>
      <w:r>
        <w:rPr>
          <w:rFonts w:hint="eastAsia" w:ascii="仿宋_GB2312" w:hAnsi="仿宋_GB2312" w:eastAsia="仿宋_GB2312" w:cs="仿宋_GB2312"/>
          <w:sz w:val="32"/>
          <w:szCs w:val="32"/>
        </w:rPr>
        <w:t>承担工业经济运行态势监测分析、预测预警和信息引导工作；拟订工业经济运行调控目标、政策措施；协调解决工业经济运行中的重大问题并提出政策建议；负责全市能源保障和重要工业物资供需协调有关工作；负责协调油地关系；负责工业经济运行和产业安全有关工作。</w:t>
      </w:r>
    </w:p>
    <w:p>
      <w:pPr>
        <w:widowControl/>
        <w:autoSpaceDN w:val="0"/>
        <w:snapToGrid w:val="0"/>
        <w:spacing w:line="560" w:lineRule="exact"/>
        <w:ind w:firstLine="59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（十三）</w:t>
      </w:r>
      <w:r>
        <w:rPr>
          <w:rFonts w:hint="eastAsia" w:ascii="仿宋_GB2312" w:hAnsi="仿宋_GB2312" w:eastAsia="仿宋_GB2312" w:cs="仿宋_GB2312"/>
          <w:sz w:val="32"/>
          <w:szCs w:val="32"/>
        </w:rPr>
        <w:t>负责工业和信息化领域各行业的管理，组织拟订行业专项规划，并组织实施技术规范和标准；贯彻盐业行业发展规划和政策措施，负责盐业行业管理；负责园区设立、创建和申报自治区和自治州园区专项资金协调工作；贯彻国家、自治区和自治州关于原材料行业规范和准入，指导冶金、有色金属、黄金、稀土、轻工、纺织、机电、建材等行业管理。负责食品（含酒类）、医药工业发展规划、计划及相关政策的拟订和组织实施。</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（十四）负责工业和信息产业及信息化建设的技术改造投资管理，负责技术改造和投资项目审核、备案；拟订技术改造投资的有关政策措施；研究和规划本行政区域内技术改造项目投资方向和布局，</w:t>
      </w:r>
      <w:r>
        <w:rPr>
          <w:rFonts w:ascii="仿宋_GB2312" w:hAnsi="仿宋_GB2312" w:eastAsia="仿宋_GB2312" w:cs="仿宋_GB2312"/>
          <w:sz w:val="32"/>
          <w:szCs w:val="32"/>
        </w:rPr>
        <w:t>引导企业、金融机构及社会资金投向。</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（十五）拟订工业和信息化领域技术创新政策措施；培育和发展战略性新兴产业；拟订装备工业发展规划及政策措施；负责推进装备制造产业发展工作。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指导工业和信息化领域体制改革和管理创新；拟订促进中小企业发展的相关政策措施，负责对中小企业的宏观指导和服务，指导中小企业改革与发展，建立健全服务体系；负责工业和信息化领域人员的培训工作；负责组织协调减轻企业负担工作。</w:t>
      </w:r>
    </w:p>
    <w:p>
      <w:pPr>
        <w:widowControl/>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贯彻落实工业和信息化领域资源节约和综合利用规划、政策；指导工业节能减排综合协调和监督管理工作；指导工业和信息化领域循环经济发展；协调工业和信息化领域清洁生产和节能环保产业发展工作。</w:t>
      </w:r>
    </w:p>
    <w:p>
      <w:pPr>
        <w:widowControl/>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（十八）负责民爆行业管理；依据管理权限，对民用爆炸物品生产、销售依法进行监督管理。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（十九）组织执行国家、</w:t>
      </w:r>
      <w:r>
        <w:rPr>
          <w:rFonts w:hint="eastAsia" w:ascii="仿宋_GB2312" w:hAnsi="方正仿宋_GBK" w:eastAsia="仿宋_GB2312" w:cs="方正仿宋_GBK"/>
          <w:sz w:val="32"/>
          <w:szCs w:val="32"/>
        </w:rPr>
        <w:t>自治区和自治州</w:t>
      </w:r>
      <w:r>
        <w:rPr>
          <w:rFonts w:hint="eastAsia" w:ascii="仿宋_GB2312" w:hAnsi="仿宋_GB2312" w:eastAsia="仿宋_GB2312" w:cs="仿宋_GB2312"/>
          <w:sz w:val="32"/>
          <w:szCs w:val="32"/>
        </w:rPr>
        <w:t>电力行业技术规范和标准；负责权限范围内的电力行政执法、监督；组织协调解决电力生产、运营和供应中的重大问题。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（二十）负责推进信息化工作；指导协调经济社会各领域信息技术的推广应用工作；推进跨行业、跨部门面向社会服务的互联互通及重要信息资源开发利用和共享；</w:t>
      </w:r>
      <w:r>
        <w:rPr>
          <w:rFonts w:ascii="仿宋_GB2312" w:hAnsi="仿宋_GB2312" w:eastAsia="仿宋_GB2312" w:cs="仿宋_GB2312"/>
          <w:sz w:val="32"/>
          <w:szCs w:val="32"/>
        </w:rPr>
        <w:t>协调</w:t>
      </w:r>
      <w:r>
        <w:rPr>
          <w:rFonts w:hint="eastAsia" w:ascii="仿宋_GB2312" w:hAnsi="仿宋_GB2312" w:eastAsia="仿宋_GB2312" w:cs="仿宋_GB2312"/>
          <w:sz w:val="32"/>
          <w:szCs w:val="32"/>
        </w:rPr>
        <w:t>本行政区域内</w:t>
      </w:r>
      <w:r>
        <w:rPr>
          <w:rFonts w:ascii="仿宋_GB2312" w:hAnsi="仿宋_GB2312" w:eastAsia="仿宋_GB2312" w:cs="仿宋_GB2312"/>
          <w:sz w:val="32"/>
          <w:szCs w:val="32"/>
        </w:rPr>
        <w:t>通信业有关工作</w:t>
      </w:r>
      <w:r>
        <w:rPr>
          <w:rFonts w:hint="eastAsia" w:ascii="仿宋_GB2312" w:hAnsi="仿宋_GB2312" w:eastAsia="仿宋_GB2312" w:cs="仿宋_GB2312"/>
          <w:sz w:val="32"/>
          <w:szCs w:val="32"/>
        </w:rPr>
        <w:t>；推进信息化和工业化融合；统筹指导工业信息安全管理工作。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（二十一）指导电子信息产业的发展；指导电子信息产品制造业、软件业、信息服务业发展；指导电子信息产业基地建设；协调电子信息产业重大专项实施。</w:t>
      </w:r>
    </w:p>
    <w:p>
      <w:pPr>
        <w:widowControl/>
        <w:spacing w:line="560" w:lineRule="exact"/>
        <w:ind w:left="638" w:leftChars="304" w:firstLine="3" w:firstLineChars="1"/>
        <w:jc w:val="left"/>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（二十二）完成市党委、市人民政府交办的其他任务。</w:t>
      </w:r>
      <w:r>
        <w:rPr>
          <w:rFonts w:hint="eastAsia" w:ascii="仿宋_GB2312" w:hAnsi="宋体" w:eastAsia="仿宋_GB2312" w:cs="宋体"/>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Times New Roman"/>
          <w:kern w:val="0"/>
          <w:sz w:val="32"/>
          <w:szCs w:val="32"/>
          <w:lang w:eastAsia="zh-CN"/>
        </w:rPr>
        <w:t>昌吉市商务和工业信息化局</w:t>
      </w:r>
      <w:r>
        <w:rPr>
          <w:rFonts w:hint="eastAsia" w:ascii="仿宋_GB2312" w:hAnsi="黑体" w:eastAsia="仿宋_GB2312" w:cs="宋体"/>
          <w:bCs/>
          <w:kern w:val="0"/>
          <w:sz w:val="32"/>
          <w:szCs w:val="32"/>
        </w:rPr>
        <w:t>无下属预算单位，</w:t>
      </w:r>
      <w:r>
        <w:rPr>
          <w:rFonts w:hint="eastAsia" w:ascii="仿宋_GB2312" w:hAnsi="宋体" w:eastAsia="仿宋_GB2312" w:cs="Times New Roman"/>
          <w:kern w:val="0"/>
          <w:sz w:val="32"/>
          <w:szCs w:val="32"/>
          <w:lang w:eastAsia="zh-CN"/>
        </w:rPr>
        <w:t>下设</w:t>
      </w:r>
      <w:r>
        <w:rPr>
          <w:rFonts w:hint="eastAsia" w:ascii="仿宋_GB2312" w:hAnsi="宋体" w:eastAsia="仿宋_GB2312" w:cs="Times New Roman"/>
          <w:kern w:val="0"/>
          <w:sz w:val="32"/>
          <w:szCs w:val="32"/>
          <w:lang w:val="en-US" w:eastAsia="zh-CN"/>
        </w:rPr>
        <w:t>7</w:t>
      </w:r>
      <w:r>
        <w:rPr>
          <w:rFonts w:hint="eastAsia" w:ascii="仿宋_GB2312" w:hAnsi="宋体" w:eastAsia="仿宋_GB2312" w:cs="Times New Roman"/>
          <w:kern w:val="0"/>
          <w:sz w:val="32"/>
          <w:szCs w:val="32"/>
          <w:lang w:eastAsia="zh-CN"/>
        </w:rPr>
        <w:t>个科室，分别是：党政办公室、工业运行科、产业信</w:t>
      </w:r>
      <w:r>
        <w:rPr>
          <w:rFonts w:hint="eastAsia" w:ascii="仿宋_GB2312" w:hAnsi="仿宋" w:eastAsia="仿宋_GB2312" w:cs="仿宋"/>
          <w:sz w:val="32"/>
          <w:szCs w:val="32"/>
          <w:lang w:eastAsia="zh-CN"/>
        </w:rPr>
        <w:t>息科、商贸科、外资外贸科、安全执法科、投资发展科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b/>
          <w:kern w:val="0"/>
          <w:sz w:val="32"/>
          <w:szCs w:val="32"/>
        </w:rPr>
      </w:pPr>
      <w:r>
        <w:rPr>
          <w:rFonts w:hint="eastAsia" w:ascii="仿宋_GB2312" w:hAnsi="宋体" w:eastAsia="仿宋_GB2312" w:cs="Times New Roman"/>
          <w:kern w:val="0"/>
          <w:sz w:val="32"/>
          <w:szCs w:val="32"/>
          <w:lang w:eastAsia="zh-CN"/>
        </w:rPr>
        <w:t>昌吉市商务和工业信息化局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41</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51</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ascii="仿宋_GB2312" w:hAnsi="宋体" w:eastAsia="仿宋_GB2312" w:cs="宋体"/>
          <w:b/>
          <w:kern w:val="0"/>
          <w:sz w:val="32"/>
          <w:szCs w:val="32"/>
        </w:rPr>
        <w:br w:type="page"/>
      </w:r>
    </w:p>
    <w:p>
      <w:pPr>
        <w:widowControl/>
        <w:jc w:val="center"/>
        <w:outlineLvl w:val="1"/>
        <w:rPr>
          <w:rFonts w:ascii="黑体" w:hAnsi="黑体" w:eastAsia="黑体" w:cs="Times New Roman"/>
          <w:kern w:val="0"/>
          <w:sz w:val="32"/>
          <w:szCs w:val="32"/>
        </w:rPr>
      </w:pPr>
      <w:r>
        <w:rPr>
          <w:rFonts w:hint="eastAsia" w:ascii="黑体" w:hAnsi="黑体" w:eastAsia="黑体" w:cs="Times New Roman"/>
          <w:kern w:val="0"/>
          <w:sz w:val="32"/>
          <w:szCs w:val="32"/>
        </w:rPr>
        <w:t>第二部分  2021年</w:t>
      </w:r>
      <w:r>
        <w:rPr>
          <w:rFonts w:hint="eastAsia" w:ascii="黑体" w:hAnsi="黑体" w:eastAsia="黑体" w:cs="Times New Roman"/>
          <w:kern w:val="0"/>
          <w:sz w:val="32"/>
          <w:szCs w:val="32"/>
          <w:lang w:eastAsia="zh-CN"/>
        </w:rPr>
        <w:t>昌吉市商务和工业信息化局</w:t>
      </w:r>
      <w:r>
        <w:rPr>
          <w:rFonts w:hint="eastAsia" w:ascii="黑体" w:hAnsi="黑体" w:eastAsia="黑体" w:cs="Times New Roman"/>
          <w:kern w:val="0"/>
          <w:sz w:val="32"/>
          <w:szCs w:val="32"/>
        </w:rPr>
        <w:t>预算公开表</w:t>
      </w:r>
    </w:p>
    <w:p>
      <w:pPr>
        <w:widowControl/>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 xml:space="preserve">表一：        </w:t>
      </w:r>
    </w:p>
    <w:p>
      <w:pPr>
        <w:widowControl/>
        <w:jc w:val="center"/>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部门收支总体情况表</w:t>
      </w:r>
    </w:p>
    <w:p>
      <w:pPr>
        <w:widowControl/>
        <w:spacing w:line="280" w:lineRule="exact"/>
        <w:outlineLvl w:val="1"/>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w:t>
      </w:r>
      <w:r>
        <w:rPr>
          <w:rFonts w:hint="eastAsia" w:ascii="仿宋_GB2312" w:hAnsi="宋体" w:eastAsia="仿宋_GB2312" w:cs="Times New Roman"/>
          <w:kern w:val="0"/>
          <w:sz w:val="24"/>
          <w:szCs w:val="24"/>
          <w:lang w:val="en-US" w:eastAsia="zh-CN"/>
        </w:rPr>
        <w:t xml:space="preserve"> </w:t>
      </w:r>
      <w:r>
        <w:rPr>
          <w:rFonts w:hint="eastAsia" w:ascii="仿宋_GB2312" w:hAnsi="宋体" w:eastAsia="仿宋_GB2312" w:cs="Times New Roman"/>
          <w:kern w:val="0"/>
          <w:sz w:val="24"/>
          <w:szCs w:val="24"/>
        </w:rPr>
        <w:t>单位：万元</w:t>
      </w:r>
    </w:p>
    <w:tbl>
      <w:tblPr>
        <w:tblStyle w:val="14"/>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收     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589.49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543.43</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46.06</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宋体" w:hAnsi="宋体" w:eastAsia="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589.49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589.49</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cs="Times New Roman"/>
          <w:b/>
          <w:kern w:val="0"/>
          <w:sz w:val="28"/>
          <w:szCs w:val="32"/>
        </w:rPr>
      </w:pPr>
      <w:r>
        <w:rPr>
          <w:rFonts w:hint="eastAsia" w:ascii="仿宋_GB2312" w:hAnsi="宋体" w:eastAsia="仿宋_GB2312" w:cs="Times New Roman"/>
          <w:b/>
          <w:kern w:val="0"/>
          <w:sz w:val="28"/>
          <w:szCs w:val="32"/>
        </w:rPr>
        <w:t>备注：无内容应公开空表并说明情况。</w:t>
      </w:r>
    </w:p>
    <w:p>
      <w:pPr>
        <w:widowControl/>
        <w:jc w:val="lef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表二：</w:t>
      </w:r>
    </w:p>
    <w:p>
      <w:pPr>
        <w:widowControl/>
        <w:jc w:val="center"/>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部门收入总体情况表</w:t>
      </w:r>
    </w:p>
    <w:p>
      <w:pPr>
        <w:widowControl/>
        <w:jc w:val="left"/>
        <w:outlineLvl w:val="1"/>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w:t>
      </w:r>
      <w:r>
        <w:rPr>
          <w:rFonts w:hint="eastAsia" w:ascii="仿宋_GB2312" w:hAnsi="宋体" w:eastAsia="仿宋_GB2312" w:cs="Times New Roman"/>
          <w:kern w:val="0"/>
          <w:sz w:val="24"/>
          <w:szCs w:val="24"/>
          <w:lang w:val="en-US" w:eastAsia="zh-CN"/>
        </w:rPr>
        <w:t xml:space="preserve"> </w:t>
      </w:r>
      <w:r>
        <w:rPr>
          <w:rFonts w:hint="eastAsia" w:ascii="仿宋_GB2312" w:hAnsi="宋体" w:eastAsia="仿宋_GB2312" w:cs="Times New Roman"/>
          <w:kern w:val="0"/>
          <w:sz w:val="24"/>
          <w:szCs w:val="24"/>
        </w:rPr>
        <w:t>单位：万元</w:t>
      </w:r>
    </w:p>
    <w:tbl>
      <w:tblPr>
        <w:tblStyle w:val="14"/>
        <w:tblW w:w="9741" w:type="dxa"/>
        <w:tblInd w:w="-450" w:type="dxa"/>
        <w:tblLayout w:type="fixed"/>
        <w:tblCellMar>
          <w:top w:w="0" w:type="dxa"/>
          <w:left w:w="108" w:type="dxa"/>
          <w:bottom w:w="0" w:type="dxa"/>
          <w:right w:w="108" w:type="dxa"/>
        </w:tblCellMar>
      </w:tblPr>
      <w:tblGrid>
        <w:gridCol w:w="417"/>
        <w:gridCol w:w="417"/>
        <w:gridCol w:w="417"/>
        <w:gridCol w:w="2001"/>
        <w:gridCol w:w="1653"/>
        <w:gridCol w:w="828"/>
        <w:gridCol w:w="1056"/>
        <w:gridCol w:w="900"/>
        <w:gridCol w:w="660"/>
        <w:gridCol w:w="708"/>
        <w:gridCol w:w="684"/>
      </w:tblGrid>
      <w:tr>
        <w:tblPrEx>
          <w:tblLayout w:type="fixed"/>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功能分类科目编码</w:t>
            </w:r>
          </w:p>
        </w:tc>
        <w:tc>
          <w:tcPr>
            <w:tcW w:w="200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功能分类科目名称</w:t>
            </w:r>
          </w:p>
        </w:tc>
        <w:tc>
          <w:tcPr>
            <w:tcW w:w="165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总  计</w:t>
            </w:r>
          </w:p>
        </w:tc>
        <w:tc>
          <w:tcPr>
            <w:tcW w:w="82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一般公共预算拨款</w:t>
            </w:r>
          </w:p>
        </w:tc>
        <w:tc>
          <w:tcPr>
            <w:tcW w:w="105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政府性基金预算拨款</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单位其他资金收入</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hAnsi="Times New Roman" w:eastAsia="仿宋_GB2312" w:cs="Times New Roman"/>
                <w:b/>
                <w:color w:val="000000"/>
                <w:sz w:val="20"/>
                <w:szCs w:val="20"/>
              </w:rPr>
              <w:t>项</w:t>
            </w:r>
          </w:p>
        </w:tc>
        <w:tc>
          <w:tcPr>
            <w:tcW w:w="200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65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lang w:val="en-US" w:eastAsia="zh-CN"/>
              </w:rPr>
              <w:t>201</w:t>
            </w: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lang w:val="en-US" w:eastAsia="zh-CN"/>
              </w:rPr>
              <w:t>03</w:t>
            </w: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lang w:val="en-US" w:eastAsia="zh-CN"/>
              </w:rPr>
              <w:t>01</w:t>
            </w: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行政运行</w:t>
            </w:r>
          </w:p>
        </w:tc>
        <w:tc>
          <w:tcPr>
            <w:tcW w:w="165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lang w:val="en-US" w:eastAsia="zh-CN"/>
              </w:rPr>
              <w:t>374.93</w:t>
            </w:r>
            <w:r>
              <w:rPr>
                <w:rFonts w:hint="eastAsia" w:ascii="仿宋_GB2312"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lang w:val="en-US" w:eastAsia="zh-CN"/>
              </w:rPr>
              <w:t>374.93</w:t>
            </w: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208　</w:t>
            </w:r>
          </w:p>
        </w:tc>
        <w:tc>
          <w:tcPr>
            <w:tcW w:w="417" w:type="dxa"/>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05　</w:t>
            </w:r>
          </w:p>
        </w:tc>
        <w:tc>
          <w:tcPr>
            <w:tcW w:w="417" w:type="dxa"/>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05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机关事业单位基本养老保险缴费支出</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46.06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46.06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hint="default"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201　</w:t>
            </w:r>
          </w:p>
        </w:tc>
        <w:tc>
          <w:tcPr>
            <w:tcW w:w="417" w:type="dxa"/>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03　</w:t>
            </w:r>
          </w:p>
        </w:tc>
        <w:tc>
          <w:tcPr>
            <w:tcW w:w="417" w:type="dxa"/>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50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事业运行</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168.50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168.50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20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Times New Roman" w:eastAsia="仿宋_GB2312" w:cs="Times New Roman"/>
                <w:b/>
                <w:bCs/>
                <w:color w:val="000000"/>
                <w:sz w:val="20"/>
                <w:szCs w:val="20"/>
              </w:rPr>
              <w:t>合  计</w:t>
            </w:r>
            <w:r>
              <w:rPr>
                <w:rFonts w:hint="eastAsia" w:ascii="仿宋_GB2312" w:hAnsi="Times New Roman" w:eastAsia="仿宋_GB2312" w:cs="Times New Roman"/>
                <w:color w:val="000000"/>
                <w:sz w:val="20"/>
                <w:szCs w:val="20"/>
              </w:rPr>
              <w:t>　</w:t>
            </w:r>
          </w:p>
        </w:tc>
        <w:tc>
          <w:tcPr>
            <w:tcW w:w="1653"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589.49　</w:t>
            </w:r>
          </w:p>
        </w:tc>
        <w:tc>
          <w:tcPr>
            <w:tcW w:w="828" w:type="dxa"/>
            <w:tcBorders>
              <w:top w:val="nil"/>
              <w:left w:val="nil"/>
              <w:bottom w:val="single" w:color="auto" w:sz="4" w:space="0"/>
              <w:right w:val="single" w:color="auto" w:sz="4" w:space="0"/>
            </w:tcBorders>
            <w:vAlign w:val="center"/>
          </w:tcPr>
          <w:p>
            <w:pPr>
              <w:jc w:val="center"/>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589.49　</w:t>
            </w:r>
          </w:p>
        </w:tc>
        <w:tc>
          <w:tcPr>
            <w:tcW w:w="10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Times New Roman" w:eastAsia="仿宋_GB2312" w:cs="Times New Roman"/>
                <w:color w:val="000000"/>
                <w:sz w:val="20"/>
                <w:szCs w:val="20"/>
              </w:rPr>
              <w:t>　</w:t>
            </w:r>
          </w:p>
        </w:tc>
      </w:tr>
    </w:tbl>
    <w:p>
      <w:pPr>
        <w:widowControl/>
        <w:spacing w:line="280" w:lineRule="exac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28"/>
          <w:szCs w:val="32"/>
        </w:rPr>
        <w:t>备注：无内容应公开空表并说明情况。</w:t>
      </w:r>
    </w:p>
    <w:p>
      <w:pPr>
        <w:widowControl/>
        <w:jc w:val="lef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表三：</w:t>
      </w:r>
    </w:p>
    <w:p>
      <w:pPr>
        <w:widowControl/>
        <w:jc w:val="center"/>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部门支出总体情况表</w:t>
      </w:r>
    </w:p>
    <w:p>
      <w:pPr>
        <w:widowControl/>
        <w:jc w:val="left"/>
        <w:outlineLvl w:val="1"/>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w:t>
      </w:r>
      <w:r>
        <w:rPr>
          <w:rFonts w:hint="eastAsia" w:ascii="仿宋_GB2312" w:hAnsi="宋体" w:eastAsia="仿宋_GB2312" w:cs="Times New Roman"/>
          <w:kern w:val="0"/>
          <w:sz w:val="24"/>
          <w:szCs w:val="24"/>
          <w:lang w:val="en-US" w:eastAsia="zh-CN"/>
        </w:rPr>
        <w:t xml:space="preserve"> </w:t>
      </w:r>
      <w:r>
        <w:rPr>
          <w:rFonts w:hint="eastAsia" w:ascii="仿宋_GB2312" w:hAnsi="宋体" w:eastAsia="仿宋_GB2312" w:cs="Times New Roman"/>
          <w:kern w:val="0"/>
          <w:sz w:val="24"/>
          <w:szCs w:val="24"/>
        </w:rPr>
        <w:t>单位：万元</w:t>
      </w:r>
    </w:p>
    <w:tbl>
      <w:tblPr>
        <w:tblStyle w:val="14"/>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201</w:t>
            </w:r>
            <w:r>
              <w:rPr>
                <w:rFonts w:hint="eastAsia" w:ascii="仿宋_GB2312" w:hAnsi="Times New Roman" w:eastAsia="仿宋_GB2312" w:cs="Times New Roman"/>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03</w:t>
            </w:r>
            <w:r>
              <w:rPr>
                <w:rFonts w:hint="eastAsia" w:ascii="仿宋_GB2312" w:hAnsi="Times New Roman" w:eastAsia="仿宋_GB2312" w:cs="Times New Roman"/>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01</w:t>
            </w:r>
            <w:r>
              <w:rPr>
                <w:rFonts w:hint="eastAsia" w:ascii="仿宋_GB2312" w:hAnsi="Times New Roman" w:eastAsia="仿宋_GB2312" w:cs="Times New Roman"/>
                <w:color w:val="000000"/>
                <w:sz w:val="20"/>
                <w:szCs w:val="20"/>
              </w:rPr>
              <w:t>　</w:t>
            </w:r>
          </w:p>
        </w:tc>
        <w:tc>
          <w:tcPr>
            <w:tcW w:w="2604"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宋体" w:eastAsia="仿宋_GB2312" w:cs="宋体"/>
                <w:color w:val="000000"/>
                <w:sz w:val="20"/>
                <w:szCs w:val="20"/>
                <w:lang w:val="en-US" w:eastAsia="zh-CN"/>
              </w:rPr>
              <w:t>行政运行</w:t>
            </w:r>
          </w:p>
        </w:tc>
        <w:tc>
          <w:tcPr>
            <w:tcW w:w="1855"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374.93</w:t>
            </w:r>
            <w:r>
              <w:rPr>
                <w:rFonts w:hint="eastAsia" w:ascii="仿宋_GB2312" w:hAnsi="Times New Roman" w:eastAsia="仿宋_GB2312" w:cs="Times New Roman"/>
                <w:color w:val="000000"/>
                <w:sz w:val="20"/>
                <w:szCs w:val="20"/>
              </w:rPr>
              <w:t>　</w:t>
            </w:r>
          </w:p>
        </w:tc>
        <w:tc>
          <w:tcPr>
            <w:tcW w:w="1856"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374.93</w:t>
            </w:r>
            <w:r>
              <w:rPr>
                <w:rFonts w:hint="eastAsia" w:ascii="仿宋_GB2312" w:hAnsi="Times New Roman" w:eastAsia="仿宋_GB2312" w:cs="Times New Roman"/>
                <w:color w:val="000000"/>
                <w:sz w:val="20"/>
                <w:szCs w:val="20"/>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208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05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05　</w:t>
            </w:r>
          </w:p>
        </w:tc>
        <w:tc>
          <w:tcPr>
            <w:tcW w:w="2604"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46.06　</w:t>
            </w:r>
          </w:p>
        </w:tc>
        <w:tc>
          <w:tcPr>
            <w:tcW w:w="1856"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46.06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201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03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lang w:val="en-US" w:eastAsia="zh-CN"/>
              </w:rPr>
              <w:t>50　</w:t>
            </w:r>
          </w:p>
        </w:tc>
        <w:tc>
          <w:tcPr>
            <w:tcW w:w="2604"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宋体" w:eastAsia="仿宋_GB2312" w:cs="宋体"/>
                <w:color w:val="000000"/>
                <w:sz w:val="20"/>
                <w:szCs w:val="20"/>
                <w:lang w:val="en-US" w:eastAsia="zh-CN"/>
              </w:rPr>
              <w:t>　事业运行</w:t>
            </w:r>
          </w:p>
        </w:tc>
        <w:tc>
          <w:tcPr>
            <w:tcW w:w="1855"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168.50　</w:t>
            </w:r>
          </w:p>
        </w:tc>
        <w:tc>
          <w:tcPr>
            <w:tcW w:w="1856"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仿宋_GB2312" w:hAnsi="Times New Roman" w:eastAsia="仿宋_GB2312" w:cs="Times New Roman"/>
                <w:color w:val="000000"/>
                <w:sz w:val="20"/>
                <w:szCs w:val="20"/>
                <w:lang w:val="en-US" w:eastAsia="zh-CN"/>
              </w:rPr>
              <w:t>168.50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宋体" w:hAnsi="宋体" w:eastAsia="宋体" w:cs="宋体"/>
                <w:b/>
                <w:bCs/>
                <w:color w:val="000000"/>
                <w:kern w:val="0"/>
                <w:sz w:val="16"/>
                <w:szCs w:val="16"/>
              </w:rPr>
            </w:pPr>
            <w:r>
              <w:rPr>
                <w:rFonts w:hint="eastAsia" w:ascii="仿宋_GB2312" w:hAnsi="Times New Roman" w:eastAsia="仿宋_GB2312" w:cs="Times New Roman"/>
                <w:color w:val="000000"/>
                <w:sz w:val="20"/>
                <w:szCs w:val="20"/>
              </w:rPr>
              <w:t>　</w:t>
            </w:r>
          </w:p>
        </w:tc>
        <w:tc>
          <w:tcPr>
            <w:tcW w:w="2604"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00"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合  计</w:t>
            </w:r>
          </w:p>
        </w:tc>
        <w:tc>
          <w:tcPr>
            <w:tcW w:w="1855"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仿宋_GB2312" w:hAnsi="Times New Roman" w:eastAsia="仿宋_GB2312" w:cs="Times New Roman"/>
                <w:color w:val="000000"/>
                <w:sz w:val="20"/>
                <w:szCs w:val="20"/>
                <w:lang w:val="en-US" w:eastAsia="zh-CN"/>
              </w:rPr>
              <w:t>589.49　</w:t>
            </w:r>
          </w:p>
        </w:tc>
        <w:tc>
          <w:tcPr>
            <w:tcW w:w="1856"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仿宋_GB2312" w:hAnsi="Times New Roman" w:eastAsia="仿宋_GB2312" w:cs="Times New Roman"/>
                <w:color w:val="000000"/>
                <w:sz w:val="20"/>
                <w:szCs w:val="20"/>
                <w:lang w:val="en-US" w:eastAsia="zh-CN"/>
              </w:rPr>
              <w:t>589.49　</w:t>
            </w:r>
          </w:p>
        </w:tc>
        <w:tc>
          <w:tcPr>
            <w:tcW w:w="1904" w:type="dxa"/>
            <w:tcBorders>
              <w:top w:val="nil"/>
              <w:left w:val="nil"/>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widowControl/>
        <w:outlineLvl w:val="1"/>
        <w:rPr>
          <w:rFonts w:ascii="仿宋_GB2312" w:hAnsi="宋体" w:eastAsia="仿宋_GB2312" w:cs="Times New Roman"/>
          <w:b/>
          <w:kern w:val="0"/>
          <w:sz w:val="28"/>
          <w:szCs w:val="32"/>
        </w:rPr>
      </w:pPr>
      <w:r>
        <w:rPr>
          <w:rFonts w:hint="eastAsia" w:ascii="仿宋_GB2312" w:hAnsi="宋体" w:eastAsia="仿宋_GB2312" w:cs="Times New Roman"/>
          <w:b/>
          <w:kern w:val="0"/>
          <w:sz w:val="28"/>
          <w:szCs w:val="32"/>
        </w:rPr>
        <w:t>备注：无内容应公开空表并说明情况。</w:t>
      </w:r>
    </w:p>
    <w:p>
      <w:pPr>
        <w:widowControl/>
        <w:spacing w:before="120" w:beforeLines="50" w:line="280" w:lineRule="exact"/>
        <w:outlineLvl w:val="1"/>
        <w:rPr>
          <w:rFonts w:ascii="仿宋_GB2312" w:hAnsi="宋体" w:eastAsia="仿宋_GB2312" w:cs="Times New Roman"/>
          <w:b/>
          <w:kern w:val="0"/>
          <w:sz w:val="32"/>
          <w:szCs w:val="32"/>
        </w:rPr>
      </w:pPr>
    </w:p>
    <w:p>
      <w:pPr>
        <w:pStyle w:val="2"/>
      </w:pPr>
    </w:p>
    <w:p>
      <w:pPr>
        <w:widowControl/>
        <w:spacing w:before="120" w:beforeLines="50" w:line="280" w:lineRule="exac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表四：</w:t>
      </w:r>
    </w:p>
    <w:p>
      <w:pPr>
        <w:widowControl/>
        <w:spacing w:before="120" w:beforeLines="50" w:line="280" w:lineRule="exact"/>
        <w:jc w:val="center"/>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财政拨款收支预算总体情况表</w:t>
      </w:r>
    </w:p>
    <w:p>
      <w:pPr>
        <w:widowControl/>
        <w:jc w:val="left"/>
        <w:outlineLvl w:val="1"/>
        <w:rPr>
          <w:rFonts w:ascii="仿宋_GB2312" w:hAnsi="宋体" w:eastAsia="仿宋_GB2312" w:cs="Times New Roman"/>
          <w:kern w:val="0"/>
          <w:szCs w:val="21"/>
        </w:rPr>
      </w:pPr>
      <w:r>
        <w:rPr>
          <w:rFonts w:hint="eastAsia" w:ascii="仿宋_GB2312" w:hAnsi="宋体" w:eastAsia="仿宋_GB2312" w:cs="Times New Roman"/>
          <w:kern w:val="0"/>
          <w:szCs w:val="21"/>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w:t>
      </w:r>
      <w:r>
        <w:rPr>
          <w:rFonts w:hint="eastAsia" w:ascii="仿宋_GB2312" w:hAnsi="宋体" w:eastAsia="仿宋_GB2312" w:cs="Times New Roman"/>
          <w:kern w:val="0"/>
          <w:sz w:val="24"/>
          <w:szCs w:val="24"/>
          <w:lang w:val="en-US" w:eastAsia="zh-CN"/>
        </w:rPr>
        <w:t xml:space="preserve"> </w:t>
      </w:r>
      <w:r>
        <w:rPr>
          <w:rFonts w:hint="eastAsia" w:ascii="仿宋_GB2312" w:hAnsi="宋体" w:eastAsia="仿宋_GB2312" w:cs="Times New Roman"/>
          <w:kern w:val="0"/>
          <w:sz w:val="24"/>
          <w:szCs w:val="24"/>
        </w:rPr>
        <w:t>单位：万元</w:t>
      </w:r>
    </w:p>
    <w:tbl>
      <w:tblPr>
        <w:tblStyle w:val="14"/>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财政拨款收入</w:t>
            </w:r>
          </w:p>
        </w:tc>
        <w:tc>
          <w:tcPr>
            <w:tcW w:w="6599" w:type="dxa"/>
            <w:gridSpan w:val="4"/>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宋体" w:hAnsi="宋体" w:eastAsia="宋体" w:cs="宋体"/>
                <w:kern w:val="0"/>
                <w:sz w:val="18"/>
                <w:szCs w:val="18"/>
                <w:lang w:val="en-US" w:eastAsia="zh-CN"/>
              </w:rPr>
              <w:t>589.49</w:t>
            </w: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543.43</w:t>
            </w: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543.43</w:t>
            </w: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46.06</w:t>
            </w: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46.06</w:t>
            </w: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22"/>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rPr>
            </w:pPr>
            <w:r>
              <w:rPr>
                <w:rFonts w:hint="eastAsia" w:ascii="宋体" w:hAnsi="宋体" w:eastAsia="宋体" w:cs="宋体"/>
                <w:kern w:val="0"/>
                <w:sz w:val="18"/>
                <w:szCs w:val="18"/>
                <w:lang w:val="en-US" w:eastAsia="zh-CN"/>
              </w:rPr>
              <w:t>589.49</w:t>
            </w:r>
            <w:r>
              <w:rPr>
                <w:rFonts w:hint="eastAsia" w:ascii="仿宋_GB2312" w:hAnsi="宋体" w:eastAsia="仿宋_GB2312" w:cs="宋体"/>
                <w:color w:val="000000"/>
                <w:kern w:val="0"/>
                <w:sz w:val="22"/>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589.49</w:t>
            </w:r>
            <w:r>
              <w:rPr>
                <w:rFonts w:hint="eastAsia" w:ascii="宋体" w:hAnsi="宋体" w:eastAsia="宋体" w:cs="宋体"/>
                <w:color w:val="000000"/>
                <w:kern w:val="0"/>
                <w:sz w:val="22"/>
              </w:rPr>
              <w:t>　</w:t>
            </w:r>
          </w:p>
        </w:tc>
        <w:tc>
          <w:tcPr>
            <w:tcW w:w="12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589.49</w:t>
            </w:r>
            <w:r>
              <w:rPr>
                <w:rFonts w:hint="eastAsia" w:ascii="宋体" w:hAnsi="宋体" w:eastAsia="宋体" w:cs="宋体"/>
                <w:color w:val="000000"/>
                <w:kern w:val="0"/>
                <w:sz w:val="22"/>
              </w:rPr>
              <w:t>　</w:t>
            </w:r>
          </w:p>
        </w:tc>
        <w:tc>
          <w:tcPr>
            <w:tcW w:w="1326"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widowControl/>
        <w:outlineLvl w:val="1"/>
        <w:rPr>
          <w:rFonts w:hint="eastAsia" w:ascii="仿宋_GB2312" w:hAnsi="宋体" w:eastAsia="仿宋_GB2312" w:cs="Times New Roman"/>
          <w:b/>
          <w:kern w:val="0"/>
          <w:sz w:val="28"/>
          <w:szCs w:val="32"/>
        </w:rPr>
      </w:pPr>
      <w:r>
        <w:rPr>
          <w:rFonts w:hint="eastAsia" w:ascii="仿宋_GB2312" w:hAnsi="宋体" w:eastAsia="仿宋_GB2312" w:cs="Times New Roman"/>
          <w:b/>
          <w:kern w:val="0"/>
          <w:sz w:val="28"/>
          <w:szCs w:val="32"/>
        </w:rPr>
        <w:t>备注：无内容应公开空表并说明情况。</w:t>
      </w:r>
    </w:p>
    <w:p>
      <w:pPr>
        <w:widowControl/>
        <w:outlineLvl w:val="1"/>
        <w:rPr>
          <w:rFonts w:hint="eastAsia" w:ascii="仿宋_GB2312" w:hAnsi="宋体" w:eastAsia="仿宋_GB2312" w:cs="Times New Roman"/>
          <w:b/>
          <w:kern w:val="0"/>
          <w:sz w:val="28"/>
          <w:szCs w:val="32"/>
        </w:rPr>
      </w:pPr>
    </w:p>
    <w:p>
      <w:pPr>
        <w:widowControl/>
        <w:jc w:val="lef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表五：</w:t>
      </w:r>
    </w:p>
    <w:tbl>
      <w:tblPr>
        <w:tblStyle w:val="14"/>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outlineLvl w:val="1"/>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03</w:t>
            </w:r>
          </w:p>
        </w:tc>
        <w:tc>
          <w:tcPr>
            <w:tcW w:w="41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374.93</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374.93</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05</w:t>
            </w:r>
          </w:p>
        </w:tc>
        <w:tc>
          <w:tcPr>
            <w:tcW w:w="41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05</w:t>
            </w: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46.06</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46.06</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03</w:t>
            </w:r>
          </w:p>
        </w:tc>
        <w:tc>
          <w:tcPr>
            <w:tcW w:w="41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w:t>
            </w: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事业运行</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168.50</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168.50</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p>
        </w:tc>
        <w:tc>
          <w:tcPr>
            <w:tcW w:w="4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p>
        </w:tc>
        <w:tc>
          <w:tcPr>
            <w:tcW w:w="417"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589.49</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589.49</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bl>
    <w:p>
      <w:pPr>
        <w:widowControl/>
        <w:outlineLvl w:val="1"/>
        <w:rPr>
          <w:rFonts w:ascii="仿宋_GB2312" w:hAnsi="宋体" w:eastAsia="仿宋_GB2312" w:cs="Times New Roman"/>
          <w:b/>
          <w:kern w:val="0"/>
          <w:sz w:val="28"/>
          <w:szCs w:val="32"/>
        </w:rPr>
      </w:pPr>
      <w:r>
        <w:rPr>
          <w:rFonts w:hint="eastAsia" w:ascii="仿宋_GB2312" w:hAnsi="宋体" w:eastAsia="仿宋_GB2312" w:cs="Times New Roman"/>
          <w:b/>
          <w:kern w:val="0"/>
          <w:sz w:val="28"/>
          <w:szCs w:val="32"/>
        </w:rPr>
        <w:t>备注：无内容应公开空表并说明情况。</w:t>
      </w:r>
    </w:p>
    <w:p>
      <w:pPr>
        <w:widowControl/>
        <w:outlineLvl w:val="1"/>
        <w:rPr>
          <w:rFonts w:ascii="仿宋_GB2312" w:hAnsi="宋体" w:eastAsia="仿宋_GB2312" w:cs="Times New Roman"/>
          <w:b/>
          <w:kern w:val="0"/>
          <w:sz w:val="28"/>
          <w:szCs w:val="32"/>
        </w:rPr>
      </w:pPr>
    </w:p>
    <w:p>
      <w:pPr>
        <w:widowControl/>
        <w:outlineLvl w:val="1"/>
        <w:rPr>
          <w:rFonts w:ascii="仿宋_GB2312" w:hAnsi="宋体" w:eastAsia="仿宋_GB2312" w:cs="Times New Roman"/>
          <w:b/>
          <w:kern w:val="0"/>
          <w:sz w:val="28"/>
          <w:szCs w:val="32"/>
        </w:rPr>
      </w:pPr>
    </w:p>
    <w:p>
      <w:pPr>
        <w:widowControl/>
        <w:jc w:val="lef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表六：</w:t>
      </w:r>
    </w:p>
    <w:tbl>
      <w:tblPr>
        <w:tblStyle w:val="14"/>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编制部门：</w:t>
            </w:r>
            <w:r>
              <w:rPr>
                <w:rFonts w:hint="eastAsia" w:ascii="仿宋_GB2312" w:hAnsi="宋体" w:eastAsia="仿宋_GB2312" w:cs="Times New Roman"/>
                <w:kern w:val="0"/>
                <w:sz w:val="24"/>
                <w:szCs w:val="24"/>
                <w:lang w:eastAsia="zh-CN"/>
              </w:rPr>
              <w:t>昌吉市商务和工业信息化局</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181.30</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181.30</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97.20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97.20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03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奖金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12.69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12.69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08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机关事业单位基本养老保险缴费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46.06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46.06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10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职工基本医疗保险缴费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64.85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64.85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11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公务员医疗补助缴费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21.14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21.14　</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0.88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0.88</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13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34.94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34.94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14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医疗费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0.52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0.52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99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23.90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23.90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01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10.80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10.80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02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印刷费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1.80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1.80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03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咨询费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0.72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0.72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04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手续费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0.72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0.72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05　</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2.16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2.16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0.72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0.72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物业管理费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1.80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1.80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1.80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1.80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5.50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5.50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2.93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2.93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7.80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7.80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39　</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其他交通费用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1.08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1.08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303　</w:t>
            </w:r>
          </w:p>
        </w:tc>
        <w:tc>
          <w:tcPr>
            <w:tcW w:w="577"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01　</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离休费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21.86　</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21.86　</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退休费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8.20</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8.20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生活补助</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0.32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0.32</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其他对个人和家庭的补助</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37.80</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37.80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auto"/>
                <w:kern w:val="0"/>
                <w:sz w:val="20"/>
                <w:szCs w:val="20"/>
                <w:lang w:val="en-US"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b/>
                <w:bCs/>
                <w:color w:val="auto"/>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589.49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551.66</w:t>
            </w:r>
          </w:p>
        </w:tc>
        <w:tc>
          <w:tcPr>
            <w:tcW w:w="1701" w:type="dxa"/>
            <w:tcBorders>
              <w:top w:val="nil"/>
              <w:left w:val="nil"/>
              <w:bottom w:val="single" w:color="auto" w:sz="4" w:space="0"/>
              <w:right w:val="single" w:color="auto" w:sz="4" w:space="0"/>
            </w:tcBorders>
            <w:vAlign w:val="center"/>
          </w:tcPr>
          <w:p>
            <w:pPr>
              <w:widowControl/>
              <w:jc w:val="righ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　37.83</w:t>
            </w:r>
          </w:p>
        </w:tc>
      </w:tr>
    </w:tbl>
    <w:p>
      <w:pPr>
        <w:widowControl/>
        <w:outlineLvl w:val="1"/>
        <w:rPr>
          <w:rFonts w:ascii="仿宋_GB2312" w:hAnsi="宋体" w:eastAsia="仿宋_GB2312" w:cs="Times New Roman"/>
          <w:b/>
          <w:kern w:val="0"/>
          <w:sz w:val="28"/>
          <w:szCs w:val="32"/>
        </w:rPr>
      </w:pPr>
      <w:r>
        <w:rPr>
          <w:rFonts w:hint="eastAsia" w:ascii="仿宋_GB2312" w:hAnsi="宋体" w:eastAsia="仿宋_GB2312" w:cs="Times New Roman"/>
          <w:b/>
          <w:kern w:val="0"/>
          <w:sz w:val="28"/>
          <w:szCs w:val="32"/>
        </w:rPr>
        <w:t>备注：无内容应公开空表并说明情况。</w:t>
      </w:r>
    </w:p>
    <w:p>
      <w:pPr>
        <w:widowControl/>
        <w:jc w:val="lef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表七：</w:t>
      </w:r>
    </w:p>
    <w:tbl>
      <w:tblPr>
        <w:tblStyle w:val="14"/>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编制部门：</w:t>
            </w:r>
            <w:r>
              <w:rPr>
                <w:rFonts w:hint="eastAsia" w:ascii="仿宋_GB2312" w:hAnsi="宋体" w:eastAsia="仿宋_GB2312" w:cs="Times New Roman"/>
                <w:kern w:val="0"/>
                <w:sz w:val="24"/>
                <w:szCs w:val="24"/>
                <w:lang w:eastAsia="zh-CN"/>
              </w:rPr>
              <w:t>昌吉市商务和工业信息化局</w:t>
            </w:r>
          </w:p>
        </w:tc>
        <w:tc>
          <w:tcPr>
            <w:tcW w:w="995"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682"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科 目 编 码</w:t>
            </w:r>
          </w:p>
        </w:tc>
        <w:tc>
          <w:tcPr>
            <w:tcW w:w="851" w:type="dxa"/>
            <w:vMerge w:val="restart"/>
            <w:noWrap/>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科目</w:t>
            </w:r>
          </w:p>
        </w:tc>
        <w:tc>
          <w:tcPr>
            <w:tcW w:w="1456" w:type="dxa"/>
            <w:vMerge w:val="restart"/>
            <w:noWrap/>
            <w:vAlign w:val="center"/>
          </w:tcPr>
          <w:p>
            <w:pPr>
              <w:jc w:val="center"/>
              <w:rPr>
                <w:rFonts w:ascii="Calibri" w:hAnsi="Calibri" w:eastAsia="宋体" w:cs="Times New Roman"/>
                <w:sz w:val="24"/>
                <w:szCs w:val="24"/>
              </w:rPr>
            </w:pPr>
            <w:r>
              <w:rPr>
                <w:rFonts w:hint="eastAsia" w:ascii="仿宋_GB2312" w:hAnsi="宋体" w:eastAsia="仿宋_GB2312" w:cs="Times New Roman"/>
                <w:b/>
                <w:kern w:val="0"/>
                <w:sz w:val="24"/>
                <w:szCs w:val="24"/>
              </w:rPr>
              <w:t>项目名称</w:t>
            </w:r>
          </w:p>
        </w:tc>
        <w:tc>
          <w:tcPr>
            <w:tcW w:w="750"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工资福利支出</w:t>
            </w:r>
          </w:p>
        </w:tc>
        <w:tc>
          <w:tcPr>
            <w:tcW w:w="536"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资本性支出</w:t>
            </w:r>
          </w:p>
        </w:tc>
        <w:tc>
          <w:tcPr>
            <w:tcW w:w="578"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对企业补助</w:t>
            </w:r>
          </w:p>
        </w:tc>
        <w:tc>
          <w:tcPr>
            <w:tcW w:w="420" w:type="dxa"/>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pPr>
              <w:widowControl/>
              <w:jc w:val="left"/>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类</w:t>
            </w:r>
          </w:p>
        </w:tc>
        <w:tc>
          <w:tcPr>
            <w:tcW w:w="397" w:type="dxa"/>
            <w:tcBorders>
              <w:bottom w:val="single" w:color="auto" w:sz="4" w:space="0"/>
            </w:tcBorders>
            <w:noWrap/>
            <w:vAlign w:val="center"/>
          </w:tcPr>
          <w:p>
            <w:pPr>
              <w:widowControl/>
              <w:jc w:val="left"/>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款</w:t>
            </w:r>
          </w:p>
        </w:tc>
        <w:tc>
          <w:tcPr>
            <w:tcW w:w="397" w:type="dxa"/>
            <w:tcBorders>
              <w:bottom w:val="single" w:color="auto" w:sz="4" w:space="0"/>
            </w:tcBorders>
            <w:noWrap/>
            <w:vAlign w:val="center"/>
          </w:tcPr>
          <w:p>
            <w:pPr>
              <w:widowControl/>
              <w:jc w:val="left"/>
              <w:outlineLvl w:val="1"/>
              <w:rPr>
                <w:rFonts w:ascii="仿宋_GB2312" w:hAnsi="宋体" w:eastAsia="仿宋_GB2312" w:cs="Times New Roman"/>
                <w:b/>
                <w:kern w:val="0"/>
                <w:sz w:val="18"/>
                <w:szCs w:val="18"/>
              </w:rPr>
            </w:pPr>
            <w:r>
              <w:rPr>
                <w:rFonts w:hint="eastAsia" w:ascii="仿宋_GB2312" w:hAnsi="宋体" w:eastAsia="仿宋_GB2312" w:cs="Times New Roman"/>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cs="Times New Roman"/>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75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397"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851"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1456" w:type="dxa"/>
            <w:vAlign w:val="center"/>
          </w:tcPr>
          <w:p>
            <w:pPr>
              <w:widowControl/>
              <w:jc w:val="center"/>
              <w:outlineLvl w:val="1"/>
              <w:rPr>
                <w:rFonts w:ascii="仿宋_GB2312" w:hAnsi="宋体" w:eastAsia="仿宋_GB2312" w:cs="Times New Roman"/>
                <w:kern w:val="0"/>
                <w:sz w:val="32"/>
                <w:szCs w:val="32"/>
              </w:rPr>
            </w:pPr>
            <w:r>
              <w:rPr>
                <w:rFonts w:hint="eastAsia" w:ascii="仿宋_GB2312" w:hAnsi="宋体" w:eastAsia="仿宋_GB2312" w:cs="Times New Roman"/>
                <w:b/>
                <w:bCs/>
                <w:kern w:val="0"/>
                <w:szCs w:val="21"/>
              </w:rPr>
              <w:t>合 计</w:t>
            </w:r>
          </w:p>
        </w:tc>
        <w:tc>
          <w:tcPr>
            <w:tcW w:w="750" w:type="dxa"/>
            <w:vAlign w:val="center"/>
          </w:tcPr>
          <w:p>
            <w:pPr>
              <w:widowControl/>
              <w:jc w:val="center"/>
              <w:outlineLvl w:val="1"/>
              <w:rPr>
                <w:rFonts w:ascii="仿宋_GB2312" w:hAnsi="宋体" w:eastAsia="仿宋_GB2312" w:cs="Times New Roman"/>
                <w:kern w:val="0"/>
                <w:szCs w:val="21"/>
              </w:rPr>
            </w:pPr>
          </w:p>
        </w:tc>
        <w:tc>
          <w:tcPr>
            <w:tcW w:w="569"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36"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652"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19"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578"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20" w:type="dxa"/>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c>
          <w:tcPr>
            <w:tcW w:w="468" w:type="dxa"/>
            <w:gridSpan w:val="2"/>
          </w:tcPr>
          <w:p>
            <w:pPr>
              <w:widowControl/>
              <w:jc w:val="left"/>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cs="Times New Roman"/>
          <w:b/>
          <w:kern w:val="0"/>
          <w:sz w:val="28"/>
          <w:szCs w:val="32"/>
        </w:rPr>
        <w:t>备注：</w:t>
      </w:r>
      <w:r>
        <w:rPr>
          <w:rFonts w:hint="eastAsia" w:ascii="仿宋_GB2312" w:hAnsi="宋体" w:eastAsia="仿宋_GB2312"/>
          <w:b/>
          <w:kern w:val="0"/>
          <w:sz w:val="28"/>
          <w:szCs w:val="32"/>
        </w:rPr>
        <w:t>2021年部门预算未安排项目支出。</w:t>
      </w:r>
    </w:p>
    <w:p>
      <w:pPr>
        <w:widowControl/>
        <w:jc w:val="left"/>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表八：</w:t>
      </w:r>
    </w:p>
    <w:p>
      <w:pPr>
        <w:widowControl/>
        <w:jc w:val="center"/>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一般公共预算“三公”经费支出情况表</w:t>
      </w:r>
    </w:p>
    <w:p>
      <w:pPr>
        <w:widowControl/>
        <w:jc w:val="center"/>
        <w:outlineLvl w:val="1"/>
        <w:rPr>
          <w:rFonts w:ascii="仿宋_GB2312" w:hAnsi="宋体" w:eastAsia="仿宋_GB2312" w:cs="Times New Roman"/>
          <w:b/>
          <w:kern w:val="0"/>
          <w:sz w:val="32"/>
          <w:szCs w:val="32"/>
        </w:rPr>
      </w:pPr>
    </w:p>
    <w:p>
      <w:pPr>
        <w:widowControl/>
        <w:jc w:val="left"/>
        <w:outlineLvl w:val="1"/>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单位：万元</w:t>
      </w:r>
    </w:p>
    <w:tbl>
      <w:tblPr>
        <w:tblStyle w:val="14"/>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7.80</w:t>
            </w:r>
          </w:p>
        </w:tc>
        <w:tc>
          <w:tcPr>
            <w:tcW w:w="1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FF0000"/>
                <w:kern w:val="0"/>
                <w:sz w:val="24"/>
                <w:szCs w:val="24"/>
                <w:lang w:val="en-US" w:eastAsia="zh-CN"/>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widowControl/>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28"/>
          <w:szCs w:val="32"/>
        </w:rPr>
        <w:t>备注：无内容应公开空表并说明情况。</w:t>
      </w: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kern w:val="0"/>
          <w:sz w:val="32"/>
          <w:szCs w:val="32"/>
        </w:rPr>
      </w:pPr>
    </w:p>
    <w:p>
      <w:pPr>
        <w:widowControl/>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表九：</w:t>
      </w:r>
    </w:p>
    <w:p>
      <w:pPr>
        <w:widowControl/>
        <w:jc w:val="center"/>
        <w:outlineLvl w:val="1"/>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政府性基金预算支出情况表</w:t>
      </w:r>
    </w:p>
    <w:p>
      <w:pPr>
        <w:widowControl/>
        <w:spacing w:line="280" w:lineRule="exact"/>
        <w:outlineLvl w:val="1"/>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编制部门：</w:t>
      </w:r>
      <w:r>
        <w:rPr>
          <w:rFonts w:hint="eastAsia" w:ascii="仿宋_GB2312" w:hAnsi="宋体" w:eastAsia="仿宋_GB2312" w:cs="Times New Roman"/>
          <w:kern w:val="0"/>
          <w:sz w:val="24"/>
          <w:szCs w:val="24"/>
          <w:lang w:eastAsia="zh-CN"/>
        </w:rPr>
        <w:t>昌吉市商务和工业信息化局</w:t>
      </w:r>
      <w:r>
        <w:rPr>
          <w:rFonts w:hint="eastAsia" w:ascii="仿宋_GB2312" w:hAnsi="宋体" w:eastAsia="仿宋_GB2312" w:cs="Times New Roman"/>
          <w:kern w:val="0"/>
          <w:sz w:val="24"/>
          <w:szCs w:val="24"/>
        </w:rPr>
        <w:t xml:space="preserve">           </w:t>
      </w:r>
      <w:r>
        <w:rPr>
          <w:rFonts w:hint="eastAsia" w:ascii="仿宋_GB2312" w:hAnsi="宋体" w:eastAsia="仿宋_GB2312" w:cs="Times New Roman"/>
          <w:kern w:val="0"/>
          <w:sz w:val="24"/>
          <w:szCs w:val="24"/>
          <w:lang w:val="en-US" w:eastAsia="zh-CN"/>
        </w:rPr>
        <w:t xml:space="preserve">          </w:t>
      </w:r>
      <w:r>
        <w:rPr>
          <w:rFonts w:hint="eastAsia" w:ascii="仿宋_GB2312" w:hAnsi="宋体" w:eastAsia="仿宋_GB2312" w:cs="Times New Roman"/>
          <w:kern w:val="0"/>
          <w:sz w:val="24"/>
          <w:szCs w:val="24"/>
        </w:rPr>
        <w:t xml:space="preserve">      单位：万元</w:t>
      </w:r>
    </w:p>
    <w:tbl>
      <w:tblPr>
        <w:tblStyle w:val="14"/>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szCs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pPr>
        <w:widowControl/>
        <w:spacing w:line="280" w:lineRule="exact"/>
        <w:outlineLvl w:val="1"/>
        <w:rPr>
          <w:rFonts w:ascii="仿宋_GB2312" w:hAnsi="宋体" w:eastAsia="仿宋_GB2312" w:cs="Times New Roman"/>
          <w:b/>
          <w:kern w:val="0"/>
          <w:sz w:val="28"/>
          <w:szCs w:val="32"/>
        </w:rPr>
      </w:pPr>
      <w:r>
        <w:rPr>
          <w:rFonts w:hint="eastAsia" w:ascii="仿宋_GB2312" w:hAnsi="宋体" w:eastAsia="仿宋_GB2312" w:cs="Times New Roman"/>
          <w:b/>
          <w:kern w:val="0"/>
          <w:sz w:val="28"/>
          <w:szCs w:val="32"/>
        </w:rPr>
        <w:t>备注：2021年部门预算未安排政府性基金预算支出。</w:t>
      </w:r>
    </w:p>
    <w:p>
      <w:pPr>
        <w:widowControl/>
        <w:jc w:val="left"/>
        <w:rPr>
          <w:rFonts w:ascii="仿宋_GB2312" w:hAnsi="宋体" w:eastAsia="仿宋_GB2312" w:cs="Times New Roman"/>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第三部分  2021年部门预算情况说明</w:t>
      </w:r>
    </w:p>
    <w:p>
      <w:pPr>
        <w:spacing w:line="560" w:lineRule="exact"/>
        <w:jc w:val="center"/>
        <w:rPr>
          <w:rFonts w:ascii="黑体" w:hAnsi="黑体" w:eastAsia="黑体" w:cs="Times New Roman"/>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昌吉市商务和工业信息化局</w:t>
      </w:r>
      <w:r>
        <w:rPr>
          <w:rFonts w:hint="eastAsia" w:ascii="仿宋_GB2312" w:hAnsi="宋体" w:eastAsia="仿宋_GB2312" w:cs="宋体"/>
          <w:kern w:val="0"/>
          <w:sz w:val="32"/>
          <w:szCs w:val="32"/>
        </w:rPr>
        <w:t xml:space="preserve">2021年所有收入和支出均纳入部门预算管理。收支总预算    </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589.49万元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543.43万元；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46.06万元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昌吉市商务和工业信息化局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68.53</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人员减少</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昌吉市商务和工业信息化局</w:t>
      </w:r>
      <w:r>
        <w:rPr>
          <w:rFonts w:hint="eastAsia" w:ascii="仿宋_GB2312" w:hAnsi="宋体" w:eastAsia="仿宋_GB2312" w:cs="宋体"/>
          <w:kern w:val="0"/>
          <w:sz w:val="32"/>
          <w:szCs w:val="32"/>
        </w:rPr>
        <w:t>2021年支出预算</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68.53</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人员减少</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lang w:eastAsia="zh-CN"/>
        </w:rPr>
        <w:t>昌吉市商务和工业信息化局</w:t>
      </w:r>
      <w:r>
        <w:rPr>
          <w:rFonts w:hint="eastAsia" w:ascii="黑体" w:hAnsi="黑体" w:eastAsia="黑体" w:cs="宋体"/>
          <w:bCs/>
          <w:kern w:val="0"/>
          <w:sz w:val="32"/>
          <w:szCs w:val="32"/>
        </w:rPr>
        <w:t>2021年财政拨款收支预算情况的总体说明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543.43万元；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46.06万元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昌吉市商务和工业信息化局</w:t>
      </w:r>
      <w:r>
        <w:rPr>
          <w:rFonts w:hint="eastAsia" w:ascii="仿宋_GB2312" w:hAnsi="宋体" w:eastAsia="仿宋_GB2312" w:cs="宋体"/>
          <w:kern w:val="0"/>
          <w:sz w:val="32"/>
          <w:szCs w:val="32"/>
        </w:rPr>
        <w:t>2021年一般公共预算拨款基本支出</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68.53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人员减少。</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hAnsi="Times New Roman" w:eastAsia="仿宋_GB2312" w:cs="Times New Roman"/>
          <w:sz w:val="32"/>
          <w:szCs w:val="32"/>
        </w:rPr>
        <w:t>1.</w:t>
      </w:r>
      <w:r>
        <w:rPr>
          <w:rFonts w:hint="eastAsia" w:ascii="仿宋_GB2312" w:eastAsia="仿宋_GB2312"/>
          <w:sz w:val="32"/>
          <w:szCs w:val="32"/>
        </w:rPr>
        <w:t>一般公共服务（201类）</w:t>
      </w:r>
      <w:r>
        <w:rPr>
          <w:rFonts w:hint="eastAsia" w:ascii="仿宋_GB2312" w:hAnsi="宋体" w:eastAsia="仿宋_GB2312" w:cs="宋体"/>
          <w:kern w:val="0"/>
          <w:sz w:val="32"/>
          <w:szCs w:val="32"/>
          <w:lang w:val="en-US" w:eastAsia="zh-CN"/>
        </w:rPr>
        <w:t>543.43</w:t>
      </w:r>
      <w:r>
        <w:rPr>
          <w:rFonts w:hint="eastAsia" w:ascii="仿宋_GB2312" w:hAnsi="宋体" w:eastAsia="仿宋_GB2312" w:cs="宋体"/>
          <w:kern w:val="0"/>
          <w:sz w:val="32"/>
          <w:szCs w:val="32"/>
        </w:rPr>
        <w:t>万元，占9</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 社会保障和就业支出（208类）</w:t>
      </w:r>
      <w:r>
        <w:rPr>
          <w:rFonts w:hint="eastAsia" w:ascii="仿宋_GB2312" w:hAnsi="宋体" w:eastAsia="仿宋_GB2312" w:cs="宋体"/>
          <w:kern w:val="0"/>
          <w:sz w:val="32"/>
          <w:szCs w:val="32"/>
          <w:lang w:val="en-US" w:eastAsia="zh-CN"/>
        </w:rPr>
        <w:t>46.06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政府办公厅（室）及相关机构事务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03</w:t>
      </w:r>
      <w:r>
        <w:rPr>
          <w:rFonts w:ascii="仿宋_GB2312" w:hAnsi="宋体" w:eastAsia="仿宋_GB2312" w:cs="宋体"/>
          <w:kern w:val="0"/>
          <w:sz w:val="32"/>
          <w:szCs w:val="32"/>
        </w:rPr>
        <w:t>款</w:t>
      </w:r>
      <w:r>
        <w:rPr>
          <w:rFonts w:hint="eastAsia" w:ascii="仿宋_GB2312" w:hAnsi="宋体" w:eastAsia="仿宋_GB2312" w:cs="宋体"/>
          <w:kern w:val="0"/>
          <w:sz w:val="32"/>
          <w:szCs w:val="32"/>
        </w:rPr>
        <w:t>）</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374.93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68.42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%，主要原因是：人员减少。     </w:t>
      </w:r>
    </w:p>
    <w:p>
      <w:pPr>
        <w:widowControl/>
        <w:spacing w:line="580" w:lineRule="exact"/>
        <w:ind w:firstLine="640"/>
        <w:jc w:val="left"/>
        <w:rPr>
          <w:rFonts w:hint="eastAsia" w:ascii="仿宋_GB2312" w:hAnsi="宋体" w:eastAsia="仿宋_GB2312" w:cs="宋体"/>
          <w:kern w:val="0"/>
          <w:sz w:val="32"/>
          <w:szCs w:val="32"/>
        </w:rPr>
      </w:pPr>
      <w:r>
        <w:rPr>
          <w:rFonts w:hint="eastAsia" w:ascii="楷体_GB2312" w:hAnsi="宋体" w:eastAsia="楷体_GB2312" w:cs="宋体"/>
          <w:color w:val="auto"/>
          <w:kern w:val="0"/>
          <w:sz w:val="32"/>
          <w:szCs w:val="32"/>
        </w:rPr>
        <w:t>2.</w:t>
      </w:r>
      <w:r>
        <w:rPr>
          <w:rFonts w:ascii="仿宋_GB2312" w:hAnsi="宋体" w:eastAsia="仿宋_GB2312" w:cs="宋体"/>
          <w:color w:val="auto"/>
          <w:kern w:val="0"/>
          <w:sz w:val="32"/>
          <w:szCs w:val="32"/>
        </w:rPr>
        <w:t xml:space="preserve"> 一般公共服务（</w:t>
      </w:r>
      <w:r>
        <w:rPr>
          <w:rFonts w:hint="eastAsia" w:ascii="仿宋_GB2312" w:hAnsi="宋体" w:eastAsia="仿宋_GB2312" w:cs="宋体"/>
          <w:color w:val="auto"/>
          <w:kern w:val="0"/>
          <w:sz w:val="32"/>
          <w:szCs w:val="32"/>
        </w:rPr>
        <w:t>201</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rPr>
        <w:t>政府办公厅（室）及相关机构事务</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03</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rPr>
        <w:t>）事业</w:t>
      </w:r>
      <w:r>
        <w:rPr>
          <w:rFonts w:ascii="仿宋_GB2312" w:hAnsi="宋体" w:eastAsia="仿宋_GB2312" w:cs="宋体"/>
          <w:color w:val="auto"/>
          <w:kern w:val="0"/>
          <w:sz w:val="32"/>
          <w:szCs w:val="32"/>
        </w:rPr>
        <w:t>运行（</w:t>
      </w:r>
      <w:r>
        <w:rPr>
          <w:rFonts w:hint="eastAsia" w:ascii="仿宋_GB2312" w:hAnsi="宋体" w:eastAsia="仿宋_GB2312" w:cs="宋体"/>
          <w:color w:val="auto"/>
          <w:kern w:val="0"/>
          <w:sz w:val="32"/>
          <w:szCs w:val="32"/>
        </w:rPr>
        <w:t>50</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21</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168.50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5.45</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 xml:space="preserve">%，主要原因是： </w:t>
      </w:r>
      <w:r>
        <w:rPr>
          <w:rFonts w:hint="eastAsia" w:ascii="仿宋_GB2312" w:hAnsi="宋体" w:eastAsia="仿宋_GB2312" w:cs="宋体"/>
          <w:color w:val="auto"/>
          <w:kern w:val="0"/>
          <w:sz w:val="32"/>
          <w:szCs w:val="32"/>
          <w:lang w:eastAsia="zh-CN"/>
        </w:rPr>
        <w:t>人员变动</w:t>
      </w:r>
      <w:r>
        <w:rPr>
          <w:rFonts w:hint="eastAsia" w:ascii="仿宋_GB2312" w:hAnsi="宋体" w:eastAsia="仿宋_GB2312" w:cs="宋体"/>
          <w:color w:val="auto"/>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 社会保障和就业支出（208类）行政事业单位离退休（05款）机关事业单位基本养老保险缴费支出（05项）：20</w:t>
      </w:r>
      <w:r>
        <w:rPr>
          <w:rFonts w:hint="eastAsia" w:ascii="仿宋_GB2312" w:hAnsi="宋体" w:eastAsia="仿宋_GB2312" w:cs="宋体"/>
          <w:kern w:val="0"/>
          <w:sz w:val="32"/>
          <w:szCs w:val="32"/>
          <w:lang w:val="en-US" w:eastAsia="zh-CN"/>
        </w:rPr>
        <w:t>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46.06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5.56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%，主要原因是：人员减少。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昌吉市商务和工业信息化局</w:t>
      </w:r>
      <w:r>
        <w:rPr>
          <w:rFonts w:hint="eastAsia" w:ascii="仿宋_GB2312" w:hAnsi="宋体" w:eastAsia="仿宋_GB2312" w:cs="宋体"/>
          <w:kern w:val="0"/>
          <w:sz w:val="32"/>
          <w:szCs w:val="32"/>
        </w:rPr>
        <w:t>2021年一般公共预算基本支出</w:t>
      </w:r>
      <w:r>
        <w:rPr>
          <w:rFonts w:hint="eastAsia" w:ascii="仿宋_GB2312" w:hAnsi="宋体" w:eastAsia="仿宋_GB2312" w:cs="宋体"/>
          <w:kern w:val="0"/>
          <w:sz w:val="32"/>
          <w:szCs w:val="32"/>
          <w:lang w:val="en-US" w:eastAsia="zh-CN"/>
        </w:rPr>
        <w:t>589.49</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人员经费</w:t>
      </w:r>
      <w:r>
        <w:rPr>
          <w:rFonts w:hint="eastAsia" w:ascii="仿宋_GB2312" w:hAnsi="宋体" w:eastAsia="仿宋_GB2312" w:cs="宋体"/>
          <w:color w:val="auto"/>
          <w:kern w:val="0"/>
          <w:sz w:val="32"/>
          <w:szCs w:val="32"/>
          <w:lang w:val="en-US" w:eastAsia="zh-CN"/>
        </w:rPr>
        <w:t>551.66</w:t>
      </w:r>
      <w:r>
        <w:rPr>
          <w:rFonts w:hint="eastAsia" w:ascii="仿宋_GB2312" w:hAnsi="宋体" w:eastAsia="仿宋_GB2312" w:cs="宋体"/>
          <w:color w:val="auto"/>
          <w:kern w:val="0"/>
          <w:sz w:val="32"/>
          <w:szCs w:val="32"/>
        </w:rPr>
        <w:t>万元，主要包括：基本工资</w:t>
      </w:r>
      <w:r>
        <w:rPr>
          <w:rFonts w:hint="eastAsia" w:ascii="仿宋_GB2312" w:hAnsi="宋体" w:eastAsia="仿宋_GB2312" w:cs="宋体"/>
          <w:color w:val="auto"/>
          <w:kern w:val="0"/>
          <w:sz w:val="32"/>
          <w:szCs w:val="32"/>
          <w:lang w:val="en-US" w:eastAsia="zh-CN"/>
        </w:rPr>
        <w:t>181.30万元</w:t>
      </w:r>
      <w:r>
        <w:rPr>
          <w:rFonts w:hint="eastAsia" w:ascii="仿宋_GB2312" w:hAnsi="宋体" w:eastAsia="仿宋_GB2312" w:cs="宋体"/>
          <w:color w:val="auto"/>
          <w:kern w:val="0"/>
          <w:sz w:val="32"/>
          <w:szCs w:val="32"/>
        </w:rPr>
        <w:t>、津贴补贴</w:t>
      </w:r>
      <w:r>
        <w:rPr>
          <w:rFonts w:hint="eastAsia" w:ascii="仿宋_GB2312" w:hAnsi="宋体" w:eastAsia="仿宋_GB2312" w:cs="宋体"/>
          <w:color w:val="auto"/>
          <w:kern w:val="0"/>
          <w:sz w:val="32"/>
          <w:szCs w:val="32"/>
          <w:lang w:val="en-US" w:eastAsia="zh-CN"/>
        </w:rPr>
        <w:t>97.20万元</w:t>
      </w:r>
      <w:r>
        <w:rPr>
          <w:rFonts w:hint="eastAsia" w:ascii="仿宋_GB2312" w:hAnsi="宋体" w:eastAsia="仿宋_GB2312" w:cs="宋体"/>
          <w:color w:val="auto"/>
          <w:kern w:val="0"/>
          <w:sz w:val="32"/>
          <w:szCs w:val="32"/>
        </w:rPr>
        <w:t>、奖金</w:t>
      </w:r>
      <w:r>
        <w:rPr>
          <w:rFonts w:hint="eastAsia" w:ascii="仿宋_GB2312" w:hAnsi="宋体" w:eastAsia="仿宋_GB2312" w:cs="宋体"/>
          <w:color w:val="auto"/>
          <w:kern w:val="0"/>
          <w:sz w:val="32"/>
          <w:szCs w:val="32"/>
          <w:lang w:val="en-US" w:eastAsia="zh-CN"/>
        </w:rPr>
        <w:t>12.69万元</w:t>
      </w:r>
      <w:r>
        <w:rPr>
          <w:rFonts w:hint="eastAsia" w:ascii="仿宋_GB2312" w:hAnsi="宋体" w:eastAsia="仿宋_GB2312" w:cs="宋体"/>
          <w:color w:val="auto"/>
          <w:kern w:val="0"/>
          <w:sz w:val="32"/>
          <w:szCs w:val="32"/>
        </w:rPr>
        <w:t>、机关事业单位基本养老保险缴费</w:t>
      </w:r>
      <w:r>
        <w:rPr>
          <w:rFonts w:hint="eastAsia" w:ascii="仿宋_GB2312" w:hAnsi="宋体" w:eastAsia="仿宋_GB2312" w:cs="宋体"/>
          <w:color w:val="auto"/>
          <w:kern w:val="0"/>
          <w:sz w:val="32"/>
          <w:szCs w:val="32"/>
          <w:lang w:val="en-US" w:eastAsia="zh-CN"/>
        </w:rPr>
        <w:t>46.06万元</w:t>
      </w:r>
      <w:r>
        <w:rPr>
          <w:rFonts w:hint="eastAsia" w:ascii="仿宋_GB2312" w:hAnsi="宋体" w:eastAsia="仿宋_GB2312" w:cs="宋体"/>
          <w:color w:val="auto"/>
          <w:kern w:val="0"/>
          <w:sz w:val="32"/>
          <w:szCs w:val="32"/>
        </w:rPr>
        <w:t>、职工基本医疗保险缴费</w:t>
      </w:r>
      <w:r>
        <w:rPr>
          <w:rFonts w:hint="eastAsia" w:ascii="仿宋_GB2312" w:hAnsi="宋体" w:eastAsia="仿宋_GB2312" w:cs="宋体"/>
          <w:color w:val="auto"/>
          <w:kern w:val="0"/>
          <w:sz w:val="32"/>
          <w:szCs w:val="32"/>
          <w:lang w:val="en-US" w:eastAsia="zh-CN"/>
        </w:rPr>
        <w:t>64.85万元</w:t>
      </w:r>
      <w:r>
        <w:rPr>
          <w:rFonts w:hint="eastAsia" w:ascii="仿宋_GB2312" w:hAnsi="宋体" w:eastAsia="仿宋_GB2312" w:cs="宋体"/>
          <w:color w:val="auto"/>
          <w:kern w:val="0"/>
          <w:sz w:val="32"/>
          <w:szCs w:val="32"/>
        </w:rPr>
        <w:t>、公务员医疗补助缴费</w:t>
      </w:r>
      <w:r>
        <w:rPr>
          <w:rFonts w:hint="eastAsia" w:ascii="仿宋_GB2312" w:hAnsi="宋体" w:eastAsia="仿宋_GB2312" w:cs="宋体"/>
          <w:color w:val="auto"/>
          <w:kern w:val="0"/>
          <w:sz w:val="32"/>
          <w:szCs w:val="32"/>
          <w:lang w:val="en-US" w:eastAsia="zh-CN"/>
        </w:rPr>
        <w:t>21.14万元</w:t>
      </w:r>
      <w:r>
        <w:rPr>
          <w:rFonts w:hint="eastAsia" w:ascii="仿宋_GB2312" w:hAnsi="宋体" w:eastAsia="仿宋_GB2312" w:cs="宋体"/>
          <w:color w:val="auto"/>
          <w:kern w:val="0"/>
          <w:sz w:val="32"/>
          <w:szCs w:val="32"/>
        </w:rPr>
        <w:t>、其他社会保障缴费</w:t>
      </w:r>
      <w:r>
        <w:rPr>
          <w:rFonts w:hint="eastAsia" w:ascii="仿宋_GB2312" w:hAnsi="宋体" w:eastAsia="仿宋_GB2312" w:cs="宋体"/>
          <w:color w:val="auto"/>
          <w:kern w:val="0"/>
          <w:sz w:val="32"/>
          <w:szCs w:val="32"/>
          <w:lang w:val="en-US" w:eastAsia="zh-CN"/>
        </w:rPr>
        <w:t>0.88万元</w:t>
      </w:r>
      <w:r>
        <w:rPr>
          <w:rFonts w:hint="eastAsia" w:ascii="仿宋_GB2312" w:hAnsi="宋体" w:eastAsia="仿宋_GB2312" w:cs="宋体"/>
          <w:color w:val="auto"/>
          <w:kern w:val="0"/>
          <w:sz w:val="32"/>
          <w:szCs w:val="32"/>
        </w:rPr>
        <w:t>、住房公积金</w:t>
      </w:r>
      <w:r>
        <w:rPr>
          <w:rFonts w:hint="eastAsia" w:ascii="仿宋_GB2312" w:hAnsi="宋体" w:eastAsia="仿宋_GB2312" w:cs="宋体"/>
          <w:color w:val="auto"/>
          <w:kern w:val="0"/>
          <w:sz w:val="32"/>
          <w:szCs w:val="32"/>
          <w:lang w:val="en-US" w:eastAsia="zh-CN"/>
        </w:rPr>
        <w:t>34.94万元</w:t>
      </w:r>
      <w:r>
        <w:rPr>
          <w:rFonts w:hint="eastAsia" w:ascii="仿宋_GB2312" w:hAnsi="宋体" w:eastAsia="仿宋_GB2312" w:cs="宋体"/>
          <w:color w:val="auto"/>
          <w:kern w:val="0"/>
          <w:sz w:val="32"/>
          <w:szCs w:val="32"/>
        </w:rPr>
        <w:t>、医疗费</w:t>
      </w:r>
      <w:r>
        <w:rPr>
          <w:rFonts w:hint="eastAsia" w:ascii="仿宋_GB2312" w:hAnsi="宋体" w:eastAsia="仿宋_GB2312" w:cs="宋体"/>
          <w:color w:val="auto"/>
          <w:kern w:val="0"/>
          <w:sz w:val="32"/>
          <w:szCs w:val="32"/>
          <w:lang w:val="en-US" w:eastAsia="zh-CN"/>
        </w:rPr>
        <w:t>0.52万元</w:t>
      </w:r>
      <w:r>
        <w:rPr>
          <w:rFonts w:hint="eastAsia" w:ascii="仿宋_GB2312" w:hAnsi="宋体" w:eastAsia="仿宋_GB2312" w:cs="宋体"/>
          <w:color w:val="auto"/>
          <w:kern w:val="0"/>
          <w:sz w:val="32"/>
          <w:szCs w:val="32"/>
        </w:rPr>
        <w:t>、其他工资福利支出</w:t>
      </w:r>
      <w:r>
        <w:rPr>
          <w:rFonts w:hint="eastAsia" w:ascii="仿宋_GB2312" w:hAnsi="宋体" w:eastAsia="仿宋_GB2312" w:cs="宋体"/>
          <w:color w:val="auto"/>
          <w:kern w:val="0"/>
          <w:sz w:val="32"/>
          <w:szCs w:val="32"/>
          <w:lang w:val="en-US" w:eastAsia="zh-CN"/>
        </w:rPr>
        <w:t>23.90万元</w:t>
      </w:r>
      <w:r>
        <w:rPr>
          <w:rFonts w:hint="eastAsia" w:ascii="仿宋_GB2312" w:hAnsi="宋体" w:eastAsia="仿宋_GB2312" w:cs="宋体"/>
          <w:color w:val="auto"/>
          <w:kern w:val="0"/>
          <w:sz w:val="32"/>
          <w:szCs w:val="32"/>
        </w:rPr>
        <w:t>、离休费</w:t>
      </w:r>
      <w:r>
        <w:rPr>
          <w:rFonts w:hint="eastAsia" w:ascii="仿宋_GB2312" w:hAnsi="宋体" w:eastAsia="仿宋_GB2312" w:cs="宋体"/>
          <w:color w:val="auto"/>
          <w:kern w:val="0"/>
          <w:sz w:val="32"/>
          <w:szCs w:val="32"/>
          <w:lang w:val="en-US" w:eastAsia="zh-CN"/>
        </w:rPr>
        <w:t>21.86万元</w:t>
      </w:r>
      <w:r>
        <w:rPr>
          <w:rFonts w:hint="eastAsia" w:ascii="仿宋_GB2312" w:hAnsi="宋体" w:eastAsia="仿宋_GB2312" w:cs="宋体"/>
          <w:color w:val="auto"/>
          <w:kern w:val="0"/>
          <w:sz w:val="32"/>
          <w:szCs w:val="32"/>
        </w:rPr>
        <w:t>、退休费</w:t>
      </w:r>
      <w:r>
        <w:rPr>
          <w:rFonts w:hint="eastAsia" w:ascii="仿宋_GB2312" w:hAnsi="宋体" w:eastAsia="仿宋_GB2312" w:cs="宋体"/>
          <w:color w:val="auto"/>
          <w:kern w:val="0"/>
          <w:sz w:val="32"/>
          <w:szCs w:val="32"/>
          <w:lang w:val="en-US" w:eastAsia="zh-CN"/>
        </w:rPr>
        <w:t>8.20万元</w:t>
      </w:r>
      <w:r>
        <w:rPr>
          <w:rFonts w:hint="eastAsia" w:ascii="仿宋_GB2312" w:hAnsi="宋体" w:eastAsia="仿宋_GB2312" w:cs="宋体"/>
          <w:color w:val="auto"/>
          <w:kern w:val="0"/>
          <w:sz w:val="32"/>
          <w:szCs w:val="32"/>
        </w:rPr>
        <w:t>、生活补助</w:t>
      </w:r>
      <w:r>
        <w:rPr>
          <w:rFonts w:hint="eastAsia" w:ascii="仿宋_GB2312" w:hAnsi="宋体" w:eastAsia="仿宋_GB2312" w:cs="宋体"/>
          <w:color w:val="auto"/>
          <w:kern w:val="0"/>
          <w:sz w:val="32"/>
          <w:szCs w:val="32"/>
          <w:lang w:val="en-US" w:eastAsia="zh-CN"/>
        </w:rPr>
        <w:t>0.32万元</w:t>
      </w:r>
      <w:r>
        <w:rPr>
          <w:rFonts w:hint="eastAsia" w:ascii="仿宋_GB2312" w:hAnsi="宋体" w:eastAsia="仿宋_GB2312" w:cs="宋体"/>
          <w:color w:val="auto"/>
          <w:kern w:val="0"/>
          <w:sz w:val="32"/>
          <w:szCs w:val="32"/>
        </w:rPr>
        <w:t>、其他对个人和家庭的补助</w:t>
      </w:r>
      <w:r>
        <w:rPr>
          <w:rFonts w:hint="eastAsia" w:ascii="仿宋_GB2312" w:hAnsi="宋体" w:eastAsia="仿宋_GB2312" w:cs="宋体"/>
          <w:color w:val="auto"/>
          <w:kern w:val="0"/>
          <w:sz w:val="32"/>
          <w:szCs w:val="32"/>
          <w:lang w:val="en-US" w:eastAsia="zh-CN"/>
        </w:rPr>
        <w:t>37.80万元</w:t>
      </w:r>
      <w:r>
        <w:rPr>
          <w:rFonts w:hint="eastAsia" w:ascii="仿宋_GB2312" w:hAnsi="宋体" w:eastAsia="仿宋_GB2312" w:cs="宋体"/>
          <w:color w:val="auto"/>
          <w:kern w:val="0"/>
          <w:sz w:val="32"/>
          <w:szCs w:val="32"/>
        </w:rPr>
        <w:t>等。</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公用经费</w:t>
      </w:r>
      <w:r>
        <w:rPr>
          <w:rFonts w:hint="eastAsia" w:ascii="仿宋_GB2312" w:hAnsi="宋体" w:eastAsia="仿宋_GB2312" w:cs="宋体"/>
          <w:color w:val="auto"/>
          <w:kern w:val="0"/>
          <w:sz w:val="32"/>
          <w:szCs w:val="32"/>
          <w:lang w:val="en-US" w:eastAsia="zh-CN"/>
        </w:rPr>
        <w:t>37.83</w:t>
      </w:r>
      <w:r>
        <w:rPr>
          <w:rFonts w:hint="eastAsia" w:ascii="仿宋_GB2312" w:hAnsi="宋体" w:eastAsia="仿宋_GB2312" w:cs="宋体"/>
          <w:color w:val="auto"/>
          <w:kern w:val="0"/>
          <w:sz w:val="32"/>
          <w:szCs w:val="32"/>
        </w:rPr>
        <w:t>万元，主要包括：办公费</w:t>
      </w:r>
      <w:r>
        <w:rPr>
          <w:rFonts w:hint="eastAsia" w:ascii="仿宋_GB2312" w:hAnsi="宋体" w:eastAsia="仿宋_GB2312" w:cs="宋体"/>
          <w:color w:val="auto"/>
          <w:kern w:val="0"/>
          <w:sz w:val="32"/>
          <w:szCs w:val="32"/>
          <w:lang w:val="en-US" w:eastAsia="zh-CN"/>
        </w:rPr>
        <w:t>10.8万元</w:t>
      </w:r>
      <w:r>
        <w:rPr>
          <w:rFonts w:hint="eastAsia" w:ascii="仿宋_GB2312" w:hAnsi="宋体" w:eastAsia="仿宋_GB2312" w:cs="宋体"/>
          <w:color w:val="auto"/>
          <w:kern w:val="0"/>
          <w:sz w:val="32"/>
          <w:szCs w:val="32"/>
        </w:rPr>
        <w:t>、印刷费</w:t>
      </w:r>
      <w:r>
        <w:rPr>
          <w:rFonts w:hint="eastAsia" w:ascii="仿宋_GB2312" w:hAnsi="宋体" w:eastAsia="仿宋_GB2312" w:cs="宋体"/>
          <w:color w:val="auto"/>
          <w:kern w:val="0"/>
          <w:sz w:val="32"/>
          <w:szCs w:val="32"/>
          <w:lang w:val="en-US" w:eastAsia="zh-CN"/>
        </w:rPr>
        <w:t>1.80万元</w:t>
      </w:r>
      <w:r>
        <w:rPr>
          <w:rFonts w:hint="eastAsia" w:ascii="仿宋_GB2312" w:hAnsi="宋体" w:eastAsia="仿宋_GB2312" w:cs="宋体"/>
          <w:color w:val="auto"/>
          <w:kern w:val="0"/>
          <w:sz w:val="32"/>
          <w:szCs w:val="32"/>
        </w:rPr>
        <w:t>、咨询费</w:t>
      </w:r>
      <w:r>
        <w:rPr>
          <w:rFonts w:hint="eastAsia" w:ascii="仿宋_GB2312" w:hAnsi="宋体" w:eastAsia="仿宋_GB2312" w:cs="宋体"/>
          <w:color w:val="auto"/>
          <w:kern w:val="0"/>
          <w:sz w:val="32"/>
          <w:szCs w:val="32"/>
          <w:lang w:val="en-US" w:eastAsia="zh-CN"/>
        </w:rPr>
        <w:t>0.72万元</w:t>
      </w:r>
      <w:r>
        <w:rPr>
          <w:rFonts w:hint="eastAsia" w:ascii="仿宋_GB2312" w:hAnsi="宋体" w:eastAsia="仿宋_GB2312" w:cs="宋体"/>
          <w:color w:val="auto"/>
          <w:kern w:val="0"/>
          <w:sz w:val="32"/>
          <w:szCs w:val="32"/>
        </w:rPr>
        <w:t>、手续费</w:t>
      </w:r>
      <w:r>
        <w:rPr>
          <w:rFonts w:hint="eastAsia" w:ascii="仿宋_GB2312" w:hAnsi="宋体" w:eastAsia="仿宋_GB2312" w:cs="宋体"/>
          <w:color w:val="auto"/>
          <w:kern w:val="0"/>
          <w:sz w:val="32"/>
          <w:szCs w:val="32"/>
          <w:lang w:val="en-US" w:eastAsia="zh-CN"/>
        </w:rPr>
        <w:t>0.72万元</w:t>
      </w:r>
      <w:r>
        <w:rPr>
          <w:rFonts w:hint="eastAsia" w:ascii="仿宋_GB2312" w:hAnsi="宋体" w:eastAsia="仿宋_GB2312" w:cs="宋体"/>
          <w:color w:val="auto"/>
          <w:kern w:val="0"/>
          <w:sz w:val="32"/>
          <w:szCs w:val="32"/>
        </w:rPr>
        <w:t>、水费</w:t>
      </w:r>
      <w:r>
        <w:rPr>
          <w:rFonts w:hint="eastAsia" w:ascii="仿宋_GB2312" w:hAnsi="宋体" w:eastAsia="仿宋_GB2312" w:cs="宋体"/>
          <w:color w:val="auto"/>
          <w:kern w:val="0"/>
          <w:sz w:val="32"/>
          <w:szCs w:val="32"/>
          <w:lang w:val="en-US" w:eastAsia="zh-CN"/>
        </w:rPr>
        <w:t>2.16万元</w:t>
      </w:r>
      <w:r>
        <w:rPr>
          <w:rFonts w:hint="eastAsia" w:ascii="仿宋_GB2312" w:hAnsi="宋体" w:eastAsia="仿宋_GB2312" w:cs="宋体"/>
          <w:color w:val="auto"/>
          <w:kern w:val="0"/>
          <w:sz w:val="32"/>
          <w:szCs w:val="32"/>
        </w:rPr>
        <w:t>、邮电费</w:t>
      </w:r>
      <w:r>
        <w:rPr>
          <w:rFonts w:hint="eastAsia" w:ascii="仿宋_GB2312" w:hAnsi="宋体" w:eastAsia="仿宋_GB2312" w:cs="宋体"/>
          <w:color w:val="auto"/>
          <w:kern w:val="0"/>
          <w:sz w:val="32"/>
          <w:szCs w:val="32"/>
          <w:lang w:val="en-US" w:eastAsia="zh-CN"/>
        </w:rPr>
        <w:t>0.72万元</w:t>
      </w:r>
      <w:r>
        <w:rPr>
          <w:rFonts w:hint="eastAsia" w:ascii="仿宋_GB2312" w:hAnsi="宋体" w:eastAsia="仿宋_GB2312" w:cs="宋体"/>
          <w:color w:val="auto"/>
          <w:kern w:val="0"/>
          <w:sz w:val="32"/>
          <w:szCs w:val="32"/>
        </w:rPr>
        <w:t>、物业管理费</w:t>
      </w:r>
      <w:r>
        <w:rPr>
          <w:rFonts w:hint="eastAsia" w:ascii="仿宋_GB2312" w:hAnsi="宋体" w:eastAsia="仿宋_GB2312" w:cs="宋体"/>
          <w:color w:val="auto"/>
          <w:kern w:val="0"/>
          <w:sz w:val="32"/>
          <w:szCs w:val="32"/>
          <w:lang w:val="en-US" w:eastAsia="zh-CN"/>
        </w:rPr>
        <w:t>1.8万元</w:t>
      </w:r>
      <w:r>
        <w:rPr>
          <w:rFonts w:hint="eastAsia" w:ascii="仿宋_GB2312" w:hAnsi="宋体" w:eastAsia="仿宋_GB2312" w:cs="宋体"/>
          <w:color w:val="auto"/>
          <w:kern w:val="0"/>
          <w:sz w:val="32"/>
          <w:szCs w:val="32"/>
        </w:rPr>
        <w:t>、差旅费</w:t>
      </w:r>
      <w:r>
        <w:rPr>
          <w:rFonts w:hint="eastAsia" w:ascii="仿宋_GB2312" w:hAnsi="宋体" w:eastAsia="仿宋_GB2312" w:cs="宋体"/>
          <w:color w:val="auto"/>
          <w:kern w:val="0"/>
          <w:sz w:val="32"/>
          <w:szCs w:val="32"/>
          <w:lang w:val="en-US" w:eastAsia="zh-CN"/>
        </w:rPr>
        <w:t>1.8万元</w:t>
      </w:r>
      <w:r>
        <w:rPr>
          <w:rFonts w:hint="eastAsia" w:ascii="仿宋_GB2312" w:hAnsi="宋体" w:eastAsia="仿宋_GB2312" w:cs="宋体"/>
          <w:color w:val="auto"/>
          <w:kern w:val="0"/>
          <w:sz w:val="32"/>
          <w:szCs w:val="32"/>
        </w:rPr>
        <w:t>、工会经费</w:t>
      </w:r>
      <w:r>
        <w:rPr>
          <w:rFonts w:hint="eastAsia" w:ascii="仿宋_GB2312" w:hAnsi="宋体" w:eastAsia="仿宋_GB2312" w:cs="宋体"/>
          <w:color w:val="auto"/>
          <w:kern w:val="0"/>
          <w:sz w:val="32"/>
          <w:szCs w:val="32"/>
          <w:lang w:val="en-US" w:eastAsia="zh-CN"/>
        </w:rPr>
        <w:t>5.5万元</w:t>
      </w:r>
      <w:r>
        <w:rPr>
          <w:rFonts w:hint="eastAsia" w:ascii="仿宋_GB2312" w:hAnsi="宋体" w:eastAsia="仿宋_GB2312" w:cs="宋体"/>
          <w:color w:val="auto"/>
          <w:kern w:val="0"/>
          <w:sz w:val="32"/>
          <w:szCs w:val="32"/>
        </w:rPr>
        <w:t>、福利费</w:t>
      </w:r>
      <w:r>
        <w:rPr>
          <w:rFonts w:hint="eastAsia" w:ascii="仿宋_GB2312" w:hAnsi="宋体" w:eastAsia="仿宋_GB2312" w:cs="宋体"/>
          <w:color w:val="auto"/>
          <w:kern w:val="0"/>
          <w:sz w:val="32"/>
          <w:szCs w:val="32"/>
          <w:lang w:val="en-US" w:eastAsia="zh-CN"/>
        </w:rPr>
        <w:t>2.93万元</w:t>
      </w:r>
      <w:r>
        <w:rPr>
          <w:rFonts w:hint="eastAsia" w:ascii="仿宋_GB2312" w:hAnsi="宋体" w:eastAsia="仿宋_GB2312" w:cs="宋体"/>
          <w:color w:val="auto"/>
          <w:kern w:val="0"/>
          <w:sz w:val="32"/>
          <w:szCs w:val="32"/>
        </w:rPr>
        <w:t>、公务用车运行维护费</w:t>
      </w:r>
      <w:r>
        <w:rPr>
          <w:rFonts w:hint="eastAsia" w:ascii="仿宋_GB2312" w:hAnsi="宋体" w:eastAsia="仿宋_GB2312" w:cs="宋体"/>
          <w:color w:val="auto"/>
          <w:kern w:val="0"/>
          <w:sz w:val="32"/>
          <w:szCs w:val="32"/>
          <w:lang w:val="en-US" w:eastAsia="zh-CN"/>
        </w:rPr>
        <w:t>7.8万元</w:t>
      </w:r>
      <w:r>
        <w:rPr>
          <w:rFonts w:hint="eastAsia" w:ascii="仿宋_GB2312" w:hAnsi="宋体" w:eastAsia="仿宋_GB2312" w:cs="宋体"/>
          <w:color w:val="auto"/>
          <w:kern w:val="0"/>
          <w:sz w:val="32"/>
          <w:szCs w:val="32"/>
        </w:rPr>
        <w:t>、其他交通费用</w:t>
      </w:r>
      <w:r>
        <w:rPr>
          <w:rFonts w:hint="eastAsia" w:ascii="仿宋_GB2312" w:hAnsi="宋体" w:eastAsia="仿宋_GB2312" w:cs="宋体"/>
          <w:color w:val="auto"/>
          <w:kern w:val="0"/>
          <w:sz w:val="32"/>
          <w:szCs w:val="32"/>
          <w:lang w:val="en-US" w:eastAsia="zh-CN"/>
        </w:rPr>
        <w:t>1.08万元</w:t>
      </w:r>
      <w:r>
        <w:rPr>
          <w:rFonts w:hint="eastAsia" w:ascii="仿宋_GB2312" w:hAnsi="宋体" w:eastAsia="仿宋_GB2312" w:cs="宋体"/>
          <w:color w:val="auto"/>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2021年一般公共预算项目支出情况说明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2021年部门预算未安排项目支出。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2021年一般公共预算“三公”经费预算情况说明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昌吉市商务和工业信息化局</w:t>
      </w:r>
      <w:r>
        <w:rPr>
          <w:rFonts w:hint="eastAsia" w:ascii="仿宋_GB2312" w:hAnsi="宋体" w:eastAsia="仿宋_GB2312" w:cs="宋体"/>
          <w:color w:val="auto"/>
          <w:kern w:val="0"/>
          <w:sz w:val="32"/>
          <w:szCs w:val="32"/>
        </w:rPr>
        <w:t>2021年一般公共预算“三公”经费数为</w:t>
      </w:r>
      <w:r>
        <w:rPr>
          <w:rFonts w:hint="eastAsia" w:ascii="仿宋_GB2312" w:hAnsi="宋体" w:eastAsia="仿宋_GB2312" w:cs="宋体"/>
          <w:color w:val="auto"/>
          <w:kern w:val="0"/>
          <w:sz w:val="32"/>
          <w:szCs w:val="32"/>
          <w:lang w:val="en-US" w:eastAsia="zh-CN"/>
        </w:rPr>
        <w:t>7.80</w:t>
      </w:r>
      <w:r>
        <w:rPr>
          <w:rFonts w:hint="eastAsia" w:ascii="仿宋_GB2312" w:hAnsi="宋体" w:eastAsia="仿宋_GB2312" w:cs="宋体"/>
          <w:color w:val="auto"/>
          <w:kern w:val="0"/>
          <w:sz w:val="32"/>
          <w:szCs w:val="32"/>
        </w:rPr>
        <w:t>万元，其中：因公出国（境）费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万元，公务用车购置</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万元，公务用车运行费</w:t>
      </w:r>
      <w:r>
        <w:rPr>
          <w:rFonts w:hint="eastAsia" w:ascii="仿宋_GB2312" w:hAnsi="宋体" w:eastAsia="仿宋_GB2312" w:cs="宋体"/>
          <w:color w:val="auto"/>
          <w:kern w:val="0"/>
          <w:sz w:val="32"/>
          <w:szCs w:val="32"/>
          <w:lang w:val="en-US" w:eastAsia="zh-CN"/>
        </w:rPr>
        <w:t>7.80</w:t>
      </w:r>
      <w:r>
        <w:rPr>
          <w:rFonts w:hint="eastAsia" w:ascii="仿宋_GB2312" w:hAnsi="宋体" w:eastAsia="仿宋_GB2312" w:cs="宋体"/>
          <w:color w:val="auto"/>
          <w:kern w:val="0"/>
          <w:sz w:val="32"/>
          <w:szCs w:val="32"/>
        </w:rPr>
        <w:t>万元，公务接待费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2020年“三公”经费财政拨款预算比上年减少</w:t>
      </w:r>
      <w:r>
        <w:rPr>
          <w:rFonts w:hint="eastAsia" w:ascii="仿宋_GB2312" w:hAnsi="宋体" w:eastAsia="仿宋_GB2312" w:cs="宋体"/>
          <w:color w:val="auto"/>
          <w:kern w:val="0"/>
          <w:sz w:val="32"/>
          <w:szCs w:val="32"/>
          <w:lang w:val="en-US" w:eastAsia="zh-CN"/>
        </w:rPr>
        <w:t>2.6</w:t>
      </w:r>
      <w:r>
        <w:rPr>
          <w:rFonts w:hint="eastAsia" w:ascii="仿宋_GB2312" w:hAnsi="宋体" w:eastAsia="仿宋_GB2312" w:cs="宋体"/>
          <w:color w:val="auto"/>
          <w:kern w:val="0"/>
          <w:sz w:val="32"/>
          <w:szCs w:val="32"/>
        </w:rPr>
        <w:t>万元，其中：因公出国（境）费增加（减少）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无</w:t>
      </w:r>
      <w:r>
        <w:rPr>
          <w:rFonts w:hint="eastAsia" w:ascii="仿宋_GB2312" w:hAnsi="宋体" w:eastAsia="仿宋_GB2312" w:cs="宋体"/>
          <w:color w:val="auto"/>
          <w:kern w:val="0"/>
          <w:sz w:val="32"/>
          <w:szCs w:val="32"/>
        </w:rPr>
        <w:t>；公务用车购置费为0，未安排预算。[或公务用车购置费增加（减少）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无</w:t>
      </w:r>
      <w:r>
        <w:rPr>
          <w:rFonts w:hint="eastAsia" w:ascii="仿宋_GB2312" w:hAnsi="宋体" w:eastAsia="仿宋_GB2312" w:cs="宋体"/>
          <w:color w:val="auto"/>
          <w:kern w:val="0"/>
          <w:sz w:val="32"/>
          <w:szCs w:val="32"/>
        </w:rPr>
        <w:t>；公务用车运行费减少</w:t>
      </w:r>
      <w:r>
        <w:rPr>
          <w:rFonts w:hint="eastAsia" w:ascii="仿宋_GB2312" w:hAnsi="宋体" w:eastAsia="仿宋_GB2312" w:cs="宋体"/>
          <w:color w:val="auto"/>
          <w:kern w:val="0"/>
          <w:sz w:val="32"/>
          <w:szCs w:val="32"/>
          <w:lang w:val="en-US" w:eastAsia="zh-CN"/>
        </w:rPr>
        <w:t>2.6</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无</w:t>
      </w:r>
      <w:r>
        <w:rPr>
          <w:rFonts w:hint="eastAsia" w:ascii="仿宋_GB2312" w:hAnsi="宋体" w:eastAsia="仿宋_GB2312" w:cs="宋体"/>
          <w:color w:val="auto"/>
          <w:kern w:val="0"/>
          <w:sz w:val="32"/>
          <w:szCs w:val="32"/>
        </w:rPr>
        <w:t>；公务接待费增加（减少）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万元，主要原因是</w:t>
      </w:r>
      <w:r>
        <w:rPr>
          <w:rFonts w:hint="eastAsia" w:ascii="仿宋_GB2312" w:hAnsi="宋体" w:eastAsia="仿宋_GB2312" w:cs="宋体"/>
          <w:color w:val="auto"/>
          <w:kern w:val="0"/>
          <w:sz w:val="32"/>
          <w:szCs w:val="32"/>
          <w:lang w:eastAsia="zh-CN"/>
        </w:rPr>
        <w:t>无</w:t>
      </w:r>
      <w:r>
        <w:rPr>
          <w:rFonts w:hint="eastAsia" w:ascii="仿宋_GB2312" w:hAnsi="宋体" w:eastAsia="仿宋_GB2312" w:cs="宋体"/>
          <w:color w:val="auto"/>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昌吉市商务和工业信息化局</w:t>
      </w:r>
      <w:r>
        <w:rPr>
          <w:rFonts w:hint="eastAsia" w:ascii="黑体" w:hAnsi="宋体" w:eastAsia="黑体" w:cs="宋体"/>
          <w:kern w:val="0"/>
          <w:sz w:val="32"/>
          <w:szCs w:val="32"/>
        </w:rPr>
        <w:t>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昌吉市商务和工业信息化局</w:t>
      </w:r>
      <w:r>
        <w:rPr>
          <w:rFonts w:hint="eastAsia" w:ascii="仿宋_GB2312" w:hAnsi="宋体" w:eastAsia="仿宋_GB2312" w:cs="宋体"/>
          <w:kern w:val="0"/>
          <w:sz w:val="32"/>
          <w:szCs w:val="32"/>
        </w:rPr>
        <w:t>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auto"/>
          <w:kern w:val="0"/>
          <w:sz w:val="32"/>
          <w:szCs w:val="32"/>
        </w:rPr>
        <w:t>2021年，</w:t>
      </w:r>
      <w:r>
        <w:rPr>
          <w:rFonts w:hint="eastAsia" w:ascii="仿宋_GB2312" w:hAnsi="宋体" w:eastAsia="仿宋_GB2312" w:cs="宋体"/>
          <w:color w:val="auto"/>
          <w:kern w:val="0"/>
          <w:sz w:val="32"/>
          <w:szCs w:val="32"/>
          <w:lang w:eastAsia="zh-CN"/>
        </w:rPr>
        <w:t>昌吉市商务和工业信息化局</w:t>
      </w:r>
      <w:r>
        <w:rPr>
          <w:rFonts w:hint="eastAsia" w:ascii="仿宋_GB2312" w:hAnsi="宋体" w:eastAsia="仿宋_GB2312" w:cs="宋体"/>
          <w:color w:val="auto"/>
          <w:kern w:val="0"/>
          <w:sz w:val="32"/>
          <w:szCs w:val="32"/>
        </w:rPr>
        <w:t>的机关运行经费财政拨款预算</w:t>
      </w:r>
      <w:r>
        <w:rPr>
          <w:rFonts w:hint="eastAsia" w:ascii="仿宋_GB2312" w:hAnsi="宋体" w:eastAsia="仿宋_GB2312" w:cs="宋体"/>
          <w:color w:val="auto"/>
          <w:kern w:val="0"/>
          <w:sz w:val="32"/>
          <w:szCs w:val="32"/>
          <w:lang w:val="en-US" w:eastAsia="zh-CN"/>
        </w:rPr>
        <w:t>37.83</w:t>
      </w:r>
      <w:r>
        <w:rPr>
          <w:rFonts w:hint="eastAsia" w:ascii="仿宋_GB2312" w:hAnsi="宋体" w:eastAsia="仿宋_GB2312" w:cs="宋体"/>
          <w:color w:val="auto"/>
          <w:kern w:val="0"/>
          <w:sz w:val="32"/>
          <w:szCs w:val="32"/>
        </w:rPr>
        <w:t>万元，比上年预算减少</w:t>
      </w:r>
      <w:r>
        <w:rPr>
          <w:rFonts w:hint="eastAsia" w:ascii="仿宋_GB2312" w:hAnsi="宋体" w:eastAsia="仿宋_GB2312" w:cs="宋体"/>
          <w:color w:val="auto"/>
          <w:kern w:val="0"/>
          <w:sz w:val="32"/>
          <w:szCs w:val="32"/>
          <w:lang w:val="en-US" w:eastAsia="zh-CN"/>
        </w:rPr>
        <w:t>5.39</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12</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人员减少</w:t>
      </w:r>
      <w:r>
        <w:rPr>
          <w:rFonts w:hint="eastAsia" w:ascii="仿宋_GB2312" w:hAnsi="宋体" w:eastAsia="仿宋_GB2312" w:cs="宋体"/>
          <w:color w:val="auto"/>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2021年</w:t>
      </w:r>
      <w:r>
        <w:rPr>
          <w:rFonts w:hint="eastAsia" w:ascii="仿宋_GB2312" w:hAnsi="宋体" w:eastAsia="仿宋_GB2312" w:cs="宋体"/>
          <w:color w:val="auto"/>
          <w:kern w:val="0"/>
          <w:sz w:val="32"/>
          <w:szCs w:val="32"/>
          <w:lang w:eastAsia="zh-CN"/>
        </w:rPr>
        <w:t>昌吉市商务和工业信息化局</w:t>
      </w:r>
      <w:r>
        <w:rPr>
          <w:rFonts w:hint="eastAsia" w:ascii="仿宋_GB2312" w:hAnsi="宋体" w:eastAsia="仿宋_GB2312" w:cs="宋体"/>
          <w:color w:val="auto"/>
          <w:kern w:val="0"/>
          <w:sz w:val="32"/>
          <w:szCs w:val="32"/>
        </w:rPr>
        <w:t>政府采购预算</w:t>
      </w:r>
      <w:r>
        <w:rPr>
          <w:rFonts w:hint="eastAsia" w:ascii="仿宋_GB2312" w:hAnsi="宋体" w:eastAsia="仿宋_GB2312" w:cs="宋体"/>
          <w:color w:val="auto"/>
          <w:kern w:val="0"/>
          <w:sz w:val="32"/>
          <w:szCs w:val="32"/>
          <w:lang w:val="en-US" w:eastAsia="zh-CN"/>
        </w:rPr>
        <w:t>16.7</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color w:val="auto"/>
          <w:kern w:val="0"/>
          <w:sz w:val="32"/>
          <w:szCs w:val="32"/>
          <w:lang w:val="en-US" w:eastAsia="zh-CN"/>
        </w:rPr>
        <w:t>13.7</w:t>
      </w:r>
      <w:r>
        <w:rPr>
          <w:rFonts w:hint="eastAsia" w:ascii="仿宋_GB2312" w:hAnsi="宋体" w:eastAsia="仿宋_GB2312" w:cs="宋体"/>
          <w:color w:val="auto"/>
          <w:kern w:val="0"/>
          <w:sz w:val="32"/>
          <w:szCs w:val="32"/>
        </w:rPr>
        <w:t>万元，政府采购工程预算</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万元，政府采购服务预算</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仿宋_GB2312" w:eastAsia="仿宋_GB2312" w:cs="Times New Roman"/>
          <w:color w:val="auto"/>
          <w:sz w:val="32"/>
          <w:szCs w:val="24"/>
        </w:rPr>
        <w:t>2021年度本部门面向中小企业预留政府采购项目预算金额</w:t>
      </w:r>
      <w:r>
        <w:rPr>
          <w:rFonts w:hint="eastAsia" w:ascii="仿宋_GB2312" w:hAnsi="仿宋_GB2312" w:eastAsia="仿宋_GB2312" w:cs="Times New Roman"/>
          <w:color w:val="auto"/>
          <w:sz w:val="32"/>
          <w:szCs w:val="24"/>
          <w:lang w:val="en-US" w:eastAsia="zh-CN"/>
        </w:rPr>
        <w:t>0</w:t>
      </w:r>
      <w:r>
        <w:rPr>
          <w:rFonts w:hint="eastAsia" w:ascii="仿宋_GB2312" w:hAnsi="仿宋_GB2312" w:eastAsia="仿宋_GB2312" w:cs="Times New Roman"/>
          <w:color w:val="auto"/>
          <w:sz w:val="32"/>
          <w:szCs w:val="24"/>
        </w:rPr>
        <w:t>万元，其中：面向小微企业</w:t>
      </w:r>
      <w:bookmarkStart w:id="0" w:name="_GoBack"/>
      <w:bookmarkEnd w:id="0"/>
      <w:r>
        <w:rPr>
          <w:rFonts w:hint="eastAsia" w:ascii="仿宋_GB2312" w:hAnsi="仿宋_GB2312" w:eastAsia="仿宋_GB2312" w:cs="Times New Roman"/>
          <w:color w:val="auto"/>
          <w:sz w:val="32"/>
          <w:szCs w:val="24"/>
        </w:rPr>
        <w:t>预留政府采购项目预算金额</w:t>
      </w:r>
      <w:r>
        <w:rPr>
          <w:rFonts w:hint="eastAsia" w:ascii="仿宋_GB2312" w:hAnsi="仿宋_GB2312" w:eastAsia="仿宋_GB2312" w:cs="Times New Roman"/>
          <w:color w:val="auto"/>
          <w:sz w:val="32"/>
          <w:szCs w:val="24"/>
          <w:lang w:val="en-US" w:eastAsia="zh-CN"/>
        </w:rPr>
        <w:t>0</w:t>
      </w:r>
      <w:r>
        <w:rPr>
          <w:rFonts w:hint="eastAsia" w:ascii="仿宋_GB2312" w:hAnsi="仿宋_GB2312" w:eastAsia="仿宋_GB2312" w:cs="Times New Roman"/>
          <w:color w:val="auto"/>
          <w:sz w:val="32"/>
          <w:szCs w:val="24"/>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截至2020年底，</w:t>
      </w:r>
      <w:r>
        <w:rPr>
          <w:rFonts w:hint="eastAsia" w:ascii="仿宋_GB2312" w:hAnsi="宋体" w:eastAsia="仿宋_GB2312" w:cs="宋体"/>
          <w:color w:val="auto"/>
          <w:kern w:val="0"/>
          <w:sz w:val="32"/>
          <w:szCs w:val="32"/>
          <w:lang w:eastAsia="zh-CN"/>
        </w:rPr>
        <w:t>昌吉市商务和工业信息化局</w:t>
      </w:r>
      <w:r>
        <w:rPr>
          <w:rFonts w:hint="eastAsia" w:ascii="仿宋_GB2312" w:hAnsi="宋体" w:eastAsia="仿宋_GB2312" w:cs="宋体"/>
          <w:color w:val="auto"/>
          <w:kern w:val="0"/>
          <w:sz w:val="32"/>
          <w:szCs w:val="32"/>
        </w:rPr>
        <w:t>占用使用国有资产总体情况为</w:t>
      </w:r>
      <w:r>
        <w:rPr>
          <w:rFonts w:hint="eastAsia" w:ascii="仿宋_GB2312" w:hAnsi="宋体" w:eastAsia="仿宋_GB2312" w:cs="宋体"/>
          <w:color w:val="auto"/>
          <w:kern w:val="0"/>
          <w:sz w:val="32"/>
          <w:szCs w:val="32"/>
          <w:lang w:eastAsia="zh-CN"/>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1.房屋</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平方米，价值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2.车辆</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73.17</w:t>
      </w:r>
      <w:r>
        <w:rPr>
          <w:rFonts w:hint="eastAsia" w:ascii="仿宋_GB2312" w:hAnsi="宋体" w:eastAsia="仿宋_GB2312" w:cs="宋体"/>
          <w:color w:val="auto"/>
          <w:kern w:val="0"/>
          <w:sz w:val="32"/>
          <w:szCs w:val="32"/>
        </w:rPr>
        <w:t>万元；其中：一般公务用车</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73.17</w:t>
      </w:r>
      <w:r>
        <w:rPr>
          <w:rFonts w:hint="eastAsia" w:ascii="仿宋_GB2312" w:hAnsi="宋体" w:eastAsia="仿宋_GB2312" w:cs="宋体"/>
          <w:color w:val="auto"/>
          <w:kern w:val="0"/>
          <w:sz w:val="32"/>
          <w:szCs w:val="32"/>
        </w:rPr>
        <w:t>万元；执法执勤用车</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万元；其他车辆</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辆，价值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3.办公家具价值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4.其他资产价值</w:t>
      </w:r>
      <w:r>
        <w:rPr>
          <w:rFonts w:hint="eastAsia" w:ascii="仿宋_GB2312" w:hAnsi="宋体" w:eastAsia="仿宋_GB2312" w:cs="宋体"/>
          <w:color w:val="auto"/>
          <w:kern w:val="0"/>
          <w:sz w:val="32"/>
          <w:szCs w:val="32"/>
          <w:lang w:val="en-US" w:eastAsia="zh-CN"/>
        </w:rPr>
        <w:t>88.97</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单位价值50万元以上大型设备</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台（套），单位价值100万元以上大型设备</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0个，涉及预算金额0万元。具体情况见下表（按项目分别填报）：</w:t>
      </w:r>
    </w:p>
    <w:p>
      <w:r>
        <w:br w:type="page"/>
      </w:r>
    </w:p>
    <w:tbl>
      <w:tblPr>
        <w:tblStyle w:val="14"/>
        <w:tblW w:w="8815" w:type="dxa"/>
        <w:tblInd w:w="0" w:type="dxa"/>
        <w:tblLayout w:type="fixed"/>
        <w:tblCellMar>
          <w:top w:w="0" w:type="dxa"/>
          <w:left w:w="0" w:type="dxa"/>
          <w:bottom w:w="0" w:type="dxa"/>
          <w:right w:w="0" w:type="dxa"/>
        </w:tblCellMar>
      </w:tblPr>
      <w:tblGrid>
        <w:gridCol w:w="1146"/>
        <w:gridCol w:w="1266"/>
        <w:gridCol w:w="1224"/>
        <w:gridCol w:w="1476"/>
        <w:gridCol w:w="712"/>
        <w:gridCol w:w="327"/>
        <w:gridCol w:w="1481"/>
        <w:gridCol w:w="1183"/>
      </w:tblGrid>
      <w:tr>
        <w:tblPrEx>
          <w:tblLayout w:type="fixed"/>
          <w:tblCellMar>
            <w:top w:w="0" w:type="dxa"/>
            <w:left w:w="0" w:type="dxa"/>
            <w:bottom w:w="0" w:type="dxa"/>
            <w:right w:w="0" w:type="dxa"/>
          </w:tblCellMar>
        </w:tblPrEx>
        <w:trPr>
          <w:trHeight w:val="480" w:hRule="atLeast"/>
        </w:trPr>
        <w:tc>
          <w:tcPr>
            <w:tcW w:w="8815" w:type="dxa"/>
            <w:gridSpan w:val="8"/>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8"/>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eastAsia="宋体" w:cs="宋体"/>
                <w:color w:val="000000"/>
                <w:sz w:val="22"/>
              </w:rPr>
            </w:pPr>
            <w:r>
              <w:rPr>
                <w:rFonts w:hint="eastAsia" w:ascii="宋体" w:hAnsi="宋体" w:eastAsia="宋体" w:cs="宋体"/>
                <w:color w:val="000000"/>
                <w:kern w:val="0"/>
                <w:sz w:val="22"/>
                <w:lang w:bidi="ar"/>
              </w:rPr>
              <w:t>（2021年）</w:t>
            </w:r>
          </w:p>
        </w:tc>
      </w:tr>
      <w:tr>
        <w:tblPrEx>
          <w:tblLayout w:type="fixed"/>
          <w:tblCellMar>
            <w:top w:w="0" w:type="dxa"/>
            <w:left w:w="0" w:type="dxa"/>
            <w:bottom w:w="0" w:type="dxa"/>
            <w:right w:w="0" w:type="dxa"/>
          </w:tblCellMar>
        </w:tblPrEx>
        <w:trPr>
          <w:trHeight w:val="500" w:hRule="atLeast"/>
        </w:trPr>
        <w:tc>
          <w:tcPr>
            <w:tcW w:w="11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预算单位</w:t>
            </w:r>
          </w:p>
        </w:tc>
        <w:tc>
          <w:tcPr>
            <w:tcW w:w="3966"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bidi="ar"/>
              </w:rPr>
              <w:t>昌吉市商务和工业信息化局</w:t>
            </w:r>
          </w:p>
        </w:tc>
        <w:tc>
          <w:tcPr>
            <w:tcW w:w="10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XXXXX</w:t>
            </w:r>
          </w:p>
        </w:tc>
      </w:tr>
      <w:tr>
        <w:tblPrEx>
          <w:tblLayout w:type="fixed"/>
          <w:tblCellMar>
            <w:top w:w="0" w:type="dxa"/>
            <w:left w:w="0" w:type="dxa"/>
            <w:bottom w:w="0" w:type="dxa"/>
            <w:right w:w="0" w:type="dxa"/>
          </w:tblCellMar>
        </w:tblPrEx>
        <w:trPr>
          <w:trHeight w:val="544" w:hRule="atLeast"/>
        </w:trPr>
        <w:tc>
          <w:tcPr>
            <w:tcW w:w="11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项目资金（万元）</w:t>
            </w:r>
          </w:p>
        </w:tc>
        <w:tc>
          <w:tcPr>
            <w:tcW w:w="12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其中：财政拨款</w:t>
            </w:r>
          </w:p>
        </w:tc>
        <w:tc>
          <w:tcPr>
            <w:tcW w:w="10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eastAsia="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16" w:hRule="atLeast"/>
        </w:trPr>
        <w:tc>
          <w:tcPr>
            <w:tcW w:w="11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项目总体目标</w:t>
            </w:r>
          </w:p>
        </w:tc>
        <w:tc>
          <w:tcPr>
            <w:tcW w:w="7669"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11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一级指标</w:t>
            </w:r>
          </w:p>
        </w:tc>
        <w:tc>
          <w:tcPr>
            <w:tcW w:w="12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三级指标</w:t>
            </w:r>
          </w:p>
        </w:tc>
        <w:tc>
          <w:tcPr>
            <w:tcW w:w="299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14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时效指标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成本指标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经济效益指标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社会效益指标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生态效益指标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可持续影响指标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12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14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12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34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c>
          <w:tcPr>
            <w:tcW w:w="299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eastAsia="宋体" w:cs="宋体"/>
                <w:color w:val="000000"/>
                <w:sz w:val="18"/>
                <w:szCs w:val="18"/>
              </w:rPr>
            </w:pP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cs="Times New Roman"/>
          <w:kern w:val="0"/>
          <w:sz w:val="32"/>
          <w:szCs w:val="32"/>
        </w:rPr>
      </w:pPr>
      <w:r>
        <w:rPr>
          <w:rFonts w:hint="eastAsia" w:ascii="黑体" w:hAnsi="黑体" w:eastAsia="黑体" w:cs="Times New Roman"/>
          <w:kern w:val="0"/>
          <w:sz w:val="32"/>
          <w:szCs w:val="32"/>
        </w:rPr>
        <w:t>第四部分  名词解释</w:t>
      </w:r>
    </w:p>
    <w:p>
      <w:pPr>
        <w:widowControl/>
        <w:spacing w:before="156" w:beforeLines="50" w:line="520" w:lineRule="exact"/>
        <w:jc w:val="center"/>
        <w:outlineLvl w:val="1"/>
        <w:rPr>
          <w:rFonts w:ascii="黑体" w:hAnsi="黑体" w:eastAsia="黑体" w:cs="Times New Roman"/>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一、财政拨款：</w:t>
      </w:r>
      <w:r>
        <w:rPr>
          <w:rFonts w:hint="eastAsia" w:ascii="仿宋_GB2312" w:hAnsi="Times New Roman" w:eastAsia="仿宋_GB2312" w:cs="Times New Roman"/>
          <w:sz w:val="32"/>
          <w:szCs w:val="32"/>
        </w:rPr>
        <w:t>指由一般公共预算、政府性基金预算安排的财政拨款数。</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二、一般公共预算：</w:t>
      </w:r>
      <w:r>
        <w:rPr>
          <w:rFonts w:hint="eastAsia" w:ascii="仿宋_GB2312" w:hAnsi="Times New Roman" w:eastAsia="仿宋_GB2312" w:cs="Times New Roman"/>
          <w:spacing w:val="-6"/>
          <w:sz w:val="32"/>
          <w:szCs w:val="32"/>
        </w:rPr>
        <w:t>包括公共财政拨款（补助）资金、专项收入。</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三、财政专户管理资金：</w:t>
      </w:r>
      <w:r>
        <w:rPr>
          <w:rFonts w:hint="eastAsia" w:ascii="仿宋_GB2312" w:hAnsi="Times New Roman" w:eastAsia="仿宋_GB2312" w:cs="Times New Roman"/>
          <w:sz w:val="32"/>
          <w:szCs w:val="32"/>
        </w:rPr>
        <w:t>包括专户管理行政事业性收费（主要是教育收费）、其他非税收入。</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四、其他资金：</w:t>
      </w:r>
      <w:r>
        <w:rPr>
          <w:rFonts w:hint="eastAsia" w:ascii="仿宋_GB2312" w:hAnsi="Times New Roman" w:eastAsia="仿宋_GB2312" w:cs="Times New Roman"/>
          <w:sz w:val="32"/>
          <w:szCs w:val="32"/>
        </w:rPr>
        <w:t>包括事业收入、事业经营收入、其他收入等。</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五、基本支出：</w:t>
      </w:r>
      <w:r>
        <w:rPr>
          <w:rFonts w:hint="eastAsia" w:ascii="仿宋_GB2312" w:hAnsi="Times New Roman" w:eastAsia="仿宋_GB2312" w:cs="Times New Roman"/>
          <w:sz w:val="32"/>
          <w:szCs w:val="32"/>
        </w:rPr>
        <w:t>包括人员经费、商品和服务支出（定额）。其中，人员经费包括工资福利支出、对个人和家庭的补助。</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六、项目支出：</w:t>
      </w:r>
      <w:r>
        <w:rPr>
          <w:rFonts w:hint="eastAsia" w:ascii="仿宋_GB2312" w:hAnsi="Times New Roman" w:eastAsia="仿宋_GB2312" w:cs="Times New Roman"/>
          <w:sz w:val="32"/>
          <w:szCs w:val="32"/>
        </w:rPr>
        <w:t>部门支出预算的组成部分，是各部门为完成其特定的行政任务或事业发展目标，在基本支出预算之外编制的年度项目支出计划。</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七、“三公”经费：</w:t>
      </w:r>
      <w:r>
        <w:rPr>
          <w:rFonts w:hint="eastAsia" w:ascii="仿宋_GB2312" w:hAnsi="Times New Roman" w:eastAsia="仿宋_GB2312" w:cs="Times New Roman"/>
          <w:sz w:val="32"/>
          <w:szCs w:val="32"/>
        </w:rPr>
        <w:t>指各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hAnsi="Times New Roman" w:eastAsia="仿宋_GB2312" w:cs="Times New Roman"/>
          <w:sz w:val="32"/>
          <w:szCs w:val="32"/>
        </w:rPr>
      </w:pPr>
      <w:r>
        <w:rPr>
          <w:rFonts w:hint="eastAsia" w:ascii="黑体" w:hAnsi="黑体" w:eastAsia="黑体" w:cs="Times New Roman"/>
          <w:sz w:val="32"/>
          <w:szCs w:val="32"/>
        </w:rPr>
        <w:t>八、机关运行经费：</w:t>
      </w:r>
      <w:r>
        <w:rPr>
          <w:rFonts w:hint="eastAsia" w:ascii="仿宋_GB2312" w:hAnsi="Times New Roman" w:eastAsia="仿宋_GB2312" w:cs="Times New Roman"/>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昌吉市商务和工业信息化局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9</w:t>
      </w:r>
      <w:r>
        <w:rPr>
          <w:rFonts w:ascii="仿宋_GB2312" w:hAnsi="宋体" w:eastAsia="仿宋_GB2312" w:cs="宋体"/>
          <w:kern w:val="0"/>
          <w:sz w:val="32"/>
          <w:szCs w:val="32"/>
        </w:rPr>
        <w:t>日</w:t>
      </w:r>
    </w:p>
    <w:p>
      <w:pPr>
        <w:rPr>
          <w:rFonts w:ascii="Times New Roman" w:hAnsi="Times New Roman" w:eastAsia="宋体" w:cs="Times New Roman"/>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8E"/>
    <w:rsid w:val="00061F50"/>
    <w:rsid w:val="000B15CC"/>
    <w:rsid w:val="00116A1D"/>
    <w:rsid w:val="001371ED"/>
    <w:rsid w:val="0015188E"/>
    <w:rsid w:val="00324B80"/>
    <w:rsid w:val="003405B4"/>
    <w:rsid w:val="00347EA8"/>
    <w:rsid w:val="00365EC2"/>
    <w:rsid w:val="00376B33"/>
    <w:rsid w:val="003B7451"/>
    <w:rsid w:val="004236B6"/>
    <w:rsid w:val="00471894"/>
    <w:rsid w:val="004A41F0"/>
    <w:rsid w:val="00571866"/>
    <w:rsid w:val="00577B4A"/>
    <w:rsid w:val="005F1DE8"/>
    <w:rsid w:val="006226BB"/>
    <w:rsid w:val="006814F1"/>
    <w:rsid w:val="00681914"/>
    <w:rsid w:val="00754513"/>
    <w:rsid w:val="007A7AF2"/>
    <w:rsid w:val="00815C3B"/>
    <w:rsid w:val="008172C2"/>
    <w:rsid w:val="008E6446"/>
    <w:rsid w:val="008F6ACD"/>
    <w:rsid w:val="00972A0C"/>
    <w:rsid w:val="009C7B52"/>
    <w:rsid w:val="00B11A75"/>
    <w:rsid w:val="00BA0872"/>
    <w:rsid w:val="00BB2E67"/>
    <w:rsid w:val="00CA12BE"/>
    <w:rsid w:val="00E359EC"/>
    <w:rsid w:val="00E85A04"/>
    <w:rsid w:val="00EA2CD5"/>
    <w:rsid w:val="00EB696D"/>
    <w:rsid w:val="00F22256"/>
    <w:rsid w:val="00F6465A"/>
    <w:rsid w:val="00FF5FD3"/>
    <w:rsid w:val="0142317D"/>
    <w:rsid w:val="08150B16"/>
    <w:rsid w:val="090A6494"/>
    <w:rsid w:val="0941044A"/>
    <w:rsid w:val="0B7549D4"/>
    <w:rsid w:val="0D16312E"/>
    <w:rsid w:val="0E2602FA"/>
    <w:rsid w:val="0E6B7070"/>
    <w:rsid w:val="0EEB1D99"/>
    <w:rsid w:val="12D71FB2"/>
    <w:rsid w:val="14AE5649"/>
    <w:rsid w:val="157C463C"/>
    <w:rsid w:val="190479AB"/>
    <w:rsid w:val="1B165B53"/>
    <w:rsid w:val="22EC79F2"/>
    <w:rsid w:val="24C07F0C"/>
    <w:rsid w:val="262B445A"/>
    <w:rsid w:val="2720213D"/>
    <w:rsid w:val="28432B95"/>
    <w:rsid w:val="29C72A75"/>
    <w:rsid w:val="2EF655AF"/>
    <w:rsid w:val="34197533"/>
    <w:rsid w:val="353B6412"/>
    <w:rsid w:val="35C46812"/>
    <w:rsid w:val="35DE0D03"/>
    <w:rsid w:val="398D6AE3"/>
    <w:rsid w:val="3ACB2776"/>
    <w:rsid w:val="3AD232C3"/>
    <w:rsid w:val="3B2812C1"/>
    <w:rsid w:val="3BEA6B3A"/>
    <w:rsid w:val="3D205D43"/>
    <w:rsid w:val="3FAF30FD"/>
    <w:rsid w:val="3FFB4F86"/>
    <w:rsid w:val="40774A46"/>
    <w:rsid w:val="424203D9"/>
    <w:rsid w:val="4DC9591D"/>
    <w:rsid w:val="4F467219"/>
    <w:rsid w:val="5028104C"/>
    <w:rsid w:val="51706A92"/>
    <w:rsid w:val="52967C81"/>
    <w:rsid w:val="5393787B"/>
    <w:rsid w:val="55C071FC"/>
    <w:rsid w:val="5715144D"/>
    <w:rsid w:val="57F876CB"/>
    <w:rsid w:val="581E7D79"/>
    <w:rsid w:val="58E66BFC"/>
    <w:rsid w:val="58F625D9"/>
    <w:rsid w:val="595D5751"/>
    <w:rsid w:val="5DDD6575"/>
    <w:rsid w:val="5EE7063A"/>
    <w:rsid w:val="60616042"/>
    <w:rsid w:val="61FD2EF1"/>
    <w:rsid w:val="62607C18"/>
    <w:rsid w:val="64F63E59"/>
    <w:rsid w:val="67AC6770"/>
    <w:rsid w:val="690C4B43"/>
    <w:rsid w:val="6CA34AF5"/>
    <w:rsid w:val="6E836C6F"/>
    <w:rsid w:val="705D1997"/>
    <w:rsid w:val="705E4954"/>
    <w:rsid w:val="720859CD"/>
    <w:rsid w:val="72995EDF"/>
    <w:rsid w:val="73DA5F51"/>
    <w:rsid w:val="75035CA0"/>
    <w:rsid w:val="768333A4"/>
    <w:rsid w:val="770F0C3C"/>
    <w:rsid w:val="7D676939"/>
    <w:rsid w:val="7E2954C6"/>
    <w:rsid w:val="7E565184"/>
    <w:rsid w:val="7E79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subject"/>
    <w:basedOn w:val="4"/>
    <w:next w:val="4"/>
    <w:link w:val="30"/>
    <w:semiHidden/>
    <w:unhideWhenUsed/>
    <w:qFormat/>
    <w:uiPriority w:val="99"/>
    <w:rPr>
      <w:rFonts w:asciiTheme="minorHAnsi" w:hAnsiTheme="minorHAnsi" w:eastAsiaTheme="minorEastAsia" w:cstheme="minorBidi"/>
      <w:b/>
      <w:bCs/>
      <w:szCs w:val="22"/>
    </w:rPr>
  </w:style>
  <w:style w:type="paragraph" w:styleId="4">
    <w:name w:val="annotation text"/>
    <w:basedOn w:val="1"/>
    <w:link w:val="29"/>
    <w:semiHidden/>
    <w:unhideWhenUsed/>
    <w:qFormat/>
    <w:uiPriority w:val="99"/>
    <w:pPr>
      <w:jc w:val="left"/>
    </w:pPr>
    <w:rPr>
      <w:rFonts w:ascii="Times New Roman" w:hAnsi="Times New Roman" w:eastAsia="宋体" w:cs="Times New Roman"/>
      <w:szCs w:val="24"/>
    </w:rPr>
  </w:style>
  <w:style w:type="paragraph" w:styleId="5">
    <w:name w:val="Balloon Text"/>
    <w:basedOn w:val="1"/>
    <w:link w:val="19"/>
    <w:semiHidden/>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rFonts w:cs="Times New Roman"/>
      <w:b/>
      <w:bCs/>
    </w:rPr>
  </w:style>
  <w:style w:type="character" w:styleId="12">
    <w:name w:val="page number"/>
    <w:basedOn w:val="10"/>
    <w:qFormat/>
    <w:uiPriority w:val="0"/>
  </w:style>
  <w:style w:type="character" w:styleId="13">
    <w:name w:val="annotation reference"/>
    <w:basedOn w:val="10"/>
    <w:semiHidden/>
    <w:unhideWhenUsed/>
    <w:qFormat/>
    <w:uiPriority w:val="99"/>
    <w:rPr>
      <w:sz w:val="21"/>
      <w:szCs w:val="21"/>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0"/>
    <w:link w:val="7"/>
    <w:qFormat/>
    <w:uiPriority w:val="0"/>
    <w:rPr>
      <w:sz w:val="18"/>
      <w:szCs w:val="18"/>
    </w:rPr>
  </w:style>
  <w:style w:type="character" w:customStyle="1" w:styleId="17">
    <w:name w:val="页脚 Char"/>
    <w:basedOn w:val="10"/>
    <w:link w:val="6"/>
    <w:qFormat/>
    <w:uiPriority w:val="99"/>
    <w:rPr>
      <w:sz w:val="18"/>
      <w:szCs w:val="18"/>
    </w:rPr>
  </w:style>
  <w:style w:type="character" w:customStyle="1" w:styleId="18">
    <w:name w:val="正文文本缩进 3 Char"/>
    <w:link w:val="8"/>
    <w:qFormat/>
    <w:uiPriority w:val="0"/>
    <w:rPr>
      <w:rFonts w:eastAsia="仿宋_GB2312"/>
      <w:sz w:val="32"/>
      <w:szCs w:val="24"/>
    </w:rPr>
  </w:style>
  <w:style w:type="character" w:customStyle="1" w:styleId="19">
    <w:name w:val="批注框文本 Char"/>
    <w:link w:val="5"/>
    <w:semiHidden/>
    <w:qFormat/>
    <w:uiPriority w:val="0"/>
    <w:rPr>
      <w:sz w:val="18"/>
      <w:szCs w:val="18"/>
    </w:rPr>
  </w:style>
  <w:style w:type="character" w:customStyle="1" w:styleId="20">
    <w:name w:val="页眉 Char1"/>
    <w:basedOn w:val="10"/>
    <w:semiHidden/>
    <w:qFormat/>
    <w:uiPriority w:val="99"/>
    <w:rPr>
      <w:rFonts w:ascii="Times New Roman" w:hAnsi="Times New Roman" w:eastAsia="宋体" w:cs="Times New Roman"/>
      <w:sz w:val="18"/>
      <w:szCs w:val="18"/>
    </w:rPr>
  </w:style>
  <w:style w:type="character" w:customStyle="1" w:styleId="21">
    <w:name w:val="正文文本缩进 3 Char1"/>
    <w:basedOn w:val="10"/>
    <w:semiHidden/>
    <w:qFormat/>
    <w:uiPriority w:val="99"/>
    <w:rPr>
      <w:sz w:val="16"/>
      <w:szCs w:val="16"/>
    </w:rPr>
  </w:style>
  <w:style w:type="character" w:customStyle="1" w:styleId="22">
    <w:name w:val="页脚 Char1"/>
    <w:basedOn w:val="10"/>
    <w:semiHidden/>
    <w:qFormat/>
    <w:uiPriority w:val="99"/>
    <w:rPr>
      <w:rFonts w:ascii="Times New Roman" w:hAnsi="Times New Roman" w:eastAsia="宋体" w:cs="Times New Roman"/>
      <w:sz w:val="18"/>
      <w:szCs w:val="18"/>
    </w:rPr>
  </w:style>
  <w:style w:type="character" w:customStyle="1" w:styleId="23">
    <w:name w:val="批注框文本 Char1"/>
    <w:basedOn w:val="10"/>
    <w:semiHidden/>
    <w:qFormat/>
    <w:uiPriority w:val="99"/>
    <w:rPr>
      <w:sz w:val="18"/>
      <w:szCs w:val="18"/>
    </w:rPr>
  </w:style>
  <w:style w:type="paragraph" w:customStyle="1" w:styleId="24">
    <w:name w:val="普通(网站)3"/>
    <w:basedOn w:val="1"/>
    <w:qFormat/>
    <w:uiPriority w:val="0"/>
    <w:rPr>
      <w:rFonts w:ascii="Calibri" w:hAnsi="Calibri" w:eastAsia="宋体" w:cs="黑体"/>
      <w:sz w:val="24"/>
      <w:szCs w:val="24"/>
    </w:rPr>
  </w:style>
  <w:style w:type="paragraph" w:customStyle="1" w:styleId="25">
    <w:name w:val="普通(网站)2"/>
    <w:basedOn w:val="1"/>
    <w:qFormat/>
    <w:uiPriority w:val="0"/>
    <w:rPr>
      <w:rFonts w:ascii="Calibri" w:hAnsi="Calibri" w:eastAsia="宋体" w:cs="黑体"/>
      <w:sz w:val="24"/>
      <w:szCs w:val="24"/>
    </w:rPr>
  </w:style>
  <w:style w:type="paragraph" w:customStyle="1" w:styleId="26">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27">
    <w:name w:val="普通(网站)1"/>
    <w:basedOn w:val="1"/>
    <w:qFormat/>
    <w:uiPriority w:val="0"/>
    <w:rPr>
      <w:rFonts w:ascii="Calibri" w:hAnsi="Calibri" w:eastAsia="宋体" w:cs="黑体"/>
      <w:sz w:val="24"/>
      <w:szCs w:val="24"/>
    </w:rPr>
  </w:style>
  <w:style w:type="paragraph" w:styleId="28">
    <w:name w:val="List Paragraph"/>
    <w:basedOn w:val="1"/>
    <w:qFormat/>
    <w:uiPriority w:val="34"/>
    <w:pPr>
      <w:ind w:firstLine="420" w:firstLineChars="200"/>
    </w:pPr>
    <w:rPr>
      <w:rFonts w:ascii="Calibri" w:hAnsi="Calibri" w:eastAsia="宋体" w:cs="Times New Roman"/>
    </w:rPr>
  </w:style>
  <w:style w:type="character" w:customStyle="1" w:styleId="29">
    <w:name w:val="批注文字 Char"/>
    <w:basedOn w:val="10"/>
    <w:link w:val="4"/>
    <w:semiHidden/>
    <w:qFormat/>
    <w:uiPriority w:val="99"/>
    <w:rPr>
      <w:rFonts w:ascii="Times New Roman" w:hAnsi="Times New Roman" w:eastAsia="宋体" w:cs="Times New Roman"/>
      <w:szCs w:val="24"/>
    </w:rPr>
  </w:style>
  <w:style w:type="character" w:customStyle="1" w:styleId="30">
    <w:name w:val="批注主题 Char"/>
    <w:basedOn w:val="29"/>
    <w:link w:val="3"/>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1396</Words>
  <Characters>7960</Characters>
  <Lines>66</Lines>
  <Paragraphs>18</Paragraphs>
  <TotalTime>0</TotalTime>
  <ScaleCrop>false</ScaleCrop>
  <LinksUpToDate>false</LinksUpToDate>
  <CharactersWithSpaces>9338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2021-02-01T05:16:00Z</dcterms:created>
  <dc:creator>User</dc:creator>
  <cp:lastModifiedBy>Administrator</cp:lastModifiedBy>
  <dcterms:modified xsi:type="dcterms:W3CDTF">2021-02-07T08:12:52Z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