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w:t>
      </w:r>
    </w:p>
    <w:p/>
    <w:p/>
    <w:p/>
    <w:p/>
    <w:p>
      <w:pPr>
        <w:ind w:firstLine="440" w:firstLineChars="100"/>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昌吉市自然资源局2020年度部门决算</w:t>
      </w:r>
    </w:p>
    <w:p>
      <w:pPr>
        <w:ind w:firstLine="3080" w:firstLineChars="700"/>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公开说明</w:t>
      </w: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Pr>
        <w:ind w:firstLine="3080" w:firstLineChars="700"/>
        <w:rPr>
          <w:rFonts w:ascii="仿宋_GB2312" w:hAnsi="仿宋_GB2312" w:eastAsia="仿宋_GB2312" w:cs="仿宋_GB2312"/>
          <w:sz w:val="44"/>
          <w:szCs w:val="44"/>
        </w:rPr>
      </w:pPr>
    </w:p>
    <w:p/>
    <w:p>
      <w:pPr>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目  录</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第一部分 部门单位概况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二、机构设置及人员情况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第二部分 部门决算情况说明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一、收入支出决算总体情况说明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二、收入决算情况说明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三、支出决算情况说明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四、财政拨款收入支出决算总体情况说明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七、一般公共预算财政拨款“三公”经费支出决算情况说明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八、政府性基金预算收入支出决算情况说明</w:t>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十、其他重要事项的情况说明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（一）机关运行经费支出情况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（二）政府采购情况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（三）国有资产占用情况说明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十一、预算绩效的情况说明</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第四部分 部门决算报表（见附表）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七、《一般公共预算财政拨款“三公”经费支出决算表》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八、《政府性基金预算财政拨款收入支出决算表》</w:t>
      </w:r>
    </w:p>
    <w:p>
      <w:pPr>
        <w:pStyle w:val="6"/>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ind w:firstLine="2560" w:firstLineChars="800"/>
        <w:rPr>
          <w:rFonts w:ascii="黑体" w:hAnsi="黑体" w:eastAsia="黑体" w:cs="黑体"/>
          <w:sz w:val="32"/>
          <w:szCs w:val="32"/>
        </w:rPr>
      </w:pPr>
      <w:r>
        <w:rPr>
          <w:rFonts w:hint="eastAsia" w:ascii="黑体" w:hAnsi="黑体" w:eastAsia="黑体" w:cs="黑体"/>
          <w:sz w:val="32"/>
          <w:szCs w:val="32"/>
        </w:rPr>
        <w:t>第一部分 部门单位概况</w:t>
      </w:r>
    </w:p>
    <w:p>
      <w:pPr>
        <w:rPr>
          <w:rFonts w:ascii="黑体" w:hAnsi="黑体" w:eastAsia="黑体" w:cs="黑体"/>
          <w:sz w:val="32"/>
          <w:szCs w:val="32"/>
        </w:rPr>
      </w:pPr>
      <w:r>
        <w:rPr>
          <w:rFonts w:hint="eastAsia" w:ascii="黑体" w:hAnsi="黑体" w:eastAsia="黑体" w:cs="黑体"/>
          <w:sz w:val="32"/>
          <w:szCs w:val="32"/>
        </w:rPr>
        <w:t>一、主要职能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昌吉市自然资源局贯彻落实党中央关于自然资源工作的方针政策和决策部署，在履行职责过程中坚持和加强党对自然资源工作的集中统一领导。主要职责是：履行全民所有土地、矿产、森林、草原、湿地、荒漠、水、陆生野生动植物等自然资源资产所有者职责和所有国土空间用途管制职责;负责自然资源调查监测评价;负责自然资源统一确权登记工作;负责自然资源资产有偿使用工作;负责自然资源的合理开发利用。研究拟订昌吉市自然资源发展规划，按照自然资源开发利用标准组织实施，建立政府公示自然资源价格体系，组织开展自然资源分等定级价格评估，指导节约集约利用,负责自然资源市场监管;负责建立空间规划体系并监督实施。推进主体功能区战略和制度，组织编制并监督实施国土空间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负责土地等国土空间用途转用工作。负责土地征收征用管理。拟订林业和草原资源优化配置及木材利用规划，拟订相关林业产业地方规划发展体系建设并监督实施，组织、指导林产品质量监督，指导生态扶贫相关工作;组织编制城乡体系总体规划。参与风景名胜区规划编制工作。负责权限内选址意见书审批、上报工作；负责规划编制、实施、规划许可、行政执法等工作;负责统筹国土空间生态修复。牵头组织编制国土空间生态修复规划并实施有关生态修复重大工程。负责国土空间综合整治、土地整理复垦、矿山地质环境恢复治理等工作。牵头拟订和实施生态保护补偿制度，拟订合理利用社会资金进行生态修复的政策措施;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贯彻落实最严格的耕地保护制度;负责管理地质勘查工作;负责落实综合防灾减灾规划相关要求，负责行业安全生产相关工作，组织编制地质灾害防治规划。（十四）负责监督管理荒漠化防治工作；组织开展荒漠调查，研究制定防沙治沙及沙化土地封禁保护区建设规划、相关地方标准和技术规程并监督实施，监督管理沙化土地的开发利用，组织沙尘暴灾害预防预报和应急处置;负责矿产资源管理工作。负责矿产资源储量管理及压覆矿产资源审核。负责矿业权管理。监督指导全市矿产资源合理利用和保护;负责野生动植物资源监督管理；组织开展野生动植物资源调查，监督管理野生动植物救护繁育、栖息地恢复发展及野生动物疫源疫病监测、防控、应急处置。监督管理野生动植物猎捕或采集、驯养繁殖或培植、经营利用;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负责监督管理各类自然保护地。拟订各类自然保护地规划；负责自然保护区、风景名胜区、地质公园、森林公园等管理工作；负责直接行使所有权的自然保护地的自然资源资产管理和国土空间用途管制；提出新建、调整各类自治区级自然保护地的审核建议，组织审核世界自然遗产的申报，会同有关部门审核世界自然与文化双重遗产的申报；负责生物多样性保护相关工作;负责推进林业和草原改革相关工作；贯彻落实农村林业发展、维护林业经营者合法权益的政策措施，指导农村林地承包经营工作；开展退耕（牧）还林还草，负责天然林保护工作;负责测绘地理信息管理工作。负责基础测绘和测绘行业管理。负责测绘资质资格与信用管理，监督管理地理信息安全和市场秩序。负责地理信息公共服务管理。负责测量标志保护;推动自然资源领域科技发展。制定并实施自然资源领域科技创新发展和人才培养规划和计划。</w:t>
      </w:r>
    </w:p>
    <w:p>
      <w:pPr>
        <w:rPr>
          <w:rFonts w:ascii="黑体" w:hAnsi="黑体" w:eastAsia="黑体" w:cs="黑体"/>
          <w:sz w:val="32"/>
          <w:szCs w:val="32"/>
        </w:rPr>
      </w:pPr>
      <w:r>
        <w:rPr>
          <w:rFonts w:hint="eastAsia" w:ascii="黑体" w:hAnsi="黑体" w:eastAsia="黑体" w:cs="黑体"/>
          <w:sz w:val="32"/>
          <w:szCs w:val="32"/>
        </w:rPr>
        <w:t>二、机构设置及人员情况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昌吉市自然资源局2020年度，实有人数264人，其中：在职人员186人，离休人员0人，退休人员78人。</w:t>
      </w:r>
    </w:p>
    <w:p>
      <w:pPr>
        <w:spacing w:line="360" w:lineRule="auto"/>
        <w:ind w:firstLine="640" w:firstLineChars="200"/>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从部门决算单位构成看，昌吉自然资源局部门决算包括：昌吉市自然资源局决算。单位无下属预算单位，下设8个科室，分别是：党政办公室（法规科、财务科）、国土空间规划科、土地资源管理科、矿产资源管理科、国土空间生态修复科、城乡规划管理科、林业管理科、草原管理科。</w:t>
      </w:r>
    </w:p>
    <w:p>
      <w:pPr>
        <w:ind w:firstLine="1920" w:firstLineChars="600"/>
        <w:rPr>
          <w:rFonts w:ascii="黑体" w:hAnsi="黑体" w:eastAsia="黑体" w:cs="黑体"/>
          <w:sz w:val="32"/>
          <w:szCs w:val="32"/>
        </w:rPr>
      </w:pPr>
      <w:r>
        <w:rPr>
          <w:rFonts w:hint="eastAsia" w:ascii="黑体" w:hAnsi="黑体" w:eastAsia="黑体" w:cs="黑体"/>
          <w:sz w:val="32"/>
          <w:szCs w:val="32"/>
        </w:rPr>
        <w:t>第二部分 部门决算情况说明</w:t>
      </w:r>
    </w:p>
    <w:p>
      <w:pPr>
        <w:rPr>
          <w:rFonts w:ascii="黑体" w:hAnsi="黑体" w:eastAsia="黑体" w:cs="黑体"/>
          <w:sz w:val="32"/>
          <w:szCs w:val="32"/>
        </w:rPr>
      </w:pPr>
      <w:r>
        <w:rPr>
          <w:rFonts w:hint="eastAsia" w:ascii="黑体" w:hAnsi="黑体" w:eastAsia="黑体" w:cs="黑体"/>
          <w:sz w:val="32"/>
          <w:szCs w:val="32"/>
        </w:rPr>
        <w:t>一、收入支出决算总体情况说明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本年收入27979.63万元，与上年相比，增加5158.24万元，增长22.60 %，主要原因是：项目资金到位所产生的。本年支出28163.08万元，与上年相比，增加9058.74万元，增长47.42 %，主要原因是：一是上年结转项目加大支出的原因，二是本年项目资金支出的原因。</w:t>
      </w:r>
    </w:p>
    <w:p>
      <w:pPr>
        <w:rPr>
          <w:rFonts w:ascii="黑体" w:hAnsi="黑体" w:eastAsia="黑体" w:cs="黑体"/>
          <w:sz w:val="32"/>
          <w:szCs w:val="32"/>
        </w:rPr>
      </w:pPr>
      <w:r>
        <w:rPr>
          <w:rFonts w:hint="eastAsia" w:ascii="黑体" w:hAnsi="黑体" w:eastAsia="黑体" w:cs="黑体"/>
          <w:sz w:val="32"/>
          <w:szCs w:val="32"/>
        </w:rPr>
        <w:t>二、收入决算情况说明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2020年度本年收入27979.63万元，其中：财政拨款收入27979.63万元，占100%；上级补助收入0万元，占0 %；事业收入0万元，占0 %；经营收入0万元，占0 %；附属单位上缴收入0万元，占0 %；其他收入0万元，占0 %。</w:t>
      </w:r>
    </w:p>
    <w:p>
      <w:pPr>
        <w:rPr>
          <w:rFonts w:ascii="黑体" w:hAnsi="黑体" w:eastAsia="黑体" w:cs="黑体"/>
          <w:sz w:val="32"/>
          <w:szCs w:val="32"/>
        </w:rPr>
      </w:pPr>
      <w:r>
        <w:rPr>
          <w:rFonts w:hint="eastAsia" w:ascii="黑体" w:hAnsi="黑体" w:eastAsia="黑体" w:cs="黑体"/>
          <w:sz w:val="32"/>
          <w:szCs w:val="32"/>
        </w:rPr>
        <w:t>三、支出决算情况说明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2020年度本年支出28163.08万元，其中：基本支出2973.95万元，占10.56 %；项目支出25189.13万元，占89.44 %；上缴上级支出0万元，占0 %；经营支出0万元，占0 %；对附属单位补助支出0万元，占0 %。</w:t>
      </w:r>
    </w:p>
    <w:p>
      <w:pPr>
        <w:rPr>
          <w:rFonts w:ascii="黑体" w:hAnsi="黑体" w:eastAsia="黑体" w:cs="黑体"/>
          <w:sz w:val="32"/>
          <w:szCs w:val="32"/>
        </w:rPr>
      </w:pPr>
      <w:r>
        <w:rPr>
          <w:rFonts w:hint="eastAsia" w:ascii="黑体" w:hAnsi="黑体" w:eastAsia="黑体" w:cs="黑体"/>
          <w:sz w:val="32"/>
          <w:szCs w:val="32"/>
        </w:rPr>
        <w:t>四、财政拨款收入支出决算总体情况说明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财政拨款收入27979.63万元，与上年相比，增加5158.24万元，增长22.60 %。主要原因是：本年项目资金增加的原因。财政拨款支出28163.08万元，与上年相比，增加9060.74万元，增长47.43 %，主要原因是：一是上年结转项目加大支出的原因，二是本年项目资金支出的原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年初预算数相比情况：财政拨款收入年初预算数2617.14万元，决算数27979.63万元，预决算差异率969.09 %，主要原因是：年初预算时只是预算基本支出经费，决算数中支出包括年中和年末追加的项目资金。财政拨款支出年初预算数2617.14万元，决算数28163.08万元，预决算差异率976.10 %，主要原因是：一是上年结转项目资金加大了支出，二是本年项目资金及基本支出的原因，所以产生了较大差异率。</w:t>
      </w:r>
    </w:p>
    <w:p>
      <w:pPr>
        <w:rPr>
          <w:rFonts w:ascii="黑体" w:hAnsi="黑体" w:eastAsia="黑体" w:cs="黑体"/>
          <w:sz w:val="32"/>
          <w:szCs w:val="32"/>
        </w:rPr>
      </w:pPr>
      <w:r>
        <w:rPr>
          <w:rFonts w:hint="eastAsia" w:ascii="黑体" w:hAnsi="黑体" w:eastAsia="黑体" w:cs="黑体"/>
          <w:sz w:val="32"/>
          <w:szCs w:val="32"/>
        </w:rPr>
        <w:t>五、一般公共预算财政拨款支出决算情况说明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一般公共预算财政拨款支出10516.71万元。按功能分类科目项级科目公开，其中：2080505机关事业单位基本养老保险缴费支出233.88万元；2080506机关事业单位职业年金缴费支出49.01万元；2110499其他自然生态保护支出440.79万元；2110602退耕现金1184.43万元；2110699其他退耕还林还草支出2517.24万元；2110804退牧还草工程建设262.74万元；2130199其他农业农村支出1331.80万元；2130205森林培育508万元；2130209森林生态效益补偿488.31万元；2130227贷款贴息7.9万元；2130234林业草原防灾减灾34.40万元；2130299其他林业和草原支出129万元；2200101行政运行2691.05万元；2200199其他自然资源事务支出537.16万元；2299901其他支出101万元；</w:t>
      </w:r>
    </w:p>
    <w:p>
      <w:pPr>
        <w:rPr>
          <w:rFonts w:ascii="仿宋_GB2312" w:hAnsi="仿宋_GB2312" w:eastAsia="仿宋_GB2312" w:cs="仿宋_GB2312"/>
          <w:sz w:val="32"/>
          <w:szCs w:val="32"/>
        </w:rPr>
      </w:pPr>
      <w:r>
        <w:rPr>
          <w:rFonts w:hint="eastAsia" w:ascii="黑体" w:hAnsi="黑体" w:eastAsia="黑体" w:cs="黑体"/>
          <w:sz w:val="32"/>
          <w:szCs w:val="32"/>
        </w:rPr>
        <w:t>六、一般公共预算财政拨款基本支出决算情况说明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2020年度一般公共预算财政拨款基本支出2973.94万元，其中：</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2858.78万元，包括：基本工资、津贴补贴、奖金、机关事业单位基本养老保险缴费、职业年金缴费、职工基本医疗保险缴费、公务员医疗补助缴费、其他社会保障缴费、住房公积金、其他工资福利支出、退休费、抚恤金、生活补助、其他对个人和家庭的补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公用经费115.16万元，包括：办公费、印刷费、手续费、电费、邮电费、取暖费、差旅费、维修（护）费、租赁费、培训费、专用材料费、劳务费、委托业务费、公务用车运行维护费、其他商品和服务支出。</w:t>
      </w:r>
    </w:p>
    <w:p>
      <w:pPr>
        <w:rPr>
          <w:rFonts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一般公共预算“三公”经费支出决算44.20万元，比上年增加3.47万元，增长8.52 %，主要原因是2019年预算公车数量为16辆，2020年预算公车数量为17辆，而且车辆运行费经费有所增加的原因。其中，因公出国（境）费支出0 万元，占0 %，比上年增加0万元，增长0 %，主要原因是与上年数据持平，无变化；公务用车购置及运行维护费支出44.20万元，占100 %，比上年增加3.47万元，增长8.52%，主要原因是预算公车运行车辆增加的原因；公务接待费支出0万元，占0 %，比上年增加0万元，增长0 %，主要原因是与上年数据一致，无变化。具体情况如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因公出国（境）费支出0万元，开支内容包括：因公出国（境）费无开支。单位全年安排的因公出国（境）团组0个，因公出国（境）0人次。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公务用车购置及运行维护费44.20万元，其中，公务用车购置费0万元，公务用车运行维护费44.20万元。公务用车运行维护费开支内容包括车辆燃油费及车辆修理费。公务用车购置数0辆，公务用车保有量17辆。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公务接待费0万元，开支内容包括公务接待费无开支。单位全年安排的国内公务接待0批次，0人次。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年初预算数相比情况：一般公共预算“三公”经费支出年初预算数44.2万元，年末决算数44.2万元，预决算差异率0 %，主要原因是：公车运行费的开支严格按照年初预算数执行的原因。其中：因公出国（境）费预算数0万元，决算数0万元，预决算差异率0 %，主要原因是：</w:t>
      </w:r>
      <w:r>
        <w:rPr>
          <w:rFonts w:hint="eastAsia" w:ascii="仿宋_GB2312" w:hAnsi="仿宋_GB2312" w:eastAsia="仿宋_GB2312" w:cs="仿宋_GB2312"/>
          <w:sz w:val="32"/>
          <w:szCs w:val="32"/>
          <w:lang w:eastAsia="zh-CN"/>
        </w:rPr>
        <w:t>与预算数保持一致</w:t>
      </w:r>
      <w:r>
        <w:rPr>
          <w:rFonts w:hint="eastAsia" w:ascii="仿宋_GB2312" w:hAnsi="仿宋_GB2312" w:eastAsia="仿宋_GB2312" w:cs="仿宋_GB2312"/>
          <w:sz w:val="32"/>
          <w:szCs w:val="32"/>
        </w:rPr>
        <w:t>；公务用车购置费预算数0万元，决算数0万元，预决算差异率0 %，主要原因是：</w:t>
      </w:r>
      <w:r>
        <w:rPr>
          <w:rFonts w:hint="eastAsia" w:ascii="仿宋_GB2312" w:hAnsi="仿宋_GB2312" w:eastAsia="仿宋_GB2312" w:cs="仿宋_GB2312"/>
          <w:sz w:val="32"/>
          <w:szCs w:val="32"/>
          <w:lang w:eastAsia="zh-CN"/>
        </w:rPr>
        <w:t>因年初未安排公务用车购置费预算，所以与预算数保持一致</w:t>
      </w:r>
      <w:r>
        <w:rPr>
          <w:rFonts w:hint="eastAsia" w:ascii="仿宋_GB2312" w:hAnsi="仿宋_GB2312" w:eastAsia="仿宋_GB2312" w:cs="仿宋_GB2312"/>
          <w:sz w:val="32"/>
          <w:szCs w:val="32"/>
        </w:rPr>
        <w:t>；公务用车运行费预算数44.20万元，决算数44.20万元，预决算差异率0 %，主要原因是：公车运行费的开支严格按照年初预算数执行的原因；公务接待费预算数0万元，决算数0万元，预决算差异率0 %，主要原因是：无公务接待开支。</w:t>
      </w:r>
    </w:p>
    <w:p>
      <w:pPr>
        <w:rPr>
          <w:rFonts w:ascii="仿宋_GB2312" w:hAnsi="仿宋_GB2312" w:eastAsia="仿宋_GB2312" w:cs="仿宋_GB2312"/>
          <w:sz w:val="32"/>
          <w:szCs w:val="32"/>
        </w:rPr>
      </w:pPr>
      <w:r>
        <w:rPr>
          <w:rFonts w:hint="eastAsia" w:ascii="黑体" w:hAnsi="黑体" w:eastAsia="黑体" w:cs="黑体"/>
          <w:sz w:val="32"/>
          <w:szCs w:val="32"/>
        </w:rPr>
        <w:t>八、政府性基金预算收入支出决算情况说明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政府性基金预算财政拨款收入17646.37万元，与上年相比，增加3607.88万元，增长25.70 %，主要原因是：财政预算安排征地和拆迁补偿收入13863.69万元及其他地方自行试点项目收益专项债券收入安排的支出3782.68万元。政府性基金预算支出17646.37万元。与上年相比，增加3607.88万元，增长25.70 %，主要原因是：用于缴纳昌吉市耕地占用税及昌吉市现代畜牧产业园项目支出。</w:t>
      </w:r>
    </w:p>
    <w:p>
      <w:pPr>
        <w:numPr>
          <w:ilvl w:val="0"/>
          <w:numId w:val="1"/>
        </w:numPr>
        <w:rPr>
          <w:rFonts w:ascii="黑体" w:hAnsi="黑体" w:eastAsia="黑体" w:cs="黑体"/>
          <w:sz w:val="32"/>
          <w:szCs w:val="32"/>
        </w:rPr>
      </w:pPr>
      <w:r>
        <w:rPr>
          <w:rFonts w:hint="eastAsia" w:ascii="黑体" w:hAnsi="黑体" w:eastAsia="黑体" w:cs="黑体"/>
          <w:sz w:val="32"/>
          <w:szCs w:val="32"/>
        </w:rPr>
        <w:t>国有资本经营预算财政拨款收入支出决算情况说明</w:t>
      </w:r>
    </w:p>
    <w:p>
      <w:pPr>
        <w:rPr>
          <w:rFonts w:ascii="仿宋" w:hAnsi="仿宋" w:eastAsia="仿宋" w:cs="仿宋"/>
          <w:sz w:val="32"/>
          <w:szCs w:val="32"/>
        </w:rPr>
      </w:pPr>
      <w:r>
        <w:rPr>
          <w:rFonts w:hint="eastAsia" w:ascii="黑体" w:hAnsi="黑体" w:eastAsia="黑体" w:cs="黑体"/>
          <w:sz w:val="32"/>
          <w:szCs w:val="32"/>
        </w:rPr>
        <w:t xml:space="preserve">    </w:t>
      </w:r>
      <w:r>
        <w:rPr>
          <w:rFonts w:hint="eastAsia" w:ascii="仿宋" w:hAnsi="仿宋" w:eastAsia="仿宋" w:cs="仿宋"/>
          <w:sz w:val="32"/>
          <w:szCs w:val="32"/>
        </w:rPr>
        <w:t>我单位本年度无国有资本经营预算财政拨款收入支出，国有资本经营预算财政拨款收入支出决算表为空表。</w:t>
      </w:r>
    </w:p>
    <w:p>
      <w:pPr>
        <w:numPr>
          <w:ilvl w:val="0"/>
          <w:numId w:val="1"/>
        </w:numPr>
        <w:rPr>
          <w:rFonts w:ascii="黑体" w:hAnsi="黑体" w:eastAsia="黑体" w:cs="黑体"/>
          <w:sz w:val="32"/>
          <w:szCs w:val="32"/>
        </w:rPr>
      </w:pPr>
      <w:r>
        <w:rPr>
          <w:rFonts w:hint="eastAsia" w:ascii="黑体" w:hAnsi="黑体" w:eastAsia="黑体" w:cs="黑体"/>
          <w:sz w:val="32"/>
          <w:szCs w:val="32"/>
        </w:rPr>
        <w:t>其他重要事项的情况说明</w:t>
      </w:r>
    </w:p>
    <w:p>
      <w:pPr>
        <w:rPr>
          <w:rFonts w:ascii="黑体" w:hAnsi="黑体" w:eastAsia="黑体" w:cs="黑体"/>
          <w:sz w:val="32"/>
          <w:szCs w:val="32"/>
        </w:rPr>
      </w:pPr>
      <w:r>
        <w:rPr>
          <w:rFonts w:hint="eastAsia" w:ascii="黑体" w:hAnsi="黑体" w:eastAsia="黑体" w:cs="黑体"/>
          <w:sz w:val="32"/>
          <w:szCs w:val="32"/>
        </w:rPr>
        <w:t>（一）机关运行经费支出情况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2020年度昌吉市自然资源局机关运行经费支出115.16万元，比上年减少83.82万元，降低42.12 %，主要原因是为节约开支，压缩了单位机关运行经费的支出。</w:t>
      </w:r>
    </w:p>
    <w:p>
      <w:pPr>
        <w:rPr>
          <w:rFonts w:ascii="黑体" w:hAnsi="黑体" w:eastAsia="黑体" w:cs="黑体"/>
          <w:sz w:val="32"/>
          <w:szCs w:val="32"/>
        </w:rPr>
      </w:pPr>
      <w:r>
        <w:rPr>
          <w:rFonts w:hint="eastAsia" w:ascii="黑体" w:hAnsi="黑体" w:eastAsia="黑体" w:cs="黑体"/>
          <w:sz w:val="32"/>
          <w:szCs w:val="32"/>
        </w:rPr>
        <w:t>（二）政府采购情况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2019年度政府采购支出总额60.97万元，其中：政府采购货物支出0万元、政府采购工程支出0万元、政府采购服务支出60.97万元。</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授予中小企业合同金额42.53万元，占政府采购支出总额的69.76 %，其中：授予小微企业合同金额15.49万元，占政府采购支出总额的25.41 %。</w:t>
      </w:r>
    </w:p>
    <w:p>
      <w:pPr>
        <w:rPr>
          <w:rFonts w:ascii="黑体" w:hAnsi="黑体" w:eastAsia="黑体" w:cs="黑体"/>
          <w:sz w:val="32"/>
          <w:szCs w:val="32"/>
        </w:rPr>
      </w:pPr>
      <w:r>
        <w:rPr>
          <w:rFonts w:hint="eastAsia" w:ascii="黑体" w:hAnsi="黑体" w:eastAsia="黑体" w:cs="黑体"/>
          <w:sz w:val="32"/>
          <w:szCs w:val="32"/>
        </w:rPr>
        <w:t>（三）国有资产占用情况说明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止2020年12月31日，单位共有房屋2299（平方米），价值447.27万元。车辆18辆，价值302.39万元，其中：副部（省）级及以上领导用车0辆、主要领导干部用车0辆、机要通信用车0辆、应急保障用车0辆、执法执勤用车0辆、特种专业技术用车0辆、离退休干部用车0辆、其他用车18辆，其他用车主要是：单位公务轿车；单位价值50万元以上通用设备0台（套）、单位价值100万元以上专用设备0台（套）。</w:t>
      </w:r>
    </w:p>
    <w:p>
      <w:pPr>
        <w:rPr>
          <w:rFonts w:ascii="黑体" w:hAnsi="黑体" w:eastAsia="黑体" w:cs="黑体"/>
          <w:sz w:val="32"/>
          <w:szCs w:val="32"/>
        </w:rPr>
      </w:pPr>
      <w:r>
        <w:rPr>
          <w:rFonts w:hint="eastAsia" w:ascii="黑体" w:hAnsi="黑体" w:eastAsia="黑体" w:cs="黑体"/>
          <w:sz w:val="32"/>
          <w:szCs w:val="32"/>
        </w:rPr>
        <w:t>十一、预算绩效的情况说明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根据预算绩效管理要求，我单位2020年度开展预算绩效评价项目34个，共涉及资金</w:t>
      </w:r>
      <w:r>
        <w:rPr>
          <w:rFonts w:hint="eastAsia" w:ascii="仿宋_GB2312" w:hAnsi="仿宋_GB2312" w:eastAsia="仿宋_GB2312" w:cs="仿宋_GB2312"/>
          <w:sz w:val="32"/>
          <w:szCs w:val="32"/>
          <w:lang w:val="en-US" w:eastAsia="zh-CN"/>
        </w:rPr>
        <w:t>27333.79</w:t>
      </w:r>
      <w:r>
        <w:rPr>
          <w:rFonts w:hint="eastAsia" w:ascii="仿宋_GB2312" w:hAnsi="仿宋_GB2312" w:eastAsia="仿宋_GB2312" w:cs="仿宋_GB2312"/>
          <w:sz w:val="32"/>
          <w:szCs w:val="32"/>
        </w:rPr>
        <w:t>万元。预算绩效管理取得的成效：一是通过预算绩效管理，</w:t>
      </w:r>
      <w:bookmarkStart w:id="0" w:name="_GoBack"/>
      <w:bookmarkEnd w:id="0"/>
      <w:r>
        <w:rPr>
          <w:rFonts w:hint="eastAsia" w:ascii="仿宋_GB2312" w:hAnsi="仿宋_GB2312" w:eastAsia="仿宋_GB2312" w:cs="仿宋_GB2312"/>
          <w:sz w:val="32"/>
          <w:szCs w:val="32"/>
        </w:rPr>
        <w:t>真正实现资金使用效率最大化，预算绩效管理最优化，为单位各项经济业务打下良好的基础；二是对重大财政资金进行决策提供重要保障，提高预算资金的使用效率具有重要作用。发现的问题及原因：一是预算绩效管理思想意识薄弱，管理人员思想认识不到位；二是预算绩效管理执行缺乏考核。下一步改进措施：一是增强全员预算绩效管理意识，合理规划好预算资金；二是严格预算绩效管理执行约束力，完善预算绩效管理监督机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具体项目自评情况附项目支出绩效自评表。</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widowControl/>
        <w:jc w:val="left"/>
        <w:textAlignment w:val="center"/>
        <w:rPr>
          <w:rFonts w:ascii="宋体" w:hAnsi="宋体" w:cs="宋体"/>
          <w:color w:val="000000"/>
          <w:kern w:val="0"/>
          <w:sz w:val="22"/>
          <w:szCs w:val="22"/>
          <w:lang w:bidi="ar"/>
        </w:rPr>
      </w:pPr>
    </w:p>
    <w:p/>
    <w:p/>
    <w:p/>
    <w:p/>
    <w:p/>
    <w:tbl>
      <w:tblPr>
        <w:tblStyle w:val="9"/>
        <w:tblpPr w:leftFromText="180" w:rightFromText="180" w:vertAnchor="text" w:horzAnchor="page" w:tblpX="1702" w:tblpY="202"/>
        <w:tblOverlap w:val="never"/>
        <w:tblW w:w="9274" w:type="dxa"/>
        <w:tblInd w:w="0" w:type="dxa"/>
        <w:tblLayout w:type="fixed"/>
        <w:tblCellMar>
          <w:top w:w="0" w:type="dxa"/>
          <w:left w:w="0" w:type="dxa"/>
          <w:bottom w:w="0" w:type="dxa"/>
          <w:right w:w="0" w:type="dxa"/>
        </w:tblCellMar>
      </w:tblPr>
      <w:tblGrid>
        <w:gridCol w:w="393"/>
        <w:gridCol w:w="127"/>
        <w:gridCol w:w="258"/>
        <w:gridCol w:w="160"/>
        <w:gridCol w:w="697"/>
        <w:gridCol w:w="416"/>
        <w:gridCol w:w="299"/>
        <w:gridCol w:w="56"/>
        <w:gridCol w:w="475"/>
        <w:gridCol w:w="416"/>
        <w:gridCol w:w="173"/>
        <w:gridCol w:w="646"/>
        <w:gridCol w:w="346"/>
        <w:gridCol w:w="704"/>
        <w:gridCol w:w="381"/>
        <w:gridCol w:w="540"/>
        <w:gridCol w:w="25"/>
        <w:gridCol w:w="115"/>
        <w:gridCol w:w="808"/>
        <w:gridCol w:w="69"/>
        <w:gridCol w:w="693"/>
        <w:gridCol w:w="1407"/>
        <w:gridCol w:w="70"/>
      </w:tblGrid>
      <w:tr>
        <w:tblPrEx>
          <w:tblLayout w:type="fixed"/>
          <w:tblCellMar>
            <w:top w:w="0" w:type="dxa"/>
            <w:left w:w="0" w:type="dxa"/>
            <w:bottom w:w="0" w:type="dxa"/>
            <w:right w:w="0" w:type="dxa"/>
          </w:tblCellMar>
        </w:tblPrEx>
        <w:trPr>
          <w:gridAfter w:val="1"/>
          <w:wAfter w:w="70" w:type="dxa"/>
          <w:trHeight w:val="342" w:hRule="atLeast"/>
        </w:trPr>
        <w:tc>
          <w:tcPr>
            <w:tcW w:w="9204" w:type="dxa"/>
            <w:gridSpan w:val="2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gridAfter w:val="1"/>
          <w:wAfter w:w="70" w:type="dxa"/>
          <w:trHeight w:val="405" w:hRule="atLeast"/>
        </w:trPr>
        <w:tc>
          <w:tcPr>
            <w:tcW w:w="9204" w:type="dxa"/>
            <w:gridSpan w:val="2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426"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2018-2019年新增建设用地耕地占用税</w:t>
            </w: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8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65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2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gridAfter w:val="1"/>
          <w:wAfter w:w="70" w:type="dxa"/>
          <w:trHeight w:val="346" w:hRule="atLeast"/>
        </w:trPr>
        <w:tc>
          <w:tcPr>
            <w:tcW w:w="7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70" w:type="dxa"/>
          <w:trHeight w:val="319" w:hRule="atLeast"/>
        </w:trPr>
        <w:tc>
          <w:tcPr>
            <w:tcW w:w="7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8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70" w:type="dxa"/>
          <w:trHeight w:val="319" w:hRule="atLeast"/>
        </w:trPr>
        <w:tc>
          <w:tcPr>
            <w:tcW w:w="3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6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74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gridAfter w:val="1"/>
          <w:wAfter w:w="70" w:type="dxa"/>
          <w:trHeight w:val="567" w:hRule="atLeast"/>
        </w:trPr>
        <w:tc>
          <w:tcPr>
            <w:tcW w:w="3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6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完成2018年、2019年建设用地报批，涉及缴纳耕地占用税总金额7860.549万元。</w:t>
            </w:r>
          </w:p>
        </w:tc>
        <w:tc>
          <w:tcPr>
            <w:tcW w:w="474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已完成2018年、2019年建设用地报批，已缴纳涉及耕地占用税总金额7860.549万元。</w:t>
            </w:r>
          </w:p>
        </w:tc>
      </w:tr>
      <w:tr>
        <w:tblPrEx>
          <w:tblLayout w:type="fixed"/>
          <w:tblCellMar>
            <w:top w:w="0" w:type="dxa"/>
            <w:left w:w="0" w:type="dxa"/>
            <w:bottom w:w="0" w:type="dxa"/>
            <w:right w:w="0" w:type="dxa"/>
          </w:tblCellMar>
        </w:tblPrEx>
        <w:trPr>
          <w:gridAfter w:val="1"/>
          <w:wAfter w:w="70" w:type="dxa"/>
          <w:trHeight w:val="319" w:hRule="atLeast"/>
        </w:trPr>
        <w:tc>
          <w:tcPr>
            <w:tcW w:w="39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8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6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01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21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gridAfter w:val="1"/>
          <w:wAfter w:w="70" w:type="dxa"/>
          <w:trHeight w:val="764"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6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580"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2018-2019年项目占用耕地面积</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5291.5215亩</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5291.5215亩</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495"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完成昌吉市2018年建设用地报批</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477"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完成昌吉市2019年建设用地报批</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431"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500"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交纳耕地占用税</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7860.55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848"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促进合理利用土地资源，加强土地管理，保护农用耕地</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有效促进</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有效促进</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679"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持续恢复生态，加大生态保护力度</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940"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满足城市建设、居住环境、商业、工业结构优化</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有效满足</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有效满足</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90" w:hRule="atLeast"/>
        </w:trPr>
        <w:tc>
          <w:tcPr>
            <w:tcW w:w="39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85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11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70" w:type="dxa"/>
          <w:trHeight w:val="171" w:hRule="atLeast"/>
        </w:trPr>
        <w:tc>
          <w:tcPr>
            <w:tcW w:w="5547"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01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05" w:hRule="atLeast"/>
        </w:trPr>
        <w:tc>
          <w:tcPr>
            <w:tcW w:w="9274" w:type="dxa"/>
            <w:gridSpan w:val="2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274" w:type="dxa"/>
            <w:gridSpan w:val="2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3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336" w:type="dxa"/>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追加自然资源局林业用水水费</w:t>
            </w:r>
          </w:p>
        </w:tc>
      </w:tr>
      <w:tr>
        <w:tblPrEx>
          <w:tblLayout w:type="fixed"/>
          <w:tblCellMar>
            <w:top w:w="0" w:type="dxa"/>
            <w:left w:w="0" w:type="dxa"/>
            <w:bottom w:w="0" w:type="dxa"/>
            <w:right w:w="0" w:type="dxa"/>
          </w:tblCellMar>
        </w:tblPrEx>
        <w:trPr>
          <w:trHeight w:val="341" w:hRule="atLeast"/>
        </w:trPr>
        <w:tc>
          <w:tcPr>
            <w:tcW w:w="93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22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16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cs="宋体"/>
                <w:color w:val="000000"/>
                <w:sz w:val="18"/>
                <w:szCs w:val="18"/>
              </w:rPr>
              <w:t>昌吉市自然资源局</w:t>
            </w:r>
          </w:p>
        </w:tc>
      </w:tr>
      <w:tr>
        <w:tblPrEx>
          <w:tblLayout w:type="fixed"/>
          <w:tblCellMar>
            <w:top w:w="0" w:type="dxa"/>
            <w:left w:w="0" w:type="dxa"/>
            <w:bottom w:w="0" w:type="dxa"/>
            <w:right w:w="0" w:type="dxa"/>
          </w:tblCellMar>
        </w:tblPrEx>
        <w:trPr>
          <w:trHeight w:val="537" w:hRule="atLeast"/>
        </w:trPr>
        <w:tc>
          <w:tcPr>
            <w:tcW w:w="93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6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16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560" w:hRule="atLeast"/>
        </w:trPr>
        <w:tc>
          <w:tcPr>
            <w:tcW w:w="9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16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3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646"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08"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282" w:hRule="atLeast"/>
        </w:trPr>
        <w:tc>
          <w:tcPr>
            <w:tcW w:w="5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646"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工滩管护林地共计4090亩，三工路管护林地面积共计600亩，三屯河管护林地共计2784亩，树种为红叶海棠、白腊、榆树等，生态林建设和管护是以创造环境效益和社会效益为主的公益性工程，不仅对保护环境，增强人民群众生活满意度和空气净化有着重要作用，而且还提供管护岗位带动就业人数，提高了居民的生活质量。</w:t>
            </w:r>
          </w:p>
        </w:tc>
        <w:tc>
          <w:tcPr>
            <w:tcW w:w="4108"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已完成资金支付工作，用于三工滩管护林地、三工路管护林地、三屯河管护林地的水费。</w:t>
            </w:r>
          </w:p>
        </w:tc>
      </w:tr>
      <w:tr>
        <w:tblPrEx>
          <w:tblLayout w:type="fixed"/>
          <w:tblCellMar>
            <w:top w:w="0" w:type="dxa"/>
            <w:left w:w="0" w:type="dxa"/>
            <w:bottom w:w="0" w:type="dxa"/>
            <w:right w:w="0" w:type="dxa"/>
          </w:tblCellMar>
        </w:tblPrEx>
        <w:trPr>
          <w:trHeight w:val="319" w:hRule="atLeast"/>
        </w:trPr>
        <w:tc>
          <w:tcPr>
            <w:tcW w:w="520"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4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76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4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699"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6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39"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管护所数量</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1处</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1处</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8"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用水时限</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76"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林业用水费用</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38.16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01"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是否带动当地就业</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20"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加快推进林业发展（是否）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提高绿化面积（是否）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32"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持续发挥生态作用显著</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06" w:hRule="atLeast"/>
        </w:trPr>
        <w:tc>
          <w:tcPr>
            <w:tcW w:w="52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12"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当地居民满意度</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106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76" w:hRule="atLeast"/>
        </w:trPr>
        <w:tc>
          <w:tcPr>
            <w:tcW w:w="6227"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tbl>
      <w:tblPr>
        <w:tblStyle w:val="9"/>
        <w:tblpPr w:leftFromText="180" w:rightFromText="180" w:vertAnchor="text" w:horzAnchor="page" w:tblpX="1716" w:tblpY="198"/>
        <w:tblOverlap w:val="never"/>
        <w:tblW w:w="8731" w:type="dxa"/>
        <w:tblInd w:w="0" w:type="dxa"/>
        <w:tblLayout w:type="fixed"/>
        <w:tblCellMar>
          <w:top w:w="0" w:type="dxa"/>
          <w:left w:w="0" w:type="dxa"/>
          <w:bottom w:w="0" w:type="dxa"/>
          <w:right w:w="0" w:type="dxa"/>
        </w:tblCellMar>
      </w:tblPr>
      <w:tblGrid>
        <w:gridCol w:w="526"/>
        <w:gridCol w:w="423"/>
        <w:gridCol w:w="1344"/>
        <w:gridCol w:w="139"/>
        <w:gridCol w:w="1003"/>
        <w:gridCol w:w="681"/>
        <w:gridCol w:w="1165"/>
        <w:gridCol w:w="623"/>
        <w:gridCol w:w="231"/>
        <w:gridCol w:w="462"/>
        <w:gridCol w:w="620"/>
        <w:gridCol w:w="164"/>
        <w:gridCol w:w="1350"/>
      </w:tblGrid>
      <w:tr>
        <w:tblPrEx>
          <w:tblLayout w:type="fixed"/>
          <w:tblCellMar>
            <w:top w:w="0" w:type="dxa"/>
            <w:left w:w="0" w:type="dxa"/>
            <w:bottom w:w="0" w:type="dxa"/>
            <w:right w:w="0" w:type="dxa"/>
          </w:tblCellMar>
        </w:tblPrEx>
        <w:trPr>
          <w:trHeight w:val="405" w:hRule="atLeast"/>
        </w:trPr>
        <w:tc>
          <w:tcPr>
            <w:tcW w:w="8731" w:type="dxa"/>
            <w:gridSpan w:val="1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31" w:type="dxa"/>
            <w:gridSpan w:val="1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78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2020年自治区第五批地方政府债券转贷资金-昌吉市现代畜牧产业园项目</w:t>
            </w:r>
          </w:p>
        </w:tc>
      </w:tr>
      <w:tr>
        <w:tblPrEx>
          <w:tblLayout w:type="fixed"/>
          <w:tblCellMar>
            <w:top w:w="0" w:type="dxa"/>
            <w:left w:w="0" w:type="dxa"/>
            <w:bottom w:w="0" w:type="dxa"/>
            <w:right w:w="0" w:type="dxa"/>
          </w:tblCellMar>
        </w:tblPrEx>
        <w:trPr>
          <w:trHeight w:val="324" w:hRule="atLeast"/>
        </w:trPr>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3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59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520" w:hRule="atLeast"/>
        </w:trPr>
        <w:tc>
          <w:tcPr>
            <w:tcW w:w="9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4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3782.68</w:t>
            </w:r>
          </w:p>
        </w:tc>
        <w:tc>
          <w:tcPr>
            <w:tcW w:w="4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479" w:hRule="atLeast"/>
        </w:trPr>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45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400" w:hRule="atLeast"/>
        </w:trPr>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5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以优特农畜产品为主导，促进农业供给侧结构性改革提质增效，创建农民持续增收，牧民定居可持续发展的长效机制，提高资源利用效率和生态环境保护，促进特色产业与首府生态经济圈同步发展，与脱贫攻坚有效衔接，将昌吉市现代畜牧产业园打造成产业高质量发展先行区，乌昌绿色生态发展核心区，昌吉牧民定居可持续发展样板区和新疆区域高档畜产品集约化和规模化生产示范区。</w:t>
            </w:r>
          </w:p>
        </w:tc>
        <w:tc>
          <w:tcPr>
            <w:tcW w:w="345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证以优特农畜产品为主导，促进农业供给侧结构性改革提质增效，创建农民持续增收，牧民定居可持续发展的长效机制，提高资源利用效率和生态环境保护，促进特色产业与首府生态经济圈同步发展，与脱贫攻坚有效衔接，将昌吉市现代畜牧产业园打造成产业高质量发展先行区，乌昌绿色生态发展核心区，昌吉牧民定居可持续发展样板区和新疆区域高档畜产品集约化和规模化生产示范区。</w:t>
            </w:r>
          </w:p>
        </w:tc>
      </w:tr>
      <w:tr>
        <w:tblPrEx>
          <w:tblLayout w:type="fixed"/>
          <w:tblCellMar>
            <w:top w:w="0" w:type="dxa"/>
            <w:left w:w="0" w:type="dxa"/>
            <w:bottom w:w="0" w:type="dxa"/>
            <w:right w:w="0" w:type="dxa"/>
          </w:tblCellMar>
        </w:tblPrEx>
        <w:trPr>
          <w:trHeight w:val="404" w:hRule="atLeast"/>
        </w:trPr>
        <w:tc>
          <w:tcPr>
            <w:tcW w:w="52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90"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3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草场补偿费面积</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61972亩</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28"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植被恢复费面积</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177亩</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27"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项目验收合格率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已验收</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6"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建设期限</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1年</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未完成</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08"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草原补偿费标准</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540.00元/亩</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森林植被恢复费标准</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1500.00元/亩</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97"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3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是否提高资源利用效率和生态环境保护</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有一定效果</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有一定效果</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31"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持续发挥生态作用显著</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2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牧民满意度</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9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
    <w:p/>
    <w:p>
      <w:pPr>
        <w:rPr>
          <w:sz w:val="18"/>
          <w:szCs w:val="18"/>
        </w:rPr>
      </w:pPr>
    </w:p>
    <w:p>
      <w:pPr>
        <w:rPr>
          <w:sz w:val="18"/>
          <w:szCs w:val="18"/>
        </w:rPr>
      </w:pPr>
    </w:p>
    <w:p>
      <w:pPr>
        <w:rPr>
          <w:sz w:val="18"/>
          <w:szCs w:val="18"/>
        </w:rPr>
      </w:pPr>
    </w:p>
    <w:tbl>
      <w:tblPr>
        <w:tblStyle w:val="9"/>
        <w:tblW w:w="9170" w:type="dxa"/>
        <w:tblInd w:w="0" w:type="dxa"/>
        <w:tblLayout w:type="fixed"/>
        <w:tblCellMar>
          <w:top w:w="0" w:type="dxa"/>
          <w:left w:w="0" w:type="dxa"/>
          <w:bottom w:w="0" w:type="dxa"/>
          <w:right w:w="0" w:type="dxa"/>
        </w:tblCellMar>
      </w:tblPr>
      <w:tblGrid>
        <w:gridCol w:w="490"/>
        <w:gridCol w:w="399"/>
        <w:gridCol w:w="1000"/>
        <w:gridCol w:w="356"/>
        <w:gridCol w:w="910"/>
        <w:gridCol w:w="569"/>
        <w:gridCol w:w="1130"/>
        <w:gridCol w:w="794"/>
        <w:gridCol w:w="406"/>
        <w:gridCol w:w="658"/>
        <w:gridCol w:w="819"/>
        <w:gridCol w:w="1639"/>
      </w:tblGrid>
      <w:tr>
        <w:tblPrEx>
          <w:tblLayout w:type="fixed"/>
          <w:tblCellMar>
            <w:top w:w="0" w:type="dxa"/>
            <w:left w:w="0" w:type="dxa"/>
            <w:bottom w:w="0" w:type="dxa"/>
            <w:right w:w="0" w:type="dxa"/>
          </w:tblCellMar>
        </w:tblPrEx>
        <w:trPr>
          <w:trHeight w:val="405" w:hRule="atLeast"/>
        </w:trPr>
        <w:tc>
          <w:tcPr>
            <w:tcW w:w="9170"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170"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90" w:hRule="atLeast"/>
        </w:trPr>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28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追加2020年第一批建设项目耕开费和未利用地管理费、昌吉市G312-下巴湖监狱公路改建工程（二期）建设项目的未利用地管理费</w:t>
            </w:r>
          </w:p>
        </w:tc>
      </w:tr>
      <w:tr>
        <w:tblPrEx>
          <w:tblLayout w:type="fixed"/>
          <w:tblCellMar>
            <w:top w:w="0" w:type="dxa"/>
            <w:left w:w="0" w:type="dxa"/>
            <w:bottom w:w="0" w:type="dxa"/>
            <w:right w:w="0" w:type="dxa"/>
          </w:tblCellMar>
        </w:tblPrEx>
        <w:trPr>
          <w:trHeight w:val="319" w:hRule="atLeast"/>
        </w:trPr>
        <w:tc>
          <w:tcPr>
            <w:tcW w:w="8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9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52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8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62.29253</w:t>
            </w:r>
          </w:p>
        </w:tc>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62.29253</w:t>
            </w:r>
          </w:p>
        </w:tc>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62.29</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220" w:hRule="atLeast"/>
        </w:trPr>
        <w:tc>
          <w:tcPr>
            <w:tcW w:w="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243" w:hRule="atLeast"/>
        </w:trPr>
        <w:tc>
          <w:tcPr>
            <w:tcW w:w="8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3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31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637" w:hRule="atLeast"/>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昌吉市实施城市规划第一批次建设项目耕地开垦费和未利用地管理费61.69395万元（耕地开垦费按照每亩3000元标准）、昌吉市G312-下巴湖监狱公路改建工程（二期）建设项目的未利用地管理费5985.8元（未利用地50元/平方米标准）。</w:t>
            </w:r>
          </w:p>
        </w:tc>
        <w:tc>
          <w:tcPr>
            <w:tcW w:w="431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缴昌吉市实施城市规划第一批次建设项目耕地开垦费和未利用地管理费61.69395万元（耕地开垦费按照每亩3000元标准）、昌吉市G312-下巴湖监狱公路改建工程（二期）建设项目的未利用地管理费5985.8元（未利用地50元/平方米标准）</w:t>
            </w:r>
          </w:p>
        </w:tc>
      </w:tr>
      <w:tr>
        <w:tblPrEx>
          <w:tblLayout w:type="fixed"/>
          <w:tblCellMar>
            <w:top w:w="0" w:type="dxa"/>
            <w:left w:w="0" w:type="dxa"/>
            <w:bottom w:w="0" w:type="dxa"/>
            <w:right w:w="0" w:type="dxa"/>
          </w:tblCellMar>
        </w:tblPrEx>
        <w:trPr>
          <w:trHeight w:val="319" w:hRule="atLeast"/>
        </w:trPr>
        <w:tc>
          <w:tcPr>
            <w:tcW w:w="49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6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2"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0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180" w:firstLineChars="1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占用耕地面积</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205.42亩</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已报批205.42亩</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58"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未利用地面积（城市一批次）</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13.55亩</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已报批13.55亩</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6"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180" w:firstLineChars="1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完成耕地占一补一</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补充205.42亩耕地</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180" w:firstLineChars="1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已完成补充205.42亩耕地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39"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360" w:firstLineChars="2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上缴时限</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2020年9月30日</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66"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耕地开垦费成本每亩3000（元）</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61.63</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已上缴</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78"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未利用地管理费成本每平方米50（元）</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0.66632</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已上缴</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3"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0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落实耕地占卜平衡规定</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“占多少、补多少”的原则</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完成“占多少、补多少”的原则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7"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360" w:firstLineChars="2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高效利用土地</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未利用地开发管理</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完成未利用地开发管理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360" w:firstLineChars="2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保护耕地</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落实了严守耕地红线的重要举措</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落实了严守耕地红线的重要举措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680"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实现耕地总量动态平衡</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满足新增建设用地占补平衡的指标要求，保障各项用地供给。</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满足新增建设用地占补平衡的指标要求，保障各项用地供给。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6"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实现耕地总量动态平衡</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土地资源集约利用</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土地资源集约利用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63" w:hRule="atLeast"/>
        </w:trPr>
        <w:tc>
          <w:tcPr>
            <w:tcW w:w="49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180" w:firstLineChars="1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保护耕地满意度</w:t>
            </w:r>
          </w:p>
        </w:tc>
        <w:tc>
          <w:tcPr>
            <w:tcW w:w="1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满意度100.00%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满意度100.00%</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9" w:hRule="atLeast"/>
        </w:trPr>
        <w:tc>
          <w:tcPr>
            <w:tcW w:w="605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720" w:type="dxa"/>
        <w:tblInd w:w="0" w:type="dxa"/>
        <w:tblLayout w:type="fixed"/>
        <w:tblCellMar>
          <w:top w:w="0" w:type="dxa"/>
          <w:left w:w="0" w:type="dxa"/>
          <w:bottom w:w="0" w:type="dxa"/>
          <w:right w:w="0" w:type="dxa"/>
        </w:tblCellMar>
      </w:tblPr>
      <w:tblGrid>
        <w:gridCol w:w="549"/>
        <w:gridCol w:w="443"/>
        <w:gridCol w:w="1093"/>
        <w:gridCol w:w="453"/>
        <w:gridCol w:w="868"/>
        <w:gridCol w:w="267"/>
        <w:gridCol w:w="916"/>
        <w:gridCol w:w="853"/>
        <w:gridCol w:w="728"/>
        <w:gridCol w:w="187"/>
        <w:gridCol w:w="586"/>
        <w:gridCol w:w="222"/>
        <w:gridCol w:w="1555"/>
      </w:tblGrid>
      <w:tr>
        <w:tblPrEx>
          <w:tblLayout w:type="fixed"/>
          <w:tblCellMar>
            <w:top w:w="0" w:type="dxa"/>
            <w:left w:w="0" w:type="dxa"/>
            <w:bottom w:w="0" w:type="dxa"/>
            <w:right w:w="0" w:type="dxa"/>
          </w:tblCellMar>
        </w:tblPrEx>
        <w:trPr>
          <w:trHeight w:val="405" w:hRule="atLeast"/>
        </w:trPr>
        <w:tc>
          <w:tcPr>
            <w:tcW w:w="8720" w:type="dxa"/>
            <w:gridSpan w:val="1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20" w:type="dxa"/>
            <w:gridSpan w:val="1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728"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追加2019年村庄绿化美化苗木购置项目</w:t>
            </w:r>
          </w:p>
        </w:tc>
      </w:tr>
      <w:tr>
        <w:tblPrEx>
          <w:tblLayout w:type="fixed"/>
          <w:tblCellMar>
            <w:top w:w="0" w:type="dxa"/>
            <w:left w:w="0" w:type="dxa"/>
            <w:bottom w:w="0" w:type="dxa"/>
            <w:right w:w="0" w:type="dxa"/>
          </w:tblCellMar>
        </w:tblPrEx>
        <w:trPr>
          <w:trHeight w:val="319" w:hRule="atLeast"/>
        </w:trPr>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59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2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44.10 </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44.10 </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44.00 </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99.77%</w:t>
            </w: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9.00 </w:t>
            </w:r>
          </w:p>
        </w:tc>
      </w:tr>
      <w:tr>
        <w:tblPrEx>
          <w:tblLayout w:type="fixed"/>
          <w:tblCellMar>
            <w:top w:w="0" w:type="dxa"/>
            <w:left w:w="0" w:type="dxa"/>
            <w:bottom w:w="0" w:type="dxa"/>
            <w:right w:w="0" w:type="dxa"/>
          </w:tblCellMar>
        </w:tblPrEx>
        <w:trPr>
          <w:trHeight w:val="319" w:hRule="atLeast"/>
        </w:trPr>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44.10 </w:t>
            </w: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44.10 </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44.00 </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3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912" w:hRule="atLeast"/>
        </w:trPr>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支付2019年村庄绿化美化苗木购置项目（宦新凯二十标段）苗木款70%：44.1万元</w:t>
            </w:r>
          </w:p>
        </w:tc>
        <w:tc>
          <w:tcPr>
            <w:tcW w:w="413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实际支付宦新凯苗木款44万元</w:t>
            </w:r>
          </w:p>
        </w:tc>
      </w:tr>
      <w:tr>
        <w:tblPrEx>
          <w:tblLayout w:type="fixed"/>
          <w:tblCellMar>
            <w:top w:w="0" w:type="dxa"/>
            <w:left w:w="0" w:type="dxa"/>
            <w:bottom w:w="0" w:type="dxa"/>
            <w:right w:w="0" w:type="dxa"/>
          </w:tblCellMar>
        </w:tblPrEx>
        <w:trPr>
          <w:trHeight w:val="319" w:hRule="atLeast"/>
        </w:trPr>
        <w:tc>
          <w:tcPr>
            <w:tcW w:w="54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58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7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苗木购销单位</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1家</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1家</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项目验收合格率</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项目建设期限</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1年</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1年</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4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合同金额</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63.00万元</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44.00万元</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加快推进林业产业发展（是否）</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提高村庄绿化面积（是否）</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4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持续发挥生态作用显著</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58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供货方满意度</w:t>
            </w:r>
          </w:p>
        </w:tc>
        <w:tc>
          <w:tcPr>
            <w:tcW w:w="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60" w:hRule="atLeast"/>
        </w:trPr>
        <w:tc>
          <w:tcPr>
            <w:tcW w:w="544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99.00 </w:t>
            </w:r>
          </w:p>
        </w:tc>
        <w:tc>
          <w:tcPr>
            <w:tcW w:w="1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708" w:type="dxa"/>
        <w:tblInd w:w="0" w:type="dxa"/>
        <w:tblLayout w:type="fixed"/>
        <w:tblCellMar>
          <w:top w:w="0" w:type="dxa"/>
          <w:left w:w="0" w:type="dxa"/>
          <w:bottom w:w="0" w:type="dxa"/>
          <w:right w:w="0" w:type="dxa"/>
        </w:tblCellMar>
      </w:tblPr>
      <w:tblGrid>
        <w:gridCol w:w="472"/>
        <w:gridCol w:w="36"/>
        <w:gridCol w:w="345"/>
        <w:gridCol w:w="65"/>
        <w:gridCol w:w="602"/>
        <w:gridCol w:w="369"/>
        <w:gridCol w:w="293"/>
        <w:gridCol w:w="169"/>
        <w:gridCol w:w="573"/>
        <w:gridCol w:w="229"/>
        <w:gridCol w:w="201"/>
        <w:gridCol w:w="427"/>
        <w:gridCol w:w="450"/>
        <w:gridCol w:w="416"/>
        <w:gridCol w:w="802"/>
        <w:gridCol w:w="232"/>
        <w:gridCol w:w="108"/>
        <w:gridCol w:w="244"/>
        <w:gridCol w:w="287"/>
        <w:gridCol w:w="91"/>
        <w:gridCol w:w="61"/>
        <w:gridCol w:w="251"/>
        <w:gridCol w:w="381"/>
        <w:gridCol w:w="152"/>
        <w:gridCol w:w="55"/>
        <w:gridCol w:w="993"/>
        <w:gridCol w:w="404"/>
      </w:tblGrid>
      <w:tr>
        <w:tblPrEx>
          <w:tblLayout w:type="fixed"/>
          <w:tblCellMar>
            <w:top w:w="0" w:type="dxa"/>
            <w:left w:w="0" w:type="dxa"/>
            <w:bottom w:w="0" w:type="dxa"/>
            <w:right w:w="0" w:type="dxa"/>
          </w:tblCellMar>
        </w:tblPrEx>
        <w:trPr>
          <w:trHeight w:val="405" w:hRule="atLeast"/>
        </w:trPr>
        <w:tc>
          <w:tcPr>
            <w:tcW w:w="8708" w:type="dxa"/>
            <w:gridSpan w:val="27"/>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08" w:type="dxa"/>
            <w:gridSpan w:val="27"/>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1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790" w:type="dxa"/>
            <w:gridSpan w:val="2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追加城市地价动态监测项目经费</w:t>
            </w:r>
          </w:p>
        </w:tc>
      </w:tr>
      <w:tr>
        <w:tblPrEx>
          <w:tblLayout w:type="fixed"/>
          <w:tblCellMar>
            <w:top w:w="0" w:type="dxa"/>
            <w:left w:w="0" w:type="dxa"/>
            <w:bottom w:w="0" w:type="dxa"/>
            <w:right w:w="0" w:type="dxa"/>
          </w:tblCellMar>
        </w:tblPrEx>
        <w:trPr>
          <w:trHeight w:val="319" w:hRule="atLeast"/>
        </w:trPr>
        <w:tc>
          <w:tcPr>
            <w:tcW w:w="91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729"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919"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00" w:hRule="atLeast"/>
        </w:trPr>
        <w:tc>
          <w:tcPr>
            <w:tcW w:w="91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6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4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1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12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6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4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1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12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6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266" w:hRule="atLeast"/>
        </w:trPr>
        <w:tc>
          <w:tcPr>
            <w:tcW w:w="91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1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254" w:hRule="atLeast"/>
        </w:trPr>
        <w:tc>
          <w:tcPr>
            <w:tcW w:w="91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3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6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496" w:hRule="atLeast"/>
        </w:trPr>
        <w:tc>
          <w:tcPr>
            <w:tcW w:w="5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3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通过开展城镇土地定级与基准地价更新评价及各重点城市地价动态监测工作，为当地政府制订地价管理政策、进行地价监控、科学配置土地资源提供了依据；为广大的土地投资者和使用者进行土地投资、交易等活动提供不可或缺的市场信息。</w:t>
            </w:r>
          </w:p>
        </w:tc>
        <w:tc>
          <w:tcPr>
            <w:tcW w:w="4061"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开展城镇土地定级与基准地价更新评价及各重点城市地价动态监测工作，为当地政府制订地价管理政策、进行地价监控、科学配置土地资源提供了依据；为广大的土地投资者和使用者进行土地投资、交易等活动提供不可或缺的市场信息。</w:t>
            </w:r>
          </w:p>
        </w:tc>
      </w:tr>
      <w:tr>
        <w:tblPrEx>
          <w:tblLayout w:type="fixed"/>
          <w:tblCellMar>
            <w:top w:w="0" w:type="dxa"/>
            <w:left w:w="0" w:type="dxa"/>
            <w:bottom w:w="0" w:type="dxa"/>
            <w:right w:w="0" w:type="dxa"/>
          </w:tblCellMar>
        </w:tblPrEx>
        <w:trPr>
          <w:trHeight w:val="319" w:hRule="atLeast"/>
        </w:trPr>
        <w:tc>
          <w:tcPr>
            <w:tcW w:w="508"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9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5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8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60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9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5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建立基准地价体系数量</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1个</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8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完成土地定级与基准地价评估工作报告、技术报告、城市地价动态监测分析报告</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3本</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完成土地定级与基准地价评估图片</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1套</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8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完成时限</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2020年12月31日前</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预算成本</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 </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6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7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监管土地市场，预防国有资产流失（是否）</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完成昌吉市土地市场监管，预防国有资产流失</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60"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科学合理地反映地价水平服务地区经济</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显著提升</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显著提高科学合理地反映地价水平服务地区经济</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35" w:hRule="atLeast"/>
        </w:trPr>
        <w:tc>
          <w:tcPr>
            <w:tcW w:w="508"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7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9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受益公众满意度</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1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20" w:hRule="atLeast"/>
        </w:trPr>
        <w:tc>
          <w:tcPr>
            <w:tcW w:w="5789"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5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8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404" w:type="dxa"/>
          <w:trHeight w:val="405" w:hRule="atLeast"/>
        </w:trPr>
        <w:tc>
          <w:tcPr>
            <w:tcW w:w="8304" w:type="dxa"/>
            <w:gridSpan w:val="26"/>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gridAfter w:val="1"/>
          <w:wAfter w:w="404" w:type="dxa"/>
          <w:trHeight w:val="405" w:hRule="atLeast"/>
        </w:trPr>
        <w:tc>
          <w:tcPr>
            <w:tcW w:w="8304" w:type="dxa"/>
            <w:gridSpan w:val="26"/>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项目名称</w:t>
            </w:r>
          </w:p>
        </w:tc>
        <w:tc>
          <w:tcPr>
            <w:tcW w:w="7451" w:type="dxa"/>
            <w:gridSpan w:val="2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追加2020年上半年“访惠聚”驻社区工作经费（驻社区工作队工作经费）</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主管部门</w:t>
            </w:r>
          </w:p>
        </w:tc>
        <w:tc>
          <w:tcPr>
            <w:tcW w:w="337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实施单位</w:t>
            </w:r>
          </w:p>
        </w:tc>
        <w:tc>
          <w:tcPr>
            <w:tcW w:w="262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昌吉市自然资源局</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项目资金       （万元）</w:t>
            </w:r>
          </w:p>
        </w:tc>
        <w:tc>
          <w:tcPr>
            <w:tcW w:w="13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年初预算数</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全年预算数</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全年执行数</w:t>
            </w:r>
          </w:p>
        </w:tc>
        <w:tc>
          <w:tcPr>
            <w:tcW w:w="7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分值</w:t>
            </w:r>
          </w:p>
        </w:tc>
        <w:tc>
          <w:tcPr>
            <w:tcW w:w="8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执行率</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年度资金总额</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7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w:t>
            </w:r>
          </w:p>
        </w:tc>
        <w:tc>
          <w:tcPr>
            <w:tcW w:w="8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100.00%</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其中：当年财政拨款</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7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上年结转资金</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7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r>
      <w:tr>
        <w:tblPrEx>
          <w:tblLayout w:type="fixed"/>
          <w:tblCellMar>
            <w:top w:w="0" w:type="dxa"/>
            <w:left w:w="0" w:type="dxa"/>
            <w:bottom w:w="0" w:type="dxa"/>
            <w:right w:w="0" w:type="dxa"/>
          </w:tblCellMar>
        </w:tblPrEx>
        <w:trPr>
          <w:gridAfter w:val="1"/>
          <w:wAfter w:w="404" w:type="dxa"/>
          <w:trHeight w:val="319" w:hRule="atLeast"/>
        </w:trPr>
        <w:tc>
          <w:tcPr>
            <w:tcW w:w="85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  其他资金</w:t>
            </w:r>
          </w:p>
        </w:tc>
        <w:tc>
          <w:tcPr>
            <w:tcW w:w="7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30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7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c>
          <w:tcPr>
            <w:tcW w:w="8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w:t>
            </w:r>
          </w:p>
        </w:tc>
      </w:tr>
      <w:tr>
        <w:tblPrEx>
          <w:tblLayout w:type="fixed"/>
          <w:tblCellMar>
            <w:top w:w="0" w:type="dxa"/>
            <w:left w:w="0" w:type="dxa"/>
            <w:bottom w:w="0" w:type="dxa"/>
            <w:right w:w="0" w:type="dxa"/>
          </w:tblCellMar>
        </w:tblPrEx>
        <w:trPr>
          <w:gridAfter w:val="1"/>
          <w:wAfter w:w="404" w:type="dxa"/>
          <w:trHeight w:val="319" w:hRule="atLeast"/>
        </w:trPr>
        <w:tc>
          <w:tcPr>
            <w:tcW w:w="4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年度总体目标</w:t>
            </w:r>
          </w:p>
        </w:tc>
        <w:tc>
          <w:tcPr>
            <w:tcW w:w="375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预期目标</w:t>
            </w:r>
          </w:p>
        </w:tc>
        <w:tc>
          <w:tcPr>
            <w:tcW w:w="407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实际完成情况</w:t>
            </w:r>
          </w:p>
        </w:tc>
      </w:tr>
      <w:tr>
        <w:tblPrEx>
          <w:tblLayout w:type="fixed"/>
          <w:tblCellMar>
            <w:top w:w="0" w:type="dxa"/>
            <w:left w:w="0" w:type="dxa"/>
            <w:bottom w:w="0" w:type="dxa"/>
            <w:right w:w="0" w:type="dxa"/>
          </w:tblCellMar>
        </w:tblPrEx>
        <w:trPr>
          <w:gridAfter w:val="1"/>
          <w:wAfter w:w="404" w:type="dxa"/>
          <w:trHeight w:val="1365" w:hRule="atLeast"/>
        </w:trPr>
        <w:tc>
          <w:tcPr>
            <w:tcW w:w="4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75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访惠聚”社区工作经费主要用于访贫问苦，关心困难群众，组织各种文体活动，改造社区硬件设施，打造“美丽社区”。为香槟社区小区修筑无障碍楼梯、老旧小区修理管道，为小区安装垃圾桶等为民办实事好事，改变小区卫生环境。</w:t>
            </w:r>
          </w:p>
        </w:tc>
        <w:tc>
          <w:tcPr>
            <w:tcW w:w="407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    完成香槟社区2020年上半年访贫问苦，关心困难群众，组织各种文体活动，改造社区硬件设施，打造“美丽社区”。为香槟社区小区修筑无障碍楼梯、老旧小区修理管道，为小区安装垃圾桶等为民办实事好事，改变小区卫生环境。</w:t>
            </w:r>
          </w:p>
        </w:tc>
      </w:tr>
      <w:tr>
        <w:tblPrEx>
          <w:tblLayout w:type="fixed"/>
          <w:tblCellMar>
            <w:top w:w="0" w:type="dxa"/>
            <w:left w:w="0" w:type="dxa"/>
            <w:bottom w:w="0" w:type="dxa"/>
            <w:right w:w="0" w:type="dxa"/>
          </w:tblCellMar>
        </w:tblPrEx>
        <w:trPr>
          <w:gridAfter w:val="1"/>
          <w:wAfter w:w="404" w:type="dxa"/>
          <w:trHeight w:val="319" w:hRule="atLeast"/>
        </w:trPr>
        <w:tc>
          <w:tcPr>
            <w:tcW w:w="47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绩              效    指    标</w:t>
            </w:r>
          </w:p>
        </w:tc>
        <w:tc>
          <w:tcPr>
            <w:tcW w:w="3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一级指标</w:t>
            </w:r>
          </w:p>
        </w:tc>
        <w:tc>
          <w:tcPr>
            <w:tcW w:w="6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二级指标</w:t>
            </w:r>
          </w:p>
        </w:tc>
        <w:tc>
          <w:tcPr>
            <w:tcW w:w="163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三级指标</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年度</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实际</w:t>
            </w:r>
          </w:p>
        </w:tc>
        <w:tc>
          <w:tcPr>
            <w:tcW w:w="5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分值</w:t>
            </w:r>
          </w:p>
        </w:tc>
        <w:tc>
          <w:tcPr>
            <w:tcW w:w="69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得分</w:t>
            </w:r>
          </w:p>
        </w:tc>
        <w:tc>
          <w:tcPr>
            <w:tcW w:w="158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偏差原因分析及改进措施</w:t>
            </w:r>
          </w:p>
        </w:tc>
      </w:tr>
      <w:tr>
        <w:tblPrEx>
          <w:tblLayout w:type="fixed"/>
          <w:tblCellMar>
            <w:top w:w="0" w:type="dxa"/>
            <w:left w:w="0" w:type="dxa"/>
            <w:bottom w:w="0" w:type="dxa"/>
            <w:right w:w="0" w:type="dxa"/>
          </w:tblCellMar>
        </w:tblPrEx>
        <w:trPr>
          <w:gridAfter w:val="1"/>
          <w:wAfter w:w="404" w:type="dxa"/>
          <w:trHeight w:val="319"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指标值</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完成值</w:t>
            </w:r>
          </w:p>
        </w:tc>
        <w:tc>
          <w:tcPr>
            <w:tcW w:w="5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9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58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78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产出指标</w:t>
            </w:r>
          </w:p>
        </w:tc>
        <w:tc>
          <w:tcPr>
            <w:tcW w:w="667"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数量指标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 指标1：“访惠聚”社区工作队</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1个社区即香槟社区</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1个社区即香槟社区</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62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为辖区群众办好实事好事</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10件实事好事</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已完成10件实事好事</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96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质量指标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完善居民小区健身休闲设施</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达到居民有活动场所</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为小区安装健身休闲器材</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88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为小区安装垃圾桶</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改变小区卫生环境</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为小区购买安装垃圾桶</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319"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时效指标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完成时效</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2020年1月-6月</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2020年1月-6月</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88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成本指标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为民办实事好事经费</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购买垃圾桶、健身器材、慰问贫困特殊家庭购买大米面粉、清油支出</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66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效益指标</w:t>
            </w:r>
          </w:p>
        </w:tc>
        <w:tc>
          <w:tcPr>
            <w:tcW w:w="667"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社会效益指标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减轻低收入家庭的生活负担</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减轻低收入家庭的生活负担。</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减轻低收入家庭的生活负担</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112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重大节假日开展慰问活动</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通过慰问活动，进一步了解和掌握了他们的思想动态和生活状况。</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在春节、中秋节等重大节日进行慰问贫困家庭及特殊家庭给他们带去大米清油</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94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组织各种文体活动</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提高社区群众文化生活，增强群众文化素养，打造美丽社区。</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社区群众文化活动2次，增强群众文化素养，打造美丽社区</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136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社区环境优化</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为所服务的小区改善居住环境。</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为社区内小区进行卫生清扫，对居民楼道内垃圾进行清扫并安装垃圾桶，为所服务的小区改善居住环境</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96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66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可持续影响指标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为访惠聚工作提供有力保障，提升工作质量</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完成率达95.00%</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为社区访惠聚工作工作提供基本保障，95%提升工作质量</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5.00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560" w:hRule="atLeast"/>
        </w:trPr>
        <w:tc>
          <w:tcPr>
            <w:tcW w:w="47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c>
          <w:tcPr>
            <w:tcW w:w="38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满意度指标</w:t>
            </w:r>
          </w:p>
        </w:tc>
        <w:tc>
          <w:tcPr>
            <w:tcW w:w="66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服务对象满意度指标</w:t>
            </w:r>
          </w:p>
        </w:tc>
        <w:tc>
          <w:tcPr>
            <w:tcW w:w="16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受益群众的满意度</w:t>
            </w:r>
          </w:p>
        </w:tc>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满意度达95%</w:t>
            </w:r>
          </w:p>
        </w:tc>
        <w:tc>
          <w:tcPr>
            <w:tcW w:w="12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95%</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r>
        <w:tblPrEx>
          <w:tblLayout w:type="fixed"/>
          <w:tblCellMar>
            <w:top w:w="0" w:type="dxa"/>
            <w:left w:w="0" w:type="dxa"/>
            <w:bottom w:w="0" w:type="dxa"/>
            <w:right w:w="0" w:type="dxa"/>
          </w:tblCellMar>
        </w:tblPrEx>
        <w:trPr>
          <w:gridAfter w:val="1"/>
          <w:wAfter w:w="404" w:type="dxa"/>
          <w:trHeight w:val="319" w:hRule="atLeast"/>
        </w:trPr>
        <w:tc>
          <w:tcPr>
            <w:tcW w:w="5449"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总分</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 </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kern w:val="0"/>
                <w:sz w:val="18"/>
                <w:szCs w:val="18"/>
                <w:lang w:bidi="ar"/>
              </w:rPr>
              <w:t xml:space="preserve">100.00 </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heme="minorEastAsia" w:hAnsiTheme="minorEastAsia" w:eastAsiaTheme="minorEastAsia" w:cstheme="minorEastAsia"/>
                <w:color w:val="000000"/>
                <w:sz w:val="18"/>
                <w:szCs w:val="18"/>
              </w:rPr>
            </w:pPr>
          </w:p>
        </w:tc>
      </w:tr>
    </w:tbl>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p>
      <w:pPr>
        <w:rPr>
          <w:rFonts w:asciiTheme="minorEastAsia" w:hAnsiTheme="minorEastAsia" w:eastAsiaTheme="minorEastAsia" w:cstheme="minorEastAsia"/>
          <w:sz w:val="18"/>
          <w:szCs w:val="18"/>
        </w:rPr>
      </w:pPr>
    </w:p>
    <w:tbl>
      <w:tblPr>
        <w:tblStyle w:val="9"/>
        <w:tblW w:w="8512" w:type="dxa"/>
        <w:tblInd w:w="0" w:type="dxa"/>
        <w:tblLayout w:type="fixed"/>
        <w:tblCellMar>
          <w:top w:w="0" w:type="dxa"/>
          <w:left w:w="0" w:type="dxa"/>
          <w:bottom w:w="0" w:type="dxa"/>
          <w:right w:w="0" w:type="dxa"/>
        </w:tblCellMar>
      </w:tblPr>
      <w:tblGrid>
        <w:gridCol w:w="507"/>
        <w:gridCol w:w="408"/>
        <w:gridCol w:w="716"/>
        <w:gridCol w:w="715"/>
        <w:gridCol w:w="796"/>
        <w:gridCol w:w="248"/>
        <w:gridCol w:w="1291"/>
        <w:gridCol w:w="1154"/>
        <w:gridCol w:w="727"/>
        <w:gridCol w:w="696"/>
        <w:gridCol w:w="1254"/>
      </w:tblGrid>
      <w:tr>
        <w:tblPrEx>
          <w:tblLayout w:type="fixed"/>
          <w:tblCellMar>
            <w:top w:w="0" w:type="dxa"/>
            <w:left w:w="0" w:type="dxa"/>
            <w:bottom w:w="0" w:type="dxa"/>
            <w:right w:w="0" w:type="dxa"/>
          </w:tblCellMar>
        </w:tblPrEx>
        <w:trPr>
          <w:trHeight w:val="405" w:hRule="atLeast"/>
        </w:trPr>
        <w:tc>
          <w:tcPr>
            <w:tcW w:w="8512" w:type="dxa"/>
            <w:gridSpan w:val="11"/>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12" w:type="dxa"/>
            <w:gridSpan w:val="11"/>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9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2020年追加上半年“访惠聚”工作经费（工作队工作经费）</w:t>
            </w:r>
          </w:p>
        </w:tc>
      </w:tr>
      <w:tr>
        <w:tblPrEx>
          <w:tblLayout w:type="fixed"/>
          <w:tblCellMar>
            <w:top w:w="0" w:type="dxa"/>
            <w:left w:w="0" w:type="dxa"/>
            <w:bottom w:w="0" w:type="dxa"/>
            <w:right w:w="0" w:type="dxa"/>
          </w:tblCellMar>
        </w:tblPrEx>
        <w:trPr>
          <w:trHeight w:val="319"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7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67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8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3090" w:hRule="atLeast"/>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工作队发挥代表作用，与派出单位、包村领导、村“两委”，共同研究讨论发展目标及思路、按照年初各“访惠聚”工作计划，了解居民所想所盼，坚持为民解忧，落实民生建设任务，为社区和居民群众办实事、办好事，解决好日常生活中的问题，切实提高为民服务水平。为保证工作队正常工作，定时交纳电话费、电费及办公耗材等</w:t>
            </w:r>
          </w:p>
        </w:tc>
        <w:tc>
          <w:tcPr>
            <w:tcW w:w="38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工作队发挥代表作用，与派出单位、包村领导、村“两委”，共同研究讨论发展目标及思路、按照年初各“访惠聚”工作计划，了解居民所想所盼，坚持为民解忧，落实民生建设任务，为社区和居民群众办实事、办好事，解决好日常生活中的问题，切实提高为民服务水平。为保证工作队正常工作，定时交纳电话费、电费及办公耗材等</w:t>
            </w:r>
          </w:p>
        </w:tc>
      </w:tr>
      <w:tr>
        <w:tblPrEx>
          <w:tblLayout w:type="fixed"/>
          <w:tblCellMar>
            <w:top w:w="0" w:type="dxa"/>
            <w:left w:w="0" w:type="dxa"/>
            <w:bottom w:w="0" w:type="dxa"/>
            <w:right w:w="0" w:type="dxa"/>
          </w:tblCellMar>
        </w:tblPrEx>
        <w:trPr>
          <w:trHeight w:val="319" w:hRule="atLeast"/>
        </w:trPr>
        <w:tc>
          <w:tcPr>
            <w:tcW w:w="50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75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5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12"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涉及“访惠聚”工作队</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7个“访惠聚”工作队</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7个“访惠聚”工作队</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820"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为“访惠聚”工作队解决正常办公</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为保证工作队正常工作，定时交纳电话费、电费及办公耗材等</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为工作队正常工作，定时交纳电话费、电费及办公耗材等</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55"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完成时效</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2020年1月-6月</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51"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工作队经费</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7个工作队各0.50万元工作经费支出</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定时交纳电话费、电费及办公耗材等支出3.5万元</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849"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1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为工作队干部提供保障</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使工作队干部职工有个良好的工作环境</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为工作队干部职工创造有个良好的工作环境</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676"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做好“访惠聚”工作的后盾保障</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让“访惠聚”工作队为群众办实事，干好事</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为“访惠聚”工作队为群众办实事，干好事</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67" w:hRule="atLeast"/>
        </w:trPr>
        <w:tc>
          <w:tcPr>
            <w:tcW w:w="50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7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工作队干部满意度</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满意度达95.00%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满意度达95.00%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57" w:hRule="atLeast"/>
        </w:trPr>
        <w:tc>
          <w:tcPr>
            <w:tcW w:w="58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558" w:type="dxa"/>
        <w:tblInd w:w="0" w:type="dxa"/>
        <w:tblLayout w:type="fixed"/>
        <w:tblCellMar>
          <w:top w:w="0" w:type="dxa"/>
          <w:left w:w="0" w:type="dxa"/>
          <w:bottom w:w="0" w:type="dxa"/>
          <w:right w:w="0" w:type="dxa"/>
        </w:tblCellMar>
      </w:tblPr>
      <w:tblGrid>
        <w:gridCol w:w="548"/>
        <w:gridCol w:w="443"/>
        <w:gridCol w:w="1013"/>
        <w:gridCol w:w="538"/>
        <w:gridCol w:w="1262"/>
        <w:gridCol w:w="1096"/>
        <w:gridCol w:w="958"/>
        <w:gridCol w:w="394"/>
        <w:gridCol w:w="298"/>
        <w:gridCol w:w="610"/>
        <w:gridCol w:w="267"/>
        <w:gridCol w:w="1131"/>
      </w:tblGrid>
      <w:tr>
        <w:tblPrEx>
          <w:tblLayout w:type="fixed"/>
          <w:tblCellMar>
            <w:top w:w="0" w:type="dxa"/>
            <w:left w:w="0" w:type="dxa"/>
            <w:bottom w:w="0" w:type="dxa"/>
            <w:right w:w="0" w:type="dxa"/>
          </w:tblCellMar>
        </w:tblPrEx>
        <w:trPr>
          <w:trHeight w:val="405" w:hRule="atLeast"/>
        </w:trPr>
        <w:tc>
          <w:tcPr>
            <w:tcW w:w="8558"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58"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6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2020年追加上半年“访惠聚”驻村工作经费（第一书记为民办实事经费）</w:t>
            </w:r>
          </w:p>
        </w:tc>
      </w:tr>
      <w:tr>
        <w:tblPrEx>
          <w:tblLayout w:type="fixed"/>
          <w:tblCellMar>
            <w:top w:w="0" w:type="dxa"/>
            <w:left w:w="0" w:type="dxa"/>
            <w:bottom w:w="0" w:type="dxa"/>
            <w:right w:w="0" w:type="dxa"/>
          </w:tblCellMar>
        </w:tblPrEx>
        <w:trPr>
          <w:trHeight w:val="319" w:hRule="atLeast"/>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90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3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3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3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35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65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934" w:hRule="atLeast"/>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5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为深入贯彻自治区、州党委、政府深化“访惠聚”驻村工作的部署要求，进一步继续扎实开展好“访惠聚”驻村工作，充分发挥驻村工作队第一书记为民办实事的需求。</w:t>
            </w:r>
          </w:p>
        </w:tc>
        <w:tc>
          <w:tcPr>
            <w:tcW w:w="365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扎实开展好“访惠聚”驻村工作，充分发挥驻村工作队第一书记为民办实事的需求。</w:t>
            </w:r>
          </w:p>
        </w:tc>
      </w:tr>
      <w:tr>
        <w:tblPrEx>
          <w:tblLayout w:type="fixed"/>
          <w:tblCellMar>
            <w:top w:w="0" w:type="dxa"/>
            <w:left w:w="0" w:type="dxa"/>
            <w:bottom w:w="0" w:type="dxa"/>
            <w:right w:w="0" w:type="dxa"/>
          </w:tblCellMar>
        </w:tblPrEx>
        <w:trPr>
          <w:trHeight w:val="319" w:hRule="atLeast"/>
        </w:trPr>
        <w:tc>
          <w:tcPr>
            <w:tcW w:w="54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01"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1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访惠聚工作队个数</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7个访惠聚工作队</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7个访惠聚工作队</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48"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为所在辖区工作队解决实事</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实事达8件</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完成实事达7件</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24"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360" w:firstLineChars="2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完成时间</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2020年1月-6月</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0"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第一书记为民办实事经费</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完成实事达7件，支出资金7万元</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160"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减轻低收入家庭的生活负担</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确保低收入家庭温暖、促进社会和谐稳定</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456"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继续发挥第一书记职能</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充分发挥第一书记职能，切实做到为群众做实事好事，解决实际困难。</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发挥第一书记职能，切实做到为群众做实事好事，解决实际困难。</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352" w:hRule="atLeast"/>
        </w:trPr>
        <w:tc>
          <w:tcPr>
            <w:tcW w:w="54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满意度达95.00%</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满意度达95%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55" w:hRule="atLeast"/>
        </w:trPr>
        <w:tc>
          <w:tcPr>
            <w:tcW w:w="585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1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9088" w:type="dxa"/>
        <w:tblInd w:w="0" w:type="dxa"/>
        <w:tblLayout w:type="fixed"/>
        <w:tblCellMar>
          <w:top w:w="0" w:type="dxa"/>
          <w:left w:w="0" w:type="dxa"/>
          <w:bottom w:w="0" w:type="dxa"/>
          <w:right w:w="0" w:type="dxa"/>
        </w:tblCellMar>
      </w:tblPr>
      <w:tblGrid>
        <w:gridCol w:w="546"/>
        <w:gridCol w:w="441"/>
        <w:gridCol w:w="1156"/>
        <w:gridCol w:w="388"/>
        <w:gridCol w:w="859"/>
        <w:gridCol w:w="267"/>
        <w:gridCol w:w="1670"/>
        <w:gridCol w:w="727"/>
        <w:gridCol w:w="531"/>
        <w:gridCol w:w="115"/>
        <w:gridCol w:w="624"/>
        <w:gridCol w:w="196"/>
        <w:gridCol w:w="657"/>
        <w:gridCol w:w="911"/>
      </w:tblGrid>
      <w:tr>
        <w:tblPrEx>
          <w:tblLayout w:type="fixed"/>
          <w:tblCellMar>
            <w:top w:w="0" w:type="dxa"/>
            <w:left w:w="0" w:type="dxa"/>
            <w:bottom w:w="0" w:type="dxa"/>
            <w:right w:w="0" w:type="dxa"/>
          </w:tblCellMar>
        </w:tblPrEx>
        <w:trPr>
          <w:trHeight w:val="405" w:hRule="atLeast"/>
        </w:trPr>
        <w:tc>
          <w:tcPr>
            <w:tcW w:w="9088"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088"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101"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追加2020年上半年“访惠聚”驻村工作经费（工作队工作经费）</w:t>
            </w:r>
          </w:p>
        </w:tc>
      </w:tr>
      <w:tr>
        <w:tblPrEx>
          <w:tblLayout w:type="fixed"/>
          <w:tblCellMar>
            <w:top w:w="0" w:type="dxa"/>
            <w:left w:w="0" w:type="dxa"/>
            <w:bottom w:w="0" w:type="dxa"/>
            <w:right w:w="0" w:type="dxa"/>
          </w:tblCellMar>
        </w:tblPrEx>
        <w:trPr>
          <w:trHeight w:val="319" w:hRule="atLeast"/>
        </w:trPr>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3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3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78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76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365" w:hRule="atLeast"/>
        </w:trPr>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8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扎实开展好“访惠聚”驻村工作，充分发挥各类经费在“访惠聚”驻村工作中的重要作用，完成美丽乡村居民点整治工作、为村委会、人居环境整治等，节假期间，工作队慰问村老党员、老干部、少数民族、低收入各族群众不同群体及对群众进行惠民政策的宣传等工作。</w:t>
            </w:r>
          </w:p>
        </w:tc>
        <w:tc>
          <w:tcPr>
            <w:tcW w:w="376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扎实完成好“访惠聚”驻村工作，充分发挥各类经费在“访惠聚”驻村工作中的重要作用，完成美丽乡村居民点整治工作、为村委会、人居环境整治等，节假期间，工作队慰问村老党员、老干部、少数民族、低收入各族群众不同群体及对群众进行惠民政策的宣传等工作。</w:t>
            </w:r>
          </w:p>
        </w:tc>
      </w:tr>
      <w:tr>
        <w:tblPrEx>
          <w:tblLayout w:type="fixed"/>
          <w:tblCellMar>
            <w:top w:w="0" w:type="dxa"/>
            <w:left w:w="0" w:type="dxa"/>
            <w:bottom w:w="0" w:type="dxa"/>
            <w:right w:w="0" w:type="dxa"/>
          </w:tblCellMar>
        </w:tblPrEx>
        <w:trPr>
          <w:trHeight w:val="319" w:hRule="atLeast"/>
        </w:trPr>
        <w:tc>
          <w:tcPr>
            <w:tcW w:w="54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1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51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15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15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“访惠聚”工作队</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6个工作队，即、1、三工镇二工村；2、大西渠镇大西渠村；3、庙尔沟乡庙尔沟村；4、阿什里二道水村；5、大西渠思源村；6、硫磺沟楼庄子村</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6个工作队，即、1、三工镇二工村；2、大西渠镇大西渠村；3、庙尔沟乡庙尔沟村；4、阿什里二道水村；5、大西渠思源村；6、硫磺沟楼庄子村</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6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为民办实事好事件数</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每个工作队不少于10件</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6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完成为民办好事实事率</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达95.00%</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已达95.00%</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59"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完成时间</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2020年1月-6月</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221"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为民办实事好事工作经费</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完成居民点整治工作、问村老党员、老干部、少数民族、低收入各族群众等支出35万元</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0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1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减轻低收入家庭的生活负担</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通过慰问活动，进一步了解和掌握了他们的思想动态和生活状况。</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重大节假日开展慰问活动</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让群众有议事及活动场所</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0"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文化阵地建设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让群众有议事及活动场所</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552"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为访惠聚工作人员提供有力保障，提升工作质量</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为访惠聚工作人员的工作提供基本保障，100%提升工作质量</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936" w:hRule="atLeast"/>
        </w:trPr>
        <w:tc>
          <w:tcPr>
            <w:tcW w:w="5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1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受益群众的满意度</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满意度95.00%</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群众出行方便，生活质量提升</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95" w:hRule="atLeast"/>
        </w:trPr>
        <w:tc>
          <w:tcPr>
            <w:tcW w:w="670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939" w:type="dxa"/>
        <w:tblInd w:w="0" w:type="dxa"/>
        <w:tblLayout w:type="fixed"/>
        <w:tblCellMar>
          <w:top w:w="0" w:type="dxa"/>
          <w:left w:w="0" w:type="dxa"/>
          <w:bottom w:w="0" w:type="dxa"/>
          <w:right w:w="0" w:type="dxa"/>
        </w:tblCellMar>
      </w:tblPr>
      <w:tblGrid>
        <w:gridCol w:w="554"/>
        <w:gridCol w:w="445"/>
        <w:gridCol w:w="1098"/>
        <w:gridCol w:w="465"/>
        <w:gridCol w:w="868"/>
        <w:gridCol w:w="272"/>
        <w:gridCol w:w="1106"/>
        <w:gridCol w:w="1223"/>
        <w:gridCol w:w="727"/>
        <w:gridCol w:w="889"/>
        <w:gridCol w:w="1292"/>
      </w:tblGrid>
      <w:tr>
        <w:tblPrEx>
          <w:tblLayout w:type="fixed"/>
          <w:tblCellMar>
            <w:top w:w="0" w:type="dxa"/>
            <w:left w:w="0" w:type="dxa"/>
            <w:bottom w:w="0" w:type="dxa"/>
            <w:right w:w="0" w:type="dxa"/>
          </w:tblCellMar>
        </w:tblPrEx>
        <w:trPr>
          <w:trHeight w:val="405" w:hRule="atLeast"/>
        </w:trPr>
        <w:tc>
          <w:tcPr>
            <w:tcW w:w="8939" w:type="dxa"/>
            <w:gridSpan w:val="11"/>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939" w:type="dxa"/>
            <w:gridSpan w:val="11"/>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94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追加2017年草原管护人员工资专项资金</w:t>
            </w:r>
          </w:p>
        </w:tc>
      </w:tr>
      <w:tr>
        <w:tblPrEx>
          <w:tblLayout w:type="fixed"/>
          <w:tblCellMar>
            <w:top w:w="0" w:type="dxa"/>
            <w:left w:w="0" w:type="dxa"/>
            <w:bottom w:w="0" w:type="dxa"/>
            <w:right w:w="0" w:type="dxa"/>
          </w:tblCellMar>
        </w:tblPrEx>
        <w:trPr>
          <w:trHeight w:val="319" w:hRule="atLeast"/>
        </w:trPr>
        <w:tc>
          <w:tcPr>
            <w:tcW w:w="9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8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9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578"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监督检查广大农牧民严格遵守草畜平衡制度，巡查保护草原，对在草原上发生的非法开垦、破坏，采药等行为进行及时制止，并上报，按《草原法》进行管护草原</w:t>
            </w:r>
          </w:p>
        </w:tc>
        <w:tc>
          <w:tcPr>
            <w:tcW w:w="41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完成监督检查广大农牧民严格遵守草畜平衡制度，巡查保护草原，对在草原上发生的非法开垦、破坏，采药等行为进行及时制止，并上报，按《草原法》进行管护草原</w:t>
            </w:r>
          </w:p>
        </w:tc>
      </w:tr>
      <w:tr>
        <w:tblPrEx>
          <w:tblLayout w:type="fixed"/>
          <w:tblCellMar>
            <w:top w:w="0" w:type="dxa"/>
            <w:left w:w="0" w:type="dxa"/>
            <w:bottom w:w="0" w:type="dxa"/>
            <w:right w:w="0" w:type="dxa"/>
          </w:tblCellMar>
        </w:tblPrEx>
        <w:trPr>
          <w:trHeight w:val="319" w:hRule="atLeast"/>
        </w:trPr>
        <w:tc>
          <w:tcPr>
            <w:tcW w:w="55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2"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草原管护面积</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460.8万亩</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管护460.8万亩</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41"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草原管护员有效管护草原</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完成草原管护率100%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99"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草管员补助资金发放及时率</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及时发放率100%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40"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5名草原管护员工资报酬（万元）</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36"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草原管护员增收</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人均收入1.40万元</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人均收入1.40万元</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95"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生态健康发展</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有效改善</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有效改善</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草原管护员满意度</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15" w:hRule="atLeast"/>
        </w:trPr>
        <w:tc>
          <w:tcPr>
            <w:tcW w:w="603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731" w:type="dxa"/>
        <w:tblInd w:w="0" w:type="dxa"/>
        <w:tblLayout w:type="fixed"/>
        <w:tblCellMar>
          <w:top w:w="0" w:type="dxa"/>
          <w:left w:w="0" w:type="dxa"/>
          <w:bottom w:w="0" w:type="dxa"/>
          <w:right w:w="0" w:type="dxa"/>
        </w:tblCellMar>
      </w:tblPr>
      <w:tblGrid>
        <w:gridCol w:w="550"/>
        <w:gridCol w:w="444"/>
        <w:gridCol w:w="987"/>
        <w:gridCol w:w="561"/>
        <w:gridCol w:w="865"/>
        <w:gridCol w:w="386"/>
        <w:gridCol w:w="750"/>
        <w:gridCol w:w="877"/>
        <w:gridCol w:w="219"/>
        <w:gridCol w:w="438"/>
        <w:gridCol w:w="282"/>
        <w:gridCol w:w="805"/>
        <w:gridCol w:w="67"/>
        <w:gridCol w:w="1500"/>
      </w:tblGrid>
      <w:tr>
        <w:tblPrEx>
          <w:tblLayout w:type="fixed"/>
          <w:tblCellMar>
            <w:top w:w="0" w:type="dxa"/>
            <w:left w:w="0" w:type="dxa"/>
            <w:bottom w:w="0" w:type="dxa"/>
            <w:right w:w="0" w:type="dxa"/>
          </w:tblCellMar>
        </w:tblPrEx>
        <w:trPr>
          <w:trHeight w:val="405" w:hRule="atLeast"/>
        </w:trPr>
        <w:tc>
          <w:tcPr>
            <w:tcW w:w="8731"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31"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737"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追加新疆腾宏源商贸公司农产品仓储物流建设项目森林植被恢复费项目</w:t>
            </w:r>
          </w:p>
        </w:tc>
      </w:tr>
      <w:tr>
        <w:tblPrEx>
          <w:tblLayout w:type="fixed"/>
          <w:tblCellMar>
            <w:top w:w="0" w:type="dxa"/>
            <w:left w:w="0" w:type="dxa"/>
            <w:bottom w:w="0" w:type="dxa"/>
            <w:right w:w="0" w:type="dxa"/>
          </w:tblCellMar>
        </w:tblPrEx>
        <w:trPr>
          <w:trHeight w:val="319" w:hRule="atLeast"/>
        </w:trPr>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5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9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r>
      <w:tr>
        <w:tblPrEx>
          <w:tblLayout w:type="fixed"/>
          <w:tblCellMar>
            <w:top w:w="0" w:type="dxa"/>
            <w:left w:w="0" w:type="dxa"/>
            <w:bottom w:w="0" w:type="dxa"/>
            <w:right w:w="0" w:type="dxa"/>
          </w:tblCellMar>
        </w:tblPrEx>
        <w:trPr>
          <w:trHeight w:val="319"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39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8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5215" w:hRule="atLeast"/>
        </w:trPr>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9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新疆腾宏源商贸有限责任公司农产品仓储物流建设项目的建设，在昌吉市三工镇建成以信息系统为支撑，集科技、电子商务、检验检测、物流、培训等功能为一体的高科技农产品仓储生产物流集散地，更好地为昌吉市及周边县市农民服务，有利于农产品流通，保障农产品稳定、安全的供应，平抑区域物价；促进农牧民就业、对促进关联区域经济发展具有重要意义。项目建设规模和内容主要包括：建筑面积15987.35平方米，主要建设物流仓库6幢，综合办公培训楼1幢，包装车间2幢，以及厂区道路硬化、绿化、供热、供水、消防等公用附属工程建设。该项目拟使用林地0.2784公顷。</w:t>
            </w:r>
          </w:p>
        </w:tc>
        <w:tc>
          <w:tcPr>
            <w:tcW w:w="418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已完成预期目标工作任务，实际支付资金时，因自治区财政厅国库处关账，退回森林植被恢复费5.568万元。</w:t>
            </w:r>
          </w:p>
        </w:tc>
      </w:tr>
      <w:tr>
        <w:tblPrEx>
          <w:tblLayout w:type="fixed"/>
          <w:tblCellMar>
            <w:top w:w="0" w:type="dxa"/>
            <w:left w:w="0" w:type="dxa"/>
            <w:bottom w:w="0" w:type="dxa"/>
            <w:right w:w="0" w:type="dxa"/>
          </w:tblCellMar>
        </w:tblPrEx>
        <w:trPr>
          <w:trHeight w:val="319" w:hRule="atLeast"/>
        </w:trPr>
        <w:tc>
          <w:tcPr>
            <w:tcW w:w="55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15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00"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占用林地面积</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0.2784公顷</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0.2784公顷</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项目占用时限</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40"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森林植被恢复费用</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5.57</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因年末资金支付到自治区财政厅国库时，因自治区国库处已关账，退回5.568万元</w:t>
            </w:r>
          </w:p>
        </w:tc>
      </w:tr>
      <w:tr>
        <w:tblPrEx>
          <w:tblLayout w:type="fixed"/>
          <w:tblCellMar>
            <w:top w:w="0" w:type="dxa"/>
            <w:left w:w="0" w:type="dxa"/>
            <w:bottom w:w="0" w:type="dxa"/>
            <w:right w:w="0" w:type="dxa"/>
          </w:tblCellMar>
        </w:tblPrEx>
        <w:trPr>
          <w:trHeight w:val="978"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是否带动当地就业</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72"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加快推进林业发展（是否）</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6"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提高绿化面积（是否）</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17"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持续发挥生态作用显著</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933" w:hRule="atLeast"/>
        </w:trPr>
        <w:tc>
          <w:tcPr>
            <w:tcW w:w="55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8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1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用地单位满意度</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≧80.00%</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35" w:hRule="atLeast"/>
        </w:trPr>
        <w:tc>
          <w:tcPr>
            <w:tcW w:w="542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80.00 </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777" w:type="dxa"/>
        <w:tblInd w:w="0" w:type="dxa"/>
        <w:tblLayout w:type="fixed"/>
        <w:tblCellMar>
          <w:top w:w="0" w:type="dxa"/>
          <w:left w:w="0" w:type="dxa"/>
          <w:bottom w:w="0" w:type="dxa"/>
          <w:right w:w="0" w:type="dxa"/>
        </w:tblCellMar>
      </w:tblPr>
      <w:tblGrid>
        <w:gridCol w:w="521"/>
        <w:gridCol w:w="423"/>
        <w:gridCol w:w="741"/>
        <w:gridCol w:w="708"/>
        <w:gridCol w:w="849"/>
        <w:gridCol w:w="242"/>
        <w:gridCol w:w="990"/>
        <w:gridCol w:w="911"/>
        <w:gridCol w:w="62"/>
        <w:gridCol w:w="584"/>
        <w:gridCol w:w="310"/>
        <w:gridCol w:w="521"/>
        <w:gridCol w:w="359"/>
        <w:gridCol w:w="1556"/>
      </w:tblGrid>
      <w:tr>
        <w:tblPrEx>
          <w:tblLayout w:type="fixed"/>
          <w:tblCellMar>
            <w:top w:w="0" w:type="dxa"/>
            <w:left w:w="0" w:type="dxa"/>
            <w:bottom w:w="0" w:type="dxa"/>
            <w:right w:w="0" w:type="dxa"/>
          </w:tblCellMar>
        </w:tblPrEx>
        <w:trPr>
          <w:trHeight w:val="405" w:hRule="atLeast"/>
        </w:trPr>
        <w:tc>
          <w:tcPr>
            <w:tcW w:w="8777"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77"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83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追加2020年第三批建设项目耕开费</w:t>
            </w:r>
          </w:p>
        </w:tc>
      </w:tr>
      <w:tr>
        <w:tblPrEx>
          <w:tblLayout w:type="fixed"/>
          <w:tblCellMar>
            <w:top w:w="0" w:type="dxa"/>
            <w:left w:w="0" w:type="dxa"/>
            <w:bottom w:w="0" w:type="dxa"/>
            <w:right w:w="0" w:type="dxa"/>
          </w:tblCellMar>
        </w:tblPrEx>
        <w:trPr>
          <w:trHeight w:val="319" w:hRule="atLeast"/>
        </w:trPr>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5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3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39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30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4396"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土地管理法》规定，实行占用耕地补偿制度，非农建设经批准占用耕地要按照“占多少、补多少”的原则，补充数量和质量相当的耕地，开垦耕地的责任者需落实耕地开垦资金。新疆维吾尔自治区发展计划委员会新疆维吾尔自治区财政厅下发《关于下发自治区国土资源系统土地管理行政事业性收费标准的通知 》规定，耕地开垦费一般耕地：一等地3000元／亩；昌吉市实施城市规划2020年第三批建设用地占用耕408.468亩，按照每亩3000元标准，耕地开垦费用缴纳122.5404万元。</w:t>
            </w:r>
          </w:p>
        </w:tc>
        <w:tc>
          <w:tcPr>
            <w:tcW w:w="430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按照《土地管理法》规定，实行占用耕地补偿制度，非农建设经批准占用耕地要按照“占多少、补多少”的原则，补充数量和质量相当的耕地，开垦耕地的责任者需落实耕地开垦资金。新疆维吾尔自治区发展计划委员会新疆维吾尔自治区财政厅下发《关于下发自治区国土资源系统土地管理行政事业性收费标准的通知 》规定，耕地开垦费一般耕地：一等地3000元／亩；昌吉市实施城市规划2020年第三批建设用地占用耕408.468亩，按照每亩3000元标准，交纳耕地开垦费用缴纳122.5404万元。</w:t>
            </w:r>
          </w:p>
        </w:tc>
      </w:tr>
      <w:tr>
        <w:tblPrEx>
          <w:tblLayout w:type="fixed"/>
          <w:tblCellMar>
            <w:top w:w="0" w:type="dxa"/>
            <w:left w:w="0" w:type="dxa"/>
            <w:bottom w:w="0" w:type="dxa"/>
            <w:right w:w="0" w:type="dxa"/>
          </w:tblCellMar>
        </w:tblPrEx>
        <w:trPr>
          <w:trHeight w:val="319" w:hRule="atLeast"/>
        </w:trPr>
        <w:tc>
          <w:tcPr>
            <w:tcW w:w="52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79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9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40"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占用耕地面积</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408.468亩</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408.468亩</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完成耕地占一补</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补充408.468亩耕地</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已完成补充408.468亩耕地</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60"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上缴时间</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2020年1-6月</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20"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第二批次建设用地耕地开垦费总成本（万元）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122.54</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已上缴122.5404万元</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174"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落实耕地占卜平衡规定</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“占多少、补多少”的原则，并落实耕地开垦费资金</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605"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保护耕地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落实了严守耕地红线的重要举措</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落实了严守耕地红线的重要举措</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746"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实现耕地总量动态平衡</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满足新增建设用地占补平衡的指标要求，保障各项用地供给</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满足新增建设用地占补平衡的指标要求，保障各项用地供给</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71" w:hRule="atLeast"/>
        </w:trPr>
        <w:tc>
          <w:tcPr>
            <w:tcW w:w="52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79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保护耕地满意度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30" w:hRule="atLeast"/>
        </w:trPr>
        <w:tc>
          <w:tcPr>
            <w:tcW w:w="53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489" w:type="dxa"/>
        <w:tblInd w:w="0" w:type="dxa"/>
        <w:tblLayout w:type="fixed"/>
        <w:tblCellMar>
          <w:top w:w="0" w:type="dxa"/>
          <w:left w:w="0" w:type="dxa"/>
          <w:bottom w:w="0" w:type="dxa"/>
          <w:right w:w="0" w:type="dxa"/>
        </w:tblCellMar>
      </w:tblPr>
      <w:tblGrid>
        <w:gridCol w:w="541"/>
        <w:gridCol w:w="437"/>
        <w:gridCol w:w="765"/>
        <w:gridCol w:w="757"/>
        <w:gridCol w:w="853"/>
        <w:gridCol w:w="262"/>
        <w:gridCol w:w="951"/>
        <w:gridCol w:w="814"/>
        <w:gridCol w:w="720"/>
        <w:gridCol w:w="176"/>
        <w:gridCol w:w="794"/>
        <w:gridCol w:w="106"/>
        <w:gridCol w:w="1313"/>
      </w:tblGrid>
      <w:tr>
        <w:tblPrEx>
          <w:tblLayout w:type="fixed"/>
          <w:tblCellMar>
            <w:top w:w="0" w:type="dxa"/>
            <w:left w:w="0" w:type="dxa"/>
            <w:bottom w:w="0" w:type="dxa"/>
            <w:right w:w="0" w:type="dxa"/>
          </w:tblCellMar>
        </w:tblPrEx>
        <w:trPr>
          <w:trHeight w:val="405" w:hRule="atLeast"/>
        </w:trPr>
        <w:tc>
          <w:tcPr>
            <w:tcW w:w="8489" w:type="dxa"/>
            <w:gridSpan w:val="1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489" w:type="dxa"/>
            <w:gridSpan w:val="1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11"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2020年自治区财政林业专项资金（林果技术服务合作社补助项目）</w:t>
            </w:r>
          </w:p>
        </w:tc>
      </w:tr>
      <w:tr>
        <w:tblPrEx>
          <w:tblLayout w:type="fixed"/>
          <w:tblCellMar>
            <w:top w:w="0" w:type="dxa"/>
            <w:left w:w="0" w:type="dxa"/>
            <w:bottom w:w="0" w:type="dxa"/>
            <w:right w:w="0" w:type="dxa"/>
          </w:tblCellMar>
        </w:tblPrEx>
        <w:trPr>
          <w:trHeight w:val="319" w:hRule="atLeast"/>
        </w:trPr>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5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1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3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92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047" w:hRule="atLeast"/>
        </w:trPr>
        <w:tc>
          <w:tcPr>
            <w:tcW w:w="5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补助林果技术服务合作社，为果农开展修建、施肥、防治、代加工等林果技术服务。</w:t>
            </w:r>
          </w:p>
        </w:tc>
        <w:tc>
          <w:tcPr>
            <w:tcW w:w="392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经项目验收合格后，支付林果技术服务合作社补助资金</w:t>
            </w:r>
          </w:p>
        </w:tc>
      </w:tr>
      <w:tr>
        <w:tblPrEx>
          <w:tblLayout w:type="fixed"/>
          <w:tblCellMar>
            <w:top w:w="0" w:type="dxa"/>
            <w:left w:w="0" w:type="dxa"/>
            <w:bottom w:w="0" w:type="dxa"/>
            <w:right w:w="0" w:type="dxa"/>
          </w:tblCellMar>
        </w:tblPrEx>
        <w:trPr>
          <w:trHeight w:val="319" w:hRule="atLeast"/>
        </w:trPr>
        <w:tc>
          <w:tcPr>
            <w:tcW w:w="54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7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4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7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组建林果技术服务合作社数量</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1个</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1个</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0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组建林果技术服务合作社数量-项目验收合格率（%）</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w:t>
            </w:r>
            <w:r>
              <w:rPr>
                <w:rStyle w:val="13"/>
                <w:sz w:val="18"/>
                <w:szCs w:val="18"/>
                <w:lang w:bidi="ar"/>
              </w:rPr>
              <w:t>80.00%</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w:t>
            </w:r>
            <w:r>
              <w:rPr>
                <w:rStyle w:val="13"/>
                <w:sz w:val="18"/>
                <w:szCs w:val="18"/>
                <w:lang w:bidi="ar"/>
              </w:rPr>
              <w:t>80.00%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0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科技培训示范及熟化效果（%）</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≧9</w:t>
            </w:r>
            <w:r>
              <w:rPr>
                <w:rStyle w:val="13"/>
                <w:sz w:val="18"/>
                <w:szCs w:val="18"/>
                <w:lang w:bidi="ar"/>
              </w:rPr>
              <w:t>0.00%</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≧9</w:t>
            </w:r>
            <w:r>
              <w:rPr>
                <w:rStyle w:val="13"/>
                <w:sz w:val="18"/>
                <w:szCs w:val="18"/>
                <w:lang w:bidi="ar"/>
              </w:rPr>
              <w:t>0.00%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任务完成时间</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2020年12月底之前</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2020年12月底之前</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林果技术服务合作社补助（万元）</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8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为果农带来经济利益（是否）</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4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持续发挥作用期限</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2年</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2年</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项目参与人员满意度</w:t>
            </w:r>
          </w:p>
        </w:tc>
        <w:tc>
          <w:tcPr>
            <w:tcW w:w="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≧85.00</w:t>
            </w:r>
            <w:r>
              <w:rPr>
                <w:rStyle w:val="13"/>
                <w:sz w:val="18"/>
                <w:szCs w:val="18"/>
                <w:lang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Style w:val="12"/>
                <w:rFonts w:hint="default"/>
                <w:lang w:bidi="ar"/>
              </w:rPr>
              <w:t>≧85.00</w:t>
            </w:r>
            <w:r>
              <w:rPr>
                <w:rStyle w:val="13"/>
                <w:sz w:val="18"/>
                <w:szCs w:val="18"/>
                <w:lang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3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8316" w:type="dxa"/>
        <w:tblInd w:w="0" w:type="dxa"/>
        <w:tblLayout w:type="fixed"/>
        <w:tblCellMar>
          <w:top w:w="0" w:type="dxa"/>
          <w:left w:w="0" w:type="dxa"/>
          <w:bottom w:w="0" w:type="dxa"/>
          <w:right w:w="0" w:type="dxa"/>
        </w:tblCellMar>
      </w:tblPr>
      <w:tblGrid>
        <w:gridCol w:w="498"/>
        <w:gridCol w:w="409"/>
        <w:gridCol w:w="712"/>
        <w:gridCol w:w="653"/>
        <w:gridCol w:w="814"/>
        <w:gridCol w:w="223"/>
        <w:gridCol w:w="990"/>
        <w:gridCol w:w="1155"/>
        <w:gridCol w:w="77"/>
        <w:gridCol w:w="593"/>
        <w:gridCol w:w="230"/>
        <w:gridCol w:w="589"/>
        <w:gridCol w:w="327"/>
        <w:gridCol w:w="1046"/>
      </w:tblGrid>
      <w:tr>
        <w:tblPrEx>
          <w:tblLayout w:type="fixed"/>
          <w:tblCellMar>
            <w:top w:w="0" w:type="dxa"/>
            <w:left w:w="0" w:type="dxa"/>
            <w:bottom w:w="0" w:type="dxa"/>
            <w:right w:w="0" w:type="dxa"/>
          </w:tblCellMar>
        </w:tblPrEx>
        <w:trPr>
          <w:trHeight w:val="405" w:hRule="atLeast"/>
        </w:trPr>
        <w:tc>
          <w:tcPr>
            <w:tcW w:w="8316"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316"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580" w:hRule="atLeast"/>
        </w:trPr>
        <w:tc>
          <w:tcPr>
            <w:tcW w:w="9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40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2020年自治区财政林业专项资金（森林植被恢复费-全疆林果提质增效示范田及高标准林果示范基地建设任务）</w:t>
            </w:r>
          </w:p>
        </w:tc>
      </w:tr>
      <w:tr>
        <w:tblPrEx>
          <w:tblLayout w:type="fixed"/>
          <w:tblCellMar>
            <w:top w:w="0" w:type="dxa"/>
            <w:left w:w="0" w:type="dxa"/>
            <w:bottom w:w="0" w:type="dxa"/>
            <w:right w:w="0" w:type="dxa"/>
          </w:tblCellMar>
        </w:tblPrEx>
        <w:trPr>
          <w:trHeight w:val="319" w:hRule="atLeast"/>
        </w:trPr>
        <w:tc>
          <w:tcPr>
            <w:tcW w:w="9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39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7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380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1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798" w:hRule="atLeast"/>
        </w:trPr>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0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完成林果提质增效示范田基地建设任务300.00亩。</w:t>
            </w:r>
          </w:p>
        </w:tc>
        <w:tc>
          <w:tcPr>
            <w:tcW w:w="401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项目经验收合格后，已完成林果完成林果提质增效示范田基地建设任务，并已兑付资金。</w:t>
            </w:r>
          </w:p>
        </w:tc>
      </w:tr>
      <w:tr>
        <w:tblPrEx>
          <w:tblLayout w:type="fixed"/>
          <w:tblCellMar>
            <w:top w:w="0" w:type="dxa"/>
            <w:left w:w="0" w:type="dxa"/>
            <w:bottom w:w="0" w:type="dxa"/>
            <w:right w:w="0" w:type="dxa"/>
          </w:tblCellMar>
        </w:tblPrEx>
        <w:trPr>
          <w:trHeight w:val="319" w:hRule="atLeast"/>
        </w:trPr>
        <w:tc>
          <w:tcPr>
            <w:tcW w:w="49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3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6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林果提质增效示范田（万亩）</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0.03万亩</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0.03万亩</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8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果园林木保存率（%）</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70%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70%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任务完成时间</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2020年12月31日前</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2020年12月31日前</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林果提质增效示范田基地建设（万元）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4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辐射带动周边果园标准化建设规模</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明显提升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明显提升</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4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提高当地果园管理水平</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有所提升</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改善当地生态环境</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有所提高</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有所提高</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提高果园果树生长量和产量</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有所提高</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有所提高</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0" w:hRule="atLeast"/>
        </w:trPr>
        <w:tc>
          <w:tcPr>
            <w:tcW w:w="49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9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≧8</w:t>
            </w:r>
            <w:r>
              <w:rPr>
                <w:rFonts w:hint="eastAsia" w:ascii="宋体" w:hAnsi="宋体" w:cs="宋体"/>
                <w:color w:val="000000"/>
                <w:kern w:val="0"/>
                <w:sz w:val="18"/>
                <w:szCs w:val="18"/>
                <w:lang w:bidi="ar"/>
              </w:rPr>
              <w:t>0.00%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≧8</w:t>
            </w:r>
            <w:r>
              <w:rPr>
                <w:rFonts w:hint="eastAsia" w:ascii="宋体" w:hAnsi="宋体" w:cs="宋体"/>
                <w:color w:val="000000"/>
                <w:kern w:val="0"/>
                <w:sz w:val="18"/>
                <w:szCs w:val="18"/>
                <w:lang w:bidi="ar"/>
              </w:rPr>
              <w:t>0.00%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60" w:hRule="atLeast"/>
        </w:trPr>
        <w:tc>
          <w:tcPr>
            <w:tcW w:w="545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8720" w:type="dxa"/>
        <w:tblInd w:w="0" w:type="dxa"/>
        <w:tblLayout w:type="fixed"/>
        <w:tblCellMar>
          <w:top w:w="0" w:type="dxa"/>
          <w:left w:w="0" w:type="dxa"/>
          <w:bottom w:w="0" w:type="dxa"/>
          <w:right w:w="0" w:type="dxa"/>
        </w:tblCellMar>
      </w:tblPr>
      <w:tblGrid>
        <w:gridCol w:w="520"/>
        <w:gridCol w:w="9"/>
        <w:gridCol w:w="415"/>
        <w:gridCol w:w="15"/>
        <w:gridCol w:w="965"/>
        <w:gridCol w:w="11"/>
        <w:gridCol w:w="448"/>
        <w:gridCol w:w="59"/>
        <w:gridCol w:w="794"/>
        <w:gridCol w:w="62"/>
        <w:gridCol w:w="269"/>
        <w:gridCol w:w="110"/>
        <w:gridCol w:w="958"/>
        <w:gridCol w:w="662"/>
        <w:gridCol w:w="252"/>
        <w:gridCol w:w="148"/>
        <w:gridCol w:w="249"/>
        <w:gridCol w:w="499"/>
        <w:gridCol w:w="94"/>
        <w:gridCol w:w="600"/>
        <w:gridCol w:w="102"/>
        <w:gridCol w:w="209"/>
        <w:gridCol w:w="1097"/>
        <w:gridCol w:w="173"/>
      </w:tblGrid>
      <w:tr>
        <w:tblPrEx>
          <w:tblLayout w:type="fixed"/>
          <w:tblCellMar>
            <w:top w:w="0" w:type="dxa"/>
            <w:left w:w="0" w:type="dxa"/>
            <w:bottom w:w="0" w:type="dxa"/>
            <w:right w:w="0" w:type="dxa"/>
          </w:tblCellMar>
        </w:tblPrEx>
        <w:trPr>
          <w:gridAfter w:val="1"/>
          <w:wAfter w:w="173" w:type="dxa"/>
          <w:trHeight w:val="405" w:hRule="atLeast"/>
        </w:trPr>
        <w:tc>
          <w:tcPr>
            <w:tcW w:w="8547" w:type="dxa"/>
            <w:gridSpan w:val="2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gridAfter w:val="1"/>
          <w:wAfter w:w="173" w:type="dxa"/>
          <w:trHeight w:val="405" w:hRule="atLeast"/>
        </w:trPr>
        <w:tc>
          <w:tcPr>
            <w:tcW w:w="8547" w:type="dxa"/>
            <w:gridSpan w:val="2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603"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追加自然资源局生态林管护所聘用人员费用</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9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9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3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13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102.47</w:t>
            </w:r>
          </w:p>
        </w:tc>
        <w:tc>
          <w:tcPr>
            <w:tcW w:w="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62.73%</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6.30 </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13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102.47</w:t>
            </w:r>
          </w:p>
        </w:tc>
        <w:tc>
          <w:tcPr>
            <w:tcW w:w="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173" w:type="dxa"/>
          <w:trHeight w:val="319" w:hRule="atLeast"/>
        </w:trPr>
        <w:tc>
          <w:tcPr>
            <w:tcW w:w="9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173" w:type="dxa"/>
          <w:trHeight w:val="319" w:hRule="atLeast"/>
        </w:trPr>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1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91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gridAfter w:val="1"/>
          <w:wAfter w:w="173" w:type="dxa"/>
          <w:trHeight w:val="2580" w:hRule="atLeast"/>
        </w:trPr>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1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left"/>
              <w:textAlignment w:val="top"/>
              <w:rPr>
                <w:rFonts w:ascii="宋体" w:hAnsi="宋体" w:cs="宋体"/>
                <w:color w:val="000000"/>
                <w:sz w:val="18"/>
                <w:szCs w:val="18"/>
              </w:rPr>
            </w:pPr>
            <w:r>
              <w:rPr>
                <w:rFonts w:hint="eastAsia" w:ascii="宋体" w:hAnsi="宋体" w:cs="宋体"/>
                <w:color w:val="000000"/>
                <w:kern w:val="0"/>
                <w:sz w:val="18"/>
                <w:szCs w:val="18"/>
                <w:lang w:bidi="ar"/>
              </w:rPr>
              <w:t xml:space="preserve">   成立三工滩生态林管护所、三屯河生态林管护所、大沙河生态林管护所其中三工滩4090亩，三屯河2784亩，大沙河基地1.1万亩，三工路600亩。树种以红叶海棠、苹果、白蜡、榆树为主，聘用35人员对三个管护所的1.85万亩生态林进行管护，生态林建设和管护是以创造环境效益和社会效益为主的公益性工程。不仅对保护环境，增强人民群众的生活满意度和空气净化有着重要作用，而且还提供管护岗位带动就业人数，提高了居民的生活质量。</w:t>
            </w:r>
          </w:p>
        </w:tc>
        <w:tc>
          <w:tcPr>
            <w:tcW w:w="391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1、完成了三个管护站管护人员及临聘人员2020年5月-2020年12月人员的工资及社保缴费支出。2、完成了三工滩生态林管护所、三屯河生态林管护所、大沙河生态林管护所17874亩的林木管护工作，                                     </w:t>
            </w:r>
          </w:p>
        </w:tc>
      </w:tr>
      <w:tr>
        <w:tblPrEx>
          <w:tblLayout w:type="fixed"/>
          <w:tblCellMar>
            <w:top w:w="0" w:type="dxa"/>
            <w:left w:w="0" w:type="dxa"/>
            <w:bottom w:w="0" w:type="dxa"/>
            <w:right w:w="0" w:type="dxa"/>
          </w:tblCellMar>
        </w:tblPrEx>
        <w:trPr>
          <w:gridAfter w:val="1"/>
          <w:wAfter w:w="173" w:type="dxa"/>
          <w:trHeight w:val="319" w:hRule="atLeast"/>
        </w:trPr>
        <w:tc>
          <w:tcPr>
            <w:tcW w:w="52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753"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19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40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gridAfter w:val="1"/>
          <w:wAfter w:w="173" w:type="dxa"/>
          <w:trHeight w:val="319"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53"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9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0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439"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建立生态管护所几个</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3个</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3个</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535"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生态管护所当期任务完成率</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Style w:val="10"/>
                <w:rFonts w:hint="default"/>
                <w:sz w:val="18"/>
                <w:szCs w:val="18"/>
                <w:lang w:bidi="ar"/>
              </w:rPr>
              <w:t>90.00%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Style w:val="10"/>
                <w:rFonts w:hint="default"/>
                <w:sz w:val="18"/>
                <w:szCs w:val="18"/>
                <w:lang w:bidi="ar"/>
              </w:rPr>
              <w:t>90.00%</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755"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生态管护所财政补助（万元）</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163.36</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6.30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因疫情社保缴费减费等原因，造成资金结余</w:t>
            </w:r>
          </w:p>
        </w:tc>
      </w:tr>
      <w:tr>
        <w:tblPrEx>
          <w:tblLayout w:type="fixed"/>
          <w:tblCellMar>
            <w:top w:w="0" w:type="dxa"/>
            <w:left w:w="0" w:type="dxa"/>
            <w:bottom w:w="0" w:type="dxa"/>
            <w:right w:w="0" w:type="dxa"/>
          </w:tblCellMar>
        </w:tblPrEx>
        <w:trPr>
          <w:gridAfter w:val="1"/>
          <w:wAfter w:w="173" w:type="dxa"/>
          <w:trHeight w:val="720"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生态管护所提供管护岗位带动就业人数</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35人</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35人</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812"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生态管护所对生态环境改善情况（是否明显）</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522"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自然生态系统是否保持完好</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900" w:hRule="atLeast"/>
        </w:trPr>
        <w:tc>
          <w:tcPr>
            <w:tcW w:w="52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8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75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生态管护所聘用人员满意度</w:t>
            </w:r>
          </w:p>
        </w:tc>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≧8</w:t>
            </w:r>
            <w:r>
              <w:rPr>
                <w:rStyle w:val="10"/>
                <w:rFonts w:hint="default"/>
                <w:sz w:val="18"/>
                <w:szCs w:val="18"/>
                <w:lang w:bidi="ar"/>
              </w:rPr>
              <w:t>0.00%</w:t>
            </w:r>
          </w:p>
        </w:tc>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≧8</w:t>
            </w:r>
            <w:r>
              <w:rPr>
                <w:rStyle w:val="10"/>
                <w:rFonts w:hint="default"/>
                <w:sz w:val="18"/>
                <w:szCs w:val="18"/>
                <w:lang w:bidi="ar"/>
              </w:rPr>
              <w:t>0.00%</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173" w:type="dxa"/>
          <w:trHeight w:val="591" w:hRule="atLeast"/>
        </w:trPr>
        <w:tc>
          <w:tcPr>
            <w:tcW w:w="5297"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1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92.60 </w:t>
            </w:r>
          </w:p>
        </w:tc>
        <w:tc>
          <w:tcPr>
            <w:tcW w:w="140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05" w:hRule="atLeast"/>
        </w:trPr>
        <w:tc>
          <w:tcPr>
            <w:tcW w:w="8720" w:type="dxa"/>
            <w:gridSpan w:val="2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20" w:type="dxa"/>
            <w:gridSpan w:val="2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5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761" w:type="dxa"/>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昌吉市自然资源局异地耕地购买</w:t>
            </w:r>
          </w:p>
        </w:tc>
      </w:tr>
      <w:tr>
        <w:tblPrEx>
          <w:tblLayout w:type="fixed"/>
          <w:tblCellMar>
            <w:top w:w="0" w:type="dxa"/>
            <w:left w:w="0" w:type="dxa"/>
            <w:bottom w:w="0" w:type="dxa"/>
            <w:right w:w="0" w:type="dxa"/>
          </w:tblCellMar>
        </w:tblPrEx>
        <w:trPr>
          <w:trHeight w:val="319" w:hRule="atLeast"/>
        </w:trPr>
        <w:tc>
          <w:tcPr>
            <w:tcW w:w="95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7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2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5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0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8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890" w:hRule="atLeast"/>
        </w:trPr>
        <w:tc>
          <w:tcPr>
            <w:tcW w:w="5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2019年我局与阜康市国土资源局达成《异地补充耕地委托补充协议》，委托阜康市国土资源局将其批准的土地开发整理复垦为“占补平衡”的2000公顷（合2万亩，按4000元/亩补助费）新增耕地指标提供给昌吉市使用为完成昌吉市建设用地报批工作，有力的保障昌吉市供地。</w:t>
            </w:r>
          </w:p>
        </w:tc>
        <w:tc>
          <w:tcPr>
            <w:tcW w:w="4085"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2019年我局与阜康市国土资源局达成《异地补充耕地委托补充协议》，委托阜康市国土资源局将其批准的土地开发整理复垦为“占补平衡”的2000公顷（合2万亩，按4000元/亩补助费）新增耕地指标提供给昌吉市使用为完成昌吉市建设用地报批工作，有力的保障昌吉市供地。</w:t>
            </w:r>
          </w:p>
        </w:tc>
      </w:tr>
      <w:tr>
        <w:tblPrEx>
          <w:tblLayout w:type="fixed"/>
          <w:tblCellMar>
            <w:top w:w="0" w:type="dxa"/>
            <w:left w:w="0" w:type="dxa"/>
            <w:bottom w:w="0" w:type="dxa"/>
            <w:right w:w="0" w:type="dxa"/>
          </w:tblCellMar>
        </w:tblPrEx>
        <w:trPr>
          <w:trHeight w:val="319" w:hRule="atLeast"/>
        </w:trPr>
        <w:tc>
          <w:tcPr>
            <w:tcW w:w="529"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3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84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84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6"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购买耕地（亩）</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7500亩</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7500亩</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65"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购买耕地等级</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购买耕地完成时间</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2020年4月30日</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73"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购买易地耕地总成本（万元）</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3000.00 </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01"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通过购买易地耕地，有力保证昌吉市建设用地供地</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有效保证建设用地报批</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保证建设用地报批</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61"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耕地总量动态平衡，保障各项用地供给</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有效保障耕地总量动态平衡，确保各项用地供给</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11"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长期满足昌吉市经济可持续发展（%）</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完成率100</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529"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7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w:t>
            </w:r>
          </w:p>
        </w:tc>
        <w:tc>
          <w:tcPr>
            <w:tcW w:w="1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5697" w:type="dxa"/>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8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91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8558" w:type="dxa"/>
        <w:tblInd w:w="0" w:type="dxa"/>
        <w:tblLayout w:type="fixed"/>
        <w:tblCellMar>
          <w:top w:w="0" w:type="dxa"/>
          <w:left w:w="0" w:type="dxa"/>
          <w:bottom w:w="0" w:type="dxa"/>
          <w:right w:w="0" w:type="dxa"/>
        </w:tblCellMar>
      </w:tblPr>
      <w:tblGrid>
        <w:gridCol w:w="533"/>
        <w:gridCol w:w="431"/>
        <w:gridCol w:w="755"/>
        <w:gridCol w:w="731"/>
        <w:gridCol w:w="863"/>
        <w:gridCol w:w="253"/>
        <w:gridCol w:w="1000"/>
        <w:gridCol w:w="860"/>
        <w:gridCol w:w="98"/>
        <w:gridCol w:w="803"/>
        <w:gridCol w:w="873"/>
        <w:gridCol w:w="1358"/>
      </w:tblGrid>
      <w:tr>
        <w:tblPrEx>
          <w:tblLayout w:type="fixed"/>
          <w:tblCellMar>
            <w:top w:w="0" w:type="dxa"/>
            <w:left w:w="0" w:type="dxa"/>
            <w:bottom w:w="0" w:type="dxa"/>
            <w:right w:w="0" w:type="dxa"/>
          </w:tblCellMar>
        </w:tblPrEx>
        <w:trPr>
          <w:trHeight w:val="405" w:hRule="atLeast"/>
        </w:trPr>
        <w:tc>
          <w:tcPr>
            <w:tcW w:w="8558"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58"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9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昌吉市自然资源局2018年新增建设用地耕地占用税</w:t>
            </w:r>
          </w:p>
        </w:tc>
      </w:tr>
      <w:tr>
        <w:tblPrEx>
          <w:tblLayout w:type="fixed"/>
          <w:tblCellMar>
            <w:top w:w="0" w:type="dxa"/>
            <w:left w:w="0" w:type="dxa"/>
            <w:bottom w:w="0" w:type="dxa"/>
            <w:right w:w="0" w:type="dxa"/>
          </w:tblCellMar>
        </w:tblPrEx>
        <w:trPr>
          <w:trHeight w:val="319" w:hRule="atLeast"/>
        </w:trPr>
        <w:tc>
          <w:tcPr>
            <w:tcW w:w="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0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13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9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9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9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613" w:hRule="atLeast"/>
        </w:trPr>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99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151" w:hRule="atLeast"/>
        </w:trPr>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为合理利用土地资源，加强土地管理，保护农用耕地，对占用耕地建房或从事其他非农业建设的单位和个人征收耕地占用税，用于建立发展农业专项基金，开展宜耕土地开发和改良现有耕地。</w:t>
            </w:r>
          </w:p>
        </w:tc>
        <w:tc>
          <w:tcPr>
            <w:tcW w:w="399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合理利用土地资源，加强土地管理，保护农用耕地，对占用耕地建房或从事其他非农业建设的单位和个人征收耕地占用税，用于建立发展农业专项基金，开展宜耕土地开发和改良现有耕地。</w:t>
            </w:r>
          </w:p>
        </w:tc>
      </w:tr>
      <w:tr>
        <w:tblPrEx>
          <w:tblLayout w:type="fixed"/>
          <w:tblCellMar>
            <w:top w:w="0" w:type="dxa"/>
            <w:left w:w="0" w:type="dxa"/>
            <w:bottom w:w="0" w:type="dxa"/>
            <w:right w:w="0" w:type="dxa"/>
          </w:tblCellMar>
        </w:tblPrEx>
        <w:trPr>
          <w:trHeight w:val="319" w:hRule="atLeast"/>
        </w:trPr>
        <w:tc>
          <w:tcPr>
            <w:tcW w:w="53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3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新增建设用地占用耕地</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623.85亩</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623.85亩</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占用耕地等级</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2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耕地占用税上缴及时率（%）</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耕地占用税（万元）</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8317.78</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加大提高基础设施建设用地使用率（%）</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8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用于建立开发农业专项基金</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有效开发改良</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有效开发改良</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农民满意度</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w:t>
            </w:r>
          </w:p>
        </w:tc>
        <w:tc>
          <w:tcPr>
            <w:tcW w:w="9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34" w:hRule="atLeast"/>
        </w:trPr>
        <w:tc>
          <w:tcPr>
            <w:tcW w:w="552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8512" w:type="dxa"/>
        <w:tblInd w:w="0" w:type="dxa"/>
        <w:tblLayout w:type="fixed"/>
        <w:tblCellMar>
          <w:top w:w="0" w:type="dxa"/>
          <w:left w:w="0" w:type="dxa"/>
          <w:bottom w:w="0" w:type="dxa"/>
          <w:right w:w="0" w:type="dxa"/>
        </w:tblCellMar>
      </w:tblPr>
      <w:tblGrid>
        <w:gridCol w:w="551"/>
        <w:gridCol w:w="444"/>
        <w:gridCol w:w="779"/>
        <w:gridCol w:w="778"/>
        <w:gridCol w:w="865"/>
        <w:gridCol w:w="271"/>
        <w:gridCol w:w="1109"/>
        <w:gridCol w:w="1246"/>
        <w:gridCol w:w="496"/>
        <w:gridCol w:w="173"/>
        <w:gridCol w:w="612"/>
        <w:gridCol w:w="92"/>
        <w:gridCol w:w="1096"/>
      </w:tblGrid>
      <w:tr>
        <w:tblPrEx>
          <w:tblLayout w:type="fixed"/>
          <w:tblCellMar>
            <w:top w:w="0" w:type="dxa"/>
            <w:left w:w="0" w:type="dxa"/>
            <w:bottom w:w="0" w:type="dxa"/>
            <w:right w:w="0" w:type="dxa"/>
          </w:tblCellMar>
        </w:tblPrEx>
        <w:trPr>
          <w:trHeight w:val="405" w:hRule="atLeast"/>
        </w:trPr>
        <w:tc>
          <w:tcPr>
            <w:tcW w:w="8512" w:type="dxa"/>
            <w:gridSpan w:val="1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12" w:type="dxa"/>
            <w:gridSpan w:val="1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17"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追加购买不动产证书各类表格印刷、档案皮盒经费</w:t>
            </w:r>
          </w:p>
        </w:tc>
      </w:tr>
      <w:tr>
        <w:tblPrEx>
          <w:tblLayout w:type="fixed"/>
          <w:tblCellMar>
            <w:top w:w="0" w:type="dxa"/>
            <w:left w:w="0" w:type="dxa"/>
            <w:bottom w:w="0" w:type="dxa"/>
            <w:right w:w="0" w:type="dxa"/>
          </w:tblCellMar>
        </w:tblPrEx>
        <w:trPr>
          <w:trHeight w:val="319" w:hRule="atLeast"/>
        </w:trPr>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80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46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40.00 </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693" w:hRule="atLeast"/>
        </w:trPr>
        <w:tc>
          <w:tcPr>
            <w:tcW w:w="5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24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7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252" w:hRule="atLeast"/>
        </w:trPr>
        <w:tc>
          <w:tcPr>
            <w:tcW w:w="5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完成不动产登记业务4万本（其中：发放不动产权证2.8万本，出具不动产登记证明1.2万件）</w:t>
            </w:r>
          </w:p>
        </w:tc>
        <w:tc>
          <w:tcPr>
            <w:tcW w:w="37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2020年度完成不动产登记业务4万本（其中：发放不动产权证2.8万本，出具不动产登记证明1.2万件）</w:t>
            </w:r>
          </w:p>
        </w:tc>
      </w:tr>
      <w:tr>
        <w:tblPrEx>
          <w:tblLayout w:type="fixed"/>
          <w:tblCellMar>
            <w:top w:w="0" w:type="dxa"/>
            <w:left w:w="0" w:type="dxa"/>
            <w:bottom w:w="0" w:type="dxa"/>
            <w:right w:w="0" w:type="dxa"/>
          </w:tblCellMar>
        </w:tblPrEx>
        <w:trPr>
          <w:trHeight w:val="319" w:hRule="atLeast"/>
        </w:trPr>
        <w:tc>
          <w:tcPr>
            <w:tcW w:w="55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91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62"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预期2020年办结不动产登记业务</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完成不动产登记4万件</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63"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不动产登记发证</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不动产登记发证</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不动产登记时效</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自受理后10个工作日领取不动产证书</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自受理后10个工作日领取不动产证书</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40"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购买不动产证书成本</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证书40万本（10元/本）</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证书40万本（10元/本）</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664"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预期上缴国库不动产登记费</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上缴国库不动产登记费240万元</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已上缴财政证本登记费600万元</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784"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实行多证合一，方便群众，十个工作日领取不动产证书　 　</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为群众来了切实的便利</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为群众来了切实的便利</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520"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将分散在多个部门的不动产登记职责由一个部门承担</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减少办证环节，减轻群众负担</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减少办证环节，减轻群众负担</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84"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完善不动产数据建设，更新不动产平台设备</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继续完善不动产数据建设，更新不动产平台设备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完善不动产数据建设，更新不动产平台设备</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43" w:hRule="atLeast"/>
        </w:trPr>
        <w:tc>
          <w:tcPr>
            <w:tcW w:w="55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w:t>
            </w:r>
          </w:p>
        </w:tc>
        <w:tc>
          <w:tcPr>
            <w:tcW w:w="11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群众满意度95%以上</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群众满意度95%以上</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5" w:hRule="atLeast"/>
        </w:trPr>
        <w:tc>
          <w:tcPr>
            <w:tcW w:w="604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9412" w:type="dxa"/>
        <w:tblInd w:w="0" w:type="dxa"/>
        <w:tblLayout w:type="fixed"/>
        <w:tblCellMar>
          <w:top w:w="0" w:type="dxa"/>
          <w:left w:w="0" w:type="dxa"/>
          <w:bottom w:w="0" w:type="dxa"/>
          <w:right w:w="0" w:type="dxa"/>
        </w:tblCellMar>
      </w:tblPr>
      <w:tblGrid>
        <w:gridCol w:w="536"/>
        <w:gridCol w:w="433"/>
        <w:gridCol w:w="1116"/>
        <w:gridCol w:w="388"/>
        <w:gridCol w:w="1031"/>
        <w:gridCol w:w="1143"/>
        <w:gridCol w:w="1200"/>
        <w:gridCol w:w="1027"/>
        <w:gridCol w:w="576"/>
        <w:gridCol w:w="808"/>
        <w:gridCol w:w="1154"/>
      </w:tblGrid>
      <w:tr>
        <w:tblPrEx>
          <w:tblLayout w:type="fixed"/>
          <w:tblCellMar>
            <w:top w:w="0" w:type="dxa"/>
            <w:left w:w="0" w:type="dxa"/>
            <w:bottom w:w="0" w:type="dxa"/>
            <w:right w:w="0" w:type="dxa"/>
          </w:tblCellMar>
        </w:tblPrEx>
        <w:trPr>
          <w:trHeight w:val="405" w:hRule="atLeast"/>
        </w:trPr>
        <w:tc>
          <w:tcPr>
            <w:tcW w:w="9412" w:type="dxa"/>
            <w:gridSpan w:val="11"/>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412" w:type="dxa"/>
            <w:gridSpan w:val="11"/>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44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追加创建国家森林城市工作经费</w:t>
            </w:r>
          </w:p>
        </w:tc>
      </w:tr>
      <w:tr>
        <w:tblPrEx>
          <w:tblLayout w:type="fixed"/>
          <w:tblCellMar>
            <w:top w:w="0" w:type="dxa"/>
            <w:left w:w="0" w:type="dxa"/>
            <w:bottom w:w="0" w:type="dxa"/>
            <w:right w:w="0" w:type="dxa"/>
          </w:tblCellMar>
        </w:tblPrEx>
        <w:trPr>
          <w:trHeight w:val="319" w:hRule="atLeast"/>
        </w:trPr>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8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5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414" w:hRule="atLeast"/>
        </w:trPr>
        <w:tc>
          <w:tcPr>
            <w:tcW w:w="9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23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23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5"/>
                <w:szCs w:val="15"/>
                <w:lang w:bidi="ar"/>
              </w:rPr>
              <w:t>其中：当年财政拨款</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23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150" w:hRule="atLeast"/>
        </w:trPr>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3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243" w:hRule="atLeast"/>
        </w:trPr>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3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531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5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421" w:hRule="atLeast"/>
        </w:trPr>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31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制作完成一部15分钟的创森宣传片及5本画册制作。完成一次公众满意度测评。</w:t>
            </w:r>
          </w:p>
        </w:tc>
        <w:tc>
          <w:tcPr>
            <w:tcW w:w="35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已完成创森宣传片及画册的制作工作。</w:t>
            </w:r>
          </w:p>
        </w:tc>
      </w:tr>
      <w:tr>
        <w:tblPrEx>
          <w:tblLayout w:type="fixed"/>
          <w:tblCellMar>
            <w:top w:w="0" w:type="dxa"/>
            <w:left w:w="0" w:type="dxa"/>
            <w:bottom w:w="0" w:type="dxa"/>
            <w:right w:w="0" w:type="dxa"/>
          </w:tblCellMar>
        </w:tblPrEx>
        <w:trPr>
          <w:trHeight w:val="319" w:hRule="atLeast"/>
        </w:trPr>
        <w:tc>
          <w:tcPr>
            <w:tcW w:w="53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56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410"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5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11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完成创森宣传片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完成15分钟创森宣传片一部</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完成15分钟创森宣传片一部</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24"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完成创森画册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完成创森5本画册</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完成创森5本画册</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25"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保证宣传片画面质量和效果</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09"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2020年12月30日之前完成</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2020年12月30日之前完成</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2020年12月30日之前完成</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66"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创森工作经费</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57"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是否促进林业产品的生产，带动全市产业发展</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11"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是否将昌吉市建成和谐宜居、绿色低碳的生态文明县市</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65"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创建国家森林城市，能使水源得到有力涵养，大气环境得到控制，生物多样性是否得到保护</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90"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森林服务城乡居民的半径是否不断扩大，森林维护居民身心健康的功能是否不断提升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78" w:hRule="atLeast"/>
        </w:trPr>
        <w:tc>
          <w:tcPr>
            <w:tcW w:w="53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1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5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公众支持率和满意度</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r>
              <w:rPr>
                <w:rFonts w:hint="eastAsia" w:ascii="宋体" w:hAnsi="宋体" w:cs="宋体"/>
                <w:color w:val="000000"/>
                <w:kern w:val="0"/>
                <w:sz w:val="18"/>
                <w:szCs w:val="18"/>
                <w:lang w:bidi="ar"/>
              </w:rPr>
              <w:t>%</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≧90</w:t>
            </w:r>
            <w:r>
              <w:rPr>
                <w:rFonts w:hint="eastAsia" w:ascii="宋体" w:hAnsi="宋体" w:cs="宋体"/>
                <w:color w:val="000000"/>
                <w:kern w:val="0"/>
                <w:sz w:val="18"/>
                <w:szCs w:val="18"/>
                <w:lang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3" w:hRule="atLeast"/>
        </w:trPr>
        <w:tc>
          <w:tcPr>
            <w:tcW w:w="68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020" w:type="dxa"/>
        <w:tblInd w:w="0" w:type="dxa"/>
        <w:tblLayout w:type="fixed"/>
        <w:tblCellMar>
          <w:top w:w="0" w:type="dxa"/>
          <w:left w:w="0" w:type="dxa"/>
          <w:bottom w:w="0" w:type="dxa"/>
          <w:right w:w="0" w:type="dxa"/>
        </w:tblCellMar>
      </w:tblPr>
      <w:tblGrid>
        <w:gridCol w:w="524"/>
        <w:gridCol w:w="31"/>
        <w:gridCol w:w="393"/>
        <w:gridCol w:w="53"/>
        <w:gridCol w:w="690"/>
        <w:gridCol w:w="94"/>
        <w:gridCol w:w="628"/>
        <w:gridCol w:w="155"/>
        <w:gridCol w:w="686"/>
        <w:gridCol w:w="185"/>
        <w:gridCol w:w="64"/>
        <w:gridCol w:w="208"/>
        <w:gridCol w:w="913"/>
        <w:gridCol w:w="207"/>
        <w:gridCol w:w="600"/>
        <w:gridCol w:w="8"/>
        <w:gridCol w:w="650"/>
        <w:gridCol w:w="23"/>
        <w:gridCol w:w="588"/>
        <w:gridCol w:w="93"/>
        <w:gridCol w:w="69"/>
        <w:gridCol w:w="681"/>
        <w:gridCol w:w="46"/>
        <w:gridCol w:w="208"/>
        <w:gridCol w:w="669"/>
        <w:gridCol w:w="554"/>
      </w:tblGrid>
      <w:tr>
        <w:tblPrEx>
          <w:tblLayout w:type="fixed"/>
          <w:tblCellMar>
            <w:top w:w="0" w:type="dxa"/>
            <w:left w:w="0" w:type="dxa"/>
            <w:bottom w:w="0" w:type="dxa"/>
            <w:right w:w="0" w:type="dxa"/>
          </w:tblCellMar>
        </w:tblPrEx>
        <w:trPr>
          <w:trHeight w:val="405" w:hRule="atLeast"/>
        </w:trPr>
        <w:tc>
          <w:tcPr>
            <w:tcW w:w="9020" w:type="dxa"/>
            <w:gridSpan w:val="26"/>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020" w:type="dxa"/>
            <w:gridSpan w:val="26"/>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072" w:type="dxa"/>
            <w:gridSpan w:val="2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追加2019年南部矿区地质环境治理及生态修复项目资金</w:t>
            </w:r>
          </w:p>
        </w:tc>
      </w:tr>
      <w:tr>
        <w:tblPrEx>
          <w:tblLayout w:type="fixed"/>
          <w:tblCellMar>
            <w:top w:w="0" w:type="dxa"/>
            <w:left w:w="0" w:type="dxa"/>
            <w:bottom w:w="0" w:type="dxa"/>
            <w:right w:w="0" w:type="dxa"/>
          </w:tblCellMar>
        </w:tblPrEx>
        <w:trPr>
          <w:trHeight w:val="319" w:hRule="atLeast"/>
        </w:trPr>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88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58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4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5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13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4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15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13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4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15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300.00 </w:t>
            </w:r>
          </w:p>
        </w:tc>
        <w:tc>
          <w:tcPr>
            <w:tcW w:w="13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307"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8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224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07"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南部矿区地质环境治理及生态修复》的实施树立科学发展观，彻底破除“先破坏、后恢复、先污染、后治理”旧观念，实施“预防为主、防治结合、全程控制、综合治理”环保新战略。以治理方案做为项目施工的指导依据，对南部矿区存在地质灾害隐患的区域按照回填、边坡治理、坡底清运等施工方法使治理区域消除地质灾害隐患，并与周边地貌基本相协调并最终达到相一致。</w:t>
            </w:r>
          </w:p>
        </w:tc>
        <w:tc>
          <w:tcPr>
            <w:tcW w:w="418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已完成南部矿区地质环境治理工作及生态修复工作，资金已支付。</w:t>
            </w:r>
          </w:p>
        </w:tc>
      </w:tr>
      <w:tr>
        <w:tblPrEx>
          <w:tblLayout w:type="fixed"/>
          <w:tblCellMar>
            <w:top w:w="0" w:type="dxa"/>
            <w:left w:w="0" w:type="dxa"/>
            <w:bottom w:w="0" w:type="dxa"/>
            <w:right w:w="0" w:type="dxa"/>
          </w:tblCellMar>
        </w:tblPrEx>
        <w:trPr>
          <w:trHeight w:val="319" w:hRule="atLeast"/>
        </w:trPr>
        <w:tc>
          <w:tcPr>
            <w:tcW w:w="52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1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0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00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5"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43"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土石方用量</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完成土石方总计610万立方米</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完成土石方总计610万立方米</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99"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场地平整面积</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完成场地平整面积286万平方米</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完成场地平整面积286万平方米</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62"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草籽播撒面积</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完成草籽播撒面积286万平方米</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完成草籽播撒面积286万平方米</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51"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铁丝围栏</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完成铁丝围栏9491米</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完成铁丝围栏9491米</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27"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12" w:type="dxa"/>
            <w:gridSpan w:val="6"/>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按照合同设计要求进行实施</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达到设计要求，符合规范</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达到设计要求，符合规范</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97"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由施工监理单位验收</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达到设计要求，符合规范</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达到设计要求，符合规范</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819"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按合同要求及时完成采坑地质环境治理</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2019年11月底完成了全部采坑的地质环境治理任务，并验收合格</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2019年11月底完成了全部采坑的地质环境治理任务，并验收合格</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866"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按照合同预算</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达到预期成本控制指标治理费用总计5991.9012万元</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达到预期成本控制指标治理费用总计5991.9012万元</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76"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治理地面环境，提高了土地利用率</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治理地面环境，提高了土地利用率60%</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治理地面环境，提高了土地利用率60%</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340"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对此区的治理可全面改善旅游风景区的周边地貌景观，极大地提高区域形象，促进旅游业的快速发展</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对此区的治理可全面改善旅游风景区的周边地貌景观，极大地提高区域形象，促进旅游业的快速发展</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对此区的治理可全面改善旅游风景区的周边地貌景观，极大地提高区域形象，促进旅游业的快速发展</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46"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改善了采坑周边的生态环境，美化了环境</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周边的达到环境美，适合居住生活</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周边的达到环境美，适合居住生活</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有利于涵养水源和保护水土流失奠定了有利基础</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减少地下水污染、减少水土流失，保护生态自然资源</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减少地下水污染、减少水土流失，保护生态自然资源</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650"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矿产资源有序开发利用</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为矿产资源有序开发利用与地质环境保护树立典型示范</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为矿产资源有序开发利用与地质环境保护树立典型示范</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52" w:hRule="atLeast"/>
        </w:trPr>
        <w:tc>
          <w:tcPr>
            <w:tcW w:w="5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4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1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周边居民满意度</w:t>
            </w:r>
          </w:p>
        </w:tc>
        <w:tc>
          <w:tcPr>
            <w:tcW w:w="132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周边居民满意度100%</w:t>
            </w:r>
          </w:p>
        </w:tc>
        <w:tc>
          <w:tcPr>
            <w:tcW w:w="12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周边居民满意度100%</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32" w:hRule="atLeast"/>
        </w:trPr>
        <w:tc>
          <w:tcPr>
            <w:tcW w:w="6089" w:type="dxa"/>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0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405" w:hRule="atLeast"/>
        </w:trPr>
        <w:tc>
          <w:tcPr>
            <w:tcW w:w="8466" w:type="dxa"/>
            <w:gridSpan w:val="25"/>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kern w:val="0"/>
                <w:sz w:val="32"/>
                <w:szCs w:val="32"/>
                <w:lang w:bidi="ar"/>
              </w:rPr>
            </w:pPr>
          </w:p>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gridAfter w:val="1"/>
          <w:wAfter w:w="554" w:type="dxa"/>
          <w:trHeight w:val="405" w:hRule="atLeast"/>
        </w:trPr>
        <w:tc>
          <w:tcPr>
            <w:tcW w:w="8466" w:type="dxa"/>
            <w:gridSpan w:val="25"/>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465" w:type="dxa"/>
            <w:gridSpan w:val="2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昌吉市林业重点区域抗旱救灾项目</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2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3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554" w:type="dxa"/>
          <w:trHeight w:val="319" w:hRule="atLeast"/>
        </w:trPr>
        <w:tc>
          <w:tcPr>
            <w:tcW w:w="100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gridAfter w:val="1"/>
          <w:wAfter w:w="554" w:type="dxa"/>
          <w:trHeight w:val="319" w:hRule="atLeast"/>
        </w:trPr>
        <w:tc>
          <w:tcPr>
            <w:tcW w:w="5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69"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8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gridAfter w:val="1"/>
          <w:wAfter w:w="554" w:type="dxa"/>
          <w:trHeight w:val="1365" w:hRule="atLeast"/>
        </w:trPr>
        <w:tc>
          <w:tcPr>
            <w:tcW w:w="5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69"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昌吉市范围内林地抗旱救灾工作进行补助，着力解决因旱情造成的林业受灾情况。</w:t>
            </w:r>
          </w:p>
        </w:tc>
        <w:tc>
          <w:tcPr>
            <w:tcW w:w="38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已将抗旱救灾资金拨付给三工镇人民政府，专项用于林业抗旱救灾工作。</w:t>
            </w:r>
          </w:p>
        </w:tc>
      </w:tr>
      <w:tr>
        <w:tblPrEx>
          <w:tblLayout w:type="fixed"/>
          <w:tblCellMar>
            <w:top w:w="0" w:type="dxa"/>
            <w:left w:w="0" w:type="dxa"/>
            <w:bottom w:w="0" w:type="dxa"/>
            <w:right w:w="0" w:type="dxa"/>
          </w:tblCellMar>
        </w:tblPrEx>
        <w:trPr>
          <w:gridAfter w:val="1"/>
          <w:wAfter w:w="554" w:type="dxa"/>
          <w:trHeight w:val="319" w:hRule="atLeast"/>
        </w:trPr>
        <w:tc>
          <w:tcPr>
            <w:tcW w:w="555"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926"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8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60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gridAfter w:val="1"/>
          <w:wAfter w:w="554" w:type="dxa"/>
          <w:trHeight w:val="319"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26"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72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林业抗旱完成面积</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20.51万亩</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20.51万亩</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52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验收合格率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≧85%</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68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资金支付完成率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≧85%</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62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异地恢复造林补助金额</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 </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84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异地恢复造林项目提供就业岗位，增加农民收入效果达到预期目标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96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任务完成，提高乡村绿化美化面积，改善城乡人居环境达到预期目标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明显</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明显</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1140" w:hRule="atLeast"/>
        </w:trPr>
        <w:tc>
          <w:tcPr>
            <w:tcW w:w="555" w:type="dxa"/>
            <w:gridSpan w:val="2"/>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84"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92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社会公众满意度</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gridAfter w:val="1"/>
          <w:wAfter w:w="554" w:type="dxa"/>
          <w:trHeight w:val="600" w:hRule="atLeast"/>
        </w:trPr>
        <w:tc>
          <w:tcPr>
            <w:tcW w:w="5431" w:type="dxa"/>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8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5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6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tbl>
      <w:tblPr>
        <w:tblStyle w:val="9"/>
        <w:tblW w:w="8524" w:type="dxa"/>
        <w:tblInd w:w="0" w:type="dxa"/>
        <w:tblLayout w:type="fixed"/>
        <w:tblCellMar>
          <w:top w:w="0" w:type="dxa"/>
          <w:left w:w="0" w:type="dxa"/>
          <w:bottom w:w="0" w:type="dxa"/>
          <w:right w:w="0" w:type="dxa"/>
        </w:tblCellMar>
      </w:tblPr>
      <w:tblGrid>
        <w:gridCol w:w="552"/>
        <w:gridCol w:w="444"/>
        <w:gridCol w:w="779"/>
        <w:gridCol w:w="780"/>
        <w:gridCol w:w="866"/>
        <w:gridCol w:w="270"/>
        <w:gridCol w:w="967"/>
        <w:gridCol w:w="946"/>
        <w:gridCol w:w="653"/>
        <w:gridCol w:w="120"/>
        <w:gridCol w:w="778"/>
        <w:gridCol w:w="1369"/>
      </w:tblGrid>
      <w:tr>
        <w:tblPrEx>
          <w:tblLayout w:type="fixed"/>
          <w:tblCellMar>
            <w:top w:w="0" w:type="dxa"/>
            <w:left w:w="0" w:type="dxa"/>
            <w:bottom w:w="0" w:type="dxa"/>
            <w:right w:w="0" w:type="dxa"/>
          </w:tblCellMar>
        </w:tblPrEx>
        <w:trPr>
          <w:trHeight w:val="405" w:hRule="atLeast"/>
        </w:trPr>
        <w:tc>
          <w:tcPr>
            <w:tcW w:w="8524"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24"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2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2013-2019年建设用地批次勘测定界费用</w:t>
            </w:r>
          </w:p>
        </w:tc>
      </w:tr>
      <w:tr>
        <w:tblPrEx>
          <w:tblLayout w:type="fixed"/>
          <w:tblCellMar>
            <w:top w:w="0" w:type="dxa"/>
            <w:left w:w="0" w:type="dxa"/>
            <w:bottom w:w="0" w:type="dxa"/>
            <w:right w:w="0" w:type="dxa"/>
          </w:tblCellMar>
        </w:tblPrEx>
        <w:trPr>
          <w:trHeight w:val="319" w:hRule="atLeast"/>
        </w:trPr>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6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9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0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8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746" w:hRule="atLeast"/>
        </w:trPr>
        <w:tc>
          <w:tcPr>
            <w:tcW w:w="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0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为支持完成昌吉市建设用地批次组件报批工作，有力的保障昌吉市供地工作。</w:t>
            </w:r>
          </w:p>
        </w:tc>
        <w:tc>
          <w:tcPr>
            <w:tcW w:w="38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已完成建设用地批次组件报批工作</w:t>
            </w:r>
          </w:p>
        </w:tc>
      </w:tr>
      <w:tr>
        <w:tblPrEx>
          <w:tblLayout w:type="fixed"/>
          <w:tblCellMar>
            <w:top w:w="0" w:type="dxa"/>
            <w:left w:w="0" w:type="dxa"/>
            <w:bottom w:w="0" w:type="dxa"/>
            <w:right w:w="0" w:type="dxa"/>
          </w:tblCellMar>
        </w:tblPrEx>
        <w:trPr>
          <w:trHeight w:val="319" w:hRule="atLeast"/>
        </w:trPr>
        <w:tc>
          <w:tcPr>
            <w:tcW w:w="55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9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3"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共计上报建设用地批次86个</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涉及报批宗地804个</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涉及报批宗地804个</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188"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实地界定土地使用范围、计算用地面积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2013年-2019年共计报批总面积2869.43公顷（合4.3041万亩）</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2013年-2019年共计报批总面积2869.43公顷（合4.3041万亩）</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87"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报批年度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2013年-2019年</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2013年-2019年</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34"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批次勘测定界编制经费（万元）</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09"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完成昌吉市土地报批土地勘测定界工作</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已获自治区批复86个，为昌吉市经济建设提供保障</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已获自治区批复86个，为昌吉市经济建设提供保障</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77"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保障我市新增建设用地土地勘测定界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为我市自然资源领域提供了多项业务工作的技术支持，也为昌吉市城市建设和经济发展做出了重大贡献</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为我市自然资源领域提供了多项业务工作的技术支持，也为昌吉市城市建设和经济发展做出了重大贡献</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063"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保护土地所有者和使用者的合法权益</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为用地单位依法、合理利用土地提供详实、准确的基础数据和图件资料</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为用地单位依法、合理利用土地提供详实、准确的基础数据和图件资料</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380"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实地界定土地使用范围、测定界址位置、调绘土地利用现状、计算用地面积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严格控制非农业建设占用耕地</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严格控制非农业建设占用耕地</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76"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严格按照实际情况进行勘测定界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保证耕地指标增减平衡</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保证耕地指标增减平衡</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513"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强化各类用地审查，保证依法、科学、合理配置土地资源，集约、规范用地起到作用</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实现用地审批工作的科学化、规范化、制度化，建立健全用地的准入制度</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实现用地审批工作的科学化、规范化、制度化，建立健全用地的准入制度</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320"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7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为用地单位提供勘测定界技术说明、面积分类表、坐标成果表、点之记、勘测定界图等资料</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满意度100.00%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满意度100.00%</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40" w:hRule="atLeast"/>
        </w:trPr>
        <w:tc>
          <w:tcPr>
            <w:tcW w:w="5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群众满意度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560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7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3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tbl>
      <w:tblPr>
        <w:tblStyle w:val="9"/>
        <w:tblW w:w="8512" w:type="dxa"/>
        <w:tblInd w:w="0" w:type="dxa"/>
        <w:tblLayout w:type="fixed"/>
        <w:tblCellMar>
          <w:top w:w="0" w:type="dxa"/>
          <w:left w:w="0" w:type="dxa"/>
          <w:bottom w:w="0" w:type="dxa"/>
          <w:right w:w="0" w:type="dxa"/>
        </w:tblCellMar>
      </w:tblPr>
      <w:tblGrid>
        <w:gridCol w:w="549"/>
        <w:gridCol w:w="441"/>
        <w:gridCol w:w="775"/>
        <w:gridCol w:w="774"/>
        <w:gridCol w:w="861"/>
        <w:gridCol w:w="427"/>
        <w:gridCol w:w="750"/>
        <w:gridCol w:w="670"/>
        <w:gridCol w:w="68"/>
        <w:gridCol w:w="682"/>
        <w:gridCol w:w="222"/>
        <w:gridCol w:w="947"/>
        <w:gridCol w:w="88"/>
        <w:gridCol w:w="1258"/>
      </w:tblGrid>
      <w:tr>
        <w:tblPrEx>
          <w:tblLayout w:type="fixed"/>
          <w:tblCellMar>
            <w:top w:w="0" w:type="dxa"/>
            <w:left w:w="0" w:type="dxa"/>
            <w:bottom w:w="0" w:type="dxa"/>
            <w:right w:w="0" w:type="dxa"/>
          </w:tblCellMar>
        </w:tblPrEx>
        <w:trPr>
          <w:trHeight w:val="405" w:hRule="atLeast"/>
        </w:trPr>
        <w:tc>
          <w:tcPr>
            <w:tcW w:w="8512"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512"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2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努尔加水库两侧建设占用阿什里乡、庙尔沟乡牧民草场安置补助费</w:t>
            </w:r>
          </w:p>
        </w:tc>
      </w:tr>
      <w:tr>
        <w:tblPrEx>
          <w:tblLayout w:type="fixed"/>
          <w:tblCellMar>
            <w:top w:w="0" w:type="dxa"/>
            <w:left w:w="0" w:type="dxa"/>
            <w:bottom w:w="0" w:type="dxa"/>
            <w:right w:w="0" w:type="dxa"/>
          </w:tblCellMar>
        </w:tblPrEx>
        <w:trPr>
          <w:trHeight w:val="319" w:hRule="atLeast"/>
        </w:trPr>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58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19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02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9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760" w:hRule="atLeast"/>
        </w:trPr>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2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根据新移字【2010】31号《关于同意努尔加水库工程建设征地移民安置规划专题报告的批复》以及新国土资函【2010】1426号《关于昌吉市努尔加水库建设用地批复》文件精神，征用牧民草原，以确保努尔加地表水水源保护区围栏工程按计划完成。</w:t>
            </w:r>
          </w:p>
        </w:tc>
        <w:tc>
          <w:tcPr>
            <w:tcW w:w="393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根据新移字【2010】31号《关于同意努尔加水库工程建设征地移民安置规划专题报告的批复》以及新国土资函【2010】1426号《关于昌吉市努尔加水库建设用地批复》文件精神，征用牧民草原，以确保努尔加地表水水源保护区围栏工程按计划及时发放牧民安置补助费。</w:t>
            </w:r>
          </w:p>
        </w:tc>
      </w:tr>
      <w:tr>
        <w:tblPrEx>
          <w:tblLayout w:type="fixed"/>
          <w:tblCellMar>
            <w:top w:w="0" w:type="dxa"/>
            <w:left w:w="0" w:type="dxa"/>
            <w:bottom w:w="0" w:type="dxa"/>
            <w:right w:w="0" w:type="dxa"/>
          </w:tblCellMar>
        </w:tblPrEx>
        <w:trPr>
          <w:trHeight w:val="319" w:hRule="atLeast"/>
        </w:trPr>
        <w:tc>
          <w:tcPr>
            <w:tcW w:w="54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06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2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6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占草场面积（亩）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6852亩</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6852亩</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4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牧民补偿协议已签订、拨款后及时发放至牧民手中，做好草原补偿工作，确保该项目如期完工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及时足额发放</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已发放</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2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补助标准（元/亩），1659.72元/亩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1137.24</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4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确保努尔加地表水水源保护区项目按时完工，持续改善生态环境，</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持续改善</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持续改善</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逐步提升群众珍惜和保护水资源生态的意识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0" w:hRule="atLeast"/>
        </w:trPr>
        <w:tc>
          <w:tcPr>
            <w:tcW w:w="54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524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8408" w:type="dxa"/>
        <w:tblInd w:w="0" w:type="dxa"/>
        <w:tblLayout w:type="fixed"/>
        <w:tblCellMar>
          <w:top w:w="0" w:type="dxa"/>
          <w:left w:w="0" w:type="dxa"/>
          <w:bottom w:w="0" w:type="dxa"/>
          <w:right w:w="0" w:type="dxa"/>
        </w:tblCellMar>
      </w:tblPr>
      <w:tblGrid>
        <w:gridCol w:w="488"/>
        <w:gridCol w:w="394"/>
        <w:gridCol w:w="938"/>
        <w:gridCol w:w="451"/>
        <w:gridCol w:w="772"/>
        <w:gridCol w:w="381"/>
        <w:gridCol w:w="1188"/>
        <w:gridCol w:w="1062"/>
        <w:gridCol w:w="99"/>
        <w:gridCol w:w="581"/>
        <w:gridCol w:w="182"/>
        <w:gridCol w:w="763"/>
        <w:gridCol w:w="198"/>
        <w:gridCol w:w="911"/>
      </w:tblGrid>
      <w:tr>
        <w:tblPrEx>
          <w:tblLayout w:type="fixed"/>
          <w:tblCellMar>
            <w:top w:w="0" w:type="dxa"/>
            <w:left w:w="0" w:type="dxa"/>
            <w:bottom w:w="0" w:type="dxa"/>
            <w:right w:w="0" w:type="dxa"/>
          </w:tblCellMar>
        </w:tblPrEx>
        <w:trPr>
          <w:trHeight w:val="405" w:hRule="atLeast"/>
        </w:trPr>
        <w:tc>
          <w:tcPr>
            <w:tcW w:w="8408"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408"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520" w:hRule="atLeast"/>
        </w:trPr>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526"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刘金魁北部荒漠生态补偿资金</w:t>
            </w:r>
          </w:p>
        </w:tc>
      </w:tr>
      <w:tr>
        <w:tblPrEx>
          <w:tblLayout w:type="fixed"/>
          <w:tblCellMar>
            <w:top w:w="0" w:type="dxa"/>
            <w:left w:w="0" w:type="dxa"/>
            <w:bottom w:w="0" w:type="dxa"/>
            <w:right w:w="0" w:type="dxa"/>
          </w:tblCellMar>
        </w:tblPrEx>
        <w:trPr>
          <w:trHeight w:val="318" w:hRule="atLeast"/>
        </w:trPr>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73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6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8" w:hRule="atLeast"/>
        </w:trPr>
        <w:tc>
          <w:tcPr>
            <w:tcW w:w="8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8" w:hRule="atLeast"/>
        </w:trPr>
        <w:tc>
          <w:tcPr>
            <w:tcW w:w="8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8" w:hRule="atLeast"/>
        </w:trPr>
        <w:tc>
          <w:tcPr>
            <w:tcW w:w="8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8" w:hRule="atLeast"/>
        </w:trPr>
        <w:tc>
          <w:tcPr>
            <w:tcW w:w="8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8" w:hRule="atLeast"/>
        </w:trPr>
        <w:tc>
          <w:tcPr>
            <w:tcW w:w="8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7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8" w:hRule="atLeast"/>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2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379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654" w:hRule="atLeast"/>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2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根据《昌吉市北部荒漠生态恢复实施方案》，及时将刘金魁北部荒漠生态补偿资金发放到位。</w:t>
            </w:r>
          </w:p>
        </w:tc>
        <w:tc>
          <w:tcPr>
            <w:tcW w:w="379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根据《昌吉市北部荒漠生态恢复实施方案》，及时将刘金魁北部荒漠生态补偿资金发放到位。</w:t>
            </w:r>
          </w:p>
        </w:tc>
      </w:tr>
      <w:tr>
        <w:tblPrEx>
          <w:tblLayout w:type="fixed"/>
          <w:tblCellMar>
            <w:top w:w="0" w:type="dxa"/>
            <w:left w:w="0" w:type="dxa"/>
            <w:bottom w:w="0" w:type="dxa"/>
            <w:right w:w="0" w:type="dxa"/>
          </w:tblCellMar>
        </w:tblPrEx>
        <w:trPr>
          <w:trHeight w:val="318" w:hRule="atLeast"/>
        </w:trPr>
        <w:tc>
          <w:tcPr>
            <w:tcW w:w="4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0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1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8"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89"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退耕还林面积</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1055.05亩</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1055.05亩</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达到退耕还林面积指标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04"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补偿资金及时发放到位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及时足额发放</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及时足额发放</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4"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04"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补偿金额</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25.00 </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12"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提高广大农民参与生态建设积极性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提高广大农民参与生态建设积极性</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560"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提高森林覆盖率，缓解水土流失和石漠化，改善生态自然环境</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提高森林覆盖率，缓解水土流失和石漠化，改善生态自然环境</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有效改善</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71"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持续发挥生态作用</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80" w:hRule="atLeast"/>
        </w:trPr>
        <w:tc>
          <w:tcPr>
            <w:tcW w:w="4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3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67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14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066" w:type="dxa"/>
        <w:tblInd w:w="0" w:type="dxa"/>
        <w:tblLayout w:type="fixed"/>
        <w:tblCellMar>
          <w:top w:w="0" w:type="dxa"/>
          <w:left w:w="0" w:type="dxa"/>
          <w:bottom w:w="0" w:type="dxa"/>
          <w:right w:w="0" w:type="dxa"/>
        </w:tblCellMar>
      </w:tblPr>
      <w:tblGrid>
        <w:gridCol w:w="554"/>
        <w:gridCol w:w="446"/>
        <w:gridCol w:w="1397"/>
        <w:gridCol w:w="168"/>
        <w:gridCol w:w="869"/>
        <w:gridCol w:w="786"/>
        <w:gridCol w:w="773"/>
        <w:gridCol w:w="1315"/>
        <w:gridCol w:w="473"/>
        <w:gridCol w:w="704"/>
        <w:gridCol w:w="589"/>
        <w:gridCol w:w="992"/>
      </w:tblGrid>
      <w:tr>
        <w:tblPrEx>
          <w:tblLayout w:type="fixed"/>
          <w:tblCellMar>
            <w:top w:w="0" w:type="dxa"/>
            <w:left w:w="0" w:type="dxa"/>
            <w:bottom w:w="0" w:type="dxa"/>
            <w:right w:w="0" w:type="dxa"/>
          </w:tblCellMar>
        </w:tblPrEx>
        <w:trPr>
          <w:trHeight w:val="405" w:hRule="atLeast"/>
        </w:trPr>
        <w:tc>
          <w:tcPr>
            <w:tcW w:w="9066"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066"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06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昌吉州西部南山伴行公路和昌吉市城南公墓建设项目占用草场牧民安置补助费</w:t>
            </w:r>
          </w:p>
        </w:tc>
      </w:tr>
      <w:tr>
        <w:tblPrEx>
          <w:tblLayout w:type="fixed"/>
          <w:tblCellMar>
            <w:top w:w="0" w:type="dxa"/>
            <w:left w:w="0" w:type="dxa"/>
            <w:bottom w:w="0" w:type="dxa"/>
            <w:right w:w="0" w:type="dxa"/>
          </w:tblCellMar>
        </w:tblPrEx>
        <w:trPr>
          <w:trHeight w:val="319" w:hRule="atLeast"/>
        </w:trPr>
        <w:tc>
          <w:tcPr>
            <w:tcW w:w="1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9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7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1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1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43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635" w:hRule="atLeast"/>
        </w:trPr>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3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《中华人民共和国草原法》、《草原征占用审核审批管理办法》；按照新价非字【1999】3号文件、新发改收费【2010】2679号、新发改收费【2014】1769等文件规定交纳牧民安置补助费、草原补偿费和植被恢复费。</w:t>
            </w:r>
          </w:p>
        </w:tc>
        <w:tc>
          <w:tcPr>
            <w:tcW w:w="40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根据《中华人民共和国草原法》、《草原征占用审核审批管理办法》；按照新价非字【1999】3号文件、新发改收费【2010】2679号、新发改收费【2014】1769等文件规定交纳牧民安置补助费、草原补偿费和植被恢复费并补偿牧民草场安置补助费194.56万元。</w:t>
            </w:r>
          </w:p>
        </w:tc>
      </w:tr>
      <w:tr>
        <w:tblPrEx>
          <w:tblLayout w:type="fixed"/>
          <w:tblCellMar>
            <w:top w:w="0" w:type="dxa"/>
            <w:left w:w="0" w:type="dxa"/>
            <w:bottom w:w="0" w:type="dxa"/>
            <w:right w:w="0" w:type="dxa"/>
          </w:tblCellMar>
        </w:tblPrEx>
        <w:trPr>
          <w:trHeight w:val="319" w:hRule="atLeast"/>
        </w:trPr>
        <w:tc>
          <w:tcPr>
            <w:tcW w:w="55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3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4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2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4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02"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占草场面积（亩）</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4523亩</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4523亩</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80"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牧民补偿协议已签订、拨款后及时发放至牧民手中，做好草原补偿工作，确保该项目如期完工。</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及时足额发放</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已足额发放</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59"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89"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补助标准（元/亩），430.16元/亩</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194.56</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63"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确保西部南山伴行公路项目按计划进行</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保证西部南山伴行公路项目按计划进行</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02"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对社会经济和人民生活水平提高起到积极推动作用</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是</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加快社会经济和提高人民生活水平起到积极推动作用</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60" w:hRule="atLeast"/>
        </w:trPr>
        <w:tc>
          <w:tcPr>
            <w:tcW w:w="55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4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3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630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12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tbl>
      <w:tblPr>
        <w:tblStyle w:val="9"/>
        <w:tblpPr w:leftFromText="180" w:rightFromText="180" w:vertAnchor="text" w:horzAnchor="page" w:tblpX="1775" w:tblpY="122"/>
        <w:tblOverlap w:val="never"/>
        <w:tblW w:w="9758" w:type="dxa"/>
        <w:tblInd w:w="0" w:type="dxa"/>
        <w:tblLayout w:type="fixed"/>
        <w:tblCellMar>
          <w:top w:w="0" w:type="dxa"/>
          <w:left w:w="0" w:type="dxa"/>
          <w:bottom w:w="0" w:type="dxa"/>
          <w:right w:w="0" w:type="dxa"/>
        </w:tblCellMar>
      </w:tblPr>
      <w:tblGrid>
        <w:gridCol w:w="489"/>
        <w:gridCol w:w="394"/>
        <w:gridCol w:w="1052"/>
        <w:gridCol w:w="776"/>
        <w:gridCol w:w="1027"/>
        <w:gridCol w:w="320"/>
        <w:gridCol w:w="1307"/>
        <w:gridCol w:w="992"/>
        <w:gridCol w:w="232"/>
        <w:gridCol w:w="703"/>
        <w:gridCol w:w="831"/>
        <w:gridCol w:w="1635"/>
      </w:tblGrid>
      <w:tr>
        <w:tblPrEx>
          <w:tblLayout w:type="fixed"/>
          <w:tblCellMar>
            <w:top w:w="0" w:type="dxa"/>
            <w:left w:w="0" w:type="dxa"/>
            <w:bottom w:w="0" w:type="dxa"/>
            <w:right w:w="0" w:type="dxa"/>
          </w:tblCellMar>
        </w:tblPrEx>
        <w:trPr>
          <w:trHeight w:val="405" w:hRule="atLeast"/>
        </w:trPr>
        <w:tc>
          <w:tcPr>
            <w:tcW w:w="9758"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758"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87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2019年昌吉州森林植被恢复费用于葡萄酒产业苗木补助</w:t>
            </w:r>
          </w:p>
        </w:tc>
      </w:tr>
      <w:tr>
        <w:tblPrEx>
          <w:tblLayout w:type="fixed"/>
          <w:tblCellMar>
            <w:top w:w="0" w:type="dxa"/>
            <w:left w:w="0" w:type="dxa"/>
            <w:bottom w:w="0" w:type="dxa"/>
            <w:right w:w="0" w:type="dxa"/>
          </w:tblCellMar>
        </w:tblPrEx>
        <w:trPr>
          <w:trHeight w:val="186" w:hRule="atLeast"/>
        </w:trPr>
        <w:tc>
          <w:tcPr>
            <w:tcW w:w="8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48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4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8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r>
      <w:tr>
        <w:tblPrEx>
          <w:tblLayout w:type="fixed"/>
          <w:tblCellMar>
            <w:top w:w="0" w:type="dxa"/>
            <w:left w:w="0" w:type="dxa"/>
            <w:bottom w:w="0" w:type="dxa"/>
            <w:right w:w="0" w:type="dxa"/>
          </w:tblCellMar>
        </w:tblPrEx>
        <w:trPr>
          <w:trHeight w:val="295" w:hRule="atLeast"/>
        </w:trPr>
        <w:tc>
          <w:tcPr>
            <w:tcW w:w="8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87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3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105" w:hRule="atLeast"/>
        </w:trPr>
        <w:tc>
          <w:tcPr>
            <w:tcW w:w="4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87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1、新增酿酒葡萄种植面积2500亩。                          2、选用脱毒优选苗木不少于71万株。                        3、提升葡萄酒品质，带动企业、种植户增收。                  4、提升品牌影响力，促进特色林果业发展。</w:t>
            </w:r>
          </w:p>
        </w:tc>
        <w:tc>
          <w:tcPr>
            <w:tcW w:w="43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因资金在年末到位，目前正在进行项目编制工作。</w:t>
            </w:r>
          </w:p>
        </w:tc>
      </w:tr>
      <w:tr>
        <w:tblPrEx>
          <w:tblLayout w:type="fixed"/>
          <w:tblCellMar>
            <w:top w:w="0" w:type="dxa"/>
            <w:left w:w="0" w:type="dxa"/>
            <w:bottom w:w="0" w:type="dxa"/>
            <w:right w:w="0" w:type="dxa"/>
          </w:tblCellMar>
        </w:tblPrEx>
        <w:trPr>
          <w:trHeight w:val="319" w:hRule="atLeast"/>
        </w:trPr>
        <w:tc>
          <w:tcPr>
            <w:tcW w:w="48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1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36"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5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新增酿酒葡萄种植面积（亩）</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2500亩</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2500亩</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54"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采购苗木数量（万株）</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71万株</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71万株</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88"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脱毒优选苗木合格率（%）</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≧90.00%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78"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业务完成时限</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66"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补助标准（元/株）</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1.40元</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1.40元</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因项目资金到位晚，项目未进行验收</w:t>
            </w:r>
          </w:p>
        </w:tc>
      </w:tr>
      <w:tr>
        <w:tblPrEx>
          <w:tblLayout w:type="fixed"/>
          <w:tblCellMar>
            <w:top w:w="0" w:type="dxa"/>
            <w:left w:w="0" w:type="dxa"/>
            <w:bottom w:w="0" w:type="dxa"/>
            <w:right w:w="0" w:type="dxa"/>
          </w:tblCellMar>
        </w:tblPrEx>
        <w:trPr>
          <w:trHeight w:val="432"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补助金额（万元）</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因项目资金到位晚，项目未进行验收</w:t>
            </w:r>
          </w:p>
        </w:tc>
      </w:tr>
      <w:tr>
        <w:tblPrEx>
          <w:tblLayout w:type="fixed"/>
          <w:tblCellMar>
            <w:top w:w="0" w:type="dxa"/>
            <w:left w:w="0" w:type="dxa"/>
            <w:bottom w:w="0" w:type="dxa"/>
            <w:right w:w="0" w:type="dxa"/>
          </w:tblCellMar>
        </w:tblPrEx>
        <w:trPr>
          <w:trHeight w:val="1080"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05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通过优质苗木种植，提高葡萄产品质量，增加企业、种植户收入作用是否明显</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明显提高</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明显提高</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148"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通过项目实施，提升葡萄酒产品品质，提高品牌影响力，促进昌吉州特色林果业发展作用是否显著</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显著提高</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显著提高</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43" w:hRule="atLeast"/>
        </w:trPr>
        <w:tc>
          <w:tcPr>
            <w:tcW w:w="4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5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1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区域公众满意度</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80.00%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80.00%</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635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80.00 </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620" w:type="dxa"/>
        <w:tblInd w:w="0" w:type="dxa"/>
        <w:tblLayout w:type="fixed"/>
        <w:tblCellMar>
          <w:top w:w="0" w:type="dxa"/>
          <w:left w:w="0" w:type="dxa"/>
          <w:bottom w:w="0" w:type="dxa"/>
          <w:right w:w="0" w:type="dxa"/>
        </w:tblCellMar>
      </w:tblPr>
      <w:tblGrid>
        <w:gridCol w:w="471"/>
        <w:gridCol w:w="495"/>
        <w:gridCol w:w="865"/>
        <w:gridCol w:w="669"/>
        <w:gridCol w:w="947"/>
        <w:gridCol w:w="530"/>
        <w:gridCol w:w="1489"/>
        <w:gridCol w:w="1477"/>
        <w:gridCol w:w="415"/>
        <w:gridCol w:w="208"/>
        <w:gridCol w:w="461"/>
        <w:gridCol w:w="508"/>
        <w:gridCol w:w="1085"/>
      </w:tblGrid>
      <w:tr>
        <w:tblPrEx>
          <w:tblLayout w:type="fixed"/>
          <w:tblCellMar>
            <w:top w:w="0" w:type="dxa"/>
            <w:left w:w="0" w:type="dxa"/>
            <w:bottom w:w="0" w:type="dxa"/>
            <w:right w:w="0" w:type="dxa"/>
          </w:tblCellMar>
        </w:tblPrEx>
        <w:trPr>
          <w:trHeight w:val="405" w:hRule="atLeast"/>
        </w:trPr>
        <w:tc>
          <w:tcPr>
            <w:tcW w:w="9620" w:type="dxa"/>
            <w:gridSpan w:val="13"/>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620" w:type="dxa"/>
            <w:gridSpan w:val="13"/>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654"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易地建设占用耕地补助资金</w:t>
            </w:r>
          </w:p>
        </w:tc>
      </w:tr>
      <w:tr>
        <w:tblPrEx>
          <w:tblLayout w:type="fixed"/>
          <w:tblCellMar>
            <w:top w:w="0" w:type="dxa"/>
            <w:left w:w="0" w:type="dxa"/>
            <w:bottom w:w="0" w:type="dxa"/>
            <w:right w:w="0" w:type="dxa"/>
          </w:tblCellMar>
        </w:tblPrEx>
        <w:trPr>
          <w:trHeight w:val="218" w:hRule="atLeast"/>
        </w:trPr>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5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67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6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9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81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近年来，昌吉市经济总量的迅速增长使得经济社会发展对土地的需求持续增长，基础设施建设、农业结构调整占用大量耕地，我市现有的储备库耕地无法满足新增建设用地占补平衡要求，为实现耕地总量动态平衡，保障各业用地共给，推动区域经济、资源和环境协调发展，经昌吉市和阜康市协商，由昌吉市向阜康市异地耕地补充，为昌吉市各项经济建设项目用地提供保障。</w:t>
            </w:r>
          </w:p>
        </w:tc>
        <w:tc>
          <w:tcPr>
            <w:tcW w:w="41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已完成年初预期目标任务，资金已支付。</w:t>
            </w:r>
          </w:p>
        </w:tc>
      </w:tr>
      <w:tr>
        <w:tblPrEx>
          <w:tblLayout w:type="fixed"/>
          <w:tblCellMar>
            <w:top w:w="0" w:type="dxa"/>
            <w:left w:w="0" w:type="dxa"/>
            <w:bottom w:w="0" w:type="dxa"/>
            <w:right w:w="0" w:type="dxa"/>
          </w:tblCellMar>
        </w:tblPrEx>
        <w:trPr>
          <w:trHeight w:val="319" w:hRule="atLeast"/>
        </w:trPr>
        <w:tc>
          <w:tcPr>
            <w:tcW w:w="47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1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0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21"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委托阜康市国土资源局将其批准的土地开发整理复垦为“占补平衡”）新增耕地指标提供给昌吉市使用，购买耕地指标</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1250亩</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1250亩</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12"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购买耕地等级</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11等质量等级</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11等质量等级</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28"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23"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耕地价格4000元/亩</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500.00 </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55"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为昌吉市新增建设用地报批占用耕地指标提供保障</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48"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逐步提升昌吉市经济建设水平</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逐步提升</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0"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实现占补平衡，杜绝耕地面积减少，保证耕地总量动态平衡</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44" w:hRule="atLeast"/>
        </w:trPr>
        <w:tc>
          <w:tcPr>
            <w:tcW w:w="47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8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64" w:hRule="atLeast"/>
        </w:trPr>
        <w:tc>
          <w:tcPr>
            <w:tcW w:w="694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493" w:type="dxa"/>
        <w:tblInd w:w="0" w:type="dxa"/>
        <w:tblLayout w:type="fixed"/>
        <w:tblCellMar>
          <w:top w:w="0" w:type="dxa"/>
          <w:left w:w="0" w:type="dxa"/>
          <w:bottom w:w="0" w:type="dxa"/>
          <w:right w:w="0" w:type="dxa"/>
        </w:tblCellMar>
      </w:tblPr>
      <w:tblGrid>
        <w:gridCol w:w="499"/>
        <w:gridCol w:w="403"/>
        <w:gridCol w:w="1137"/>
        <w:gridCol w:w="461"/>
        <w:gridCol w:w="866"/>
        <w:gridCol w:w="911"/>
        <w:gridCol w:w="1143"/>
        <w:gridCol w:w="1050"/>
        <w:gridCol w:w="473"/>
        <w:gridCol w:w="473"/>
        <w:gridCol w:w="865"/>
        <w:gridCol w:w="1212"/>
      </w:tblGrid>
      <w:tr>
        <w:tblPrEx>
          <w:tblLayout w:type="fixed"/>
          <w:tblCellMar>
            <w:top w:w="0" w:type="dxa"/>
            <w:left w:w="0" w:type="dxa"/>
            <w:bottom w:w="0" w:type="dxa"/>
            <w:right w:w="0" w:type="dxa"/>
          </w:tblCellMar>
        </w:tblPrEx>
        <w:trPr>
          <w:trHeight w:val="405" w:hRule="atLeast"/>
        </w:trPr>
        <w:tc>
          <w:tcPr>
            <w:tcW w:w="9493"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493"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59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追加2020年下半年“访惠聚”驻社区工作经费（驻社区工作队工作经费）</w:t>
            </w:r>
          </w:p>
        </w:tc>
      </w:tr>
      <w:tr>
        <w:tblPrEx>
          <w:tblLayout w:type="fixed"/>
          <w:tblCellMar>
            <w:top w:w="0" w:type="dxa"/>
            <w:left w:w="0" w:type="dxa"/>
            <w:bottom w:w="0" w:type="dxa"/>
            <w:right w:w="0" w:type="dxa"/>
          </w:tblCellMar>
        </w:tblPrEx>
        <w:trPr>
          <w:trHeight w:val="319" w:hRule="atLeast"/>
        </w:trPr>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5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2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3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3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0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92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369" w:hRule="atLeast"/>
        </w:trPr>
        <w:tc>
          <w:tcPr>
            <w:tcW w:w="4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92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访惠聚”社区工作经费主要用于访贫问苦，关心困难群众，组织各种文体活动，改造社区硬件设施，打造“美丽社区”。为香槟社区小区修筑无障碍楼梯、老旧小区修理管道，为小区安装垃圾桶等为民办实事好事，改变小区卫生环境。</w:t>
            </w:r>
          </w:p>
        </w:tc>
        <w:tc>
          <w:tcPr>
            <w:tcW w:w="40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已完成年初预期目标</w:t>
            </w:r>
          </w:p>
        </w:tc>
      </w:tr>
      <w:tr>
        <w:tblPrEx>
          <w:tblLayout w:type="fixed"/>
          <w:tblCellMar>
            <w:top w:w="0" w:type="dxa"/>
            <w:left w:w="0" w:type="dxa"/>
            <w:bottom w:w="0" w:type="dxa"/>
            <w:right w:w="0" w:type="dxa"/>
          </w:tblCellMar>
        </w:tblPrEx>
        <w:trPr>
          <w:trHeight w:val="319" w:hRule="atLeast"/>
        </w:trPr>
        <w:tc>
          <w:tcPr>
            <w:tcW w:w="49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1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2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9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9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07"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1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“访惠聚”社区工作队</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1个</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69"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为辖区群众办好实事好事</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10件</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10件</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84"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完善居民小区健身休闲设施</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达到居民有活动场所</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达到居民有活动场所</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78"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为小区安装垃圾桶</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改变小区卫生环境</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改变小区卫生环境</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85"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完成时效</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242"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为民办实事好事经费</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0"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1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提高低收入家庭温暖、促进社会和谐稳定</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80"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提高社区群众文化生活，增强群众文化素养，打造美丽社区。</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逐步提高</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逐步提高</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为访惠聚工作提供有力保障，持续提升工作质量</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32" w:hRule="atLeast"/>
        </w:trPr>
        <w:tc>
          <w:tcPr>
            <w:tcW w:w="49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1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23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受益群众的满意度</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67" w:hRule="atLeast"/>
        </w:trPr>
        <w:tc>
          <w:tcPr>
            <w:tcW w:w="647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 </w:t>
            </w:r>
          </w:p>
        </w:tc>
        <w:tc>
          <w:tcPr>
            <w:tcW w:w="8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170" w:type="dxa"/>
        <w:tblInd w:w="0" w:type="dxa"/>
        <w:tblLayout w:type="fixed"/>
        <w:tblCellMar>
          <w:top w:w="0" w:type="dxa"/>
          <w:left w:w="0" w:type="dxa"/>
          <w:bottom w:w="0" w:type="dxa"/>
          <w:right w:w="0" w:type="dxa"/>
        </w:tblCellMar>
      </w:tblPr>
      <w:tblGrid>
        <w:gridCol w:w="484"/>
        <w:gridCol w:w="389"/>
        <w:gridCol w:w="924"/>
        <w:gridCol w:w="784"/>
        <w:gridCol w:w="1050"/>
        <w:gridCol w:w="1454"/>
        <w:gridCol w:w="1431"/>
        <w:gridCol w:w="750"/>
        <w:gridCol w:w="773"/>
        <w:gridCol w:w="104"/>
        <w:gridCol w:w="1027"/>
      </w:tblGrid>
      <w:tr>
        <w:tblPrEx>
          <w:tblLayout w:type="fixed"/>
          <w:tblCellMar>
            <w:top w:w="0" w:type="dxa"/>
            <w:left w:w="0" w:type="dxa"/>
            <w:bottom w:w="0" w:type="dxa"/>
            <w:right w:w="0" w:type="dxa"/>
          </w:tblCellMar>
        </w:tblPrEx>
        <w:trPr>
          <w:trHeight w:val="405" w:hRule="atLeast"/>
        </w:trPr>
        <w:tc>
          <w:tcPr>
            <w:tcW w:w="9170" w:type="dxa"/>
            <w:gridSpan w:val="11"/>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170" w:type="dxa"/>
            <w:gridSpan w:val="11"/>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29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2020年追加下半年“访惠聚”工作经费（工作队工作经费）</w:t>
            </w:r>
          </w:p>
        </w:tc>
      </w:tr>
      <w:tr>
        <w:tblPrEx>
          <w:tblLayout w:type="fixed"/>
          <w:tblCellMar>
            <w:top w:w="0" w:type="dxa"/>
            <w:left w:w="0" w:type="dxa"/>
            <w:bottom w:w="0" w:type="dxa"/>
            <w:right w:w="0" w:type="dxa"/>
          </w:tblCellMar>
        </w:tblPrEx>
        <w:trPr>
          <w:trHeight w:val="319" w:hRule="atLeast"/>
        </w:trPr>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21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65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8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 </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60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757" w:hRule="atLeast"/>
        </w:trPr>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60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工作队发挥代表作用，与派出单位、包村领导、村“两委”，共同研究讨论发展目标及思路、按照年初各“访惠聚”工作计划，了解居民所想所盼，坚持为民解忧，落实民生建设任务，为社区和居民群众办实事、办好事，解决好日常生活中的问题，切实提高为民服务水平。为保证工作队正常工作，定时交纳电话费、电费及办公耗材等</w:t>
            </w:r>
          </w:p>
        </w:tc>
        <w:tc>
          <w:tcPr>
            <w:tcW w:w="408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已完成年初预期目标任务</w:t>
            </w:r>
          </w:p>
        </w:tc>
      </w:tr>
      <w:tr>
        <w:tblPrEx>
          <w:tblLayout w:type="fixed"/>
          <w:tblCellMar>
            <w:top w:w="0" w:type="dxa"/>
            <w:left w:w="0" w:type="dxa"/>
            <w:bottom w:w="0" w:type="dxa"/>
            <w:right w:w="0" w:type="dxa"/>
          </w:tblCellMar>
        </w:tblPrEx>
        <w:trPr>
          <w:trHeight w:val="357" w:hRule="atLeast"/>
        </w:trPr>
        <w:tc>
          <w:tcPr>
            <w:tcW w:w="48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1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25"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涉及“访惠聚”工作队</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25"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为保证工作队正常工作，定时交纳电话费、电费及办公耗材等</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有效保障</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43"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完成时效</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4"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工作队经费</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0.50 </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0.50 </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16"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2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提高低收入家庭温暖、促进社会和谐稳定</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257"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做好“访惠聚”工作的后盾保障，提高“访惠聚”工作队为群众办实事，干好事的效率</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437"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工作队干部满意度</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651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1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9170" w:type="dxa"/>
        <w:tblInd w:w="0" w:type="dxa"/>
        <w:tblLayout w:type="fixed"/>
        <w:tblCellMar>
          <w:top w:w="0" w:type="dxa"/>
          <w:left w:w="0" w:type="dxa"/>
          <w:bottom w:w="0" w:type="dxa"/>
          <w:right w:w="0" w:type="dxa"/>
        </w:tblCellMar>
      </w:tblPr>
      <w:tblGrid>
        <w:gridCol w:w="484"/>
        <w:gridCol w:w="389"/>
        <w:gridCol w:w="683"/>
        <w:gridCol w:w="956"/>
        <w:gridCol w:w="1246"/>
        <w:gridCol w:w="1246"/>
        <w:gridCol w:w="1062"/>
        <w:gridCol w:w="634"/>
        <w:gridCol w:w="981"/>
        <w:gridCol w:w="704"/>
        <w:gridCol w:w="785"/>
      </w:tblGrid>
      <w:tr>
        <w:tblPrEx>
          <w:tblLayout w:type="fixed"/>
          <w:tblCellMar>
            <w:top w:w="0" w:type="dxa"/>
            <w:left w:w="0" w:type="dxa"/>
            <w:bottom w:w="0" w:type="dxa"/>
            <w:right w:w="0" w:type="dxa"/>
          </w:tblCellMar>
        </w:tblPrEx>
        <w:trPr>
          <w:trHeight w:val="405" w:hRule="atLeast"/>
        </w:trPr>
        <w:tc>
          <w:tcPr>
            <w:tcW w:w="9170" w:type="dxa"/>
            <w:gridSpan w:val="11"/>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170" w:type="dxa"/>
            <w:gridSpan w:val="11"/>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29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2020年追加下半年“访惠聚”驻村工作经费（第一书记为民办实事经费）</w:t>
            </w:r>
          </w:p>
        </w:tc>
      </w:tr>
      <w:tr>
        <w:tblPrEx>
          <w:tblLayout w:type="fixed"/>
          <w:tblCellMar>
            <w:top w:w="0" w:type="dxa"/>
            <w:left w:w="0" w:type="dxa"/>
            <w:bottom w:w="0" w:type="dxa"/>
            <w:right w:w="0" w:type="dxa"/>
          </w:tblCellMar>
        </w:tblPrEx>
        <w:trPr>
          <w:trHeight w:val="319" w:hRule="atLeast"/>
        </w:trPr>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13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1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8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52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151" w:hRule="atLeast"/>
        </w:trPr>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52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为深入贯彻自治区、州党委、政府深化“访惠聚”驻村工作的部署要求，进一步继续扎实开展好“访惠聚”驻村工作，充分发挥驻村工作队第一书记为民办实事的需求。</w:t>
            </w:r>
          </w:p>
        </w:tc>
        <w:tc>
          <w:tcPr>
            <w:tcW w:w="416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已完成年初预期目标任务</w:t>
            </w:r>
          </w:p>
        </w:tc>
      </w:tr>
      <w:tr>
        <w:tblPrEx>
          <w:tblLayout w:type="fixed"/>
          <w:tblCellMar>
            <w:top w:w="0" w:type="dxa"/>
            <w:left w:w="0" w:type="dxa"/>
            <w:bottom w:w="0" w:type="dxa"/>
            <w:right w:w="0" w:type="dxa"/>
          </w:tblCellMar>
        </w:tblPrEx>
        <w:trPr>
          <w:trHeight w:val="319" w:hRule="atLeast"/>
        </w:trPr>
        <w:tc>
          <w:tcPr>
            <w:tcW w:w="48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2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4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21"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68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访惠聚工作队个数</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3"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为所在辖区工作队解决实事</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8件</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8件</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60"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完成时间</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54"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第一书记为民办实事经费</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7.00 </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40"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6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提高低收入家庭温暖、促进社会和谐稳定</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80"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6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充分发挥第一书记职能，切实做到为群众做实事好事，解决实际困难</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15.00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00" w:hRule="atLeast"/>
        </w:trPr>
        <w:tc>
          <w:tcPr>
            <w:tcW w:w="48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68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2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w:t>
            </w:r>
          </w:p>
        </w:tc>
        <w:tc>
          <w:tcPr>
            <w:tcW w:w="12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60" w:hRule="atLeast"/>
        </w:trPr>
        <w:tc>
          <w:tcPr>
            <w:tcW w:w="606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4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p>
      <w:pPr>
        <w:rPr>
          <w:rFonts w:ascii="宋体" w:hAnsi="宋体" w:cs="宋体"/>
          <w:sz w:val="18"/>
          <w:szCs w:val="18"/>
        </w:rPr>
      </w:pPr>
    </w:p>
    <w:tbl>
      <w:tblPr>
        <w:tblStyle w:val="9"/>
        <w:tblW w:w="9447" w:type="dxa"/>
        <w:tblInd w:w="0" w:type="dxa"/>
        <w:tblLayout w:type="fixed"/>
        <w:tblCellMar>
          <w:top w:w="0" w:type="dxa"/>
          <w:left w:w="0" w:type="dxa"/>
          <w:bottom w:w="0" w:type="dxa"/>
          <w:right w:w="0" w:type="dxa"/>
        </w:tblCellMar>
      </w:tblPr>
      <w:tblGrid>
        <w:gridCol w:w="477"/>
        <w:gridCol w:w="385"/>
        <w:gridCol w:w="888"/>
        <w:gridCol w:w="808"/>
        <w:gridCol w:w="1396"/>
        <w:gridCol w:w="1350"/>
        <w:gridCol w:w="1189"/>
        <w:gridCol w:w="727"/>
        <w:gridCol w:w="969"/>
        <w:gridCol w:w="1258"/>
      </w:tblGrid>
      <w:tr>
        <w:tblPrEx>
          <w:tblLayout w:type="fixed"/>
          <w:tblCellMar>
            <w:top w:w="0" w:type="dxa"/>
            <w:left w:w="0" w:type="dxa"/>
            <w:bottom w:w="0" w:type="dxa"/>
            <w:right w:w="0" w:type="dxa"/>
          </w:tblCellMar>
        </w:tblPrEx>
        <w:trPr>
          <w:trHeight w:val="405" w:hRule="atLeast"/>
        </w:trPr>
        <w:tc>
          <w:tcPr>
            <w:tcW w:w="9447" w:type="dxa"/>
            <w:gridSpan w:val="10"/>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9447" w:type="dxa"/>
            <w:gridSpan w:val="10"/>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858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追加2020年下半年“访惠聚”驻村工作经费（工作队工作经费）</w:t>
            </w:r>
          </w:p>
        </w:tc>
      </w:tr>
      <w:tr>
        <w:tblPrEx>
          <w:tblLayout w:type="fixed"/>
          <w:tblCellMar>
            <w:top w:w="0" w:type="dxa"/>
            <w:left w:w="0" w:type="dxa"/>
            <w:bottom w:w="0" w:type="dxa"/>
            <w:right w:w="0" w:type="dxa"/>
          </w:tblCellMar>
        </w:tblPrEx>
        <w:trPr>
          <w:trHeight w:val="319" w:hRule="atLeast"/>
        </w:trPr>
        <w:tc>
          <w:tcPr>
            <w:tcW w:w="8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444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29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8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8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上年结转资金</w:t>
            </w: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8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62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8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持续扎实开展好“访惠聚”驻村工作，充分发挥各类经费在“访惠聚”驻村工作中的重要作用，完成美丽乡村居民点整治工作、为村委会、人居环境整治等，节假期间，工作队慰问村老党员、老干部、少数民族、低收入各族群众不同群体及对群众进行惠民政策的宣传等工作。</w:t>
            </w:r>
          </w:p>
        </w:tc>
        <w:tc>
          <w:tcPr>
            <w:tcW w:w="41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已完成年初预期目标</w:t>
            </w:r>
          </w:p>
        </w:tc>
      </w:tr>
      <w:tr>
        <w:tblPrEx>
          <w:tblLayout w:type="fixed"/>
          <w:tblCellMar>
            <w:top w:w="0" w:type="dxa"/>
            <w:left w:w="0" w:type="dxa"/>
            <w:bottom w:w="0" w:type="dxa"/>
            <w:right w:w="0" w:type="dxa"/>
          </w:tblCellMar>
        </w:tblPrEx>
        <w:trPr>
          <w:trHeight w:val="319" w:hRule="atLeast"/>
        </w:trPr>
        <w:tc>
          <w:tcPr>
            <w:tcW w:w="47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22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28"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8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“访惠聚”工作队数量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6个</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97"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为民办实事好事件数</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每个工作队不少于10件</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每个工作队不少于10件</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85"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完成为民办好事实事率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达95.00%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达95.00%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完成时间</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83"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民办实事好事工作经费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35.00 </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60"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8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提高低收入家庭温暖、祥和过冬，促进社会和谐稳定</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逐步提高</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逐步提高</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2"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提高群众有议事及活动场所的面积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82"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8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为访惠聚工作提供有力保障，持续提升工作质量</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80" w:hRule="atLeast"/>
        </w:trPr>
        <w:tc>
          <w:tcPr>
            <w:tcW w:w="47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88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22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受益群众的满意度</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440" w:hRule="atLeast"/>
        </w:trPr>
        <w:tc>
          <w:tcPr>
            <w:tcW w:w="649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2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tbl>
      <w:tblPr>
        <w:tblStyle w:val="9"/>
        <w:tblW w:w="8893" w:type="dxa"/>
        <w:tblInd w:w="0" w:type="dxa"/>
        <w:tblLayout w:type="fixed"/>
        <w:tblCellMar>
          <w:top w:w="0" w:type="dxa"/>
          <w:left w:w="0" w:type="dxa"/>
          <w:bottom w:w="0" w:type="dxa"/>
          <w:right w:w="0" w:type="dxa"/>
        </w:tblCellMar>
      </w:tblPr>
      <w:tblGrid>
        <w:gridCol w:w="541"/>
        <w:gridCol w:w="437"/>
        <w:gridCol w:w="766"/>
        <w:gridCol w:w="930"/>
        <w:gridCol w:w="950"/>
        <w:gridCol w:w="1196"/>
        <w:gridCol w:w="980"/>
        <w:gridCol w:w="487"/>
        <w:gridCol w:w="310"/>
        <w:gridCol w:w="819"/>
        <w:gridCol w:w="161"/>
        <w:gridCol w:w="1316"/>
      </w:tblGrid>
      <w:tr>
        <w:tblPrEx>
          <w:tblLayout w:type="fixed"/>
          <w:tblCellMar>
            <w:top w:w="0" w:type="dxa"/>
            <w:left w:w="0" w:type="dxa"/>
            <w:bottom w:w="0" w:type="dxa"/>
            <w:right w:w="0" w:type="dxa"/>
          </w:tblCellMar>
        </w:tblPrEx>
        <w:trPr>
          <w:trHeight w:val="405" w:hRule="atLeast"/>
        </w:trPr>
        <w:tc>
          <w:tcPr>
            <w:tcW w:w="8893" w:type="dxa"/>
            <w:gridSpan w:val="12"/>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893" w:type="dxa"/>
            <w:gridSpan w:val="12"/>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91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城市道路建设项目耕地占用税及滞纳金</w:t>
            </w:r>
          </w:p>
        </w:tc>
      </w:tr>
      <w:tr>
        <w:tblPrEx>
          <w:tblLayout w:type="fixed"/>
          <w:tblCellMar>
            <w:top w:w="0" w:type="dxa"/>
            <w:left w:w="0" w:type="dxa"/>
            <w:bottom w:w="0" w:type="dxa"/>
            <w:right w:w="0" w:type="dxa"/>
          </w:tblCellMar>
        </w:tblPrEx>
        <w:trPr>
          <w:trHeight w:val="319" w:hRule="atLeast"/>
        </w:trPr>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84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4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4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4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1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5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27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07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955" w:hRule="atLeast"/>
        </w:trPr>
        <w:tc>
          <w:tcPr>
            <w:tcW w:w="5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27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涉及缴纳耕地占用税总金额1461.52万元。</w:t>
            </w:r>
          </w:p>
        </w:tc>
        <w:tc>
          <w:tcPr>
            <w:tcW w:w="407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上缴城市道路建设项目占用耕地耕地占用税总金额1461.52万元。</w:t>
            </w:r>
          </w:p>
        </w:tc>
      </w:tr>
      <w:tr>
        <w:tblPrEx>
          <w:tblLayout w:type="fixed"/>
          <w:tblCellMar>
            <w:top w:w="0" w:type="dxa"/>
            <w:left w:w="0" w:type="dxa"/>
            <w:bottom w:w="0" w:type="dxa"/>
            <w:right w:w="0" w:type="dxa"/>
          </w:tblCellMar>
        </w:tblPrEx>
        <w:trPr>
          <w:trHeight w:val="319" w:hRule="atLeast"/>
        </w:trPr>
        <w:tc>
          <w:tcPr>
            <w:tcW w:w="54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8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7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8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7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8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占用耕地面积</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613.8885亩</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613.8885亩</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完成昌吉市建设用地报批</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完成2020年城市一批次、三批次项目建设用地报批</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完成2020年城市一批次、三批次项目建设用地报批</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60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交纳耕地占用税（万元）</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1461.52</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6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促进合理利用土地资源，加强土地管理，保护农用耕地</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有效促进</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有效促进</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6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持续恢复生态，加大生态保护力度</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持续恢复</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8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满足城市建设、居住环境、商业、工业结构优化</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有效满足</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有效满足</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40" w:hRule="atLeast"/>
        </w:trPr>
        <w:tc>
          <w:tcPr>
            <w:tcW w:w="54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受益对象满意度</w:t>
            </w:r>
          </w:p>
        </w:tc>
        <w:tc>
          <w:tcPr>
            <w:tcW w:w="11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100.00%</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319" w:hRule="atLeast"/>
        </w:trPr>
        <w:tc>
          <w:tcPr>
            <w:tcW w:w="580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100.00 </w:t>
            </w:r>
          </w:p>
        </w:tc>
        <w:tc>
          <w:tcPr>
            <w:tcW w:w="1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Pr>
        <w:rPr>
          <w:rFonts w:ascii="宋体" w:hAnsi="宋体" w:cs="宋体"/>
          <w:sz w:val="18"/>
          <w:szCs w:val="18"/>
        </w:rPr>
      </w:pPr>
    </w:p>
    <w:p>
      <w:pPr>
        <w:rPr>
          <w:rFonts w:ascii="宋体" w:hAnsi="宋体" w:cs="宋体"/>
          <w:sz w:val="18"/>
          <w:szCs w:val="18"/>
        </w:rPr>
      </w:pPr>
    </w:p>
    <w:tbl>
      <w:tblPr>
        <w:tblStyle w:val="9"/>
        <w:tblW w:w="8754" w:type="dxa"/>
        <w:tblInd w:w="0" w:type="dxa"/>
        <w:tblLayout w:type="fixed"/>
        <w:tblCellMar>
          <w:top w:w="0" w:type="dxa"/>
          <w:left w:w="0" w:type="dxa"/>
          <w:bottom w:w="0" w:type="dxa"/>
          <w:right w:w="0" w:type="dxa"/>
        </w:tblCellMar>
      </w:tblPr>
      <w:tblGrid>
        <w:gridCol w:w="487"/>
        <w:gridCol w:w="392"/>
        <w:gridCol w:w="1021"/>
        <w:gridCol w:w="543"/>
        <w:gridCol w:w="946"/>
        <w:gridCol w:w="138"/>
        <w:gridCol w:w="1108"/>
        <w:gridCol w:w="873"/>
        <w:gridCol w:w="238"/>
        <w:gridCol w:w="608"/>
        <w:gridCol w:w="198"/>
        <w:gridCol w:w="598"/>
        <w:gridCol w:w="159"/>
        <w:gridCol w:w="1445"/>
      </w:tblGrid>
      <w:tr>
        <w:tblPrEx>
          <w:tblLayout w:type="fixed"/>
          <w:tblCellMar>
            <w:top w:w="0" w:type="dxa"/>
            <w:left w:w="0" w:type="dxa"/>
            <w:bottom w:w="0" w:type="dxa"/>
            <w:right w:w="0" w:type="dxa"/>
          </w:tblCellMar>
        </w:tblPrEx>
        <w:trPr>
          <w:trHeight w:val="405" w:hRule="atLeast"/>
        </w:trPr>
        <w:tc>
          <w:tcPr>
            <w:tcW w:w="8754" w:type="dxa"/>
            <w:gridSpan w:val="14"/>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405" w:hRule="atLeast"/>
        </w:trPr>
        <w:tc>
          <w:tcPr>
            <w:tcW w:w="8754" w:type="dxa"/>
            <w:gridSpan w:val="14"/>
            <w:tcBorders>
              <w:top w:val="nil"/>
              <w:left w:val="nil"/>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（2020年度）</w:t>
            </w:r>
          </w:p>
        </w:tc>
      </w:tr>
      <w:tr>
        <w:tblPrEx>
          <w:tblLayout w:type="fixed"/>
          <w:tblCellMar>
            <w:top w:w="0" w:type="dxa"/>
            <w:left w:w="0" w:type="dxa"/>
            <w:bottom w:w="0" w:type="dxa"/>
            <w:right w:w="0" w:type="dxa"/>
          </w:tblCellMar>
        </w:tblPrEx>
        <w:trPr>
          <w:trHeight w:val="319" w:hRule="atLeast"/>
        </w:trPr>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项目名称</w:t>
            </w:r>
          </w:p>
        </w:tc>
        <w:tc>
          <w:tcPr>
            <w:tcW w:w="787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2020年“访惠聚”工作轮换队长个人补助经费</w:t>
            </w:r>
          </w:p>
        </w:tc>
      </w:tr>
      <w:tr>
        <w:tblPrEx>
          <w:tblLayout w:type="fixed"/>
          <w:tblCellMar>
            <w:top w:w="0" w:type="dxa"/>
            <w:left w:w="0" w:type="dxa"/>
            <w:bottom w:w="0" w:type="dxa"/>
            <w:right w:w="0" w:type="dxa"/>
          </w:tblCellMar>
        </w:tblPrEx>
        <w:trPr>
          <w:trHeight w:val="319" w:hRule="atLeast"/>
        </w:trPr>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主管部门</w:t>
            </w:r>
          </w:p>
        </w:tc>
        <w:tc>
          <w:tcPr>
            <w:tcW w:w="3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实施单位</w:t>
            </w:r>
          </w:p>
        </w:tc>
        <w:tc>
          <w:tcPr>
            <w:tcW w:w="300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昌吉市自然资源局</w:t>
            </w:r>
          </w:p>
        </w:tc>
      </w:tr>
      <w:tr>
        <w:tblPrEx>
          <w:tblLayout w:type="fixed"/>
          <w:tblCellMar>
            <w:top w:w="0" w:type="dxa"/>
            <w:left w:w="0" w:type="dxa"/>
            <w:bottom w:w="0" w:type="dxa"/>
            <w:right w:w="0" w:type="dxa"/>
          </w:tblCellMar>
        </w:tblPrEx>
        <w:trPr>
          <w:trHeight w:val="319" w:hRule="atLeast"/>
        </w:trPr>
        <w:tc>
          <w:tcPr>
            <w:tcW w:w="8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项目资金       （万元）</w:t>
            </w: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年初预算数</w:t>
            </w:r>
          </w:p>
        </w:tc>
        <w:tc>
          <w:tcPr>
            <w:tcW w:w="12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全年预算数</w:t>
            </w: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全年执行数</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执行率</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r>
      <w:tr>
        <w:tblPrEx>
          <w:tblLayout w:type="fixed"/>
          <w:tblCellMar>
            <w:top w:w="0" w:type="dxa"/>
            <w:left w:w="0" w:type="dxa"/>
            <w:bottom w:w="0" w:type="dxa"/>
            <w:right w:w="0" w:type="dxa"/>
          </w:tblCellMar>
        </w:tblPrEx>
        <w:trPr>
          <w:trHeight w:val="319" w:hRule="atLeast"/>
        </w:trPr>
        <w:tc>
          <w:tcPr>
            <w:tcW w:w="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12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r>
      <w:tr>
        <w:tblPrEx>
          <w:tblLayout w:type="fixed"/>
          <w:tblCellMar>
            <w:top w:w="0" w:type="dxa"/>
            <w:left w:w="0" w:type="dxa"/>
            <w:bottom w:w="0" w:type="dxa"/>
            <w:right w:w="0" w:type="dxa"/>
          </w:tblCellMar>
        </w:tblPrEx>
        <w:trPr>
          <w:trHeight w:val="319" w:hRule="atLeast"/>
        </w:trPr>
        <w:tc>
          <w:tcPr>
            <w:tcW w:w="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12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上年结转资金</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5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其他资金</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7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Layout w:type="fixed"/>
          <w:tblCellMar>
            <w:top w:w="0" w:type="dxa"/>
            <w:left w:w="0" w:type="dxa"/>
            <w:bottom w:w="0" w:type="dxa"/>
            <w:right w:w="0" w:type="dxa"/>
          </w:tblCellMar>
        </w:tblPrEx>
        <w:trPr>
          <w:trHeight w:val="319" w:hRule="atLeast"/>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年度总体目标</w:t>
            </w: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预期目标</w:t>
            </w:r>
          </w:p>
        </w:tc>
        <w:tc>
          <w:tcPr>
            <w:tcW w:w="411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Layout w:type="fixed"/>
          <w:tblCellMar>
            <w:top w:w="0" w:type="dxa"/>
            <w:left w:w="0" w:type="dxa"/>
            <w:bottom w:w="0" w:type="dxa"/>
            <w:right w:w="0" w:type="dxa"/>
          </w:tblCellMar>
        </w:tblPrEx>
        <w:trPr>
          <w:trHeight w:val="1820" w:hRule="atLeast"/>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148"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1、 为深入贯彻自治区、州党委、政府深化“访惠聚”驻村工作的部署要求，进一步继续扎实开展好“访慧聚”驻村工作，充分发挥驻村工作队第一书记为民办实事的需求。2、将“访惠聚”工作轮换队长个人补助经费发放到位。</w:t>
            </w:r>
          </w:p>
        </w:tc>
        <w:tc>
          <w:tcPr>
            <w:tcW w:w="411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工作轮换队长个人补助经费已到位，因资金追加太晚，无法支出，2021年支出。</w:t>
            </w:r>
          </w:p>
        </w:tc>
      </w:tr>
      <w:tr>
        <w:tblPrEx>
          <w:tblLayout w:type="fixed"/>
          <w:tblCellMar>
            <w:top w:w="0" w:type="dxa"/>
            <w:left w:w="0" w:type="dxa"/>
            <w:bottom w:w="0" w:type="dxa"/>
            <w:right w:w="0" w:type="dxa"/>
          </w:tblCellMar>
        </w:tblPrEx>
        <w:trPr>
          <w:trHeight w:val="319" w:hRule="atLeast"/>
        </w:trPr>
        <w:tc>
          <w:tcPr>
            <w:tcW w:w="487"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绩              效    指    标</w:t>
            </w:r>
          </w:p>
        </w:tc>
        <w:tc>
          <w:tcPr>
            <w:tcW w:w="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一级指标</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二级指标</w:t>
            </w:r>
          </w:p>
        </w:tc>
        <w:tc>
          <w:tcPr>
            <w:tcW w:w="16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三级指标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实际</w:t>
            </w:r>
          </w:p>
        </w:tc>
        <w:tc>
          <w:tcPr>
            <w:tcW w:w="8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分值</w:t>
            </w:r>
          </w:p>
        </w:tc>
        <w:tc>
          <w:tcPr>
            <w:tcW w:w="7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得分</w:t>
            </w:r>
          </w:p>
        </w:tc>
        <w:tc>
          <w:tcPr>
            <w:tcW w:w="16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Layout w:type="fixed"/>
          <w:tblCellMar>
            <w:top w:w="0" w:type="dxa"/>
            <w:left w:w="0" w:type="dxa"/>
            <w:bottom w:w="0" w:type="dxa"/>
            <w:right w:w="0" w:type="dxa"/>
          </w:tblCellMar>
        </w:tblPrEx>
        <w:trPr>
          <w:trHeight w:val="319"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指标值</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完成值</w:t>
            </w:r>
          </w:p>
        </w:tc>
        <w:tc>
          <w:tcPr>
            <w:tcW w:w="8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4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0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访惠聚工作队个数</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7个</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2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完成时间</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2020年12月31日</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70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队长补助经费成本</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0.21</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因经费追加在年末，无法支付。</w:t>
            </w:r>
          </w:p>
        </w:tc>
      </w:tr>
      <w:tr>
        <w:tblPrEx>
          <w:tblLayout w:type="fixed"/>
          <w:tblCellMar>
            <w:top w:w="0" w:type="dxa"/>
            <w:left w:w="0" w:type="dxa"/>
            <w:bottom w:w="0" w:type="dxa"/>
            <w:right w:w="0" w:type="dxa"/>
          </w:tblCellMar>
        </w:tblPrEx>
        <w:trPr>
          <w:trHeight w:val="70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调动工作队队长工作积极性，促进社会和谐稳定</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有一定作用</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有一定作用</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92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长期做好“访惠聚”工作日常工作，提高为民服务质量</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108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0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充分发挥第一书记职能，切实做到为群众做实事好事，解决实际困难</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长期</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840" w:hRule="atLeast"/>
        </w:trPr>
        <w:tc>
          <w:tcPr>
            <w:tcW w:w="487"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3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0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服务对象满意度指标</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服务对象满意度</w:t>
            </w:r>
          </w:p>
        </w:tc>
        <w:tc>
          <w:tcPr>
            <w:tcW w:w="11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≥95.00%</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Layout w:type="fixed"/>
          <w:tblCellMar>
            <w:top w:w="0" w:type="dxa"/>
            <w:left w:w="0" w:type="dxa"/>
            <w:bottom w:w="0" w:type="dxa"/>
            <w:right w:w="0" w:type="dxa"/>
          </w:tblCellMar>
        </w:tblPrEx>
        <w:trPr>
          <w:trHeight w:val="540" w:hRule="atLeast"/>
        </w:trPr>
        <w:tc>
          <w:tcPr>
            <w:tcW w:w="550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总分</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7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85.00 </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
      <w:pPr>
        <w:ind w:firstLine="2240" w:firstLineChars="700"/>
        <w:rPr>
          <w:rFonts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第四部分 部门决算报表（见附表）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七、《一般公共预算财政拨款“三公”经费支出决算表》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八、《政府性基金预算财政拨款收入支出决算表》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九、《国有资本经营预算财政拨款收入支出决算表》</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昌吉市自然资源局</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2021年7月12日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47</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88663"/>
    <w:multiLevelType w:val="singleLevel"/>
    <w:tmpl w:val="5368866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E5AC1"/>
    <w:rsid w:val="001B5636"/>
    <w:rsid w:val="001F2055"/>
    <w:rsid w:val="0022265B"/>
    <w:rsid w:val="003F5CAE"/>
    <w:rsid w:val="00494FA8"/>
    <w:rsid w:val="0072457D"/>
    <w:rsid w:val="00725FCE"/>
    <w:rsid w:val="00767E84"/>
    <w:rsid w:val="007714D6"/>
    <w:rsid w:val="007A382F"/>
    <w:rsid w:val="008836CB"/>
    <w:rsid w:val="00890F0C"/>
    <w:rsid w:val="008A740A"/>
    <w:rsid w:val="009E1884"/>
    <w:rsid w:val="009E6DF6"/>
    <w:rsid w:val="00B67657"/>
    <w:rsid w:val="00C41B30"/>
    <w:rsid w:val="00C816EF"/>
    <w:rsid w:val="00D352F3"/>
    <w:rsid w:val="00D65991"/>
    <w:rsid w:val="00F86FD8"/>
    <w:rsid w:val="00F95A8E"/>
    <w:rsid w:val="00FF3E95"/>
    <w:rsid w:val="00FF6115"/>
    <w:rsid w:val="01201E4A"/>
    <w:rsid w:val="01634B10"/>
    <w:rsid w:val="018249FD"/>
    <w:rsid w:val="01C817E9"/>
    <w:rsid w:val="01DF7B83"/>
    <w:rsid w:val="01F93858"/>
    <w:rsid w:val="02051232"/>
    <w:rsid w:val="022429ED"/>
    <w:rsid w:val="024761C2"/>
    <w:rsid w:val="0255733B"/>
    <w:rsid w:val="02C4524B"/>
    <w:rsid w:val="02D02CE0"/>
    <w:rsid w:val="02E53CBD"/>
    <w:rsid w:val="02F64B4C"/>
    <w:rsid w:val="0339493B"/>
    <w:rsid w:val="033B7104"/>
    <w:rsid w:val="03624353"/>
    <w:rsid w:val="03846ADB"/>
    <w:rsid w:val="038C1BB1"/>
    <w:rsid w:val="03A12586"/>
    <w:rsid w:val="03BF5326"/>
    <w:rsid w:val="040D4D80"/>
    <w:rsid w:val="041D7ACE"/>
    <w:rsid w:val="04204386"/>
    <w:rsid w:val="043341B9"/>
    <w:rsid w:val="044626F0"/>
    <w:rsid w:val="04A7251A"/>
    <w:rsid w:val="04B45FCB"/>
    <w:rsid w:val="04B8652A"/>
    <w:rsid w:val="04C00428"/>
    <w:rsid w:val="04F42FCB"/>
    <w:rsid w:val="05277B71"/>
    <w:rsid w:val="05606522"/>
    <w:rsid w:val="057C058B"/>
    <w:rsid w:val="05AE0BA5"/>
    <w:rsid w:val="05B1270A"/>
    <w:rsid w:val="060648E3"/>
    <w:rsid w:val="060F14B0"/>
    <w:rsid w:val="063C623B"/>
    <w:rsid w:val="064F6CF4"/>
    <w:rsid w:val="067C7162"/>
    <w:rsid w:val="071301B8"/>
    <w:rsid w:val="0745504B"/>
    <w:rsid w:val="077A46E9"/>
    <w:rsid w:val="077E5A7D"/>
    <w:rsid w:val="079720EE"/>
    <w:rsid w:val="07AB75AC"/>
    <w:rsid w:val="07DC0DFE"/>
    <w:rsid w:val="081C66B1"/>
    <w:rsid w:val="081D3CE6"/>
    <w:rsid w:val="082D379B"/>
    <w:rsid w:val="085D57E7"/>
    <w:rsid w:val="08730B80"/>
    <w:rsid w:val="08FE7F89"/>
    <w:rsid w:val="091126A1"/>
    <w:rsid w:val="093941A0"/>
    <w:rsid w:val="09472099"/>
    <w:rsid w:val="094B4900"/>
    <w:rsid w:val="096533C8"/>
    <w:rsid w:val="099325E1"/>
    <w:rsid w:val="09A8506A"/>
    <w:rsid w:val="09B72F6E"/>
    <w:rsid w:val="09BC5130"/>
    <w:rsid w:val="09FB2752"/>
    <w:rsid w:val="09FC7B04"/>
    <w:rsid w:val="0A202212"/>
    <w:rsid w:val="0A2302E4"/>
    <w:rsid w:val="0A2D73A3"/>
    <w:rsid w:val="0A3374E7"/>
    <w:rsid w:val="0A5158F9"/>
    <w:rsid w:val="0A8D762A"/>
    <w:rsid w:val="0AF40A36"/>
    <w:rsid w:val="0B0239A6"/>
    <w:rsid w:val="0B143DA2"/>
    <w:rsid w:val="0B66402A"/>
    <w:rsid w:val="0B692BB7"/>
    <w:rsid w:val="0BC84AB9"/>
    <w:rsid w:val="0C045991"/>
    <w:rsid w:val="0C0C10E0"/>
    <w:rsid w:val="0C164495"/>
    <w:rsid w:val="0C6C0971"/>
    <w:rsid w:val="0C7C491B"/>
    <w:rsid w:val="0D23125E"/>
    <w:rsid w:val="0D26452C"/>
    <w:rsid w:val="0D8C74FE"/>
    <w:rsid w:val="0DB622DD"/>
    <w:rsid w:val="0E2A67B5"/>
    <w:rsid w:val="0E596B1F"/>
    <w:rsid w:val="0E5E7CEE"/>
    <w:rsid w:val="0EF328E9"/>
    <w:rsid w:val="0EFC47F0"/>
    <w:rsid w:val="0F0D6480"/>
    <w:rsid w:val="0F5A361E"/>
    <w:rsid w:val="0F754F7C"/>
    <w:rsid w:val="0F772459"/>
    <w:rsid w:val="0F787C4C"/>
    <w:rsid w:val="0F990501"/>
    <w:rsid w:val="0FC369BB"/>
    <w:rsid w:val="100B0CDE"/>
    <w:rsid w:val="10200BB8"/>
    <w:rsid w:val="102E2AEA"/>
    <w:rsid w:val="106975EB"/>
    <w:rsid w:val="10820B51"/>
    <w:rsid w:val="10C6328A"/>
    <w:rsid w:val="115A3569"/>
    <w:rsid w:val="11F45483"/>
    <w:rsid w:val="120C656E"/>
    <w:rsid w:val="12374C53"/>
    <w:rsid w:val="125C35AC"/>
    <w:rsid w:val="12C23D8E"/>
    <w:rsid w:val="12CF345D"/>
    <w:rsid w:val="13255665"/>
    <w:rsid w:val="137022C4"/>
    <w:rsid w:val="13CF765E"/>
    <w:rsid w:val="14445341"/>
    <w:rsid w:val="14691C0B"/>
    <w:rsid w:val="14C310CC"/>
    <w:rsid w:val="14CF4296"/>
    <w:rsid w:val="14FC4F7A"/>
    <w:rsid w:val="14FE3FEA"/>
    <w:rsid w:val="15276F25"/>
    <w:rsid w:val="1535727D"/>
    <w:rsid w:val="1537145D"/>
    <w:rsid w:val="15392F57"/>
    <w:rsid w:val="154B21CB"/>
    <w:rsid w:val="157F3C3D"/>
    <w:rsid w:val="159B3E65"/>
    <w:rsid w:val="15C24872"/>
    <w:rsid w:val="15D81102"/>
    <w:rsid w:val="15E029DA"/>
    <w:rsid w:val="15F569F4"/>
    <w:rsid w:val="16063AB1"/>
    <w:rsid w:val="16187DCC"/>
    <w:rsid w:val="16267563"/>
    <w:rsid w:val="164A6422"/>
    <w:rsid w:val="16583271"/>
    <w:rsid w:val="165E4E8F"/>
    <w:rsid w:val="16801187"/>
    <w:rsid w:val="168B30C0"/>
    <w:rsid w:val="168E4D05"/>
    <w:rsid w:val="169451B2"/>
    <w:rsid w:val="16AD1C5A"/>
    <w:rsid w:val="17021901"/>
    <w:rsid w:val="173E5833"/>
    <w:rsid w:val="178A76AA"/>
    <w:rsid w:val="17990F5F"/>
    <w:rsid w:val="17A27E0D"/>
    <w:rsid w:val="17CD68E3"/>
    <w:rsid w:val="182A691D"/>
    <w:rsid w:val="18376FA2"/>
    <w:rsid w:val="183B5AD9"/>
    <w:rsid w:val="18F87DCF"/>
    <w:rsid w:val="19073061"/>
    <w:rsid w:val="197E730C"/>
    <w:rsid w:val="197F05C1"/>
    <w:rsid w:val="1A047A22"/>
    <w:rsid w:val="1A6063AB"/>
    <w:rsid w:val="1A61607D"/>
    <w:rsid w:val="1A9D2C15"/>
    <w:rsid w:val="1AA5421C"/>
    <w:rsid w:val="1AEF6AAE"/>
    <w:rsid w:val="1BB200D5"/>
    <w:rsid w:val="1C1A36F3"/>
    <w:rsid w:val="1C3F5272"/>
    <w:rsid w:val="1C597909"/>
    <w:rsid w:val="1CB227D5"/>
    <w:rsid w:val="1CB74931"/>
    <w:rsid w:val="1CC046E7"/>
    <w:rsid w:val="1CD134E0"/>
    <w:rsid w:val="1D1440A8"/>
    <w:rsid w:val="1D144BD2"/>
    <w:rsid w:val="1D271107"/>
    <w:rsid w:val="1D3177D7"/>
    <w:rsid w:val="1D991D6C"/>
    <w:rsid w:val="1DC81BAA"/>
    <w:rsid w:val="1DD141B0"/>
    <w:rsid w:val="1E3B1A9E"/>
    <w:rsid w:val="1E820EBB"/>
    <w:rsid w:val="1E93067E"/>
    <w:rsid w:val="1EA24C9E"/>
    <w:rsid w:val="1EB41BB6"/>
    <w:rsid w:val="1EC93F91"/>
    <w:rsid w:val="1ECD0800"/>
    <w:rsid w:val="1ED208CE"/>
    <w:rsid w:val="1EE87603"/>
    <w:rsid w:val="1F070EF3"/>
    <w:rsid w:val="1F165386"/>
    <w:rsid w:val="1F594D13"/>
    <w:rsid w:val="1F985E22"/>
    <w:rsid w:val="1FB101ED"/>
    <w:rsid w:val="1FC1534A"/>
    <w:rsid w:val="1FF62C03"/>
    <w:rsid w:val="200F725A"/>
    <w:rsid w:val="20464171"/>
    <w:rsid w:val="20546D15"/>
    <w:rsid w:val="208C4562"/>
    <w:rsid w:val="20966F76"/>
    <w:rsid w:val="20BA7448"/>
    <w:rsid w:val="20DA5F53"/>
    <w:rsid w:val="20ED3AF0"/>
    <w:rsid w:val="216410D0"/>
    <w:rsid w:val="218563BC"/>
    <w:rsid w:val="21AD6F95"/>
    <w:rsid w:val="2214685E"/>
    <w:rsid w:val="22247D13"/>
    <w:rsid w:val="224B4791"/>
    <w:rsid w:val="2265624E"/>
    <w:rsid w:val="226F515F"/>
    <w:rsid w:val="22D03B29"/>
    <w:rsid w:val="22DD2BAD"/>
    <w:rsid w:val="232D25E9"/>
    <w:rsid w:val="234D7765"/>
    <w:rsid w:val="2367250A"/>
    <w:rsid w:val="238E473E"/>
    <w:rsid w:val="23C81B5B"/>
    <w:rsid w:val="24082679"/>
    <w:rsid w:val="248518E4"/>
    <w:rsid w:val="248F7172"/>
    <w:rsid w:val="259C4B99"/>
    <w:rsid w:val="25B46966"/>
    <w:rsid w:val="25BC345B"/>
    <w:rsid w:val="2612514A"/>
    <w:rsid w:val="26137D2B"/>
    <w:rsid w:val="267B08F4"/>
    <w:rsid w:val="26A75465"/>
    <w:rsid w:val="26C81926"/>
    <w:rsid w:val="26CA0BB8"/>
    <w:rsid w:val="274960BA"/>
    <w:rsid w:val="27531E23"/>
    <w:rsid w:val="275A159B"/>
    <w:rsid w:val="27892AFE"/>
    <w:rsid w:val="27A11112"/>
    <w:rsid w:val="27ED4A7B"/>
    <w:rsid w:val="27F028AF"/>
    <w:rsid w:val="28180A97"/>
    <w:rsid w:val="28191152"/>
    <w:rsid w:val="281E4ADE"/>
    <w:rsid w:val="28334BBF"/>
    <w:rsid w:val="283A3DFC"/>
    <w:rsid w:val="28974E42"/>
    <w:rsid w:val="28BB3CE5"/>
    <w:rsid w:val="28C10039"/>
    <w:rsid w:val="28FE6FA3"/>
    <w:rsid w:val="290A12F6"/>
    <w:rsid w:val="29943657"/>
    <w:rsid w:val="29CA4DF3"/>
    <w:rsid w:val="29FE4A68"/>
    <w:rsid w:val="2A7144B5"/>
    <w:rsid w:val="2A7B4BB1"/>
    <w:rsid w:val="2B222F3B"/>
    <w:rsid w:val="2B2C603F"/>
    <w:rsid w:val="2B4650C1"/>
    <w:rsid w:val="2C0246F4"/>
    <w:rsid w:val="2C20488D"/>
    <w:rsid w:val="2C406832"/>
    <w:rsid w:val="2C437BB9"/>
    <w:rsid w:val="2C4C721D"/>
    <w:rsid w:val="2C7027FE"/>
    <w:rsid w:val="2C711264"/>
    <w:rsid w:val="2C875D90"/>
    <w:rsid w:val="2CBB3F7A"/>
    <w:rsid w:val="2CFB232A"/>
    <w:rsid w:val="2D454657"/>
    <w:rsid w:val="2D536A85"/>
    <w:rsid w:val="2D7C77D8"/>
    <w:rsid w:val="2DCD2186"/>
    <w:rsid w:val="2DE36E29"/>
    <w:rsid w:val="2DEA074F"/>
    <w:rsid w:val="2DF95890"/>
    <w:rsid w:val="2E03325D"/>
    <w:rsid w:val="2E0353BA"/>
    <w:rsid w:val="2E124EC6"/>
    <w:rsid w:val="2E1A0C80"/>
    <w:rsid w:val="2E865198"/>
    <w:rsid w:val="2E947BF8"/>
    <w:rsid w:val="2EBB2E3B"/>
    <w:rsid w:val="2EE7110F"/>
    <w:rsid w:val="2F533720"/>
    <w:rsid w:val="2F5579F8"/>
    <w:rsid w:val="2F682329"/>
    <w:rsid w:val="2F7D1A62"/>
    <w:rsid w:val="2FE0377B"/>
    <w:rsid w:val="2FE24EBE"/>
    <w:rsid w:val="2FEC5241"/>
    <w:rsid w:val="3047412D"/>
    <w:rsid w:val="30832CD2"/>
    <w:rsid w:val="30AB68CE"/>
    <w:rsid w:val="316D7BFC"/>
    <w:rsid w:val="3174431E"/>
    <w:rsid w:val="32175F32"/>
    <w:rsid w:val="32921C45"/>
    <w:rsid w:val="329C2F64"/>
    <w:rsid w:val="329E5D48"/>
    <w:rsid w:val="32C70D25"/>
    <w:rsid w:val="32E7227C"/>
    <w:rsid w:val="330D2F84"/>
    <w:rsid w:val="331F7245"/>
    <w:rsid w:val="33552E3F"/>
    <w:rsid w:val="3358735C"/>
    <w:rsid w:val="336013C7"/>
    <w:rsid w:val="336D2618"/>
    <w:rsid w:val="338C008E"/>
    <w:rsid w:val="338D7A6F"/>
    <w:rsid w:val="338E391B"/>
    <w:rsid w:val="339A4673"/>
    <w:rsid w:val="33B2509B"/>
    <w:rsid w:val="33CB19C7"/>
    <w:rsid w:val="33E10BD9"/>
    <w:rsid w:val="33F73803"/>
    <w:rsid w:val="34177A66"/>
    <w:rsid w:val="343B0860"/>
    <w:rsid w:val="344D60D3"/>
    <w:rsid w:val="344F4014"/>
    <w:rsid w:val="348F4E10"/>
    <w:rsid w:val="3499012F"/>
    <w:rsid w:val="34B52045"/>
    <w:rsid w:val="34D600D0"/>
    <w:rsid w:val="351F270F"/>
    <w:rsid w:val="35286B5D"/>
    <w:rsid w:val="35646BD6"/>
    <w:rsid w:val="35B47004"/>
    <w:rsid w:val="365C47FC"/>
    <w:rsid w:val="36713AE7"/>
    <w:rsid w:val="36802073"/>
    <w:rsid w:val="36877BD0"/>
    <w:rsid w:val="373B698F"/>
    <w:rsid w:val="373B69F9"/>
    <w:rsid w:val="373E4A06"/>
    <w:rsid w:val="37416DD7"/>
    <w:rsid w:val="3752224F"/>
    <w:rsid w:val="37570318"/>
    <w:rsid w:val="37730505"/>
    <w:rsid w:val="3788711F"/>
    <w:rsid w:val="378D019B"/>
    <w:rsid w:val="379B5667"/>
    <w:rsid w:val="37AA07DD"/>
    <w:rsid w:val="38026305"/>
    <w:rsid w:val="381D58FA"/>
    <w:rsid w:val="38444D7E"/>
    <w:rsid w:val="385542C8"/>
    <w:rsid w:val="38AA3101"/>
    <w:rsid w:val="38E96006"/>
    <w:rsid w:val="390E2D5B"/>
    <w:rsid w:val="393A6641"/>
    <w:rsid w:val="393B3118"/>
    <w:rsid w:val="399A1893"/>
    <w:rsid w:val="39B46550"/>
    <w:rsid w:val="39BA47D0"/>
    <w:rsid w:val="39F57AB0"/>
    <w:rsid w:val="3A242335"/>
    <w:rsid w:val="3A486692"/>
    <w:rsid w:val="3A4D384D"/>
    <w:rsid w:val="3A5B4F07"/>
    <w:rsid w:val="3A771C2F"/>
    <w:rsid w:val="3A7F48BF"/>
    <w:rsid w:val="3A986479"/>
    <w:rsid w:val="3AC44CBE"/>
    <w:rsid w:val="3AC676E6"/>
    <w:rsid w:val="3AD752F6"/>
    <w:rsid w:val="3B0F6C26"/>
    <w:rsid w:val="3B6635E2"/>
    <w:rsid w:val="3B6F0B5F"/>
    <w:rsid w:val="3B703E31"/>
    <w:rsid w:val="3B9D0589"/>
    <w:rsid w:val="3BC35250"/>
    <w:rsid w:val="3C5C66D5"/>
    <w:rsid w:val="3C6468B7"/>
    <w:rsid w:val="3C8E3AB8"/>
    <w:rsid w:val="3CC53A35"/>
    <w:rsid w:val="3CDD0ADA"/>
    <w:rsid w:val="3D166480"/>
    <w:rsid w:val="3D2B6ACD"/>
    <w:rsid w:val="3D565C7D"/>
    <w:rsid w:val="3D591B4F"/>
    <w:rsid w:val="3D726FD8"/>
    <w:rsid w:val="3D88271C"/>
    <w:rsid w:val="3DB37499"/>
    <w:rsid w:val="3DC21029"/>
    <w:rsid w:val="3DE259DC"/>
    <w:rsid w:val="3E052D8D"/>
    <w:rsid w:val="3E207A92"/>
    <w:rsid w:val="3E435EDA"/>
    <w:rsid w:val="3E845AC2"/>
    <w:rsid w:val="3EAA63E2"/>
    <w:rsid w:val="3EE80EE0"/>
    <w:rsid w:val="3F0E60F3"/>
    <w:rsid w:val="3F110F55"/>
    <w:rsid w:val="3F1B0D1F"/>
    <w:rsid w:val="3F2627C3"/>
    <w:rsid w:val="3F372F95"/>
    <w:rsid w:val="3F6A1BE0"/>
    <w:rsid w:val="3F9E0FE9"/>
    <w:rsid w:val="3FA840C9"/>
    <w:rsid w:val="3FB278AD"/>
    <w:rsid w:val="40072870"/>
    <w:rsid w:val="403C3AA6"/>
    <w:rsid w:val="404B5532"/>
    <w:rsid w:val="40AF7CC9"/>
    <w:rsid w:val="41A934CF"/>
    <w:rsid w:val="42391595"/>
    <w:rsid w:val="42407B58"/>
    <w:rsid w:val="427D6DCF"/>
    <w:rsid w:val="428F195C"/>
    <w:rsid w:val="428F62B8"/>
    <w:rsid w:val="42A647F1"/>
    <w:rsid w:val="42C629E7"/>
    <w:rsid w:val="42DB4419"/>
    <w:rsid w:val="42FB67C7"/>
    <w:rsid w:val="43172447"/>
    <w:rsid w:val="436A284E"/>
    <w:rsid w:val="438E27CA"/>
    <w:rsid w:val="43C61003"/>
    <w:rsid w:val="43DD4B3B"/>
    <w:rsid w:val="43FE1587"/>
    <w:rsid w:val="448B1BFB"/>
    <w:rsid w:val="45020312"/>
    <w:rsid w:val="45037EC8"/>
    <w:rsid w:val="45562C49"/>
    <w:rsid w:val="45595C45"/>
    <w:rsid w:val="457529FB"/>
    <w:rsid w:val="45C8110A"/>
    <w:rsid w:val="45D95925"/>
    <w:rsid w:val="45F75CF5"/>
    <w:rsid w:val="46077A39"/>
    <w:rsid w:val="4608250D"/>
    <w:rsid w:val="461664BC"/>
    <w:rsid w:val="461949F3"/>
    <w:rsid w:val="46291D61"/>
    <w:rsid w:val="4638347A"/>
    <w:rsid w:val="46422C74"/>
    <w:rsid w:val="4660591D"/>
    <w:rsid w:val="466C4637"/>
    <w:rsid w:val="468426EB"/>
    <w:rsid w:val="470F399D"/>
    <w:rsid w:val="47651CED"/>
    <w:rsid w:val="476F6784"/>
    <w:rsid w:val="47A075E2"/>
    <w:rsid w:val="47BF528A"/>
    <w:rsid w:val="48174396"/>
    <w:rsid w:val="4822127E"/>
    <w:rsid w:val="48492822"/>
    <w:rsid w:val="485D0B2D"/>
    <w:rsid w:val="48626B60"/>
    <w:rsid w:val="4891740D"/>
    <w:rsid w:val="489C0A57"/>
    <w:rsid w:val="48AE20F4"/>
    <w:rsid w:val="48C41AA9"/>
    <w:rsid w:val="48C45EC8"/>
    <w:rsid w:val="48DC0ECC"/>
    <w:rsid w:val="48E34204"/>
    <w:rsid w:val="48E71B3E"/>
    <w:rsid w:val="4952083F"/>
    <w:rsid w:val="49586492"/>
    <w:rsid w:val="49961B30"/>
    <w:rsid w:val="49A0233B"/>
    <w:rsid w:val="49AE3ADF"/>
    <w:rsid w:val="49BA1B75"/>
    <w:rsid w:val="49F77FC0"/>
    <w:rsid w:val="4A095FBD"/>
    <w:rsid w:val="4A84352A"/>
    <w:rsid w:val="4AAC571B"/>
    <w:rsid w:val="4ABC05BF"/>
    <w:rsid w:val="4AC237EC"/>
    <w:rsid w:val="4AD2156F"/>
    <w:rsid w:val="4AD63C45"/>
    <w:rsid w:val="4AEB13F3"/>
    <w:rsid w:val="4AF43A6F"/>
    <w:rsid w:val="4B1E3011"/>
    <w:rsid w:val="4B407D3A"/>
    <w:rsid w:val="4B567E6D"/>
    <w:rsid w:val="4B7D5251"/>
    <w:rsid w:val="4BEB2246"/>
    <w:rsid w:val="4C097E5E"/>
    <w:rsid w:val="4C290696"/>
    <w:rsid w:val="4C522255"/>
    <w:rsid w:val="4C5F64DA"/>
    <w:rsid w:val="4C716F34"/>
    <w:rsid w:val="4C8E0C61"/>
    <w:rsid w:val="4CB840B6"/>
    <w:rsid w:val="4CE628B5"/>
    <w:rsid w:val="4CE66B1A"/>
    <w:rsid w:val="4D192BB1"/>
    <w:rsid w:val="4D485C44"/>
    <w:rsid w:val="4D880AAC"/>
    <w:rsid w:val="4DAC1A07"/>
    <w:rsid w:val="4DAE347B"/>
    <w:rsid w:val="4DBA0D67"/>
    <w:rsid w:val="4DE61824"/>
    <w:rsid w:val="4E2208D1"/>
    <w:rsid w:val="4E5272EB"/>
    <w:rsid w:val="4E6373E3"/>
    <w:rsid w:val="4EC918D1"/>
    <w:rsid w:val="4F5A7400"/>
    <w:rsid w:val="4FDF04FA"/>
    <w:rsid w:val="4FF17BF4"/>
    <w:rsid w:val="4FF56F80"/>
    <w:rsid w:val="501D75C5"/>
    <w:rsid w:val="502A4854"/>
    <w:rsid w:val="502D13E0"/>
    <w:rsid w:val="503A53CA"/>
    <w:rsid w:val="50592693"/>
    <w:rsid w:val="50D57648"/>
    <w:rsid w:val="50F4786A"/>
    <w:rsid w:val="512426F2"/>
    <w:rsid w:val="514119ED"/>
    <w:rsid w:val="5174756B"/>
    <w:rsid w:val="518347A4"/>
    <w:rsid w:val="51987617"/>
    <w:rsid w:val="52A67A79"/>
    <w:rsid w:val="52C16DC3"/>
    <w:rsid w:val="52E418AD"/>
    <w:rsid w:val="52EC5A01"/>
    <w:rsid w:val="52F00C93"/>
    <w:rsid w:val="533A038E"/>
    <w:rsid w:val="533E066A"/>
    <w:rsid w:val="53844A98"/>
    <w:rsid w:val="53884B4D"/>
    <w:rsid w:val="53B71611"/>
    <w:rsid w:val="53E24CBE"/>
    <w:rsid w:val="54B615E9"/>
    <w:rsid w:val="550034A7"/>
    <w:rsid w:val="55337728"/>
    <w:rsid w:val="55A0516F"/>
    <w:rsid w:val="55C022AA"/>
    <w:rsid w:val="55C77F13"/>
    <w:rsid w:val="55E918B4"/>
    <w:rsid w:val="564E0958"/>
    <w:rsid w:val="571417D0"/>
    <w:rsid w:val="574062E3"/>
    <w:rsid w:val="57407FCE"/>
    <w:rsid w:val="5753285E"/>
    <w:rsid w:val="57904169"/>
    <w:rsid w:val="57CB19CB"/>
    <w:rsid w:val="57CD01A7"/>
    <w:rsid w:val="57D9670F"/>
    <w:rsid w:val="57F1043F"/>
    <w:rsid w:val="580028AC"/>
    <w:rsid w:val="5814045D"/>
    <w:rsid w:val="58425355"/>
    <w:rsid w:val="58507347"/>
    <w:rsid w:val="587D27D9"/>
    <w:rsid w:val="58C24023"/>
    <w:rsid w:val="58E16887"/>
    <w:rsid w:val="594349F3"/>
    <w:rsid w:val="59672BBB"/>
    <w:rsid w:val="59732D08"/>
    <w:rsid w:val="59BD704D"/>
    <w:rsid w:val="59C94703"/>
    <w:rsid w:val="59CB7DEC"/>
    <w:rsid w:val="5A0250C6"/>
    <w:rsid w:val="5A1E4B98"/>
    <w:rsid w:val="5A286F9E"/>
    <w:rsid w:val="5A33549D"/>
    <w:rsid w:val="5A421F65"/>
    <w:rsid w:val="5A4624CA"/>
    <w:rsid w:val="5A6E01A7"/>
    <w:rsid w:val="5A780622"/>
    <w:rsid w:val="5A7D25EB"/>
    <w:rsid w:val="5AAF0D23"/>
    <w:rsid w:val="5AD76C00"/>
    <w:rsid w:val="5AE54801"/>
    <w:rsid w:val="5B2A13F4"/>
    <w:rsid w:val="5B3E27AE"/>
    <w:rsid w:val="5B4C43F6"/>
    <w:rsid w:val="5B6821F6"/>
    <w:rsid w:val="5B7667AD"/>
    <w:rsid w:val="5B7930E2"/>
    <w:rsid w:val="5B795905"/>
    <w:rsid w:val="5B901FB9"/>
    <w:rsid w:val="5BBA2178"/>
    <w:rsid w:val="5BC73504"/>
    <w:rsid w:val="5C334A05"/>
    <w:rsid w:val="5C557A43"/>
    <w:rsid w:val="5C9E6FE0"/>
    <w:rsid w:val="5CA622CB"/>
    <w:rsid w:val="5D016F45"/>
    <w:rsid w:val="5D094B65"/>
    <w:rsid w:val="5D2362FD"/>
    <w:rsid w:val="5D2776DA"/>
    <w:rsid w:val="5D287D66"/>
    <w:rsid w:val="5D3D0ED4"/>
    <w:rsid w:val="5D7121D5"/>
    <w:rsid w:val="5D8D41D7"/>
    <w:rsid w:val="5DA341EF"/>
    <w:rsid w:val="5DFE01AC"/>
    <w:rsid w:val="5E582FF5"/>
    <w:rsid w:val="5EAF7FD7"/>
    <w:rsid w:val="5EB870D8"/>
    <w:rsid w:val="5EC7533F"/>
    <w:rsid w:val="5F12675C"/>
    <w:rsid w:val="5F2C1CC6"/>
    <w:rsid w:val="5F5327CA"/>
    <w:rsid w:val="5F9F3D18"/>
    <w:rsid w:val="5FD25DB5"/>
    <w:rsid w:val="5FD363F8"/>
    <w:rsid w:val="608778A7"/>
    <w:rsid w:val="60936FEA"/>
    <w:rsid w:val="60F00A5B"/>
    <w:rsid w:val="60FB1C64"/>
    <w:rsid w:val="610678E0"/>
    <w:rsid w:val="613F68F9"/>
    <w:rsid w:val="61BE1128"/>
    <w:rsid w:val="621F60AC"/>
    <w:rsid w:val="62347022"/>
    <w:rsid w:val="62B806BE"/>
    <w:rsid w:val="62D656BF"/>
    <w:rsid w:val="630C4972"/>
    <w:rsid w:val="630E77C1"/>
    <w:rsid w:val="632723F7"/>
    <w:rsid w:val="632D5AC8"/>
    <w:rsid w:val="638D34ED"/>
    <w:rsid w:val="63B72D51"/>
    <w:rsid w:val="63C12168"/>
    <w:rsid w:val="642D607D"/>
    <w:rsid w:val="643B64A0"/>
    <w:rsid w:val="645A5DE9"/>
    <w:rsid w:val="645C0A3D"/>
    <w:rsid w:val="647F6F12"/>
    <w:rsid w:val="648A61AE"/>
    <w:rsid w:val="648C0174"/>
    <w:rsid w:val="64912301"/>
    <w:rsid w:val="649F78F8"/>
    <w:rsid w:val="64A07899"/>
    <w:rsid w:val="64E10DD6"/>
    <w:rsid w:val="65125AE0"/>
    <w:rsid w:val="65915B6B"/>
    <w:rsid w:val="65EA02B6"/>
    <w:rsid w:val="65FE14EF"/>
    <w:rsid w:val="66802639"/>
    <w:rsid w:val="66855863"/>
    <w:rsid w:val="66A35825"/>
    <w:rsid w:val="66B41E33"/>
    <w:rsid w:val="66B9614F"/>
    <w:rsid w:val="66C2026A"/>
    <w:rsid w:val="66C6718F"/>
    <w:rsid w:val="66F51ACF"/>
    <w:rsid w:val="67520943"/>
    <w:rsid w:val="675D674C"/>
    <w:rsid w:val="676E6CE9"/>
    <w:rsid w:val="67756A02"/>
    <w:rsid w:val="67763AB5"/>
    <w:rsid w:val="678A7868"/>
    <w:rsid w:val="67B41E8E"/>
    <w:rsid w:val="67BA07CA"/>
    <w:rsid w:val="67CC6637"/>
    <w:rsid w:val="67D24A8D"/>
    <w:rsid w:val="67D95FCD"/>
    <w:rsid w:val="67F31364"/>
    <w:rsid w:val="68035F3D"/>
    <w:rsid w:val="682E6EA6"/>
    <w:rsid w:val="686B11BC"/>
    <w:rsid w:val="6871543D"/>
    <w:rsid w:val="68816768"/>
    <w:rsid w:val="689E1444"/>
    <w:rsid w:val="68C7050A"/>
    <w:rsid w:val="68DF1CF8"/>
    <w:rsid w:val="693460B1"/>
    <w:rsid w:val="69B13699"/>
    <w:rsid w:val="69D4180E"/>
    <w:rsid w:val="6A150D4B"/>
    <w:rsid w:val="6A4E5588"/>
    <w:rsid w:val="6A5666BA"/>
    <w:rsid w:val="6AB461C3"/>
    <w:rsid w:val="6AE1621F"/>
    <w:rsid w:val="6AED4685"/>
    <w:rsid w:val="6B081CD9"/>
    <w:rsid w:val="6B617A92"/>
    <w:rsid w:val="6B743D57"/>
    <w:rsid w:val="6B7E5D64"/>
    <w:rsid w:val="6B8F481C"/>
    <w:rsid w:val="6BA20C20"/>
    <w:rsid w:val="6BB27088"/>
    <w:rsid w:val="6C241D1D"/>
    <w:rsid w:val="6C2443E4"/>
    <w:rsid w:val="6C4877C2"/>
    <w:rsid w:val="6C4B3FA9"/>
    <w:rsid w:val="6CA347D6"/>
    <w:rsid w:val="6CA87F9C"/>
    <w:rsid w:val="6CCD32DB"/>
    <w:rsid w:val="6CD869DE"/>
    <w:rsid w:val="6CDD69AF"/>
    <w:rsid w:val="6CF52086"/>
    <w:rsid w:val="6D2C1F5D"/>
    <w:rsid w:val="6D3328D4"/>
    <w:rsid w:val="6D4835C3"/>
    <w:rsid w:val="6D483AAB"/>
    <w:rsid w:val="6D505254"/>
    <w:rsid w:val="6D7F23B2"/>
    <w:rsid w:val="6DC870D9"/>
    <w:rsid w:val="6DD056B8"/>
    <w:rsid w:val="6E2E7A03"/>
    <w:rsid w:val="6E355737"/>
    <w:rsid w:val="6E9C5519"/>
    <w:rsid w:val="6EA56711"/>
    <w:rsid w:val="6EAC6C0E"/>
    <w:rsid w:val="6EEF5224"/>
    <w:rsid w:val="6EF30473"/>
    <w:rsid w:val="6EF96089"/>
    <w:rsid w:val="6EFC61D6"/>
    <w:rsid w:val="6F4512F9"/>
    <w:rsid w:val="6F4916F1"/>
    <w:rsid w:val="6F4E46ED"/>
    <w:rsid w:val="6F653F48"/>
    <w:rsid w:val="6FD15E2C"/>
    <w:rsid w:val="6FDF6327"/>
    <w:rsid w:val="702625C5"/>
    <w:rsid w:val="7063327B"/>
    <w:rsid w:val="70A6323B"/>
    <w:rsid w:val="70F31B7E"/>
    <w:rsid w:val="71113286"/>
    <w:rsid w:val="71416859"/>
    <w:rsid w:val="71453D17"/>
    <w:rsid w:val="71507392"/>
    <w:rsid w:val="71566F76"/>
    <w:rsid w:val="720A45C2"/>
    <w:rsid w:val="727D416E"/>
    <w:rsid w:val="72A76441"/>
    <w:rsid w:val="72CE52A5"/>
    <w:rsid w:val="72FF2BF2"/>
    <w:rsid w:val="73076573"/>
    <w:rsid w:val="73177FE2"/>
    <w:rsid w:val="73593961"/>
    <w:rsid w:val="73606970"/>
    <w:rsid w:val="73B03C49"/>
    <w:rsid w:val="73D71D78"/>
    <w:rsid w:val="73E31F51"/>
    <w:rsid w:val="74215FBE"/>
    <w:rsid w:val="743A74D2"/>
    <w:rsid w:val="743D69C0"/>
    <w:rsid w:val="743E1BCF"/>
    <w:rsid w:val="74457E6F"/>
    <w:rsid w:val="748E3912"/>
    <w:rsid w:val="74E82EB4"/>
    <w:rsid w:val="750D4BD2"/>
    <w:rsid w:val="756A1E09"/>
    <w:rsid w:val="758E2BC8"/>
    <w:rsid w:val="75944449"/>
    <w:rsid w:val="75A82FDA"/>
    <w:rsid w:val="75AE4721"/>
    <w:rsid w:val="75F55116"/>
    <w:rsid w:val="768C58A9"/>
    <w:rsid w:val="768E112A"/>
    <w:rsid w:val="76A80C13"/>
    <w:rsid w:val="76B37414"/>
    <w:rsid w:val="76BB1CB0"/>
    <w:rsid w:val="76C50694"/>
    <w:rsid w:val="77676B01"/>
    <w:rsid w:val="77935F02"/>
    <w:rsid w:val="77937CD4"/>
    <w:rsid w:val="77C06601"/>
    <w:rsid w:val="77E64ABF"/>
    <w:rsid w:val="77F919D1"/>
    <w:rsid w:val="77FE5AC1"/>
    <w:rsid w:val="783C628B"/>
    <w:rsid w:val="78400BCF"/>
    <w:rsid w:val="787576BF"/>
    <w:rsid w:val="787959E4"/>
    <w:rsid w:val="78C3627C"/>
    <w:rsid w:val="78C64CFD"/>
    <w:rsid w:val="78C96FEE"/>
    <w:rsid w:val="796D5069"/>
    <w:rsid w:val="797D4A37"/>
    <w:rsid w:val="79A914DA"/>
    <w:rsid w:val="79EC4580"/>
    <w:rsid w:val="7A04203E"/>
    <w:rsid w:val="7A111AB2"/>
    <w:rsid w:val="7A3F3A20"/>
    <w:rsid w:val="7A5166FB"/>
    <w:rsid w:val="7A892D63"/>
    <w:rsid w:val="7B006982"/>
    <w:rsid w:val="7B1F440A"/>
    <w:rsid w:val="7B2D3E77"/>
    <w:rsid w:val="7B7C26CD"/>
    <w:rsid w:val="7BA85FE2"/>
    <w:rsid w:val="7BC00FA6"/>
    <w:rsid w:val="7BE3308F"/>
    <w:rsid w:val="7BE92993"/>
    <w:rsid w:val="7C194365"/>
    <w:rsid w:val="7C1E2FEB"/>
    <w:rsid w:val="7C442896"/>
    <w:rsid w:val="7C4D4CC8"/>
    <w:rsid w:val="7C8D157C"/>
    <w:rsid w:val="7CAA0F28"/>
    <w:rsid w:val="7CD86D9D"/>
    <w:rsid w:val="7CDC5A30"/>
    <w:rsid w:val="7D476124"/>
    <w:rsid w:val="7D4D7A39"/>
    <w:rsid w:val="7D5478C6"/>
    <w:rsid w:val="7D633A88"/>
    <w:rsid w:val="7D7538D9"/>
    <w:rsid w:val="7D763BBF"/>
    <w:rsid w:val="7D787233"/>
    <w:rsid w:val="7DA01DCF"/>
    <w:rsid w:val="7DC34040"/>
    <w:rsid w:val="7DD26D58"/>
    <w:rsid w:val="7DD85DBF"/>
    <w:rsid w:val="7DF25910"/>
    <w:rsid w:val="7DFF5D9B"/>
    <w:rsid w:val="7E0E0CCD"/>
    <w:rsid w:val="7E13679C"/>
    <w:rsid w:val="7E18665F"/>
    <w:rsid w:val="7E246247"/>
    <w:rsid w:val="7E4D6C41"/>
    <w:rsid w:val="7E941F0D"/>
    <w:rsid w:val="7ED30D71"/>
    <w:rsid w:val="7F0A5099"/>
    <w:rsid w:val="7F420BB3"/>
    <w:rsid w:val="7F670FD1"/>
    <w:rsid w:val="7F955BF0"/>
    <w:rsid w:val="7FE52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character" w:styleId="8">
    <w:name w:val="annotation reference"/>
    <w:qFormat/>
    <w:uiPriority w:val="0"/>
    <w:rPr>
      <w:sz w:val="21"/>
      <w:szCs w:val="21"/>
    </w:rPr>
  </w:style>
  <w:style w:type="character" w:customStyle="1" w:styleId="10">
    <w:name w:val="font01"/>
    <w:basedOn w:val="7"/>
    <w:qFormat/>
    <w:uiPriority w:val="0"/>
    <w:rPr>
      <w:rFonts w:hint="eastAsia" w:ascii="宋体" w:hAnsi="宋体" w:eastAsia="宋体" w:cs="宋体"/>
      <w:color w:val="000000"/>
      <w:sz w:val="20"/>
      <w:szCs w:val="20"/>
      <w:u w:val="none"/>
    </w:rPr>
  </w:style>
  <w:style w:type="character" w:customStyle="1" w:styleId="11">
    <w:name w:val="font51"/>
    <w:basedOn w:val="7"/>
    <w:qFormat/>
    <w:uiPriority w:val="0"/>
    <w:rPr>
      <w:rFonts w:ascii="Arial" w:hAnsi="Arial" w:cs="Arial"/>
      <w:color w:val="000000"/>
      <w:sz w:val="18"/>
      <w:szCs w:val="18"/>
      <w:u w:val="none"/>
    </w:rPr>
  </w:style>
  <w:style w:type="character" w:customStyle="1" w:styleId="12">
    <w:name w:val="font11"/>
    <w:basedOn w:val="7"/>
    <w:qFormat/>
    <w:uiPriority w:val="0"/>
    <w:rPr>
      <w:rFonts w:hint="eastAsia" w:ascii="宋体" w:hAnsi="宋体" w:eastAsia="宋体" w:cs="宋体"/>
      <w:color w:val="000000"/>
      <w:sz w:val="18"/>
      <w:szCs w:val="18"/>
      <w:u w:val="none"/>
    </w:rPr>
  </w:style>
  <w:style w:type="character" w:customStyle="1" w:styleId="13">
    <w:name w:val="font21"/>
    <w:basedOn w:val="7"/>
    <w:qFormat/>
    <w:uiPriority w:val="0"/>
    <w:rPr>
      <w:rFonts w:hint="default" w:ascii="Times New Roman" w:hAnsi="Times New Roman" w:cs="Times New Roman"/>
      <w:color w:val="000000"/>
      <w:sz w:val="20"/>
      <w:szCs w:val="20"/>
      <w:u w:val="none"/>
    </w:rPr>
  </w:style>
  <w:style w:type="character" w:customStyle="1" w:styleId="14">
    <w:name w:val="font71"/>
    <w:basedOn w:val="7"/>
    <w:qFormat/>
    <w:uiPriority w:val="0"/>
    <w:rPr>
      <w:rFonts w:hint="eastAsia" w:ascii="宋体" w:hAnsi="宋体" w:eastAsia="宋体" w:cs="宋体"/>
      <w:color w:val="000000"/>
      <w:sz w:val="20"/>
      <w:szCs w:val="20"/>
      <w:u w:val="none"/>
    </w:rPr>
  </w:style>
  <w:style w:type="character" w:customStyle="1" w:styleId="15">
    <w:name w:val="font4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Pages>
  <Words>6216</Words>
  <Characters>35437</Characters>
  <Lines>295</Lines>
  <Paragraphs>83</Paragraphs>
  <TotalTime>198</TotalTime>
  <ScaleCrop>false</ScaleCrop>
  <LinksUpToDate>false</LinksUpToDate>
  <CharactersWithSpaces>41570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2020-07-20T09:52:00Z</dcterms:created>
  <dc:creator>Administrator</dc:creator>
  <cp:lastModifiedBy>郭东鸿</cp:lastModifiedBy>
  <dcterms:modified xsi:type="dcterms:W3CDTF">2021-12-17T11:24:34Z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E0248924D5D14824AA1DF0E9DF6B2B38</vt:lpwstr>
  </property>
</Properties>
</file>