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hint="eastAsia" w:ascii="方正小标宋简体" w:hAnsi="方正小标宋简体" w:eastAsia="方正小标宋简体" w:cs="方正小标宋简体"/>
          <w:color w:val="auto"/>
          <w:kern w:val="2"/>
          <w:sz w:val="48"/>
          <w:szCs w:val="48"/>
          <w:highlight w:val="none"/>
          <w:lang w:val="en-US" w:eastAsia="zh-CN" w:bidi="ar"/>
        </w:rPr>
      </w:pPr>
      <w:r>
        <w:rPr>
          <w:rFonts w:hint="default" w:ascii="方正小标宋简体" w:hAnsi="方正小标宋简体" w:eastAsia="方正小标宋简体" w:cs="方正小标宋简体"/>
          <w:color w:val="auto"/>
          <w:kern w:val="2"/>
          <w:sz w:val="48"/>
          <w:szCs w:val="48"/>
          <w:highlight w:val="none"/>
          <w:lang w:val="en-US" w:eastAsia="zh-CN" w:bidi="ar"/>
        </w:rPr>
        <w:t>昌吉市</w:t>
      </w:r>
      <w:r>
        <w:rPr>
          <w:rFonts w:hint="eastAsia" w:ascii="方正小标宋简体" w:hAnsi="方正小标宋简体" w:eastAsia="方正小标宋简体" w:cs="方正小标宋简体"/>
          <w:color w:val="auto"/>
          <w:kern w:val="2"/>
          <w:sz w:val="48"/>
          <w:szCs w:val="48"/>
          <w:highlight w:val="none"/>
          <w:lang w:val="en-US" w:eastAsia="zh-CN" w:bidi="ar"/>
        </w:rPr>
        <w:t>关工委2020年-2022年工作经费</w:t>
      </w: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highlight w:val="none"/>
        </w:rPr>
      </w:pPr>
      <w:r>
        <w:rPr>
          <w:rFonts w:hint="default" w:ascii="方正小标宋简体" w:hAnsi="方正小标宋简体" w:eastAsia="方正小标宋简体" w:cs="方正小标宋简体"/>
          <w:color w:val="auto"/>
          <w:kern w:val="2"/>
          <w:sz w:val="48"/>
          <w:szCs w:val="48"/>
          <w:highlight w:val="none"/>
          <w:lang w:val="en-US" w:eastAsia="zh-CN" w:bidi="ar"/>
        </w:rPr>
        <w:t>资金</w:t>
      </w:r>
      <w:r>
        <w:rPr>
          <w:rFonts w:hint="eastAsia" w:ascii="方正小标宋简体" w:hAnsi="黑体" w:eastAsia="方正小标宋简体" w:cs="黑体"/>
          <w:bCs/>
          <w:color w:val="auto"/>
          <w:sz w:val="48"/>
          <w:szCs w:val="48"/>
          <w:highlight w:val="none"/>
        </w:rPr>
        <w:t>项目支出绩效评价报告</w:t>
      </w:r>
    </w:p>
    <w:p>
      <w:pPr>
        <w:spacing w:line="240" w:lineRule="atLeast"/>
        <w:ind w:left="0" w:leftChars="0" w:firstLine="0" w:firstLineChars="0"/>
        <w:jc w:val="both"/>
        <w:rPr>
          <w:rFonts w:ascii="方正小标宋简体" w:hAnsi="黑体" w:eastAsia="方正小标宋简体" w:cs="黑体"/>
          <w:bCs/>
          <w:color w:val="auto"/>
          <w:sz w:val="48"/>
          <w:szCs w:val="48"/>
          <w:highlight w:val="none"/>
        </w:rPr>
      </w:pPr>
    </w:p>
    <w:p>
      <w:pPr>
        <w:pStyle w:val="2"/>
        <w:rPr>
          <w:rFonts w:ascii="方正小标宋简体" w:hAnsi="黑体" w:eastAsia="方正小标宋简体" w:cs="黑体"/>
          <w:bCs/>
          <w:color w:val="auto"/>
          <w:sz w:val="48"/>
          <w:szCs w:val="48"/>
          <w:highlight w:val="none"/>
        </w:rPr>
      </w:pPr>
    </w:p>
    <w:p>
      <w:pPr>
        <w:rPr>
          <w:color w:val="auto"/>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360" w:lineRule="auto"/>
        <w:ind w:left="0" w:right="0" w:firstLine="1200" w:firstLineChars="400"/>
        <w:jc w:val="both"/>
        <w:rPr>
          <w:rFonts w:hint="default" w:ascii="黑体" w:hAnsi="Times New Roman" w:eastAsia="黑体" w:cs="Times New Roman"/>
          <w:color w:val="auto"/>
          <w:kern w:val="2"/>
          <w:sz w:val="30"/>
          <w:szCs w:val="30"/>
          <w:highlight w:val="none"/>
        </w:rPr>
      </w:pPr>
      <w:r>
        <w:rPr>
          <w:rFonts w:ascii="黑体" w:hAnsi="黑体" w:eastAsia="黑体" w:cs="宋体"/>
          <w:color w:val="auto"/>
          <w:sz w:val="30"/>
          <w:szCs w:val="30"/>
          <w:highlight w:val="none"/>
        </w:rPr>
        <w:t>项目名称：</w:t>
      </w:r>
      <w:bookmarkStart w:id="0" w:name="_Hlk68780987"/>
      <w:r>
        <w:rPr>
          <w:rFonts w:hint="eastAsia" w:ascii="黑体" w:hAnsi="黑体" w:eastAsia="黑体" w:cs="仿宋_GB2312"/>
          <w:color w:val="auto"/>
          <w:sz w:val="30"/>
          <w:szCs w:val="30"/>
          <w:highlight w:val="none"/>
          <w:lang w:val="en-US" w:eastAsia="zh-CN"/>
        </w:rPr>
        <w:t>关工委2020年-2022年工作经费</w:t>
      </w:r>
      <w:r>
        <w:rPr>
          <w:rFonts w:hint="default" w:ascii="黑体" w:hAnsi="宋体" w:eastAsia="黑体" w:cs="黑体"/>
          <w:color w:val="auto"/>
          <w:kern w:val="2"/>
          <w:sz w:val="30"/>
          <w:szCs w:val="30"/>
          <w:highlight w:val="none"/>
          <w:lang w:val="en-US" w:eastAsia="zh-CN" w:bidi="ar"/>
        </w:rPr>
        <w:t>资金项目</w:t>
      </w:r>
    </w:p>
    <w:bookmarkEnd w:id="0"/>
    <w:p>
      <w:pPr>
        <w:ind w:left="0" w:leftChars="0" w:firstLine="0" w:firstLineChars="0"/>
        <w:rPr>
          <w:rFonts w:hint="default" w:ascii="黑体" w:hAnsi="黑体" w:eastAsia="黑体" w:cs="宋体"/>
          <w:color w:val="auto"/>
          <w:sz w:val="30"/>
          <w:szCs w:val="30"/>
          <w:highlight w:val="none"/>
          <w:lang w:val="en-US" w:eastAsia="zh-CN"/>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lang w:val="en-US" w:eastAsia="zh-CN"/>
        </w:rPr>
        <w:t xml:space="preserve">     </w:t>
      </w:r>
      <w:r>
        <w:rPr>
          <w:rFonts w:ascii="黑体" w:hAnsi="黑体" w:eastAsia="黑体" w:cs="宋体"/>
          <w:color w:val="auto"/>
          <w:sz w:val="30"/>
          <w:szCs w:val="30"/>
          <w:highlight w:val="none"/>
        </w:rPr>
        <w:t>项目单位：</w:t>
      </w:r>
      <w:r>
        <w:rPr>
          <w:rFonts w:hint="eastAsia" w:ascii="黑体" w:hAnsi="黑体" w:eastAsia="黑体" w:cs="宋体"/>
          <w:color w:val="auto"/>
          <w:sz w:val="30"/>
          <w:szCs w:val="30"/>
          <w:highlight w:val="none"/>
          <w:lang w:val="en-US" w:eastAsia="zh-CN"/>
        </w:rPr>
        <w:t>昌吉市关工委</w:t>
      </w:r>
    </w:p>
    <w:p>
      <w:pPr>
        <w:ind w:left="0" w:leftChars="0" w:firstLine="0" w:firstLineChars="0"/>
        <w:rPr>
          <w:rFonts w:hint="default" w:ascii="黑体" w:hAnsi="黑体" w:eastAsia="黑体" w:cs="宋体"/>
          <w:color w:val="auto"/>
          <w:sz w:val="30"/>
          <w:szCs w:val="30"/>
          <w:highlight w:val="none"/>
          <w:lang w:val="en-US" w:eastAsia="zh-CN"/>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lang w:val="en-US" w:eastAsia="zh-CN"/>
        </w:rPr>
        <w:t xml:space="preserve">     </w:t>
      </w:r>
      <w:r>
        <w:rPr>
          <w:rFonts w:ascii="黑体" w:hAnsi="黑体" w:eastAsia="黑体" w:cs="宋体"/>
          <w:color w:val="auto"/>
          <w:sz w:val="30"/>
          <w:szCs w:val="30"/>
          <w:highlight w:val="none"/>
        </w:rPr>
        <w:t>主管部门：</w:t>
      </w:r>
      <w:r>
        <w:rPr>
          <w:rFonts w:hint="eastAsia" w:ascii="黑体" w:hAnsi="黑体" w:eastAsia="黑体" w:cs="宋体"/>
          <w:color w:val="auto"/>
          <w:sz w:val="30"/>
          <w:szCs w:val="30"/>
          <w:highlight w:val="none"/>
          <w:lang w:val="en-US" w:eastAsia="zh-CN"/>
        </w:rPr>
        <w:t>中共昌吉市委员会老干部局</w:t>
      </w:r>
    </w:p>
    <w:p>
      <w:pPr>
        <w:ind w:firstLine="1200" w:firstLineChars="400"/>
        <w:rPr>
          <w:rFonts w:hint="eastAsia" w:ascii="黑体" w:hAnsi="黑体" w:eastAsia="黑体" w:cs="宋体"/>
          <w:color w:val="auto"/>
          <w:sz w:val="30"/>
          <w:szCs w:val="30"/>
          <w:highlight w:val="none"/>
          <w:lang w:val="en-US" w:eastAsia="zh-CN"/>
        </w:rPr>
      </w:pP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lang w:val="en-US" w:eastAsia="zh-CN"/>
        </w:rPr>
        <w:t>陈梅</w:t>
      </w:r>
    </w:p>
    <w:p>
      <w:pPr>
        <w:ind w:firstLine="1200" w:firstLineChars="400"/>
        <w:rPr>
          <w:rFonts w:ascii="黑体" w:hAnsi="黑体" w:eastAsia="黑体" w:cs="仿宋_GB2312"/>
          <w:color w:val="auto"/>
          <w:sz w:val="30"/>
          <w:szCs w:val="30"/>
          <w:highlight w:val="none"/>
        </w:rPr>
      </w:pP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default" w:ascii="黑体" w:hAnsi="黑体" w:eastAsia="黑体" w:cs="宋体"/>
          <w:color w:val="auto"/>
          <w:sz w:val="30"/>
          <w:szCs w:val="30"/>
          <w:highlight w:val="none"/>
        </w:rPr>
        <w:t>4</w:t>
      </w:r>
      <w:r>
        <w:rPr>
          <w:rFonts w:hint="eastAsia" w:ascii="黑体" w:hAnsi="黑体" w:eastAsia="黑体" w:cs="宋体"/>
          <w:color w:val="auto"/>
          <w:sz w:val="30"/>
          <w:szCs w:val="30"/>
          <w:highlight w:val="none"/>
        </w:rPr>
        <w:t>月</w:t>
      </w:r>
      <w:r>
        <w:rPr>
          <w:rFonts w:hint="default" w:ascii="黑体" w:hAnsi="黑体" w:eastAsia="黑体" w:cs="宋体"/>
          <w:color w:val="auto"/>
          <w:sz w:val="30"/>
          <w:szCs w:val="30"/>
          <w:highlight w:val="none"/>
        </w:rPr>
        <w:t>10</w:t>
      </w:r>
      <w:r>
        <w:rPr>
          <w:rFonts w:hint="eastAsia" w:ascii="黑体" w:hAnsi="黑体" w:eastAsia="黑体" w:cs="仿宋_GB2312"/>
          <w:color w:val="auto"/>
          <w:sz w:val="30"/>
          <w:szCs w:val="30"/>
          <w:highlight w:val="none"/>
        </w:rPr>
        <w:t>日</w:t>
      </w:r>
    </w:p>
    <w:p>
      <w:pPr>
        <w:spacing w:after="100" w:afterAutospacing="1" w:line="360" w:lineRule="auto"/>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5"/>
        <w:spacing w:line="600" w:lineRule="exact"/>
        <w:ind w:firstLine="643"/>
        <w:rPr>
          <w:color w:val="auto"/>
          <w:sz w:val="32"/>
          <w:highlight w:val="none"/>
        </w:rPr>
      </w:pPr>
      <w:r>
        <w:rPr>
          <w:rFonts w:hint="eastAsia"/>
          <w:color w:val="auto"/>
          <w:sz w:val="32"/>
          <w:highlight w:val="none"/>
        </w:rPr>
        <w:t>1.项目背景</w:t>
      </w:r>
    </w:p>
    <w:p>
      <w:pPr>
        <w:pageBreakBefore w:val="0"/>
        <w:kinsoku/>
        <w:wordWrap/>
        <w:overflowPunct/>
        <w:topLinePunct w:val="0"/>
        <w:autoSpaceDE/>
        <w:bidi w:val="0"/>
        <w:adjustRightInd/>
        <w:snapToGrid/>
        <w:spacing w:line="600" w:lineRule="exact"/>
        <w:ind w:left="0" w:right="0" w:firstLine="641" w:firstLineChars="0"/>
        <w:jc w:val="both"/>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lang w:eastAsia="zh-CN"/>
        </w:rPr>
        <w:t>1990年6月3百,在北京人民大会堂召开了成立中国关心下一代作委员会座谈会,中央政治局常委李瑞环李瑞环代表中央发表了《发挥老同志教育下一代的特殊作用》的重要讲话,指出把老同志组织起来进行关心下一代工作,是想政治工作的一个创新,并深刻阐述了关心下一代工作的重大意义。老革命家强调关心教育下一代是老同志义不容辞的历史责任，希望老同志继续发挥自己的才华和智慧</w:t>
      </w:r>
      <w:r>
        <w:rPr>
          <w:rFonts w:hint="eastAsia" w:ascii="仿宋_GB2312" w:hAnsi="仿宋_GB2312" w:cs="仿宋_GB2312"/>
          <w:color w:val="auto"/>
          <w:kern w:val="0"/>
          <w:sz w:val="32"/>
          <w:szCs w:val="32"/>
          <w:highlight w:val="none"/>
          <w:lang w:eastAsia="zh-CN"/>
        </w:rPr>
        <w:t>。</w:t>
      </w:r>
      <w:r>
        <w:rPr>
          <w:rFonts w:hint="eastAsia" w:ascii="仿宋_GB2312" w:hAnsi="仿宋_GB2312" w:cs="仿宋_GB2312"/>
          <w:color w:val="auto"/>
          <w:kern w:val="0"/>
          <w:sz w:val="32"/>
          <w:szCs w:val="32"/>
          <w:highlight w:val="none"/>
          <w:lang w:val="en-US" w:eastAsia="zh-CN"/>
        </w:rPr>
        <w:t>为了</w:t>
      </w:r>
      <w:r>
        <w:rPr>
          <w:rFonts w:hint="eastAsia" w:ascii="仿宋_GB2312" w:hAnsi="仿宋_GB2312" w:eastAsia="仿宋_GB2312" w:cs="仿宋_GB2312"/>
          <w:color w:val="auto"/>
          <w:sz w:val="32"/>
          <w:szCs w:val="32"/>
          <w:highlight w:val="none"/>
          <w:lang w:eastAsia="zh-CN"/>
        </w:rPr>
        <w:t>保障我市关工工作有序开展，进一步推动关心下一代事业</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我单位申报实施了2020年-2022年工作经费。同时，为了确保该项目的顺利实施，我单位于2021年度制定应发了《中共昌吉市委员会老干部局绩效管理制度》。</w:t>
      </w:r>
    </w:p>
    <w:p>
      <w:pPr>
        <w:pStyle w:val="5"/>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21"/>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本项目主要</w:t>
      </w:r>
      <w:r>
        <w:rPr>
          <w:rFonts w:hint="eastAsia" w:ascii="仿宋_GB2312" w:hAnsi="仿宋_GB2312" w:cs="仿宋_GB2312"/>
          <w:color w:val="auto"/>
          <w:sz w:val="32"/>
          <w:szCs w:val="32"/>
          <w:highlight w:val="none"/>
          <w:lang w:eastAsia="zh-Hans"/>
        </w:rPr>
        <w:t>内容为</w:t>
      </w:r>
      <w:r>
        <w:rPr>
          <w:rFonts w:hint="eastAsia" w:ascii="仿宋_GB2312" w:hAnsi="仿宋_GB2312" w:cs="仿宋_GB2312"/>
          <w:color w:val="auto"/>
          <w:sz w:val="32"/>
          <w:szCs w:val="32"/>
          <w:highlight w:val="none"/>
          <w:lang w:val="en-US" w:eastAsia="zh-CN"/>
        </w:rPr>
        <w:t>昌吉市关工委2020-2022年工作经费，本项目于2022年1月开始实施，截止2022年12月31日已全部完成，通过本项目的实施，使我市关工委工作始终保持可持续发展的活力。</w:t>
      </w:r>
    </w:p>
    <w:p>
      <w:pPr>
        <w:pStyle w:val="5"/>
        <w:spacing w:line="600" w:lineRule="exact"/>
        <w:ind w:firstLine="643"/>
        <w:rPr>
          <w:color w:val="auto"/>
          <w:sz w:val="32"/>
          <w:highlight w:val="none"/>
        </w:rPr>
      </w:pPr>
      <w:r>
        <w:rPr>
          <w:rFonts w:hint="eastAsia"/>
          <w:color w:val="auto"/>
          <w:sz w:val="32"/>
          <w:highlight w:val="none"/>
        </w:rPr>
        <w:t>3.项目实施主体</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val="en-US" w:eastAsia="zh-CN"/>
        </w:rPr>
        <w:t>关工委2020年-2022年工作经费</w:t>
      </w:r>
      <w:r>
        <w:rPr>
          <w:rFonts w:hint="eastAsia" w:ascii="仿宋_GB2312" w:hAnsi="仿宋_GB2312" w:cs="仿宋_GB2312"/>
          <w:color w:val="auto"/>
          <w:sz w:val="32"/>
          <w:szCs w:val="32"/>
          <w:highlight w:val="none"/>
          <w:lang w:eastAsia="zh-Hans"/>
        </w:rPr>
        <w:t>项目的实施主体为</w:t>
      </w:r>
      <w:r>
        <w:rPr>
          <w:rFonts w:hint="eastAsia" w:ascii="仿宋_GB2312" w:hAnsi="仿宋_GB2312" w:cs="仿宋_GB2312"/>
          <w:color w:val="auto"/>
          <w:sz w:val="32"/>
          <w:szCs w:val="32"/>
          <w:highlight w:val="none"/>
          <w:lang w:val="en-US" w:eastAsia="zh-CN"/>
        </w:rPr>
        <w:t>中共昌吉市委员会老干部</w:t>
      </w:r>
      <w:r>
        <w:rPr>
          <w:rFonts w:hint="eastAsia" w:ascii="仿宋_GB2312" w:hAnsi="仿宋_GB2312" w:cs="仿宋_GB2312"/>
          <w:color w:val="auto"/>
          <w:sz w:val="32"/>
          <w:szCs w:val="32"/>
          <w:highlight w:val="none"/>
          <w:lang w:val="en-US" w:eastAsia="zh-Hans"/>
        </w:rPr>
        <w:t>局，</w:t>
      </w:r>
      <w:r>
        <w:rPr>
          <w:rFonts w:hint="eastAsia" w:ascii="仿宋_GB2312" w:hAnsi="仿宋_GB2312" w:cs="仿宋_GB2312"/>
          <w:color w:val="auto"/>
          <w:sz w:val="32"/>
          <w:szCs w:val="32"/>
          <w:highlight w:val="none"/>
          <w:lang w:val="en-US" w:eastAsia="zh-CN"/>
        </w:rPr>
        <w:t>该局纳</w:t>
      </w:r>
      <w:r>
        <w:rPr>
          <w:rFonts w:hint="eastAsia" w:ascii="仿宋_GB2312" w:hAnsi="仿宋_GB2312" w:cs="仿宋_GB2312"/>
          <w:color w:val="auto"/>
          <w:sz w:val="32"/>
          <w:szCs w:val="32"/>
          <w:highlight w:val="none"/>
        </w:rPr>
        <w:t>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w:t>
      </w:r>
      <w:r>
        <w:rPr>
          <w:rFonts w:hint="eastAsia" w:ascii="仿宋_GB2312" w:hAnsi="仿宋_GB2312" w:cs="仿宋_GB2312"/>
          <w:color w:val="auto"/>
          <w:sz w:val="32"/>
          <w:szCs w:val="32"/>
          <w:highlight w:val="none"/>
          <w:lang w:val="en-US" w:eastAsia="zh-CN"/>
        </w:rPr>
        <w:t>围的有1个：中共昌吉市委员会老干部局</w:t>
      </w:r>
      <w:r>
        <w:rPr>
          <w:rFonts w:hint="eastAsia" w:ascii="仿宋_GB2312" w:hAnsi="仿宋_GB2312" w:cs="仿宋_GB2312"/>
          <w:color w:val="auto"/>
          <w:sz w:val="32"/>
          <w:szCs w:val="32"/>
          <w:highlight w:val="none"/>
          <w:lang w:val="en-US" w:eastAsia="zh-Hans"/>
        </w:rPr>
        <w:t>。</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编制人数为11人，其中：行政人员编制3人、工勤1人、参公6人、事业编制1人。实有在职人数11人，其中：行政在职3人、工勤1人、参公6</w:t>
      </w:r>
      <w:r>
        <w:rPr>
          <w:rFonts w:hint="eastAsia" w:ascii="仿宋_GB2312" w:hAnsi="仿宋_GB2312" w:cs="仿宋_GB2312"/>
          <w:color w:val="auto"/>
          <w:sz w:val="32"/>
          <w:szCs w:val="32"/>
          <w:highlight w:val="none"/>
          <w:lang w:val="en-US" w:eastAsia="zh-Hans"/>
        </w:rPr>
        <w:t>人</w:t>
      </w:r>
      <w:r>
        <w:rPr>
          <w:rFonts w:hint="eastAsia" w:ascii="仿宋_GB2312" w:hAnsi="仿宋_GB2312" w:cs="仿宋_GB2312"/>
          <w:color w:val="auto"/>
          <w:sz w:val="32"/>
          <w:szCs w:val="32"/>
          <w:highlight w:val="none"/>
          <w:lang w:val="en-US" w:eastAsia="zh-CN"/>
        </w:rPr>
        <w:t>、事业在职1人。离退休人员11人，其中：行政离退休人员11人、事业退休0人。</w:t>
      </w:r>
    </w:p>
    <w:p>
      <w:pPr>
        <w:pStyle w:val="5"/>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Hans"/>
        </w:rPr>
        <w:t>根据</w:t>
      </w:r>
      <w:r>
        <w:rPr>
          <w:rFonts w:hint="eastAsia" w:ascii="仿宋_GB2312" w:hAnsi="仿宋_GB2312" w:cs="仿宋_GB2312"/>
          <w:color w:val="auto"/>
          <w:sz w:val="32"/>
          <w:szCs w:val="32"/>
          <w:highlight w:val="none"/>
          <w:lang w:val="en-US" w:eastAsia="zh-CN"/>
        </w:rPr>
        <w:t>相关文件</w:t>
      </w:r>
      <w:r>
        <w:rPr>
          <w:rFonts w:hint="eastAsia" w:ascii="仿宋_GB2312" w:hAnsi="仿宋_GB2312" w:cs="仿宋_GB2312"/>
          <w:color w:val="auto"/>
          <w:sz w:val="32"/>
          <w:szCs w:val="32"/>
          <w:highlight w:val="none"/>
          <w:lang w:val="en-US" w:eastAsia="zh-Hans"/>
        </w:rPr>
        <w:t>，</w:t>
      </w:r>
      <w:r>
        <w:rPr>
          <w:rFonts w:hint="eastAsia" w:ascii="仿宋_GB2312" w:hAnsi="仿宋_GB2312" w:cs="仿宋_GB2312"/>
          <w:color w:val="auto"/>
          <w:sz w:val="32"/>
          <w:szCs w:val="32"/>
          <w:highlight w:val="none"/>
          <w:lang w:val="en-US" w:eastAsia="zh-CN"/>
        </w:rPr>
        <w:t>关工委2020-2022年关工委工作经费项目</w:t>
      </w:r>
      <w:r>
        <w:rPr>
          <w:rFonts w:hint="eastAsia" w:ascii="仿宋_GB2312" w:hAnsi="仿宋_GB2312" w:cs="仿宋_GB2312"/>
          <w:color w:val="auto"/>
          <w:sz w:val="32"/>
          <w:szCs w:val="32"/>
          <w:highlight w:val="none"/>
          <w:lang w:val="en-US" w:eastAsia="zh-Hans"/>
        </w:rPr>
        <w:t>预算</w:t>
      </w:r>
      <w:r>
        <w:rPr>
          <w:rFonts w:hint="eastAsia" w:ascii="仿宋_GB2312" w:hAnsi="仿宋_GB2312" w:cs="仿宋_GB2312"/>
          <w:color w:val="auto"/>
          <w:sz w:val="32"/>
          <w:szCs w:val="32"/>
          <w:highlight w:val="none"/>
          <w:lang w:val="en-US" w:eastAsia="zh-CN"/>
        </w:rPr>
        <w:t>安排资金</w:t>
      </w:r>
      <w:r>
        <w:rPr>
          <w:rFonts w:hint="eastAsia" w:ascii="仿宋_GB2312" w:hAnsi="仿宋_GB2312" w:cs="仿宋_GB2312"/>
          <w:color w:val="auto"/>
          <w:sz w:val="32"/>
          <w:szCs w:val="32"/>
          <w:highlight w:val="none"/>
          <w:lang w:val="en-US" w:eastAsia="zh-Hans"/>
        </w:rPr>
        <w:t>总额</w:t>
      </w:r>
      <w:r>
        <w:rPr>
          <w:rFonts w:hint="eastAsia" w:ascii="仿宋_GB2312" w:hAnsi="仿宋_GB2312" w:cs="仿宋_GB2312"/>
          <w:color w:val="auto"/>
          <w:sz w:val="32"/>
          <w:szCs w:val="32"/>
          <w:highlight w:val="none"/>
          <w:lang w:val="en-US" w:eastAsia="zh-CN"/>
        </w:rPr>
        <w:t>2万元，</w:t>
      </w:r>
      <w:r>
        <w:rPr>
          <w:rFonts w:hint="eastAsia" w:ascii="仿宋_GB2312" w:hAnsi="仿宋_GB2312" w:cs="仿宋_GB2312"/>
          <w:color w:val="auto"/>
          <w:sz w:val="32"/>
          <w:szCs w:val="32"/>
          <w:highlight w:val="none"/>
          <w:lang w:val="en-US" w:eastAsia="zh-Hans"/>
        </w:rPr>
        <w:t>其中</w:t>
      </w:r>
      <w:r>
        <w:rPr>
          <w:rFonts w:hint="eastAsia" w:ascii="仿宋_GB2312" w:hAnsi="仿宋_GB2312" w:cs="仿宋_GB2312"/>
          <w:color w:val="auto"/>
          <w:sz w:val="32"/>
          <w:szCs w:val="32"/>
          <w:highlight w:val="none"/>
          <w:lang w:val="en-US" w:eastAsia="zh-CN"/>
        </w:rPr>
        <w:t>财政资金2万元、其他资金0万元，2022年实际收到预算资金2万元，预算资金到位率为100.0%。</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（2）项目资金实际使用情况</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截至2022年12月31日，本项目实际支付资金1.9万元，预算执行率95.0%。项目资金主要用于支付慰问五老人员1.5万元，关工基层建设补助0.5万元。</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5"/>
        <w:spacing w:line="600" w:lineRule="exact"/>
        <w:ind w:firstLine="643"/>
        <w:rPr>
          <w:color w:val="auto"/>
          <w:sz w:val="32"/>
          <w:highlight w:val="none"/>
        </w:rPr>
      </w:pPr>
      <w:r>
        <w:rPr>
          <w:rFonts w:hint="eastAsia"/>
          <w:color w:val="auto"/>
          <w:sz w:val="32"/>
          <w:highlight w:val="none"/>
        </w:rPr>
        <w:t>1.总体目标</w:t>
      </w:r>
    </w:p>
    <w:p>
      <w:pPr>
        <w:pStyle w:val="5"/>
        <w:spacing w:line="600" w:lineRule="exact"/>
        <w:ind w:firstLine="643"/>
        <w:rPr>
          <w:color w:val="auto"/>
          <w:sz w:val="32"/>
          <w:highlight w:val="none"/>
        </w:rPr>
      </w:pPr>
      <w:r>
        <w:rPr>
          <w:rFonts w:hint="eastAsia"/>
          <w:b w:val="0"/>
          <w:bCs w:val="0"/>
          <w:color w:val="auto"/>
          <w:sz w:val="32"/>
          <w:szCs w:val="32"/>
          <w:highlight w:val="none"/>
          <w:lang w:val="en-US" w:eastAsia="zh-CN"/>
        </w:rPr>
        <w:t>积极发挥“五老人员”优势，围绕“新时代关工工作”要有所作为这一主题，积极开展各类宣讲，巩固“十百千万”行动培育成果，为昌吉市青少年健康成长做出贡献。</w:t>
      </w:r>
      <w:r>
        <w:rPr>
          <w:rFonts w:hint="eastAsia"/>
          <w:b w:val="0"/>
          <w:bCs w:val="0"/>
          <w:color w:val="auto"/>
          <w:sz w:val="32"/>
          <w:szCs w:val="32"/>
          <w:highlight w:val="none"/>
          <w:lang w:val="en-US" w:eastAsia="zh-CN"/>
        </w:rPr>
        <w:br w:type="textWrapping"/>
      </w:r>
      <w:r>
        <w:rPr>
          <w:rFonts w:hint="eastAsia"/>
          <w:color w:val="auto"/>
          <w:sz w:val="32"/>
          <w:szCs w:val="32"/>
          <w:highlight w:val="none"/>
          <w:lang w:val="en-US" w:eastAsia="zh-CN"/>
        </w:rPr>
        <w:t xml:space="preserve">    </w:t>
      </w:r>
      <w:r>
        <w:rPr>
          <w:rFonts w:hint="eastAsia"/>
          <w:color w:val="auto"/>
          <w:sz w:val="32"/>
          <w:highlight w:val="none"/>
        </w:rPr>
        <w:t>2.阶段性目标</w:t>
      </w:r>
    </w:p>
    <w:p>
      <w:pPr>
        <w:spacing w:line="600" w:lineRule="exact"/>
        <w:ind w:firstLine="640"/>
        <w:rPr>
          <w:rFonts w:ascii="仿宋_GB2312" w:hAnsi="Arial" w:cs="宋体"/>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color w:val="auto"/>
          <w:sz w:val="32"/>
          <w:szCs w:val="32"/>
          <w:highlight w:val="none"/>
        </w:rPr>
        <w:t>等文件要求，</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“积极投身关工事业的退休干部”指标，预期指标值为“3人”；</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“巡回宣讲次数”指标，预期指标值为“30次”；</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“慰问贡献突出的“五老人员””指标，预期指标值为“50人”。</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②质量指标</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“投身关工事业的退休干部活动参与率”指标，预期指标值为“95%”。</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③时效指标</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“工作经费支付及时率”指标，预期指标值为“100%”。</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④成本指标</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“慰问“五老人员””指标，预期指标值为“1.5万元”；</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“关工基层建设补助”指标，预期指标值为“0.5万元”。</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（2）项目效益目标</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①经济效益指标</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无此项目指标。</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②社会效益指标</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“积极发挥“五老”队伍作用，推动关心下一代工作有序开展”指标，预期指标值为“有序开展”。</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③生态效益指标</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无此项目指标。</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④可持续影响指标</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“保障关工工作有序开展”指标，预期指标值为“有序开展”。</w:t>
      </w:r>
    </w:p>
    <w:p>
      <w:pPr>
        <w:pStyle w:val="21"/>
        <w:spacing w:line="57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（3）相关满意度目标</w:t>
      </w:r>
    </w:p>
    <w:p>
      <w:pPr>
        <w:pStyle w:val="21"/>
        <w:spacing w:line="570" w:lineRule="exact"/>
        <w:ind w:firstLine="640"/>
        <w:rPr>
          <w:color w:val="auto"/>
          <w:sz w:val="32"/>
          <w:szCs w:val="32"/>
          <w:highlight w:val="none"/>
        </w:rPr>
      </w:pPr>
      <w:r>
        <w:rPr>
          <w:rFonts w:hint="eastAsia" w:ascii="仿宋_GB2312" w:hAnsi="仿宋_GB2312" w:cs="仿宋_GB2312"/>
          <w:color w:val="auto"/>
          <w:sz w:val="32"/>
          <w:szCs w:val="32"/>
          <w:highlight w:val="none"/>
          <w:lang w:val="en-US" w:eastAsia="zh-CN"/>
        </w:rPr>
        <w:t>“参加宣讲人员满意度”指标，预期指标值为“≥95.0%”</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1" w:name="_Toc26632"/>
      <w:bookmarkStart w:id="2" w:name="_Toc21664"/>
      <w:bookmarkStart w:id="3" w:name="_Toc5462343"/>
      <w:bookmarkStart w:id="4" w:name="_Toc22169_WPSOffice_Level2"/>
      <w:bookmarkStart w:id="5" w:name="_Toc480473081"/>
      <w:bookmarkStart w:id="6" w:name="_Toc5258"/>
      <w:bookmarkStart w:id="7" w:name="_Toc22922"/>
      <w:bookmarkStart w:id="8" w:name="_Toc12868"/>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5"/>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w:t>
      </w:r>
      <w:r>
        <w:rPr>
          <w:rFonts w:hint="eastAsia" w:ascii="仿宋_GB2312"/>
          <w:color w:val="auto"/>
          <w:sz w:val="32"/>
          <w:szCs w:val="32"/>
          <w:highlight w:val="none"/>
          <w:lang w:val="en-US" w:eastAsia="zh-CN"/>
        </w:rPr>
        <w:t>关工委2020年-2022年工作经费</w:t>
      </w:r>
      <w:r>
        <w:rPr>
          <w:rFonts w:hint="eastAsia" w:ascii="仿宋_GB2312"/>
          <w:color w:val="auto"/>
          <w:sz w:val="32"/>
          <w:szCs w:val="32"/>
          <w:highlight w:val="none"/>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5"/>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highlight w:val="none"/>
          <w:lang w:val="en-US" w:eastAsia="zh-CN"/>
        </w:rPr>
        <w:t>关工委2020年-2022年工作经费</w:t>
      </w:r>
      <w:r>
        <w:rPr>
          <w:rFonts w:hint="eastAsia"/>
          <w:color w:val="auto"/>
          <w:sz w:val="32"/>
          <w:szCs w:val="32"/>
          <w:highlight w:val="none"/>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5"/>
        <w:spacing w:line="600" w:lineRule="exact"/>
        <w:ind w:firstLine="643"/>
        <w:rPr>
          <w:color w:val="auto"/>
          <w:sz w:val="32"/>
          <w:highlight w:val="none"/>
        </w:rPr>
      </w:pPr>
      <w:bookmarkStart w:id="9" w:name="_Toc419984722"/>
      <w:bookmarkStart w:id="10" w:name="_Toc428278230"/>
      <w:bookmarkStart w:id="11" w:name="_Toc1913"/>
      <w:bookmarkStart w:id="12" w:name="_Toc26131"/>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color w:val="auto"/>
          <w:sz w:val="32"/>
          <w:highlight w:val="none"/>
        </w:rPr>
      </w:pPr>
      <w:r>
        <w:rPr>
          <w:rFonts w:hint="eastAsia"/>
          <w:color w:val="auto"/>
          <w:sz w:val="32"/>
          <w:highlight w:val="none"/>
        </w:rPr>
        <w:t>3.评价方法</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局长孙光永</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副局长张汉春任评价组副组长，绩效评价工作职责为组织和协调项目工作人员采取实地调查、</w:t>
      </w:r>
      <w:r>
        <w:rPr>
          <w:rFonts w:hint="eastAsia" w:ascii="仿宋_GB2312" w:hAnsi="仿宋_GB2312" w:cs="仿宋_GB2312"/>
          <w:color w:val="auto"/>
          <w:sz w:val="32"/>
          <w:szCs w:val="32"/>
          <w:highlight w:val="none"/>
        </w:rPr>
        <w:t>资料检查等方式，核实项目绩效指标完成情况；组织受益对象对项目工作进行评价等。</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关工委办公室主任陈梅任评价组成员，绩效评价工作职责为做好项目支出绩效评价工作的沟通协调工作，对项</w:t>
      </w:r>
      <w:r>
        <w:rPr>
          <w:rFonts w:hint="eastAsia" w:ascii="仿宋_GB2312" w:hAnsi="仿宋_GB2312" w:cs="仿宋_GB2312"/>
          <w:color w:val="auto"/>
          <w:sz w:val="32"/>
          <w:szCs w:val="32"/>
          <w:highlight w:val="none"/>
        </w:rPr>
        <w:t>目实施情况进行实地调查，编写项目支出绩效评价报告。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3"/>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通过</w:t>
      </w:r>
      <w:r>
        <w:rPr>
          <w:rFonts w:hint="eastAsia" w:ascii="仿宋_GB2312" w:hAnsi="仿宋_GB2312" w:cs="仿宋_GB2312"/>
          <w:color w:val="auto"/>
          <w:sz w:val="32"/>
          <w:szCs w:val="32"/>
          <w:highlight w:val="none"/>
          <w:lang w:val="en-US" w:eastAsia="zh-CN"/>
        </w:rPr>
        <w:t>关工委2020年-2022年工作经费</w:t>
      </w:r>
      <w:r>
        <w:rPr>
          <w:rFonts w:hint="eastAsia" w:ascii="仿宋_GB2312" w:hAnsi="仿宋_GB2312" w:cs="仿宋_GB2312"/>
          <w:color w:val="auto"/>
          <w:sz w:val="32"/>
          <w:szCs w:val="32"/>
          <w:highlight w:val="none"/>
        </w:rPr>
        <w:t>项目的实施，解决了</w:t>
      </w:r>
      <w:r>
        <w:rPr>
          <w:rFonts w:hint="eastAsia" w:ascii="仿宋_GB2312" w:hAnsi="仿宋_GB2312" w:cs="仿宋_GB2312"/>
          <w:color w:val="auto"/>
          <w:sz w:val="32"/>
          <w:szCs w:val="32"/>
          <w:highlight w:val="none"/>
          <w:lang w:val="en-US" w:eastAsia="zh-CN"/>
        </w:rPr>
        <w:t>关工委日常办公</w:t>
      </w:r>
      <w:r>
        <w:rPr>
          <w:rFonts w:hint="eastAsia" w:ascii="仿宋_GB2312" w:hAnsi="仿宋_GB2312" w:cs="仿宋_GB2312"/>
          <w:color w:val="auto"/>
          <w:sz w:val="32"/>
          <w:szCs w:val="32"/>
          <w:highlight w:val="none"/>
        </w:rPr>
        <w:t>问题，实现了</w:t>
      </w:r>
      <w:r>
        <w:rPr>
          <w:rFonts w:hint="eastAsia" w:ascii="仿宋_GB2312" w:hAnsi="仿宋_GB2312" w:cs="仿宋_GB2312"/>
          <w:color w:val="auto"/>
          <w:sz w:val="32"/>
          <w:szCs w:val="32"/>
          <w:highlight w:val="none"/>
          <w:lang w:val="en-US" w:eastAsia="zh-CN"/>
        </w:rPr>
        <w:t>推动关心下一代工作有效开展</w:t>
      </w:r>
      <w:r>
        <w:rPr>
          <w:rFonts w:hint="eastAsia" w:ascii="仿宋_GB2312" w:hAnsi="仿宋_GB2312" w:cs="仿宋_GB2312"/>
          <w:color w:val="auto"/>
          <w:sz w:val="32"/>
          <w:szCs w:val="32"/>
          <w:highlight w:val="none"/>
        </w:rPr>
        <w:t>效益，该项目预算执行率达</w:t>
      </w:r>
      <w:r>
        <w:rPr>
          <w:rFonts w:hint="eastAsia" w:ascii="仿宋_GB2312" w:hAnsi="仿宋_GB2312" w:cs="仿宋_GB2312"/>
          <w:color w:val="auto"/>
          <w:sz w:val="32"/>
          <w:szCs w:val="32"/>
          <w:highlight w:val="none"/>
          <w:lang w:val="en-US" w:eastAsia="zh-CN"/>
        </w:rPr>
        <w:t>95.0</w:t>
      </w:r>
      <w:r>
        <w:rPr>
          <w:rFonts w:hint="eastAsia" w:ascii="仿宋_GB2312" w:hAnsi="仿宋_GB2312" w:cs="仿宋_GB2312"/>
          <w:color w:val="auto"/>
          <w:sz w:val="32"/>
          <w:szCs w:val="32"/>
          <w:highlight w:val="none"/>
        </w:rPr>
        <w:t>%，项目预期绩效目标及各项具体指标均已全部达成。</w:t>
      </w:r>
    </w:p>
    <w:p>
      <w:pPr>
        <w:pStyle w:val="23"/>
        <w:spacing w:before="0" w:after="0" w:line="600" w:lineRule="exact"/>
        <w:ind w:left="56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（二）综合评价结论</w:t>
      </w:r>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本次评价采取定量与定性评价相结合的方式，对关工委2020年-2022年工作经费项目的绩效目标和各项具体绩效指标实现情况</w:t>
      </w:r>
      <w:r>
        <w:rPr>
          <w:rFonts w:hint="eastAsia" w:ascii="仿宋_GB2312" w:hAnsi="仿宋_GB2312" w:cs="仿宋_GB2312"/>
          <w:color w:val="auto"/>
          <w:sz w:val="32"/>
          <w:szCs w:val="32"/>
          <w:highlight w:val="none"/>
          <w:lang w:val="en-US" w:eastAsia="zh-CN"/>
        </w:rPr>
        <w:t>进行</w:t>
      </w:r>
      <w:r>
        <w:rPr>
          <w:rFonts w:hint="eastAsia" w:ascii="仿宋_GB2312" w:hAnsi="仿宋_GB2312" w:eastAsia="仿宋_GB2312" w:cs="仿宋_GB2312"/>
          <w:color w:val="auto"/>
          <w:kern w:val="2"/>
          <w:sz w:val="32"/>
          <w:szCs w:val="32"/>
          <w:highlight w:val="none"/>
          <w:lang w:val="en-US" w:eastAsia="zh-CN" w:bidi="ar-SA"/>
        </w:rPr>
        <w:t>了客观评价，最终评分为</w:t>
      </w:r>
      <w:r>
        <w:rPr>
          <w:rFonts w:hint="eastAsia" w:ascii="仿宋_GB2312" w:hAnsi="仿宋_GB2312" w:cs="仿宋_GB2312"/>
          <w:color w:val="auto"/>
          <w:kern w:val="2"/>
          <w:sz w:val="32"/>
          <w:szCs w:val="32"/>
          <w:highlight w:val="none"/>
          <w:lang w:val="en-US" w:eastAsia="zh-CN" w:bidi="ar-SA"/>
        </w:rPr>
        <w:t>97</w:t>
      </w:r>
      <w:r>
        <w:rPr>
          <w:rFonts w:hint="eastAsia" w:ascii="仿宋_GB2312" w:hAnsi="仿宋_GB2312" w:eastAsia="仿宋_GB2312" w:cs="仿宋_GB2312"/>
          <w:color w:val="auto"/>
          <w:kern w:val="2"/>
          <w:sz w:val="32"/>
          <w:szCs w:val="32"/>
          <w:highlight w:val="none"/>
          <w:lang w:val="en-US" w:eastAsia="zh-CN" w:bidi="ar-SA"/>
        </w:rPr>
        <w:t>.5分。绩效评级为“优秀”，具体得分情况为：项目决策20.00分、项目过程19.50分、项目产出</w:t>
      </w:r>
      <w:r>
        <w:rPr>
          <w:rFonts w:hint="eastAsia" w:ascii="仿宋_GB2312" w:hAnsi="仿宋_GB2312" w:cs="仿宋_GB2312"/>
          <w:color w:val="auto"/>
          <w:kern w:val="2"/>
          <w:sz w:val="32"/>
          <w:szCs w:val="32"/>
          <w:highlight w:val="none"/>
          <w:lang w:val="en-US" w:eastAsia="zh-CN" w:bidi="ar-SA"/>
        </w:rPr>
        <w:t>28</w:t>
      </w:r>
      <w:r>
        <w:rPr>
          <w:rFonts w:hint="eastAsia" w:ascii="仿宋_GB2312" w:hAnsi="仿宋_GB2312" w:eastAsia="仿宋_GB2312" w:cs="仿宋_GB2312"/>
          <w:color w:val="auto"/>
          <w:kern w:val="2"/>
          <w:sz w:val="32"/>
          <w:szCs w:val="32"/>
          <w:highlight w:val="none"/>
          <w:lang w:val="en-US" w:eastAsia="zh-CN" w:bidi="ar-SA"/>
        </w:rPr>
        <w:t>.00分、项目效益30.00分。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hAnsi="仿宋_GB2312" w:cs="仿宋_GB2312"/>
          <w:color w:val="auto"/>
          <w:sz w:val="32"/>
          <w:szCs w:val="32"/>
          <w:highlight w:val="none"/>
          <w:lang w:val="en-US" w:eastAsia="zh-CN"/>
        </w:rPr>
        <w:t>20.00</w:t>
      </w:r>
      <w:r>
        <w:rPr>
          <w:rFonts w:hint="eastAsia" w:ascii="仿宋_GB2312" w:hAnsi="仿宋_GB2312" w:cs="仿宋_GB2312"/>
          <w:color w:val="auto"/>
          <w:sz w:val="32"/>
          <w:szCs w:val="32"/>
          <w:highlight w:val="none"/>
        </w:rPr>
        <w:t>分，得分率为</w:t>
      </w:r>
      <w:r>
        <w:rPr>
          <w:rFonts w:hint="eastAsia" w:ascii="仿宋_GB2312" w:hAnsi="仿宋_GB2312" w:cs="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4"/>
        <w:spacing w:line="600" w:lineRule="exact"/>
        <w:ind w:firstLine="736"/>
        <w:rPr>
          <w:rFonts w:cs="仿宋_GB2312"/>
          <w:color w:val="auto"/>
          <w:highlight w:val="none"/>
        </w:rPr>
      </w:pPr>
      <w:r>
        <w:rPr>
          <w:rFonts w:hint="eastAsia" w:cs="仿宋_GB2312"/>
          <w:b/>
          <w:bCs/>
          <w:color w:val="auto"/>
          <w:highlight w:val="none"/>
        </w:rPr>
        <w:t>1.立项依据充分性：</w:t>
      </w:r>
      <w:r>
        <w:rPr>
          <w:rFonts w:hint="eastAsia" w:ascii="仿宋_GB2312" w:hAnsi="仿宋_GB2312" w:eastAsia="仿宋_GB2312" w:cs="仿宋_GB2312"/>
          <w:color w:val="auto"/>
          <w:spacing w:val="0"/>
          <w:kern w:val="2"/>
          <w:sz w:val="32"/>
          <w:szCs w:val="32"/>
          <w:highlight w:val="none"/>
          <w:lang w:val="en-US" w:eastAsia="zh-Hans" w:bidi="ar-SA"/>
        </w:rPr>
        <w:t>本项目是由</w:t>
      </w:r>
      <w:r>
        <w:rPr>
          <w:rFonts w:hint="eastAsia" w:ascii="仿宋_GB2312" w:hAnsi="仿宋_GB2312" w:eastAsia="仿宋_GB2312" w:cs="仿宋_GB2312"/>
          <w:color w:val="auto"/>
          <w:spacing w:val="0"/>
          <w:kern w:val="2"/>
          <w:sz w:val="32"/>
          <w:szCs w:val="32"/>
          <w:highlight w:val="none"/>
          <w:lang w:val="en-US" w:eastAsia="zh-CN" w:bidi="ar-SA"/>
        </w:rPr>
        <w:t>昌吉市委老干部局</w:t>
      </w:r>
      <w:r>
        <w:rPr>
          <w:rFonts w:hint="eastAsia" w:ascii="仿宋_GB2312" w:hAnsi="仿宋_GB2312" w:eastAsia="仿宋_GB2312" w:cs="仿宋_GB2312"/>
          <w:color w:val="auto"/>
          <w:spacing w:val="0"/>
          <w:kern w:val="2"/>
          <w:sz w:val="32"/>
          <w:szCs w:val="32"/>
          <w:highlight w:val="none"/>
          <w:lang w:val="en-US" w:eastAsia="zh-Hans" w:bidi="ar-SA"/>
        </w:rPr>
        <w:t>提出申报，于</w:t>
      </w:r>
      <w:r>
        <w:rPr>
          <w:rFonts w:hint="eastAsia" w:ascii="仿宋_GB2312" w:hAnsi="仿宋_GB2312" w:eastAsia="仿宋_GB2312" w:cs="仿宋_GB2312"/>
          <w:color w:val="auto"/>
          <w:spacing w:val="0"/>
          <w:kern w:val="2"/>
          <w:sz w:val="32"/>
          <w:szCs w:val="32"/>
          <w:highlight w:val="none"/>
          <w:lang w:val="en-US" w:eastAsia="zh-CN" w:bidi="ar-SA"/>
        </w:rPr>
        <w:t>2022</w:t>
      </w:r>
      <w:r>
        <w:rPr>
          <w:rFonts w:hint="eastAsia" w:ascii="仿宋_GB2312" w:hAnsi="仿宋_GB2312" w:eastAsia="仿宋_GB2312" w:cs="仿宋_GB2312"/>
          <w:color w:val="auto"/>
          <w:spacing w:val="0"/>
          <w:kern w:val="2"/>
          <w:sz w:val="32"/>
          <w:szCs w:val="32"/>
          <w:highlight w:val="none"/>
          <w:lang w:val="en-US" w:eastAsia="zh-Hans" w:bidi="ar-SA"/>
        </w:rPr>
        <w:t>年</w:t>
      </w:r>
      <w:r>
        <w:rPr>
          <w:rFonts w:hint="eastAsia" w:ascii="仿宋_GB2312" w:hAnsi="仿宋_GB2312" w:eastAsia="仿宋_GB2312" w:cs="仿宋_GB2312"/>
          <w:color w:val="auto"/>
          <w:spacing w:val="0"/>
          <w:kern w:val="2"/>
          <w:sz w:val="32"/>
          <w:szCs w:val="32"/>
          <w:highlight w:val="none"/>
          <w:lang w:val="en-US" w:eastAsia="zh-CN" w:bidi="ar-SA"/>
        </w:rPr>
        <w:t>6</w:t>
      </w:r>
      <w:r>
        <w:rPr>
          <w:rFonts w:hint="eastAsia" w:ascii="仿宋_GB2312" w:hAnsi="仿宋_GB2312" w:eastAsia="仿宋_GB2312" w:cs="仿宋_GB2312"/>
          <w:color w:val="auto"/>
          <w:spacing w:val="0"/>
          <w:kern w:val="2"/>
          <w:sz w:val="32"/>
          <w:szCs w:val="32"/>
          <w:highlight w:val="none"/>
          <w:lang w:val="en-US" w:eastAsia="zh-Hans" w:bidi="ar-SA"/>
        </w:rPr>
        <w:t>月批复设立，202</w:t>
      </w:r>
      <w:r>
        <w:rPr>
          <w:rFonts w:hint="eastAsia" w:ascii="仿宋_GB2312" w:hAnsi="仿宋_GB2312" w:eastAsia="仿宋_GB2312" w:cs="仿宋_GB2312"/>
          <w:color w:val="auto"/>
          <w:spacing w:val="0"/>
          <w:kern w:val="2"/>
          <w:sz w:val="32"/>
          <w:szCs w:val="32"/>
          <w:highlight w:val="none"/>
          <w:lang w:val="en-US" w:eastAsia="zh-CN" w:bidi="ar-SA"/>
        </w:rPr>
        <w:t>2</w:t>
      </w:r>
      <w:r>
        <w:rPr>
          <w:rFonts w:hint="eastAsia" w:ascii="仿宋_GB2312" w:hAnsi="仿宋_GB2312" w:eastAsia="仿宋_GB2312" w:cs="仿宋_GB2312"/>
          <w:color w:val="auto"/>
          <w:spacing w:val="0"/>
          <w:kern w:val="2"/>
          <w:sz w:val="32"/>
          <w:szCs w:val="32"/>
          <w:highlight w:val="none"/>
          <w:lang w:val="en-US" w:eastAsia="zh-Hans" w:bidi="ar-SA"/>
        </w:rPr>
        <w:t>年我单位</w:t>
      </w:r>
      <w:r>
        <w:rPr>
          <w:rFonts w:hint="eastAsia" w:ascii="仿宋_GB2312" w:hAnsi="仿宋_GB2312" w:eastAsia="仿宋_GB2312" w:cs="仿宋_GB2312"/>
          <w:color w:val="auto"/>
          <w:spacing w:val="0"/>
          <w:kern w:val="2"/>
          <w:sz w:val="32"/>
          <w:szCs w:val="32"/>
          <w:highlight w:val="none"/>
          <w:lang w:val="en-US" w:eastAsia="zh-CN" w:bidi="ar-SA"/>
        </w:rPr>
        <w:t>组织实施</w:t>
      </w:r>
      <w:r>
        <w:rPr>
          <w:rFonts w:hint="eastAsia" w:ascii="仿宋_GB2312" w:hAnsi="仿宋_GB2312" w:eastAsia="仿宋_GB2312" w:cs="仿宋_GB2312"/>
          <w:color w:val="auto"/>
          <w:spacing w:val="0"/>
          <w:kern w:val="2"/>
          <w:sz w:val="32"/>
          <w:szCs w:val="32"/>
          <w:highlight w:val="none"/>
          <w:lang w:val="en-US" w:eastAsia="zh-Hans" w:bidi="ar-SA"/>
        </w:rPr>
        <w:t>该项目</w:t>
      </w:r>
      <w:r>
        <w:rPr>
          <w:rFonts w:hint="eastAsia" w:ascii="仿宋_GB2312" w:hAnsi="仿宋_GB2312" w:eastAsia="仿宋_GB2312" w:cs="仿宋_GB2312"/>
          <w:color w:val="auto"/>
          <w:spacing w:val="0"/>
          <w:kern w:val="2"/>
          <w:sz w:val="32"/>
          <w:szCs w:val="32"/>
          <w:highlight w:val="none"/>
          <w:lang w:val="en-US" w:eastAsia="zh-CN" w:bidi="ar-SA"/>
        </w:rPr>
        <w:t>。</w:t>
      </w:r>
      <w:r>
        <w:rPr>
          <w:rFonts w:hint="eastAsia" w:ascii="仿宋_GB2312" w:hAnsi="仿宋_GB2312" w:eastAsia="仿宋_GB2312" w:cs="仿宋_GB2312"/>
          <w:color w:val="auto"/>
          <w:spacing w:val="0"/>
          <w:kern w:val="2"/>
          <w:sz w:val="32"/>
          <w:szCs w:val="32"/>
          <w:highlight w:val="none"/>
          <w:lang w:val="en-US" w:eastAsia="zh-Hans" w:bidi="ar-SA"/>
        </w:rPr>
        <w:t>项目立项符合国家法律法规、自治区和地区行业发展规划和政策要求，属于本部门履职所需。</w:t>
      </w:r>
      <w:r>
        <w:rPr>
          <w:rFonts w:hint="eastAsia" w:ascii="仿宋_GB2312" w:hAnsi="仿宋_GB2312" w:eastAsia="仿宋_GB2312" w:cs="仿宋_GB2312"/>
          <w:color w:val="auto"/>
          <w:spacing w:val="0"/>
          <w:kern w:val="2"/>
          <w:sz w:val="32"/>
          <w:szCs w:val="32"/>
          <w:highlight w:val="none"/>
          <w:lang w:val="en-US" w:eastAsia="zh-CN" w:bidi="ar-SA"/>
        </w:rPr>
        <w:t>根据评分标准，该指标</w:t>
      </w:r>
      <w:r>
        <w:rPr>
          <w:rFonts w:hint="eastAsia" w:hAnsi="仿宋_GB2312" w:cs="仿宋_GB2312"/>
          <w:color w:val="auto"/>
          <w:spacing w:val="0"/>
          <w:kern w:val="2"/>
          <w:sz w:val="32"/>
          <w:szCs w:val="32"/>
          <w:highlight w:val="none"/>
          <w:lang w:val="en-US" w:eastAsia="zh-CN" w:bidi="ar-SA"/>
        </w:rPr>
        <w:t>5</w:t>
      </w:r>
      <w:r>
        <w:rPr>
          <w:rFonts w:hint="eastAsia" w:ascii="仿宋_GB2312" w:hAnsi="仿宋_GB2312" w:eastAsia="仿宋_GB2312" w:cs="仿宋_GB2312"/>
          <w:color w:val="auto"/>
          <w:spacing w:val="0"/>
          <w:kern w:val="2"/>
          <w:sz w:val="32"/>
          <w:szCs w:val="32"/>
          <w:highlight w:val="none"/>
          <w:lang w:val="en-US" w:eastAsia="zh-CN" w:bidi="ar-SA"/>
        </w:rPr>
        <w:t>分，得</w:t>
      </w:r>
      <w:r>
        <w:rPr>
          <w:rFonts w:hint="eastAsia" w:hAnsi="仿宋_GB2312" w:cs="仿宋_GB2312"/>
          <w:color w:val="auto"/>
          <w:spacing w:val="0"/>
          <w:kern w:val="2"/>
          <w:sz w:val="32"/>
          <w:szCs w:val="32"/>
          <w:highlight w:val="none"/>
          <w:lang w:val="en-US" w:eastAsia="zh-CN" w:bidi="ar-SA"/>
        </w:rPr>
        <w:t>5</w:t>
      </w:r>
      <w:r>
        <w:rPr>
          <w:rFonts w:hint="eastAsia" w:ascii="仿宋_GB2312" w:hAnsi="仿宋_GB2312" w:eastAsia="仿宋_GB2312" w:cs="仿宋_GB2312"/>
          <w:color w:val="auto"/>
          <w:spacing w:val="0"/>
          <w:kern w:val="2"/>
          <w:sz w:val="32"/>
          <w:szCs w:val="32"/>
          <w:highlight w:val="none"/>
          <w:lang w:val="en-US" w:eastAsia="zh-CN" w:bidi="ar-SA"/>
        </w:rPr>
        <w:t>分。</w:t>
      </w:r>
    </w:p>
    <w:p>
      <w:pPr>
        <w:pStyle w:val="24"/>
        <w:spacing w:line="600" w:lineRule="exact"/>
        <w:ind w:firstLine="736"/>
        <w:rPr>
          <w:rFonts w:hint="eastAsia" w:ascii="仿宋_GB2312" w:hAnsi="仿宋_GB2312" w:eastAsia="仿宋_GB2312" w:cs="仿宋_GB2312"/>
          <w:color w:val="auto"/>
          <w:spacing w:val="0"/>
          <w:kern w:val="2"/>
          <w:sz w:val="32"/>
          <w:szCs w:val="32"/>
          <w:highlight w:val="none"/>
          <w:lang w:val="en-US" w:eastAsia="zh-CN" w:bidi="ar-SA"/>
        </w:rPr>
      </w:pPr>
      <w:r>
        <w:rPr>
          <w:rFonts w:hint="eastAsia" w:cs="仿宋_GB2312"/>
          <w:b/>
          <w:bCs/>
          <w:color w:val="auto"/>
          <w:highlight w:val="none"/>
        </w:rPr>
        <w:t>2.立项程序规范性：</w:t>
      </w:r>
      <w:r>
        <w:rPr>
          <w:rFonts w:hint="eastAsia" w:ascii="仿宋_GB2312" w:hAnsi="仿宋_GB2312" w:eastAsia="仿宋_GB2312" w:cs="仿宋_GB2312"/>
          <w:color w:val="auto"/>
          <w:spacing w:val="0"/>
          <w:kern w:val="2"/>
          <w:sz w:val="32"/>
          <w:szCs w:val="32"/>
          <w:highlight w:val="none"/>
          <w:lang w:val="en-US" w:eastAsia="zh-CN" w:bidi="ar-SA"/>
        </w:rPr>
        <w:t>根据决策依据编制工作计划和经费预算，经过与部门市政府分管领导进行沟通、筛选确定经费预算计划，上党委会研究确定最终预算方案。根据评分标准，该指标</w:t>
      </w:r>
      <w:r>
        <w:rPr>
          <w:rFonts w:hint="eastAsia" w:hAnsi="仿宋_GB2312" w:cs="仿宋_GB2312"/>
          <w:color w:val="auto"/>
          <w:spacing w:val="0"/>
          <w:kern w:val="2"/>
          <w:sz w:val="32"/>
          <w:szCs w:val="32"/>
          <w:highlight w:val="none"/>
          <w:lang w:val="en-US" w:eastAsia="zh-CN" w:bidi="ar-SA"/>
        </w:rPr>
        <w:t>3</w:t>
      </w:r>
      <w:r>
        <w:rPr>
          <w:rFonts w:hint="eastAsia" w:ascii="仿宋_GB2312" w:hAnsi="仿宋_GB2312" w:eastAsia="仿宋_GB2312" w:cs="仿宋_GB2312"/>
          <w:color w:val="auto"/>
          <w:spacing w:val="0"/>
          <w:kern w:val="2"/>
          <w:sz w:val="32"/>
          <w:szCs w:val="32"/>
          <w:highlight w:val="none"/>
          <w:lang w:val="en-US" w:eastAsia="zh-CN" w:bidi="ar-SA"/>
        </w:rPr>
        <w:t>分，得</w:t>
      </w:r>
      <w:r>
        <w:rPr>
          <w:rFonts w:hint="eastAsia" w:hAnsi="仿宋_GB2312" w:cs="仿宋_GB2312"/>
          <w:color w:val="auto"/>
          <w:spacing w:val="0"/>
          <w:kern w:val="2"/>
          <w:sz w:val="32"/>
          <w:szCs w:val="32"/>
          <w:highlight w:val="none"/>
          <w:lang w:val="en-US" w:eastAsia="zh-CN" w:bidi="ar-SA"/>
        </w:rPr>
        <w:t>3</w:t>
      </w:r>
      <w:r>
        <w:rPr>
          <w:rFonts w:hint="eastAsia" w:ascii="仿宋_GB2312" w:hAnsi="仿宋_GB2312" w:eastAsia="仿宋_GB2312" w:cs="仿宋_GB2312"/>
          <w:color w:val="auto"/>
          <w:spacing w:val="0"/>
          <w:kern w:val="2"/>
          <w:sz w:val="32"/>
          <w:szCs w:val="32"/>
          <w:highlight w:val="none"/>
          <w:lang w:val="en-US" w:eastAsia="zh-CN" w:bidi="ar-SA"/>
        </w:rPr>
        <w:t>分。</w:t>
      </w:r>
    </w:p>
    <w:p>
      <w:pPr>
        <w:spacing w:line="600" w:lineRule="exact"/>
        <w:ind w:firstLine="643"/>
        <w:rPr>
          <w:rFonts w:hint="eastAsia" w:ascii="仿宋_GB2312" w:hAns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制定了</w:t>
      </w:r>
      <w:r>
        <w:rPr>
          <w:rFonts w:hint="eastAsia" w:ascii="仿宋_GB2312" w:hAnsi="仿宋_GB2312" w:cs="仿宋_GB2312"/>
          <w:color w:val="auto"/>
          <w:sz w:val="32"/>
          <w:szCs w:val="32"/>
          <w:highlight w:val="none"/>
          <w:lang w:eastAsia="zh-Hans"/>
        </w:rPr>
        <w:t>项目支出绩效目标</w:t>
      </w:r>
      <w:r>
        <w:rPr>
          <w:rFonts w:hint="eastAsia" w:ascii="仿宋_GB2312" w:hAnsi="仿宋_GB2312" w:cs="仿宋_GB2312"/>
          <w:color w:val="auto"/>
          <w:sz w:val="32"/>
          <w:szCs w:val="32"/>
          <w:highlight w:val="none"/>
        </w:rPr>
        <w:t>，明确了</w:t>
      </w:r>
      <w:r>
        <w:rPr>
          <w:rFonts w:hint="eastAsia" w:ascii="仿宋_GB2312" w:hAnsi="仿宋_GB2312" w:cs="仿宋_GB2312"/>
          <w:color w:val="auto"/>
          <w:sz w:val="32"/>
          <w:szCs w:val="32"/>
          <w:highlight w:val="none"/>
          <w:lang w:eastAsia="zh-Hans"/>
        </w:rPr>
        <w:t>项目</w:t>
      </w:r>
      <w:r>
        <w:rPr>
          <w:rFonts w:hint="eastAsia" w:ascii="仿宋_GB2312" w:hAnsi="仿宋_GB2312" w:cs="仿宋_GB2312"/>
          <w:color w:val="auto"/>
          <w:sz w:val="32"/>
          <w:szCs w:val="32"/>
          <w:highlight w:val="none"/>
        </w:rPr>
        <w:t>总体思路及</w:t>
      </w:r>
      <w:r>
        <w:rPr>
          <w:rFonts w:hint="eastAsia" w:ascii="仿宋_GB2312" w:hAnsi="仿宋_GB2312" w:cs="仿宋_GB2312"/>
          <w:color w:val="auto"/>
          <w:sz w:val="32"/>
          <w:szCs w:val="32"/>
          <w:highlight w:val="none"/>
          <w:lang w:eastAsia="zh-Hans"/>
        </w:rPr>
        <w:t>总</w:t>
      </w:r>
      <w:r>
        <w:rPr>
          <w:rFonts w:hint="eastAsia" w:ascii="仿宋_GB2312" w:hAnsi="仿宋_GB2312" w:cs="仿宋_GB2312"/>
          <w:color w:val="auto"/>
          <w:sz w:val="32"/>
          <w:szCs w:val="32"/>
          <w:highlight w:val="none"/>
        </w:rPr>
        <w:t>目标、并对</w:t>
      </w:r>
      <w:r>
        <w:rPr>
          <w:rFonts w:hint="eastAsia" w:ascii="仿宋_GB2312" w:hAnsi="仿宋_GB2312" w:cs="仿宋_GB2312"/>
          <w:color w:val="auto"/>
          <w:sz w:val="32"/>
          <w:szCs w:val="32"/>
          <w:highlight w:val="none"/>
          <w:lang w:eastAsia="zh-Hans"/>
        </w:rPr>
        <w:t>项目</w:t>
      </w:r>
      <w:r>
        <w:rPr>
          <w:rFonts w:hint="eastAsia" w:ascii="仿宋_GB2312" w:hAnsi="仿宋_GB2312" w:cs="仿宋_GB2312"/>
          <w:color w:val="auto"/>
          <w:sz w:val="32"/>
          <w:szCs w:val="32"/>
          <w:highlight w:val="none"/>
        </w:rPr>
        <w:t>任务进行了详细分解，对目标进行了细化。根据评分标准，该指标3分，得3分。</w:t>
      </w:r>
    </w:p>
    <w:p>
      <w:pPr>
        <w:spacing w:line="600" w:lineRule="exact"/>
        <w:ind w:firstLine="643"/>
        <w:rPr>
          <w:rFonts w:hint="eastAsia" w:ascii="仿宋_GB2312" w:hAns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hAns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仿宋_GB2312" w:hAns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hAnsi="仿宋_GB2312" w:cs="仿宋_GB2312"/>
          <w:color w:val="auto"/>
          <w:sz w:val="32"/>
          <w:szCs w:val="32"/>
          <w:highlight w:val="none"/>
        </w:rPr>
        <w:t xml:space="preserve"> 预算编制经过科学论证，内容与项目内容匹配，项目投资额与工作任务相匹配，根据评分标准，该指标5分，得5分。</w:t>
      </w:r>
    </w:p>
    <w:p>
      <w:pPr>
        <w:spacing w:line="600" w:lineRule="exact"/>
        <w:ind w:firstLine="643"/>
        <w:rPr>
          <w:rFonts w:hint="eastAsia" w:ascii="仿宋_GB2312" w:hAns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资金分配依据充分，资金分配额度合理，与项目地方实际相适应。根据评分标准，该指标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w:t>
      </w:r>
      <w:r>
        <w:rPr>
          <w:rFonts w:hint="eastAsia" w:ascii="仿宋_GB2312" w:hAnsi="仿宋_GB2312" w:cs="仿宋_GB2312"/>
          <w:color w:val="auto"/>
          <w:sz w:val="32"/>
          <w:szCs w:val="32"/>
          <w:highlight w:val="none"/>
          <w:lang w:val="en-US" w:eastAsia="zh-CN"/>
        </w:rPr>
        <w:t>19.50</w:t>
      </w:r>
      <w:r>
        <w:rPr>
          <w:rFonts w:hint="eastAsia" w:ascii="仿宋_GB2312" w:hAns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hAnsi="仿宋_GB2312" w:cs="仿宋_GB2312"/>
          <w:color w:val="auto"/>
          <w:sz w:val="32"/>
          <w:szCs w:val="32"/>
          <w:highlight w:val="none"/>
          <w:lang w:val="en-US" w:eastAsia="zh-CN"/>
        </w:rPr>
        <w:t>19.50</w:t>
      </w:r>
      <w:r>
        <w:rPr>
          <w:rFonts w:hint="eastAsia" w:ascii="仿宋_GB2312" w:hAnsi="仿宋_GB2312" w:cs="仿宋_GB2312"/>
          <w:color w:val="auto"/>
          <w:sz w:val="32"/>
          <w:szCs w:val="32"/>
          <w:highlight w:val="none"/>
        </w:rPr>
        <w:t>分，得分率为</w:t>
      </w:r>
      <w:r>
        <w:rPr>
          <w:rFonts w:hint="eastAsia" w:ascii="仿宋_GB2312" w:hAnsi="仿宋_GB2312" w:cs="仿宋_GB2312"/>
          <w:color w:val="auto"/>
          <w:sz w:val="32"/>
          <w:szCs w:val="32"/>
          <w:highlight w:val="none"/>
          <w:lang w:val="en-US" w:eastAsia="zh-CN"/>
        </w:rPr>
        <w:t>97.5</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hAns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r>
        <w:rPr>
          <w:rFonts w:hint="eastAsia" w:ascii="仿宋_GB2312" w:cs="仿宋_GB2312"/>
          <w:color w:val="auto"/>
          <w:sz w:val="32"/>
          <w:szCs w:val="32"/>
          <w:highlight w:val="none"/>
        </w:rPr>
        <w:t xml:space="preserve">   </w:t>
      </w:r>
    </w:p>
    <w:p>
      <w:pPr>
        <w:spacing w:line="600" w:lineRule="exact"/>
        <w:ind w:firstLine="643"/>
        <w:rPr>
          <w:rFonts w:hint="eastAsia" w:ascii="仿宋_GB2312" w:hAns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hAnsi="仿宋_GB2312" w:cs="仿宋_GB2312"/>
          <w:color w:val="auto"/>
          <w:sz w:val="32"/>
          <w:szCs w:val="32"/>
          <w:highlight w:val="none"/>
        </w:rPr>
        <w:t>预算编制较为详细，</w:t>
      </w:r>
      <w:r>
        <w:rPr>
          <w:rFonts w:hint="eastAsia" w:ascii="仿宋_GB2312" w:hAnsi="仿宋_GB2312" w:cs="仿宋_GB2312"/>
          <w:color w:val="auto"/>
          <w:sz w:val="32"/>
          <w:szCs w:val="32"/>
          <w:highlight w:val="none"/>
          <w:lang w:eastAsia="zh-Hans"/>
        </w:rPr>
        <w:t>预算资金</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00</w:t>
      </w:r>
      <w:r>
        <w:rPr>
          <w:rFonts w:hint="eastAsia" w:ascii="仿宋_GB2312" w:hAnsi="仿宋_GB2312" w:cs="仿宋_GB2312"/>
          <w:color w:val="auto"/>
          <w:sz w:val="32"/>
          <w:szCs w:val="32"/>
          <w:highlight w:val="none"/>
          <w:lang w:eastAsia="zh-Hans"/>
        </w:rPr>
        <w:t>万元，实际执行</w:t>
      </w:r>
      <w:r>
        <w:rPr>
          <w:rFonts w:hint="eastAsia" w:ascii="仿宋_GB2312" w:hAnsi="仿宋_GB2312" w:cs="仿宋_GB2312"/>
          <w:color w:val="auto"/>
          <w:sz w:val="32"/>
          <w:szCs w:val="32"/>
          <w:highlight w:val="none"/>
          <w:lang w:val="en-US" w:eastAsia="zh-CN"/>
        </w:rPr>
        <w:t>1.9</w:t>
      </w:r>
      <w:r>
        <w:rPr>
          <w:rFonts w:hint="eastAsia" w:ascii="仿宋_GB2312" w:hAnsi="仿宋_GB2312" w:cs="仿宋_GB2312"/>
          <w:color w:val="auto"/>
          <w:sz w:val="32"/>
          <w:szCs w:val="32"/>
          <w:highlight w:val="none"/>
          <w:lang w:eastAsia="zh-Hans"/>
        </w:rPr>
        <w:t>万元，预算执行率为</w:t>
      </w:r>
      <w:r>
        <w:rPr>
          <w:rFonts w:hint="eastAsia" w:ascii="仿宋_GB2312" w:hAnsi="仿宋_GB2312" w:cs="仿宋_GB2312"/>
          <w:color w:val="auto"/>
          <w:sz w:val="32"/>
          <w:szCs w:val="32"/>
          <w:highlight w:val="none"/>
          <w:lang w:val="en-US" w:eastAsia="zh-CN"/>
        </w:rPr>
        <w:t>95</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0</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项目资金支出总体能够按照预算执行，根据评分标准，该指标5分，得</w:t>
      </w:r>
      <w:r>
        <w:rPr>
          <w:rFonts w:hint="eastAsia" w:ascii="仿宋_GB2312" w:hAnsi="仿宋_GB2312" w:cs="仿宋_GB2312"/>
          <w:color w:val="auto"/>
          <w:sz w:val="32"/>
          <w:szCs w:val="32"/>
          <w:highlight w:val="none"/>
          <w:lang w:val="en-US" w:eastAsia="zh-CN"/>
        </w:rPr>
        <w:t>4.5</w:t>
      </w:r>
      <w:r>
        <w:rPr>
          <w:rFonts w:hint="eastAsia" w:ascii="仿宋_GB2312" w:hAnsi="仿宋_GB2312" w:cs="仿宋_GB2312"/>
          <w:color w:val="auto"/>
          <w:sz w:val="32"/>
          <w:szCs w:val="32"/>
          <w:highlight w:val="none"/>
        </w:rPr>
        <w:t>分。</w:t>
      </w:r>
    </w:p>
    <w:p>
      <w:pPr>
        <w:spacing w:line="600" w:lineRule="exact"/>
        <w:ind w:firstLine="643"/>
        <w:rPr>
          <w:rFonts w:hint="eastAsia" w:ascii="仿宋_GB2312" w:hAns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hAnsi="仿宋_GB2312" w:cs="仿宋_GB2312"/>
          <w:color w:val="auto"/>
          <w:sz w:val="32"/>
          <w:szCs w:val="32"/>
          <w:highlight w:val="none"/>
          <w:lang w:eastAsia="zh-Hans"/>
        </w:rPr>
        <w:t>项目任务下达后，我单位</w:t>
      </w:r>
      <w:r>
        <w:rPr>
          <w:rFonts w:hint="eastAsia" w:ascii="仿宋_GB2312" w:hAnsi="仿宋_GB2312" w:cs="仿宋_GB2312"/>
          <w:color w:val="auto"/>
          <w:sz w:val="32"/>
          <w:szCs w:val="32"/>
          <w:highlight w:val="none"/>
        </w:rPr>
        <w:t>制定了《</w:t>
      </w:r>
      <w:r>
        <w:rPr>
          <w:rFonts w:hint="eastAsia" w:ascii="仿宋_GB2312" w:hAnsi="仿宋_GB2312" w:cs="仿宋_GB2312"/>
          <w:color w:val="auto"/>
          <w:sz w:val="32"/>
          <w:szCs w:val="32"/>
          <w:highlight w:val="none"/>
          <w:lang w:val="en-US" w:eastAsia="zh-CN"/>
        </w:rPr>
        <w:t>中共昌吉市委老干部局绩效管理制度</w:t>
      </w:r>
      <w:r>
        <w:rPr>
          <w:rFonts w:hint="eastAsia" w:ascii="仿宋_GB2312" w:hAnsi="仿宋_GB2312" w:cs="仿宋_GB2312"/>
          <w:color w:val="auto"/>
          <w:sz w:val="32"/>
          <w:szCs w:val="32"/>
          <w:highlight w:val="none"/>
        </w:rPr>
        <w:t>》对经费使用进行规范管理，财务制度健全、执行严格，根据评分标准，该指标5分，得5分。</w:t>
      </w:r>
    </w:p>
    <w:p>
      <w:pPr>
        <w:spacing w:line="600" w:lineRule="exact"/>
        <w:ind w:firstLine="643"/>
        <w:rPr>
          <w:rFonts w:hint="eastAsia" w:ascii="仿宋_GB2312" w:hAns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hAnsi="仿宋_GB2312" w:cs="仿宋_GB2312"/>
          <w:color w:val="auto"/>
          <w:sz w:val="32"/>
          <w:szCs w:val="32"/>
          <w:highlight w:val="none"/>
          <w:lang w:eastAsia="zh-Hans"/>
        </w:rPr>
        <w:t>我单位</w:t>
      </w:r>
      <w:r>
        <w:rPr>
          <w:rFonts w:hint="eastAsia" w:ascii="仿宋_GB2312" w:hAnsi="仿宋_GB2312" w:cs="仿宋_GB2312"/>
          <w:color w:val="auto"/>
          <w:sz w:val="32"/>
          <w:szCs w:val="32"/>
          <w:highlight w:val="none"/>
        </w:rPr>
        <w:t>制定了《</w:t>
      </w:r>
      <w:r>
        <w:rPr>
          <w:rFonts w:hint="eastAsia" w:ascii="仿宋_GB2312" w:hAnsi="仿宋_GB2312" w:cs="仿宋_GB2312"/>
          <w:color w:val="auto"/>
          <w:sz w:val="32"/>
          <w:szCs w:val="32"/>
          <w:highlight w:val="none"/>
          <w:lang w:val="en-US" w:eastAsia="zh-CN"/>
        </w:rPr>
        <w:t>中共昌吉市委员会老干部局绩效管理制度</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等</w:t>
      </w:r>
      <w:r>
        <w:rPr>
          <w:rFonts w:hint="eastAsia" w:ascii="仿宋_GB2312" w:hAnsi="仿宋_GB2312" w:cs="仿宋_GB2312"/>
          <w:color w:val="auto"/>
          <w:sz w:val="32"/>
          <w:szCs w:val="32"/>
          <w:highlight w:val="none"/>
        </w:rPr>
        <w:t>相关</w:t>
      </w:r>
      <w:r>
        <w:rPr>
          <w:rFonts w:hint="eastAsia" w:ascii="仿宋_GB2312" w:hAnsi="仿宋_GB2312" w:cs="仿宋_GB2312"/>
          <w:color w:val="auto"/>
          <w:sz w:val="32"/>
          <w:szCs w:val="32"/>
          <w:highlight w:val="none"/>
          <w:lang w:eastAsia="zh-Hans"/>
        </w:rPr>
        <w:t>项目</w:t>
      </w:r>
      <w:r>
        <w:rPr>
          <w:rFonts w:hint="eastAsia" w:ascii="仿宋_GB2312" w:hAnsi="仿宋_GB2312" w:cs="仿宋_GB2312"/>
          <w:color w:val="auto"/>
          <w:sz w:val="32"/>
          <w:szCs w:val="32"/>
          <w:highlight w:val="none"/>
        </w:rPr>
        <w:t>管理办法，</w:t>
      </w:r>
      <w:r>
        <w:rPr>
          <w:rFonts w:hint="eastAsia" w:ascii="仿宋_GB2312" w:hAnsi="仿宋_GB2312" w:cs="仿宋_GB2312"/>
          <w:color w:val="auto"/>
          <w:sz w:val="32"/>
          <w:szCs w:val="32"/>
          <w:highlight w:val="none"/>
          <w:lang w:eastAsia="zh-Hans"/>
        </w:rPr>
        <w:t>同时</w:t>
      </w:r>
      <w:r>
        <w:rPr>
          <w:rFonts w:hint="eastAsia" w:ascii="仿宋_GB2312" w:hAnsi="仿宋_GB2312" w:cs="仿宋_GB2312"/>
          <w:color w:val="auto"/>
          <w:sz w:val="32"/>
          <w:szCs w:val="32"/>
          <w:highlight w:val="none"/>
        </w:rPr>
        <w:t>对财政专项资金进行严格管理，基本做到了专款专用，根据评分标准，该指标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firstLine="643"/>
        <w:rPr>
          <w:rFonts w:hint="eastAsia" w:ascii="仿宋_GB2312" w:hAns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w:t>
      </w:r>
      <w:r>
        <w:rPr>
          <w:rFonts w:hint="eastAsia" w:ascii="仿宋_GB2312" w:hAnsi="仿宋_GB2312" w:cs="仿宋_GB2312"/>
          <w:color w:val="auto"/>
          <w:sz w:val="32"/>
          <w:szCs w:val="32"/>
          <w:highlight w:val="none"/>
        </w:rPr>
        <w:t>由部门提出经费预算支出可行性方案，经过与市</w:t>
      </w:r>
      <w:r>
        <w:rPr>
          <w:rFonts w:hint="eastAsia" w:ascii="仿宋_GB2312" w:hAnsi="仿宋_GB2312" w:cs="仿宋_GB2312"/>
          <w:color w:val="auto"/>
          <w:sz w:val="32"/>
          <w:szCs w:val="32"/>
          <w:highlight w:val="none"/>
          <w:lang w:val="en-US" w:eastAsia="zh-CN"/>
        </w:rPr>
        <w:t>委</w:t>
      </w:r>
      <w:r>
        <w:rPr>
          <w:rFonts w:hint="eastAsia" w:ascii="仿宋_GB2312" w:hAnsi="仿宋_GB2312" w:cs="仿宋_GB2312"/>
          <w:color w:val="auto"/>
          <w:sz w:val="32"/>
          <w:szCs w:val="32"/>
          <w:highlight w:val="none"/>
        </w:rPr>
        <w:t>分管领导沟通后，报党委会议研究执行，财务对资金的使用合法合规性进行监督，年底对资金使用效果进行自评，根据评分标准，该指标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spacing w:line="600" w:lineRule="exact"/>
        <w:ind w:firstLine="640"/>
        <w:rPr>
          <w:rFonts w:hint="eastAsia"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项目产出类指标包括产出数量、产出质量、产出时效、产出成本共四方面的内容，由</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rPr>
        <w:t>个三级指标构成，权重分为30分，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hAnsi="仿宋_GB2312" w:cs="仿宋_GB2312"/>
          <w:color w:val="auto"/>
          <w:sz w:val="32"/>
          <w:szCs w:val="32"/>
          <w:highlight w:val="none"/>
          <w:lang w:val="en-US" w:eastAsia="zh-CN"/>
        </w:rPr>
        <w:t>28.00</w:t>
      </w:r>
      <w:r>
        <w:rPr>
          <w:rFonts w:hint="eastAsia" w:ascii="仿宋_GB2312" w:hAnsi="仿宋_GB2312" w:cs="仿宋_GB2312"/>
          <w:color w:val="auto"/>
          <w:sz w:val="32"/>
          <w:szCs w:val="32"/>
          <w:highlight w:val="none"/>
        </w:rPr>
        <w:t>分，得分率为</w:t>
      </w:r>
      <w:r>
        <w:rPr>
          <w:rFonts w:hint="eastAsia" w:ascii="仿宋_GB2312" w:hAnsi="仿宋_GB2312" w:cs="仿宋_GB2312"/>
          <w:color w:val="auto"/>
          <w:sz w:val="32"/>
          <w:szCs w:val="32"/>
          <w:highlight w:val="none"/>
          <w:lang w:val="en-US" w:eastAsia="zh-CN"/>
        </w:rPr>
        <w:t>93.0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积极投身关工事业的退休干部</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val="en-US" w:eastAsia="zh-CN"/>
        </w:rPr>
        <w:t>3人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val="en-US" w:eastAsia="zh-CN"/>
        </w:rPr>
        <w:t>参与3人</w:t>
      </w:r>
      <w:r>
        <w:rPr>
          <w:rFonts w:hint="eastAsia" w:ascii="仿宋_GB2312" w:hAnsi="仿宋_GB2312" w:cs="仿宋_GB2312"/>
          <w:color w:val="auto"/>
          <w:sz w:val="32"/>
          <w:szCs w:val="32"/>
          <w:highlight w:val="none"/>
        </w:rPr>
        <w:t>，与预期目标一致，根据评分标准，该指标3分，得3分。</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巡回宣讲次数</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指标，预期指标值为30次”，实际宣讲30次,</w:t>
      </w:r>
      <w:r>
        <w:rPr>
          <w:rFonts w:hint="eastAsia" w:ascii="仿宋_GB2312" w:hAnsi="仿宋_GB2312" w:cs="仿宋_GB2312"/>
          <w:color w:val="auto"/>
          <w:sz w:val="32"/>
          <w:szCs w:val="32"/>
          <w:highlight w:val="none"/>
        </w:rPr>
        <w:t>与预期目标一致，根据评分标准，该指标3分，得3分。</w:t>
      </w:r>
    </w:p>
    <w:p>
      <w:pPr>
        <w:spacing w:line="600" w:lineRule="exact"/>
        <w:ind w:firstLine="640"/>
        <w:rPr>
          <w:rFonts w:hint="eastAsia"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慰问贡献突出的五老人员指标，预期指标值为50人</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实际慰问50人，</w:t>
      </w:r>
      <w:r>
        <w:rPr>
          <w:rFonts w:hint="eastAsia" w:ascii="仿宋_GB2312" w:hAnsi="仿宋_GB2312" w:cs="仿宋_GB2312"/>
          <w:color w:val="auto"/>
          <w:sz w:val="32"/>
          <w:szCs w:val="32"/>
          <w:highlight w:val="none"/>
          <w:lang w:eastAsia="zh-Hans"/>
        </w:rPr>
        <w:t>与预期目标一致，根据评分标准，该指标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分。</w:t>
      </w:r>
    </w:p>
    <w:p>
      <w:pPr>
        <w:spacing w:line="600" w:lineRule="exact"/>
        <w:ind w:firstLine="640"/>
        <w:rPr>
          <w:rFonts w:hint="eastAsia"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lang w:eastAsia="zh-Hans"/>
        </w:rPr>
        <w:t>综上所述，产出数量指标合计得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lang w:eastAsia="zh-Hans"/>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Hans"/>
        </w:rPr>
        <w:t>“</w:t>
      </w:r>
      <w:r>
        <w:rPr>
          <w:rFonts w:hint="eastAsia" w:ascii="仿宋_GB2312" w:hAnsi="仿宋_GB2312" w:cs="仿宋_GB2312"/>
          <w:color w:val="auto"/>
          <w:sz w:val="32"/>
          <w:szCs w:val="32"/>
          <w:highlight w:val="none"/>
          <w:lang w:val="en-US" w:eastAsia="zh-CN"/>
        </w:rPr>
        <w:t>投身关工事业的退休干部活动参与率</w:t>
      </w:r>
      <w:r>
        <w:rPr>
          <w:rFonts w:hint="eastAsia" w:ascii="仿宋_GB2312" w:hAnsi="仿宋_GB2312" w:cs="仿宋_GB2312"/>
          <w:color w:val="auto"/>
          <w:sz w:val="32"/>
          <w:szCs w:val="32"/>
          <w:highlight w:val="none"/>
          <w:lang w:val="en-US" w:eastAsia="zh-Hans"/>
        </w:rPr>
        <w:t>”指标</w:t>
      </w:r>
      <w:r>
        <w:rPr>
          <w:rFonts w:hint="eastAsia" w:ascii="仿宋_GB2312" w:hAnsi="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Hans"/>
        </w:rPr>
        <w:t>预期指标值为“</w:t>
      </w:r>
      <w:r>
        <w:rPr>
          <w:rFonts w:hint="eastAsia" w:ascii="仿宋_GB2312" w:hAnsi="仿宋_GB2312" w:cs="仿宋_GB2312"/>
          <w:color w:val="auto"/>
          <w:sz w:val="32"/>
          <w:szCs w:val="32"/>
          <w:highlight w:val="none"/>
          <w:lang w:val="en-US" w:eastAsia="zh-CN"/>
        </w:rPr>
        <w:t>95%</w:t>
      </w:r>
      <w:r>
        <w:rPr>
          <w:rFonts w:hint="eastAsia" w:ascii="仿宋_GB2312" w:hAnsi="仿宋_GB2312" w:cs="仿宋_GB2312"/>
          <w:color w:val="auto"/>
          <w:sz w:val="32"/>
          <w:szCs w:val="32"/>
          <w:highlight w:val="none"/>
          <w:lang w:val="en-US" w:eastAsia="zh-Hans"/>
        </w:rPr>
        <w:t>”，</w:t>
      </w:r>
      <w:r>
        <w:rPr>
          <w:rFonts w:hint="eastAsia" w:ascii="仿宋_GB2312" w:hAnsi="仿宋_GB2312" w:cs="仿宋_GB2312"/>
          <w:color w:val="auto"/>
          <w:sz w:val="32"/>
          <w:szCs w:val="32"/>
          <w:highlight w:val="none"/>
          <w:lang w:val="en-US" w:eastAsia="zh-CN"/>
        </w:rPr>
        <w:t>实际指标值≥95%</w:t>
      </w:r>
      <w:r>
        <w:rPr>
          <w:rFonts w:hint="eastAsia" w:ascii="仿宋_GB2312" w:hAnsi="仿宋_GB2312" w:cs="仿宋_GB2312"/>
          <w:color w:val="auto"/>
          <w:sz w:val="32"/>
          <w:szCs w:val="32"/>
          <w:highlight w:val="none"/>
          <w:lang w:val="en-US" w:eastAsia="zh-Hans"/>
        </w:rPr>
        <w:t>，</w:t>
      </w:r>
      <w:r>
        <w:rPr>
          <w:rFonts w:hint="eastAsia" w:ascii="仿宋_GB2312" w:hAnsi="仿宋_GB2312" w:cs="仿宋_GB2312"/>
          <w:color w:val="auto"/>
          <w:sz w:val="32"/>
          <w:szCs w:val="32"/>
          <w:highlight w:val="none"/>
          <w:lang w:val="en-US" w:eastAsia="zh-CN"/>
        </w:rPr>
        <w:t>与预期目标一致，根据评分标准，该指标8分，得8分。</w:t>
      </w:r>
    </w:p>
    <w:p>
      <w:pPr>
        <w:pStyle w:val="7"/>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7"/>
        <w:spacing w:before="0" w:after="0" w:line="600" w:lineRule="exact"/>
        <w:ind w:firstLine="640"/>
        <w:jc w:val="both"/>
        <w:rPr>
          <w:rFonts w:hint="eastAsia" w:ascii="仿宋_GB2312" w:hAnsi="仿宋_GB2312" w:eastAsia="仿宋_GB2312" w:cs="仿宋_GB2312"/>
          <w:b w:val="0"/>
          <w:color w:val="auto"/>
          <w:kern w:val="2"/>
          <w:sz w:val="32"/>
          <w:szCs w:val="32"/>
          <w:highlight w:val="none"/>
          <w:lang w:val="en-US" w:eastAsia="zh-CN" w:bidi="ar-SA"/>
        </w:rPr>
      </w:pPr>
      <w:r>
        <w:rPr>
          <w:rFonts w:hint="eastAsia" w:ascii="仿宋_GB2312" w:hAnsi="仿宋_GB2312" w:eastAsia="仿宋_GB2312" w:cs="仿宋_GB2312"/>
          <w:b w:val="0"/>
          <w:color w:val="auto"/>
          <w:kern w:val="2"/>
          <w:sz w:val="32"/>
          <w:szCs w:val="32"/>
          <w:highlight w:val="none"/>
          <w:lang w:val="en-US" w:eastAsia="zh-Hans" w:bidi="ar-SA"/>
        </w:rPr>
        <w:t>“</w:t>
      </w:r>
      <w:r>
        <w:rPr>
          <w:rFonts w:hint="eastAsia" w:ascii="仿宋_GB2312" w:hAnsi="仿宋_GB2312" w:eastAsia="仿宋_GB2312" w:cs="仿宋_GB2312"/>
          <w:b w:val="0"/>
          <w:color w:val="auto"/>
          <w:kern w:val="2"/>
          <w:sz w:val="32"/>
          <w:szCs w:val="32"/>
          <w:highlight w:val="none"/>
          <w:lang w:val="en-US" w:eastAsia="zh-CN" w:bidi="ar-SA"/>
        </w:rPr>
        <w:t>工作经费支付及时率</w:t>
      </w:r>
      <w:r>
        <w:rPr>
          <w:rFonts w:hint="eastAsia" w:ascii="仿宋_GB2312" w:hAnsi="仿宋_GB2312" w:eastAsia="仿宋_GB2312" w:cs="仿宋_GB2312"/>
          <w:b w:val="0"/>
          <w:color w:val="auto"/>
          <w:kern w:val="2"/>
          <w:sz w:val="32"/>
          <w:szCs w:val="32"/>
          <w:highlight w:val="none"/>
          <w:lang w:val="en-US" w:eastAsia="zh-Hans" w:bidi="ar-SA"/>
        </w:rPr>
        <w:t>”指标，预期指标值为“</w:t>
      </w:r>
      <w:r>
        <w:rPr>
          <w:rFonts w:hint="eastAsia" w:ascii="仿宋_GB2312" w:hAnsi="仿宋_GB2312" w:eastAsia="仿宋_GB2312" w:cs="仿宋_GB2312"/>
          <w:b w:val="0"/>
          <w:color w:val="auto"/>
          <w:kern w:val="2"/>
          <w:sz w:val="32"/>
          <w:szCs w:val="32"/>
          <w:highlight w:val="none"/>
          <w:lang w:val="en-US" w:eastAsia="zh-CN" w:bidi="ar-SA"/>
        </w:rPr>
        <w:t>100%</w:t>
      </w:r>
      <w:r>
        <w:rPr>
          <w:rFonts w:hint="eastAsia" w:ascii="仿宋_GB2312" w:hAnsi="仿宋_GB2312" w:eastAsia="仿宋_GB2312" w:cs="仿宋_GB2312"/>
          <w:b w:val="0"/>
          <w:color w:val="auto"/>
          <w:kern w:val="2"/>
          <w:sz w:val="32"/>
          <w:szCs w:val="32"/>
          <w:highlight w:val="none"/>
          <w:lang w:val="en-US" w:eastAsia="zh-Hans" w:bidi="ar-SA"/>
        </w:rPr>
        <w:t>”；根据资金支付凭证显示，该项目于</w:t>
      </w:r>
      <w:r>
        <w:rPr>
          <w:rFonts w:hint="eastAsia" w:ascii="仿宋_GB2312" w:hAnsi="仿宋_GB2312" w:eastAsia="仿宋_GB2312" w:cs="仿宋_GB2312"/>
          <w:b w:val="0"/>
          <w:color w:val="auto"/>
          <w:kern w:val="2"/>
          <w:sz w:val="32"/>
          <w:szCs w:val="32"/>
          <w:highlight w:val="none"/>
          <w:lang w:val="en-US" w:eastAsia="zh-CN" w:bidi="ar-SA"/>
        </w:rPr>
        <w:t>2022年12月完成，</w:t>
      </w:r>
      <w:r>
        <w:rPr>
          <w:rFonts w:hint="eastAsia" w:ascii="仿宋_GB2312" w:hAnsi="仿宋_GB2312" w:cs="仿宋_GB2312"/>
          <w:b w:val="0"/>
          <w:color w:val="auto"/>
          <w:kern w:val="2"/>
          <w:sz w:val="32"/>
          <w:szCs w:val="32"/>
          <w:highlight w:val="none"/>
          <w:lang w:val="en-US" w:eastAsia="zh-CN" w:bidi="ar-SA"/>
        </w:rPr>
        <w:t>财政预算资金2.0万元，实际支付1.9万元，</w:t>
      </w:r>
      <w:r>
        <w:rPr>
          <w:rFonts w:hint="eastAsia" w:ascii="仿宋_GB2312" w:hAnsi="仿宋_GB2312" w:eastAsia="仿宋_GB2312" w:cs="仿宋_GB2312"/>
          <w:b w:val="0"/>
          <w:color w:val="auto"/>
          <w:kern w:val="2"/>
          <w:sz w:val="32"/>
          <w:szCs w:val="32"/>
          <w:highlight w:val="none"/>
          <w:lang w:val="en-US" w:eastAsia="zh-CN" w:bidi="ar-SA"/>
        </w:rPr>
        <w:t>与预期目标指标</w:t>
      </w:r>
      <w:r>
        <w:rPr>
          <w:rFonts w:hint="eastAsia" w:ascii="仿宋_GB2312" w:hAnsi="仿宋_GB2312" w:cs="仿宋_GB2312"/>
          <w:b w:val="0"/>
          <w:color w:val="auto"/>
          <w:kern w:val="2"/>
          <w:sz w:val="32"/>
          <w:szCs w:val="32"/>
          <w:highlight w:val="none"/>
          <w:lang w:val="en-US" w:eastAsia="zh-CN" w:bidi="ar-SA"/>
        </w:rPr>
        <w:t>有偏差</w:t>
      </w:r>
      <w:r>
        <w:rPr>
          <w:rFonts w:hint="eastAsia" w:ascii="仿宋_GB2312" w:hAnsi="仿宋_GB2312" w:eastAsia="仿宋_GB2312" w:cs="仿宋_GB2312"/>
          <w:b w:val="0"/>
          <w:color w:val="auto"/>
          <w:kern w:val="2"/>
          <w:sz w:val="32"/>
          <w:szCs w:val="32"/>
          <w:highlight w:val="none"/>
          <w:lang w:val="en-US" w:eastAsia="zh-CN" w:bidi="ar-SA"/>
        </w:rPr>
        <w:t>，根据评分标准，该指标6分，得</w:t>
      </w:r>
      <w:r>
        <w:rPr>
          <w:rFonts w:hint="eastAsia" w:ascii="仿宋_GB2312" w:hAnsi="仿宋_GB2312" w:cs="仿宋_GB2312"/>
          <w:b w:val="0"/>
          <w:color w:val="auto"/>
          <w:kern w:val="2"/>
          <w:sz w:val="32"/>
          <w:szCs w:val="32"/>
          <w:highlight w:val="none"/>
          <w:lang w:val="en-US" w:eastAsia="zh-CN" w:bidi="ar-SA"/>
        </w:rPr>
        <w:t>5</w:t>
      </w:r>
      <w:r>
        <w:rPr>
          <w:rFonts w:hint="eastAsia" w:ascii="仿宋_GB2312" w:hAnsi="仿宋_GB2312" w:eastAsia="仿宋_GB2312" w:cs="仿宋_GB2312"/>
          <w:b w:val="0"/>
          <w:color w:val="auto"/>
          <w:kern w:val="2"/>
          <w:sz w:val="32"/>
          <w:szCs w:val="32"/>
          <w:highlight w:val="none"/>
          <w:lang w:val="en-US" w:eastAsia="zh-CN" w:bidi="ar-SA"/>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hint="eastAsia" w:ascii="仿宋_GB2312" w:hAnsi="仿宋_GB2312" w:eastAsia="仿宋_GB2312" w:cs="仿宋_GB2312"/>
          <w:b w:val="0"/>
          <w:color w:val="auto"/>
          <w:kern w:val="2"/>
          <w:sz w:val="32"/>
          <w:szCs w:val="32"/>
          <w:highlight w:val="none"/>
          <w:lang w:val="en-US" w:eastAsia="zh-CN" w:bidi="ar-SA"/>
        </w:rPr>
      </w:pPr>
      <w:r>
        <w:rPr>
          <w:rFonts w:hint="eastAsia" w:ascii="仿宋_GB2312" w:hAnsi="仿宋_GB2312" w:eastAsia="仿宋_GB2312" w:cs="仿宋_GB2312"/>
          <w:b w:val="0"/>
          <w:color w:val="auto"/>
          <w:kern w:val="2"/>
          <w:sz w:val="32"/>
          <w:szCs w:val="32"/>
          <w:highlight w:val="none"/>
          <w:lang w:val="en-US" w:eastAsia="zh-Hans" w:bidi="ar-SA"/>
        </w:rPr>
        <w:t>“</w:t>
      </w:r>
      <w:r>
        <w:rPr>
          <w:rFonts w:hint="eastAsia" w:ascii="仿宋_GB2312" w:hAnsi="仿宋_GB2312" w:eastAsia="仿宋_GB2312" w:cs="仿宋_GB2312"/>
          <w:b w:val="0"/>
          <w:color w:val="auto"/>
          <w:kern w:val="2"/>
          <w:sz w:val="32"/>
          <w:szCs w:val="32"/>
          <w:highlight w:val="none"/>
          <w:lang w:val="en-US" w:eastAsia="zh-CN" w:bidi="ar-SA"/>
        </w:rPr>
        <w:t>慰问五老人员</w:t>
      </w:r>
      <w:r>
        <w:rPr>
          <w:rFonts w:hint="eastAsia" w:ascii="仿宋_GB2312" w:hAnsi="仿宋_GB2312" w:eastAsia="仿宋_GB2312" w:cs="仿宋_GB2312"/>
          <w:b w:val="0"/>
          <w:color w:val="auto"/>
          <w:kern w:val="2"/>
          <w:sz w:val="32"/>
          <w:szCs w:val="32"/>
          <w:highlight w:val="none"/>
          <w:lang w:val="en-US" w:eastAsia="zh-Hans" w:bidi="ar-SA"/>
        </w:rPr>
        <w:t>指标，预期指标值为“</w:t>
      </w:r>
      <w:r>
        <w:rPr>
          <w:rFonts w:hint="eastAsia" w:ascii="仿宋_GB2312" w:hAnsi="仿宋_GB2312" w:eastAsia="仿宋_GB2312" w:cs="仿宋_GB2312"/>
          <w:b w:val="0"/>
          <w:color w:val="auto"/>
          <w:kern w:val="2"/>
          <w:sz w:val="32"/>
          <w:szCs w:val="32"/>
          <w:highlight w:val="none"/>
          <w:lang w:val="en-US" w:eastAsia="zh-CN" w:bidi="ar-SA"/>
        </w:rPr>
        <w:t>1.5万元</w:t>
      </w:r>
      <w:r>
        <w:rPr>
          <w:rFonts w:hint="eastAsia" w:ascii="仿宋_GB2312" w:hAnsi="仿宋_GB2312" w:eastAsia="仿宋_GB2312" w:cs="仿宋_GB2312"/>
          <w:b w:val="0"/>
          <w:color w:val="auto"/>
          <w:kern w:val="2"/>
          <w:sz w:val="32"/>
          <w:szCs w:val="32"/>
          <w:highlight w:val="none"/>
          <w:lang w:val="en-US" w:eastAsia="zh-Hans" w:bidi="ar-SA"/>
        </w:rPr>
        <w:t>”，本</w:t>
      </w:r>
      <w:r>
        <w:rPr>
          <w:rFonts w:hint="eastAsia" w:ascii="仿宋_GB2312" w:hAnsi="仿宋_GB2312" w:eastAsia="仿宋_GB2312" w:cs="仿宋_GB2312"/>
          <w:b w:val="0"/>
          <w:color w:val="auto"/>
          <w:kern w:val="2"/>
          <w:sz w:val="32"/>
          <w:szCs w:val="32"/>
          <w:highlight w:val="none"/>
          <w:lang w:val="en-US" w:eastAsia="zh-CN" w:bidi="ar-SA"/>
        </w:rPr>
        <w:t>项目2022年共计支付1.</w:t>
      </w:r>
      <w:r>
        <w:rPr>
          <w:rFonts w:hint="eastAsia" w:ascii="仿宋_GB2312" w:hAnsi="仿宋_GB2312" w:cs="仿宋_GB2312"/>
          <w:b w:val="0"/>
          <w:color w:val="auto"/>
          <w:kern w:val="2"/>
          <w:sz w:val="32"/>
          <w:szCs w:val="32"/>
          <w:highlight w:val="none"/>
          <w:lang w:val="en-US" w:eastAsia="zh-CN" w:bidi="ar-SA"/>
        </w:rPr>
        <w:t>4</w:t>
      </w:r>
      <w:r>
        <w:rPr>
          <w:rFonts w:hint="eastAsia" w:ascii="仿宋_GB2312" w:hAnsi="仿宋_GB2312" w:eastAsia="仿宋_GB2312" w:cs="仿宋_GB2312"/>
          <w:b w:val="0"/>
          <w:color w:val="auto"/>
          <w:kern w:val="2"/>
          <w:sz w:val="32"/>
          <w:szCs w:val="32"/>
          <w:highlight w:val="none"/>
          <w:lang w:val="en-US" w:eastAsia="zh-Hans" w:bidi="ar-SA"/>
        </w:rPr>
        <w:t>万元，</w:t>
      </w:r>
      <w:r>
        <w:rPr>
          <w:rFonts w:hint="eastAsia" w:ascii="仿宋_GB2312" w:hAnsi="仿宋_GB2312" w:eastAsia="仿宋_GB2312" w:cs="仿宋_GB2312"/>
          <w:b w:val="0"/>
          <w:color w:val="auto"/>
          <w:kern w:val="2"/>
          <w:sz w:val="32"/>
          <w:szCs w:val="32"/>
          <w:highlight w:val="none"/>
          <w:lang w:val="en-US" w:eastAsia="zh-CN" w:bidi="ar-SA"/>
        </w:rPr>
        <w:t>经费支出能够控制在绩效目标范围内，根据评分标准，该指标</w:t>
      </w:r>
      <w:r>
        <w:rPr>
          <w:rFonts w:hint="eastAsia" w:ascii="仿宋_GB2312" w:hAnsi="仿宋_GB2312" w:cs="仿宋_GB2312"/>
          <w:b w:val="0"/>
          <w:color w:val="auto"/>
          <w:kern w:val="2"/>
          <w:sz w:val="32"/>
          <w:szCs w:val="32"/>
          <w:highlight w:val="none"/>
          <w:lang w:val="en-US" w:eastAsia="zh-CN" w:bidi="ar-SA"/>
        </w:rPr>
        <w:t>3</w:t>
      </w:r>
      <w:r>
        <w:rPr>
          <w:rFonts w:hint="eastAsia" w:ascii="仿宋_GB2312" w:hAnsi="仿宋_GB2312" w:eastAsia="仿宋_GB2312" w:cs="仿宋_GB2312"/>
          <w:b w:val="0"/>
          <w:color w:val="auto"/>
          <w:kern w:val="2"/>
          <w:sz w:val="32"/>
          <w:szCs w:val="32"/>
          <w:highlight w:val="none"/>
          <w:lang w:val="en-US" w:eastAsia="zh-CN" w:bidi="ar-SA"/>
        </w:rPr>
        <w:t>分，得</w:t>
      </w:r>
      <w:r>
        <w:rPr>
          <w:rFonts w:hint="eastAsia" w:ascii="仿宋_GB2312" w:hAnsi="仿宋_GB2312" w:cs="仿宋_GB2312"/>
          <w:b w:val="0"/>
          <w:color w:val="auto"/>
          <w:kern w:val="2"/>
          <w:sz w:val="32"/>
          <w:szCs w:val="32"/>
          <w:highlight w:val="none"/>
          <w:lang w:val="en-US" w:eastAsia="zh-CN" w:bidi="ar-SA"/>
        </w:rPr>
        <w:t>3</w:t>
      </w:r>
      <w:r>
        <w:rPr>
          <w:rFonts w:hint="eastAsia" w:ascii="仿宋_GB2312" w:hAnsi="仿宋_GB2312" w:eastAsia="仿宋_GB2312" w:cs="仿宋_GB2312"/>
          <w:b w:val="0"/>
          <w:color w:val="auto"/>
          <w:kern w:val="2"/>
          <w:sz w:val="32"/>
          <w:szCs w:val="32"/>
          <w:highlight w:val="none"/>
          <w:lang w:val="en-US" w:eastAsia="zh-CN" w:bidi="ar-SA"/>
        </w:rPr>
        <w:t>分。</w:t>
      </w:r>
    </w:p>
    <w:p>
      <w:pPr>
        <w:pStyle w:val="2"/>
        <w:rPr>
          <w:rFonts w:hint="eastAsia" w:ascii="仿宋_GB2312" w:hAnsi="仿宋_GB2312" w:eastAsia="仿宋_GB2312" w:cs="仿宋_GB2312"/>
          <w:b w:val="0"/>
          <w:color w:val="auto"/>
          <w:kern w:val="2"/>
          <w:sz w:val="32"/>
          <w:szCs w:val="32"/>
          <w:highlight w:val="none"/>
          <w:lang w:val="en-US" w:eastAsia="zh-CN" w:bidi="ar-SA"/>
        </w:rPr>
      </w:pPr>
      <w:r>
        <w:rPr>
          <w:rFonts w:hint="eastAsia" w:ascii="仿宋_GB2312" w:hAnsi="仿宋_GB2312" w:eastAsia="仿宋_GB2312" w:cs="仿宋_GB2312"/>
          <w:b w:val="0"/>
          <w:color w:val="auto"/>
          <w:kern w:val="2"/>
          <w:sz w:val="32"/>
          <w:szCs w:val="32"/>
          <w:highlight w:val="none"/>
          <w:lang w:val="en-US" w:eastAsia="zh-CN" w:bidi="ar-SA"/>
        </w:rPr>
        <w:t>“关工基层建设补助指标，预期指标值为0.5万元”，</w:t>
      </w:r>
      <w:r>
        <w:rPr>
          <w:rFonts w:hint="eastAsia" w:ascii="仿宋_GB2312" w:hAnsi="仿宋_GB2312" w:eastAsia="仿宋_GB2312" w:cs="仿宋_GB2312"/>
          <w:b w:val="0"/>
          <w:color w:val="auto"/>
          <w:kern w:val="2"/>
          <w:sz w:val="32"/>
          <w:szCs w:val="32"/>
          <w:highlight w:val="none"/>
          <w:lang w:val="en-US" w:eastAsia="zh-Hans" w:bidi="ar-SA"/>
        </w:rPr>
        <w:t>本</w:t>
      </w:r>
      <w:r>
        <w:rPr>
          <w:rFonts w:hint="eastAsia" w:ascii="仿宋_GB2312" w:hAnsi="仿宋_GB2312" w:eastAsia="仿宋_GB2312" w:cs="仿宋_GB2312"/>
          <w:b w:val="0"/>
          <w:color w:val="auto"/>
          <w:kern w:val="2"/>
          <w:sz w:val="32"/>
          <w:szCs w:val="32"/>
          <w:highlight w:val="none"/>
          <w:lang w:val="en-US" w:eastAsia="zh-CN" w:bidi="ar-SA"/>
        </w:rPr>
        <w:t>项目2022年共计支付</w:t>
      </w:r>
      <w:r>
        <w:rPr>
          <w:rFonts w:hint="eastAsia" w:ascii="仿宋_GB2312" w:hAnsi="仿宋_GB2312" w:cs="仿宋_GB2312"/>
          <w:b w:val="0"/>
          <w:color w:val="auto"/>
          <w:kern w:val="2"/>
          <w:sz w:val="32"/>
          <w:szCs w:val="32"/>
          <w:highlight w:val="none"/>
          <w:lang w:val="en-US" w:eastAsia="zh-CN" w:bidi="ar-SA"/>
        </w:rPr>
        <w:t>0.5</w:t>
      </w:r>
      <w:r>
        <w:rPr>
          <w:rFonts w:hint="eastAsia" w:ascii="仿宋_GB2312" w:hAnsi="仿宋_GB2312" w:eastAsia="仿宋_GB2312" w:cs="仿宋_GB2312"/>
          <w:b w:val="0"/>
          <w:color w:val="auto"/>
          <w:kern w:val="2"/>
          <w:sz w:val="32"/>
          <w:szCs w:val="32"/>
          <w:highlight w:val="none"/>
          <w:lang w:val="en-US" w:eastAsia="zh-Hans" w:bidi="ar-SA"/>
        </w:rPr>
        <w:t>万元，</w:t>
      </w:r>
      <w:r>
        <w:rPr>
          <w:rFonts w:hint="eastAsia" w:ascii="仿宋_GB2312" w:hAnsi="仿宋_GB2312" w:eastAsia="仿宋_GB2312" w:cs="仿宋_GB2312"/>
          <w:b w:val="0"/>
          <w:color w:val="auto"/>
          <w:kern w:val="2"/>
          <w:sz w:val="32"/>
          <w:szCs w:val="32"/>
          <w:highlight w:val="none"/>
          <w:lang w:val="en-US" w:eastAsia="zh-CN" w:bidi="ar-SA"/>
        </w:rPr>
        <w:t>经费支出能够控制在绩效目标范围内，根据评分标准，该指标4分，得4分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7</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3</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3</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w:t>
      </w:r>
      <w:r>
        <w:rPr>
          <w:rFonts w:ascii="仿宋_GB2312"/>
          <w:color w:val="auto"/>
          <w:sz w:val="32"/>
          <w:szCs w:val="32"/>
          <w:highlight w:val="none"/>
        </w:rPr>
        <w:t>.</w:t>
      </w:r>
      <w:r>
        <w:rPr>
          <w:rFonts w:hint="eastAsia" w:ascii="仿宋_GB2312"/>
          <w:color w:val="auto"/>
          <w:sz w:val="32"/>
          <w:szCs w:val="32"/>
          <w:highlight w:val="none"/>
          <w:lang w:val="en-US" w:eastAsia="zh-CN"/>
        </w:rPr>
        <w:t>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ascii="仿宋_GB2312"/>
          <w:color w:val="auto"/>
          <w:sz w:val="32"/>
          <w:szCs w:val="32"/>
          <w:highlight w:val="none"/>
        </w:rPr>
        <w:t>.</w:t>
      </w:r>
      <w:r>
        <w:rPr>
          <w:rFonts w:hint="eastAsia" w:ascii="仿宋_GB2312"/>
          <w:color w:val="auto"/>
          <w:sz w:val="32"/>
          <w:szCs w:val="32"/>
          <w:highlight w:val="none"/>
          <w:lang w:val="en-US" w:eastAsia="zh-CN"/>
        </w:rPr>
        <w:t>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rFonts w:hint="eastAsia"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积极发挥五老队伍作用，推动关心下一代工作有序开展</w:t>
      </w:r>
      <w:r>
        <w:rPr>
          <w:rFonts w:hint="eastAsia" w:ascii="仿宋_GB2312" w:hAnsi="仿宋_GB2312" w:cs="仿宋_GB2312"/>
          <w:color w:val="auto"/>
          <w:sz w:val="32"/>
          <w:szCs w:val="32"/>
          <w:highlight w:val="none"/>
          <w:lang w:eastAsia="zh-Hans"/>
        </w:rPr>
        <w:t>”指标，预期指标值为“</w:t>
      </w:r>
      <w:r>
        <w:rPr>
          <w:rFonts w:hint="eastAsia" w:ascii="仿宋_GB2312" w:hAnsi="仿宋_GB2312" w:cs="仿宋_GB2312"/>
          <w:color w:val="auto"/>
          <w:sz w:val="32"/>
          <w:szCs w:val="32"/>
          <w:highlight w:val="none"/>
          <w:lang w:val="en-US" w:eastAsia="zh-CN"/>
        </w:rPr>
        <w:t>有序开展</w:t>
      </w:r>
      <w:r>
        <w:rPr>
          <w:rFonts w:hint="eastAsia" w:ascii="仿宋_GB2312" w:hAnsi="仿宋_GB2312" w:cs="仿宋_GB2312"/>
          <w:color w:val="auto"/>
          <w:sz w:val="32"/>
          <w:szCs w:val="32"/>
          <w:highlight w:val="none"/>
          <w:lang w:eastAsia="zh-Hans"/>
        </w:rPr>
        <w:t>”，根据本单位年度考核情况可知，实际完成值为“好”，根据评分标准，该指标</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lang w:eastAsia="zh-Hans"/>
        </w:rPr>
        <w:t>分，得</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lang w:eastAsia="zh-Hans"/>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hint="eastAsia"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保障关工工作有序开展</w:t>
      </w:r>
      <w:r>
        <w:rPr>
          <w:rFonts w:hint="eastAsia" w:ascii="仿宋_GB2312" w:hAnsi="仿宋_GB2312" w:cs="仿宋_GB2312"/>
          <w:color w:val="auto"/>
          <w:sz w:val="32"/>
          <w:szCs w:val="32"/>
          <w:highlight w:val="none"/>
          <w:lang w:eastAsia="zh-Hans"/>
        </w:rPr>
        <w:t>”指标，预期指标值为“</w:t>
      </w:r>
      <w:r>
        <w:rPr>
          <w:rFonts w:hint="eastAsia" w:ascii="仿宋_GB2312" w:hAnsi="仿宋_GB2312" w:cs="仿宋_GB2312"/>
          <w:color w:val="auto"/>
          <w:sz w:val="32"/>
          <w:szCs w:val="32"/>
          <w:highlight w:val="none"/>
          <w:lang w:val="en-US" w:eastAsia="zh-CN"/>
        </w:rPr>
        <w:t>有序开展</w:t>
      </w:r>
      <w:r>
        <w:rPr>
          <w:rFonts w:hint="eastAsia" w:ascii="仿宋_GB2312" w:hAnsi="仿宋_GB2312" w:cs="仿宋_GB2312"/>
          <w:color w:val="auto"/>
          <w:sz w:val="32"/>
          <w:szCs w:val="32"/>
          <w:highlight w:val="none"/>
          <w:lang w:eastAsia="zh-Hans"/>
        </w:rPr>
        <w:t>”，根据本单位年度考核情况可知，实际完成值为“好”，根据评分标准，该指标</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lang w:eastAsia="zh-Hans"/>
        </w:rPr>
        <w:t>分，得</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lang w:eastAsia="zh-Hans"/>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1"/>
        <w:spacing w:line="600" w:lineRule="exact"/>
        <w:ind w:firstLine="640"/>
        <w:rPr>
          <w:rFonts w:hint="eastAsia" w:ascii="仿宋_GB2312" w:hAnsi="仿宋_GB2312" w:eastAsia="仿宋_GB2312" w:cs="仿宋_GB2312"/>
          <w:color w:val="auto"/>
          <w:kern w:val="2"/>
          <w:sz w:val="32"/>
          <w:szCs w:val="32"/>
          <w:highlight w:val="none"/>
          <w:lang w:val="en-US" w:eastAsia="zh-Hans" w:bidi="ar-SA"/>
        </w:rPr>
      </w:pPr>
      <w:bookmarkStart w:id="16" w:name="_Toc1921"/>
      <w:bookmarkStart w:id="17" w:name="_Toc28290"/>
      <w:r>
        <w:rPr>
          <w:rFonts w:hint="eastAsia" w:ascii="仿宋_GB2312" w:hAnsi="仿宋_GB2312" w:eastAsia="仿宋_GB2312" w:cs="仿宋_GB2312"/>
          <w:color w:val="auto"/>
          <w:kern w:val="2"/>
          <w:sz w:val="32"/>
          <w:szCs w:val="32"/>
          <w:highlight w:val="none"/>
          <w:lang w:val="en-US" w:eastAsia="zh-Hans" w:bidi="ar-SA"/>
        </w:rPr>
        <w:t>“</w:t>
      </w:r>
      <w:r>
        <w:rPr>
          <w:rFonts w:hint="eastAsia" w:ascii="仿宋_GB2312" w:hAnsi="仿宋_GB2312" w:eastAsia="仿宋_GB2312" w:cs="仿宋_GB2312"/>
          <w:color w:val="auto"/>
          <w:kern w:val="2"/>
          <w:sz w:val="32"/>
          <w:szCs w:val="32"/>
          <w:highlight w:val="none"/>
          <w:lang w:val="en-US" w:eastAsia="zh-CN" w:bidi="ar-SA"/>
        </w:rPr>
        <w:t>参加宣讲人员满意度</w:t>
      </w:r>
      <w:r>
        <w:rPr>
          <w:rFonts w:hint="eastAsia" w:ascii="仿宋_GB2312" w:hAnsi="仿宋_GB2312" w:eastAsia="仿宋_GB2312" w:cs="仿宋_GB2312"/>
          <w:color w:val="auto"/>
          <w:kern w:val="2"/>
          <w:sz w:val="32"/>
          <w:szCs w:val="32"/>
          <w:highlight w:val="none"/>
          <w:lang w:val="en-US" w:eastAsia="zh-Hans" w:bidi="ar-SA"/>
        </w:rPr>
        <w:t>”指标，预期指标值为“≥95%”，根据满意度问卷调查的结果可知，满意度达97%，根据评分标准，该指标10分,得10分。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1"/>
        <w:spacing w:line="600" w:lineRule="exact"/>
        <w:ind w:firstLine="640"/>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cs="仿宋_GB2312"/>
          <w:color w:val="auto"/>
          <w:kern w:val="2"/>
          <w:sz w:val="32"/>
          <w:szCs w:val="32"/>
          <w:highlight w:val="none"/>
          <w:lang w:val="en-US" w:eastAsia="zh-CN" w:bidi="ar-SA"/>
        </w:rPr>
        <w:t>关工委2020年-2022年工作经费</w:t>
      </w:r>
      <w:r>
        <w:rPr>
          <w:rFonts w:hint="eastAsia" w:ascii="仿宋_GB2312" w:hAnsi="仿宋_GB2312" w:eastAsia="仿宋_GB2312" w:cs="仿宋_GB2312"/>
          <w:color w:val="auto"/>
          <w:kern w:val="2"/>
          <w:sz w:val="32"/>
          <w:szCs w:val="32"/>
          <w:highlight w:val="none"/>
          <w:lang w:val="en-US" w:eastAsia="zh-Hans" w:bidi="ar-SA"/>
        </w:rPr>
        <w:t>项目预算金额</w:t>
      </w:r>
      <w:r>
        <w:rPr>
          <w:rFonts w:hint="eastAsia" w:ascii="仿宋_GB2312" w:hAnsi="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Hans" w:bidi="ar-SA"/>
        </w:rPr>
        <w:t>.</w:t>
      </w:r>
      <w:r>
        <w:rPr>
          <w:rFonts w:hint="eastAsia" w:ascii="仿宋_GB2312" w:hAnsi="仿宋_GB2312" w:cs="仿宋_GB2312"/>
          <w:color w:val="auto"/>
          <w:kern w:val="2"/>
          <w:sz w:val="32"/>
          <w:szCs w:val="32"/>
          <w:highlight w:val="none"/>
          <w:lang w:val="en-US" w:eastAsia="zh-CN" w:bidi="ar-SA"/>
        </w:rPr>
        <w:t>00</w:t>
      </w:r>
      <w:r>
        <w:rPr>
          <w:rFonts w:hint="eastAsia" w:ascii="仿宋_GB2312" w:hAnsi="仿宋_GB2312" w:eastAsia="仿宋_GB2312" w:cs="仿宋_GB2312"/>
          <w:color w:val="auto"/>
          <w:kern w:val="2"/>
          <w:sz w:val="32"/>
          <w:szCs w:val="32"/>
          <w:highlight w:val="none"/>
          <w:lang w:val="en-US" w:eastAsia="zh-Hans" w:bidi="ar-SA"/>
        </w:rPr>
        <w:t>万元，实际到位</w:t>
      </w:r>
      <w:r>
        <w:rPr>
          <w:rFonts w:hint="eastAsia" w:ascii="仿宋_GB2312" w:hAnsi="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Hans" w:bidi="ar-SA"/>
        </w:rPr>
        <w:t>.</w:t>
      </w:r>
      <w:r>
        <w:rPr>
          <w:rFonts w:hint="eastAsia" w:ascii="仿宋_GB2312" w:hAnsi="仿宋_GB2312" w:cs="仿宋_GB2312"/>
          <w:color w:val="auto"/>
          <w:kern w:val="2"/>
          <w:sz w:val="32"/>
          <w:szCs w:val="32"/>
          <w:highlight w:val="none"/>
          <w:lang w:val="en-US" w:eastAsia="zh-CN" w:bidi="ar-SA"/>
        </w:rPr>
        <w:t>00</w:t>
      </w:r>
      <w:r>
        <w:rPr>
          <w:rFonts w:hint="eastAsia" w:ascii="仿宋_GB2312" w:hAnsi="仿宋_GB2312" w:eastAsia="仿宋_GB2312" w:cs="仿宋_GB2312"/>
          <w:color w:val="auto"/>
          <w:kern w:val="2"/>
          <w:sz w:val="32"/>
          <w:szCs w:val="32"/>
          <w:highlight w:val="none"/>
          <w:lang w:val="en-US" w:eastAsia="zh-Hans" w:bidi="ar-SA"/>
        </w:rPr>
        <w:t>万元，实际支出</w:t>
      </w:r>
      <w:r>
        <w:rPr>
          <w:rFonts w:hint="eastAsia" w:ascii="仿宋_GB2312" w:hAnsi="仿宋_GB2312" w:cs="仿宋_GB2312"/>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Hans" w:bidi="ar-SA"/>
        </w:rPr>
        <w:t>.</w:t>
      </w:r>
      <w:r>
        <w:rPr>
          <w:rFonts w:hint="eastAsia" w:ascii="仿宋_GB2312" w:hAnsi="仿宋_GB2312" w:cs="仿宋_GB2312"/>
          <w:color w:val="auto"/>
          <w:kern w:val="2"/>
          <w:sz w:val="32"/>
          <w:szCs w:val="32"/>
          <w:highlight w:val="none"/>
          <w:lang w:val="en-US" w:eastAsia="zh-CN" w:bidi="ar-SA"/>
        </w:rPr>
        <w:t>90</w:t>
      </w:r>
      <w:r>
        <w:rPr>
          <w:rFonts w:hint="eastAsia" w:ascii="仿宋_GB2312" w:hAnsi="仿宋_GB2312" w:eastAsia="仿宋_GB2312" w:cs="仿宋_GB2312"/>
          <w:color w:val="auto"/>
          <w:kern w:val="2"/>
          <w:sz w:val="32"/>
          <w:szCs w:val="32"/>
          <w:highlight w:val="none"/>
          <w:lang w:val="en-US" w:eastAsia="zh-Hans" w:bidi="ar-SA"/>
        </w:rPr>
        <w:t>万元，预算执行率为</w:t>
      </w:r>
      <w:r>
        <w:rPr>
          <w:rFonts w:hint="eastAsia" w:ascii="仿宋_GB2312" w:hAnsi="仿宋_GB2312" w:cs="仿宋_GB2312"/>
          <w:color w:val="auto"/>
          <w:kern w:val="2"/>
          <w:sz w:val="32"/>
          <w:szCs w:val="32"/>
          <w:highlight w:val="none"/>
          <w:lang w:val="en-US" w:eastAsia="zh-CN" w:bidi="ar-SA"/>
        </w:rPr>
        <w:t>95</w:t>
      </w:r>
      <w:r>
        <w:rPr>
          <w:rFonts w:hint="eastAsia" w:ascii="仿宋_GB2312" w:hAnsi="仿宋_GB2312" w:eastAsia="仿宋_GB2312" w:cs="仿宋_GB2312"/>
          <w:color w:val="auto"/>
          <w:kern w:val="2"/>
          <w:sz w:val="32"/>
          <w:szCs w:val="32"/>
          <w:highlight w:val="none"/>
          <w:lang w:val="en-US" w:eastAsia="zh-Hans" w:bidi="ar-SA"/>
        </w:rPr>
        <w:t>%。</w:t>
      </w:r>
    </w:p>
    <w:p>
      <w:pPr>
        <w:pStyle w:val="21"/>
        <w:spacing w:line="600" w:lineRule="exact"/>
        <w:ind w:firstLine="640"/>
        <w:rPr>
          <w:rFonts w:hint="eastAsia" w:ascii="仿宋_GB2312" w:hAnsi="仿宋_GB2312" w:cs="仿宋_GB2312"/>
          <w:color w:val="auto"/>
          <w:kern w:val="2"/>
          <w:sz w:val="32"/>
          <w:szCs w:val="32"/>
          <w:highlight w:val="none"/>
          <w:lang w:val="en-US" w:eastAsia="zh-Hans" w:bidi="ar-SA"/>
        </w:rPr>
      </w:pPr>
      <w:r>
        <w:rPr>
          <w:rFonts w:hint="eastAsia" w:ascii="仿宋_GB2312" w:hAnsi="仿宋_GB2312" w:cs="仿宋_GB2312"/>
          <w:color w:val="auto"/>
          <w:kern w:val="2"/>
          <w:sz w:val="32"/>
          <w:szCs w:val="32"/>
          <w:highlight w:val="none"/>
          <w:lang w:val="en-US" w:eastAsia="zh-CN" w:bidi="ar-SA"/>
        </w:rPr>
        <w:t>关工委2020年-2022年工作经费</w:t>
      </w:r>
      <w:r>
        <w:rPr>
          <w:rFonts w:hint="eastAsia" w:ascii="仿宋_GB2312" w:hAnsi="仿宋_GB2312" w:cs="仿宋_GB2312"/>
          <w:color w:val="auto"/>
          <w:kern w:val="2"/>
          <w:sz w:val="32"/>
          <w:szCs w:val="32"/>
          <w:highlight w:val="none"/>
          <w:lang w:val="en-US" w:eastAsia="zh-Hans" w:bidi="ar-SA"/>
        </w:rPr>
        <w:t>项目预算金额</w:t>
      </w:r>
      <w:r>
        <w:rPr>
          <w:rFonts w:hint="eastAsia" w:ascii="仿宋_GB2312" w:hAnsi="仿宋_GB2312" w:cs="仿宋_GB2312"/>
          <w:color w:val="auto"/>
          <w:kern w:val="2"/>
          <w:sz w:val="32"/>
          <w:szCs w:val="32"/>
          <w:highlight w:val="none"/>
          <w:lang w:val="en-US" w:eastAsia="zh-CN" w:bidi="ar-SA"/>
        </w:rPr>
        <w:t>2.00万元</w:t>
      </w:r>
      <w:r>
        <w:rPr>
          <w:rFonts w:hint="eastAsia" w:ascii="仿宋_GB2312" w:hAnsi="仿宋_GB2312" w:cs="仿宋_GB2312"/>
          <w:color w:val="auto"/>
          <w:kern w:val="2"/>
          <w:sz w:val="32"/>
          <w:szCs w:val="32"/>
          <w:highlight w:val="none"/>
          <w:lang w:val="en-US" w:eastAsia="zh-Hans" w:bidi="ar-SA"/>
        </w:rPr>
        <w:t>，实际到位</w:t>
      </w:r>
      <w:r>
        <w:rPr>
          <w:rFonts w:hint="eastAsia" w:ascii="仿宋_GB2312" w:hAnsi="仿宋_GB2312" w:cs="仿宋_GB2312"/>
          <w:color w:val="auto"/>
          <w:kern w:val="2"/>
          <w:sz w:val="32"/>
          <w:szCs w:val="32"/>
          <w:highlight w:val="none"/>
          <w:lang w:val="en-US" w:eastAsia="zh-CN" w:bidi="ar-SA"/>
        </w:rPr>
        <w:t>2.00万元</w:t>
      </w:r>
      <w:r>
        <w:rPr>
          <w:rFonts w:hint="eastAsia" w:ascii="仿宋_GB2312" w:hAnsi="仿宋_GB2312" w:cs="仿宋_GB2312"/>
          <w:color w:val="auto"/>
          <w:kern w:val="2"/>
          <w:sz w:val="32"/>
          <w:szCs w:val="32"/>
          <w:highlight w:val="none"/>
          <w:lang w:val="en-US" w:eastAsia="zh-Hans" w:bidi="ar-SA"/>
        </w:rPr>
        <w:t>，实际支出</w:t>
      </w:r>
      <w:r>
        <w:rPr>
          <w:rFonts w:hint="eastAsia" w:ascii="仿宋_GB2312" w:hAnsi="仿宋_GB2312" w:cs="仿宋_GB2312"/>
          <w:color w:val="auto"/>
          <w:kern w:val="2"/>
          <w:sz w:val="32"/>
          <w:szCs w:val="32"/>
          <w:highlight w:val="none"/>
          <w:lang w:val="en-US" w:eastAsia="zh-CN" w:bidi="ar-SA"/>
        </w:rPr>
        <w:t>1.90万元</w:t>
      </w:r>
      <w:r>
        <w:rPr>
          <w:rFonts w:hint="eastAsia" w:ascii="仿宋_GB2312" w:hAnsi="仿宋_GB2312" w:cs="仿宋_GB2312"/>
          <w:color w:val="auto"/>
          <w:kern w:val="2"/>
          <w:sz w:val="32"/>
          <w:szCs w:val="32"/>
          <w:highlight w:val="none"/>
          <w:lang w:val="en-US" w:eastAsia="zh-Hans" w:bidi="ar-SA"/>
        </w:rPr>
        <w:t>，预算执行率为</w:t>
      </w:r>
      <w:r>
        <w:rPr>
          <w:rFonts w:hint="eastAsia" w:ascii="仿宋_GB2312" w:hAnsi="仿宋_GB2312" w:cs="仿宋_GB2312"/>
          <w:color w:val="auto"/>
          <w:kern w:val="2"/>
          <w:sz w:val="32"/>
          <w:szCs w:val="32"/>
          <w:highlight w:val="none"/>
          <w:lang w:val="en-US" w:eastAsia="zh-CN" w:bidi="ar-SA"/>
        </w:rPr>
        <w:t>95</w:t>
      </w:r>
      <w:r>
        <w:rPr>
          <w:rFonts w:hint="eastAsia" w:ascii="仿宋_GB2312" w:hAnsi="仿宋_GB2312" w:cs="仿宋_GB2312"/>
          <w:color w:val="auto"/>
          <w:kern w:val="2"/>
          <w:sz w:val="32"/>
          <w:szCs w:val="32"/>
          <w:highlight w:val="none"/>
          <w:lang w:val="en-US" w:eastAsia="zh-Hans" w:bidi="ar-SA"/>
        </w:rPr>
        <w:t>%，项目绩效指标总体完成率为100%，偏差率为</w:t>
      </w:r>
      <w:r>
        <w:rPr>
          <w:rFonts w:hint="eastAsia" w:ascii="仿宋_GB2312" w:hAnsi="仿宋_GB2312" w:cs="仿宋_GB2312"/>
          <w:color w:val="auto"/>
          <w:kern w:val="2"/>
          <w:sz w:val="32"/>
          <w:szCs w:val="32"/>
          <w:highlight w:val="none"/>
          <w:lang w:val="en-US" w:eastAsia="zh-CN" w:bidi="ar-SA"/>
        </w:rPr>
        <w:t>5</w:t>
      </w:r>
      <w:r>
        <w:rPr>
          <w:rFonts w:hint="eastAsia" w:ascii="仿宋_GB2312" w:hAnsi="仿宋_GB2312" w:cs="仿宋_GB2312"/>
          <w:color w:val="auto"/>
          <w:kern w:val="2"/>
          <w:sz w:val="32"/>
          <w:szCs w:val="32"/>
          <w:highlight w:val="none"/>
          <w:lang w:val="en-US" w:eastAsia="zh-Hans" w:bidi="ar-SA"/>
        </w:rPr>
        <w:t>%</w:t>
      </w:r>
      <w:r>
        <w:rPr>
          <w:rFonts w:hint="eastAsia" w:ascii="仿宋_GB2312" w:hAnsi="仿宋_GB2312" w:cs="仿宋_GB2312"/>
          <w:color w:val="auto"/>
          <w:kern w:val="2"/>
          <w:sz w:val="32"/>
          <w:szCs w:val="32"/>
          <w:highlight w:val="none"/>
          <w:lang w:val="en-US" w:eastAsia="zh-CN" w:bidi="ar-SA"/>
        </w:rPr>
        <w:t>,偏差原因是因疫情原因，部分慰问及宣讲未开展。拟采取的措施是：细化工作计划及资金使用办法</w:t>
      </w:r>
      <w:r>
        <w:rPr>
          <w:rFonts w:hint="eastAsia" w:ascii="仿宋_GB2312" w:hAnsi="仿宋_GB2312" w:cs="仿宋_GB2312"/>
          <w:color w:val="auto"/>
          <w:kern w:val="2"/>
          <w:sz w:val="32"/>
          <w:szCs w:val="32"/>
          <w:highlight w:val="none"/>
          <w:lang w:val="en-US" w:eastAsia="zh-Hans" w:bidi="ar-SA"/>
        </w:rPr>
        <w:t>。</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pStyle w:val="21"/>
        <w:spacing w:line="600" w:lineRule="exact"/>
        <w:ind w:firstLine="640"/>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2022年本单位负责实施的关工委2020年-2022年工作经费项目当中，时效指标的实际完成情况未能达到预算指标值，存在偏差的原因如下：</w:t>
      </w:r>
    </w:p>
    <w:p>
      <w:pPr>
        <w:pStyle w:val="21"/>
        <w:spacing w:line="600" w:lineRule="exact"/>
        <w:ind w:firstLine="640"/>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Hans" w:bidi="ar-SA"/>
        </w:rPr>
        <w:t>“</w:t>
      </w:r>
      <w:r>
        <w:rPr>
          <w:rFonts w:hint="eastAsia" w:ascii="仿宋_GB2312" w:hAnsi="仿宋_GB2312" w:cs="仿宋_GB2312"/>
          <w:color w:val="auto"/>
          <w:kern w:val="2"/>
          <w:sz w:val="32"/>
          <w:szCs w:val="32"/>
          <w:highlight w:val="none"/>
          <w:lang w:val="en-US" w:eastAsia="zh-CN" w:bidi="ar-SA"/>
        </w:rPr>
        <w:t>工作经费支付及时率</w:t>
      </w:r>
      <w:r>
        <w:rPr>
          <w:rFonts w:hint="eastAsia" w:ascii="仿宋_GB2312" w:hAnsi="仿宋_GB2312" w:cs="仿宋_GB2312"/>
          <w:color w:val="auto"/>
          <w:kern w:val="2"/>
          <w:sz w:val="32"/>
          <w:szCs w:val="32"/>
          <w:highlight w:val="none"/>
          <w:lang w:val="en-US" w:eastAsia="zh-Hans" w:bidi="ar-SA"/>
        </w:rPr>
        <w:t>”指标，预期指标值为“</w:t>
      </w:r>
      <w:r>
        <w:rPr>
          <w:rFonts w:hint="eastAsia" w:ascii="仿宋_GB2312" w:hAnsi="仿宋_GB2312" w:cs="仿宋_GB2312"/>
          <w:color w:val="auto"/>
          <w:kern w:val="2"/>
          <w:sz w:val="32"/>
          <w:szCs w:val="32"/>
          <w:highlight w:val="none"/>
          <w:lang w:val="en-US" w:eastAsia="zh-CN" w:bidi="ar-SA"/>
        </w:rPr>
        <w:t>100%</w:t>
      </w:r>
      <w:r>
        <w:rPr>
          <w:rFonts w:hint="eastAsia" w:ascii="仿宋_GB2312" w:hAnsi="仿宋_GB2312" w:cs="仿宋_GB2312"/>
          <w:color w:val="auto"/>
          <w:kern w:val="2"/>
          <w:sz w:val="32"/>
          <w:szCs w:val="32"/>
          <w:highlight w:val="none"/>
          <w:lang w:val="en-US" w:eastAsia="zh-Hans" w:bidi="ar-SA"/>
        </w:rPr>
        <w:t>”，</w:t>
      </w:r>
      <w:r>
        <w:rPr>
          <w:rFonts w:hint="eastAsia" w:ascii="仿宋_GB2312" w:hAnsi="仿宋_GB2312" w:cs="仿宋_GB2312"/>
          <w:color w:val="auto"/>
          <w:kern w:val="2"/>
          <w:sz w:val="32"/>
          <w:szCs w:val="32"/>
          <w:highlight w:val="none"/>
          <w:lang w:val="en-US" w:eastAsia="zh-CN" w:bidi="ar-SA"/>
        </w:rPr>
        <w:t>实际完成值为</w:t>
      </w:r>
      <w:r>
        <w:rPr>
          <w:rFonts w:hint="eastAsia" w:ascii="仿宋_GB2312" w:hAnsi="仿宋_GB2312" w:cs="仿宋_GB2312"/>
          <w:color w:val="auto"/>
          <w:kern w:val="2"/>
          <w:sz w:val="32"/>
          <w:szCs w:val="32"/>
          <w:highlight w:val="none"/>
          <w:lang w:val="en-US" w:eastAsia="zh-Hans" w:bidi="ar-SA"/>
        </w:rPr>
        <w:t>“</w:t>
      </w:r>
      <w:r>
        <w:rPr>
          <w:rFonts w:hint="eastAsia" w:ascii="仿宋_GB2312" w:hAnsi="仿宋_GB2312" w:cs="仿宋_GB2312"/>
          <w:color w:val="auto"/>
          <w:kern w:val="2"/>
          <w:sz w:val="32"/>
          <w:szCs w:val="32"/>
          <w:highlight w:val="none"/>
          <w:lang w:val="en-US" w:eastAsia="zh-CN" w:bidi="ar-SA"/>
        </w:rPr>
        <w:t>95%</w:t>
      </w:r>
      <w:r>
        <w:rPr>
          <w:rFonts w:hint="eastAsia" w:ascii="仿宋_GB2312" w:hAnsi="仿宋_GB2312" w:cs="仿宋_GB2312"/>
          <w:color w:val="auto"/>
          <w:kern w:val="2"/>
          <w:sz w:val="32"/>
          <w:szCs w:val="32"/>
          <w:highlight w:val="none"/>
          <w:lang w:val="en-US" w:eastAsia="zh-Hans" w:bidi="ar-SA"/>
        </w:rPr>
        <w:t>”</w:t>
      </w:r>
      <w:r>
        <w:rPr>
          <w:rFonts w:hint="eastAsia" w:ascii="仿宋_GB2312" w:hAnsi="仿宋_GB2312" w:cs="仿宋_GB2312"/>
          <w:color w:val="auto"/>
          <w:kern w:val="2"/>
          <w:sz w:val="32"/>
          <w:szCs w:val="32"/>
          <w:highlight w:val="none"/>
          <w:lang w:val="en-US" w:eastAsia="zh-CN" w:bidi="ar-SA"/>
        </w:rPr>
        <w:t>，偏差率为5% ，偏差原因</w:t>
      </w:r>
      <w:r>
        <w:rPr>
          <w:rFonts w:hint="eastAsia" w:ascii="仿宋_GB2312" w:hAnsi="仿宋_GB2312" w:cs="仿宋_GB2312"/>
          <w:color w:val="auto"/>
          <w:kern w:val="2"/>
          <w:sz w:val="32"/>
          <w:szCs w:val="32"/>
          <w:highlight w:val="none"/>
          <w:lang w:val="en-US" w:eastAsia="zh-Hans" w:bidi="ar-SA"/>
        </w:rPr>
        <w:t>是由于</w:t>
      </w:r>
      <w:r>
        <w:rPr>
          <w:rFonts w:hint="eastAsia" w:ascii="仿宋_GB2312" w:hAnsi="仿宋_GB2312" w:cs="仿宋_GB2312"/>
          <w:color w:val="auto"/>
          <w:kern w:val="2"/>
          <w:sz w:val="32"/>
          <w:szCs w:val="32"/>
          <w:highlight w:val="none"/>
          <w:lang w:val="en-US" w:eastAsia="zh-CN" w:bidi="ar-SA"/>
        </w:rPr>
        <w:t>是因疫情原因，部分慰问及宣讲未开展。</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3"/>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7"/>
        <w:spacing w:before="0" w:after="0" w:line="600" w:lineRule="exact"/>
        <w:ind w:left="643" w:firstLine="0" w:firstLineChars="0"/>
        <w:jc w:val="both"/>
        <w:rPr>
          <w:rFonts w:hint="eastAsia" w:ascii="仿宋_GB2312" w:cs="仿宋_GB2312"/>
          <w:bCs/>
          <w:color w:val="auto"/>
          <w:sz w:val="32"/>
          <w:szCs w:val="32"/>
          <w:highlight w:val="none"/>
          <w:lang w:val="en-US" w:eastAsia="zh-CN"/>
        </w:rPr>
      </w:pPr>
      <w:r>
        <w:rPr>
          <w:rFonts w:hint="eastAsia" w:ascii="仿宋_GB2312" w:cs="仿宋_GB2312"/>
          <w:bCs/>
          <w:color w:val="auto"/>
          <w:sz w:val="32"/>
          <w:szCs w:val="32"/>
          <w:highlight w:val="none"/>
          <w:lang w:val="en-US" w:eastAsia="zh-CN"/>
        </w:rPr>
        <w:t>1.聚焦重点任务，推动项目工作落地落实</w:t>
      </w:r>
    </w:p>
    <w:p>
      <w:pPr>
        <w:pStyle w:val="21"/>
        <w:spacing w:line="600" w:lineRule="exact"/>
        <w:ind w:firstLine="640"/>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7"/>
        <w:spacing w:before="0" w:after="0" w:line="600" w:lineRule="exact"/>
        <w:ind w:left="643" w:firstLine="0" w:firstLineChars="0"/>
        <w:jc w:val="both"/>
        <w:rPr>
          <w:rFonts w:hint="eastAsia" w:ascii="仿宋_GB2312" w:cs="仿宋_GB2312"/>
          <w:bCs/>
          <w:color w:val="auto"/>
          <w:sz w:val="32"/>
          <w:szCs w:val="32"/>
          <w:highlight w:val="none"/>
          <w:lang w:val="en-US" w:eastAsia="zh-CN"/>
        </w:rPr>
      </w:pPr>
      <w:r>
        <w:rPr>
          <w:rFonts w:hint="eastAsia" w:ascii="仿宋_GB2312" w:cs="仿宋_GB2312"/>
          <w:bCs/>
          <w:color w:val="auto"/>
          <w:sz w:val="32"/>
          <w:szCs w:val="32"/>
          <w:highlight w:val="none"/>
          <w:lang w:val="en-US" w:eastAsia="zh-CN"/>
        </w:rPr>
        <w:t>2.坚持问题导向，加强执行监控，提高资金效益</w:t>
      </w:r>
    </w:p>
    <w:p>
      <w:pPr>
        <w:pStyle w:val="21"/>
        <w:spacing w:line="600" w:lineRule="exact"/>
        <w:ind w:firstLine="640"/>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7"/>
        <w:spacing w:before="0" w:after="0" w:line="600" w:lineRule="exact"/>
        <w:ind w:left="643" w:firstLine="0" w:firstLineChars="0"/>
        <w:jc w:val="both"/>
        <w:rPr>
          <w:rFonts w:hint="eastAsia" w:ascii="仿宋_GB2312" w:cs="仿宋_GB2312"/>
          <w:bCs/>
          <w:color w:val="auto"/>
          <w:sz w:val="32"/>
          <w:szCs w:val="32"/>
          <w:highlight w:val="none"/>
          <w:lang w:val="en-US" w:eastAsia="zh-CN"/>
        </w:rPr>
      </w:pPr>
      <w:bookmarkStart w:id="18" w:name="_Toc68364674"/>
      <w:r>
        <w:rPr>
          <w:rFonts w:hint="eastAsia" w:ascii="仿宋_GB2312" w:cs="仿宋_GB2312"/>
          <w:bCs/>
          <w:color w:val="auto"/>
          <w:sz w:val="32"/>
          <w:szCs w:val="32"/>
          <w:highlight w:val="none"/>
          <w:lang w:val="en-US" w:eastAsia="zh-CN"/>
        </w:rPr>
        <w:t>3.强化绩效目标刚性约束，及时对项目进行跟踪问效</w:t>
      </w:r>
    </w:p>
    <w:p>
      <w:pPr>
        <w:pStyle w:val="21"/>
        <w:spacing w:line="600" w:lineRule="exact"/>
        <w:ind w:firstLine="640"/>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7"/>
        <w:spacing w:before="0" w:after="0" w:line="600" w:lineRule="exact"/>
        <w:ind w:left="643" w:firstLine="0" w:firstLineChars="0"/>
        <w:jc w:val="both"/>
        <w:rPr>
          <w:rFonts w:hint="eastAsia" w:ascii="仿宋_GB2312" w:cs="仿宋_GB2312"/>
          <w:bCs/>
          <w:color w:val="auto"/>
          <w:sz w:val="32"/>
          <w:szCs w:val="32"/>
          <w:highlight w:val="none"/>
          <w:lang w:val="en-US" w:eastAsia="zh-CN"/>
        </w:rPr>
      </w:pPr>
      <w:r>
        <w:rPr>
          <w:rFonts w:hint="eastAsia" w:ascii="仿宋_GB2312" w:cs="仿宋_GB2312"/>
          <w:bCs/>
          <w:color w:val="auto"/>
          <w:sz w:val="32"/>
          <w:szCs w:val="32"/>
          <w:highlight w:val="none"/>
          <w:lang w:val="en-US" w:eastAsia="zh-CN"/>
        </w:rPr>
        <w:t>1.绩效预算认识不够充分，绩效理念有待进一步强化</w:t>
      </w:r>
    </w:p>
    <w:p>
      <w:pPr>
        <w:pStyle w:val="21"/>
        <w:spacing w:line="600" w:lineRule="exact"/>
        <w:ind w:firstLine="640"/>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7"/>
        <w:spacing w:before="0" w:after="0" w:line="600" w:lineRule="exact"/>
        <w:ind w:left="643" w:firstLine="0" w:firstLineChars="0"/>
        <w:jc w:val="both"/>
        <w:rPr>
          <w:rFonts w:hint="eastAsia" w:ascii="仿宋_GB2312" w:cs="仿宋_GB2312"/>
          <w:bCs/>
          <w:color w:val="auto"/>
          <w:sz w:val="32"/>
          <w:szCs w:val="32"/>
          <w:highlight w:val="none"/>
          <w:lang w:val="en-US" w:eastAsia="zh-CN"/>
        </w:rPr>
      </w:pPr>
      <w:r>
        <w:rPr>
          <w:rFonts w:hint="eastAsia" w:ascii="仿宋_GB2312" w:cs="仿宋_GB2312"/>
          <w:bCs/>
          <w:color w:val="auto"/>
          <w:sz w:val="32"/>
          <w:szCs w:val="32"/>
          <w:highlight w:val="none"/>
          <w:lang w:val="en-US" w:eastAsia="zh-CN"/>
        </w:rPr>
        <w:t>2.绩效档案归档工作有待提高</w:t>
      </w:r>
    </w:p>
    <w:p>
      <w:pPr>
        <w:pStyle w:val="21"/>
        <w:spacing w:line="600" w:lineRule="exact"/>
        <w:ind w:firstLine="640"/>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pStyle w:val="7"/>
        <w:spacing w:before="0" w:after="0" w:line="600" w:lineRule="exact"/>
        <w:ind w:left="643" w:firstLine="0" w:firstLineChars="0"/>
        <w:jc w:val="both"/>
        <w:rPr>
          <w:rFonts w:hint="eastAsia" w:ascii="仿宋_GB2312" w:cs="仿宋_GB2312"/>
          <w:bCs/>
          <w:color w:val="auto"/>
          <w:sz w:val="32"/>
          <w:szCs w:val="32"/>
          <w:highlight w:val="none"/>
          <w:lang w:val="en-US" w:eastAsia="zh-CN"/>
        </w:rPr>
      </w:pPr>
      <w:r>
        <w:rPr>
          <w:rFonts w:hint="eastAsia" w:ascii="仿宋_GB2312" w:cs="仿宋_GB2312"/>
          <w:bCs/>
          <w:color w:val="auto"/>
          <w:sz w:val="32"/>
          <w:szCs w:val="32"/>
          <w:highlight w:val="none"/>
          <w:lang w:val="en-US" w:eastAsia="zh-CN"/>
        </w:rPr>
        <w:t>3.项目支出绩效评价存在局限，客观性有待加强</w:t>
      </w:r>
    </w:p>
    <w:p>
      <w:pPr>
        <w:pStyle w:val="21"/>
        <w:spacing w:line="600" w:lineRule="exact"/>
        <w:ind w:firstLine="640"/>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7"/>
        <w:spacing w:before="0" w:after="0" w:line="600" w:lineRule="exact"/>
        <w:ind w:left="643" w:firstLine="0" w:firstLineChars="0"/>
        <w:jc w:val="both"/>
        <w:rPr>
          <w:rFonts w:hint="eastAsia" w:ascii="仿宋_GB2312" w:cs="仿宋_GB2312"/>
          <w:bCs/>
          <w:color w:val="auto"/>
          <w:sz w:val="32"/>
          <w:szCs w:val="32"/>
          <w:highlight w:val="none"/>
          <w:lang w:val="en-US" w:eastAsia="zh-Hans"/>
        </w:rPr>
      </w:pPr>
      <w:r>
        <w:rPr>
          <w:rFonts w:hint="eastAsia" w:ascii="仿宋_GB2312" w:cs="仿宋_GB2312"/>
          <w:bCs/>
          <w:color w:val="auto"/>
          <w:sz w:val="32"/>
          <w:szCs w:val="32"/>
          <w:highlight w:val="none"/>
          <w:lang w:val="en-US" w:eastAsia="zh-Hans"/>
        </w:rPr>
        <w:t>4.项目进度滞后</w:t>
      </w:r>
    </w:p>
    <w:p>
      <w:pPr>
        <w:pStyle w:val="21"/>
        <w:spacing w:line="600" w:lineRule="exact"/>
        <w:ind w:firstLine="640"/>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原因</w:t>
      </w:r>
      <w:r>
        <w:rPr>
          <w:rFonts w:hint="eastAsia" w:ascii="仿宋_GB2312" w:hAnsi="仿宋_GB2312" w:cs="仿宋_GB2312"/>
          <w:color w:val="auto"/>
          <w:kern w:val="2"/>
          <w:sz w:val="32"/>
          <w:szCs w:val="32"/>
          <w:highlight w:val="none"/>
          <w:lang w:val="en-US" w:eastAsia="zh-Hans" w:bidi="ar-SA"/>
        </w:rPr>
        <w:t>是由于</w:t>
      </w:r>
      <w:r>
        <w:rPr>
          <w:rFonts w:hint="eastAsia" w:ascii="仿宋_GB2312" w:hAnsi="仿宋_GB2312" w:cs="仿宋_GB2312"/>
          <w:color w:val="auto"/>
          <w:kern w:val="2"/>
          <w:sz w:val="32"/>
          <w:szCs w:val="32"/>
          <w:highlight w:val="none"/>
          <w:lang w:val="en-US" w:eastAsia="zh-CN" w:bidi="ar-SA"/>
        </w:rPr>
        <w:t>是因疫情原因，部分慰问及宣讲未开展。</w:t>
      </w:r>
    </w:p>
    <w:p>
      <w:pPr>
        <w:pStyle w:val="3"/>
        <w:spacing w:line="600" w:lineRule="exact"/>
        <w:ind w:firstLine="64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1"/>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val="en-US" w:eastAsia="zh-CN"/>
        </w:rPr>
        <w:t>昌吉市</w:t>
      </w:r>
      <w:bookmarkStart w:id="19" w:name="_GoBack"/>
      <w:bookmarkEnd w:id="19"/>
      <w:r>
        <w:rPr>
          <w:rFonts w:hint="eastAsia" w:ascii="仿宋_GB2312" w:hAnsi="仿宋_GB2312" w:cs="仿宋_GB2312"/>
          <w:color w:val="auto"/>
          <w:sz w:val="32"/>
          <w:szCs w:val="32"/>
          <w:highlight w:val="none"/>
        </w:rPr>
        <w:t>关于绩效管理工作档案资料归档的相关要求，强化收集力度，确保归档资料的完整齐全。</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 高度重视，加强领导</w:t>
      </w:r>
    </w:p>
    <w:p>
      <w:pPr>
        <w:pStyle w:val="21"/>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1"/>
        <w:spacing w:line="600" w:lineRule="exact"/>
        <w:ind w:firstLine="624"/>
        <w:rPr>
          <w:rFonts w:ascii="仿宋_GB2312"/>
          <w:color w:val="auto"/>
          <w:sz w:val="32"/>
          <w:szCs w:val="32"/>
          <w:highlight w:val="none"/>
        </w:rPr>
      </w:pPr>
      <w:r>
        <w:rPr>
          <w:rFonts w:hint="eastAsia" w:ascii="仿宋_GB2312"/>
          <w:color w:val="auto"/>
          <w:sz w:val="32"/>
          <w:szCs w:val="32"/>
          <w:highlight w:val="none"/>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Arial Unicode MS"/>
    <w:panose1 w:val="03000509000000000000"/>
    <w:charset w:val="86"/>
    <w:family w:val="script"/>
    <w:pitch w:val="default"/>
    <w:sig w:usb0="00000000" w:usb1="0000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0MzhhMGE4ZTMyNjYwYjU1NjZlZWFhZWM3NDEw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C10A21"/>
    <w:rsid w:val="12F1313F"/>
    <w:rsid w:val="15DC6CEA"/>
    <w:rsid w:val="214B0FAD"/>
    <w:rsid w:val="22105521"/>
    <w:rsid w:val="22941CAE"/>
    <w:rsid w:val="245E1E24"/>
    <w:rsid w:val="27F21951"/>
    <w:rsid w:val="28FA4A64"/>
    <w:rsid w:val="2E483E7E"/>
    <w:rsid w:val="30BD4AC6"/>
    <w:rsid w:val="33944516"/>
    <w:rsid w:val="39C8640E"/>
    <w:rsid w:val="3B816234"/>
    <w:rsid w:val="3F762A0F"/>
    <w:rsid w:val="4D850E3F"/>
    <w:rsid w:val="4F4F1E4A"/>
    <w:rsid w:val="61B338E7"/>
    <w:rsid w:val="64992B79"/>
    <w:rsid w:val="6612347A"/>
    <w:rsid w:val="68291A1A"/>
    <w:rsid w:val="691B1594"/>
    <w:rsid w:val="6F0D6C22"/>
    <w:rsid w:val="73D9A77D"/>
    <w:rsid w:val="76D2301A"/>
    <w:rsid w:val="77613254"/>
    <w:rsid w:val="77861774"/>
    <w:rsid w:val="77978BBA"/>
    <w:rsid w:val="79300B45"/>
    <w:rsid w:val="7B9F686F"/>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5"/>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7414</Words>
  <Characters>7821</Characters>
  <Lines>1</Lines>
  <Paragraphs>1</Paragraphs>
  <TotalTime>0</TotalTime>
  <ScaleCrop>false</ScaleCrop>
  <LinksUpToDate>false</LinksUpToDate>
  <CharactersWithSpaces>7853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画音汐</cp:lastModifiedBy>
  <cp:lastPrinted>2023-04-23T02:37:00Z</cp:lastPrinted>
  <dcterms:modified xsi:type="dcterms:W3CDTF">2023-04-23T08:32:59Z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E1A5CFDBBA0943E3A8EB14578914BA20_12</vt:lpwstr>
  </property>
</Properties>
</file>