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2022年自治区公共卫生服务（地方公共卫生）补助资金（开展全民健康体检）项目</w:t>
      </w:r>
      <w:r>
        <w:rPr>
          <w:rFonts w:hint="eastAsia" w:ascii="方正小标宋简体" w:hAnsi="黑体" w:eastAsia="方正小标宋简体" w:cs="黑体"/>
          <w:bCs/>
          <w:color w:val="auto"/>
          <w:sz w:val="48"/>
          <w:szCs w:val="48"/>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2099" w:leftChars="214" w:right="0" w:hanging="1500" w:hangingChars="500"/>
        <w:jc w:val="left"/>
        <w:rPr>
          <w:rFonts w:hint="eastAsia" w:ascii="黑体" w:hAnsi="Times New Roman" w:eastAsia="黑体" w:cs="Times New Roman"/>
          <w:color w:val="auto"/>
          <w:kern w:val="2"/>
          <w:sz w:val="30"/>
          <w:szCs w:val="30"/>
          <w:lang w:eastAsia="zh-CN"/>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eastAsia="zh-CN"/>
        </w:rPr>
        <w:t>2022年自治区公共卫生服务（地方公共卫生）补助资金（开展全民健康体检）项目</w:t>
      </w:r>
    </w:p>
    <w:bookmarkEnd w:id="0"/>
    <w:p>
      <w:pPr>
        <w:ind w:left="0" w:leftChars="0" w:firstLine="0" w:firstLineChars="0"/>
        <w:jc w:val="left"/>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项目单位：</w:t>
      </w:r>
      <w:r>
        <w:rPr>
          <w:rFonts w:hint="eastAsia" w:ascii="黑体" w:hAnsi="黑体" w:eastAsia="黑体" w:cs="宋体"/>
          <w:color w:val="auto"/>
          <w:sz w:val="30"/>
          <w:szCs w:val="30"/>
          <w:lang w:eastAsia="zh-CN"/>
        </w:rPr>
        <w:t>昌吉市中山路社区卫生服务中心</w:t>
      </w:r>
    </w:p>
    <w:p>
      <w:pPr>
        <w:ind w:left="0" w:leftChars="0" w:firstLine="0" w:firstLineChars="0"/>
        <w:jc w:val="left"/>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主管部门：</w:t>
      </w:r>
      <w:r>
        <w:rPr>
          <w:rFonts w:hint="eastAsia" w:ascii="黑体" w:hAnsi="黑体" w:eastAsia="黑体" w:cs="宋体"/>
          <w:color w:val="auto"/>
          <w:sz w:val="30"/>
          <w:szCs w:val="30"/>
          <w:lang w:eastAsia="zh-CN"/>
        </w:rPr>
        <w:t>昌吉市</w:t>
      </w:r>
      <w:r>
        <w:rPr>
          <w:rFonts w:hint="eastAsia" w:ascii="黑体" w:hAnsi="黑体" w:eastAsia="黑体" w:cs="宋体"/>
          <w:color w:val="auto"/>
          <w:sz w:val="30"/>
          <w:szCs w:val="30"/>
          <w:lang w:val="en-US" w:eastAsia="zh-CN"/>
        </w:rPr>
        <w:t>卫生健康委员会</w:t>
      </w:r>
    </w:p>
    <w:p>
      <w:pPr>
        <w:ind w:left="0" w:leftChars="0" w:firstLine="600" w:firstLineChars="200"/>
        <w:jc w:val="left"/>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eastAsia="zh-CN"/>
        </w:rPr>
        <w:t>白新平</w:t>
      </w:r>
    </w:p>
    <w:p>
      <w:pPr>
        <w:ind w:left="0" w:leftChars="0" w:firstLine="600" w:firstLineChars="200"/>
        <w:jc w:val="left"/>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2022年，中山路街道辖区摸底人数为26318人</w:t>
      </w:r>
      <w:r>
        <w:rPr>
          <w:rFonts w:hint="eastAsia" w:ascii="仿宋" w:hAnsi="仿宋" w:eastAsia="仿宋" w:cs="仿宋"/>
          <w:color w:val="auto"/>
          <w:sz w:val="32"/>
          <w:szCs w:val="32"/>
          <w:highlight w:val="none"/>
          <w:shd w:val="clear" w:color="auto" w:fill="auto"/>
          <w:lang w:eastAsia="zh-CN"/>
        </w:rPr>
        <w:t>。为了深入以深化医改为主线，以提高辖区人民健康水平为目标，突出抓好基本公共卫生和全民体检服务工作，努力完成上级交给的工作任务，使各项工作再上一个新的台阶，落实好党的民生工程，</w:t>
      </w:r>
      <w:r>
        <w:rPr>
          <w:rFonts w:hint="eastAsia" w:ascii="仿宋" w:hAnsi="仿宋" w:eastAsia="仿宋" w:cs="仿宋"/>
          <w:color w:val="auto"/>
          <w:sz w:val="32"/>
          <w:szCs w:val="32"/>
          <w:highlight w:val="none"/>
          <w:shd w:val="clear" w:color="auto" w:fill="auto"/>
          <w:lang w:val="en-US" w:eastAsia="zh-CN"/>
        </w:rPr>
        <w:t>2022年经调研后开展此项目，为辖区居民提供免费健康体检服务</w:t>
      </w:r>
      <w:r>
        <w:rPr>
          <w:rFonts w:hint="eastAsia" w:ascii="仿宋" w:hAnsi="仿宋" w:eastAsia="仿宋" w:cs="仿宋"/>
          <w:color w:val="auto"/>
          <w:sz w:val="32"/>
          <w:szCs w:val="32"/>
          <w:highlight w:val="none"/>
          <w:shd w:val="clear" w:color="auto" w:fill="auto"/>
          <w:lang w:eastAsia="zh-CN"/>
        </w:rPr>
        <w:t>。</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（1）</w:t>
      </w:r>
      <w:r>
        <w:rPr>
          <w:rFonts w:hint="eastAsia" w:ascii="仿宋" w:hAnsi="仿宋" w:eastAsia="仿宋" w:cs="仿宋"/>
          <w:color w:val="auto"/>
          <w:sz w:val="32"/>
          <w:szCs w:val="32"/>
          <w:highlight w:val="none"/>
          <w:shd w:val="clear" w:color="auto" w:fill="auto"/>
        </w:rPr>
        <w:t>全民体检摸底</w:t>
      </w:r>
      <w:r>
        <w:rPr>
          <w:rFonts w:hint="eastAsia" w:ascii="仿宋" w:hAnsi="仿宋" w:eastAsia="仿宋" w:cs="仿宋"/>
          <w:color w:val="auto"/>
          <w:sz w:val="32"/>
          <w:szCs w:val="32"/>
          <w:highlight w:val="none"/>
          <w:shd w:val="clear" w:color="auto" w:fill="auto"/>
          <w:lang w:val="en-US" w:eastAsia="zh-CN"/>
        </w:rPr>
        <w:t>26318</w:t>
      </w:r>
      <w:r>
        <w:rPr>
          <w:rFonts w:hint="eastAsia" w:ascii="仿宋" w:hAnsi="仿宋" w:eastAsia="仿宋" w:cs="仿宋"/>
          <w:color w:val="auto"/>
          <w:sz w:val="32"/>
          <w:szCs w:val="32"/>
          <w:highlight w:val="none"/>
          <w:shd w:val="clear" w:color="auto" w:fill="auto"/>
        </w:rPr>
        <w:t>人，</w:t>
      </w:r>
      <w:r>
        <w:rPr>
          <w:rFonts w:hint="eastAsia" w:ascii="仿宋" w:hAnsi="仿宋" w:eastAsia="仿宋" w:cs="仿宋"/>
          <w:color w:val="auto"/>
          <w:sz w:val="32"/>
          <w:szCs w:val="32"/>
          <w:highlight w:val="none"/>
          <w:shd w:val="clear" w:color="auto" w:fill="auto"/>
          <w:lang w:val="en-US" w:eastAsia="zh-CN"/>
        </w:rPr>
        <w:t>截止12月31日</w:t>
      </w:r>
      <w:r>
        <w:rPr>
          <w:rFonts w:hint="eastAsia" w:ascii="仿宋" w:hAnsi="仿宋" w:eastAsia="仿宋" w:cs="仿宋"/>
          <w:color w:val="auto"/>
          <w:sz w:val="32"/>
          <w:szCs w:val="32"/>
          <w:highlight w:val="none"/>
          <w:shd w:val="clear" w:color="auto" w:fill="auto"/>
        </w:rPr>
        <w:t>成全民体检</w:t>
      </w:r>
      <w:r>
        <w:rPr>
          <w:rFonts w:hint="eastAsia" w:ascii="仿宋" w:hAnsi="仿宋" w:eastAsia="仿宋" w:cs="仿宋"/>
          <w:color w:val="auto"/>
          <w:sz w:val="32"/>
          <w:szCs w:val="32"/>
          <w:highlight w:val="none"/>
          <w:shd w:val="clear" w:color="auto" w:fill="auto"/>
          <w:lang w:val="en-US" w:eastAsia="zh-CN"/>
        </w:rPr>
        <w:t>27095</w:t>
      </w:r>
      <w:r>
        <w:rPr>
          <w:rFonts w:hint="eastAsia" w:ascii="仿宋" w:hAnsi="仿宋" w:eastAsia="仿宋" w:cs="仿宋"/>
          <w:color w:val="auto"/>
          <w:sz w:val="32"/>
          <w:szCs w:val="32"/>
          <w:highlight w:val="none"/>
          <w:shd w:val="clear" w:color="auto" w:fill="auto"/>
        </w:rPr>
        <w:t>人。0-6岁儿童</w:t>
      </w:r>
      <w:r>
        <w:rPr>
          <w:rFonts w:hint="eastAsia" w:ascii="仿宋" w:hAnsi="仿宋" w:eastAsia="仿宋" w:cs="仿宋"/>
          <w:color w:val="auto"/>
          <w:sz w:val="32"/>
          <w:szCs w:val="32"/>
          <w:highlight w:val="none"/>
          <w:shd w:val="clear" w:color="auto" w:fill="auto"/>
          <w:lang w:val="en-US" w:eastAsia="zh-CN"/>
        </w:rPr>
        <w:t>5451</w:t>
      </w:r>
      <w:r>
        <w:rPr>
          <w:rFonts w:hint="eastAsia" w:ascii="仿宋" w:hAnsi="仿宋" w:eastAsia="仿宋" w:cs="仿宋"/>
          <w:color w:val="auto"/>
          <w:sz w:val="32"/>
          <w:szCs w:val="32"/>
          <w:highlight w:val="none"/>
          <w:shd w:val="clear" w:color="auto" w:fill="auto"/>
        </w:rPr>
        <w:t>人</w:t>
      </w:r>
      <w:r>
        <w:rPr>
          <w:rFonts w:hint="eastAsia" w:ascii="仿宋" w:hAnsi="仿宋" w:eastAsia="仿宋" w:cs="仿宋"/>
          <w:color w:val="auto"/>
          <w:sz w:val="32"/>
          <w:szCs w:val="32"/>
          <w:highlight w:val="none"/>
          <w:shd w:val="clear" w:color="auto" w:fill="auto"/>
          <w:lang w:val="en-US" w:eastAsia="zh-CN"/>
        </w:rPr>
        <w:t>,15-64岁8579人，65-79岁3152人，80岁以上333人</w:t>
      </w:r>
      <w:r>
        <w:rPr>
          <w:rFonts w:hint="eastAsia" w:ascii="仿宋" w:hAnsi="仿宋" w:eastAsia="仿宋" w:cs="仿宋"/>
          <w:color w:val="auto"/>
          <w:sz w:val="32"/>
          <w:szCs w:val="32"/>
          <w:highlight w:val="none"/>
          <w:shd w:val="clear" w:color="auto" w:fill="auto"/>
        </w:rPr>
        <w:t>；</w:t>
      </w:r>
      <w:r>
        <w:rPr>
          <w:rFonts w:hint="eastAsia" w:ascii="仿宋" w:hAnsi="仿宋" w:eastAsia="仿宋" w:cs="仿宋"/>
          <w:color w:val="auto"/>
          <w:sz w:val="32"/>
          <w:szCs w:val="32"/>
          <w:highlight w:val="none"/>
          <w:shd w:val="clear" w:color="auto" w:fill="auto"/>
          <w:lang w:val="en-US" w:eastAsia="zh-CN"/>
        </w:rPr>
        <w:t>公职人员3980人，高校体检5600人，</w:t>
      </w:r>
      <w:r>
        <w:rPr>
          <w:rFonts w:hint="eastAsia" w:ascii="仿宋" w:hAnsi="仿宋" w:eastAsia="仿宋" w:cs="仿宋"/>
          <w:color w:val="auto"/>
          <w:sz w:val="32"/>
          <w:szCs w:val="32"/>
          <w:highlight w:val="none"/>
          <w:shd w:val="clear" w:color="auto" w:fill="auto"/>
        </w:rPr>
        <w:t>体检完成率</w:t>
      </w:r>
      <w:r>
        <w:rPr>
          <w:rFonts w:hint="eastAsia" w:ascii="仿宋" w:hAnsi="仿宋" w:eastAsia="仿宋" w:cs="仿宋"/>
          <w:color w:val="auto"/>
          <w:sz w:val="32"/>
          <w:szCs w:val="32"/>
          <w:highlight w:val="none"/>
          <w:shd w:val="clear" w:color="auto" w:fill="auto"/>
          <w:lang w:val="en-US" w:eastAsia="zh-CN"/>
        </w:rPr>
        <w:t>102</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lang w:val="en-US" w:eastAsia="zh-CN"/>
        </w:rPr>
        <w:t>2</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15岁以上居民体检</w:t>
      </w:r>
      <w:r>
        <w:rPr>
          <w:rFonts w:hint="eastAsia" w:ascii="仿宋" w:hAnsi="仿宋" w:eastAsia="仿宋" w:cs="仿宋"/>
          <w:i w:val="0"/>
          <w:iCs w:val="0"/>
          <w:caps w:val="0"/>
          <w:color w:val="auto"/>
          <w:spacing w:val="0"/>
          <w:sz w:val="32"/>
          <w:szCs w:val="32"/>
          <w:shd w:val="clear" w:color="auto" w:fill="FFFFFF"/>
          <w:lang w:val="en-US" w:eastAsia="zh-CN"/>
        </w:rPr>
        <w:t>21644</w:t>
      </w:r>
      <w:r>
        <w:rPr>
          <w:rFonts w:hint="eastAsia" w:ascii="仿宋" w:hAnsi="仿宋" w:eastAsia="仿宋" w:cs="仿宋"/>
          <w:i w:val="0"/>
          <w:iCs w:val="0"/>
          <w:caps w:val="0"/>
          <w:color w:val="auto"/>
          <w:spacing w:val="0"/>
          <w:sz w:val="32"/>
          <w:szCs w:val="32"/>
          <w:shd w:val="clear" w:color="auto" w:fill="FFFFFF"/>
        </w:rPr>
        <w:t>人。截止到12月31日中心共完成居民体检17515人，共筛查阳性结果6636人，按病种分别为：高血压3807人，占体检总人数的21.73%，占体检阳性结果总数的57.3%；糖尿病2156人，占体检总人数的12.3%，占体检阳性结果总数的32.4%；肝脏疾病2703人（其中脂肪肝1794人、肝囊肿748、肝血管瘤161人），占体检总人数 15.4%，占阳性结果总数40.7%；胆囊疾病253人（其中胆囊结石82人、胆囊息肉171人），占体检总人数1.4%，占阳性结果总数3.8%；高脂血症439人，占体检总人数2.5%，占阳性结果总数6.6%；肾脏疾病108人（其中肾结石45人、肾囊肿63人），占体检总人数0.6%，占阳性结果总数1.6%；中重度贫血29人（其占体检总人数0.1%，占阳性结果总数0.4%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hAnsi="仿宋_GB2312" w:eastAsia="仿宋_GB2312" w:cs="仿宋_GB2312"/>
          <w:b/>
          <w:bCs/>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 xml:space="preserve"> 3.项目实施主体</w:t>
      </w:r>
    </w:p>
    <w:p>
      <w:pPr>
        <w:pStyle w:val="20"/>
        <w:spacing w:line="570" w:lineRule="exact"/>
        <w:ind w:firstLine="640"/>
        <w:outlineLvl w:val="2"/>
        <w:rPr>
          <w:rFonts w:ascii="仿宋_GB2312" w:hAnsi="仿宋_GB2312" w:cs="仿宋_GB2312"/>
          <w:color w:val="auto"/>
          <w:sz w:val="32"/>
          <w:szCs w:val="32"/>
        </w:rPr>
      </w:pPr>
      <w:r>
        <w:rPr>
          <w:rFonts w:hint="eastAsia" w:ascii="仿宋_GB2312" w:hAnsi="宋体" w:eastAsia="仿宋_GB2312"/>
          <w:color w:val="auto"/>
          <w:sz w:val="32"/>
          <w:szCs w:val="32"/>
        </w:rPr>
        <w:t>昌吉市</w:t>
      </w:r>
      <w:r>
        <w:rPr>
          <w:rFonts w:hint="eastAsia" w:ascii="仿宋_GB2312" w:hAnsi="宋体"/>
          <w:color w:val="auto"/>
          <w:sz w:val="32"/>
          <w:szCs w:val="32"/>
          <w:lang w:eastAsia="zh-CN"/>
        </w:rPr>
        <w:t>中山</w:t>
      </w:r>
      <w:r>
        <w:rPr>
          <w:rFonts w:hint="eastAsia" w:ascii="仿宋_GB2312" w:hAnsi="宋体" w:eastAsia="仿宋_GB2312"/>
          <w:color w:val="auto"/>
          <w:sz w:val="32"/>
          <w:szCs w:val="32"/>
        </w:rPr>
        <w:t>路社区卫生服务中心系全额拨款事业单位，公益一类，执行事业单位会计制度，是集预防保健科、全科诊疗科、中医康复科、医学检验科、医学影像科、为一体的新型医疗保健单位。</w:t>
      </w:r>
      <w:r>
        <w:rPr>
          <w:rFonts w:hint="eastAsia" w:ascii="仿宋" w:hAnsi="仿宋" w:eastAsia="仿宋" w:cs="仿宋"/>
          <w:bCs/>
          <w:color w:val="auto"/>
          <w:spacing w:val="-4"/>
          <w:sz w:val="32"/>
          <w:szCs w:val="32"/>
        </w:rPr>
        <w:t>中心内设有床位20张，人员编制</w:t>
      </w:r>
      <w:r>
        <w:rPr>
          <w:rFonts w:hint="eastAsia" w:ascii="仿宋" w:hAnsi="仿宋" w:eastAsia="仿宋" w:cs="仿宋"/>
          <w:bCs/>
          <w:color w:val="auto"/>
          <w:spacing w:val="-4"/>
          <w:sz w:val="32"/>
          <w:szCs w:val="32"/>
          <w:lang w:val="en-US" w:eastAsia="zh-CN"/>
        </w:rPr>
        <w:t>29</w:t>
      </w:r>
      <w:r>
        <w:rPr>
          <w:rFonts w:hint="eastAsia" w:ascii="仿宋" w:hAnsi="仿宋" w:eastAsia="仿宋" w:cs="仿宋"/>
          <w:bCs/>
          <w:color w:val="auto"/>
          <w:spacing w:val="-4"/>
          <w:sz w:val="32"/>
          <w:szCs w:val="32"/>
        </w:rPr>
        <w:t>人，现到位各类职称卫技在编人员</w:t>
      </w:r>
      <w:r>
        <w:rPr>
          <w:rFonts w:hint="eastAsia" w:ascii="仿宋" w:hAnsi="仿宋" w:eastAsia="仿宋" w:cs="仿宋"/>
          <w:bCs/>
          <w:color w:val="auto"/>
          <w:spacing w:val="-4"/>
          <w:sz w:val="32"/>
          <w:szCs w:val="32"/>
          <w:lang w:val="en-US" w:eastAsia="zh-CN"/>
        </w:rPr>
        <w:t>23</w:t>
      </w:r>
      <w:r>
        <w:rPr>
          <w:rFonts w:hint="eastAsia" w:ascii="仿宋" w:hAnsi="仿宋" w:eastAsia="仿宋" w:cs="仿宋"/>
          <w:bCs/>
          <w:color w:val="auto"/>
          <w:spacing w:val="-4"/>
          <w:sz w:val="32"/>
          <w:szCs w:val="32"/>
        </w:rPr>
        <w:t>人，</w:t>
      </w:r>
      <w:r>
        <w:rPr>
          <w:rFonts w:hint="eastAsia" w:ascii="仿宋" w:hAnsi="仿宋" w:eastAsia="仿宋" w:cs="仿宋"/>
          <w:bCs/>
          <w:color w:val="auto"/>
          <w:spacing w:val="-4"/>
          <w:sz w:val="32"/>
          <w:szCs w:val="32"/>
          <w:lang w:val="en-US" w:eastAsia="zh-CN"/>
        </w:rPr>
        <w:t>聘用20人，</w:t>
      </w:r>
      <w:r>
        <w:rPr>
          <w:rFonts w:hint="eastAsia" w:ascii="仿宋" w:hAnsi="仿宋" w:eastAsia="仿宋" w:cs="仿宋"/>
          <w:bCs/>
          <w:color w:val="auto"/>
          <w:spacing w:val="-4"/>
          <w:sz w:val="32"/>
          <w:szCs w:val="32"/>
        </w:rPr>
        <w:t>退休</w:t>
      </w:r>
      <w:r>
        <w:rPr>
          <w:rFonts w:hint="eastAsia" w:ascii="仿宋" w:hAnsi="仿宋" w:eastAsia="仿宋" w:cs="仿宋"/>
          <w:bCs/>
          <w:color w:val="auto"/>
          <w:spacing w:val="-4"/>
          <w:sz w:val="32"/>
          <w:szCs w:val="32"/>
          <w:lang w:val="en-US" w:eastAsia="zh-CN"/>
        </w:rPr>
        <w:t>1</w:t>
      </w:r>
      <w:r>
        <w:rPr>
          <w:rFonts w:hint="eastAsia" w:ascii="仿宋" w:hAnsi="仿宋" w:eastAsia="仿宋" w:cs="仿宋"/>
          <w:bCs/>
          <w:color w:val="auto"/>
          <w:spacing w:val="-4"/>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ind w:firstLine="64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年全民健康体检资金项目预算安排总额为</w:t>
      </w:r>
      <w:r>
        <w:rPr>
          <w:rFonts w:hint="eastAsia" w:ascii="仿宋_GB2312" w:hAnsi="宋体"/>
          <w:color w:val="auto"/>
          <w:sz w:val="32"/>
          <w:szCs w:val="32"/>
          <w:lang w:val="en-US" w:eastAsia="zh-CN"/>
        </w:rPr>
        <w:t>78.2万元</w:t>
      </w:r>
      <w:r>
        <w:rPr>
          <w:rFonts w:hint="eastAsia" w:ascii="仿宋_GB2312" w:hAnsi="宋体" w:eastAsia="仿宋_GB2312"/>
          <w:color w:val="auto"/>
          <w:sz w:val="32"/>
          <w:szCs w:val="32"/>
          <w:lang w:eastAsia="zh-CN"/>
        </w:rPr>
        <w:t>，其中财政资金</w:t>
      </w:r>
      <w:r>
        <w:rPr>
          <w:rFonts w:hint="eastAsia" w:ascii="仿宋_GB2312" w:hAnsi="宋体"/>
          <w:color w:val="auto"/>
          <w:sz w:val="32"/>
          <w:szCs w:val="32"/>
          <w:lang w:val="en-US" w:eastAsia="zh-CN"/>
        </w:rPr>
        <w:t>78.2万元</w:t>
      </w:r>
      <w:r>
        <w:rPr>
          <w:rFonts w:hint="eastAsia" w:ascii="仿宋_GB2312" w:hAnsi="宋体" w:eastAsia="仿宋_GB2312"/>
          <w:color w:val="auto"/>
          <w:sz w:val="32"/>
          <w:szCs w:val="32"/>
          <w:lang w:eastAsia="zh-CN"/>
        </w:rPr>
        <w:t>，其他资金</w:t>
      </w:r>
      <w:r>
        <w:rPr>
          <w:rFonts w:hint="eastAsia" w:ascii="仿宋_GB2312" w:hAnsi="宋体" w:eastAsia="仿宋_GB2312"/>
          <w:color w:val="auto"/>
          <w:sz w:val="32"/>
          <w:szCs w:val="32"/>
          <w:lang w:val="en-US" w:eastAsia="zh-CN"/>
        </w:rPr>
        <w:t>0.00</w:t>
      </w:r>
      <w:r>
        <w:rPr>
          <w:rFonts w:hint="eastAsia" w:ascii="仿宋_GB2312" w:hAnsi="宋体" w:eastAsia="仿宋_GB2312"/>
          <w:color w:val="auto"/>
          <w:sz w:val="32"/>
          <w:szCs w:val="32"/>
          <w:lang w:eastAsia="zh-CN"/>
        </w:rPr>
        <w:t>万元，202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年实际收到预算资金</w:t>
      </w:r>
      <w:r>
        <w:rPr>
          <w:rFonts w:hint="eastAsia" w:ascii="仿宋_GB2312" w:hAnsi="宋体"/>
          <w:color w:val="auto"/>
          <w:sz w:val="32"/>
          <w:szCs w:val="32"/>
          <w:lang w:val="en-US" w:eastAsia="zh-CN"/>
        </w:rPr>
        <w:t>78.2万元</w:t>
      </w:r>
      <w:r>
        <w:rPr>
          <w:rFonts w:hint="eastAsia" w:ascii="仿宋_GB2312" w:hAnsi="宋体" w:eastAsia="仿宋_GB2312"/>
          <w:color w:val="auto"/>
          <w:sz w:val="32"/>
          <w:szCs w:val="32"/>
          <w:lang w:eastAsia="zh-CN"/>
        </w:rPr>
        <w:t>，预算资金到位率为</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lang w:eastAsia="zh-CN"/>
        </w:rPr>
        <w:t>%。</w:t>
      </w:r>
    </w:p>
    <w:p>
      <w:pPr>
        <w:ind w:left="0" w:leftChars="0" w:firstLine="640" w:firstLineChars="200"/>
        <w:rPr>
          <w:color w:val="auto"/>
          <w:sz w:val="32"/>
          <w:szCs w:val="32"/>
        </w:rPr>
      </w:pPr>
      <w:r>
        <w:rPr>
          <w:rFonts w:hint="eastAsia"/>
          <w:color w:val="auto"/>
          <w:sz w:val="32"/>
          <w:szCs w:val="32"/>
        </w:rPr>
        <w:t>本项目实际支付资金</w:t>
      </w:r>
      <w:r>
        <w:rPr>
          <w:rFonts w:hint="eastAsia"/>
          <w:color w:val="auto"/>
          <w:sz w:val="32"/>
          <w:szCs w:val="32"/>
          <w:lang w:val="en-US" w:eastAsia="zh-CN"/>
        </w:rPr>
        <w:t>78.2</w:t>
      </w:r>
      <w:r>
        <w:rPr>
          <w:rFonts w:hint="eastAsia" w:ascii="仿宋_GB2312" w:hAnsi="宋体"/>
          <w:color w:val="auto"/>
          <w:sz w:val="32"/>
          <w:szCs w:val="32"/>
          <w:lang w:val="en-US" w:eastAsia="zh-CN"/>
        </w:rPr>
        <w:t>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全民健</w:t>
      </w:r>
      <w:r>
        <w:rPr>
          <w:rFonts w:hint="eastAsia"/>
          <w:color w:val="auto"/>
          <w:sz w:val="32"/>
          <w:szCs w:val="32"/>
          <w:lang w:eastAsia="zh-CN"/>
        </w:rPr>
        <w:t>康体检</w:t>
      </w:r>
      <w:r>
        <w:rPr>
          <w:rFonts w:hint="eastAsia"/>
          <w:color w:val="auto"/>
          <w:sz w:val="32"/>
          <w:szCs w:val="32"/>
          <w:lang w:val="en-US" w:eastAsia="zh-CN"/>
        </w:rPr>
        <w:t>相关费用</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color w:val="auto"/>
          <w:sz w:val="32"/>
          <w:szCs w:val="32"/>
        </w:rPr>
        <w:t>本项目实际支付资金</w:t>
      </w:r>
      <w:r>
        <w:rPr>
          <w:rFonts w:hint="eastAsia"/>
          <w:color w:val="auto"/>
          <w:sz w:val="32"/>
          <w:szCs w:val="32"/>
          <w:lang w:val="en-US" w:eastAsia="zh-CN"/>
        </w:rPr>
        <w:t>78.2</w:t>
      </w:r>
      <w:r>
        <w:rPr>
          <w:rFonts w:hint="eastAsia" w:ascii="仿宋_GB2312" w:hAnsi="宋体"/>
          <w:color w:val="auto"/>
          <w:sz w:val="32"/>
          <w:szCs w:val="32"/>
          <w:lang w:val="en-US" w:eastAsia="zh-CN"/>
        </w:rPr>
        <w:t>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全民健</w:t>
      </w:r>
      <w:r>
        <w:rPr>
          <w:rFonts w:hint="eastAsia"/>
          <w:color w:val="auto"/>
          <w:sz w:val="32"/>
          <w:szCs w:val="32"/>
          <w:lang w:eastAsia="zh-CN"/>
        </w:rPr>
        <w:t>康体检</w:t>
      </w:r>
      <w:r>
        <w:rPr>
          <w:rFonts w:hint="eastAsia"/>
          <w:color w:val="auto"/>
          <w:sz w:val="32"/>
          <w:szCs w:val="32"/>
          <w:lang w:val="en-US" w:eastAsia="zh-CN"/>
        </w:rPr>
        <w:t>相关费用</w:t>
      </w:r>
      <w:r>
        <w:rPr>
          <w:rFonts w:hint="eastAsia"/>
          <w:color w:val="auto"/>
          <w:sz w:val="32"/>
          <w:szCs w:val="32"/>
        </w:rPr>
        <w:t>。</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ind w:firstLine="640"/>
        <w:rPr>
          <w:color w:val="auto"/>
          <w:sz w:val="32"/>
          <w:szCs w:val="32"/>
        </w:rPr>
      </w:pPr>
      <w:r>
        <w:rPr>
          <w:rFonts w:hint="eastAsia" w:ascii="仿宋_GB2312" w:hAnsi="宋体" w:eastAsia="仿宋_GB2312"/>
          <w:color w:val="auto"/>
          <w:sz w:val="32"/>
          <w:szCs w:val="32"/>
        </w:rPr>
        <w:t>通过项目投入</w:t>
      </w:r>
      <w:r>
        <w:rPr>
          <w:rFonts w:hint="eastAsia" w:ascii="仿宋_GB2312" w:hAnsi="宋体"/>
          <w:color w:val="auto"/>
          <w:sz w:val="32"/>
          <w:szCs w:val="32"/>
          <w:lang w:val="en-US" w:eastAsia="zh-CN"/>
        </w:rPr>
        <w:t>78.2万元</w:t>
      </w:r>
      <w:r>
        <w:rPr>
          <w:rFonts w:hint="eastAsia" w:ascii="仿宋_GB2312" w:hAnsi="宋体" w:eastAsia="仿宋_GB2312"/>
          <w:color w:val="auto"/>
          <w:sz w:val="32"/>
          <w:szCs w:val="32"/>
        </w:rPr>
        <w:t>，做好</w:t>
      </w:r>
      <w:r>
        <w:rPr>
          <w:rFonts w:hint="eastAsia" w:ascii="仿宋_GB2312" w:hAnsi="宋体"/>
          <w:color w:val="auto"/>
          <w:sz w:val="32"/>
          <w:szCs w:val="32"/>
          <w:lang w:val="en-US" w:eastAsia="zh-CN"/>
        </w:rPr>
        <w:t>全民健康</w:t>
      </w:r>
      <w:r>
        <w:rPr>
          <w:rFonts w:hint="eastAsia" w:ascii="仿宋_GB2312" w:hAnsi="宋体" w:eastAsia="仿宋_GB2312"/>
          <w:color w:val="auto"/>
          <w:sz w:val="32"/>
          <w:szCs w:val="32"/>
        </w:rPr>
        <w:t>体检的组织实施、人员培训、数据填报、后勤保障，建档立卡、追踪随访、做到体检与“健康咨询、健康教育、重大疾病”相结合，对体检结果的异常及时随访，对需要转院的疑难重症患者，畅通“绿色通道”协助到上级医院进行救治</w:t>
      </w:r>
      <w:r>
        <w:rPr>
          <w:rFonts w:hint="eastAsia" w:ascii="仿宋_GB2312" w:hAnsi="宋体"/>
          <w:color w:val="auto"/>
          <w:sz w:val="32"/>
          <w:szCs w:val="32"/>
          <w:lang w:eastAsia="zh-CN"/>
        </w:rPr>
        <w:t>，提高辖区居民对全民体检惠民政策的认可度，</w:t>
      </w:r>
      <w:r>
        <w:rPr>
          <w:rFonts w:hint="eastAsia" w:ascii="仿宋_GB2312" w:hAnsi="宋体"/>
          <w:color w:val="auto"/>
          <w:sz w:val="32"/>
          <w:szCs w:val="32"/>
          <w:lang w:val="en-US" w:eastAsia="zh-CN"/>
        </w:rPr>
        <w:t>使</w:t>
      </w:r>
      <w:r>
        <w:rPr>
          <w:rFonts w:hint="eastAsia" w:ascii="仿宋_GB2312" w:hAnsi="宋体"/>
          <w:color w:val="auto"/>
          <w:sz w:val="32"/>
          <w:szCs w:val="32"/>
          <w:lang w:eastAsia="zh-CN"/>
        </w:rPr>
        <w:t>辖区居民健康意识不断提高</w:t>
      </w:r>
      <w:r>
        <w:rPr>
          <w:rFonts w:hint="eastAsia" w:ascii="仿宋_GB2312" w:hAnsi="宋体" w:eastAsia="仿宋_GB2312"/>
          <w:color w:val="auto"/>
          <w:sz w:val="32"/>
          <w:szCs w:val="32"/>
        </w:rPr>
        <w:t>。</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ind w:firstLine="640"/>
        <w:rPr>
          <w:rFonts w:hint="eastAsia"/>
          <w:color w:val="auto"/>
          <w:sz w:val="32"/>
          <w:szCs w:val="32"/>
          <w:lang w:eastAsia="zh-CN"/>
        </w:rPr>
      </w:pPr>
      <w:r>
        <w:rPr>
          <w:rFonts w:hint="eastAsia"/>
          <w:color w:val="auto"/>
          <w:sz w:val="32"/>
          <w:szCs w:val="32"/>
        </w:rPr>
        <w:t>“全民体检人数”指标，预期指标值为“&gt;=</w:t>
      </w:r>
      <w:r>
        <w:rPr>
          <w:rFonts w:hint="eastAsia"/>
          <w:color w:val="auto"/>
          <w:sz w:val="32"/>
          <w:szCs w:val="32"/>
          <w:lang w:val="en-US" w:eastAsia="zh-CN"/>
        </w:rPr>
        <w:t>26318</w:t>
      </w:r>
      <w:r>
        <w:rPr>
          <w:rFonts w:hint="eastAsia"/>
          <w:color w:val="auto"/>
          <w:sz w:val="32"/>
          <w:szCs w:val="32"/>
        </w:rPr>
        <w:t>人”</w:t>
      </w:r>
      <w:r>
        <w:rPr>
          <w:rFonts w:hint="eastAsia"/>
          <w:color w:val="auto"/>
          <w:sz w:val="32"/>
          <w:szCs w:val="32"/>
          <w:lang w:eastAsia="zh-CN"/>
        </w:rPr>
        <w:t>；</w:t>
      </w:r>
    </w:p>
    <w:p>
      <w:pPr>
        <w:ind w:firstLine="640"/>
        <w:rPr>
          <w:color w:val="auto"/>
          <w:sz w:val="32"/>
          <w:szCs w:val="32"/>
        </w:rPr>
      </w:pPr>
      <w:r>
        <w:rPr>
          <w:rFonts w:hint="eastAsia"/>
          <w:color w:val="auto"/>
          <w:sz w:val="32"/>
          <w:szCs w:val="32"/>
        </w:rPr>
        <w:t>“健康档案建档人次”指标，预期指标值为“&gt;=</w:t>
      </w:r>
      <w:r>
        <w:rPr>
          <w:rFonts w:hint="eastAsia"/>
          <w:color w:val="auto"/>
          <w:sz w:val="32"/>
          <w:szCs w:val="32"/>
          <w:lang w:val="en-US" w:eastAsia="zh-CN"/>
        </w:rPr>
        <w:t>13699</w:t>
      </w:r>
      <w:r>
        <w:rPr>
          <w:rFonts w:hint="eastAsia"/>
          <w:color w:val="auto"/>
          <w:sz w:val="32"/>
          <w:szCs w:val="32"/>
        </w:rPr>
        <w:t>人次”；</w:t>
      </w:r>
    </w:p>
    <w:p>
      <w:pPr>
        <w:spacing w:line="600" w:lineRule="exact"/>
        <w:ind w:firstLine="640"/>
        <w:rPr>
          <w:color w:val="auto"/>
          <w:sz w:val="32"/>
          <w:szCs w:val="32"/>
        </w:rPr>
      </w:pPr>
      <w:r>
        <w:rPr>
          <w:rFonts w:hint="eastAsia"/>
          <w:color w:val="auto"/>
          <w:sz w:val="32"/>
          <w:szCs w:val="32"/>
        </w:rPr>
        <w:t>②质量指标</w:t>
      </w:r>
    </w:p>
    <w:p>
      <w:pPr>
        <w:ind w:firstLine="640"/>
        <w:rPr>
          <w:rFonts w:hint="eastAsia"/>
          <w:color w:val="auto"/>
          <w:sz w:val="32"/>
          <w:szCs w:val="32"/>
          <w:lang w:eastAsia="zh-CN"/>
        </w:rPr>
      </w:pPr>
      <w:r>
        <w:rPr>
          <w:rFonts w:hint="eastAsia"/>
          <w:color w:val="auto"/>
          <w:sz w:val="32"/>
          <w:szCs w:val="32"/>
        </w:rPr>
        <w:t>“全民体检完成率”指标，预期指标值为“=</w:t>
      </w:r>
      <w:r>
        <w:rPr>
          <w:rFonts w:hint="eastAsia"/>
          <w:color w:val="auto"/>
          <w:sz w:val="32"/>
          <w:szCs w:val="32"/>
          <w:lang w:val="en-US" w:eastAsia="zh-CN"/>
        </w:rPr>
        <w:t>95.0%</w:t>
      </w:r>
      <w:r>
        <w:rPr>
          <w:rFonts w:hint="eastAsia"/>
          <w:color w:val="auto"/>
          <w:sz w:val="32"/>
          <w:szCs w:val="32"/>
        </w:rPr>
        <w:t>”</w:t>
      </w:r>
      <w:r>
        <w:rPr>
          <w:rFonts w:hint="eastAsia"/>
          <w:color w:val="auto"/>
          <w:sz w:val="32"/>
          <w:szCs w:val="32"/>
          <w:lang w:eastAsia="zh-CN"/>
        </w:rPr>
        <w:t>；</w:t>
      </w:r>
    </w:p>
    <w:p>
      <w:pPr>
        <w:ind w:firstLine="640"/>
        <w:rPr>
          <w:rFonts w:hint="eastAsia"/>
          <w:color w:val="auto"/>
          <w:sz w:val="32"/>
          <w:szCs w:val="32"/>
        </w:rPr>
      </w:pPr>
      <w:r>
        <w:rPr>
          <w:rFonts w:hint="eastAsia"/>
          <w:color w:val="auto"/>
          <w:sz w:val="32"/>
          <w:szCs w:val="32"/>
        </w:rPr>
        <w:t>“全民健康体检设备到位率”指标，预期指标值为“=</w:t>
      </w:r>
      <w:r>
        <w:rPr>
          <w:rFonts w:hint="eastAsia"/>
          <w:color w:val="auto"/>
          <w:sz w:val="32"/>
          <w:szCs w:val="32"/>
          <w:lang w:val="en-US" w:eastAsia="zh-CN"/>
        </w:rPr>
        <w:t>100.0%</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“全民健康体检完成率”指标，预期指标值为“=</w:t>
      </w:r>
      <w:r>
        <w:rPr>
          <w:rFonts w:hint="eastAsia"/>
          <w:color w:val="auto"/>
          <w:sz w:val="32"/>
          <w:szCs w:val="32"/>
          <w:lang w:eastAsia="zh-CN"/>
        </w:rPr>
        <w:t>100.0%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ind w:firstLine="640"/>
        <w:rPr>
          <w:rFonts w:hint="eastAsia"/>
          <w:color w:val="auto"/>
          <w:sz w:val="32"/>
          <w:szCs w:val="32"/>
        </w:rPr>
      </w:pPr>
      <w:r>
        <w:rPr>
          <w:rFonts w:hint="eastAsia"/>
          <w:color w:val="auto"/>
          <w:sz w:val="32"/>
          <w:szCs w:val="32"/>
        </w:rPr>
        <w:t>“资金拨付及时率”指标，预期指标值为“202</w:t>
      </w:r>
      <w:r>
        <w:rPr>
          <w:rFonts w:hint="eastAsia"/>
          <w:color w:val="auto"/>
          <w:sz w:val="32"/>
          <w:szCs w:val="32"/>
          <w:lang w:val="en-US" w:eastAsia="zh-CN"/>
        </w:rPr>
        <w:t>2</w:t>
      </w:r>
      <w:r>
        <w:rPr>
          <w:rFonts w:hint="eastAsia"/>
          <w:color w:val="auto"/>
          <w:sz w:val="32"/>
          <w:szCs w:val="32"/>
        </w:rPr>
        <w:t>年12月31日”。</w:t>
      </w:r>
    </w:p>
    <w:p>
      <w:pPr>
        <w:spacing w:line="600" w:lineRule="exact"/>
        <w:ind w:firstLine="640"/>
        <w:rPr>
          <w:color w:val="auto"/>
          <w:sz w:val="32"/>
          <w:szCs w:val="32"/>
        </w:rPr>
      </w:pPr>
      <w:r>
        <w:rPr>
          <w:rFonts w:hint="eastAsia"/>
          <w:color w:val="auto"/>
          <w:sz w:val="32"/>
          <w:szCs w:val="32"/>
        </w:rPr>
        <w:t>④成本指标</w:t>
      </w:r>
    </w:p>
    <w:p>
      <w:pPr>
        <w:ind w:firstLine="640"/>
        <w:rPr>
          <w:rFonts w:hint="eastAsia"/>
          <w:color w:val="auto"/>
          <w:sz w:val="32"/>
          <w:szCs w:val="32"/>
        </w:rPr>
      </w:pPr>
      <w:r>
        <w:rPr>
          <w:rFonts w:hint="eastAsia"/>
          <w:color w:val="auto"/>
          <w:sz w:val="32"/>
          <w:szCs w:val="32"/>
        </w:rPr>
        <w:t>“试剂耗材支出”指标，预期指标值为“&lt;=</w:t>
      </w:r>
      <w:r>
        <w:rPr>
          <w:rFonts w:hint="eastAsia"/>
          <w:color w:val="auto"/>
          <w:sz w:val="32"/>
          <w:szCs w:val="32"/>
          <w:lang w:val="en-US" w:eastAsia="zh-CN"/>
        </w:rPr>
        <w:t>15.6</w:t>
      </w:r>
      <w:r>
        <w:rPr>
          <w:rFonts w:hint="eastAsia"/>
          <w:color w:val="auto"/>
          <w:sz w:val="32"/>
          <w:szCs w:val="32"/>
        </w:rPr>
        <w:t>0万元”；</w:t>
      </w:r>
    </w:p>
    <w:p>
      <w:pPr>
        <w:ind w:firstLine="640"/>
        <w:rPr>
          <w:rFonts w:hint="eastAsia"/>
          <w:color w:val="auto"/>
          <w:sz w:val="32"/>
          <w:szCs w:val="32"/>
        </w:rPr>
      </w:pPr>
      <w:r>
        <w:rPr>
          <w:rFonts w:hint="eastAsia"/>
          <w:color w:val="auto"/>
          <w:sz w:val="32"/>
          <w:szCs w:val="32"/>
          <w:lang w:eastAsia="zh-CN"/>
        </w:rPr>
        <w:t>“</w:t>
      </w:r>
      <w:r>
        <w:rPr>
          <w:rFonts w:hint="eastAsia"/>
          <w:color w:val="auto"/>
          <w:sz w:val="32"/>
          <w:szCs w:val="32"/>
        </w:rPr>
        <w:t>其他支出”指标，预期指标值为“&lt;=</w:t>
      </w:r>
      <w:r>
        <w:rPr>
          <w:rFonts w:hint="eastAsia"/>
          <w:color w:val="auto"/>
          <w:sz w:val="32"/>
          <w:szCs w:val="32"/>
          <w:lang w:val="en-US" w:eastAsia="zh-CN"/>
        </w:rPr>
        <w:t>62.6</w:t>
      </w:r>
      <w:r>
        <w:rPr>
          <w:rFonts w:hint="eastAsia"/>
          <w:color w:val="auto"/>
          <w:sz w:val="32"/>
          <w:szCs w:val="32"/>
        </w:rPr>
        <w:t>万元；</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ind w:firstLine="640"/>
        <w:rPr>
          <w:color w:val="auto"/>
          <w:sz w:val="32"/>
          <w:szCs w:val="32"/>
        </w:rPr>
      </w:pPr>
      <w:r>
        <w:rPr>
          <w:rFonts w:hint="eastAsia"/>
          <w:color w:val="auto"/>
          <w:sz w:val="32"/>
          <w:szCs w:val="32"/>
        </w:rPr>
        <w:t>①经济效益指标</w:t>
      </w:r>
    </w:p>
    <w:p>
      <w:pPr>
        <w:ind w:firstLine="640"/>
        <w:rPr>
          <w:rFonts w:hint="eastAsia"/>
          <w:color w:val="auto"/>
          <w:sz w:val="32"/>
          <w:szCs w:val="32"/>
        </w:rPr>
      </w:pPr>
      <w:r>
        <w:rPr>
          <w:rFonts w:hint="eastAsia"/>
          <w:color w:val="auto"/>
          <w:sz w:val="32"/>
          <w:szCs w:val="32"/>
        </w:rPr>
        <w:t>无此项指标。</w:t>
      </w:r>
    </w:p>
    <w:p>
      <w:pPr>
        <w:spacing w:line="600" w:lineRule="exact"/>
        <w:ind w:left="0" w:leftChars="0" w:firstLine="640" w:firstLineChars="200"/>
        <w:rPr>
          <w:color w:val="auto"/>
          <w:sz w:val="32"/>
          <w:szCs w:val="32"/>
        </w:rPr>
      </w:pPr>
      <w:r>
        <w:rPr>
          <w:rFonts w:hint="eastAsia"/>
          <w:color w:val="auto"/>
          <w:sz w:val="32"/>
          <w:szCs w:val="32"/>
        </w:rPr>
        <w:t>②社会效益指标</w:t>
      </w:r>
    </w:p>
    <w:p>
      <w:pPr>
        <w:ind w:firstLine="640"/>
        <w:rPr>
          <w:color w:val="auto"/>
          <w:sz w:val="32"/>
          <w:szCs w:val="32"/>
        </w:rPr>
      </w:pPr>
      <w:r>
        <w:rPr>
          <w:rFonts w:hint="eastAsia"/>
          <w:color w:val="auto"/>
          <w:sz w:val="32"/>
          <w:szCs w:val="32"/>
        </w:rPr>
        <w:t>“提高辖区居民对全民体检惠民政策的认可度”指标，预期指标值为“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ind w:firstLine="640"/>
        <w:rPr>
          <w:color w:val="auto"/>
          <w:sz w:val="32"/>
          <w:szCs w:val="32"/>
        </w:rPr>
      </w:pPr>
      <w:r>
        <w:rPr>
          <w:rFonts w:hint="eastAsia"/>
          <w:color w:val="auto"/>
          <w:sz w:val="32"/>
          <w:szCs w:val="32"/>
        </w:rPr>
        <w:t>“公共卫生均等化水平”指标，预期指标值为“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ind w:firstLine="640"/>
        <w:rPr>
          <w:color w:val="auto"/>
          <w:sz w:val="32"/>
          <w:szCs w:val="32"/>
        </w:rPr>
      </w:pPr>
      <w:r>
        <w:rPr>
          <w:rFonts w:hint="eastAsia"/>
          <w:color w:val="auto"/>
          <w:sz w:val="32"/>
          <w:szCs w:val="32"/>
        </w:rPr>
        <w:t>“辖区群众满意度”指标，预期指标值为“&gt;=9</w:t>
      </w:r>
      <w:r>
        <w:rPr>
          <w:rFonts w:hint="eastAsia"/>
          <w:color w:val="auto"/>
          <w:sz w:val="32"/>
          <w:szCs w:val="32"/>
          <w:lang w:val="en-US" w:eastAsia="zh-CN"/>
        </w:rPr>
        <w:t>5</w:t>
      </w:r>
      <w:r>
        <w:rPr>
          <w:rFonts w:hint="eastAsia"/>
          <w:color w:val="auto"/>
          <w:sz w:val="32"/>
          <w:szCs w:val="32"/>
        </w:rPr>
        <w:t>.00%”。</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480473081"/>
      <w:bookmarkStart w:id="2" w:name="_Toc22922"/>
      <w:bookmarkStart w:id="3" w:name="_Toc21664"/>
      <w:bookmarkStart w:id="4" w:name="_Toc12868"/>
      <w:bookmarkStart w:id="5" w:name="_Toc5462343"/>
      <w:bookmarkStart w:id="6" w:name="_Toc22169_WPSOffice_Level2"/>
      <w:bookmarkStart w:id="7" w:name="_Toc5258"/>
      <w:bookmarkStart w:id="8" w:name="_Toc2663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CN"/>
        </w:rPr>
        <w:t>全民体检</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eastAsia="zh-CN"/>
        </w:rPr>
        <w:t>2022年自治区公共卫生服务（地方公共卫生）补助资金（开展全民健康体检）项目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1913"/>
      <w:bookmarkStart w:id="10" w:name="_Toc419984722"/>
      <w:bookmarkStart w:id="11" w:name="_Toc26131"/>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白新平</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徐俊峰</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康丽娜</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rPr>
        <w:t>通过</w:t>
      </w:r>
      <w:r>
        <w:rPr>
          <w:rFonts w:hint="eastAsia"/>
          <w:color w:val="auto"/>
          <w:sz w:val="32"/>
          <w:szCs w:val="32"/>
          <w:lang w:val="zh-TW" w:eastAsia="zh-TW"/>
        </w:rPr>
        <w:t>组论证的评价指标体</w:t>
      </w:r>
      <w:r>
        <w:rPr>
          <w:rFonts w:hint="eastAsia"/>
          <w:color w:val="auto"/>
          <w:sz w:val="32"/>
          <w:szCs w:val="32"/>
          <w:highlight w:val="none"/>
          <w:lang w:val="zh-TW" w:eastAsia="zh-TW"/>
        </w:rPr>
        <w:t>系及评分标准，</w:t>
      </w:r>
      <w:r>
        <w:rPr>
          <w:rFonts w:hint="eastAsia"/>
          <w:color w:val="auto"/>
          <w:sz w:val="32"/>
          <w:szCs w:val="32"/>
          <w:highlight w:val="none"/>
        </w:rPr>
        <w:t>采用的方法比较法、公众评判法，</w:t>
      </w:r>
      <w:r>
        <w:rPr>
          <w:rFonts w:hint="eastAsia"/>
          <w:color w:val="auto"/>
          <w:sz w:val="32"/>
          <w:szCs w:val="32"/>
          <w:highlight w:val="none"/>
          <w:lang w:val="zh-TW" w:eastAsia="zh-TW"/>
        </w:rPr>
        <w:t>对</w:t>
      </w:r>
      <w:r>
        <w:rPr>
          <w:rFonts w:hint="eastAsia"/>
          <w:color w:val="auto"/>
          <w:sz w:val="32"/>
          <w:szCs w:val="32"/>
          <w:highlight w:val="none"/>
          <w:lang w:eastAsia="zh-CN"/>
        </w:rPr>
        <w:t>202</w:t>
      </w:r>
      <w:r>
        <w:rPr>
          <w:rFonts w:hint="eastAsia"/>
          <w:color w:val="auto"/>
          <w:sz w:val="32"/>
          <w:szCs w:val="32"/>
          <w:highlight w:val="none"/>
          <w:lang w:val="en-US" w:eastAsia="zh-CN"/>
        </w:rPr>
        <w:t>2</w:t>
      </w:r>
      <w:r>
        <w:rPr>
          <w:rFonts w:hint="eastAsia"/>
          <w:color w:val="auto"/>
          <w:sz w:val="32"/>
          <w:szCs w:val="32"/>
          <w:highlight w:val="none"/>
          <w:lang w:eastAsia="zh-CN"/>
        </w:rPr>
        <w:t>年全民健康体检资金</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color w:val="auto"/>
          <w:sz w:val="32"/>
          <w:szCs w:val="32"/>
          <w:highlight w:val="none"/>
          <w:lang w:val="zh-TW" w:eastAsia="zh-TW"/>
        </w:rPr>
        <w:t>对</w:t>
      </w:r>
      <w:r>
        <w:rPr>
          <w:rFonts w:hint="eastAsia"/>
          <w:color w:val="auto"/>
          <w:sz w:val="32"/>
          <w:szCs w:val="32"/>
          <w:highlight w:val="none"/>
          <w:lang w:eastAsia="zh-CN"/>
        </w:rPr>
        <w:t>202</w:t>
      </w:r>
      <w:r>
        <w:rPr>
          <w:rFonts w:hint="eastAsia"/>
          <w:color w:val="auto"/>
          <w:sz w:val="32"/>
          <w:szCs w:val="32"/>
          <w:highlight w:val="none"/>
          <w:lang w:val="en-US" w:eastAsia="zh-CN"/>
        </w:rPr>
        <w:t>2</w:t>
      </w:r>
      <w:r>
        <w:rPr>
          <w:rFonts w:hint="eastAsia"/>
          <w:color w:val="auto"/>
          <w:sz w:val="32"/>
          <w:szCs w:val="32"/>
          <w:highlight w:val="none"/>
          <w:lang w:eastAsia="zh-CN"/>
        </w:rPr>
        <w:t>年全民健康体检资金</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w:t>
      </w:r>
      <w:r>
        <w:rPr>
          <w:rFonts w:hint="eastAsia" w:ascii="仿宋_GB2312" w:hAnsi="仿宋_GB2312" w:cs="仿宋_GB2312"/>
          <w:color w:val="auto"/>
          <w:sz w:val="32"/>
          <w:szCs w:val="32"/>
          <w:lang w:eastAsia="zh-Hans"/>
        </w:rPr>
        <w:t>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我</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关于提前下达</w:t>
      </w:r>
      <w:r>
        <w:rPr>
          <w:rFonts w:hint="eastAsia" w:cs="仿宋_GB2312"/>
          <w:color w:val="auto"/>
          <w:lang w:val="en-US" w:eastAsia="zh-CN"/>
        </w:rPr>
        <w:t>2022年自治区公共卫生服务（地方公共卫生）补助资金预算的通知</w:t>
      </w:r>
      <w:r>
        <w:rPr>
          <w:rFonts w:hint="eastAsia" w:cs="仿宋_GB2312"/>
          <w:color w:val="auto"/>
          <w:lang w:eastAsia="zh-Hans"/>
        </w:rPr>
        <w:t>文件</w:t>
      </w:r>
      <w:r>
        <w:rPr>
          <w:rFonts w:cs="仿宋_GB2312"/>
          <w:color w:val="auto"/>
          <w:lang w:eastAsia="zh-Hans"/>
        </w:rPr>
        <w:t>》（</w:t>
      </w:r>
      <w:r>
        <w:rPr>
          <w:rFonts w:hint="eastAsia" w:cs="仿宋_GB2312"/>
          <w:color w:val="auto"/>
          <w:lang w:eastAsia="zh-Hans"/>
        </w:rPr>
        <w:t>文件号</w:t>
      </w:r>
      <w:r>
        <w:rPr>
          <w:rFonts w:hint="eastAsia" w:cs="仿宋_GB2312"/>
          <w:color w:val="auto"/>
          <w:lang w:eastAsia="zh-CN"/>
        </w:rPr>
        <w:t>昌州财社（</w:t>
      </w:r>
      <w:r>
        <w:rPr>
          <w:rFonts w:hint="eastAsia" w:cs="仿宋_GB2312"/>
          <w:color w:val="auto"/>
          <w:lang w:val="en-US" w:eastAsia="zh-CN"/>
        </w:rPr>
        <w:t>2021</w:t>
      </w:r>
      <w:r>
        <w:rPr>
          <w:rFonts w:cs="仿宋_GB2312"/>
          <w:color w:val="auto"/>
          <w:lang w:eastAsia="zh-Hans"/>
        </w:rPr>
        <w:t>）</w:t>
      </w:r>
      <w:r>
        <w:rPr>
          <w:rFonts w:hint="eastAsia" w:cs="仿宋_GB2312"/>
          <w:color w:val="auto"/>
          <w:lang w:val="en-US" w:eastAsia="zh-CN"/>
        </w:rPr>
        <w:t>64号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78.2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78.2</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eastAsia="zh-CN"/>
        </w:rPr>
        <w:t>四</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26318人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27095人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健康档案建档人数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&gt;=</w:t>
      </w:r>
      <w:r>
        <w:rPr>
          <w:rFonts w:hint="eastAsia" w:ascii="宋体" w:hAnsi="宋体" w:eastAsia="宋体" w:cs="仿宋_GB2312"/>
          <w:color w:val="auto"/>
          <w:sz w:val="32"/>
          <w:szCs w:val="32"/>
          <w:lang w:val="en-US" w:eastAsia="zh-CN"/>
        </w:rPr>
        <w:t>13699</w:t>
      </w:r>
      <w:r>
        <w:rPr>
          <w:rFonts w:hint="eastAsia" w:ascii="宋体" w:hAnsi="宋体" w:eastAsia="宋体" w:cs="仿宋_GB2312"/>
          <w:color w:val="auto"/>
          <w:sz w:val="32"/>
          <w:szCs w:val="32"/>
          <w:lang w:eastAsia="zh-Hans"/>
        </w:rPr>
        <w:t>.00人次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健康档案</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健康档案</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13699.00人次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pStyle w:val="2"/>
        <w:rPr>
          <w:b w:val="0"/>
          <w:bCs w:val="0"/>
          <w:lang w:eastAsia="zh-Hans"/>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产出质量指标</w:t>
      </w:r>
      <w:r>
        <w:rPr>
          <w:rFonts w:hint="eastAsia" w:ascii="仿宋_GB2312" w:hAnsi="仿宋_GB2312" w:cs="仿宋_GB2312"/>
          <w:b w:val="0"/>
          <w:bCs w:val="0"/>
          <w:color w:val="auto"/>
          <w:sz w:val="32"/>
          <w:szCs w:val="32"/>
        </w:rPr>
        <w:t>合计得</w:t>
      </w:r>
      <w:r>
        <w:rPr>
          <w:rFonts w:hint="eastAsia" w:ascii="仿宋_GB2312"/>
          <w:b w:val="0"/>
          <w:bCs w:val="0"/>
          <w:color w:val="auto"/>
          <w:sz w:val="32"/>
          <w:szCs w:val="32"/>
          <w:lang w:val="en-US" w:eastAsia="zh-CN"/>
        </w:rPr>
        <w:t>8</w:t>
      </w:r>
      <w:r>
        <w:rPr>
          <w:rFonts w:hint="eastAsia" w:ascii="仿宋_GB2312" w:hAnsi="仿宋_GB2312" w:cs="仿宋_GB2312"/>
          <w:b w:val="0"/>
          <w:bCs w:val="0"/>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全民健康体检设备到位率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预期指标值为“=100.00%”，根据现场核查可知，</w:t>
      </w:r>
      <w:r>
        <w:rPr>
          <w:rFonts w:hint="eastAsia" w:ascii="仿宋_GB2312" w:hAnsi="仿宋_GB2312" w:cs="仿宋_GB2312"/>
          <w:color w:val="auto"/>
          <w:sz w:val="32"/>
          <w:szCs w:val="32"/>
        </w:rPr>
        <w:t>全民健康体检设备到位率</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得分3分</w:t>
      </w:r>
      <w:r>
        <w:rPr>
          <w:rFonts w:hint="eastAsia" w:ascii="仿宋_GB2312" w:hAnsi="仿宋_GB2312" w:cs="仿宋_GB2312"/>
          <w:color w:val="auto"/>
          <w:sz w:val="32"/>
          <w:szCs w:val="32"/>
        </w:rPr>
        <w:t>。</w:t>
      </w:r>
    </w:p>
    <w:p>
      <w:pPr>
        <w:pStyle w:val="2"/>
        <w:rPr>
          <w:rFonts w:hint="eastAsia" w:ascii="仿宋_GB2312" w:hAnsi="仿宋_GB2312" w:cs="仿宋_GB2312"/>
          <w:b w:val="0"/>
          <w:bCs w:val="0"/>
          <w:color w:val="auto"/>
          <w:sz w:val="32"/>
          <w:szCs w:val="32"/>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全民健康体检完成率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default" w:ascii="仿宋_GB2312" w:hAnsi="仿宋_GB2312" w:cs="仿宋_GB2312"/>
          <w:b w:val="0"/>
          <w:bCs w:val="0"/>
          <w:color w:val="auto"/>
          <w:sz w:val="32"/>
          <w:szCs w:val="32"/>
          <w:lang w:eastAsia="zh-Hans"/>
        </w:rPr>
        <w:t>&gt;=95.00%</w:t>
      </w:r>
      <w:r>
        <w:rPr>
          <w:rFonts w:hint="eastAsia" w:ascii="仿宋_GB2312" w:hAnsi="仿宋_GB2312" w:cs="仿宋_GB2312"/>
          <w:b w:val="0"/>
          <w:bCs w:val="0"/>
          <w:color w:val="auto"/>
          <w:sz w:val="32"/>
          <w:szCs w:val="32"/>
          <w:lang w:eastAsia="zh-Hans"/>
        </w:rPr>
        <w:t>”，根据冠新体检系统可知，全民健康体检完成率</w:t>
      </w:r>
      <w:r>
        <w:rPr>
          <w:rFonts w:hint="eastAsia" w:ascii="仿宋_GB2312" w:hAnsi="仿宋_GB2312" w:cs="仿宋_GB2312"/>
          <w:b w:val="0"/>
          <w:bCs w:val="0"/>
          <w:color w:val="auto"/>
          <w:sz w:val="32"/>
          <w:szCs w:val="32"/>
          <w:lang w:val="en-US" w:eastAsia="zh-CN"/>
        </w:rPr>
        <w:t>100.0</w:t>
      </w:r>
      <w:r>
        <w:rPr>
          <w:rFonts w:hint="eastAsia" w:ascii="仿宋_GB2312" w:hAnsi="仿宋_GB2312" w:cs="仿宋_GB2312"/>
          <w:b w:val="0"/>
          <w:bCs w:val="0"/>
          <w:color w:val="auto"/>
          <w:sz w:val="32"/>
          <w:szCs w:val="32"/>
          <w:lang w:eastAsia="zh-Hans"/>
        </w:rPr>
        <w:t>%，与预期</w:t>
      </w:r>
      <w:r>
        <w:rPr>
          <w:rFonts w:hint="eastAsia" w:ascii="仿宋_GB2312" w:hAnsi="仿宋_GB2312" w:cs="仿宋_GB2312"/>
          <w:b w:val="0"/>
          <w:bCs w:val="0"/>
          <w:color w:val="auto"/>
          <w:sz w:val="32"/>
          <w:szCs w:val="32"/>
        </w:rPr>
        <w:t>目标一致，根据评分标准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得分3分</w:t>
      </w:r>
      <w:r>
        <w:rPr>
          <w:rFonts w:hint="eastAsia" w:ascii="仿宋_GB2312" w:hAnsi="仿宋_GB2312" w:cs="仿宋_GB2312"/>
          <w:b w:val="0"/>
          <w:bCs w:val="0"/>
          <w:color w:val="auto"/>
          <w:sz w:val="32"/>
          <w:szCs w:val="32"/>
        </w:rPr>
        <w:t>。</w:t>
      </w:r>
    </w:p>
    <w:p>
      <w:pPr>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全民体检医务人员到位率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仿宋_GB2312" w:hAnsi="仿宋_GB2312" w:cs="仿宋_GB2312"/>
          <w:color w:val="auto"/>
          <w:sz w:val="32"/>
          <w:szCs w:val="32"/>
          <w:lang w:eastAsia="zh-Hans"/>
        </w:rPr>
        <w:t>=100.00%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得分2分</w:t>
      </w:r>
      <w:r>
        <w:rPr>
          <w:rFonts w:hint="eastAsia" w:ascii="仿宋_GB2312" w:hAnsi="仿宋_GB2312" w:cs="仿宋_GB2312"/>
          <w:b w:val="0"/>
          <w:bCs w:val="0"/>
          <w:color w:val="auto"/>
          <w:sz w:val="32"/>
          <w:szCs w:val="32"/>
        </w:rPr>
        <w:t>。</w:t>
      </w:r>
    </w:p>
    <w:p>
      <w:pPr>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2"/>
        <w:rPr>
          <w:rFonts w:hint="eastAsia" w:cs="仿宋_GB2312"/>
          <w:color w:val="auto"/>
          <w:sz w:val="32"/>
          <w:szCs w:val="32"/>
          <w:lang w:val="en-US" w:eastAsia="zh-CN"/>
        </w:rPr>
      </w:pPr>
      <w:r>
        <w:rPr>
          <w:rFonts w:hint="eastAsia" w:cs="仿宋_GB2312"/>
          <w:color w:val="auto"/>
          <w:sz w:val="32"/>
          <w:szCs w:val="32"/>
          <w:lang w:val="en-US" w:eastAsia="zh-CN"/>
        </w:rPr>
        <w:t>3.</w:t>
      </w:r>
      <w:r>
        <w:rPr>
          <w:rFonts w:hint="eastAsia" w:ascii="仿宋_GB2312" w:cs="仿宋_GB2312"/>
          <w:bCs/>
          <w:color w:val="auto"/>
          <w:sz w:val="32"/>
          <w:szCs w:val="32"/>
        </w:rPr>
        <w:t>产出时效</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试剂耗材支出</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w:t>
      </w:r>
      <w:r>
        <w:rPr>
          <w:rFonts w:hint="eastAsia" w:ascii="宋体" w:hAnsi="宋体" w:eastAsia="宋体" w:cs="Arial"/>
          <w:color w:val="auto"/>
          <w:sz w:val="32"/>
          <w:szCs w:val="32"/>
          <w:lang w:val="en-US" w:eastAsia="zh-CN"/>
        </w:rPr>
        <w:t>15.6</w:t>
      </w:r>
      <w:r>
        <w:rPr>
          <w:rFonts w:hint="eastAsia" w:ascii="宋体" w:hAnsi="宋体" w:eastAsia="宋体" w:cs="Arial"/>
          <w:color w:val="auto"/>
          <w:sz w:val="32"/>
          <w:szCs w:val="32"/>
          <w:lang w:eastAsia="zh-Hans"/>
        </w:rPr>
        <w:t>.00万元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资金</w:t>
      </w:r>
      <w:r>
        <w:rPr>
          <w:rFonts w:hint="eastAsia" w:ascii="仿宋_GB2312" w:cs="仿宋_GB2312"/>
          <w:color w:val="auto"/>
          <w:sz w:val="32"/>
          <w:szCs w:val="32"/>
          <w:lang w:val="en-US" w:eastAsia="zh-CN"/>
        </w:rPr>
        <w:t>15.6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spacing w:line="600" w:lineRule="exact"/>
        <w:ind w:firstLine="640"/>
        <w:rPr>
          <w:b w:val="0"/>
          <w:bCs w:val="0"/>
          <w:color w:val="auto"/>
          <w:sz w:val="32"/>
          <w:szCs w:val="32"/>
        </w:rPr>
      </w:pPr>
      <w:r>
        <w:rPr>
          <w:rFonts w:hint="eastAsia"/>
          <w:b w:val="0"/>
          <w:bCs w:val="0"/>
          <w:color w:val="auto"/>
          <w:sz w:val="32"/>
          <w:szCs w:val="32"/>
        </w:rPr>
        <w:t>“其他支出”指标，预期指标值为“&lt;=</w:t>
      </w:r>
      <w:r>
        <w:rPr>
          <w:rFonts w:hint="eastAsia"/>
          <w:b w:val="0"/>
          <w:bCs w:val="0"/>
          <w:color w:val="auto"/>
          <w:sz w:val="32"/>
          <w:szCs w:val="32"/>
          <w:lang w:val="en-US" w:eastAsia="zh-CN"/>
        </w:rPr>
        <w:t>62.6</w:t>
      </w:r>
      <w:r>
        <w:rPr>
          <w:rFonts w:hint="eastAsia"/>
          <w:b w:val="0"/>
          <w:bCs w:val="0"/>
          <w:color w:val="auto"/>
          <w:sz w:val="32"/>
          <w:szCs w:val="32"/>
        </w:rPr>
        <w:t>万元”，根据资金支付凭证显示，</w:t>
      </w:r>
      <w:r>
        <w:rPr>
          <w:rFonts w:hint="eastAsia"/>
          <w:b w:val="0"/>
          <w:bCs w:val="0"/>
          <w:color w:val="auto"/>
          <w:sz w:val="32"/>
          <w:szCs w:val="32"/>
          <w:lang w:val="en-US" w:eastAsia="zh-CN"/>
        </w:rPr>
        <w:t>其他支出62.6</w:t>
      </w:r>
      <w:r>
        <w:rPr>
          <w:rFonts w:hint="eastAsia"/>
          <w:b w:val="0"/>
          <w:bCs w:val="0"/>
          <w:color w:val="auto"/>
          <w:sz w:val="32"/>
          <w:szCs w:val="32"/>
        </w:rPr>
        <w:t>万元，经费支出能够控制在绩效目标范围内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b w:val="0"/>
          <w:bCs w:val="0"/>
          <w:color w:val="auto"/>
          <w:sz w:val="32"/>
          <w:szCs w:val="32"/>
        </w:rPr>
        <w:t>。</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hAnsi="仿宋_GB2312" w:cs="仿宋_GB2312"/>
          <w:b w:val="0"/>
          <w:bCs/>
          <w:color w:val="auto"/>
          <w:sz w:val="32"/>
          <w:szCs w:val="32"/>
          <w:lang w:eastAsia="zh-Hans"/>
        </w:rPr>
        <w:t>综上所述</w:t>
      </w:r>
      <w:r>
        <w:rPr>
          <w:rFonts w:ascii="仿宋_GB2312" w:hAnsi="仿宋_GB2312" w:cs="仿宋_GB2312"/>
          <w:b w:val="0"/>
          <w:bCs/>
          <w:color w:val="auto"/>
          <w:sz w:val="32"/>
          <w:szCs w:val="32"/>
          <w:lang w:eastAsia="zh-Hans"/>
        </w:rPr>
        <w:t>，</w:t>
      </w:r>
      <w:r>
        <w:rPr>
          <w:rFonts w:hint="eastAsia" w:ascii="仿宋_GB2312" w:hAnsi="仿宋_GB2312" w:cs="仿宋_GB2312"/>
          <w:b w:val="0"/>
          <w:bCs/>
          <w:color w:val="auto"/>
          <w:sz w:val="32"/>
          <w:szCs w:val="32"/>
          <w:lang w:eastAsia="zh-Hans"/>
        </w:rPr>
        <w:t>产出成本指标</w:t>
      </w:r>
      <w:r>
        <w:rPr>
          <w:rFonts w:hint="eastAsia" w:ascii="仿宋_GB2312" w:hAnsi="仿宋_GB2312" w:cs="仿宋_GB2312"/>
          <w:b w:val="0"/>
          <w:bCs/>
          <w:color w:val="auto"/>
          <w:sz w:val="32"/>
          <w:szCs w:val="32"/>
        </w:rPr>
        <w:t>合计得</w:t>
      </w:r>
      <w:r>
        <w:rPr>
          <w:rFonts w:hint="eastAsia" w:ascii="仿宋_GB2312" w:hAnsi="仿宋_GB2312" w:cs="仿宋_GB2312"/>
          <w:b w:val="0"/>
          <w:bCs/>
          <w:color w:val="auto"/>
          <w:sz w:val="32"/>
          <w:szCs w:val="32"/>
          <w:lang w:val="en-US" w:eastAsia="zh-CN"/>
        </w:rPr>
        <w:t>8</w:t>
      </w:r>
      <w:r>
        <w:rPr>
          <w:rFonts w:hint="eastAsia" w:ascii="仿宋_GB2312" w:hAnsi="仿宋_GB2312" w:cs="仿宋_GB2312"/>
          <w:b w:val="0"/>
          <w:bCs/>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numPr>
          <w:ilvl w:val="0"/>
          <w:numId w:val="7"/>
        </w:numPr>
        <w:overflowPunct w:val="0"/>
        <w:spacing w:line="600" w:lineRule="exact"/>
        <w:ind w:firstLine="643"/>
        <w:contextualSpacing/>
        <w:rPr>
          <w:rFonts w:hint="eastAsia" w:ascii="仿宋_GB2312"/>
          <w:b/>
          <w:bCs/>
          <w:color w:val="auto"/>
          <w:sz w:val="32"/>
          <w:szCs w:val="32"/>
        </w:rPr>
      </w:pPr>
      <w:r>
        <w:rPr>
          <w:rFonts w:hint="eastAsia" w:ascii="仿宋_GB2312"/>
          <w:b/>
          <w:bCs/>
          <w:color w:val="auto"/>
          <w:sz w:val="32"/>
          <w:szCs w:val="32"/>
        </w:rPr>
        <w:t>实施效益指标</w:t>
      </w:r>
    </w:p>
    <w:p>
      <w:pPr>
        <w:pStyle w:val="2"/>
        <w:numPr>
          <w:ilvl w:val="0"/>
          <w:numId w:val="0"/>
        </w:numPr>
        <w:ind w:firstLine="640" w:firstLineChars="200"/>
        <w:rPr>
          <w:b w:val="0"/>
          <w:bCs w:val="0"/>
          <w:color w:val="auto"/>
        </w:rPr>
      </w:pPr>
      <w:r>
        <w:rPr>
          <w:rFonts w:hint="eastAsia"/>
          <w:b w:val="0"/>
          <w:bCs w:val="0"/>
          <w:color w:val="auto"/>
          <w:sz w:val="32"/>
          <w:szCs w:val="32"/>
          <w:u w:color="000000"/>
          <w:lang w:val="zh-TW" w:eastAsia="zh-TW"/>
        </w:rPr>
        <w:t>项目</w:t>
      </w:r>
      <w:r>
        <w:rPr>
          <w:rFonts w:hint="eastAsia" w:ascii="仿宋_GB2312"/>
          <w:b w:val="0"/>
          <w:bCs w:val="0"/>
          <w:color w:val="auto"/>
          <w:sz w:val="32"/>
          <w:szCs w:val="32"/>
        </w:rPr>
        <w:t>效益</w:t>
      </w:r>
      <w:r>
        <w:rPr>
          <w:rFonts w:hint="eastAsia"/>
          <w:b w:val="0"/>
          <w:bCs w:val="0"/>
          <w:color w:val="auto"/>
          <w:sz w:val="32"/>
          <w:szCs w:val="32"/>
          <w:u w:color="000000"/>
          <w:lang w:val="zh-TW" w:eastAsia="zh-TW"/>
        </w:rPr>
        <w:t>类指标由</w:t>
      </w:r>
      <w:r>
        <w:rPr>
          <w:rFonts w:hint="eastAsia"/>
          <w:b w:val="0"/>
          <w:bCs w:val="0"/>
          <w:color w:val="auto"/>
          <w:sz w:val="32"/>
          <w:szCs w:val="32"/>
          <w:u w:color="000000"/>
          <w:lang w:val="en-US" w:eastAsia="zh-CN"/>
        </w:rPr>
        <w:t>2</w:t>
      </w:r>
      <w:r>
        <w:rPr>
          <w:rFonts w:hint="eastAsia"/>
          <w:b w:val="0"/>
          <w:bCs w:val="0"/>
          <w:color w:val="auto"/>
          <w:sz w:val="32"/>
          <w:szCs w:val="32"/>
          <w:u w:color="000000"/>
          <w:lang w:val="zh-TW" w:eastAsia="zh-TW"/>
        </w:rPr>
        <w:t>个</w:t>
      </w:r>
      <w:r>
        <w:rPr>
          <w:rFonts w:hint="eastAsia"/>
          <w:b w:val="0"/>
          <w:bCs w:val="0"/>
          <w:color w:val="auto"/>
          <w:sz w:val="32"/>
          <w:szCs w:val="32"/>
          <w:u w:color="000000"/>
          <w:lang w:val="zh-TW"/>
        </w:rPr>
        <w:t>二</w:t>
      </w:r>
      <w:r>
        <w:rPr>
          <w:rFonts w:hint="eastAsia"/>
          <w:b w:val="0"/>
          <w:bCs w:val="0"/>
          <w:color w:val="auto"/>
          <w:sz w:val="32"/>
          <w:szCs w:val="32"/>
          <w:u w:color="000000"/>
          <w:lang w:val="zh-TW" w:eastAsia="zh-TW"/>
        </w:rPr>
        <w:t>级指标和</w:t>
      </w:r>
      <w:r>
        <w:rPr>
          <w:rFonts w:hint="eastAsia"/>
          <w:b w:val="0"/>
          <w:bCs w:val="0"/>
          <w:color w:val="auto"/>
          <w:sz w:val="32"/>
          <w:szCs w:val="32"/>
          <w:u w:color="000000"/>
          <w:lang w:val="en-US" w:eastAsia="zh-CN"/>
        </w:rPr>
        <w:t>3</w:t>
      </w:r>
      <w:r>
        <w:rPr>
          <w:rFonts w:hint="eastAsia"/>
          <w:b w:val="0"/>
          <w:bCs w:val="0"/>
          <w:color w:val="auto"/>
          <w:sz w:val="32"/>
          <w:szCs w:val="32"/>
          <w:u w:color="000000"/>
          <w:lang w:val="zh-TW" w:eastAsia="zh-TW"/>
        </w:rPr>
        <w:t>个</w:t>
      </w:r>
      <w:r>
        <w:rPr>
          <w:rFonts w:hint="eastAsia"/>
          <w:b w:val="0"/>
          <w:bCs w:val="0"/>
          <w:color w:val="auto"/>
          <w:sz w:val="32"/>
          <w:szCs w:val="32"/>
          <w:u w:color="000000"/>
        </w:rPr>
        <w:t>三</w:t>
      </w:r>
      <w:r>
        <w:rPr>
          <w:rFonts w:hint="eastAsia"/>
          <w:b w:val="0"/>
          <w:bCs w:val="0"/>
          <w:color w:val="auto"/>
          <w:sz w:val="32"/>
          <w:szCs w:val="32"/>
          <w:u w:color="000000"/>
          <w:lang w:val="zh-TW" w:eastAsia="zh-TW"/>
        </w:rPr>
        <w:t>级指标构成，</w:t>
      </w:r>
      <w:r>
        <w:rPr>
          <w:rFonts w:hint="eastAsia" w:ascii="仿宋_GB2312" w:cs="仿宋_GB2312"/>
          <w:b w:val="0"/>
          <w:bCs w:val="0"/>
          <w:color w:val="auto"/>
          <w:sz w:val="32"/>
          <w:szCs w:val="32"/>
        </w:rPr>
        <w:t>权重分为</w:t>
      </w:r>
      <w:r>
        <w:rPr>
          <w:rFonts w:ascii="仿宋_GB2312" w:cs="仿宋_GB2312"/>
          <w:b w:val="0"/>
          <w:bCs w:val="0"/>
          <w:color w:val="auto"/>
          <w:sz w:val="32"/>
          <w:szCs w:val="32"/>
        </w:rPr>
        <w:t>30</w:t>
      </w:r>
      <w:r>
        <w:rPr>
          <w:rFonts w:hint="eastAsia" w:ascii="仿宋_GB2312" w:cs="仿宋_GB2312"/>
          <w:b w:val="0"/>
          <w:bCs w:val="0"/>
          <w:color w:val="auto"/>
          <w:sz w:val="32"/>
          <w:szCs w:val="32"/>
        </w:rPr>
        <w:t>分，</w:t>
      </w:r>
      <w:r>
        <w:rPr>
          <w:rFonts w:hint="eastAsia" w:ascii="仿宋_GB2312" w:hAnsi="仿宋_GB2312" w:cs="仿宋_GB2312"/>
          <w:b w:val="0"/>
          <w:bCs w:val="0"/>
          <w:color w:val="auto"/>
          <w:sz w:val="32"/>
          <w:szCs w:val="32"/>
          <w:lang w:eastAsia="zh-Hans"/>
        </w:rPr>
        <w:t>本项目</w:t>
      </w:r>
      <w:r>
        <w:rPr>
          <w:rFonts w:hint="eastAsia" w:ascii="仿宋_GB2312" w:hAnsi="仿宋_GB2312" w:cs="仿宋_GB2312"/>
          <w:b w:val="0"/>
          <w:bCs w:val="0"/>
          <w:color w:val="auto"/>
          <w:sz w:val="32"/>
          <w:szCs w:val="32"/>
        </w:rPr>
        <w:t>实际得分</w:t>
      </w:r>
      <w:r>
        <w:rPr>
          <w:rFonts w:hint="eastAsia" w:ascii="仿宋_GB2312" w:hAnsi="仿宋_GB2312" w:cs="仿宋_GB2312"/>
          <w:b w:val="0"/>
          <w:bCs w:val="0"/>
          <w:color w:val="auto"/>
          <w:sz w:val="32"/>
          <w:szCs w:val="32"/>
          <w:lang w:val="en-US" w:eastAsia="zh-CN"/>
        </w:rPr>
        <w:t>3</w:t>
      </w:r>
      <w:r>
        <w:rPr>
          <w:rFonts w:hint="eastAsia" w:ascii="仿宋_GB2312"/>
          <w:b w:val="0"/>
          <w:bCs w:val="0"/>
          <w:color w:val="auto"/>
          <w:sz w:val="32"/>
          <w:szCs w:val="32"/>
          <w:lang w:val="en-US" w:eastAsia="zh-CN"/>
        </w:rPr>
        <w:t>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具体各项指标得分如下</w:t>
      </w:r>
      <w:r>
        <w:rPr>
          <w:rFonts w:ascii="仿宋_GB2312" w:hAnsi="仿宋_GB2312" w:cs="仿宋_GB2312"/>
          <w:b w:val="0"/>
          <w:bCs w:val="0"/>
          <w:color w:val="auto"/>
          <w:sz w:val="32"/>
          <w:szCs w:val="32"/>
          <w:lang w:eastAsia="zh-Hans"/>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3"/>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辖区居民健康水平不断提高</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“有所提高”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bookmarkStart w:id="19" w:name="_GoBack"/>
      <w:bookmarkEnd w:id="19"/>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公共卫生均等化水平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“有所提高”</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95</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95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8"/>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2022年自治区公共卫生服务（地方公共卫生）补助资金（开展全民健康体检）项目预算金额</w:t>
      </w:r>
      <w:r>
        <w:rPr>
          <w:rFonts w:hint="eastAsia" w:ascii="仿宋_GB2312"/>
          <w:color w:val="auto"/>
          <w:sz w:val="32"/>
          <w:szCs w:val="32"/>
          <w:lang w:val="en-US" w:eastAsia="zh-CN"/>
        </w:rPr>
        <w:t>78.2</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78.2</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78.2</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8"/>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w:t>
      </w:r>
      <w:r>
        <w:rPr>
          <w:rFonts w:hint="eastAsia" w:ascii="仿宋_GB2312" w:hAnsi="仿宋_GB2312" w:cs="仿宋_GB2312"/>
          <w:color w:val="auto"/>
          <w:sz w:val="32"/>
          <w:szCs w:val="32"/>
          <w:lang w:eastAsia="zh-CN"/>
        </w:rPr>
        <w:t>本项目计划使用资金</w:t>
      </w:r>
      <w:r>
        <w:rPr>
          <w:rFonts w:hint="eastAsia" w:ascii="仿宋_GB2312" w:hAnsi="仿宋_GB2312" w:cs="仿宋_GB2312"/>
          <w:color w:val="auto"/>
          <w:sz w:val="32"/>
          <w:szCs w:val="32"/>
          <w:lang w:val="en-US" w:eastAsia="zh-CN"/>
        </w:rPr>
        <w:t>78.2</w:t>
      </w:r>
      <w:r>
        <w:rPr>
          <w:rFonts w:hint="eastAsia" w:ascii="仿宋_GB2312" w:hAnsi="仿宋_GB2312" w:cs="仿宋_GB2312"/>
          <w:color w:val="auto"/>
          <w:sz w:val="32"/>
          <w:szCs w:val="32"/>
          <w:lang w:eastAsia="zh-CN"/>
        </w:rPr>
        <w:t>万元，主要用于完成全民体检人数</w:t>
      </w:r>
      <w:r>
        <w:rPr>
          <w:rFonts w:hint="eastAsia" w:ascii="仿宋_GB2312" w:hAnsi="仿宋_GB2312" w:cs="仿宋_GB2312"/>
          <w:color w:val="auto"/>
          <w:sz w:val="32"/>
          <w:szCs w:val="32"/>
          <w:lang w:val="en-US" w:eastAsia="zh-CN"/>
        </w:rPr>
        <w:t>27095</w:t>
      </w:r>
      <w:r>
        <w:rPr>
          <w:rFonts w:hint="eastAsia" w:ascii="仿宋_GB2312" w:hAnsi="仿宋_GB2312" w:cs="仿宋_GB2312"/>
          <w:color w:val="auto"/>
          <w:sz w:val="32"/>
          <w:szCs w:val="32"/>
          <w:lang w:eastAsia="zh-CN"/>
        </w:rPr>
        <w:t>，健康档案建档人数</w:t>
      </w:r>
      <w:r>
        <w:rPr>
          <w:rFonts w:hint="eastAsia" w:ascii="仿宋_GB2312" w:hAnsi="仿宋_GB2312" w:cs="仿宋_GB2312"/>
          <w:color w:val="auto"/>
          <w:sz w:val="32"/>
          <w:szCs w:val="32"/>
          <w:lang w:val="en-US" w:eastAsia="zh-CN"/>
        </w:rPr>
        <w:t>13699</w:t>
      </w:r>
      <w:r>
        <w:rPr>
          <w:rFonts w:hint="eastAsia" w:ascii="仿宋_GB2312" w:hAnsi="仿宋_GB2312" w:cs="仿宋_GB2312"/>
          <w:color w:val="auto"/>
          <w:sz w:val="32"/>
          <w:szCs w:val="32"/>
          <w:lang w:eastAsia="zh-CN"/>
        </w:rPr>
        <w:t>人，做好体检的组织实施、人员培训、数据填报、后勤保障，建档立卡、追踪随访、做到体检与“健康咨询、健康教育、重大疾病”相结合，对体检结果的异常及时随访，对需要转院的疑难重症患者，畅通“绿色通道”协助到上级医院进行救治。</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组建医疗梯队，提高健康体检质量</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为全力做好全民健康体检工作，</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加强对全民健康体检工作质量的管理。一是科学调配医护人员与技术人员，安排</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委组织的各类全民体检培训，及时组织中心体检医师、辅助检查科室、信息录入人员对体检结果分析、评价、反馈等内容进行培训，对体检中发现的问题及时进行整改。</w:t>
      </w:r>
      <w:r>
        <w:rPr>
          <w:rFonts w:hint="eastAsia" w:ascii="仿宋_GB2312" w:hAnsi="仿宋_GB2312" w:cs="仿宋_GB2312"/>
          <w:color w:val="auto"/>
          <w:sz w:val="32"/>
          <w:szCs w:val="32"/>
          <w:lang w:eastAsia="zh-CN"/>
        </w:rPr>
        <w:t>三</w:t>
      </w:r>
      <w:r>
        <w:rPr>
          <w:rFonts w:hint="eastAsia" w:ascii="仿宋_GB2312" w:hAnsi="仿宋_GB2312" w:cs="仿宋_GB2312"/>
          <w:color w:val="auto"/>
          <w:sz w:val="32"/>
          <w:szCs w:val="32"/>
        </w:rPr>
        <w:t>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合理设置科室，优化健康体检流程</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为方便居民体检，我们不断优化健康体检流程，尽可能方便居民体检。一是</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昌吉地区</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7F4F118"/>
    <w:multiLevelType w:val="singleLevel"/>
    <w:tmpl w:val="F7F4F118"/>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0975E79"/>
    <w:multiLevelType w:val="singleLevel"/>
    <w:tmpl w:val="30975E79"/>
    <w:lvl w:ilvl="0" w:tentative="0">
      <w:start w:val="1"/>
      <w:numFmt w:val="decimal"/>
      <w:lvlText w:val="%1."/>
      <w:lvlJc w:val="left"/>
      <w:pPr>
        <w:tabs>
          <w:tab w:val="left" w:pos="312"/>
        </w:tabs>
      </w:pPr>
    </w:lvl>
  </w:abstractNum>
  <w:abstractNum w:abstractNumId="6">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pPr>
        <w:ind w:left="197"/>
      </w:pPr>
      <w:rPr>
        <w:rFonts w:hint="eastAsia"/>
      </w:rPr>
    </w:lvl>
  </w:abstractNum>
  <w:num w:numId="1">
    <w:abstractNumId w:val="6"/>
  </w:num>
  <w:num w:numId="2">
    <w:abstractNumId w:val="0"/>
  </w:num>
  <w:num w:numId="3">
    <w:abstractNumId w:val="1"/>
  </w:num>
  <w:num w:numId="4">
    <w:abstractNumId w:val="4"/>
  </w:num>
  <w:num w:numId="5">
    <w:abstractNumId w:val="3"/>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BF38CB"/>
    <w:rsid w:val="15DC6CEA"/>
    <w:rsid w:val="18AA23B5"/>
    <w:rsid w:val="195D7EAE"/>
    <w:rsid w:val="1BDF5581"/>
    <w:rsid w:val="1CF816F4"/>
    <w:rsid w:val="1F0506AA"/>
    <w:rsid w:val="214B0FAD"/>
    <w:rsid w:val="245E1E24"/>
    <w:rsid w:val="2DE56A40"/>
    <w:rsid w:val="2E483E7E"/>
    <w:rsid w:val="33944516"/>
    <w:rsid w:val="357E5B3B"/>
    <w:rsid w:val="3B816234"/>
    <w:rsid w:val="3C451076"/>
    <w:rsid w:val="459C40F5"/>
    <w:rsid w:val="55D419F6"/>
    <w:rsid w:val="57A77C23"/>
    <w:rsid w:val="59F34AE3"/>
    <w:rsid w:val="6740431B"/>
    <w:rsid w:val="68291A1A"/>
    <w:rsid w:val="691B1594"/>
    <w:rsid w:val="6D5D120D"/>
    <w:rsid w:val="6F0D6C22"/>
    <w:rsid w:val="716E2006"/>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8033</Words>
  <Characters>8500</Characters>
  <Lines>1</Lines>
  <Paragraphs>1</Paragraphs>
  <TotalTime>0</TotalTime>
  <ScaleCrop>false</ScaleCrop>
  <LinksUpToDate>false</LinksUpToDate>
  <CharactersWithSpaces>8523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2023-04-18T03:13:11Z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1EF4F49AD4E147BAB5DFF413F6A249F1_12</vt:lpwstr>
  </property>
</Properties>
</file>