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昌吉市人民医院</w:t>
      </w:r>
      <w:r>
        <w:rPr>
          <w:rFonts w:hint="eastAsia" w:ascii="方正小标宋简体" w:hAnsi="黑体" w:eastAsia="方正小标宋简体" w:cs="黑体"/>
          <w:bCs/>
          <w:sz w:val="48"/>
          <w:szCs w:val="48"/>
        </w:rPr>
        <w:t>市体育场方舱医院运行经费支出绩效评价报告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
      <w:pPr>
        <w:keepNext w:val="0"/>
        <w:keepLines w:val="0"/>
        <w:widowControl w:val="0"/>
        <w:suppressLineNumbers w:val="0"/>
        <w:spacing w:before="0" w:beforeAutospacing="0" w:after="0" w:afterAutospacing="0" w:line="360" w:lineRule="auto"/>
        <w:ind w:left="0" w:right="0" w:firstLine="600" w:firstLineChars="200"/>
        <w:jc w:val="left"/>
        <w:rPr>
          <w:rFonts w:hint="default" w:ascii="黑体" w:hAnsi="黑体" w:eastAsia="黑体" w:cs="仿宋_GB2312"/>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市体育场方舱医院运行经费</w:t>
      </w:r>
    </w:p>
    <w:bookmarkEnd w:id="0"/>
    <w:p>
      <w:pPr>
        <w:ind w:left="0" w:leftChars="0" w:firstLine="600" w:firstLineChars="2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昌吉市人民医院</w:t>
      </w:r>
    </w:p>
    <w:p>
      <w:pPr>
        <w:ind w:left="0" w:leftChars="0" w:firstLine="600" w:firstLineChars="200"/>
        <w:jc w:val="left"/>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rPr>
        <w:t>昌吉市</w:t>
      </w:r>
      <w:r>
        <w:rPr>
          <w:rFonts w:hint="eastAsia" w:ascii="黑体" w:hAnsi="黑体" w:eastAsia="黑体" w:cs="宋体"/>
          <w:sz w:val="30"/>
          <w:szCs w:val="30"/>
          <w:lang w:val="en-US" w:eastAsia="zh-CN"/>
        </w:rPr>
        <w:t>卫生健康委员会</w:t>
      </w:r>
    </w:p>
    <w:p>
      <w:pPr>
        <w:jc w:val="left"/>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马建萍</w:t>
      </w:r>
      <w:bookmarkStart w:id="19" w:name="_GoBack"/>
      <w:bookmarkEnd w:id="19"/>
    </w:p>
    <w:p>
      <w:pPr>
        <w:jc w:val="left"/>
        <w:rPr>
          <w:rFonts w:hint="eastAsia" w:ascii="方正小标宋_GBK" w:hAnsi="黑体" w:eastAsia="方正小标宋_GBK" w:cs="黑体"/>
          <w:bCs/>
          <w:sz w:val="44"/>
          <w:szCs w:val="44"/>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11</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项</w:t>
      </w:r>
      <w:r>
        <w:rPr>
          <w:rFonts w:hint="eastAsia" w:ascii="方正小标宋_GBK" w:hAnsi="黑体" w:eastAsia="方正小标宋_GBK" w:cs="黑体"/>
          <w:bCs/>
          <w:sz w:val="44"/>
          <w:szCs w:val="44"/>
        </w:rPr>
        <w:t>目支出绩效评价报告</w:t>
      </w:r>
    </w:p>
    <w:p>
      <w:pPr>
        <w:pStyle w:val="3"/>
        <w:spacing w:line="600" w:lineRule="exact"/>
        <w:ind w:left="0" w:leftChars="0" w:firstLine="0" w:firstLineChars="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spacing w:line="600" w:lineRule="exact"/>
        <w:ind w:firstLine="640"/>
        <w:rPr>
          <w:rFonts w:hint="default"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体育场方舱医院用于收治新冠肺炎感染的轻症和无症状感染病例，已于10月8日投入使用。为保障昌吉市体育场方舱医院正常运转，做好方舱医院消毒消杀、核酸检测样本转送、污水检测、后勤保障等各项工作，我医院申请拨付前期发生的各项费用。</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w:t>
      </w:r>
      <w:r>
        <w:rPr>
          <w:rFonts w:hint="eastAsia" w:ascii="仿宋_GB2312" w:hAnsi="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计划使用资金58.50万元，用于支付保洁人员工资35.8663万元，医疗污水设备维保人员劳务费和污水处理费5.1532万元，车辆维保和燃油费1万元，制作标识标牌16.4821万元。确保市体育场方舱医院正常运行，做好新型冠状病毒防控工作，提高新型冠状病毒的防治水平和应对能力，及时、有效的采取防控措施，控制疫情的传播、蔓延，保障广大群众的身体健康和生命安全，及时发现和报告新冠病毒肺炎病例，有效预防、控制和消除突发公共卫生事件及其危害，确保疫情防控工作全面有效开展。</w:t>
      </w:r>
    </w:p>
    <w:p>
      <w:pPr>
        <w:pStyle w:val="5"/>
        <w:spacing w:line="600" w:lineRule="exact"/>
        <w:ind w:firstLine="643"/>
        <w:rPr>
          <w:sz w:val="32"/>
        </w:rPr>
      </w:pPr>
      <w:r>
        <w:rPr>
          <w:rFonts w:hint="eastAsia"/>
          <w:sz w:val="32"/>
        </w:rPr>
        <w:t>3.项目实施主体</w:t>
      </w:r>
    </w:p>
    <w:p>
      <w:pPr>
        <w:spacing w:line="540" w:lineRule="exact"/>
        <w:ind w:firstLine="627" w:firstLineChars="196"/>
        <w:rPr>
          <w:rFonts w:ascii="仿宋_GB2312" w:hAnsi="仿宋_GB2312" w:cs="仿宋_GB2312"/>
          <w:color w:val="000000" w:themeColor="text1"/>
          <w:sz w:val="32"/>
          <w:szCs w:val="32"/>
          <w:lang w:eastAsia="zh-Hans"/>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年市体育场方舱医院项目的实施主体为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昌吉市人民医院</w:t>
      </w:r>
      <w:r>
        <w:rPr>
          <w:rFonts w:hint="eastAsia" w:ascii="仿宋_GB2312" w:hAnsi="仿宋_GB2312" w:cs="仿宋_GB2312"/>
          <w:color w:val="000000" w:themeColor="text1"/>
          <w:sz w:val="32"/>
          <w:szCs w:val="32"/>
          <w:lang w:eastAsia="zh-Hans"/>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56个科室，</w:t>
      </w:r>
      <w:r>
        <w:rPr>
          <w:rFonts w:hint="eastAsia" w:ascii="仿宋_GB2312" w:hAnsi="仿宋_GB2312" w:cs="仿宋_GB2312"/>
          <w:color w:val="000000" w:themeColor="text1"/>
          <w:sz w:val="32"/>
          <w:szCs w:val="32"/>
          <w:lang w:eastAsia="zh-Hans"/>
          <w14:textFill>
            <w14:solidFill>
              <w14:schemeClr w14:val="tx1"/>
            </w14:solidFill>
          </w14:textFill>
        </w:rPr>
        <w:t>分别是：</w:t>
      </w:r>
    </w:p>
    <w:p>
      <w:pPr>
        <w:spacing w:line="540" w:lineRule="exact"/>
        <w:ind w:firstLine="627" w:firstLineChars="196"/>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（1）临床科室：心血管内科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呼吸内科（老年病科）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消化内科（感染性疾病科）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内分泌代谢病科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骨科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神经科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普外肿瘤科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肝胆泌尿外科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眼耳鼻喉科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妇科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儿科（含新生儿专业、儿童保健）</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中医针灸科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重症医学科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急诊科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手术麻醉科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口腔科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皮肤科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门诊部</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高压氧治疗科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康复医学</w:t>
      </w:r>
      <w:r>
        <w:rPr>
          <w:rFonts w:hint="eastAsia" w:ascii="仿宋_GB2312" w:hAnsi="仿宋_GB2312" w:cs="仿宋_GB2312"/>
          <w:color w:val="000000" w:themeColor="text1"/>
          <w:sz w:val="32"/>
          <w:szCs w:val="32"/>
          <w:lang w:eastAsia="zh-CN"/>
          <w14:textFill>
            <w14:solidFill>
              <w14:schemeClr w14:val="tx1"/>
            </w14:solidFill>
          </w14:textFill>
        </w:rPr>
        <w:t>科；</w:t>
      </w:r>
    </w:p>
    <w:p>
      <w:pPr>
        <w:spacing w:line="540" w:lineRule="exact"/>
        <w:ind w:firstLine="627" w:firstLineChars="196"/>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（2）医技科室：药剂科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检验科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放射科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超声科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功能科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病理科；</w:t>
      </w:r>
    </w:p>
    <w:p>
      <w:pPr>
        <w:spacing w:line="540" w:lineRule="exact"/>
        <w:ind w:firstLine="627" w:firstLineChars="196"/>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（3）职能科室：党委办（党委办公室、纪检督查科、人事科、内审办、宣传科）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行政办（行政办公室、车队）</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医务部（医务科、科教科、医疗质量控制办公室、预防保健科、医患沟通办公室、病案室）</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医院感染控制科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护理部</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财务部（财务科、经管科、物资采购管理办公室）</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信息工程部（信息科、医学装备室）</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后勤保障部（后勤保障部、保卫科）</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医保办</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临床药学室。</w:t>
      </w:r>
    </w:p>
    <w:p>
      <w:pPr>
        <w:spacing w:line="540" w:lineRule="exact"/>
        <w:ind w:firstLine="627" w:firstLineChars="196"/>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（4）其他科室</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美沙酮药物维持治疗门诊</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病人服务部</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中心供应室</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体检管理科。</w:t>
      </w:r>
    </w:p>
    <w:p>
      <w:pPr>
        <w:spacing w:line="540" w:lineRule="exact"/>
        <w:ind w:firstLine="627" w:firstLineChars="196"/>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编制人数为：306人，其中：事业编制306人。实有在职人数253人，其中：事业在职253人。离退休人员167人，其中：事业退休167人。</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14:textFill>
            <w14:solidFill>
              <w14:schemeClr w14:val="tx1"/>
            </w14:solidFill>
          </w14:textFill>
        </w:rPr>
        <w:t>市体育场方舱医院运行经费昌州财预【2022】20号</w:t>
      </w:r>
      <w:r>
        <w:rPr>
          <w:rFonts w:hint="eastAsia" w:ascii="仿宋_GB2312" w:hAnsi="仿宋_GB2312" w:cs="仿宋_GB2312"/>
          <w:color w:val="000000" w:themeColor="text1"/>
          <w:sz w:val="32"/>
          <w:szCs w:val="32"/>
          <w:lang w:eastAsia="zh-Hans"/>
          <w14:textFill>
            <w14:solidFill>
              <w14:schemeClr w14:val="tx1"/>
            </w14:solidFill>
          </w14:textFill>
        </w:rPr>
        <w:t>文件，</w:t>
      </w:r>
      <w:r>
        <w:rPr>
          <w:rFonts w:hint="eastAsia" w:ascii="仿宋_GB2312" w:hAnsi="仿宋_GB2312" w:cs="仿宋_GB2312"/>
          <w:color w:val="000000" w:themeColor="text1"/>
          <w:sz w:val="32"/>
          <w:szCs w:val="32"/>
          <w14:textFill>
            <w14:solidFill>
              <w14:schemeClr w14:val="tx1"/>
            </w14:solidFill>
          </w14:textFill>
        </w:rPr>
        <w:t>市体育场方舱医院项目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hAnsi="仿宋_GB2312" w:cs="仿宋_GB2312"/>
          <w:color w:val="000000" w:themeColor="text1"/>
          <w:sz w:val="32"/>
          <w:szCs w:val="32"/>
          <w:lang w:val="en-US" w:eastAsia="zh-CN"/>
          <w14:textFill>
            <w14:solidFill>
              <w14:schemeClr w14:val="tx1"/>
            </w14:solidFill>
          </w14:textFill>
        </w:rPr>
        <w:t>58.5</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hAnsi="仿宋_GB2312" w:cs="仿宋_GB2312"/>
          <w:color w:val="000000" w:themeColor="text1"/>
          <w:sz w:val="32"/>
          <w:szCs w:val="32"/>
          <w14:textFill>
            <w14:solidFill>
              <w14:schemeClr w14:val="tx1"/>
            </w14:solidFill>
          </w14:textFill>
        </w:rPr>
        <w:t>财政资金</w:t>
      </w:r>
      <w:r>
        <w:rPr>
          <w:rFonts w:hint="eastAsia" w:ascii="仿宋_GB2312" w:hAnsi="仿宋_GB2312" w:cs="仿宋_GB2312"/>
          <w:color w:val="000000" w:themeColor="text1"/>
          <w:sz w:val="32"/>
          <w:szCs w:val="32"/>
          <w:lang w:val="en-US" w:eastAsia="zh-CN"/>
          <w14:textFill>
            <w14:solidFill>
              <w14:schemeClr w14:val="tx1"/>
            </w14:solidFill>
          </w14:textFill>
        </w:rPr>
        <w:t>58.5</w:t>
      </w:r>
      <w:r>
        <w:rPr>
          <w:rFonts w:hint="eastAsia" w:ascii="仿宋_GB2312" w:hAnsi="仿宋_GB2312" w:cs="仿宋_GB2312"/>
          <w:color w:val="000000" w:themeColor="text1"/>
          <w:sz w:val="32"/>
          <w:szCs w:val="32"/>
          <w14:textFill>
            <w14:solidFill>
              <w14:schemeClr w14:val="tx1"/>
            </w14:solidFill>
          </w14:textFill>
        </w:rPr>
        <w:t>万元，20</w:t>
      </w:r>
      <w:r>
        <w:rPr>
          <w:rFonts w:hint="eastAsia" w:ascii="仿宋_GB2312" w:hAnsi="仿宋_GB2312" w:cs="仿宋_GB2312"/>
          <w:color w:val="000000" w:themeColor="text1"/>
          <w:sz w:val="32"/>
          <w:szCs w:val="32"/>
          <w:lang w:val="en-US" w:eastAsia="zh-CN"/>
          <w14:textFill>
            <w14:solidFill>
              <w14:schemeClr w14:val="tx1"/>
            </w14:solidFill>
          </w14:textFill>
        </w:rPr>
        <w:t>22</w:t>
      </w:r>
      <w:r>
        <w:rPr>
          <w:rFonts w:hint="eastAsia" w:ascii="仿宋_GB2312" w:hAnsi="仿宋_GB2312" w:cs="仿宋_GB2312"/>
          <w:color w:val="000000" w:themeColor="text1"/>
          <w:sz w:val="32"/>
          <w:szCs w:val="32"/>
          <w14:textFill>
            <w14:solidFill>
              <w14:schemeClr w14:val="tx1"/>
            </w14:solidFill>
          </w14:textFill>
        </w:rPr>
        <w:t>年实际收到预算资金</w:t>
      </w:r>
      <w:r>
        <w:rPr>
          <w:rFonts w:hint="eastAsia" w:ascii="仿宋_GB2312" w:hAnsi="仿宋_GB2312" w:cs="仿宋_GB2312"/>
          <w:color w:val="000000" w:themeColor="text1"/>
          <w:sz w:val="32"/>
          <w:szCs w:val="32"/>
          <w:lang w:val="en-US" w:eastAsia="zh-CN"/>
          <w14:textFill>
            <w14:solidFill>
              <w14:schemeClr w14:val="tx1"/>
            </w14:solidFill>
          </w14:textFill>
        </w:rPr>
        <w:t>58.5</w:t>
      </w:r>
      <w:r>
        <w:rPr>
          <w:rFonts w:hint="eastAsia" w:ascii="仿宋_GB2312" w:hAnsi="仿宋_GB2312" w:cs="仿宋_GB2312"/>
          <w:color w:val="000000" w:themeColor="text1"/>
          <w:sz w:val="32"/>
          <w:szCs w:val="32"/>
          <w14:textFill>
            <w14:solidFill>
              <w14:schemeClr w14:val="tx1"/>
            </w14:solidFill>
          </w14:textFill>
        </w:rPr>
        <w:t>万元，预算资金到位率为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color w:val="000000" w:themeColor="text1"/>
          <w:sz w:val="32"/>
          <w:szCs w:val="32"/>
          <w14:textFill>
            <w14:solidFill>
              <w14:schemeClr w14:val="tx1"/>
            </w14:solidFill>
          </w14:textFill>
        </w:rPr>
        <w:t>本项目实际支付资金</w:t>
      </w:r>
      <w:r>
        <w:rPr>
          <w:rFonts w:hint="eastAsia" w:ascii="仿宋_GB2312"/>
          <w:color w:val="000000" w:themeColor="text1"/>
          <w:sz w:val="32"/>
          <w:szCs w:val="32"/>
          <w:lang w:val="en-US" w:eastAsia="zh-CN"/>
          <w14:textFill>
            <w14:solidFill>
              <w14:schemeClr w14:val="tx1"/>
            </w14:solidFill>
          </w14:textFill>
        </w:rPr>
        <w:t>58.5</w:t>
      </w:r>
      <w:r>
        <w:rPr>
          <w:rFonts w:hint="eastAsia" w:ascii="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%，项目资金主要用于支付</w:t>
      </w:r>
      <w:r>
        <w:rPr>
          <w:rFonts w:hint="eastAsia" w:ascii="仿宋_GB2312"/>
          <w:color w:val="000000" w:themeColor="text1"/>
          <w:sz w:val="32"/>
          <w:szCs w:val="32"/>
          <w:lang w:eastAsia="zh-Hans"/>
          <w14:textFill>
            <w14:solidFill>
              <w14:schemeClr w14:val="tx1"/>
            </w14:solidFill>
          </w14:textFill>
        </w:rPr>
        <w:t>保洁人员工资35.8</w:t>
      </w:r>
      <w:r>
        <w:rPr>
          <w:rFonts w:hint="eastAsia" w:ascii="仿宋_GB2312"/>
          <w:color w:val="000000" w:themeColor="text1"/>
          <w:sz w:val="32"/>
          <w:szCs w:val="32"/>
          <w:lang w:val="en-US" w:eastAsia="zh-CN"/>
          <w14:textFill>
            <w14:solidFill>
              <w14:schemeClr w14:val="tx1"/>
            </w14:solidFill>
          </w14:textFill>
        </w:rPr>
        <w:t>7</w:t>
      </w:r>
      <w:r>
        <w:rPr>
          <w:rFonts w:hint="eastAsia" w:ascii="仿宋_GB2312"/>
          <w:color w:val="000000" w:themeColor="text1"/>
          <w:sz w:val="32"/>
          <w:szCs w:val="32"/>
          <w:lang w:eastAsia="zh-Hans"/>
          <w14:textFill>
            <w14:solidFill>
              <w14:schemeClr w14:val="tx1"/>
            </w14:solidFill>
          </w14:textFill>
        </w:rPr>
        <w:t>万元，医疗污水设备维保人员劳务费和污水处理费5.15万元，车辆维保和燃油费1万元，制作标识标牌16.48万元。</w:t>
      </w:r>
    </w:p>
    <w:p>
      <w:pPr>
        <w:pStyle w:val="4"/>
        <w:numPr>
          <w:ilvl w:val="0"/>
          <w:numId w:val="1"/>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spacing w:line="600" w:lineRule="exact"/>
        <w:ind w:firstLine="640"/>
        <w:rPr>
          <w:rFonts w:hint="eastAsia" w:ascii="仿宋_GB2312" w:hAnsi="仿宋_GB2312" w:cs="仿宋_GB2312"/>
          <w:sz w:val="32"/>
          <w:szCs w:val="32"/>
          <w:lang w:val="en-US" w:eastAsia="zh-CN"/>
        </w:rPr>
      </w:pPr>
      <w:r>
        <w:rPr>
          <w:rFonts w:hint="eastAsia" w:ascii="仿宋_GB2312"/>
          <w:color w:val="000000" w:themeColor="text1"/>
          <w:sz w:val="32"/>
          <w:szCs w:val="32"/>
          <w:lang w:eastAsia="zh-Hans"/>
          <w14:textFill>
            <w14:solidFill>
              <w14:schemeClr w14:val="tx1"/>
            </w14:solidFill>
          </w14:textFill>
        </w:rPr>
        <w:t>保洁人员工资</w:t>
      </w:r>
      <w:r>
        <w:rPr>
          <w:rFonts w:hint="eastAsia"/>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医疗污水设备维保人员劳务费和污水处理费</w:t>
      </w:r>
      <w:r>
        <w:rPr>
          <w:rFonts w:hint="eastAsia"/>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辆维保和燃油费</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制作标识标牌</w:t>
      </w:r>
      <w:r>
        <w:rPr>
          <w:rFonts w:hint="eastAsia" w:ascii="仿宋_GB2312"/>
          <w:color w:val="000000" w:themeColor="text1"/>
          <w:sz w:val="32"/>
          <w:szCs w:val="32"/>
          <w:lang w:val="en-US" w:eastAsia="zh-CN"/>
          <w14:textFill>
            <w14:solidFill>
              <w14:schemeClr w14:val="tx1"/>
            </w14:solidFill>
          </w14:textFill>
        </w:rPr>
        <w:t>等费用的支付</w:t>
      </w:r>
      <w:r>
        <w:rPr>
          <w:rFonts w:hint="eastAsia" w:ascii="仿宋_GB2312" w:hAnsi="仿宋_GB2312" w:eastAsia="仿宋_GB2312" w:cs="仿宋_GB2312"/>
          <w:sz w:val="32"/>
          <w:szCs w:val="32"/>
          <w:lang w:val="en-US" w:eastAsia="zh-CN"/>
        </w:rPr>
        <w:t>保障</w:t>
      </w:r>
      <w:r>
        <w:rPr>
          <w:rFonts w:hint="eastAsia" w:ascii="仿宋_GB2312" w:hAnsi="仿宋_GB2312" w:cs="仿宋_GB2312"/>
          <w:sz w:val="32"/>
          <w:szCs w:val="32"/>
          <w:lang w:val="en-US" w:eastAsia="zh-CN"/>
        </w:rPr>
        <w:t>了</w:t>
      </w:r>
      <w:r>
        <w:rPr>
          <w:rFonts w:hint="eastAsia" w:ascii="仿宋_GB2312" w:hAnsi="仿宋_GB2312" w:eastAsia="仿宋_GB2312" w:cs="仿宋_GB2312"/>
          <w:sz w:val="32"/>
          <w:szCs w:val="32"/>
          <w:lang w:val="en-US" w:eastAsia="zh-CN"/>
        </w:rPr>
        <w:t>昌吉市体育场方舱医院常态化持续运转，</w:t>
      </w:r>
      <w:r>
        <w:rPr>
          <w:rFonts w:hint="eastAsia" w:ascii="仿宋_GB2312" w:hAnsi="仿宋_GB2312" w:cs="仿宋_GB2312"/>
          <w:sz w:val="32"/>
          <w:szCs w:val="32"/>
          <w:lang w:val="en-US" w:eastAsia="zh-CN"/>
        </w:rPr>
        <w:t>提高了</w:t>
      </w:r>
      <w:r>
        <w:rPr>
          <w:rFonts w:hint="eastAsia" w:ascii="仿宋_GB2312" w:hAnsi="仿宋_GB2312" w:eastAsia="仿宋_GB2312" w:cs="仿宋_GB2312"/>
          <w:sz w:val="32"/>
          <w:szCs w:val="32"/>
          <w:lang w:val="en-US" w:eastAsia="zh-CN"/>
        </w:rPr>
        <w:t>方舱医院医疗救治、药品供应、物资保障、餐食供应、人员住宿、保洁消杀、污水检测、车辆转运、后勤保障等各项工作</w:t>
      </w:r>
      <w:r>
        <w:rPr>
          <w:rFonts w:hint="eastAsia" w:ascii="仿宋_GB2312" w:hAnsi="仿宋_GB2312" w:cs="仿宋_GB2312"/>
          <w:sz w:val="32"/>
          <w:szCs w:val="32"/>
          <w:lang w:val="en-US" w:eastAsia="zh-CN"/>
        </w:rPr>
        <w:t>的效率</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保障了疫情期间新冠肺炎患者的就医需求。</w:t>
      </w:r>
    </w:p>
    <w:p>
      <w:pPr>
        <w:spacing w:line="600" w:lineRule="exact"/>
        <w:ind w:firstLine="640"/>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10号）、《阿克苏地区财政</w:t>
      </w:r>
      <w:r>
        <w:rPr>
          <w:rFonts w:hint="eastAsia" w:ascii="仿宋_GB2312"/>
          <w:sz w:val="32"/>
          <w:szCs w:val="32"/>
        </w:rPr>
        <w:t>支出绩效评价管理暂行办法》（阿地财预〔2019〕26号）等文件要求，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2"/>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市体育场方舱医院个数</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val="en-US" w:eastAsia="zh-CN"/>
          <w14:textFill>
            <w14:solidFill>
              <w14:schemeClr w14:val="tx1"/>
            </w14:solidFill>
          </w14:textFill>
        </w:rPr>
        <w:t>=1个</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保洁人员</w:t>
      </w:r>
      <w:r>
        <w:rPr>
          <w:rFonts w:hint="eastAsia"/>
          <w:color w:val="000000" w:themeColor="text1"/>
          <w:sz w:val="32"/>
          <w:szCs w:val="32"/>
          <w14:textFill>
            <w14:solidFill>
              <w14:schemeClr w14:val="tx1"/>
            </w14:solidFill>
          </w14:textFill>
        </w:rPr>
        <w:t>”指标，预期指标值为“</w:t>
      </w:r>
      <w:r>
        <w:rPr>
          <w:rFonts w:hint="eastAsia" w:ascii="宋体" w:hAnsi="宋体" w:eastAsia="宋体"/>
          <w:color w:val="000000" w:themeColor="text1"/>
          <w:sz w:val="32"/>
          <w:szCs w:val="32"/>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36人</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制作标识标牌</w:t>
      </w:r>
      <w:r>
        <w:rPr>
          <w:rFonts w:hint="eastAsia"/>
          <w:color w:val="000000" w:themeColor="text1"/>
          <w:sz w:val="32"/>
          <w:szCs w:val="32"/>
          <w14:textFill>
            <w14:solidFill>
              <w14:schemeClr w14:val="tx1"/>
            </w14:solidFill>
          </w14:textFill>
        </w:rPr>
        <w:t>”指标，预期指标值为“</w:t>
      </w:r>
      <w:r>
        <w:rPr>
          <w:rFonts w:hint="eastAsia" w:ascii="宋体" w:hAnsi="宋体" w:eastAsia="宋体"/>
          <w:color w:val="000000" w:themeColor="text1"/>
          <w:sz w:val="32"/>
          <w:szCs w:val="32"/>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20批</w:t>
      </w:r>
      <w:r>
        <w:rPr>
          <w:rFonts w:hint="eastAsia"/>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标示标牌采购合规性</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val="en-US" w:eastAsia="zh-CN"/>
          <w14:textFill>
            <w14:solidFill>
              <w14:schemeClr w14:val="tx1"/>
            </w14:solidFill>
          </w14:textFill>
        </w:rPr>
        <w:t>=100%</w:t>
      </w:r>
      <w:r>
        <w:rPr>
          <w:rFonts w:hint="eastAsia"/>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资金支付及时率</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val="en-US" w:eastAsia="zh-CN"/>
          <w14:textFill>
            <w14:solidFill>
              <w14:schemeClr w14:val="tx1"/>
            </w14:solidFill>
          </w14:textFill>
        </w:rPr>
        <w:t>=100%</w:t>
      </w:r>
      <w:r>
        <w:rPr>
          <w:rFonts w:hint="eastAsia"/>
          <w:b/>
          <w:bCs/>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④成本指标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保洁人员工资</w:t>
      </w:r>
      <w:r>
        <w:rPr>
          <w:rFonts w:hint="eastAsia"/>
          <w:color w:val="000000" w:themeColor="text1"/>
          <w:sz w:val="32"/>
          <w:szCs w:val="32"/>
          <w14:textFill>
            <w14:solidFill>
              <w14:schemeClr w14:val="tx1"/>
            </w14:solidFill>
          </w14:textFill>
        </w:rPr>
        <w:t>”指标，预期指标值为“&lt;=35.87万元”；</w:t>
      </w:r>
    </w:p>
    <w:p>
      <w:pPr>
        <w:spacing w:line="600" w:lineRule="exact"/>
        <w:ind w:firstLine="640"/>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医疗污水设备维保人员劳务费和污水处理费</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&lt;=5.15万元</w:t>
      </w:r>
      <w:r>
        <w:rPr>
          <w:rFonts w:hint="eastAsia"/>
          <w:color w:val="000000" w:themeColor="text1"/>
          <w:sz w:val="32"/>
          <w:szCs w:val="32"/>
          <w14:textFill>
            <w14:solidFill>
              <w14:schemeClr w14:val="tx1"/>
            </w14:solidFill>
          </w14:textFill>
        </w:rPr>
        <w:t>”。</w:t>
      </w:r>
    </w:p>
    <w:p>
      <w:pPr>
        <w:pStyle w:val="5"/>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t>“车辆维保和燃油费”指标，预期指标值为“&lt;=</w:t>
      </w: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1</w:t>
      </w:r>
      <w:r>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t>万元”。</w:t>
      </w:r>
    </w:p>
    <w:p>
      <w:pPr>
        <w:pStyle w:val="5"/>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t>“制作标识标牌”指标，预期指标值为“&lt;=</w:t>
      </w: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16.48</w:t>
      </w:r>
      <w:r>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t>万元”。</w:t>
      </w:r>
    </w:p>
    <w:p>
      <w:pPr>
        <w:spacing w:line="600" w:lineRule="exact"/>
        <w:ind w:firstLine="640"/>
        <w:rPr>
          <w:sz w:val="32"/>
          <w:szCs w:val="32"/>
        </w:rPr>
      </w:pPr>
      <w:r>
        <w:rPr>
          <w:rFonts w:hint="eastAsia"/>
          <w:sz w:val="32"/>
          <w:szCs w:val="32"/>
        </w:rPr>
        <w:t>（2）项目效益目标</w:t>
      </w:r>
    </w:p>
    <w:p>
      <w:pPr>
        <w:spacing w:line="600" w:lineRule="exact"/>
        <w:ind w:firstLine="640"/>
        <w:rPr>
          <w:rFonts w:hint="eastAsia"/>
          <w:sz w:val="32"/>
          <w:szCs w:val="32"/>
        </w:rPr>
      </w:pPr>
      <w:r>
        <w:rPr>
          <w:rFonts w:hint="eastAsia"/>
          <w:sz w:val="32"/>
          <w:szCs w:val="32"/>
        </w:rPr>
        <w:t>①经济效益指标</w:t>
      </w:r>
    </w:p>
    <w:p>
      <w:pPr>
        <w:pStyle w:val="5"/>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无</w:t>
      </w:r>
    </w:p>
    <w:p>
      <w:pPr>
        <w:spacing w:line="600" w:lineRule="exact"/>
        <w:ind w:firstLine="640"/>
        <w:rPr>
          <w:sz w:val="32"/>
          <w:szCs w:val="32"/>
        </w:rPr>
      </w:pPr>
      <w:r>
        <w:rPr>
          <w:rFonts w:hint="eastAsia"/>
          <w:sz w:val="32"/>
          <w:szCs w:val="32"/>
        </w:rPr>
        <w:t>②社会效益指标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提升诊疗水平</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逐步提升</w:t>
      </w:r>
      <w:r>
        <w:rPr>
          <w:rFonts w:hint="eastAsia"/>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sz w:val="32"/>
          <w:szCs w:val="32"/>
          <w:lang w:val="en-US" w:eastAsia="zh-CN"/>
        </w:rPr>
      </w:pPr>
      <w:r>
        <w:rPr>
          <w:rFonts w:hint="eastAsia"/>
          <w:sz w:val="32"/>
          <w:szCs w:val="32"/>
          <w:lang w:val="en-US" w:eastAsia="zh-CN"/>
        </w:rPr>
        <w:t>无</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逐步提升基层医疗机构服务水平</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逐步提升</w:t>
      </w:r>
      <w:r>
        <w:rPr>
          <w:rFonts w:hint="eastAsia"/>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（3）相关满意度目标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受益对象满意度</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&gt;=90.00%</w:t>
      </w:r>
      <w:r>
        <w:rPr>
          <w:rFonts w:hint="eastAsia"/>
          <w:color w:val="000000" w:themeColor="text1"/>
          <w:sz w:val="32"/>
          <w:szCs w:val="32"/>
          <w14:textFill>
            <w14:solidFill>
              <w14:schemeClr w14:val="tx1"/>
            </w14:solidFill>
          </w14:textFill>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22922"/>
      <w:bookmarkStart w:id="2" w:name="_Toc26632"/>
      <w:bookmarkStart w:id="3" w:name="_Toc21664"/>
      <w:bookmarkStart w:id="4" w:name="_Toc5258"/>
      <w:bookmarkStart w:id="5" w:name="_Toc12868"/>
      <w:bookmarkStart w:id="6" w:name="_Toc480473081"/>
      <w:bookmarkStart w:id="7" w:name="_Toc22169_WPSOffice_Level2"/>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cs="仿宋_GB2312"/>
          <w:color w:val="000000" w:themeColor="text1"/>
          <w:sz w:val="32"/>
          <w:szCs w:val="32"/>
          <w:lang w:val="en-US" w:eastAsia="zh-CN"/>
          <w14:textFill>
            <w14:solidFill>
              <w14:schemeClr w14:val="tx1"/>
            </w14:solidFill>
          </w14:textFill>
        </w:rPr>
        <w:t>昌吉市体育场方舱医院</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000000" w:themeColor="text1"/>
          <w:sz w:val="32"/>
          <w:szCs w:val="32"/>
          <w14:textFill>
            <w14:solidFill>
              <w14:schemeClr w14:val="tx1"/>
            </w14:solidFill>
          </w14:textFill>
        </w:rPr>
        <w:t>市体育场方舱医院</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419984722"/>
      <w:bookmarkStart w:id="10" w:name="_Toc26131"/>
      <w:bookmarkStart w:id="11" w:name="_Toc1913"/>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1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1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1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12"/>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1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高新宇</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1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潘娜</w:t>
      </w:r>
      <w:r>
        <w:rPr>
          <w:rFonts w:hint="eastAsia" w:ascii="仿宋_GB2312" w:hAnsi="仿宋_GB2312" w:cs="仿宋_GB2312"/>
          <w:color w:val="auto"/>
          <w:sz w:val="32"/>
          <w:szCs w:val="32"/>
        </w:rPr>
        <w:t>任评价</w:t>
      </w:r>
      <w:r>
        <w:rPr>
          <w:rFonts w:hint="eastAsia" w:ascii="仿宋_GB2312" w:hAnsi="仿宋_GB2312" w:cs="仿宋_GB2312"/>
          <w:sz w:val="32"/>
          <w:szCs w:val="32"/>
        </w:rPr>
        <w:t>组副组长，绩效评价工作职责为组织和协调项目工作人员采取实地调查、资料检查等方式，核实项目绩效指标完成情况；组织受益对象对项目工作进行评价等。</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赵红帆</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1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1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1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1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hAnsi="Times New Roman" w:cs="Times New Roman"/>
          <w:sz w:val="32"/>
          <w:szCs w:val="32"/>
        </w:rPr>
      </w:pPr>
      <w:r>
        <w:rPr>
          <w:rFonts w:hint="eastAsia" w:ascii="仿宋_GB2312"/>
          <w:sz w:val="32"/>
          <w:szCs w:val="32"/>
        </w:rPr>
        <w:t>通过</w:t>
      </w:r>
      <w:r>
        <w:rPr>
          <w:rFonts w:hint="eastAsia" w:ascii="仿宋_GB2312" w:hAnsi="仿宋_GB2312" w:cs="仿宋_GB2312"/>
          <w:color w:val="000000" w:themeColor="text1"/>
          <w:sz w:val="32"/>
          <w:szCs w:val="32"/>
          <w14:textFill>
            <w14:solidFill>
              <w14:schemeClr w14:val="tx1"/>
            </w14:solidFill>
          </w14:textFill>
        </w:rPr>
        <w:t>市体育场方舱医院</w:t>
      </w:r>
      <w:r>
        <w:rPr>
          <w:rFonts w:hint="eastAsia" w:ascii="仿宋_GB2312"/>
          <w:sz w:val="32"/>
          <w:szCs w:val="32"/>
        </w:rPr>
        <w:t>项目的实施，</w:t>
      </w:r>
    </w:p>
    <w:p>
      <w:pPr>
        <w:spacing w:line="600" w:lineRule="exact"/>
        <w:ind w:firstLine="640"/>
        <w:rPr>
          <w:rFonts w:ascii="仿宋_GB2312" w:hAnsi="仿宋_GB2312" w:cs="仿宋_GB2312"/>
          <w:sz w:val="32"/>
        </w:rPr>
      </w:pPr>
      <w:r>
        <w:rPr>
          <w:rFonts w:hint="eastAsia" w:ascii="仿宋_GB2312" w:hAnsi="仿宋_GB2312" w:cs="仿宋_GB2312"/>
          <w:sz w:val="32"/>
        </w:rPr>
        <w:t>（二）综合评价结论</w:t>
      </w:r>
      <w:r>
        <w:rPr>
          <w:rFonts w:hint="eastAsia" w:ascii="仿宋_GB2312" w:hAnsi="Times New Roman" w:cs="Times New Roman"/>
          <w:sz w:val="32"/>
          <w:szCs w:val="32"/>
        </w:rPr>
        <w:t>解决了</w:t>
      </w:r>
      <w:r>
        <w:rPr>
          <w:rFonts w:hint="eastAsia" w:ascii="仿宋_GB2312" w:hAnsi="Times New Roman" w:cs="Times New Roman"/>
          <w:sz w:val="32"/>
          <w:szCs w:val="32"/>
          <w:lang w:val="en-US" w:eastAsia="zh-CN"/>
        </w:rPr>
        <w:t>方舱医院常态化运行的问题</w:t>
      </w:r>
      <w:r>
        <w:rPr>
          <w:rFonts w:hint="eastAsia" w:ascii="仿宋_GB2312" w:hAnsi="Times New Roman" w:cs="Times New Roman"/>
          <w:sz w:val="32"/>
          <w:szCs w:val="32"/>
        </w:rPr>
        <w:t>，实现了逐步提升基层医疗机构服务水平效益，该项目预算执行率达</w:t>
      </w:r>
      <w:r>
        <w:rPr>
          <w:rFonts w:hint="eastAsia" w:ascii="仿宋_GB2312" w:hAnsi="Times New Roman" w:cs="Times New Roman"/>
          <w:sz w:val="32"/>
          <w:szCs w:val="32"/>
          <w:lang w:val="en-US" w:eastAsia="zh-CN"/>
        </w:rPr>
        <w:t>100</w:t>
      </w:r>
      <w:r>
        <w:rPr>
          <w:rFonts w:hint="eastAsia" w:ascii="仿宋_GB2312" w:hAnsi="Times New Roman" w:cs="Times New Roman"/>
          <w:sz w:val="32"/>
          <w:szCs w:val="32"/>
        </w:rPr>
        <w:t>%，项目预期绩效目标及各项具体指标均已全部达成。</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color w:val="000000" w:themeColor="text1"/>
          <w:sz w:val="32"/>
          <w:szCs w:val="32"/>
          <w14:textFill>
            <w14:solidFill>
              <w14:schemeClr w14:val="tx1"/>
            </w14:solidFill>
          </w14:textFill>
        </w:rPr>
        <w:t>市体育场方舱医院</w:t>
      </w:r>
      <w:r>
        <w:rPr>
          <w:rFonts w:hint="eastAsia" w:ascii="仿宋_GB2312"/>
          <w:sz w:val="32"/>
          <w:szCs w:val="32"/>
        </w:rPr>
        <w:t>项目的绩效目标和各项具体绩效指标实现情况进行了客观评价，</w:t>
      </w:r>
      <w:r>
        <w:rPr>
          <w:rFonts w:hint="eastAsia" w:ascii="仿宋_GB2312"/>
          <w:color w:val="auto"/>
          <w:sz w:val="32"/>
          <w:szCs w:val="32"/>
        </w:rPr>
        <w:t>最终评分为</w:t>
      </w:r>
      <w:r>
        <w:rPr>
          <w:rFonts w:hint="eastAsia" w:ascii="仿宋_GB2312"/>
          <w:color w:val="auto"/>
          <w:sz w:val="32"/>
          <w:szCs w:val="32"/>
          <w:lang w:val="en-US" w:eastAsia="zh-CN"/>
        </w:rPr>
        <w:t>96</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26</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15"/>
        <w:numPr>
          <w:ilvl w:val="0"/>
          <w:numId w:val="5"/>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cs="仿宋_GB2312"/>
          <w:color w:val="auto"/>
          <w:lang w:eastAsia="zh-Hans"/>
        </w:rPr>
        <w:t>本项目是由</w:t>
      </w:r>
      <w:r>
        <w:rPr>
          <w:rFonts w:hint="eastAsia" w:cs="仿宋_GB2312"/>
          <w:color w:val="auto"/>
          <w:lang w:val="en-US" w:eastAsia="zh-CN"/>
        </w:rPr>
        <w:t>昌吉市疫情防控指挥部</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8</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昌吉市方舱医院新冠肺炎医疗救治工作方案</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w:t>
      </w:r>
      <w:r>
        <w:rPr>
          <w:rFonts w:hint="eastAsia" w:hAnsi="仿宋_GB2312" w:cs="仿宋_GB2312"/>
          <w:spacing w:val="0"/>
          <w:lang w:eastAsia="zh-Hans"/>
        </w:rPr>
        <w:t>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15"/>
        <w:numPr>
          <w:ilvl w:val="0"/>
          <w:numId w:val="0"/>
        </w:numPr>
        <w:spacing w:line="600" w:lineRule="exact"/>
        <w:ind w:firstLine="333" w:firstLineChars="100"/>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val="en-US" w:eastAsia="zh-CN"/>
        </w:rPr>
        <w:t>昌吉市财政局</w:t>
      </w:r>
      <w:r>
        <w:rPr>
          <w:rFonts w:hint="eastAsia" w:ascii="仿宋_GB2312" w:cs="仿宋_GB2312"/>
          <w:color w:val="auto"/>
          <w:sz w:val="32"/>
          <w:szCs w:val="32"/>
        </w:rPr>
        <w:t>能够及时足额按照</w:t>
      </w:r>
      <w:r>
        <w:rPr>
          <w:rFonts w:hint="eastAsia" w:ascii="仿宋_GB2312" w:cs="仿宋_GB2312"/>
          <w:color w:val="auto"/>
          <w:sz w:val="32"/>
          <w:szCs w:val="32"/>
          <w:lang w:val="en-US" w:eastAsia="zh-CN"/>
        </w:rPr>
        <w:t>报告</w:t>
      </w:r>
      <w:r>
        <w:rPr>
          <w:rFonts w:hint="eastAsia" w:ascii="仿宋_GB2312" w:cs="仿宋_GB2312"/>
          <w:color w:val="auto"/>
          <w:sz w:val="32"/>
          <w:szCs w:val="32"/>
        </w:rPr>
        <w:t>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hAnsi="Times New Roman" w:cs="仿宋_GB2312"/>
          <w:sz w:val="32"/>
          <w:szCs w:val="32"/>
          <w:lang w:eastAsia="zh-Hans"/>
        </w:rPr>
        <w:t>本项目</w:t>
      </w:r>
      <w:r>
        <w:rPr>
          <w:rFonts w:hint="eastAsia" w:ascii="仿宋_GB2312" w:hAnsi="Times New Roman" w:cs="仿宋_GB2312"/>
          <w:sz w:val="32"/>
          <w:szCs w:val="32"/>
        </w:rPr>
        <w:t>预算编制较为详细，</w:t>
      </w:r>
      <w:r>
        <w:rPr>
          <w:rFonts w:hint="eastAsia" w:ascii="仿宋_GB2312" w:hAnsi="Times New Roman" w:cs="仿宋_GB2312"/>
          <w:sz w:val="32"/>
          <w:szCs w:val="32"/>
          <w:lang w:eastAsia="zh-Hans"/>
        </w:rPr>
        <w:t>预算资金</w:t>
      </w:r>
      <w:r>
        <w:rPr>
          <w:rFonts w:hint="eastAsia" w:ascii="仿宋_GB2312" w:hAnsi="Times New Roman" w:cs="仿宋_GB2312"/>
          <w:sz w:val="32"/>
          <w:szCs w:val="32"/>
          <w:lang w:val="en-US" w:eastAsia="zh-CN"/>
        </w:rPr>
        <w:t>58.5</w:t>
      </w:r>
      <w:r>
        <w:rPr>
          <w:rFonts w:hint="eastAsia" w:ascii="仿宋_GB2312" w:hAnsi="Times New Roman" w:cs="仿宋_GB2312"/>
          <w:sz w:val="32"/>
          <w:szCs w:val="32"/>
          <w:lang w:eastAsia="zh-Hans"/>
        </w:rPr>
        <w:t>万元，实际执行</w:t>
      </w:r>
      <w:r>
        <w:rPr>
          <w:rFonts w:hint="eastAsia" w:ascii="仿宋_GB2312" w:hAnsi="Times New Roman" w:cs="仿宋_GB2312"/>
          <w:sz w:val="32"/>
          <w:szCs w:val="32"/>
          <w:lang w:val="en-US" w:eastAsia="zh-CN"/>
        </w:rPr>
        <w:t>58.5</w:t>
      </w:r>
      <w:r>
        <w:rPr>
          <w:rFonts w:hint="eastAsia" w:ascii="仿宋_GB2312" w:hAnsi="Times New Roman" w:cs="仿宋_GB2312"/>
          <w:sz w:val="32"/>
          <w:szCs w:val="32"/>
          <w:lang w:eastAsia="zh-Hans"/>
        </w:rPr>
        <w:t>万元，预算执行率为</w:t>
      </w:r>
      <w:r>
        <w:rPr>
          <w:rFonts w:hint="eastAsia" w:ascii="仿宋_GB2312" w:hAnsi="Times New Roman" w:cs="仿宋_GB2312"/>
          <w:sz w:val="32"/>
          <w:szCs w:val="32"/>
          <w:lang w:val="en-US" w:eastAsia="zh-CN"/>
        </w:rPr>
        <w:t>100</w:t>
      </w:r>
      <w:r>
        <w:rPr>
          <w:rFonts w:hint="eastAsia" w:ascii="仿宋_GB2312" w:hAnsi="Times New Roman" w:cs="仿宋_GB2312"/>
          <w:sz w:val="32"/>
          <w:szCs w:val="32"/>
          <w:lang w:eastAsia="zh-Hans"/>
        </w:rPr>
        <w:t>%，</w:t>
      </w:r>
      <w:r>
        <w:rPr>
          <w:rFonts w:hint="eastAsia" w:ascii="仿宋_GB2312" w:hAnsi="Times New Roman" w:cs="仿宋_GB2312"/>
          <w:sz w:val="32"/>
          <w:szCs w:val="32"/>
        </w:rPr>
        <w:t>项目资金支出总体能够按照预算执行，根据评分标准，该指标5分，得5分。</w:t>
      </w:r>
    </w:p>
    <w:p>
      <w:pPr>
        <w:widowControl/>
        <w:ind w:left="150" w:right="150" w:firstLine="480"/>
        <w:jc w:val="left"/>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医</w:t>
      </w:r>
      <w:r>
        <w:rPr>
          <w:rFonts w:hint="eastAsia" w:ascii="仿宋_GB2312" w:hAnsi="Times New Roman" w:cs="仿宋_GB2312"/>
          <w:color w:val="auto"/>
          <w:sz w:val="32"/>
          <w:szCs w:val="32"/>
          <w:lang w:val="en-US" w:eastAsia="zh-CN"/>
        </w:rPr>
        <w:t>院财务预算管理制度</w:t>
      </w:r>
      <w:r>
        <w:rPr>
          <w:rFonts w:ascii="仿宋_GB2312" w:cs="仿宋_GB2312"/>
          <w:color w:val="auto"/>
          <w:sz w:val="32"/>
          <w:szCs w:val="32"/>
        </w:rPr>
        <w:t>》</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分，得分</w:t>
      </w:r>
      <w:r>
        <w:rPr>
          <w:rFonts w:hint="eastAsia" w:ascii="仿宋_GB2312" w:cs="仿宋_GB2312"/>
          <w:color w:val="auto"/>
          <w:sz w:val="32"/>
          <w:szCs w:val="32"/>
          <w:lang w:val="en-US" w:eastAsia="zh-CN"/>
        </w:rPr>
        <w:t>5分</w:t>
      </w:r>
      <w:r>
        <w:rPr>
          <w:rFonts w:hint="eastAsia" w:ascii="仿宋_GB2312" w:cs="仿宋_GB2312"/>
          <w:color w:val="auto"/>
          <w:sz w:val="32"/>
          <w:szCs w:val="32"/>
        </w:rPr>
        <w:t>。</w:t>
      </w:r>
    </w:p>
    <w:p>
      <w:pPr>
        <w:jc w:val="center"/>
        <w:rPr>
          <w:rFonts w:hint="eastAsia" w:ascii="仿宋_GB2312" w:hAnsi="Times New Roman" w:cs="仿宋_GB2312"/>
          <w:color w:val="auto"/>
          <w:sz w:val="32"/>
          <w:szCs w:val="32"/>
          <w:lang w:val="en-US" w:eastAsia="zh-CN"/>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hAnsi="Times New Roman" w:cs="仿宋_GB2312"/>
          <w:color w:val="auto"/>
          <w:sz w:val="32"/>
          <w:szCs w:val="32"/>
          <w:lang w:val="en-US" w:eastAsia="zh-CN"/>
        </w:rPr>
        <w:t>专项资金管理制度</w:t>
      </w:r>
    </w:p>
    <w:p>
      <w:pPr>
        <w:spacing w:line="600" w:lineRule="exact"/>
        <w:ind w:firstLine="643"/>
        <w:rPr>
          <w:rFonts w:ascii="仿宋_GB2312" w:cs="仿宋_GB2312"/>
          <w:color w:val="auto"/>
          <w:sz w:val="32"/>
          <w:szCs w:val="32"/>
        </w:rPr>
      </w:pP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hint="eastAsia" w:ascii="仿宋_GB2312" w:cs="仿宋_GB2312"/>
          <w:color w:val="auto"/>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lang w:val="zh-TW" w:eastAsia="zh-TW"/>
        </w:rPr>
        <w:t>项目资金严格按照根据《中华人民共和国预算法》，加强对项目资金的预算执行及日常监督管理，确保每个项目按照规定的用途实施。资金拨付坚持按项目、预算、进度、指定用途拨款，确保财政专项资金规范使用。</w:t>
      </w:r>
      <w:r>
        <w:rPr>
          <w:rFonts w:hint="eastAsia" w:ascii="仿宋_GB2312" w:cs="仿宋_GB2312"/>
          <w:color w:val="auto"/>
          <w:sz w:val="32"/>
          <w:szCs w:val="32"/>
          <w:lang w:eastAsia="zh-Hans"/>
        </w:rPr>
        <w:t>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分，得</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9</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“市体育场方舱医院个数”指标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=1个</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完成市体育场方舱医院个数</w:t>
      </w:r>
      <w:r>
        <w:rPr>
          <w:rFonts w:hint="eastAsia" w:ascii="仿宋_GB2312" w:hAnsi="仿宋_GB2312" w:cs="仿宋_GB2312"/>
          <w:color w:val="auto"/>
          <w:sz w:val="32"/>
          <w:szCs w:val="32"/>
          <w:lang w:val="en-US" w:eastAsia="zh-CN"/>
        </w:rPr>
        <w:t>为1个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rFonts w:hint="default" w:eastAsia="仿宋_GB2312"/>
          <w:color w:val="000000" w:themeColor="text1"/>
          <w:sz w:val="32"/>
          <w:szCs w:val="32"/>
          <w:lang w:val="en-US" w:eastAsia="zh-CN"/>
          <w14:textFill>
            <w14:solidFill>
              <w14:schemeClr w14:val="tx1"/>
            </w14:solidFill>
          </w14:textFill>
        </w:rPr>
      </w:pPr>
      <w:r>
        <w:rPr>
          <w:rFonts w:hint="eastAsia"/>
          <w:color w:val="auto"/>
          <w:sz w:val="32"/>
          <w:szCs w:val="32"/>
        </w:rPr>
        <w:t>“</w:t>
      </w:r>
      <w:r>
        <w:rPr>
          <w:rFonts w:hint="eastAsia" w:ascii="仿宋_GB2312"/>
          <w:color w:val="auto"/>
          <w:sz w:val="32"/>
          <w:szCs w:val="32"/>
          <w:lang w:eastAsia="zh-Hans"/>
        </w:rPr>
        <w:t>保洁人员</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36人</w:t>
      </w:r>
      <w:r>
        <w:rPr>
          <w:rFonts w:hint="eastAsia"/>
          <w:color w:val="auto"/>
          <w:sz w:val="32"/>
          <w:szCs w:val="32"/>
        </w:rPr>
        <w:t>”；</w:t>
      </w:r>
      <w:r>
        <w:rPr>
          <w:rFonts w:hint="eastAsia"/>
          <w:color w:val="auto"/>
          <w:sz w:val="32"/>
          <w:szCs w:val="32"/>
          <w:lang w:val="en-US" w:eastAsia="zh-CN"/>
        </w:rPr>
        <w:t>根据合同及</w:t>
      </w:r>
      <w:r>
        <w:rPr>
          <w:rFonts w:hint="eastAsia"/>
          <w:color w:val="000000" w:themeColor="text1"/>
          <w:sz w:val="32"/>
          <w:szCs w:val="32"/>
          <w:lang w:val="en-US" w:eastAsia="zh-CN"/>
          <w14:textFill>
            <w14:solidFill>
              <w14:schemeClr w14:val="tx1"/>
            </w14:solidFill>
          </w14:textFill>
        </w:rPr>
        <w:t>考勤表、工资表可知，实际保洁人员</w:t>
      </w:r>
      <w:r>
        <w:rPr>
          <w:rFonts w:hint="eastAsia" w:ascii="宋体" w:hAnsi="宋体" w:eastAsia="宋体"/>
          <w:color w:val="000000" w:themeColor="text1"/>
          <w:sz w:val="32"/>
          <w:szCs w:val="32"/>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36人，</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制作标识标牌</w:t>
      </w:r>
      <w:r>
        <w:rPr>
          <w:rFonts w:hint="eastAsia"/>
          <w:color w:val="000000" w:themeColor="text1"/>
          <w:sz w:val="32"/>
          <w:szCs w:val="32"/>
          <w14:textFill>
            <w14:solidFill>
              <w14:schemeClr w14:val="tx1"/>
            </w14:solidFill>
          </w14:textFill>
        </w:rPr>
        <w:t>”指标，预期指标值为“</w:t>
      </w:r>
      <w:r>
        <w:rPr>
          <w:rFonts w:hint="eastAsia" w:ascii="宋体" w:hAnsi="宋体" w:eastAsia="宋体"/>
          <w:color w:val="000000" w:themeColor="text1"/>
          <w:sz w:val="32"/>
          <w:szCs w:val="32"/>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20批</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根据合同及付款凭证可知，实际制作标识标牌</w:t>
      </w:r>
      <w:r>
        <w:rPr>
          <w:rFonts w:hint="eastAsia" w:ascii="宋体" w:hAnsi="宋体" w:eastAsia="宋体"/>
          <w:color w:val="000000" w:themeColor="text1"/>
          <w:sz w:val="32"/>
          <w:szCs w:val="32"/>
          <w14:textFill>
            <w14:solidFill>
              <w14:schemeClr w14:val="tx1"/>
            </w14:solidFill>
          </w14:textFill>
        </w:rPr>
        <w:t>≥</w:t>
      </w:r>
      <w:r>
        <w:rPr>
          <w:rFonts w:hint="eastAsia" w:ascii="宋体" w:hAnsi="宋体" w:eastAsia="宋体"/>
          <w:color w:val="000000" w:themeColor="text1"/>
          <w:sz w:val="32"/>
          <w:szCs w:val="32"/>
          <w:lang w:val="en-US" w:eastAsia="zh-CN"/>
          <w14:textFill>
            <w14:solidFill>
              <w14:schemeClr w14:val="tx1"/>
            </w14:solidFill>
          </w14:textFill>
        </w:rPr>
        <w:t>20批，</w:t>
      </w:r>
      <w:r>
        <w:rPr>
          <w:rFonts w:hint="eastAsia" w:ascii="仿宋_GB2312" w:hAnsi="仿宋_GB2312" w:cs="仿宋_GB2312"/>
          <w:color w:val="000000" w:themeColor="text1"/>
          <w:sz w:val="32"/>
          <w:szCs w:val="32"/>
          <w14:textFill>
            <w14:solidFill>
              <w14:schemeClr w14:val="tx1"/>
            </w14:solidFill>
          </w14:textFill>
        </w:rPr>
        <w:t>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CN"/>
          <w14:textFill>
            <w14:solidFill>
              <w14:schemeClr w14:val="tx1"/>
            </w14:solidFill>
          </w14:textFill>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color w:val="000000" w:themeColor="text1"/>
          <w:sz w:val="32"/>
          <w:szCs w:val="32"/>
          <w14:textFill>
            <w14:solidFill>
              <w14:schemeClr w14:val="tx1"/>
            </w14:solidFill>
          </w14:textFill>
        </w:rPr>
        <w:t>“</w:t>
      </w:r>
      <w:r>
        <w:rPr>
          <w:rFonts w:hint="eastAsia" w:ascii="仿宋_GB2312"/>
          <w:color w:val="auto"/>
          <w:sz w:val="32"/>
          <w:szCs w:val="32"/>
          <w:lang w:eastAsia="zh-Hans"/>
        </w:rPr>
        <w:t>标示标牌采购合规性</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合同及相关采购手续</w:t>
      </w:r>
      <w:r>
        <w:rPr>
          <w:rFonts w:hint="eastAsia" w:ascii="仿宋_GB2312" w:hAnsi="仿宋_GB2312" w:cs="仿宋_GB2312"/>
          <w:color w:val="auto"/>
          <w:sz w:val="32"/>
          <w:szCs w:val="32"/>
          <w:lang w:eastAsia="zh-Hans"/>
        </w:rPr>
        <w:t>可知，</w:t>
      </w:r>
      <w:r>
        <w:rPr>
          <w:rFonts w:hint="eastAsia" w:ascii="仿宋_GB2312"/>
          <w:color w:val="auto"/>
          <w:sz w:val="32"/>
          <w:szCs w:val="32"/>
          <w:lang w:eastAsia="zh-Hans"/>
        </w:rPr>
        <w:t>标示标牌采购</w:t>
      </w:r>
      <w:r>
        <w:rPr>
          <w:rFonts w:hint="eastAsia" w:ascii="仿宋_GB2312"/>
          <w:color w:val="auto"/>
          <w:sz w:val="32"/>
          <w:szCs w:val="32"/>
          <w:lang w:val="en-US" w:eastAsia="zh-CN"/>
        </w:rPr>
        <w:t>符合相关规定，</w:t>
      </w:r>
      <w:r>
        <w:rPr>
          <w:rFonts w:hint="eastAsia" w:ascii="仿宋_GB2312"/>
          <w:color w:val="auto"/>
          <w:sz w:val="32"/>
          <w:szCs w:val="32"/>
          <w:lang w:eastAsia="zh-Hans"/>
        </w:rPr>
        <w:t>合规性</w:t>
      </w:r>
      <w:r>
        <w:rPr>
          <w:rFonts w:hint="eastAsia" w:ascii="仿宋_GB2312"/>
          <w:color w:val="auto"/>
          <w:sz w:val="32"/>
          <w:szCs w:val="32"/>
          <w:lang w:val="en-US" w:eastAsia="zh-CN"/>
        </w:rPr>
        <w:t>为100%，</w:t>
      </w:r>
      <w:r>
        <w:rPr>
          <w:rFonts w:hint="eastAsia" w:ascii="仿宋_GB2312" w:hAnsi="仿宋_GB2312" w:cs="仿宋_GB2312"/>
          <w:color w:val="auto"/>
          <w:sz w:val="32"/>
          <w:szCs w:val="32"/>
        </w:rPr>
        <w:t>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val="en-US" w:eastAsia="zh-CN"/>
        </w:rPr>
        <w:t>相关付款手续完成后，资金一到位</w:t>
      </w:r>
      <w:r>
        <w:rPr>
          <w:rFonts w:ascii="仿宋_GB2312" w:cs="仿宋_GB2312"/>
          <w:b w:val="0"/>
          <w:color w:val="auto"/>
          <w:sz w:val="32"/>
          <w:szCs w:val="32"/>
          <w:lang w:eastAsia="zh-Hans"/>
        </w:rPr>
        <w:t>，</w:t>
      </w:r>
      <w:r>
        <w:rPr>
          <w:rFonts w:hint="eastAsia" w:ascii="仿宋_GB2312" w:cs="仿宋_GB2312"/>
          <w:b w:val="0"/>
          <w:color w:val="auto"/>
          <w:sz w:val="32"/>
          <w:szCs w:val="32"/>
          <w:lang w:val="en-US" w:eastAsia="zh-CN"/>
        </w:rPr>
        <w:t>就及时支付各项款项，</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5</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5</w:t>
      </w:r>
      <w:r>
        <w:rPr>
          <w:rFonts w:hint="eastAsia" w:ascii="仿宋_GB2312" w:cs="仿宋_GB2312"/>
          <w:b w:val="0"/>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pStyle w:val="6"/>
        <w:spacing w:before="0" w:after="0" w:line="600" w:lineRule="exact"/>
        <w:ind w:firstLine="640"/>
        <w:jc w:val="both"/>
        <w:rPr>
          <w:rFonts w:hint="default"/>
          <w:lang w:val="en-US" w:eastAsia="zh-CN"/>
        </w:rPr>
      </w:pP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保洁人员工资</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”指标，预期指标值为“&lt;=35.87万元”；</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根据资金支付凭证显示</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，实际支付</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保洁人员工资</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为35.87万元，与预期目标指标一致，根据评分标准，该指标2.5分，得2.5分。</w:t>
      </w:r>
    </w:p>
    <w:p>
      <w:pPr>
        <w:pStyle w:val="6"/>
        <w:spacing w:before="0" w:after="0" w:line="600" w:lineRule="exact"/>
        <w:ind w:firstLine="640"/>
        <w:jc w:val="both"/>
        <w:rPr>
          <w:rFonts w:hint="eastAsia"/>
          <w:color w:val="000000" w:themeColor="text1"/>
          <w:sz w:val="32"/>
          <w:szCs w:val="32"/>
          <w14:textFill>
            <w14:solidFill>
              <w14:schemeClr w14:val="tx1"/>
            </w14:solidFill>
          </w14:textFill>
        </w:rPr>
      </w:pP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医疗污水设备维保人员劳务费和污水处理费</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”指标，预期指标值为“</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&lt;=5.15万元</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根据资金支付凭证显示</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，实际支付</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医疗污水设备维保人员劳务费和污水处理费</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为5.15万元，与预期目标指标一致，根据评分标准，该指标2.5分，得2.5分。</w:t>
      </w:r>
    </w:p>
    <w:p>
      <w:pPr>
        <w:pStyle w:val="6"/>
        <w:spacing w:before="0" w:after="0" w:line="600" w:lineRule="exact"/>
        <w:ind w:firstLine="640"/>
        <w:jc w:val="both"/>
        <w:rPr>
          <w:rFonts w:hint="default"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t>“</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车辆维保和燃油费”指标，预期指标值为“&lt;=</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1</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万元”。根据资金支付凭证显示</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，实际支付</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车辆维保和燃油费</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为1万元，与预期目标指标一致，根据评分标准，该指标2.5分，得2.5分。</w:t>
      </w:r>
    </w:p>
    <w:p>
      <w:pPr>
        <w:pStyle w:val="6"/>
        <w:spacing w:before="0" w:after="0" w:line="600" w:lineRule="exact"/>
        <w:ind w:firstLine="640"/>
        <w:jc w:val="both"/>
        <w:rPr>
          <w:rFonts w:hint="eastAsia" w:ascii="仿宋_GB2312" w:hAnsi="Times New Roman" w:eastAsia="仿宋_GB2312" w:cs="Times New Roman"/>
          <w:b w:val="0"/>
          <w:bCs w:val="0"/>
          <w:color w:val="000000" w:themeColor="text1"/>
          <w:kern w:val="2"/>
          <w:sz w:val="32"/>
          <w:szCs w:val="32"/>
          <w:lang w:val="en-US" w:eastAsia="zh-Hans" w:bidi="ar-SA"/>
          <w14:textFill>
            <w14:solidFill>
              <w14:schemeClr w14:val="tx1"/>
            </w14:solidFill>
          </w14:textFill>
        </w:rPr>
      </w:pP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“制作标识标牌”指标，预期指标值为“&lt;=</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16.48</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万元”。根据资金支付凭证显示</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，实际支付</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制作标识标牌</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为14.48万元，</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与预期目标指标一致，根据评分标准，该指标</w:t>
      </w:r>
      <w:r>
        <w:rPr>
          <w:rFonts w:hint="eastAsia" w:ascii="Times New Roman" w:hAnsi="Times New Roman" w:eastAsia="仿宋_GB2312" w:cs="Times New Roman"/>
          <w:b w:val="0"/>
          <w:color w:val="000000" w:themeColor="text1"/>
          <w:kern w:val="2"/>
          <w:sz w:val="32"/>
          <w:szCs w:val="32"/>
          <w:lang w:val="en-US" w:eastAsia="zh-CN" w:bidi="ar-SA"/>
          <w14:textFill>
            <w14:solidFill>
              <w14:schemeClr w14:val="tx1"/>
            </w14:solidFill>
          </w14:textFill>
        </w:rPr>
        <w:t>2.5</w:t>
      </w:r>
      <w:r>
        <w:rPr>
          <w:rFonts w:hint="eastAsia" w:ascii="Times New Roman" w:hAnsi="Times New Roman" w:eastAsia="仿宋_GB2312" w:cs="Times New Roman"/>
          <w:b w:val="0"/>
          <w:color w:val="000000" w:themeColor="text1"/>
          <w:kern w:val="2"/>
          <w:sz w:val="32"/>
          <w:szCs w:val="32"/>
          <w:lang w:val="en-US" w:eastAsia="zh-Hans" w:bidi="ar-SA"/>
          <w14:textFill>
            <w14:solidFill>
              <w14:schemeClr w14:val="tx1"/>
            </w14:solidFill>
          </w14:textFill>
        </w:rPr>
        <w:t>分</w:t>
      </w:r>
      <w:r>
        <w:rPr>
          <w:rFonts w:hint="eastAsia" w:ascii="仿宋_GB2312" w:cs="仿宋_GB2312"/>
          <w:b w:val="0"/>
          <w:color w:val="auto"/>
          <w:sz w:val="32"/>
          <w:szCs w:val="32"/>
        </w:rPr>
        <w:t>，得</w:t>
      </w:r>
      <w:r>
        <w:rPr>
          <w:rFonts w:hint="eastAsia" w:ascii="仿宋_GB2312" w:cs="仿宋_GB2312"/>
          <w:b w:val="0"/>
          <w:color w:val="auto"/>
          <w:sz w:val="32"/>
          <w:szCs w:val="32"/>
          <w:lang w:val="en-US" w:eastAsia="zh-CN"/>
        </w:rPr>
        <w:t>2.5</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26</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86.66</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提升诊疗水平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“逐步提升”，</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良</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8</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逐步提升基层医疗机构服务水平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“逐步提升基层医疗机构服务水平”，</w:t>
      </w:r>
      <w:r>
        <w:rPr>
          <w:rFonts w:hint="eastAsia" w:ascii="仿宋_GB2312"/>
          <w:color w:val="auto"/>
          <w:sz w:val="32"/>
          <w:szCs w:val="32"/>
          <w:lang w:val="en-US" w:eastAsia="zh-CN"/>
        </w:rPr>
        <w:t>根据出院治愈患者人数可知，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良</w:t>
      </w:r>
      <w:r>
        <w:rPr>
          <w:rFonts w:hint="eastAsia" w:ascii="仿宋_GB2312"/>
          <w:color w:val="auto"/>
          <w:sz w:val="32"/>
          <w:szCs w:val="32"/>
          <w:lang w:eastAsia="zh-Hans"/>
        </w:rPr>
        <w:t>好”</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8</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0"/>
        <w:rPr>
          <w:rFonts w:ascii="仿宋_GB2312"/>
          <w:color w:val="auto"/>
          <w:sz w:val="32"/>
          <w:szCs w:val="32"/>
        </w:rPr>
      </w:pPr>
      <w:bookmarkStart w:id="16" w:name="_Toc1921"/>
      <w:bookmarkStart w:id="17" w:name="_Toc28290"/>
      <w:r>
        <w:rPr>
          <w:rFonts w:hint="eastAsia" w:ascii="仿宋_GB2312"/>
          <w:color w:val="auto"/>
          <w:sz w:val="32"/>
          <w:szCs w:val="32"/>
          <w:lang w:eastAsia="zh-Hans"/>
        </w:rPr>
        <w:t>“</w:t>
      </w:r>
      <w:r>
        <w:rPr>
          <w:rFonts w:hint="eastAsia" w:ascii="仿宋_GB2312"/>
          <w:color w:val="auto"/>
          <w:sz w:val="32"/>
          <w:szCs w:val="32"/>
        </w:rPr>
        <w:t>受益对象满意度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“&gt;=90.00%”，根据</w:t>
      </w:r>
      <w:r>
        <w:rPr>
          <w:rFonts w:hint="eastAsia" w:ascii="仿宋_GB2312"/>
          <w:color w:val="auto"/>
          <w:sz w:val="32"/>
          <w:szCs w:val="32"/>
          <w:lang w:val="en-US" w:eastAsia="zh-CN"/>
        </w:rPr>
        <w:t>医院患者满意度调查问卷可知</w:t>
      </w:r>
      <w:r>
        <w:rPr>
          <w:rFonts w:hint="eastAsia" w:ascii="仿宋_GB2312"/>
          <w:color w:val="auto"/>
          <w:sz w:val="32"/>
          <w:szCs w:val="32"/>
          <w:lang w:eastAsia="zh-Hans"/>
        </w:rPr>
        <w:t>，</w:t>
      </w:r>
      <w:r>
        <w:rPr>
          <w:rFonts w:hint="eastAsia" w:ascii="仿宋_GB2312"/>
          <w:color w:val="auto"/>
          <w:sz w:val="32"/>
          <w:szCs w:val="32"/>
          <w:lang w:val="en-US" w:eastAsia="zh-CN"/>
        </w:rPr>
        <w:t>我院2022年患者满意度为98%，</w:t>
      </w:r>
      <w:r>
        <w:rPr>
          <w:rFonts w:hint="eastAsia" w:ascii="仿宋_GB2312"/>
          <w:color w:val="auto"/>
          <w:sz w:val="32"/>
          <w:szCs w:val="32"/>
          <w:lang w:eastAsia="zh-Hans"/>
        </w:rPr>
        <w:t>&gt;=90.00%</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12"/>
        <w:spacing w:line="600" w:lineRule="exact"/>
        <w:ind w:firstLine="640"/>
        <w:rPr>
          <w:rFonts w:ascii="仿宋_GB2312"/>
          <w:color w:val="auto"/>
          <w:sz w:val="32"/>
          <w:szCs w:val="32"/>
          <w:lang w:eastAsia="zh-Hans"/>
        </w:rPr>
      </w:pPr>
      <w:r>
        <w:rPr>
          <w:rFonts w:hint="eastAsia" w:ascii="仿宋_GB2312"/>
          <w:color w:val="auto"/>
          <w:sz w:val="32"/>
          <w:szCs w:val="32"/>
          <w:lang w:eastAsia="zh-Hans"/>
        </w:rPr>
        <w:t>市体育场方舱医院项目预算金额</w:t>
      </w:r>
      <w:r>
        <w:rPr>
          <w:rFonts w:hint="eastAsia" w:ascii="仿宋_GB2312"/>
          <w:color w:val="auto"/>
          <w:sz w:val="32"/>
          <w:szCs w:val="32"/>
          <w:lang w:val="en-US" w:eastAsia="zh-CN"/>
        </w:rPr>
        <w:t>58.5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58.5</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58.5</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年本单位负责实施的市体育场方舱医院项目的绩效目标及指标已经全部达成，不存在偏差情况。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14"/>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ageBreakBefore w:val="0"/>
        <w:widowControl w:val="0"/>
        <w:kinsoku/>
        <w:wordWrap/>
        <w:overflowPunct/>
        <w:topLinePunct w:val="0"/>
        <w:autoSpaceDE/>
        <w:autoSpaceDN/>
        <w:bidi w:val="0"/>
        <w:spacing w:line="520" w:lineRule="exact"/>
        <w:ind w:firstLine="640" w:firstLineChars="200"/>
        <w:textAlignment w:val="auto"/>
        <w:rPr>
          <w:rFonts w:hint="eastAsia" w:ascii="仿宋_GB2312" w:hAnsi="Times New Roman" w:cs="Times New Roman"/>
          <w:color w:val="auto"/>
          <w:sz w:val="32"/>
          <w:szCs w:val="32"/>
          <w:lang w:val="zh-TW" w:eastAsia="zh-TW"/>
        </w:rPr>
      </w:pPr>
      <w:bookmarkStart w:id="18" w:name="_Toc68364674"/>
      <w:r>
        <w:rPr>
          <w:rFonts w:hint="eastAsia" w:ascii="仿宋_GB2312" w:hAnsi="Times New Roman" w:cs="Times New Roman"/>
          <w:color w:val="auto"/>
          <w:sz w:val="32"/>
          <w:szCs w:val="32"/>
          <w:lang w:val="en-US" w:eastAsia="zh-CN"/>
        </w:rPr>
        <w:t>面对突如其来的新冠肺炎疫情，市医院人快速反应，在市疫情防控指挥部的带领的下，主要负责舱内外综合协调、出入院管理、数据上报、核算结果比对、信息系统维护、患者诉求答复、相关文件传达及处理等工作。</w:t>
      </w:r>
      <w:r>
        <w:rPr>
          <w:rFonts w:hint="eastAsia" w:ascii="仿宋_GB2312" w:hAnsi="Times New Roman" w:cs="Times New Roman"/>
          <w:color w:val="auto"/>
          <w:sz w:val="32"/>
          <w:szCs w:val="32"/>
        </w:rPr>
        <w:t>做好新型冠状病毒防控工作，提高新型冠状病毒的防治水平和应对能力，及时、有效的采取防控措施，控制疫情的传播、蔓延，保障广大群众的身体健康和生命安全</w:t>
      </w:r>
      <w:r>
        <w:rPr>
          <w:rFonts w:hint="eastAsia" w:ascii="仿宋_GB2312" w:hAnsi="Times New Roman" w:cs="Times New Roman"/>
          <w:color w:val="auto"/>
          <w:sz w:val="32"/>
          <w:szCs w:val="32"/>
          <w:lang w:eastAsia="zh-CN"/>
        </w:rPr>
        <w:t>。</w:t>
      </w:r>
    </w:p>
    <w:p>
      <w:pPr>
        <w:pStyle w:val="14"/>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1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1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rPr>
        <w:t>.项目支出绩效评价存在局限，客观性有待加强</w:t>
      </w:r>
    </w:p>
    <w:p>
      <w:pPr>
        <w:pStyle w:val="13"/>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spacing w:line="540" w:lineRule="exact"/>
        <w:ind w:firstLine="624" w:firstLineChars="200"/>
      </w:pPr>
      <w:r>
        <w:rPr>
          <w:rFonts w:hint="eastAsia" w:ascii="仿宋_GB2312" w:hAnsi="仿宋_GB2312" w:eastAsia="仿宋_GB2312" w:cs="仿宋_GB2312"/>
          <w:color w:val="auto"/>
          <w:spacing w:val="-4"/>
          <w:kern w:val="2"/>
          <w:sz w:val="32"/>
          <w:szCs w:val="32"/>
          <w:lang w:val="en-US" w:eastAsia="zh-CN" w:bidi="ar-SA"/>
        </w:rPr>
        <w:t>采取集中学习、讲座、专题会议等方式，加大预算绩效管理培训力度，将如何制定绩效目标作为培训的中心内容，贯彻落实相关制度及办法。加大对专项资金的使用部门业务人员的培训，以达到预算绩效管理标准化、常态化的要求，最终实现提高绩效管理工作。</w:t>
      </w:r>
    </w:p>
    <w:p>
      <w:pPr>
        <w:pStyle w:val="3"/>
        <w:spacing w:line="600" w:lineRule="exact"/>
        <w:ind w:firstLine="640"/>
        <w:rPr>
          <w:szCs w:val="32"/>
        </w:rPr>
      </w:pPr>
      <w:r>
        <w:rPr>
          <w:rFonts w:hint="eastAsia"/>
          <w:szCs w:val="32"/>
        </w:rPr>
        <w:t>八、其他需要说明的问题</w:t>
      </w:r>
    </w:p>
    <w:p>
      <w:pPr>
        <w:pStyle w:val="12"/>
        <w:spacing w:line="600" w:lineRule="exact"/>
        <w:ind w:firstLine="936" w:firstLineChars="300"/>
        <w:rPr>
          <w:rFonts w:ascii="仿宋_GB2312"/>
          <w:sz w:val="32"/>
          <w:szCs w:val="32"/>
        </w:rPr>
      </w:pPr>
      <w:r>
        <w:rPr>
          <w:rFonts w:hint="eastAsia"/>
          <w:spacing w:val="-4"/>
          <w:sz w:val="32"/>
          <w:szCs w:val="32"/>
        </w:rPr>
        <w:t>无其他说明内容</w:t>
      </w:r>
    </w:p>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7"/>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737EEE1F"/>
    <w:multiLevelType w:val="singleLevel"/>
    <w:tmpl w:val="737EEE1F"/>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44BB15C0"/>
    <w:rsid w:val="03630182"/>
    <w:rsid w:val="19A5236D"/>
    <w:rsid w:val="26DA1988"/>
    <w:rsid w:val="286E03CE"/>
    <w:rsid w:val="3B3F3045"/>
    <w:rsid w:val="3DB01C3A"/>
    <w:rsid w:val="40A97954"/>
    <w:rsid w:val="476D55DA"/>
    <w:rsid w:val="4C177328"/>
    <w:rsid w:val="50267D20"/>
    <w:rsid w:val="537E1A3B"/>
    <w:rsid w:val="668B4B80"/>
    <w:rsid w:val="6BC21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line="600" w:lineRule="exact"/>
      <w:ind w:firstLine="641"/>
    </w:pPr>
    <w:rPr>
      <w:rFonts w:ascii="仿宋_GB2312" w:hAnsi="仿宋_GB2312" w:cs="仿宋_GB2312"/>
      <w:sz w:val="32"/>
      <w:szCs w:val="32"/>
    </w:rPr>
  </w:style>
  <w:style w:type="paragraph" w:styleId="6">
    <w:name w:val="Body Text"/>
    <w:basedOn w:val="1"/>
    <w:unhideWhenUsed/>
    <w:qFormat/>
    <w:uiPriority w:val="0"/>
    <w:pPr>
      <w:spacing w:before="240" w:after="240" w:line="360" w:lineRule="auto"/>
      <w:jc w:val="center"/>
    </w:pPr>
    <w:rPr>
      <w:b/>
      <w:sz w:val="44"/>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99"/>
    <w:pPr>
      <w:spacing w:before="100" w:beforeAutospacing="1" w:after="100" w:afterAutospacing="1"/>
      <w:jc w:val="left"/>
    </w:pPr>
    <w:rPr>
      <w:sz w:val="24"/>
    </w:rPr>
  </w:style>
  <w:style w:type="paragraph" w:customStyle="1" w:styleId="12">
    <w:name w:val="闻政-正文段落文字"/>
    <w:basedOn w:val="1"/>
    <w:qFormat/>
    <w:uiPriority w:val="3"/>
    <w:pPr>
      <w:spacing w:line="500" w:lineRule="exact"/>
      <w:ind w:firstLine="200"/>
    </w:pPr>
    <w:rPr>
      <w:kern w:val="0"/>
      <w:szCs w:val="28"/>
    </w:rPr>
  </w:style>
  <w:style w:type="paragraph" w:customStyle="1" w:styleId="13">
    <w:name w:val="_Style 1"/>
    <w:basedOn w:val="1"/>
    <w:qFormat/>
    <w:uiPriority w:val="34"/>
    <w:pPr>
      <w:ind w:firstLine="420"/>
    </w:pPr>
  </w:style>
  <w:style w:type="paragraph" w:customStyle="1" w:styleId="14">
    <w:name w:val="闻政-正文二级标题"/>
    <w:basedOn w:val="4"/>
    <w:next w:val="12"/>
    <w:qFormat/>
    <w:uiPriority w:val="3"/>
    <w:pPr>
      <w:spacing w:before="120" w:after="60" w:line="500" w:lineRule="exact"/>
      <w:ind w:left="200" w:leftChars="200" w:firstLine="0" w:firstLineChars="0"/>
    </w:pPr>
    <w:rPr>
      <w:rFonts w:ascii="Times New Roman" w:hAnsi="Times New Roman"/>
      <w:sz w:val="28"/>
    </w:rPr>
  </w:style>
  <w:style w:type="paragraph" w:customStyle="1" w:styleId="15">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7224</Words>
  <Characters>7564</Characters>
  <Lines>0</Lines>
  <Paragraphs>0</Paragraphs>
  <TotalTime>43</TotalTime>
  <ScaleCrop>false</ScaleCrop>
  <LinksUpToDate>false</LinksUpToDate>
  <CharactersWithSpaces>7576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2023-04-11T12:02:00Z</dcterms:created>
  <dc:creator>青橙</dc:creator>
  <cp:lastModifiedBy>Yz</cp:lastModifiedBy>
  <dcterms:modified xsi:type="dcterms:W3CDTF">2023-04-17T08:31:22Z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4920656F75E9455F86A3BE3DF39715A6_12</vt:lpwstr>
  </property>
</Properties>
</file>