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keepNext w:val="0"/>
        <w:keepLines w:val="0"/>
        <w:widowControl w:val="0"/>
        <w:suppressLineNumbers w:val="0"/>
        <w:spacing w:before="0" w:beforeAutospacing="0" w:after="0" w:afterAutospacing="0" w:line="560" w:lineRule="exact"/>
        <w:ind w:left="0" w:leftChars="0" w:right="0" w:firstLine="0" w:firstLineChars="0"/>
        <w:jc w:val="both"/>
        <w:rPr>
          <w:rFonts w:ascii="方正小标宋简体" w:hAnsi="黑体" w:eastAsia="方正小标宋简体" w:cs="黑体"/>
          <w:bCs/>
          <w:color w:val="auto"/>
          <w:sz w:val="48"/>
          <w:szCs w:val="48"/>
          <w:highlight w:val="none"/>
        </w:rPr>
      </w:pPr>
      <w:r>
        <w:rPr>
          <w:rFonts w:hint="eastAsia" w:ascii="方正小标宋简体" w:hAnsi="黑体" w:eastAsia="方正小标宋简体" w:cs="黑体"/>
          <w:bCs/>
          <w:color w:val="auto"/>
          <w:sz w:val="48"/>
          <w:szCs w:val="48"/>
          <w:highlight w:val="none"/>
        </w:rPr>
        <w:t>昌吉市民政局</w:t>
      </w:r>
      <w:r>
        <w:rPr>
          <w:rFonts w:hint="eastAsia" w:ascii="方正小标宋简体" w:hAnsi="黑体" w:eastAsia="方正小标宋简体" w:cs="黑体"/>
          <w:bCs/>
          <w:color w:val="auto"/>
          <w:sz w:val="48"/>
          <w:szCs w:val="48"/>
          <w:highlight w:val="none"/>
          <w:lang w:eastAsia="zh-CN"/>
        </w:rPr>
        <w:t>2022年自治区彩票公益金资助80岁以上老年人基本生活津贴和免费体检项目（高龄津贴）</w:t>
      </w:r>
      <w:r>
        <w:rPr>
          <w:rFonts w:hint="eastAsia" w:ascii="方正小标宋简体" w:hAnsi="黑体" w:eastAsia="方正小标宋简体" w:cs="黑体"/>
          <w:bCs/>
          <w:color w:val="auto"/>
          <w:sz w:val="48"/>
          <w:szCs w:val="48"/>
          <w:highlight w:val="none"/>
        </w:rPr>
        <w:t>项目支出绩效评价报告</w:t>
      </w: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spacing w:line="360" w:lineRule="auto"/>
        <w:ind w:firstLine="600"/>
        <w:rPr>
          <w:rFonts w:hint="eastAsia" w:ascii="黑体" w:hAnsi="Times New Roman" w:eastAsia="黑体" w:cs="Times New Roman"/>
          <w:color w:val="auto"/>
          <w:kern w:val="2"/>
          <w:sz w:val="30"/>
          <w:szCs w:val="30"/>
          <w:highlight w:val="none"/>
          <w:lang w:eastAsia="zh-CN"/>
        </w:rPr>
      </w:pPr>
      <w:r>
        <w:rPr>
          <w:rFonts w:ascii="黑体" w:hAnsi="黑体" w:eastAsia="黑体" w:cs="宋体"/>
          <w:color w:val="auto"/>
          <w:sz w:val="30"/>
          <w:szCs w:val="30"/>
          <w:highlight w:val="none"/>
        </w:rPr>
        <w:t>项目名称：</w:t>
      </w:r>
      <w:bookmarkStart w:id="0" w:name="_Hlk68780987"/>
      <w:r>
        <w:rPr>
          <w:rFonts w:hint="eastAsia" w:ascii="黑体" w:eastAsia="黑体"/>
          <w:color w:val="auto"/>
          <w:sz w:val="30"/>
          <w:szCs w:val="30"/>
          <w:highlight w:val="none"/>
          <w:lang w:eastAsia="zh-CN"/>
        </w:rPr>
        <w:t>2022年自治区彩票公益金资助80岁以上老年人基本生活津贴和免费体检项目（高龄津贴）</w:t>
      </w:r>
    </w:p>
    <w:bookmarkEnd w:id="0"/>
    <w:p>
      <w:pPr>
        <w:ind w:left="0" w:leftChars="0" w:firstLine="0" w:firstLineChars="0"/>
        <w:rPr>
          <w:rFonts w:ascii="黑体" w:hAnsi="黑体" w:eastAsia="黑体" w:cs="宋体"/>
          <w:color w:val="auto"/>
          <w:sz w:val="30"/>
          <w:szCs w:val="30"/>
          <w:highlight w:val="none"/>
        </w:rPr>
      </w:pPr>
      <w:r>
        <w:rPr>
          <w:rFonts w:ascii="黑体" w:hAnsi="黑体" w:eastAsia="黑体" w:cs="宋体"/>
          <w:color w:val="auto"/>
          <w:sz w:val="30"/>
          <w:szCs w:val="30"/>
          <w:highlight w:val="none"/>
        </w:rPr>
        <w:t xml:space="preserve">   项目单位：</w:t>
      </w:r>
      <w:r>
        <w:rPr>
          <w:rFonts w:hint="eastAsia" w:ascii="黑体" w:eastAsia="黑体"/>
          <w:color w:val="auto"/>
          <w:sz w:val="30"/>
          <w:szCs w:val="30"/>
          <w:highlight w:val="none"/>
        </w:rPr>
        <w:t>昌吉市民政局</w:t>
      </w:r>
    </w:p>
    <w:p>
      <w:pPr>
        <w:ind w:left="0" w:leftChars="0" w:firstLine="0" w:firstLineChars="0"/>
        <w:rPr>
          <w:rFonts w:ascii="黑体" w:hAnsi="黑体" w:eastAsia="黑体" w:cs="宋体"/>
          <w:color w:val="auto"/>
          <w:sz w:val="30"/>
          <w:szCs w:val="30"/>
          <w:highlight w:val="none"/>
        </w:rPr>
      </w:pPr>
      <w:r>
        <w:rPr>
          <w:rFonts w:ascii="黑体" w:hAnsi="黑体" w:eastAsia="黑体" w:cs="宋体"/>
          <w:color w:val="auto"/>
          <w:sz w:val="30"/>
          <w:szCs w:val="30"/>
          <w:highlight w:val="none"/>
        </w:rPr>
        <w:t xml:space="preserve">   主管部门：</w:t>
      </w:r>
      <w:r>
        <w:rPr>
          <w:rFonts w:hint="eastAsia" w:ascii="黑体" w:eastAsia="黑体"/>
          <w:color w:val="auto"/>
          <w:sz w:val="30"/>
          <w:szCs w:val="30"/>
          <w:highlight w:val="none"/>
        </w:rPr>
        <w:t>昌吉市民政局</w:t>
      </w:r>
    </w:p>
    <w:p>
      <w:pPr>
        <w:ind w:firstLine="1200" w:firstLineChars="400"/>
        <w:rPr>
          <w:rFonts w:hint="eastAsia" w:ascii="黑体" w:hAnsi="黑体" w:eastAsia="黑体" w:cs="宋体"/>
          <w:color w:val="auto"/>
          <w:sz w:val="30"/>
          <w:szCs w:val="30"/>
          <w:highlight w:val="none"/>
          <w:lang w:eastAsia="zh-CN"/>
        </w:rPr>
      </w:pPr>
      <w:r>
        <w:rPr>
          <w:rFonts w:hint="eastAsia" w:ascii="黑体" w:hAnsi="黑体" w:eastAsia="黑体" w:cs="宋体"/>
          <w:color w:val="auto"/>
          <w:sz w:val="30"/>
          <w:szCs w:val="30"/>
          <w:highlight w:val="none"/>
        </w:rPr>
        <w:t>项目负责人</w:t>
      </w:r>
      <w:r>
        <w:rPr>
          <w:rFonts w:ascii="黑体" w:hAnsi="黑体" w:eastAsia="黑体" w:cs="宋体"/>
          <w:color w:val="auto"/>
          <w:sz w:val="30"/>
          <w:szCs w:val="30"/>
          <w:highlight w:val="none"/>
        </w:rPr>
        <w:t>：</w:t>
      </w:r>
      <w:r>
        <w:rPr>
          <w:rFonts w:hint="eastAsia" w:ascii="黑体" w:hAnsi="黑体" w:eastAsia="黑体" w:cs="宋体"/>
          <w:color w:val="auto"/>
          <w:sz w:val="30"/>
          <w:szCs w:val="30"/>
          <w:highlight w:val="none"/>
          <w:lang w:val="en-US" w:eastAsia="zh-CN"/>
        </w:rPr>
        <w:t>海剑</w:t>
      </w:r>
    </w:p>
    <w:p>
      <w:pPr>
        <w:ind w:firstLine="1200" w:firstLineChars="400"/>
        <w:rPr>
          <w:rFonts w:hint="eastAsia" w:ascii="黑体" w:hAnsi="黑体" w:eastAsia="黑体" w:cs="仿宋_GB2312"/>
          <w:color w:val="auto"/>
          <w:sz w:val="30"/>
          <w:szCs w:val="30"/>
          <w:highlight w:val="none"/>
        </w:rPr>
      </w:pPr>
      <w:r>
        <w:rPr>
          <w:rFonts w:hint="eastAsia" w:ascii="黑体" w:hAnsi="黑体" w:eastAsia="黑体" w:cs="宋体"/>
          <w:color w:val="auto"/>
          <w:sz w:val="30"/>
          <w:szCs w:val="30"/>
          <w:highlight w:val="none"/>
        </w:rPr>
        <w:t>填报时间：</w:t>
      </w:r>
      <w:r>
        <w:rPr>
          <w:rFonts w:ascii="黑体" w:hAnsi="黑体" w:eastAsia="黑体" w:cs="宋体"/>
          <w:color w:val="auto"/>
          <w:sz w:val="30"/>
          <w:szCs w:val="30"/>
          <w:highlight w:val="none"/>
        </w:rPr>
        <w:t>202</w:t>
      </w:r>
      <w:r>
        <w:rPr>
          <w:rFonts w:hint="eastAsia" w:ascii="黑体" w:hAnsi="黑体" w:eastAsia="黑体" w:cs="宋体"/>
          <w:color w:val="auto"/>
          <w:sz w:val="30"/>
          <w:szCs w:val="30"/>
          <w:highlight w:val="none"/>
          <w:lang w:val="en-US" w:eastAsia="zh-CN"/>
        </w:rPr>
        <w:t>3</w:t>
      </w:r>
      <w:r>
        <w:rPr>
          <w:rFonts w:hint="eastAsia" w:ascii="黑体" w:hAnsi="黑体" w:eastAsia="黑体" w:cs="宋体"/>
          <w:color w:val="auto"/>
          <w:sz w:val="30"/>
          <w:szCs w:val="30"/>
          <w:highlight w:val="none"/>
        </w:rPr>
        <w:t>年</w:t>
      </w:r>
      <w:r>
        <w:rPr>
          <w:rFonts w:hint="default" w:ascii="黑体" w:hAnsi="黑体" w:eastAsia="黑体" w:cs="宋体"/>
          <w:color w:val="auto"/>
          <w:sz w:val="30"/>
          <w:szCs w:val="30"/>
          <w:highlight w:val="none"/>
        </w:rPr>
        <w:t>4</w:t>
      </w:r>
      <w:r>
        <w:rPr>
          <w:rFonts w:hint="eastAsia" w:ascii="黑体" w:hAnsi="黑体" w:eastAsia="黑体" w:cs="宋体"/>
          <w:color w:val="auto"/>
          <w:sz w:val="30"/>
          <w:szCs w:val="30"/>
          <w:highlight w:val="none"/>
        </w:rPr>
        <w:t>月</w:t>
      </w:r>
      <w:r>
        <w:rPr>
          <w:rFonts w:hint="default" w:ascii="黑体" w:hAnsi="黑体" w:eastAsia="黑体" w:cs="宋体"/>
          <w:color w:val="auto"/>
          <w:sz w:val="30"/>
          <w:szCs w:val="30"/>
          <w:highlight w:val="none"/>
        </w:rPr>
        <w:t>1</w:t>
      </w:r>
      <w:r>
        <w:rPr>
          <w:rFonts w:hint="eastAsia" w:ascii="黑体" w:hAnsi="黑体" w:eastAsia="黑体" w:cs="宋体"/>
          <w:color w:val="auto"/>
          <w:sz w:val="30"/>
          <w:szCs w:val="30"/>
          <w:highlight w:val="none"/>
          <w:lang w:val="en-US" w:eastAsia="zh-CN"/>
        </w:rPr>
        <w:t>5</w:t>
      </w:r>
      <w:r>
        <w:rPr>
          <w:rFonts w:hint="eastAsia" w:ascii="黑体" w:hAnsi="黑体" w:eastAsia="黑体" w:cs="仿宋_GB2312"/>
          <w:color w:val="auto"/>
          <w:sz w:val="30"/>
          <w:szCs w:val="30"/>
          <w:highlight w:val="none"/>
        </w:rPr>
        <w:t>日</w:t>
      </w:r>
    </w:p>
    <w:p>
      <w:pPr>
        <w:pStyle w:val="2"/>
        <w:rPr>
          <w:rFonts w:hint="eastAsia" w:ascii="黑体" w:hAnsi="黑体" w:eastAsia="黑体" w:cs="仿宋_GB2312"/>
          <w:color w:val="auto"/>
          <w:sz w:val="30"/>
          <w:szCs w:val="30"/>
          <w:highlight w:val="none"/>
        </w:rPr>
      </w:pPr>
    </w:p>
    <w:p>
      <w:pPr>
        <w:rPr>
          <w:color w:val="auto"/>
          <w:highlight w:val="none"/>
        </w:rPr>
      </w:pPr>
    </w:p>
    <w:p>
      <w:pPr>
        <w:spacing w:after="100" w:afterAutospacing="1" w:line="360" w:lineRule="auto"/>
        <w:ind w:firstLine="880"/>
        <w:jc w:val="center"/>
        <w:rPr>
          <w:rFonts w:ascii="方正小标宋_GBK" w:hAnsi="黑体" w:eastAsia="方正小标宋_GBK" w:cs="黑体"/>
          <w:bCs/>
          <w:color w:val="auto"/>
          <w:sz w:val="44"/>
          <w:szCs w:val="44"/>
          <w:highlight w:val="none"/>
        </w:rPr>
      </w:pPr>
      <w:r>
        <w:rPr>
          <w:rFonts w:hint="eastAsia" w:ascii="方正小标宋_GBK" w:hAnsi="黑体" w:eastAsia="方正小标宋_GBK" w:cs="黑体"/>
          <w:bCs/>
          <w:color w:val="auto"/>
          <w:sz w:val="44"/>
          <w:szCs w:val="44"/>
          <w:highlight w:val="none"/>
        </w:rPr>
        <w:t>项目支出绩效评价报告</w:t>
      </w:r>
    </w:p>
    <w:p>
      <w:pPr>
        <w:pStyle w:val="3"/>
        <w:spacing w:line="600" w:lineRule="exact"/>
        <w:ind w:firstLine="640"/>
        <w:rPr>
          <w:color w:val="auto"/>
          <w:szCs w:val="32"/>
          <w:highlight w:val="none"/>
        </w:rPr>
      </w:pPr>
      <w:r>
        <w:rPr>
          <w:rFonts w:hint="eastAsia"/>
          <w:color w:val="auto"/>
          <w:szCs w:val="32"/>
          <w:highlight w:val="none"/>
        </w:rPr>
        <w:t>一、基本情况</w:t>
      </w:r>
    </w:p>
    <w:p>
      <w:pPr>
        <w:pStyle w:val="4"/>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（一）项目概况</w:t>
      </w:r>
    </w:p>
    <w:p>
      <w:pPr>
        <w:pStyle w:val="2"/>
        <w:spacing w:line="600" w:lineRule="exact"/>
        <w:ind w:firstLine="643"/>
        <w:rPr>
          <w:color w:val="auto"/>
          <w:sz w:val="32"/>
          <w:highlight w:val="none"/>
        </w:rPr>
      </w:pPr>
      <w:r>
        <w:rPr>
          <w:rFonts w:hint="eastAsia"/>
          <w:color w:val="auto"/>
          <w:sz w:val="32"/>
          <w:highlight w:val="none"/>
        </w:rPr>
        <w:t>1.项目背景</w:t>
      </w:r>
    </w:p>
    <w:p>
      <w:pPr>
        <w:pStyle w:val="2"/>
        <w:ind w:firstLine="640"/>
        <w:rPr>
          <w:b w:val="0"/>
          <w:bCs w:val="0"/>
          <w:color w:val="auto"/>
          <w:sz w:val="32"/>
          <w:highlight w:val="none"/>
        </w:rPr>
      </w:pPr>
      <w:r>
        <w:rPr>
          <w:rFonts w:hint="eastAsia"/>
          <w:b w:val="0"/>
          <w:bCs w:val="0"/>
          <w:color w:val="auto"/>
          <w:sz w:val="32"/>
          <w:highlight w:val="none"/>
        </w:rPr>
        <w:t>为了解决80岁以上老年人基本生活问题，保障80岁以上老年人的生活质量。健全养老保障服务体系，建立保障80岁以上老年人基本生活需求的长效机制，确保基本生活得到保障，不断提高80岁以上老年人的生活质量。</w:t>
      </w:r>
    </w:p>
    <w:p>
      <w:pPr>
        <w:pStyle w:val="2"/>
        <w:spacing w:line="600" w:lineRule="exact"/>
        <w:ind w:firstLine="643"/>
        <w:rPr>
          <w:color w:val="auto"/>
          <w:sz w:val="32"/>
          <w:highlight w:val="none"/>
        </w:rPr>
      </w:pPr>
      <w:r>
        <w:rPr>
          <w:rFonts w:hint="eastAsia"/>
          <w:color w:val="auto"/>
          <w:sz w:val="32"/>
          <w:highlight w:val="none"/>
        </w:rPr>
        <w:t>2.</w:t>
      </w:r>
      <w:r>
        <w:rPr>
          <w:rFonts w:hint="eastAsia"/>
          <w:color w:val="auto"/>
          <w:sz w:val="32"/>
          <w:highlight w:val="none"/>
          <w:lang w:eastAsia="zh-Hans"/>
        </w:rPr>
        <w:t>项目</w:t>
      </w:r>
      <w:r>
        <w:rPr>
          <w:rFonts w:hint="eastAsia"/>
          <w:color w:val="auto"/>
          <w:sz w:val="32"/>
          <w:highlight w:val="none"/>
        </w:rPr>
        <w:t>主要内容及实施情况</w:t>
      </w:r>
    </w:p>
    <w:p>
      <w:pPr>
        <w:pStyle w:val="2"/>
        <w:ind w:firstLine="640"/>
        <w:rPr>
          <w:b w:val="0"/>
          <w:bCs w:val="0"/>
          <w:color w:val="auto"/>
          <w:sz w:val="32"/>
          <w:highlight w:val="none"/>
        </w:rPr>
      </w:pPr>
      <w:r>
        <w:rPr>
          <w:rFonts w:hint="eastAsia" w:ascii="仿宋_GB2312" w:hAnsi="仿宋_GB2312" w:cs="仿宋_GB2312"/>
          <w:b w:val="0"/>
          <w:bCs w:val="0"/>
          <w:color w:val="auto"/>
          <w:sz w:val="32"/>
          <w:szCs w:val="32"/>
          <w:highlight w:val="none"/>
        </w:rPr>
        <w:t>本项目主要</w:t>
      </w:r>
      <w:r>
        <w:rPr>
          <w:rFonts w:hint="eastAsia" w:ascii="仿宋_GB2312" w:hAnsi="仿宋_GB2312" w:cs="仿宋_GB2312"/>
          <w:b w:val="0"/>
          <w:bCs w:val="0"/>
          <w:color w:val="auto"/>
          <w:sz w:val="32"/>
          <w:szCs w:val="32"/>
          <w:highlight w:val="none"/>
          <w:lang w:eastAsia="zh-Hans"/>
        </w:rPr>
        <w:t>内容为</w:t>
      </w:r>
      <w:r>
        <w:rPr>
          <w:rFonts w:hint="eastAsia"/>
          <w:b w:val="0"/>
          <w:bCs w:val="0"/>
          <w:color w:val="auto"/>
          <w:sz w:val="32"/>
          <w:highlight w:val="none"/>
        </w:rPr>
        <w:t>关爱老年人的身体健康状况，保障80岁以上老年人进行免费体检。完成2022年全年80岁以上老年人的基本生活津贴发放，并开展免费体检，全面保障了我市80岁以上老年人的基本生活需求。</w:t>
      </w:r>
    </w:p>
    <w:p>
      <w:pPr>
        <w:pStyle w:val="2"/>
        <w:spacing w:line="600" w:lineRule="exact"/>
        <w:ind w:firstLine="643"/>
        <w:rPr>
          <w:color w:val="auto"/>
          <w:sz w:val="32"/>
          <w:highlight w:val="none"/>
        </w:rPr>
      </w:pPr>
      <w:r>
        <w:rPr>
          <w:rFonts w:hint="eastAsia"/>
          <w:color w:val="auto"/>
          <w:sz w:val="32"/>
          <w:highlight w:val="none"/>
        </w:rPr>
        <w:t>3.项目实施主体</w:t>
      </w:r>
    </w:p>
    <w:p>
      <w:pPr>
        <w:ind w:firstLine="640"/>
        <w:rPr>
          <w:color w:val="auto"/>
          <w:sz w:val="32"/>
          <w:szCs w:val="32"/>
          <w:highlight w:val="none"/>
        </w:rPr>
      </w:pPr>
      <w:r>
        <w:rPr>
          <w:rFonts w:hint="eastAsia"/>
          <w:color w:val="auto"/>
          <w:sz w:val="32"/>
          <w:szCs w:val="32"/>
          <w:highlight w:val="none"/>
        </w:rPr>
        <w:t>单位职能：昌吉市民政局</w:t>
      </w:r>
    </w:p>
    <w:p>
      <w:pPr>
        <w:pStyle w:val="2"/>
        <w:ind w:firstLine="640"/>
        <w:rPr>
          <w:b w:val="0"/>
          <w:bCs w:val="0"/>
          <w:color w:val="auto"/>
          <w:highlight w:val="none"/>
        </w:rPr>
      </w:pPr>
      <w:r>
        <w:rPr>
          <w:rFonts w:hint="eastAsia"/>
          <w:b w:val="0"/>
          <w:bCs w:val="0"/>
          <w:color w:val="auto"/>
          <w:sz w:val="32"/>
          <w:highlight w:val="none"/>
        </w:rPr>
        <w:t>人员编制：昌吉市民政局编制数60，实有人数60人，其中：在职60人，减少11人；退休33人，增加2人；离休0人，增加或减少0人。</w:t>
      </w:r>
    </w:p>
    <w:p>
      <w:pPr>
        <w:pStyle w:val="2"/>
        <w:spacing w:line="600" w:lineRule="exact"/>
        <w:ind w:firstLine="643"/>
        <w:rPr>
          <w:color w:val="auto"/>
          <w:sz w:val="32"/>
          <w:highlight w:val="none"/>
        </w:rPr>
      </w:pPr>
      <w:r>
        <w:rPr>
          <w:color w:val="auto"/>
          <w:sz w:val="32"/>
          <w:highlight w:val="none"/>
        </w:rPr>
        <w:t>4</w:t>
      </w:r>
      <w:r>
        <w:rPr>
          <w:rFonts w:hint="eastAsia"/>
          <w:color w:val="auto"/>
          <w:sz w:val="32"/>
          <w:highlight w:val="none"/>
        </w:rPr>
        <w:t>.</w:t>
      </w:r>
      <w:r>
        <w:rPr>
          <w:rFonts w:hint="eastAsia" w:cs="仿宋_GB2312"/>
          <w:color w:val="auto"/>
          <w:sz w:val="32"/>
          <w:highlight w:val="none"/>
        </w:rPr>
        <w:t xml:space="preserve"> 资金投入和使用情况</w:t>
      </w:r>
    </w:p>
    <w:p>
      <w:pPr>
        <w:spacing w:line="600" w:lineRule="exact"/>
        <w:ind w:firstLine="640"/>
        <w:rPr>
          <w:rFonts w:ascii="仿宋_GB2312" w:hAnsi="仿宋_GB2312" w:cs="仿宋_GB2312"/>
          <w:color w:val="auto"/>
          <w:sz w:val="32"/>
          <w:szCs w:val="32"/>
          <w:highlight w:val="none"/>
        </w:rPr>
      </w:pPr>
      <w:r>
        <w:rPr>
          <w:rFonts w:hint="eastAsia"/>
          <w:color w:val="auto"/>
          <w:sz w:val="32"/>
          <w:szCs w:val="32"/>
          <w:highlight w:val="none"/>
        </w:rPr>
        <w:t>（1）项目资金安排落实、总投入情况</w:t>
      </w:r>
    </w:p>
    <w:p>
      <w:pPr>
        <w:ind w:firstLine="640"/>
        <w:rPr>
          <w:color w:val="auto"/>
          <w:sz w:val="32"/>
          <w:szCs w:val="32"/>
          <w:highlight w:val="none"/>
        </w:rPr>
      </w:pPr>
      <w:r>
        <w:rPr>
          <w:rFonts w:hint="eastAsia"/>
          <w:color w:val="auto"/>
          <w:sz w:val="32"/>
          <w:szCs w:val="32"/>
          <w:highlight w:val="none"/>
        </w:rPr>
        <w:t>昌吉市民政局</w:t>
      </w:r>
      <w:r>
        <w:rPr>
          <w:rFonts w:hint="eastAsia"/>
          <w:color w:val="auto"/>
          <w:sz w:val="32"/>
          <w:szCs w:val="32"/>
          <w:highlight w:val="none"/>
          <w:lang w:eastAsia="zh-CN"/>
        </w:rPr>
        <w:t>2022年自治区彩票公益金资助80岁以上老年人基本生活津贴和免费体检项目（高龄津贴）</w:t>
      </w:r>
      <w:r>
        <w:rPr>
          <w:color w:val="auto"/>
          <w:sz w:val="32"/>
          <w:szCs w:val="32"/>
          <w:highlight w:val="none"/>
        </w:rPr>
        <w:t>项目预算安排总额为</w:t>
      </w:r>
      <w:r>
        <w:rPr>
          <w:rFonts w:hint="eastAsia"/>
          <w:color w:val="auto"/>
          <w:sz w:val="32"/>
          <w:szCs w:val="32"/>
          <w:highlight w:val="none"/>
        </w:rPr>
        <w:t>317.9965</w:t>
      </w:r>
      <w:r>
        <w:rPr>
          <w:color w:val="auto"/>
          <w:sz w:val="32"/>
          <w:szCs w:val="32"/>
          <w:highlight w:val="none"/>
        </w:rPr>
        <w:t>万元，其中财政资金</w:t>
      </w:r>
      <w:r>
        <w:rPr>
          <w:rFonts w:hint="eastAsia"/>
          <w:color w:val="auto"/>
          <w:sz w:val="32"/>
          <w:szCs w:val="32"/>
          <w:highlight w:val="none"/>
        </w:rPr>
        <w:t>317.9965</w:t>
      </w:r>
      <w:r>
        <w:rPr>
          <w:color w:val="auto"/>
          <w:sz w:val="32"/>
          <w:szCs w:val="32"/>
          <w:highlight w:val="none"/>
        </w:rPr>
        <w:t>万元，其他资金</w:t>
      </w:r>
      <w:r>
        <w:rPr>
          <w:rFonts w:hint="eastAsia"/>
          <w:color w:val="auto"/>
          <w:sz w:val="32"/>
          <w:szCs w:val="32"/>
          <w:highlight w:val="none"/>
        </w:rPr>
        <w:t>0</w:t>
      </w:r>
      <w:r>
        <w:rPr>
          <w:color w:val="auto"/>
          <w:sz w:val="32"/>
          <w:szCs w:val="32"/>
          <w:highlight w:val="none"/>
        </w:rPr>
        <w:t>万元，</w:t>
      </w:r>
      <w:r>
        <w:rPr>
          <w:rFonts w:hint="eastAsia"/>
          <w:color w:val="auto"/>
          <w:sz w:val="32"/>
          <w:szCs w:val="32"/>
          <w:highlight w:val="none"/>
        </w:rPr>
        <w:t>2022</w:t>
      </w:r>
      <w:r>
        <w:rPr>
          <w:color w:val="auto"/>
          <w:sz w:val="32"/>
          <w:szCs w:val="32"/>
          <w:highlight w:val="none"/>
        </w:rPr>
        <w:t>年实际收到预算资金</w:t>
      </w:r>
      <w:r>
        <w:rPr>
          <w:rFonts w:hint="eastAsia"/>
          <w:color w:val="auto"/>
          <w:sz w:val="32"/>
          <w:szCs w:val="32"/>
          <w:highlight w:val="none"/>
        </w:rPr>
        <w:t>317.9965</w:t>
      </w:r>
      <w:r>
        <w:rPr>
          <w:color w:val="auto"/>
          <w:sz w:val="32"/>
          <w:szCs w:val="32"/>
          <w:highlight w:val="none"/>
        </w:rPr>
        <w:t>万元，预算资金到位率为</w:t>
      </w:r>
      <w:r>
        <w:rPr>
          <w:rFonts w:hint="eastAsia"/>
          <w:color w:val="auto"/>
          <w:sz w:val="32"/>
          <w:szCs w:val="32"/>
          <w:highlight w:val="none"/>
        </w:rPr>
        <w:t>100</w:t>
      </w:r>
      <w:r>
        <w:rPr>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（2）项目资金实际使用情况</w:t>
      </w:r>
    </w:p>
    <w:p>
      <w:pPr>
        <w:ind w:firstLine="640"/>
        <w:rPr>
          <w:rFonts w:ascii="仿宋_GB2312"/>
          <w:color w:val="auto"/>
          <w:sz w:val="32"/>
          <w:szCs w:val="32"/>
          <w:highlight w:val="none"/>
        </w:rPr>
      </w:pPr>
      <w:r>
        <w:rPr>
          <w:rFonts w:hint="eastAsia" w:ascii="仿宋_GB2312" w:hAnsi="仿宋_GB2312" w:cs="仿宋_GB2312"/>
          <w:color w:val="auto"/>
          <w:sz w:val="32"/>
          <w:szCs w:val="32"/>
          <w:highlight w:val="none"/>
        </w:rPr>
        <w:t>截至202</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rPr>
        <w:t>年12月31日，</w:t>
      </w:r>
      <w:r>
        <w:rPr>
          <w:rFonts w:hint="eastAsia" w:ascii="仿宋_GB2312"/>
          <w:color w:val="auto"/>
          <w:sz w:val="32"/>
          <w:szCs w:val="32"/>
          <w:highlight w:val="none"/>
        </w:rPr>
        <w:t>本项目实际支付资金</w:t>
      </w:r>
      <w:r>
        <w:rPr>
          <w:rFonts w:hint="eastAsia"/>
          <w:color w:val="auto"/>
          <w:sz w:val="32"/>
          <w:szCs w:val="32"/>
          <w:highlight w:val="none"/>
        </w:rPr>
        <w:t>317.9965</w:t>
      </w:r>
      <w:r>
        <w:rPr>
          <w:rFonts w:hint="eastAsia" w:ascii="仿宋_GB2312"/>
          <w:color w:val="auto"/>
          <w:sz w:val="32"/>
          <w:szCs w:val="32"/>
          <w:highlight w:val="none"/>
        </w:rPr>
        <w:t>万元，预算执行</w:t>
      </w:r>
      <w:r>
        <w:rPr>
          <w:rFonts w:hint="eastAsia" w:ascii="仿宋_GB2312"/>
          <w:color w:val="auto"/>
          <w:sz w:val="32"/>
          <w:szCs w:val="32"/>
          <w:highlight w:val="none"/>
        </w:rPr>
        <w:t>率</w:t>
      </w:r>
      <w:r>
        <w:rPr>
          <w:rFonts w:hint="eastAsia" w:ascii="仿宋_GB2312" w:hAnsi="仿宋_GB2312" w:cs="仿宋_GB2312"/>
          <w:color w:val="auto"/>
          <w:sz w:val="32"/>
          <w:szCs w:val="32"/>
          <w:highlight w:val="none"/>
          <w:lang w:val="en-US" w:eastAsia="zh-CN"/>
        </w:rPr>
        <w:t>100</w:t>
      </w:r>
      <w:r>
        <w:rPr>
          <w:rFonts w:hint="eastAsia" w:ascii="仿宋_GB2312"/>
          <w:color w:val="auto"/>
          <w:sz w:val="32"/>
          <w:szCs w:val="32"/>
          <w:highlight w:val="none"/>
        </w:rPr>
        <w:t>%。</w:t>
      </w:r>
      <w:r>
        <w:rPr>
          <w:rFonts w:hint="eastAsia"/>
          <w:color w:val="auto"/>
          <w:sz w:val="32"/>
          <w:szCs w:val="32"/>
          <w:highlight w:val="none"/>
        </w:rPr>
        <w:t>本项目</w:t>
      </w:r>
      <w:r>
        <w:rPr>
          <w:rFonts w:hint="eastAsia"/>
          <w:color w:val="auto"/>
          <w:sz w:val="32"/>
          <w:szCs w:val="32"/>
          <w:highlight w:val="none"/>
        </w:rPr>
        <w:t>实际支付资金317.9965万元，预算执行率100</w:t>
      </w:r>
      <w:r>
        <w:rPr>
          <w:color w:val="auto"/>
          <w:sz w:val="32"/>
          <w:szCs w:val="32"/>
          <w:highlight w:val="none"/>
        </w:rPr>
        <w:t>%</w:t>
      </w:r>
      <w:r>
        <w:rPr>
          <w:rFonts w:hint="eastAsia"/>
          <w:color w:val="auto"/>
          <w:sz w:val="32"/>
          <w:szCs w:val="32"/>
          <w:highlight w:val="none"/>
        </w:rPr>
        <w:t>。项目资金主要用于支付80周岁以上老年人基本生活津贴。</w:t>
      </w:r>
    </w:p>
    <w:p>
      <w:pPr>
        <w:pStyle w:val="4"/>
        <w:numPr>
          <w:ilvl w:val="0"/>
          <w:numId w:val="2"/>
        </w:numPr>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项目绩效目标</w:t>
      </w:r>
    </w:p>
    <w:p>
      <w:pPr>
        <w:pStyle w:val="2"/>
        <w:spacing w:line="600" w:lineRule="exact"/>
        <w:ind w:firstLine="643"/>
        <w:rPr>
          <w:color w:val="auto"/>
          <w:sz w:val="32"/>
          <w:highlight w:val="none"/>
        </w:rPr>
      </w:pPr>
      <w:r>
        <w:rPr>
          <w:rFonts w:hint="eastAsia"/>
          <w:color w:val="auto"/>
          <w:sz w:val="32"/>
          <w:highlight w:val="none"/>
        </w:rPr>
        <w:t>1.总体目标</w:t>
      </w:r>
    </w:p>
    <w:p>
      <w:pPr>
        <w:pStyle w:val="2"/>
        <w:ind w:firstLine="640"/>
        <w:rPr>
          <w:b w:val="0"/>
          <w:bCs w:val="0"/>
          <w:color w:val="auto"/>
          <w:sz w:val="32"/>
          <w:highlight w:val="none"/>
        </w:rPr>
      </w:pPr>
      <w:r>
        <w:rPr>
          <w:rFonts w:hint="eastAsia"/>
          <w:b w:val="0"/>
          <w:bCs w:val="0"/>
          <w:color w:val="auto"/>
          <w:sz w:val="32"/>
          <w:highlight w:val="none"/>
        </w:rPr>
        <w:t>年度目标：1、解决80岁以上老年人基本生活问题，提高生活质量。2、规范政策实施，使80岁以上老年人基本生活得到有效保障。</w:t>
      </w:r>
    </w:p>
    <w:p>
      <w:pPr>
        <w:pStyle w:val="2"/>
        <w:spacing w:line="600" w:lineRule="exact"/>
        <w:ind w:firstLine="643"/>
        <w:rPr>
          <w:color w:val="auto"/>
          <w:sz w:val="32"/>
          <w:highlight w:val="none"/>
        </w:rPr>
      </w:pPr>
      <w:r>
        <w:rPr>
          <w:rFonts w:hint="eastAsia"/>
          <w:color w:val="auto"/>
          <w:sz w:val="32"/>
          <w:highlight w:val="none"/>
        </w:rPr>
        <w:t>2.阶段性目标</w:t>
      </w:r>
    </w:p>
    <w:p>
      <w:pPr>
        <w:spacing w:line="600" w:lineRule="exact"/>
        <w:ind w:firstLine="643"/>
        <w:rPr>
          <w:rFonts w:hint="eastAsia" w:hAnsi="Arial" w:cs="宋体"/>
          <w:bCs/>
          <w:color w:val="auto"/>
          <w:sz w:val="32"/>
          <w:szCs w:val="32"/>
          <w:highlight w:val="none"/>
        </w:rPr>
      </w:pPr>
      <w:r>
        <w:rPr>
          <w:rFonts w:hint="eastAsia" w:hAnsi="Arial" w:cs="宋体"/>
          <w:bCs/>
          <w:color w:val="auto"/>
          <w:sz w:val="32"/>
          <w:szCs w:val="32"/>
          <w:highlight w:val="none"/>
        </w:rPr>
        <w:t>根据《预算法》、《财政支出绩效评价管理暂行办法》（财预〔2020〕10号）、《中共中央国务院关于全面实施预算绩效管理的意见》（中发〔2018〕34号）、《自治区党委自治区人民政府关于全面实施预算绩效管理的实施意见》（新党发〔2018〕30号）、《</w:t>
      </w:r>
      <w:r>
        <w:rPr>
          <w:rFonts w:hint="eastAsia" w:ascii="仿宋_GB2312"/>
          <w:color w:val="auto"/>
          <w:sz w:val="32"/>
          <w:szCs w:val="32"/>
          <w:highlight w:val="none"/>
        </w:rPr>
        <w:t>关于印发&lt;自治州实施预算绩效管理工作考核暂行办法&gt;的通知》（昌州财预〔2019〕23号）、</w:t>
      </w:r>
      <w:r>
        <w:rPr>
          <w:rFonts w:hint="eastAsia" w:hAnsi="Arial" w:cs="宋体"/>
          <w:bCs/>
          <w:color w:val="auto"/>
          <w:sz w:val="32"/>
          <w:szCs w:val="32"/>
          <w:highlight w:val="none"/>
        </w:rPr>
        <w:t>《关于印发《昌吉市全面实施预算绩效管理工作方案》的通知》（昌市财发字〔201</w:t>
      </w:r>
      <w:r>
        <w:rPr>
          <w:rFonts w:hAnsi="Arial" w:cs="宋体"/>
          <w:bCs/>
          <w:color w:val="auto"/>
          <w:sz w:val="32"/>
          <w:szCs w:val="32"/>
          <w:highlight w:val="none"/>
        </w:rPr>
        <w:t>8</w:t>
      </w:r>
      <w:r>
        <w:rPr>
          <w:rFonts w:hint="eastAsia" w:hAnsi="Arial" w:cs="宋体"/>
          <w:bCs/>
          <w:color w:val="auto"/>
          <w:sz w:val="32"/>
          <w:szCs w:val="32"/>
          <w:highlight w:val="none"/>
        </w:rPr>
        <w:t>〕2</w:t>
      </w:r>
      <w:r>
        <w:rPr>
          <w:rFonts w:hAnsi="Arial" w:cs="宋体"/>
          <w:bCs/>
          <w:color w:val="auto"/>
          <w:sz w:val="32"/>
          <w:szCs w:val="32"/>
          <w:highlight w:val="none"/>
        </w:rPr>
        <w:t>06</w:t>
      </w:r>
      <w:r>
        <w:rPr>
          <w:rFonts w:hint="eastAsia" w:hAnsi="Arial" w:cs="宋体"/>
          <w:bCs/>
          <w:color w:val="auto"/>
          <w:sz w:val="32"/>
          <w:szCs w:val="32"/>
          <w:highlight w:val="none"/>
        </w:rPr>
        <w:t>号），结合项目实施单位的规章制度以及财务相关资料，评价小组对项目绩效目标进行了进一步的完善，完善后绩效目标如</w:t>
      </w:r>
    </w:p>
    <w:p>
      <w:pPr>
        <w:numPr>
          <w:ilvl w:val="0"/>
          <w:numId w:val="3"/>
        </w:numPr>
        <w:spacing w:line="600" w:lineRule="exact"/>
        <w:ind w:firstLine="640"/>
        <w:rPr>
          <w:color w:val="auto"/>
          <w:sz w:val="32"/>
          <w:szCs w:val="32"/>
          <w:highlight w:val="none"/>
        </w:rPr>
      </w:pPr>
      <w:r>
        <w:rPr>
          <w:rFonts w:hint="eastAsia"/>
          <w:color w:val="auto"/>
          <w:sz w:val="32"/>
          <w:szCs w:val="32"/>
          <w:highlight w:val="none"/>
        </w:rPr>
        <w:t>项目产出目标</w:t>
      </w:r>
    </w:p>
    <w:p>
      <w:pPr>
        <w:spacing w:line="600" w:lineRule="exact"/>
        <w:ind w:firstLine="640"/>
        <w:rPr>
          <w:color w:val="auto"/>
          <w:sz w:val="32"/>
          <w:szCs w:val="32"/>
          <w:highlight w:val="none"/>
        </w:rPr>
      </w:pPr>
      <w:r>
        <w:rPr>
          <w:rFonts w:hint="eastAsia"/>
          <w:color w:val="auto"/>
          <w:sz w:val="32"/>
          <w:szCs w:val="32"/>
          <w:highlight w:val="none"/>
        </w:rPr>
        <w:t>①数量指标</w:t>
      </w:r>
    </w:p>
    <w:p>
      <w:pPr>
        <w:ind w:firstLine="640"/>
        <w:rPr>
          <w:color w:val="auto"/>
          <w:sz w:val="32"/>
          <w:szCs w:val="32"/>
          <w:highlight w:val="none"/>
        </w:rPr>
      </w:pPr>
      <w:r>
        <w:rPr>
          <w:rFonts w:hint="eastAsia"/>
          <w:color w:val="auto"/>
          <w:sz w:val="32"/>
          <w:szCs w:val="32"/>
          <w:highlight w:val="none"/>
        </w:rPr>
        <w:t>“80周岁以上老年人基本生活补贴发放人数”指标，预期指标值为“&gt;=9100.00人”；</w:t>
      </w:r>
    </w:p>
    <w:p>
      <w:pPr>
        <w:ind w:firstLine="640"/>
        <w:rPr>
          <w:color w:val="auto"/>
          <w:sz w:val="32"/>
          <w:szCs w:val="32"/>
          <w:highlight w:val="none"/>
        </w:rPr>
      </w:pPr>
      <w:r>
        <w:rPr>
          <w:rFonts w:hint="eastAsia"/>
          <w:color w:val="auto"/>
          <w:sz w:val="32"/>
          <w:szCs w:val="32"/>
          <w:highlight w:val="none"/>
        </w:rPr>
        <w:t>②质量指标</w:t>
      </w:r>
    </w:p>
    <w:p>
      <w:pPr>
        <w:ind w:firstLine="640"/>
        <w:rPr>
          <w:color w:val="auto"/>
          <w:sz w:val="32"/>
          <w:szCs w:val="32"/>
          <w:highlight w:val="none"/>
        </w:rPr>
      </w:pPr>
      <w:r>
        <w:rPr>
          <w:rFonts w:hint="eastAsia"/>
          <w:color w:val="auto"/>
          <w:sz w:val="32"/>
          <w:szCs w:val="32"/>
          <w:highlight w:val="none"/>
        </w:rPr>
        <w:t>“对昌吉市内高龄老年人补贴对象动态管理精准度”指标，预期指标值为“=100.00%”；</w:t>
      </w:r>
    </w:p>
    <w:p>
      <w:pPr>
        <w:ind w:firstLine="640"/>
        <w:rPr>
          <w:color w:val="auto"/>
          <w:sz w:val="32"/>
          <w:szCs w:val="32"/>
          <w:highlight w:val="none"/>
        </w:rPr>
      </w:pPr>
      <w:r>
        <w:rPr>
          <w:rFonts w:hint="eastAsia"/>
          <w:color w:val="auto"/>
          <w:sz w:val="32"/>
          <w:szCs w:val="32"/>
          <w:highlight w:val="none"/>
        </w:rPr>
        <w:t>③时效指标</w:t>
      </w:r>
    </w:p>
    <w:p>
      <w:pPr>
        <w:ind w:firstLine="640"/>
        <w:rPr>
          <w:color w:val="auto"/>
          <w:sz w:val="32"/>
          <w:szCs w:val="32"/>
          <w:highlight w:val="none"/>
        </w:rPr>
      </w:pPr>
      <w:r>
        <w:rPr>
          <w:rFonts w:hint="eastAsia"/>
          <w:color w:val="auto"/>
          <w:sz w:val="32"/>
          <w:szCs w:val="32"/>
          <w:highlight w:val="none"/>
        </w:rPr>
        <w:t>“资金拨付及时率”指标，预期指标值为“=100.00%”；</w:t>
      </w:r>
    </w:p>
    <w:p>
      <w:pPr>
        <w:ind w:firstLine="640"/>
        <w:rPr>
          <w:color w:val="auto"/>
          <w:sz w:val="32"/>
          <w:szCs w:val="32"/>
          <w:highlight w:val="none"/>
        </w:rPr>
      </w:pPr>
      <w:r>
        <w:rPr>
          <w:rFonts w:hint="eastAsia"/>
          <w:color w:val="auto"/>
          <w:sz w:val="32"/>
          <w:szCs w:val="32"/>
          <w:highlight w:val="none"/>
        </w:rPr>
        <w:t>④成本指标</w:t>
      </w:r>
    </w:p>
    <w:p>
      <w:pPr>
        <w:ind w:firstLine="640"/>
        <w:rPr>
          <w:color w:val="auto"/>
          <w:sz w:val="32"/>
          <w:szCs w:val="32"/>
          <w:highlight w:val="none"/>
        </w:rPr>
      </w:pPr>
      <w:r>
        <w:rPr>
          <w:rFonts w:hint="eastAsia"/>
          <w:color w:val="auto"/>
          <w:sz w:val="32"/>
          <w:szCs w:val="32"/>
          <w:highlight w:val="none"/>
        </w:rPr>
        <w:t>“80（含80）至89周岁老人津贴标准”指标，预期指标值为“100元/人/月”；</w:t>
      </w:r>
    </w:p>
    <w:p>
      <w:pPr>
        <w:ind w:firstLine="640"/>
        <w:rPr>
          <w:color w:val="auto"/>
          <w:sz w:val="32"/>
          <w:szCs w:val="32"/>
          <w:highlight w:val="none"/>
        </w:rPr>
      </w:pPr>
      <w:r>
        <w:rPr>
          <w:rFonts w:hint="eastAsia"/>
          <w:color w:val="auto"/>
          <w:sz w:val="32"/>
          <w:szCs w:val="32"/>
          <w:highlight w:val="none"/>
        </w:rPr>
        <w:t>“90（含90）至99周岁老人津贴标准”指标，预期指标值为“200元/人/月”。</w:t>
      </w:r>
    </w:p>
    <w:p>
      <w:pPr>
        <w:pStyle w:val="2"/>
        <w:ind w:firstLine="640"/>
        <w:rPr>
          <w:b w:val="0"/>
          <w:bCs w:val="0"/>
          <w:color w:val="auto"/>
          <w:sz w:val="32"/>
          <w:highlight w:val="none"/>
        </w:rPr>
      </w:pPr>
      <w:r>
        <w:rPr>
          <w:rFonts w:hint="eastAsia"/>
          <w:b w:val="0"/>
          <w:bCs w:val="0"/>
          <w:color w:val="auto"/>
          <w:sz w:val="32"/>
          <w:highlight w:val="none"/>
        </w:rPr>
        <w:t>“100周岁及以上老人津贴标准”指标，预期指标值为“500元/人/月”。</w:t>
      </w:r>
    </w:p>
    <w:p>
      <w:pPr>
        <w:ind w:firstLine="640"/>
        <w:rPr>
          <w:color w:val="auto"/>
          <w:sz w:val="32"/>
          <w:szCs w:val="32"/>
          <w:highlight w:val="none"/>
        </w:rPr>
      </w:pPr>
      <w:r>
        <w:rPr>
          <w:rFonts w:hint="eastAsia"/>
          <w:color w:val="auto"/>
          <w:sz w:val="32"/>
          <w:szCs w:val="32"/>
          <w:highlight w:val="none"/>
        </w:rPr>
        <w:t>（2）项目效益目标</w:t>
      </w:r>
    </w:p>
    <w:p>
      <w:pPr>
        <w:ind w:firstLine="640"/>
        <w:rPr>
          <w:color w:val="auto"/>
          <w:sz w:val="32"/>
          <w:szCs w:val="32"/>
          <w:highlight w:val="none"/>
        </w:rPr>
      </w:pPr>
      <w:r>
        <w:rPr>
          <w:rFonts w:hint="eastAsia"/>
          <w:color w:val="auto"/>
          <w:sz w:val="32"/>
          <w:szCs w:val="32"/>
          <w:highlight w:val="none"/>
        </w:rPr>
        <w:t>①经济效益指标</w:t>
      </w:r>
    </w:p>
    <w:p>
      <w:pPr>
        <w:ind w:firstLine="640"/>
        <w:rPr>
          <w:rFonts w:ascii="仿宋_GB2312"/>
          <w:color w:val="auto"/>
          <w:sz w:val="32"/>
          <w:szCs w:val="32"/>
          <w:highlight w:val="none"/>
        </w:rPr>
      </w:pPr>
      <w:r>
        <w:rPr>
          <w:rFonts w:hint="eastAsia" w:ascii="仿宋_GB2312"/>
          <w:color w:val="auto"/>
          <w:sz w:val="32"/>
          <w:szCs w:val="32"/>
          <w:highlight w:val="none"/>
        </w:rPr>
        <w:t>无此项指标</w:t>
      </w:r>
    </w:p>
    <w:p>
      <w:pPr>
        <w:ind w:firstLine="640"/>
        <w:rPr>
          <w:color w:val="auto"/>
          <w:sz w:val="32"/>
          <w:szCs w:val="32"/>
          <w:highlight w:val="none"/>
        </w:rPr>
      </w:pPr>
      <w:r>
        <w:rPr>
          <w:rFonts w:hint="eastAsia"/>
          <w:color w:val="auto"/>
          <w:sz w:val="32"/>
          <w:szCs w:val="32"/>
          <w:highlight w:val="none"/>
        </w:rPr>
        <w:t>②社会效益指标</w:t>
      </w:r>
    </w:p>
    <w:p>
      <w:pPr>
        <w:ind w:firstLine="640"/>
        <w:rPr>
          <w:color w:val="auto"/>
          <w:sz w:val="32"/>
          <w:szCs w:val="32"/>
          <w:highlight w:val="none"/>
        </w:rPr>
      </w:pPr>
      <w:r>
        <w:rPr>
          <w:rFonts w:hint="eastAsia"/>
          <w:color w:val="auto"/>
          <w:sz w:val="32"/>
          <w:szCs w:val="32"/>
          <w:highlight w:val="none"/>
        </w:rPr>
        <w:t>“提升80周岁以上高龄老人生活水平”指标，预期指标值为“有效提高”。</w:t>
      </w:r>
    </w:p>
    <w:p>
      <w:pPr>
        <w:ind w:firstLine="640"/>
        <w:rPr>
          <w:color w:val="auto"/>
          <w:sz w:val="32"/>
          <w:szCs w:val="32"/>
          <w:highlight w:val="none"/>
        </w:rPr>
      </w:pPr>
      <w:r>
        <w:rPr>
          <w:rFonts w:hint="eastAsia"/>
          <w:color w:val="auto"/>
          <w:sz w:val="32"/>
          <w:szCs w:val="32"/>
          <w:highlight w:val="none"/>
        </w:rPr>
        <w:t>③生态效益指标</w:t>
      </w:r>
    </w:p>
    <w:p>
      <w:pPr>
        <w:ind w:firstLine="640"/>
        <w:rPr>
          <w:rFonts w:ascii="仿宋_GB2312"/>
          <w:color w:val="auto"/>
          <w:sz w:val="32"/>
          <w:szCs w:val="32"/>
          <w:highlight w:val="none"/>
        </w:rPr>
      </w:pPr>
      <w:r>
        <w:rPr>
          <w:rFonts w:hint="eastAsia" w:ascii="仿宋_GB2312"/>
          <w:color w:val="auto"/>
          <w:sz w:val="32"/>
          <w:szCs w:val="32"/>
          <w:highlight w:val="none"/>
        </w:rPr>
        <w:t>无此项指标</w:t>
      </w:r>
    </w:p>
    <w:p>
      <w:pPr>
        <w:ind w:firstLine="640"/>
        <w:rPr>
          <w:color w:val="auto"/>
          <w:sz w:val="32"/>
          <w:szCs w:val="32"/>
          <w:highlight w:val="none"/>
        </w:rPr>
      </w:pPr>
      <w:r>
        <w:rPr>
          <w:rFonts w:hint="eastAsia"/>
          <w:color w:val="auto"/>
          <w:sz w:val="32"/>
          <w:szCs w:val="32"/>
          <w:highlight w:val="none"/>
        </w:rPr>
        <w:t>④可持续影响指标</w:t>
      </w:r>
    </w:p>
    <w:p>
      <w:pPr>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rPr>
        <w:t>保障80周岁以上高龄老人基本生活质量</w:t>
      </w:r>
      <w:r>
        <w:rPr>
          <w:rFonts w:hint="eastAsia"/>
          <w:color w:val="auto"/>
          <w:sz w:val="32"/>
          <w:szCs w:val="32"/>
          <w:highlight w:val="none"/>
        </w:rPr>
        <w:t>”指标，预期指标值为“有效提高”。</w:t>
      </w:r>
    </w:p>
    <w:p>
      <w:pPr>
        <w:ind w:firstLine="640"/>
        <w:rPr>
          <w:color w:val="auto"/>
          <w:sz w:val="32"/>
          <w:szCs w:val="32"/>
          <w:highlight w:val="none"/>
        </w:rPr>
      </w:pPr>
      <w:r>
        <w:rPr>
          <w:rFonts w:hint="eastAsia"/>
          <w:color w:val="auto"/>
          <w:sz w:val="32"/>
          <w:szCs w:val="32"/>
          <w:highlight w:val="none"/>
        </w:rPr>
        <w:t>（3）相关满意度目标</w:t>
      </w:r>
    </w:p>
    <w:p>
      <w:pPr>
        <w:ind w:firstLine="640"/>
        <w:rPr>
          <w:color w:val="auto"/>
          <w:sz w:val="32"/>
          <w:szCs w:val="32"/>
          <w:highlight w:val="none"/>
        </w:rPr>
      </w:pPr>
      <w:r>
        <w:rPr>
          <w:rFonts w:hint="eastAsia"/>
          <w:color w:val="auto"/>
          <w:sz w:val="32"/>
          <w:szCs w:val="32"/>
          <w:highlight w:val="none"/>
        </w:rPr>
        <w:t>满意度指标</w:t>
      </w:r>
    </w:p>
    <w:p>
      <w:pPr>
        <w:ind w:firstLine="640"/>
        <w:rPr>
          <w:color w:val="auto"/>
          <w:sz w:val="32"/>
          <w:szCs w:val="32"/>
          <w:highlight w:val="none"/>
        </w:rPr>
      </w:pPr>
      <w:r>
        <w:rPr>
          <w:rFonts w:hint="eastAsia"/>
          <w:color w:val="auto"/>
          <w:sz w:val="32"/>
          <w:szCs w:val="32"/>
          <w:highlight w:val="none"/>
        </w:rPr>
        <w:t>“老年人满意度”指标，预期指标值为“≥80%”。</w:t>
      </w:r>
    </w:p>
    <w:p>
      <w:pPr>
        <w:pStyle w:val="3"/>
        <w:spacing w:line="600" w:lineRule="exact"/>
        <w:ind w:firstLine="640"/>
        <w:rPr>
          <w:color w:val="auto"/>
          <w:szCs w:val="32"/>
          <w:highlight w:val="none"/>
        </w:rPr>
      </w:pPr>
      <w:r>
        <w:rPr>
          <w:rFonts w:hint="eastAsia"/>
          <w:color w:val="auto"/>
          <w:szCs w:val="32"/>
          <w:highlight w:val="none"/>
        </w:rPr>
        <w:t>二、绩效评价工作开展情况</w:t>
      </w:r>
    </w:p>
    <w:p>
      <w:pPr>
        <w:pStyle w:val="4"/>
        <w:numPr>
          <w:ilvl w:val="0"/>
          <w:numId w:val="4"/>
        </w:numPr>
        <w:spacing w:line="600" w:lineRule="exact"/>
        <w:ind w:firstLine="643"/>
        <w:rPr>
          <w:rFonts w:ascii="楷体_GB2312" w:eastAsia="楷体_GB2312"/>
          <w:color w:val="auto"/>
          <w:szCs w:val="32"/>
          <w:highlight w:val="none"/>
        </w:rPr>
      </w:pPr>
      <w:bookmarkStart w:id="1" w:name="_Toc12868"/>
      <w:bookmarkStart w:id="2" w:name="_Toc22169_WPSOffice_Level2"/>
      <w:bookmarkStart w:id="3" w:name="_Toc480473081"/>
      <w:bookmarkStart w:id="4" w:name="_Toc5462343"/>
      <w:bookmarkStart w:id="5" w:name="_Toc5258"/>
      <w:bookmarkStart w:id="6" w:name="_Toc26632"/>
      <w:bookmarkStart w:id="7" w:name="_Toc22922"/>
      <w:bookmarkStart w:id="8" w:name="_Toc21664"/>
      <w:r>
        <w:rPr>
          <w:rFonts w:hint="eastAsia" w:ascii="楷体_GB2312" w:eastAsia="楷体_GB2312"/>
          <w:color w:val="auto"/>
          <w:szCs w:val="32"/>
          <w:highlight w:val="none"/>
        </w:rPr>
        <w:t>绩效评价的目的</w:t>
      </w:r>
      <w:bookmarkEnd w:id="1"/>
      <w:bookmarkEnd w:id="2"/>
      <w:bookmarkEnd w:id="3"/>
      <w:bookmarkEnd w:id="4"/>
      <w:bookmarkEnd w:id="5"/>
      <w:bookmarkEnd w:id="6"/>
      <w:bookmarkEnd w:id="7"/>
      <w:bookmarkEnd w:id="8"/>
      <w:r>
        <w:rPr>
          <w:rFonts w:hint="eastAsia" w:ascii="楷体_GB2312" w:eastAsia="楷体_GB2312"/>
          <w:color w:val="auto"/>
          <w:szCs w:val="32"/>
          <w:highlight w:val="none"/>
        </w:rPr>
        <w:t>、对象和范围</w:t>
      </w:r>
    </w:p>
    <w:p>
      <w:pPr>
        <w:pStyle w:val="2"/>
        <w:spacing w:line="600" w:lineRule="exact"/>
        <w:ind w:firstLine="643"/>
        <w:rPr>
          <w:color w:val="auto"/>
          <w:sz w:val="32"/>
          <w:highlight w:val="none"/>
        </w:rPr>
      </w:pPr>
      <w:r>
        <w:rPr>
          <w:rFonts w:hint="eastAsia"/>
          <w:color w:val="auto"/>
          <w:sz w:val="32"/>
          <w:highlight w:val="none"/>
        </w:rPr>
        <w:t>1.</w:t>
      </w:r>
      <w:r>
        <w:rPr>
          <w:rFonts w:hint="eastAsia" w:hAnsi="楷体" w:cs="楷体"/>
          <w:color w:val="auto"/>
          <w:sz w:val="32"/>
          <w:highlight w:val="none"/>
        </w:rPr>
        <w:t>绩效评价的目的</w:t>
      </w:r>
    </w:p>
    <w:p>
      <w:pPr>
        <w:spacing w:line="600" w:lineRule="exact"/>
        <w:ind w:firstLine="640"/>
        <w:rPr>
          <w:color w:val="auto"/>
          <w:sz w:val="32"/>
          <w:szCs w:val="32"/>
          <w:highlight w:val="none"/>
        </w:rPr>
      </w:pPr>
      <w:r>
        <w:rPr>
          <w:rFonts w:hint="eastAsia" w:ascii="仿宋_GB2312" w:hAnsi="仿宋_GB2312" w:cs="仿宋_GB2312"/>
          <w:color w:val="auto"/>
          <w:sz w:val="32"/>
          <w:szCs w:val="32"/>
          <w:highlight w:val="none"/>
        </w:rPr>
        <w:t>本次</w:t>
      </w:r>
      <w:r>
        <w:rPr>
          <w:rFonts w:hint="eastAsia"/>
          <w:color w:val="auto"/>
          <w:sz w:val="32"/>
          <w:szCs w:val="32"/>
          <w:highlight w:val="none"/>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2"/>
        <w:spacing w:line="600" w:lineRule="exact"/>
        <w:ind w:firstLine="643"/>
        <w:rPr>
          <w:color w:val="auto"/>
          <w:sz w:val="32"/>
          <w:highlight w:val="none"/>
        </w:rPr>
      </w:pPr>
      <w:r>
        <w:rPr>
          <w:rFonts w:hint="eastAsia"/>
          <w:color w:val="auto"/>
          <w:sz w:val="32"/>
          <w:highlight w:val="none"/>
        </w:rPr>
        <w:t>2.绩效评价的对象和范围</w:t>
      </w:r>
    </w:p>
    <w:p>
      <w:pPr>
        <w:spacing w:line="600" w:lineRule="exact"/>
        <w:ind w:firstLine="640"/>
        <w:rPr>
          <w:rFonts w:ascii="仿宋_GB2312"/>
          <w:color w:val="auto"/>
          <w:sz w:val="32"/>
          <w:szCs w:val="32"/>
          <w:highlight w:val="none"/>
        </w:rPr>
      </w:pPr>
      <w:r>
        <w:rPr>
          <w:rFonts w:hint="eastAsia" w:ascii="仿宋_GB2312" w:hAnsi="仿宋_GB2312" w:cs="仿宋_GB2312"/>
          <w:color w:val="auto"/>
          <w:sz w:val="32"/>
          <w:szCs w:val="32"/>
          <w:highlight w:val="none"/>
        </w:rPr>
        <w:t>本次绩效评价遵循财政部</w:t>
      </w:r>
      <w:r>
        <w:rPr>
          <w:rFonts w:hint="eastAsia" w:ascii="仿宋_GB2312" w:hAnsi="Arial" w:cs="宋体"/>
          <w:bCs/>
          <w:color w:val="auto"/>
          <w:sz w:val="32"/>
          <w:szCs w:val="32"/>
          <w:highlight w:val="none"/>
        </w:rPr>
        <w:t>《关于印发&lt;项目支出绩效评价管理办法&gt;的通知》（财预</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2020</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10号）</w:t>
      </w:r>
      <w:r>
        <w:rPr>
          <w:rFonts w:hint="eastAsia" w:ascii="仿宋_GB2312" w:hAnsi="仿宋_GB2312" w:cs="仿宋_GB2312"/>
          <w:color w:val="auto"/>
          <w:sz w:val="32"/>
          <w:szCs w:val="32"/>
          <w:highlight w:val="none"/>
          <w:lang w:eastAsia="zh-Hans"/>
        </w:rPr>
        <w:t>以及</w:t>
      </w:r>
      <w:r>
        <w:rPr>
          <w:rFonts w:hint="eastAsia" w:ascii="仿宋_GB2312" w:hAnsi="仿宋_GB2312" w:cs="仿宋_GB2312"/>
          <w:color w:val="auto"/>
          <w:sz w:val="32"/>
          <w:szCs w:val="32"/>
          <w:highlight w:val="none"/>
        </w:rPr>
        <w:t>自治区财政厅《自治区财政支出绩效评价管理暂行办法》（新财预〔2018〕189号）等文件规定，</w:t>
      </w:r>
      <w:r>
        <w:rPr>
          <w:rFonts w:hint="eastAsia" w:ascii="仿宋_GB2312"/>
          <w:color w:val="auto"/>
          <w:sz w:val="32"/>
          <w:szCs w:val="32"/>
          <w:highlight w:val="none"/>
        </w:rPr>
        <w:t>对202</w:t>
      </w:r>
      <w:r>
        <w:rPr>
          <w:rFonts w:hint="eastAsia" w:ascii="仿宋_GB2312"/>
          <w:color w:val="auto"/>
          <w:sz w:val="32"/>
          <w:szCs w:val="32"/>
          <w:highlight w:val="none"/>
          <w:lang w:val="en-US" w:eastAsia="zh-CN"/>
        </w:rPr>
        <w:t>2</w:t>
      </w:r>
      <w:r>
        <w:rPr>
          <w:rFonts w:hint="eastAsia" w:ascii="仿宋_GB2312"/>
          <w:color w:val="auto"/>
          <w:sz w:val="32"/>
          <w:szCs w:val="32"/>
          <w:highlight w:val="none"/>
        </w:rPr>
        <w:t>年度我单位实施的</w:t>
      </w:r>
      <w:r>
        <w:rPr>
          <w:rFonts w:hint="eastAsia" w:ascii="仿宋_GB2312"/>
          <w:color w:val="auto"/>
          <w:sz w:val="32"/>
          <w:szCs w:val="32"/>
          <w:highlight w:val="none"/>
          <w:lang w:eastAsia="zh-Hans"/>
        </w:rPr>
        <w:t>2022年自治区彩票公益金资助80岁以上老年人基本生活津贴和免费体检项目（高龄津贴）</w:t>
      </w:r>
      <w:r>
        <w:rPr>
          <w:rFonts w:hint="eastAsia" w:ascii="仿宋_GB2312"/>
          <w:color w:val="auto"/>
          <w:sz w:val="32"/>
          <w:szCs w:val="32"/>
          <w:highlight w:val="none"/>
        </w:rPr>
        <w:t>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numPr>
          <w:ilvl w:val="0"/>
          <w:numId w:val="4"/>
        </w:numPr>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评价工作简述</w:t>
      </w:r>
    </w:p>
    <w:p>
      <w:pPr>
        <w:pStyle w:val="2"/>
        <w:spacing w:line="600" w:lineRule="exact"/>
        <w:ind w:firstLine="643"/>
        <w:rPr>
          <w:color w:val="auto"/>
          <w:sz w:val="32"/>
          <w:highlight w:val="none"/>
        </w:rPr>
      </w:pPr>
      <w:r>
        <w:rPr>
          <w:rFonts w:hint="eastAsia"/>
          <w:color w:val="auto"/>
          <w:sz w:val="32"/>
          <w:highlight w:val="none"/>
        </w:rPr>
        <w:t>1.绩效评价原则</w:t>
      </w:r>
    </w:p>
    <w:p>
      <w:pPr>
        <w:spacing w:line="600" w:lineRule="exact"/>
        <w:ind w:firstLine="640"/>
        <w:rPr>
          <w:color w:val="auto"/>
          <w:sz w:val="32"/>
          <w:szCs w:val="32"/>
          <w:highlight w:val="none"/>
        </w:rPr>
      </w:pPr>
      <w:r>
        <w:rPr>
          <w:rFonts w:hint="eastAsia"/>
          <w:color w:val="auto"/>
          <w:sz w:val="32"/>
          <w:szCs w:val="32"/>
          <w:highlight w:val="none"/>
        </w:rPr>
        <w:t>依据</w:t>
      </w:r>
      <w:r>
        <w:rPr>
          <w:rFonts w:hint="eastAsia" w:hAnsi="Arial" w:cs="宋体"/>
          <w:bCs/>
          <w:color w:val="auto"/>
          <w:sz w:val="32"/>
          <w:szCs w:val="32"/>
          <w:highlight w:val="none"/>
        </w:rPr>
        <w:t>《中华人民共和国预算法》、</w:t>
      </w:r>
      <w:r>
        <w:rPr>
          <w:rFonts w:hint="eastAsia" w:ascii="仿宋_GB2312" w:hAnsi="Arial" w:cs="宋体"/>
          <w:bCs/>
          <w:color w:val="auto"/>
          <w:sz w:val="32"/>
          <w:szCs w:val="32"/>
          <w:highlight w:val="none"/>
        </w:rPr>
        <w:t>《关于印发&lt;项目支出绩效评价管理办法&gt;的通知》（财预</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2020</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10号）</w:t>
      </w:r>
      <w:r>
        <w:rPr>
          <w:rFonts w:hint="eastAsia"/>
          <w:color w:val="auto"/>
          <w:sz w:val="32"/>
          <w:szCs w:val="32"/>
          <w:highlight w:val="none"/>
        </w:rPr>
        <w:t>等法规和政策文件要求，本次绩效评价秉承科学规范、公正公开、分级分类、绩效相关等原则，按照从投入、过程到产出效果和影响的绩效逻辑路径，结合昌吉市民政局</w:t>
      </w:r>
      <w:r>
        <w:rPr>
          <w:rFonts w:hint="eastAsia"/>
          <w:color w:val="auto"/>
          <w:sz w:val="32"/>
          <w:szCs w:val="32"/>
          <w:highlight w:val="none"/>
          <w:lang w:eastAsia="zh-CN"/>
        </w:rPr>
        <w:t>2022年自治区彩票公益金资助80岁以上老年人基本生活津贴和免费体检项目（高龄津贴）</w:t>
      </w:r>
      <w:r>
        <w:rPr>
          <w:rFonts w:hint="eastAsia"/>
          <w:color w:val="auto"/>
          <w:sz w:val="32"/>
          <w:szCs w:val="32"/>
          <w:highlight w:val="none"/>
        </w:rPr>
        <w:t>项目实际开展情况，运用定量和定性分析相结合的方法，总结经验做法，反思项目实施和管理中的问题，以切实提升财政资金管理的科学化、规范化和精细化水平。</w:t>
      </w:r>
    </w:p>
    <w:p>
      <w:pPr>
        <w:spacing w:line="600" w:lineRule="exact"/>
        <w:ind w:firstLine="640"/>
        <w:rPr>
          <w:color w:val="auto"/>
          <w:sz w:val="32"/>
          <w:szCs w:val="32"/>
          <w:highlight w:val="none"/>
        </w:rPr>
      </w:pPr>
      <w:r>
        <w:rPr>
          <w:rFonts w:hint="eastAsia"/>
          <w:color w:val="auto"/>
          <w:sz w:val="32"/>
          <w:szCs w:val="32"/>
          <w:highlight w:val="none"/>
        </w:rPr>
        <w:t>根据以上原则，绩效评价遵循如下具体要求：</w:t>
      </w:r>
    </w:p>
    <w:p>
      <w:pPr>
        <w:spacing w:line="600" w:lineRule="exact"/>
        <w:ind w:firstLine="640"/>
        <w:rPr>
          <w:color w:val="auto"/>
          <w:sz w:val="32"/>
          <w:szCs w:val="32"/>
          <w:highlight w:val="none"/>
        </w:rPr>
      </w:pPr>
      <w:r>
        <w:rPr>
          <w:rFonts w:hint="eastAsia"/>
          <w:color w:val="auto"/>
          <w:sz w:val="32"/>
          <w:szCs w:val="32"/>
          <w:highlight w:val="none"/>
        </w:rPr>
        <w:t>（1）在数据采集时，采取客观数据主管部门审查、社会中介组织复查与问卷调查相结合的形式，以保证各项指标的真实性。</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（2）保证评价结果的真实性、公正性，提高评价报告的公信力。</w:t>
      </w:r>
    </w:p>
    <w:p>
      <w:pPr>
        <w:spacing w:line="600" w:lineRule="exact"/>
        <w:ind w:firstLine="640"/>
        <w:rPr>
          <w:color w:val="auto"/>
          <w:sz w:val="32"/>
          <w:szCs w:val="32"/>
          <w:highlight w:val="none"/>
        </w:rPr>
      </w:pPr>
      <w:r>
        <w:rPr>
          <w:rFonts w:hint="eastAsia"/>
          <w:color w:val="auto"/>
          <w:sz w:val="32"/>
          <w:szCs w:val="32"/>
          <w:highlight w:val="none"/>
        </w:rPr>
        <w:t>（3）绩效评价报告简明扼要，除对绩效评价的过程、结果描述外，还总结经验、指出问题，并就共性问题提出可操作性改进建议。</w:t>
      </w:r>
    </w:p>
    <w:p>
      <w:pPr>
        <w:pStyle w:val="2"/>
        <w:spacing w:line="600" w:lineRule="exact"/>
        <w:ind w:firstLine="643"/>
        <w:rPr>
          <w:color w:val="auto"/>
          <w:sz w:val="32"/>
          <w:highlight w:val="none"/>
        </w:rPr>
      </w:pPr>
      <w:bookmarkStart w:id="9" w:name="_Toc1913"/>
      <w:bookmarkStart w:id="10" w:name="_Toc428278230"/>
      <w:bookmarkStart w:id="11" w:name="_Toc26131"/>
      <w:bookmarkStart w:id="12" w:name="_Toc419984722"/>
      <w:r>
        <w:rPr>
          <w:rFonts w:hint="eastAsia"/>
          <w:color w:val="auto"/>
          <w:sz w:val="32"/>
          <w:highlight w:val="none"/>
        </w:rPr>
        <w:t>2.绩效评价指标体系及绩效评价</w:t>
      </w:r>
      <w:bookmarkEnd w:id="9"/>
      <w:bookmarkEnd w:id="10"/>
      <w:bookmarkEnd w:id="11"/>
      <w:bookmarkEnd w:id="12"/>
      <w:r>
        <w:rPr>
          <w:rFonts w:hint="eastAsia"/>
          <w:color w:val="auto"/>
          <w:sz w:val="32"/>
          <w:highlight w:val="none"/>
        </w:rPr>
        <w:t>标准</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绩效评价指标体系根据财政部</w:t>
      </w:r>
      <w:r>
        <w:rPr>
          <w:rFonts w:hint="eastAsia" w:ascii="仿宋_GB2312" w:hAnsi="Arial" w:cs="宋体"/>
          <w:bCs/>
          <w:color w:val="auto"/>
          <w:sz w:val="32"/>
          <w:szCs w:val="32"/>
          <w:highlight w:val="none"/>
        </w:rPr>
        <w:t>《关于印发&lt;项目支出绩效评价管理办法&gt;的通知》（财预</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2020</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10号）、</w:t>
      </w:r>
      <w:r>
        <w:rPr>
          <w:rFonts w:hint="eastAsia" w:ascii="仿宋_GB2312" w:hAnsi="仿宋_GB2312" w:cs="仿宋_GB2312"/>
          <w:color w:val="auto"/>
          <w:sz w:val="32"/>
          <w:szCs w:val="32"/>
          <w:highlight w:val="none"/>
        </w:rPr>
        <w:t>自治区财政厅《自治区财政支出绩效评价管理暂行办法》（新财预〔2018〕189号）</w:t>
      </w:r>
      <w:r>
        <w:rPr>
          <w:rFonts w:hint="eastAsia" w:ascii="仿宋_GB2312"/>
          <w:color w:val="auto"/>
          <w:sz w:val="32"/>
          <w:szCs w:val="32"/>
          <w:highlight w:val="none"/>
        </w:rPr>
        <w:t>等文件要求，结合本项目特点，在与专家组充分协商的基础上，评价工作组细化了该项目的绩效评价指标体系（详见附表1）：</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一级指标为：决策、过程、产出、效益。</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二级指标为：项目立项、绩效目标、资金投入、资金管理、组织实施、产出数量、产出质量、产出时效、产出成本、项目效益。</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2"/>
        <w:spacing w:line="600" w:lineRule="exact"/>
        <w:ind w:firstLine="643"/>
        <w:rPr>
          <w:color w:val="auto"/>
          <w:sz w:val="32"/>
          <w:highlight w:val="none"/>
        </w:rPr>
      </w:pPr>
      <w:r>
        <w:rPr>
          <w:rFonts w:hint="eastAsia"/>
          <w:color w:val="auto"/>
          <w:sz w:val="32"/>
          <w:highlight w:val="none"/>
        </w:rPr>
        <w:t>3.评价方法</w:t>
      </w:r>
    </w:p>
    <w:p>
      <w:pPr>
        <w:pStyle w:val="21"/>
        <w:tabs>
          <w:tab w:val="left" w:pos="1559"/>
        </w:tabs>
        <w:adjustRightInd w:val="0"/>
        <w:snapToGrid w:val="0"/>
        <w:spacing w:line="600" w:lineRule="exact"/>
        <w:ind w:firstLine="640"/>
        <w:rPr>
          <w:rFonts w:ascii="仿宋_GB2312" w:hAnsi="仿宋_GB2312" w:cs="仿宋_GB2312"/>
          <w:bCs/>
          <w:color w:val="auto"/>
          <w:sz w:val="32"/>
          <w:szCs w:val="32"/>
          <w:highlight w:val="none"/>
        </w:rPr>
      </w:pPr>
      <w:r>
        <w:rPr>
          <w:rFonts w:hint="eastAsia" w:ascii="仿宋_GB2312" w:hAnsi="仿宋_GB2312" w:cs="仿宋_GB2312"/>
          <w:bCs/>
          <w:color w:val="auto"/>
          <w:sz w:val="32"/>
          <w:szCs w:val="32"/>
          <w:highlight w:val="none"/>
        </w:rPr>
        <w:t>本次评价采取定量与定性评价相结合的方式，采用比较法、公众评判法对</w:t>
      </w:r>
      <w:r>
        <w:rPr>
          <w:rFonts w:hint="eastAsia"/>
          <w:color w:val="auto"/>
          <w:sz w:val="32"/>
          <w:szCs w:val="32"/>
          <w:highlight w:val="none"/>
        </w:rPr>
        <w:t>项目实施过程以及预期绩效目标完成情况进行全面、系统的评价，</w:t>
      </w:r>
      <w:r>
        <w:rPr>
          <w:rFonts w:hint="eastAsia" w:ascii="仿宋_GB2312" w:hAnsi="仿宋_GB2312" w:cs="仿宋_GB2312"/>
          <w:bCs/>
          <w:color w:val="auto"/>
          <w:sz w:val="32"/>
          <w:szCs w:val="32"/>
          <w:highlight w:val="none"/>
        </w:rPr>
        <w:t>总分由各项指标得分汇总形成。</w:t>
      </w:r>
    </w:p>
    <w:p>
      <w:pPr>
        <w:pStyle w:val="21"/>
        <w:tabs>
          <w:tab w:val="left" w:pos="1559"/>
        </w:tabs>
        <w:adjustRightInd w:val="0"/>
        <w:snapToGrid w:val="0"/>
        <w:spacing w:line="600" w:lineRule="exact"/>
        <w:ind w:firstLine="640"/>
        <w:rPr>
          <w:rFonts w:ascii="仿宋_GB2312" w:hAnsi="仿宋_GB2312" w:cs="仿宋_GB2312"/>
          <w:bCs/>
          <w:color w:val="auto"/>
          <w:sz w:val="32"/>
          <w:szCs w:val="32"/>
          <w:highlight w:val="none"/>
        </w:rPr>
      </w:pPr>
      <w:r>
        <w:rPr>
          <w:rFonts w:hint="eastAsia" w:ascii="仿宋_GB2312" w:hAnsi="仿宋_GB2312" w:cs="仿宋_GB2312"/>
          <w:bCs/>
          <w:color w:val="auto"/>
          <w:sz w:val="32"/>
          <w:szCs w:val="32"/>
          <w:highlight w:val="none"/>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1"/>
        <w:tabs>
          <w:tab w:val="left" w:pos="1559"/>
        </w:tabs>
        <w:adjustRightInd w:val="0"/>
        <w:snapToGrid w:val="0"/>
        <w:spacing w:line="600" w:lineRule="exact"/>
        <w:ind w:firstLine="640"/>
        <w:rPr>
          <w:rFonts w:ascii="仿宋_GB2312" w:hAnsi="仿宋_GB2312" w:cs="仿宋_GB2312"/>
          <w:bCs/>
          <w:color w:val="auto"/>
          <w:sz w:val="32"/>
          <w:szCs w:val="32"/>
          <w:highlight w:val="none"/>
        </w:rPr>
      </w:pPr>
      <w:r>
        <w:rPr>
          <w:rFonts w:hint="eastAsia" w:ascii="仿宋_GB2312" w:hAnsi="仿宋_GB2312" w:cs="仿宋_GB2312"/>
          <w:bCs/>
          <w:color w:val="auto"/>
          <w:sz w:val="32"/>
          <w:szCs w:val="32"/>
          <w:highlight w:val="none"/>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2"/>
        <w:spacing w:line="600" w:lineRule="exact"/>
        <w:ind w:firstLine="643"/>
        <w:rPr>
          <w:color w:val="auto"/>
          <w:sz w:val="32"/>
          <w:highlight w:val="none"/>
        </w:rPr>
      </w:pPr>
      <w:r>
        <w:rPr>
          <w:rFonts w:hint="eastAsia"/>
          <w:color w:val="auto"/>
          <w:sz w:val="32"/>
          <w:highlight w:val="none"/>
        </w:rPr>
        <w:t>4.评价标准</w:t>
      </w:r>
    </w:p>
    <w:p>
      <w:pPr>
        <w:spacing w:line="600" w:lineRule="exact"/>
        <w:ind w:firstLine="640"/>
        <w:rPr>
          <w:color w:val="auto"/>
          <w:sz w:val="32"/>
          <w:szCs w:val="32"/>
          <w:highlight w:val="none"/>
        </w:rPr>
      </w:pPr>
      <w:r>
        <w:rPr>
          <w:rFonts w:hint="eastAsia" w:ascii="仿宋_GB2312" w:hAnsi="仿宋_GB2312" w:cs="仿宋_GB2312"/>
          <w:bCs/>
          <w:color w:val="auto"/>
          <w:sz w:val="32"/>
          <w:szCs w:val="32"/>
          <w:highlight w:val="none"/>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color w:val="auto"/>
          <w:szCs w:val="32"/>
          <w:highlight w:val="none"/>
        </w:rPr>
      </w:pPr>
      <w:r>
        <w:rPr>
          <w:rFonts w:hint="eastAsia"/>
          <w:color w:val="auto"/>
          <w:szCs w:val="32"/>
          <w:highlight w:val="none"/>
        </w:rPr>
        <w:t>（三）绩效评价工作过程</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第一阶段：前期准备。</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 w:cs="仿宋"/>
          <w:color w:val="auto"/>
          <w:sz w:val="32"/>
          <w:szCs w:val="32"/>
          <w:highlight w:val="none"/>
          <w:lang w:bidi="ar"/>
        </w:rPr>
        <w:t>我单位绩效评价人员</w:t>
      </w:r>
      <w:r>
        <w:rPr>
          <w:rFonts w:hint="eastAsia" w:ascii="仿宋_GB2312" w:hAnsi="仿宋" w:cs="仿宋"/>
          <w:color w:val="auto"/>
          <w:spacing w:val="-4"/>
          <w:sz w:val="32"/>
          <w:szCs w:val="32"/>
          <w:highlight w:val="none"/>
        </w:rPr>
        <w:t>根据《项目支出绩效评价管理办法》（财预</w:t>
      </w:r>
      <w:r>
        <w:rPr>
          <w:rFonts w:hint="eastAsia" w:ascii="仿宋_GB2312" w:hAnsi="仿宋" w:cs="仿宋"/>
          <w:color w:val="auto"/>
          <w:sz w:val="32"/>
          <w:szCs w:val="32"/>
          <w:highlight w:val="none"/>
        </w:rPr>
        <w:t>〔2020〕</w:t>
      </w:r>
      <w:r>
        <w:rPr>
          <w:rFonts w:hint="eastAsia" w:ascii="仿宋_GB2312" w:hAnsi="仿宋" w:cs="仿宋"/>
          <w:color w:val="auto"/>
          <w:spacing w:val="-4"/>
          <w:sz w:val="32"/>
          <w:szCs w:val="32"/>
          <w:highlight w:val="none"/>
        </w:rPr>
        <w:t>10号）文件精神</w:t>
      </w:r>
      <w:r>
        <w:rPr>
          <w:rFonts w:hint="eastAsia" w:ascii="仿宋_GB2312" w:hAnsi="仿宋_GB2312" w:cs="仿宋_GB2312"/>
          <w:color w:val="auto"/>
          <w:sz w:val="32"/>
          <w:szCs w:val="32"/>
          <w:highlight w:val="none"/>
        </w:rPr>
        <w:t>认真学习相关要求与规定，成立绩效评价工作组，作为绩效评价工作具体实施机构。成员构成如下：</w:t>
      </w:r>
    </w:p>
    <w:p>
      <w:pPr>
        <w:pStyle w:val="20"/>
        <w:spacing w:line="600" w:lineRule="exact"/>
        <w:ind w:firstLine="640"/>
        <w:rPr>
          <w:rFonts w:ascii="仿宋_GB2312" w:hAnsi="仿宋_GB2312" w:cs="仿宋_GB2312"/>
          <w:color w:val="auto"/>
          <w:sz w:val="32"/>
          <w:szCs w:val="32"/>
          <w:highlight w:val="none"/>
        </w:rPr>
      </w:pPr>
      <w:r>
        <w:rPr>
          <w:rFonts w:hint="eastAsia"/>
          <w:color w:val="auto"/>
          <w:sz w:val="32"/>
          <w:szCs w:val="32"/>
          <w:highlight w:val="none"/>
        </w:rPr>
        <w:t>刘娟</w:t>
      </w:r>
      <w:r>
        <w:rPr>
          <w:rFonts w:hint="eastAsia" w:ascii="仿宋_GB2312" w:hAnsi="仿宋_GB2312" w:cs="仿宋_GB2312"/>
          <w:color w:val="auto"/>
          <w:sz w:val="32"/>
          <w:szCs w:val="32"/>
          <w:highlight w:val="none"/>
        </w:rPr>
        <w:t>任评价组组长，绩效评价工作职责为检查项目绩效指标完成情况、审定项目支出绩效评价结果及项目支出绩效评价报告。</w:t>
      </w:r>
    </w:p>
    <w:p>
      <w:pPr>
        <w:pStyle w:val="20"/>
        <w:spacing w:line="600" w:lineRule="exact"/>
        <w:ind w:firstLine="640"/>
        <w:rPr>
          <w:rFonts w:ascii="仿宋_GB2312" w:hAnsi="仿宋_GB2312" w:cs="仿宋_GB2312"/>
          <w:color w:val="auto"/>
          <w:sz w:val="32"/>
          <w:szCs w:val="32"/>
          <w:highlight w:val="none"/>
        </w:rPr>
      </w:pPr>
      <w:r>
        <w:rPr>
          <w:rFonts w:hint="eastAsia"/>
          <w:color w:val="auto"/>
          <w:sz w:val="32"/>
          <w:szCs w:val="32"/>
          <w:highlight w:val="none"/>
        </w:rPr>
        <w:t>孙卫华</w:t>
      </w:r>
      <w:r>
        <w:rPr>
          <w:rFonts w:hint="eastAsia" w:ascii="仿宋_GB2312" w:hAnsi="仿宋_GB2312" w:cs="仿宋_GB2312"/>
          <w:color w:val="auto"/>
          <w:sz w:val="32"/>
          <w:szCs w:val="32"/>
          <w:highlight w:val="none"/>
        </w:rPr>
        <w:t>任评价组副组长，绩效评价工作职责为组织和协调项目工作人员采取实地调查、资料检查等方式，核实项目绩效指标完成情况；组织受益对象对项目工作进行评价等。</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val="en-US" w:eastAsia="zh-CN"/>
        </w:rPr>
        <w:t>海剑</w:t>
      </w:r>
      <w:r>
        <w:rPr>
          <w:rFonts w:hint="eastAsia" w:ascii="仿宋_GB2312" w:hAnsi="仿宋_GB2312" w:cs="仿宋_GB2312"/>
          <w:color w:val="auto"/>
          <w:sz w:val="32"/>
          <w:szCs w:val="32"/>
          <w:highlight w:val="none"/>
        </w:rPr>
        <w:t>任评价组成员，绩效评价工作职责为做好项目支出绩效评价工作的沟通协调工作，对项目实施情况进行实地调查，编写项目支出绩效评价报告。</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第二阶段：组织实施。</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经评价组通过实地调研、查阅资料等方式，采用综合分析法对项目的决策、管理、绩效进行的综合评价分析。</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第三阶段：分析评价。</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首先按照指标体系进行定量、定性分析。其次开展量化打分、综合评价工作，形成初步评价结论。最后归纳整体项目情况与存在问题，撰写部门绩效评价报告。</w:t>
      </w:r>
    </w:p>
    <w:p>
      <w:pPr>
        <w:pStyle w:val="20"/>
        <w:spacing w:line="600" w:lineRule="exact"/>
        <w:ind w:firstLine="640"/>
        <w:rPr>
          <w:rFonts w:ascii="仿宋_GB2312" w:hAnsi="仿宋_GB2312" w:cs="仿宋_GB2312"/>
          <w:color w:val="auto"/>
          <w:sz w:val="32"/>
          <w:szCs w:val="32"/>
          <w:highlight w:val="none"/>
        </w:rPr>
      </w:pPr>
      <w:bookmarkStart w:id="13" w:name="_Toc2618"/>
      <w:r>
        <w:rPr>
          <w:rFonts w:hint="eastAsia" w:ascii="仿宋_GB2312" w:hAnsi="仿宋_GB2312" w:cs="仿宋_GB2312"/>
          <w:color w:val="auto"/>
          <w:sz w:val="32"/>
          <w:szCs w:val="32"/>
          <w:highlight w:val="none"/>
        </w:rPr>
        <w:t>第四阶段：撰写与提交评价报告</w:t>
      </w:r>
      <w:bookmarkEnd w:id="13"/>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项目撰写绩效评价报告，按照财政局大平台绩效系统中统一格式和文本框架撰写绩效评价报告。</w:t>
      </w:r>
    </w:p>
    <w:p>
      <w:pPr>
        <w:pStyle w:val="20"/>
        <w:spacing w:line="600" w:lineRule="exact"/>
        <w:ind w:firstLine="640"/>
        <w:rPr>
          <w:rFonts w:ascii="仿宋_GB2312" w:hAnsi="仿宋_GB2312" w:cs="仿宋_GB2312"/>
          <w:color w:val="auto"/>
          <w:sz w:val="32"/>
          <w:szCs w:val="32"/>
          <w:highlight w:val="none"/>
        </w:rPr>
      </w:pPr>
      <w:bookmarkStart w:id="14" w:name="_Toc5055"/>
      <w:r>
        <w:rPr>
          <w:rFonts w:hint="eastAsia" w:ascii="仿宋_GB2312" w:hAnsi="仿宋_GB2312" w:cs="仿宋_GB2312"/>
          <w:color w:val="auto"/>
          <w:sz w:val="32"/>
          <w:szCs w:val="32"/>
          <w:highlight w:val="none"/>
        </w:rPr>
        <w:t>第五阶段：归集档案</w:t>
      </w:r>
      <w:bookmarkEnd w:id="14"/>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建立和落实档案管理制度，将项目相关资料存档，包括但不限于：评价项目基本情况和相关文件、评价实施方案、项目支付资料等相关档案。</w:t>
      </w:r>
    </w:p>
    <w:p>
      <w:pPr>
        <w:pStyle w:val="3"/>
        <w:numPr>
          <w:ilvl w:val="0"/>
          <w:numId w:val="5"/>
        </w:numPr>
        <w:spacing w:line="600" w:lineRule="exact"/>
        <w:ind w:firstLine="640"/>
        <w:rPr>
          <w:color w:val="auto"/>
          <w:szCs w:val="32"/>
          <w:highlight w:val="none"/>
        </w:rPr>
      </w:pPr>
      <w:r>
        <w:rPr>
          <w:rFonts w:hint="eastAsia"/>
          <w:color w:val="auto"/>
          <w:szCs w:val="32"/>
          <w:highlight w:val="none"/>
        </w:rPr>
        <w:t>综合评价情况及评价结论</w:t>
      </w:r>
    </w:p>
    <w:p>
      <w:pPr>
        <w:pStyle w:val="22"/>
        <w:spacing w:before="0" w:after="0" w:line="600" w:lineRule="exact"/>
        <w:ind w:left="560"/>
        <w:rPr>
          <w:rFonts w:ascii="仿宋_GB2312" w:hAnsi="仿宋_GB2312" w:cs="仿宋_GB2312"/>
          <w:color w:val="auto"/>
          <w:sz w:val="32"/>
          <w:highlight w:val="none"/>
        </w:rPr>
      </w:pPr>
      <w:bookmarkStart w:id="15" w:name="_Toc68364665"/>
      <w:r>
        <w:rPr>
          <w:rFonts w:hint="eastAsia" w:ascii="仿宋_GB2312" w:hAnsi="仿宋_GB2312" w:cs="仿宋_GB2312"/>
          <w:color w:val="auto"/>
          <w:sz w:val="32"/>
          <w:highlight w:val="none"/>
        </w:rPr>
        <w:t>（一）综合评价情况</w:t>
      </w:r>
      <w:bookmarkEnd w:id="15"/>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通过</w:t>
      </w:r>
      <w:r>
        <w:rPr>
          <w:rFonts w:hint="eastAsia"/>
          <w:color w:val="auto"/>
          <w:sz w:val="32"/>
          <w:szCs w:val="32"/>
          <w:highlight w:val="none"/>
        </w:rPr>
        <w:t>昌吉市民政局</w:t>
      </w:r>
      <w:r>
        <w:rPr>
          <w:rFonts w:hint="eastAsia"/>
          <w:color w:val="auto"/>
          <w:sz w:val="32"/>
          <w:szCs w:val="32"/>
          <w:highlight w:val="none"/>
          <w:lang w:eastAsia="zh-CN"/>
        </w:rPr>
        <w:t>2022年自治区彩票公益金资助80岁以上老年人基本生活津贴和免费体检项目（高龄津贴）</w:t>
      </w:r>
      <w:r>
        <w:rPr>
          <w:rFonts w:hint="eastAsia" w:ascii="仿宋_GB2312"/>
          <w:color w:val="auto"/>
          <w:sz w:val="32"/>
          <w:szCs w:val="32"/>
          <w:highlight w:val="none"/>
        </w:rPr>
        <w:t>项目的实施，解决了</w:t>
      </w:r>
      <w:r>
        <w:rPr>
          <w:rFonts w:hint="eastAsia"/>
          <w:b w:val="0"/>
          <w:bCs w:val="0"/>
          <w:color w:val="auto"/>
          <w:sz w:val="32"/>
          <w:highlight w:val="none"/>
        </w:rPr>
        <w:t>解决80岁以上老年人基本生活</w:t>
      </w:r>
      <w:r>
        <w:rPr>
          <w:rFonts w:hint="eastAsia" w:ascii="仿宋_GB2312"/>
          <w:color w:val="auto"/>
          <w:sz w:val="32"/>
          <w:szCs w:val="32"/>
          <w:highlight w:val="none"/>
        </w:rPr>
        <w:t>，</w:t>
      </w:r>
      <w:r>
        <w:rPr>
          <w:rFonts w:hint="eastAsia"/>
          <w:b w:val="0"/>
          <w:bCs w:val="0"/>
          <w:color w:val="auto"/>
          <w:sz w:val="32"/>
          <w:highlight w:val="none"/>
        </w:rPr>
        <w:t>保障80岁以上老年人的生活质量</w:t>
      </w:r>
      <w:r>
        <w:rPr>
          <w:rFonts w:hint="eastAsia" w:ascii="仿宋_GB2312"/>
          <w:color w:val="auto"/>
          <w:sz w:val="32"/>
          <w:szCs w:val="32"/>
          <w:highlight w:val="none"/>
        </w:rPr>
        <w:t>，</w:t>
      </w:r>
      <w:r>
        <w:rPr>
          <w:rFonts w:hint="eastAsia" w:ascii="仿宋_GB2312"/>
          <w:color w:val="auto"/>
          <w:sz w:val="32"/>
          <w:szCs w:val="32"/>
          <w:highlight w:val="none"/>
        </w:rPr>
        <w:t>该项目预算执行率达</w:t>
      </w:r>
      <w:r>
        <w:rPr>
          <w:rFonts w:hint="eastAsia" w:ascii="仿宋_GB2312"/>
          <w:color w:val="auto"/>
          <w:sz w:val="32"/>
          <w:szCs w:val="32"/>
          <w:highlight w:val="none"/>
          <w:lang w:val="en-US" w:eastAsia="zh-CN"/>
        </w:rPr>
        <w:t>100</w:t>
      </w:r>
      <w:r>
        <w:rPr>
          <w:rFonts w:ascii="仿宋_GB2312"/>
          <w:color w:val="auto"/>
          <w:sz w:val="32"/>
          <w:szCs w:val="32"/>
          <w:highlight w:val="none"/>
        </w:rPr>
        <w:t>%</w:t>
      </w:r>
      <w:r>
        <w:rPr>
          <w:rFonts w:hint="eastAsia" w:ascii="仿宋_GB2312"/>
          <w:color w:val="auto"/>
          <w:sz w:val="32"/>
          <w:szCs w:val="32"/>
          <w:highlight w:val="none"/>
        </w:rPr>
        <w:t>，项</w:t>
      </w:r>
      <w:r>
        <w:rPr>
          <w:rFonts w:hint="eastAsia" w:ascii="仿宋_GB2312"/>
          <w:color w:val="auto"/>
          <w:sz w:val="32"/>
          <w:szCs w:val="32"/>
          <w:highlight w:val="none"/>
        </w:rPr>
        <w:t>目预期绩效目标及各项具体指标均已全部达成。</w:t>
      </w:r>
    </w:p>
    <w:p>
      <w:pPr>
        <w:pStyle w:val="22"/>
        <w:spacing w:before="0" w:after="0" w:line="600" w:lineRule="exact"/>
        <w:ind w:left="560"/>
        <w:rPr>
          <w:rFonts w:ascii="仿宋_GB2312" w:hAnsi="仿宋_GB2312" w:cs="仿宋_GB2312"/>
          <w:color w:val="auto"/>
          <w:sz w:val="32"/>
          <w:highlight w:val="none"/>
        </w:rPr>
      </w:pPr>
      <w:r>
        <w:rPr>
          <w:rFonts w:hint="eastAsia" w:ascii="仿宋_GB2312" w:hAnsi="仿宋_GB2312" w:cs="仿宋_GB2312"/>
          <w:color w:val="auto"/>
          <w:sz w:val="32"/>
          <w:highlight w:val="none"/>
        </w:rPr>
        <w:t>（二）综合评价结论</w:t>
      </w:r>
    </w:p>
    <w:p>
      <w:pPr>
        <w:spacing w:line="600" w:lineRule="exact"/>
        <w:ind w:firstLine="640"/>
        <w:rPr>
          <w:rFonts w:ascii="仿宋_GB2312"/>
          <w:color w:val="auto"/>
          <w:sz w:val="32"/>
          <w:szCs w:val="32"/>
          <w:highlight w:val="none"/>
        </w:rPr>
      </w:pPr>
      <w:r>
        <w:rPr>
          <w:rFonts w:hint="eastAsia" w:ascii="仿宋_GB2312" w:hAnsi="仿宋_GB2312" w:cs="仿宋_GB2312"/>
          <w:bCs/>
          <w:color w:val="auto"/>
          <w:sz w:val="32"/>
          <w:szCs w:val="32"/>
          <w:highlight w:val="none"/>
        </w:rPr>
        <w:t>本次评价采取定量</w:t>
      </w:r>
      <w:r>
        <w:rPr>
          <w:rFonts w:hint="eastAsia" w:ascii="仿宋_GB2312" w:hAnsi="仿宋_GB2312" w:cs="仿宋_GB2312"/>
          <w:bCs/>
          <w:color w:val="auto"/>
          <w:sz w:val="32"/>
          <w:szCs w:val="32"/>
          <w:highlight w:val="none"/>
        </w:rPr>
        <w:t>与定性评价相结合的方式，</w:t>
      </w:r>
      <w:r>
        <w:rPr>
          <w:rFonts w:hint="eastAsia" w:ascii="仿宋_GB2312"/>
          <w:color w:val="auto"/>
          <w:sz w:val="32"/>
          <w:szCs w:val="32"/>
          <w:highlight w:val="none"/>
        </w:rPr>
        <w:t>对</w:t>
      </w:r>
      <w:r>
        <w:rPr>
          <w:rFonts w:hint="eastAsia"/>
          <w:color w:val="auto"/>
          <w:sz w:val="32"/>
          <w:szCs w:val="32"/>
          <w:highlight w:val="none"/>
        </w:rPr>
        <w:t>昌吉市民政局</w:t>
      </w:r>
      <w:r>
        <w:rPr>
          <w:rFonts w:hint="eastAsia"/>
          <w:color w:val="auto"/>
          <w:sz w:val="32"/>
          <w:szCs w:val="32"/>
          <w:highlight w:val="none"/>
          <w:lang w:eastAsia="zh-CN"/>
        </w:rPr>
        <w:t>2022年自治区彩票公益</w:t>
      </w:r>
      <w:r>
        <w:rPr>
          <w:rFonts w:hint="eastAsia"/>
          <w:color w:val="auto"/>
          <w:sz w:val="32"/>
          <w:szCs w:val="32"/>
          <w:highlight w:val="none"/>
          <w:lang w:eastAsia="zh-CN"/>
        </w:rPr>
        <w:t>金资助80岁以上老年人基本生活津贴和免费体检项目（高龄津贴）</w:t>
      </w:r>
      <w:r>
        <w:rPr>
          <w:rFonts w:hint="eastAsia" w:ascii="仿宋_GB2312"/>
          <w:color w:val="auto"/>
          <w:sz w:val="32"/>
          <w:szCs w:val="32"/>
          <w:highlight w:val="none"/>
        </w:rPr>
        <w:t>项目的绩效目标和各项具体绩效指标实现情况进行了客观评价，最终评分为</w:t>
      </w:r>
      <w:r>
        <w:rPr>
          <w:rFonts w:hint="eastAsia" w:ascii="仿宋_GB2312"/>
          <w:color w:val="auto"/>
          <w:sz w:val="32"/>
          <w:szCs w:val="32"/>
          <w:highlight w:val="none"/>
          <w:lang w:val="en-US" w:eastAsia="zh-CN"/>
        </w:rPr>
        <w:t>100</w:t>
      </w:r>
      <w:r>
        <w:rPr>
          <w:rFonts w:ascii="仿宋_GB2312"/>
          <w:color w:val="auto"/>
          <w:sz w:val="32"/>
          <w:szCs w:val="32"/>
          <w:highlight w:val="none"/>
        </w:rPr>
        <w:t>.</w:t>
      </w:r>
      <w:r>
        <w:rPr>
          <w:rFonts w:hint="eastAsia" w:ascii="仿宋_GB2312"/>
          <w:color w:val="auto"/>
          <w:sz w:val="32"/>
          <w:szCs w:val="32"/>
          <w:highlight w:val="none"/>
          <w:lang w:val="en-US" w:eastAsia="zh-CN"/>
        </w:rPr>
        <w:t>00</w:t>
      </w:r>
      <w:r>
        <w:rPr>
          <w:rFonts w:hint="eastAsia" w:ascii="仿宋_GB2312"/>
          <w:color w:val="auto"/>
          <w:sz w:val="32"/>
          <w:szCs w:val="32"/>
          <w:highlight w:val="none"/>
        </w:rPr>
        <w:t>分。</w:t>
      </w:r>
      <w:r>
        <w:rPr>
          <w:rFonts w:hint="eastAsia"/>
          <w:color w:val="auto"/>
          <w:sz w:val="30"/>
          <w:szCs w:val="30"/>
          <w:highlight w:val="none"/>
        </w:rPr>
        <w:t>绩效评级为</w:t>
      </w:r>
      <w:r>
        <w:rPr>
          <w:rFonts w:hint="eastAsia" w:ascii="仿宋_GB2312" w:cs="仿宋_GB2312"/>
          <w:color w:val="auto"/>
          <w:sz w:val="32"/>
          <w:szCs w:val="32"/>
          <w:highlight w:val="none"/>
        </w:rPr>
        <w:t>“</w:t>
      </w:r>
      <w:r>
        <w:rPr>
          <w:rFonts w:hint="eastAsia" w:ascii="仿宋_GB2312" w:cs="仿宋_GB2312"/>
          <w:color w:val="auto"/>
          <w:sz w:val="32"/>
          <w:szCs w:val="32"/>
          <w:highlight w:val="none"/>
          <w:lang w:val="en-US" w:eastAsia="zh-CN"/>
        </w:rPr>
        <w:t>优</w:t>
      </w:r>
      <w:r>
        <w:rPr>
          <w:rFonts w:hint="eastAsia" w:ascii="仿宋_GB2312" w:cs="仿宋_GB2312"/>
          <w:color w:val="auto"/>
          <w:sz w:val="32"/>
          <w:szCs w:val="32"/>
          <w:highlight w:val="none"/>
        </w:rPr>
        <w:t>”，具体得分情况为：项目决策</w:t>
      </w:r>
      <w:r>
        <w:rPr>
          <w:rFonts w:hint="eastAsia" w:ascii="仿宋_GB2312"/>
          <w:color w:val="auto"/>
          <w:sz w:val="32"/>
          <w:szCs w:val="32"/>
          <w:highlight w:val="none"/>
          <w:lang w:val="en-US" w:eastAsia="zh-CN"/>
        </w:rPr>
        <w:t>20</w:t>
      </w:r>
      <w:r>
        <w:rPr>
          <w:rFonts w:hint="eastAsia" w:ascii="仿宋_GB2312" w:cs="仿宋_GB2312"/>
          <w:color w:val="auto"/>
          <w:sz w:val="32"/>
          <w:szCs w:val="32"/>
          <w:highlight w:val="none"/>
        </w:rPr>
        <w:t>分、项目过程</w:t>
      </w:r>
      <w:r>
        <w:rPr>
          <w:rFonts w:hint="eastAsia" w:ascii="仿宋_GB2312"/>
          <w:color w:val="auto"/>
          <w:sz w:val="32"/>
          <w:szCs w:val="32"/>
          <w:highlight w:val="none"/>
          <w:lang w:val="en-US" w:eastAsia="zh-CN"/>
        </w:rPr>
        <w:t>20</w:t>
      </w:r>
      <w:r>
        <w:rPr>
          <w:rFonts w:hint="eastAsia" w:ascii="仿宋_GB2312" w:cs="仿宋_GB2312"/>
          <w:color w:val="auto"/>
          <w:sz w:val="32"/>
          <w:szCs w:val="32"/>
          <w:highlight w:val="none"/>
        </w:rPr>
        <w:t>分、项目产出</w:t>
      </w:r>
      <w:r>
        <w:rPr>
          <w:rFonts w:hint="eastAsia" w:ascii="仿宋_GB2312"/>
          <w:color w:val="auto"/>
          <w:sz w:val="32"/>
          <w:szCs w:val="32"/>
          <w:highlight w:val="none"/>
          <w:lang w:val="en-US" w:eastAsia="zh-CN"/>
        </w:rPr>
        <w:t>30</w:t>
      </w:r>
      <w:r>
        <w:rPr>
          <w:rFonts w:hint="eastAsia" w:ascii="仿宋_GB2312" w:cs="仿宋_GB2312"/>
          <w:color w:val="auto"/>
          <w:sz w:val="32"/>
          <w:szCs w:val="32"/>
          <w:highlight w:val="none"/>
        </w:rPr>
        <w:t>分、项目效益</w:t>
      </w:r>
      <w:r>
        <w:rPr>
          <w:rFonts w:hint="eastAsia" w:ascii="仿宋_GB2312"/>
          <w:color w:val="auto"/>
          <w:sz w:val="32"/>
          <w:szCs w:val="32"/>
          <w:highlight w:val="none"/>
          <w:lang w:val="en-US" w:eastAsia="zh-CN"/>
        </w:rPr>
        <w:t>30</w:t>
      </w:r>
      <w:r>
        <w:rPr>
          <w:rFonts w:hint="eastAsia" w:ascii="仿宋_GB2312" w:cs="仿宋_GB2312"/>
          <w:color w:val="auto"/>
          <w:sz w:val="32"/>
          <w:szCs w:val="32"/>
          <w:highlight w:val="none"/>
        </w:rPr>
        <w:t>分。</w:t>
      </w:r>
    </w:p>
    <w:p>
      <w:pPr>
        <w:pStyle w:val="3"/>
        <w:spacing w:line="600" w:lineRule="exact"/>
        <w:ind w:firstLine="640"/>
        <w:rPr>
          <w:color w:val="auto"/>
          <w:szCs w:val="32"/>
          <w:highlight w:val="none"/>
        </w:rPr>
      </w:pPr>
      <w:r>
        <w:rPr>
          <w:rFonts w:hint="eastAsia"/>
          <w:color w:val="auto"/>
          <w:szCs w:val="32"/>
          <w:highlight w:val="none"/>
        </w:rPr>
        <w:t>四、绩效评价指标分析</w:t>
      </w:r>
    </w:p>
    <w:p>
      <w:pPr>
        <w:pStyle w:val="4"/>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（一）项目决策情况</w:t>
      </w:r>
    </w:p>
    <w:p>
      <w:pPr>
        <w:overflowPunct w:val="0"/>
        <w:spacing w:line="600" w:lineRule="exact"/>
        <w:ind w:firstLine="640"/>
        <w:contextualSpacing/>
        <w:rPr>
          <w:rFonts w:ascii="仿宋_GB2312" w:hAnsi="仿宋_GB2312" w:cs="仿宋_GB2312"/>
          <w:color w:val="auto"/>
          <w:sz w:val="32"/>
          <w:szCs w:val="32"/>
          <w:highlight w:val="none"/>
          <w:lang w:eastAsia="zh-Hans"/>
        </w:rPr>
      </w:pPr>
      <w:r>
        <w:rPr>
          <w:rFonts w:hint="eastAsia" w:ascii="仿宋_GB2312" w:hAnsi="仿宋_GB2312" w:cs="仿宋_GB2312"/>
          <w:color w:val="auto"/>
          <w:sz w:val="32"/>
          <w:szCs w:val="32"/>
          <w:highlight w:val="none"/>
        </w:rPr>
        <w:t>项目决策类指标</w:t>
      </w:r>
      <w:r>
        <w:rPr>
          <w:rFonts w:hint="eastAsia" w:ascii="仿宋_GB2312" w:hAnsi="仿宋_GB2312" w:cs="仿宋_GB2312"/>
          <w:color w:val="auto"/>
          <w:sz w:val="32"/>
          <w:szCs w:val="32"/>
          <w:highlight w:val="none"/>
          <w:lang w:eastAsia="zh-Hans"/>
        </w:rPr>
        <w:t>从</w:t>
      </w:r>
      <w:r>
        <w:rPr>
          <w:rFonts w:hint="eastAsia" w:ascii="仿宋_GB2312" w:hAnsi="仿宋_GB2312" w:cs="仿宋_GB2312"/>
          <w:color w:val="auto"/>
          <w:sz w:val="32"/>
          <w:szCs w:val="32"/>
          <w:highlight w:val="none"/>
        </w:rPr>
        <w:t>项目立项、绩效目标和资金投入</w:t>
      </w:r>
      <w:r>
        <w:rPr>
          <w:rFonts w:hint="eastAsia" w:ascii="仿宋_GB2312" w:hAnsi="仿宋_GB2312" w:cs="仿宋_GB2312"/>
          <w:color w:val="auto"/>
          <w:sz w:val="32"/>
          <w:szCs w:val="32"/>
          <w:highlight w:val="none"/>
          <w:lang w:eastAsia="zh-Hans"/>
        </w:rPr>
        <w:t>三个</w:t>
      </w:r>
      <w:r>
        <w:rPr>
          <w:rFonts w:hint="eastAsia" w:ascii="仿宋_GB2312" w:hAnsi="仿宋_GB2312" w:cs="仿宋_GB2312"/>
          <w:color w:val="auto"/>
          <w:sz w:val="32"/>
          <w:szCs w:val="32"/>
          <w:highlight w:val="none"/>
        </w:rPr>
        <w:t>方面</w:t>
      </w:r>
      <w:r>
        <w:rPr>
          <w:rFonts w:hint="eastAsia" w:ascii="仿宋_GB2312" w:hAnsi="仿宋_GB2312" w:cs="仿宋_GB2312"/>
          <w:color w:val="auto"/>
          <w:sz w:val="32"/>
          <w:szCs w:val="32"/>
          <w:highlight w:val="none"/>
          <w:lang w:eastAsia="zh-Hans"/>
        </w:rPr>
        <w:t>评价项目前期准备工作</w:t>
      </w:r>
      <w:r>
        <w:rPr>
          <w:rFonts w:hint="eastAsia" w:ascii="仿宋_GB2312" w:hAnsi="仿宋_GB2312" w:cs="仿宋_GB2312"/>
          <w:color w:val="auto"/>
          <w:sz w:val="32"/>
          <w:szCs w:val="32"/>
          <w:highlight w:val="none"/>
        </w:rPr>
        <w:t>，权重</w:t>
      </w:r>
      <w:r>
        <w:rPr>
          <w:rFonts w:hint="eastAsia" w:ascii="仿宋_GB2312" w:hAnsi="仿宋_GB2312" w:cs="仿宋_GB2312"/>
          <w:color w:val="auto"/>
          <w:sz w:val="32"/>
          <w:szCs w:val="32"/>
          <w:highlight w:val="none"/>
          <w:lang w:eastAsia="zh-Hans"/>
        </w:rPr>
        <w:t>分值</w:t>
      </w:r>
      <w:r>
        <w:rPr>
          <w:rFonts w:hint="eastAsia" w:ascii="仿宋_GB2312" w:hAnsi="仿宋_GB2312" w:cs="仿宋_GB2312"/>
          <w:color w:val="auto"/>
          <w:sz w:val="32"/>
          <w:szCs w:val="32"/>
          <w:highlight w:val="none"/>
        </w:rPr>
        <w:t>为 20 分，</w:t>
      </w:r>
      <w:r>
        <w:rPr>
          <w:rFonts w:hint="eastAsia" w:ascii="仿宋_GB2312" w:hAnsi="仿宋_GB2312" w:cs="仿宋_GB2312"/>
          <w:color w:val="auto"/>
          <w:sz w:val="32"/>
          <w:szCs w:val="32"/>
          <w:highlight w:val="none"/>
          <w:lang w:eastAsia="zh-Hans"/>
        </w:rPr>
        <w:t>本项目</w:t>
      </w:r>
      <w:r>
        <w:rPr>
          <w:rFonts w:hint="eastAsia" w:ascii="仿宋_GB2312" w:hAnsi="仿宋_GB2312" w:cs="仿宋_GB2312"/>
          <w:color w:val="auto"/>
          <w:sz w:val="32"/>
          <w:szCs w:val="32"/>
          <w:highlight w:val="none"/>
        </w:rPr>
        <w:t>实际得分</w:t>
      </w:r>
      <w:r>
        <w:rPr>
          <w:rFonts w:hint="eastAsia" w:ascii="仿宋_GB2312"/>
          <w:color w:val="auto"/>
          <w:sz w:val="32"/>
          <w:szCs w:val="32"/>
          <w:highlight w:val="none"/>
          <w:lang w:val="en-US" w:eastAsia="zh-CN"/>
        </w:rPr>
        <w:t>100</w:t>
      </w:r>
      <w:r>
        <w:rPr>
          <w:rFonts w:ascii="仿宋_GB2312"/>
          <w:color w:val="auto"/>
          <w:sz w:val="32"/>
          <w:szCs w:val="32"/>
          <w:highlight w:val="none"/>
        </w:rPr>
        <w:t>.</w:t>
      </w:r>
      <w:r>
        <w:rPr>
          <w:rFonts w:hint="eastAsia" w:ascii="仿宋_GB2312"/>
          <w:color w:val="auto"/>
          <w:sz w:val="32"/>
          <w:szCs w:val="32"/>
          <w:highlight w:val="none"/>
          <w:lang w:val="en-US" w:eastAsia="zh-CN"/>
        </w:rPr>
        <w:t>00</w:t>
      </w:r>
      <w:r>
        <w:rPr>
          <w:rFonts w:hint="eastAsia" w:ascii="仿宋_GB2312" w:hAnsi="仿宋_GB2312" w:cs="仿宋_GB2312"/>
          <w:color w:val="auto"/>
          <w:sz w:val="32"/>
          <w:szCs w:val="32"/>
          <w:highlight w:val="none"/>
        </w:rPr>
        <w:t>分，得分率为</w:t>
      </w:r>
      <w:r>
        <w:rPr>
          <w:rFonts w:hint="eastAsia" w:ascii="仿宋_GB2312"/>
          <w:color w:val="auto"/>
          <w:sz w:val="32"/>
          <w:szCs w:val="32"/>
          <w:highlight w:val="none"/>
          <w:lang w:val="en-US" w:eastAsia="zh-CN"/>
        </w:rPr>
        <w:t>100</w:t>
      </w:r>
      <w:r>
        <w:rPr>
          <w:rFonts w:ascii="仿宋_GB2312"/>
          <w:color w:val="auto"/>
          <w:sz w:val="32"/>
          <w:szCs w:val="32"/>
          <w:highlight w:val="none"/>
        </w:rPr>
        <w:t>.</w:t>
      </w:r>
      <w:r>
        <w:rPr>
          <w:rFonts w:hint="eastAsia" w:ascii="仿宋_GB2312"/>
          <w:color w:val="auto"/>
          <w:sz w:val="32"/>
          <w:szCs w:val="32"/>
          <w:highlight w:val="none"/>
          <w:lang w:val="en-US" w:eastAsia="zh-CN"/>
        </w:rPr>
        <w:t>0</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具体各项指标得分如下</w:t>
      </w:r>
      <w:r>
        <w:rPr>
          <w:rFonts w:ascii="仿宋_GB2312" w:hAnsi="仿宋_GB2312" w:cs="仿宋_GB2312"/>
          <w:color w:val="auto"/>
          <w:sz w:val="32"/>
          <w:szCs w:val="32"/>
          <w:highlight w:val="none"/>
          <w:lang w:eastAsia="zh-Hans"/>
        </w:rPr>
        <w:t>：</w:t>
      </w:r>
    </w:p>
    <w:p>
      <w:pPr>
        <w:pStyle w:val="23"/>
        <w:spacing w:line="600" w:lineRule="exact"/>
        <w:ind w:firstLine="736"/>
        <w:rPr>
          <w:rFonts w:cs="仿宋_GB2312"/>
          <w:color w:val="auto"/>
          <w:highlight w:val="none"/>
        </w:rPr>
      </w:pPr>
      <w:r>
        <w:rPr>
          <w:rFonts w:hint="eastAsia" w:cs="仿宋_GB2312"/>
          <w:b/>
          <w:bCs/>
          <w:color w:val="auto"/>
          <w:highlight w:val="none"/>
        </w:rPr>
        <w:t>1.立项依据充分性：</w:t>
      </w:r>
      <w:r>
        <w:rPr>
          <w:rFonts w:cs="仿宋_GB2312"/>
          <w:color w:val="auto"/>
          <w:highlight w:val="none"/>
          <w:lang w:eastAsia="zh-Hans"/>
        </w:rPr>
        <w:t>202</w:t>
      </w:r>
      <w:r>
        <w:rPr>
          <w:rFonts w:hint="eastAsia" w:cs="仿宋_GB2312"/>
          <w:color w:val="auto"/>
          <w:highlight w:val="none"/>
          <w:lang w:val="en-US" w:eastAsia="zh-CN"/>
        </w:rPr>
        <w:t>2</w:t>
      </w:r>
      <w:r>
        <w:rPr>
          <w:rFonts w:hint="eastAsia" w:cs="仿宋_GB2312"/>
          <w:color w:val="auto"/>
          <w:highlight w:val="none"/>
          <w:lang w:eastAsia="zh-Hans"/>
        </w:rPr>
        <w:t>年我单位根据</w:t>
      </w:r>
      <w:r>
        <w:rPr>
          <w:rFonts w:hint="eastAsia"/>
          <w:bCs/>
          <w:color w:val="auto"/>
          <w:sz w:val="32"/>
          <w:szCs w:val="32"/>
          <w:highlight w:val="none"/>
        </w:rPr>
        <w:t>《自治区80岁以上老年人基本生活津贴制度实施细则》（新民发[2011]89号）和昌市党财领[2017]4号</w:t>
      </w:r>
      <w:r>
        <w:rPr>
          <w:rFonts w:hint="eastAsia" w:cs="仿宋_GB2312"/>
          <w:color w:val="auto"/>
          <w:highlight w:val="none"/>
          <w:lang w:eastAsia="zh-Hans"/>
        </w:rPr>
        <w:t>文件要求</w:t>
      </w:r>
      <w:r>
        <w:rPr>
          <w:rFonts w:hint="eastAsia" w:cs="仿宋_GB2312"/>
          <w:color w:val="auto"/>
          <w:highlight w:val="none"/>
        </w:rPr>
        <w:t>组织实施</w:t>
      </w:r>
      <w:r>
        <w:rPr>
          <w:rFonts w:hint="eastAsia" w:cs="仿宋_GB2312"/>
          <w:color w:val="auto"/>
          <w:highlight w:val="none"/>
          <w:lang w:eastAsia="zh-Hans"/>
        </w:rPr>
        <w:t>该项目</w:t>
      </w:r>
      <w:r>
        <w:rPr>
          <w:rFonts w:hint="eastAsia" w:cs="仿宋_GB2312"/>
          <w:color w:val="auto"/>
          <w:highlight w:val="none"/>
        </w:rPr>
        <w:t>。</w:t>
      </w:r>
      <w:r>
        <w:rPr>
          <w:rFonts w:hint="eastAsia" w:hAnsi="仿宋_GB2312" w:cs="仿宋_GB2312"/>
          <w:color w:val="auto"/>
          <w:spacing w:val="0"/>
          <w:highlight w:val="none"/>
          <w:lang w:eastAsia="zh-Hans"/>
        </w:rPr>
        <w:t>项目立项符合国家法律法规、自治区和地区行业发展规划和政策要求，属于本部门履职所需。</w:t>
      </w:r>
      <w:r>
        <w:rPr>
          <w:rFonts w:hint="eastAsia" w:cs="仿宋_GB2312"/>
          <w:color w:val="auto"/>
          <w:highlight w:val="none"/>
        </w:rPr>
        <w:t>根据评分标准，该指标</w:t>
      </w:r>
      <w:r>
        <w:rPr>
          <w:rFonts w:hint="eastAsia" w:cs="仿宋_GB2312"/>
          <w:color w:val="auto"/>
          <w:highlight w:val="none"/>
          <w:lang w:val="en-US" w:eastAsia="zh-CN"/>
        </w:rPr>
        <w:t>5</w:t>
      </w:r>
      <w:r>
        <w:rPr>
          <w:rFonts w:hint="eastAsia" w:cs="仿宋_GB2312"/>
          <w:color w:val="auto"/>
          <w:highlight w:val="none"/>
        </w:rPr>
        <w:t>分，得</w:t>
      </w:r>
      <w:r>
        <w:rPr>
          <w:rFonts w:hint="eastAsia" w:cs="仿宋_GB2312"/>
          <w:color w:val="auto"/>
          <w:highlight w:val="none"/>
          <w:lang w:val="en-US" w:eastAsia="zh-CN"/>
        </w:rPr>
        <w:t>5</w:t>
      </w:r>
      <w:r>
        <w:rPr>
          <w:rFonts w:hint="eastAsia" w:cs="仿宋_GB2312"/>
          <w:color w:val="auto"/>
          <w:highlight w:val="none"/>
        </w:rPr>
        <w:t>分。</w:t>
      </w:r>
    </w:p>
    <w:p>
      <w:pPr>
        <w:pStyle w:val="23"/>
        <w:spacing w:line="600" w:lineRule="exact"/>
        <w:ind w:firstLine="736"/>
        <w:rPr>
          <w:rFonts w:cs="仿宋_GB2312"/>
          <w:color w:val="auto"/>
          <w:highlight w:val="none"/>
        </w:rPr>
      </w:pPr>
      <w:r>
        <w:rPr>
          <w:rFonts w:hint="eastAsia" w:cs="仿宋_GB2312"/>
          <w:b/>
          <w:bCs/>
          <w:color w:val="auto"/>
          <w:highlight w:val="none"/>
        </w:rPr>
        <w:t>2.立项程序规范性：</w:t>
      </w:r>
      <w:r>
        <w:rPr>
          <w:rFonts w:hint="eastAsia" w:cs="仿宋_GB2312"/>
          <w:color w:val="auto"/>
          <w:highlight w:val="none"/>
        </w:rPr>
        <w:t>根据决策依据编制工作计划和经费预算，经过与部门市政府分管领导进行沟通、筛选确定经费预算计划，上党委会研究确定最终预算方案</w:t>
      </w:r>
      <w:r>
        <w:rPr>
          <w:rFonts w:cs="仿宋_GB2312"/>
          <w:color w:val="auto"/>
          <w:highlight w:val="none"/>
        </w:rPr>
        <w:t>。</w:t>
      </w:r>
      <w:r>
        <w:rPr>
          <w:rFonts w:hint="eastAsia" w:cs="仿宋_GB2312"/>
          <w:color w:val="auto"/>
          <w:highlight w:val="none"/>
        </w:rPr>
        <w:t>根据评分标准，该指标</w:t>
      </w:r>
      <w:r>
        <w:rPr>
          <w:rFonts w:hint="eastAsia" w:cs="仿宋_GB2312"/>
          <w:color w:val="auto"/>
          <w:highlight w:val="none"/>
          <w:lang w:val="en-US" w:eastAsia="zh-CN"/>
        </w:rPr>
        <w:t>3</w:t>
      </w:r>
      <w:r>
        <w:rPr>
          <w:rFonts w:hint="eastAsia" w:cs="仿宋_GB2312"/>
          <w:color w:val="auto"/>
          <w:highlight w:val="none"/>
        </w:rPr>
        <w:t>分，得</w:t>
      </w:r>
      <w:r>
        <w:rPr>
          <w:rFonts w:hint="eastAsia" w:cs="仿宋_GB2312"/>
          <w:color w:val="auto"/>
          <w:highlight w:val="none"/>
          <w:lang w:val="en-US" w:eastAsia="zh-CN"/>
        </w:rPr>
        <w:t>3</w:t>
      </w:r>
      <w:r>
        <w:rPr>
          <w:rFonts w:hint="eastAsia" w:cs="仿宋_GB2312"/>
          <w:color w:val="auto"/>
          <w:highlight w:val="none"/>
        </w:rPr>
        <w:t>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3.绩效目标合理性</w:t>
      </w:r>
      <w:r>
        <w:rPr>
          <w:rFonts w:hint="eastAsia" w:ascii="仿宋_GB2312" w:cs="仿宋_GB2312"/>
          <w:color w:val="auto"/>
          <w:sz w:val="32"/>
          <w:szCs w:val="32"/>
          <w:highlight w:val="none"/>
        </w:rPr>
        <w:t>：</w:t>
      </w:r>
      <w:r>
        <w:rPr>
          <w:rFonts w:hint="eastAsia" w:ascii="仿宋_GB2312" w:cs="仿宋_GB2312"/>
          <w:color w:val="auto"/>
          <w:sz w:val="32"/>
          <w:szCs w:val="32"/>
          <w:highlight w:val="none"/>
          <w:lang w:eastAsia="zh-Hans"/>
        </w:rPr>
        <w:t>本项目</w:t>
      </w:r>
      <w:r>
        <w:rPr>
          <w:rFonts w:hint="eastAsia" w:ascii="仿宋_GB2312" w:cs="仿宋_GB2312"/>
          <w:color w:val="auto"/>
          <w:sz w:val="32"/>
          <w:szCs w:val="32"/>
          <w:highlight w:val="none"/>
        </w:rPr>
        <w:t>制定了</w:t>
      </w:r>
      <w:r>
        <w:rPr>
          <w:rFonts w:hint="eastAsia" w:ascii="仿宋_GB2312" w:cs="仿宋_GB2312"/>
          <w:color w:val="auto"/>
          <w:sz w:val="32"/>
          <w:szCs w:val="32"/>
          <w:highlight w:val="none"/>
          <w:lang w:eastAsia="zh-Hans"/>
        </w:rPr>
        <w:t>项目支出绩效目标</w:t>
      </w:r>
      <w:r>
        <w:rPr>
          <w:rFonts w:hint="eastAsia" w:ascii="仿宋_GB2312" w:cs="仿宋_GB2312"/>
          <w:color w:val="auto"/>
          <w:sz w:val="32"/>
          <w:szCs w:val="32"/>
          <w:highlight w:val="none"/>
        </w:rPr>
        <w:t>，明确了</w:t>
      </w:r>
      <w:r>
        <w:rPr>
          <w:rFonts w:hint="eastAsia" w:ascii="仿宋_GB2312" w:cs="仿宋_GB2312"/>
          <w:color w:val="auto"/>
          <w:sz w:val="32"/>
          <w:szCs w:val="32"/>
          <w:highlight w:val="none"/>
          <w:lang w:eastAsia="zh-Hans"/>
        </w:rPr>
        <w:t>项目</w:t>
      </w:r>
      <w:r>
        <w:rPr>
          <w:rFonts w:hint="eastAsia" w:ascii="仿宋_GB2312" w:cs="仿宋_GB2312"/>
          <w:color w:val="auto"/>
          <w:sz w:val="32"/>
          <w:szCs w:val="32"/>
          <w:highlight w:val="none"/>
        </w:rPr>
        <w:t>总体思路及</w:t>
      </w:r>
      <w:r>
        <w:rPr>
          <w:rFonts w:hint="eastAsia" w:ascii="仿宋_GB2312" w:cs="仿宋_GB2312"/>
          <w:color w:val="auto"/>
          <w:sz w:val="32"/>
          <w:szCs w:val="32"/>
          <w:highlight w:val="none"/>
          <w:lang w:eastAsia="zh-Hans"/>
        </w:rPr>
        <w:t>总</w:t>
      </w:r>
      <w:r>
        <w:rPr>
          <w:rFonts w:hint="eastAsia" w:ascii="仿宋_GB2312" w:cs="仿宋_GB2312"/>
          <w:color w:val="auto"/>
          <w:sz w:val="32"/>
          <w:szCs w:val="32"/>
          <w:highlight w:val="none"/>
        </w:rPr>
        <w:t>目标、并对</w:t>
      </w:r>
      <w:r>
        <w:rPr>
          <w:rFonts w:hint="eastAsia" w:ascii="仿宋_GB2312" w:cs="仿宋_GB2312"/>
          <w:color w:val="auto"/>
          <w:sz w:val="32"/>
          <w:szCs w:val="32"/>
          <w:highlight w:val="none"/>
          <w:lang w:eastAsia="zh-Hans"/>
        </w:rPr>
        <w:t>项目</w:t>
      </w:r>
      <w:r>
        <w:rPr>
          <w:rFonts w:hint="eastAsia" w:ascii="仿宋_GB2312" w:cs="仿宋_GB2312"/>
          <w:color w:val="auto"/>
          <w:sz w:val="32"/>
          <w:szCs w:val="32"/>
          <w:highlight w:val="none"/>
        </w:rPr>
        <w:t>任务进行了详细分解，对目标进行了细化</w:t>
      </w:r>
      <w:r>
        <w:rPr>
          <w:rFonts w:ascii="仿宋_GB2312" w:cs="仿宋_GB2312"/>
          <w:color w:val="auto"/>
          <w:sz w:val="32"/>
          <w:szCs w:val="32"/>
          <w:highlight w:val="none"/>
        </w:rPr>
        <w:t>。</w:t>
      </w:r>
      <w:r>
        <w:rPr>
          <w:rFonts w:hint="eastAsia" w:ascii="仿宋_GB2312" w:cs="仿宋_GB2312"/>
          <w:color w:val="auto"/>
          <w:sz w:val="32"/>
          <w:szCs w:val="32"/>
          <w:highlight w:val="none"/>
        </w:rPr>
        <w:t>根据评分标准，该指标</w:t>
      </w:r>
      <w:r>
        <w:rPr>
          <w:rFonts w:ascii="仿宋_GB2312" w:cs="仿宋_GB2312"/>
          <w:color w:val="auto"/>
          <w:sz w:val="32"/>
          <w:szCs w:val="32"/>
          <w:highlight w:val="none"/>
        </w:rPr>
        <w:t>3</w:t>
      </w:r>
      <w:r>
        <w:rPr>
          <w:rFonts w:hint="eastAsia" w:ascii="仿宋_GB2312" w:cs="仿宋_GB2312"/>
          <w:color w:val="auto"/>
          <w:sz w:val="32"/>
          <w:szCs w:val="32"/>
          <w:highlight w:val="none"/>
        </w:rPr>
        <w:t>分，得3分。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4.绩效指标明确性：</w:t>
      </w:r>
      <w:r>
        <w:rPr>
          <w:rFonts w:hint="eastAsia" w:ascii="仿宋_GB2312" w:cs="仿宋_GB2312"/>
          <w:color w:val="auto"/>
          <w:sz w:val="32"/>
          <w:szCs w:val="32"/>
          <w:highlight w:val="none"/>
        </w:rPr>
        <w:t>本项目已将项目绩效目标细化分解为具体的绩效指标，并通过清晰、可衡量的指标值予以体现，与项目目标任务数或计划数相对应。根据评分标准，该指标</w:t>
      </w:r>
      <w:r>
        <w:rPr>
          <w:rFonts w:ascii="仿宋_GB2312" w:cs="仿宋_GB2312"/>
          <w:color w:val="auto"/>
          <w:sz w:val="32"/>
          <w:szCs w:val="32"/>
          <w:highlight w:val="none"/>
        </w:rPr>
        <w:t>2</w:t>
      </w:r>
      <w:r>
        <w:rPr>
          <w:rFonts w:hint="eastAsia" w:ascii="仿宋_GB2312" w:cs="仿宋_GB2312"/>
          <w:color w:val="auto"/>
          <w:sz w:val="32"/>
          <w:szCs w:val="32"/>
          <w:highlight w:val="none"/>
        </w:rPr>
        <w:t>分，得2分。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5.预算编制科学性：</w:t>
      </w:r>
      <w:r>
        <w:rPr>
          <w:rFonts w:hint="eastAsia" w:ascii="仿宋_GB2312" w:cs="仿宋_GB2312"/>
          <w:color w:val="auto"/>
          <w:sz w:val="32"/>
          <w:szCs w:val="32"/>
          <w:highlight w:val="none"/>
        </w:rPr>
        <w:t xml:space="preserve"> 预算编制经过科学论证，内容与项目内容匹配，项目投资额与工作任务相匹配，根据评分标准，该指标</w:t>
      </w:r>
      <w:r>
        <w:rPr>
          <w:rFonts w:ascii="仿宋_GB2312" w:cs="仿宋_GB2312"/>
          <w:color w:val="auto"/>
          <w:sz w:val="32"/>
          <w:szCs w:val="32"/>
          <w:highlight w:val="none"/>
        </w:rPr>
        <w:t>5</w:t>
      </w:r>
      <w:r>
        <w:rPr>
          <w:rFonts w:hint="eastAsia" w:ascii="仿宋_GB2312" w:cs="仿宋_GB2312"/>
          <w:color w:val="auto"/>
          <w:sz w:val="32"/>
          <w:szCs w:val="32"/>
          <w:highlight w:val="none"/>
        </w:rPr>
        <w:t>分，得5分。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6.资金分配合理性：</w:t>
      </w:r>
      <w:r>
        <w:rPr>
          <w:rFonts w:hint="eastAsia" w:ascii="仿宋_GB2312" w:cs="仿宋_GB2312"/>
          <w:color w:val="auto"/>
          <w:sz w:val="32"/>
          <w:szCs w:val="32"/>
          <w:highlight w:val="none"/>
          <w:lang w:eastAsia="zh-Hans"/>
        </w:rPr>
        <w:t>本项目</w:t>
      </w:r>
      <w:r>
        <w:rPr>
          <w:rFonts w:hint="eastAsia" w:ascii="仿宋_GB2312" w:cs="仿宋_GB2312"/>
          <w:color w:val="auto"/>
          <w:sz w:val="32"/>
          <w:szCs w:val="32"/>
          <w:highlight w:val="none"/>
        </w:rPr>
        <w:t>资金分配依据充分，资金分配额度合理，与项目地方实际相适应。根据评分标准，该指标</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分。</w:t>
      </w:r>
    </w:p>
    <w:p>
      <w:pPr>
        <w:pStyle w:val="4"/>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（二）项目过程情况</w:t>
      </w:r>
    </w:p>
    <w:p>
      <w:pPr>
        <w:overflowPunct w:val="0"/>
        <w:spacing w:line="600" w:lineRule="exact"/>
        <w:ind w:firstLine="640"/>
        <w:contextualSpacing/>
        <w:rPr>
          <w:rFonts w:ascii="仿宋_GB2312" w:hAnsi="仿宋_GB2312" w:cs="仿宋_GB2312"/>
          <w:color w:val="auto"/>
          <w:sz w:val="32"/>
          <w:szCs w:val="32"/>
          <w:highlight w:val="none"/>
          <w:lang w:eastAsia="zh-Hans"/>
        </w:rPr>
      </w:pPr>
      <w:r>
        <w:rPr>
          <w:rFonts w:hint="eastAsia" w:ascii="仿宋_GB2312" w:cs="仿宋_GB2312"/>
          <w:color w:val="auto"/>
          <w:sz w:val="32"/>
          <w:szCs w:val="32"/>
          <w:highlight w:val="none"/>
        </w:rPr>
        <w:t>项目过程类指标包括资金管理和组织实施两方面的内容，由 5个三级指标构成，</w:t>
      </w:r>
      <w:r>
        <w:rPr>
          <w:rFonts w:hint="eastAsia" w:ascii="仿宋_GB2312" w:hAnsi="仿宋_GB2312" w:cs="仿宋_GB2312"/>
          <w:color w:val="auto"/>
          <w:sz w:val="32"/>
          <w:szCs w:val="32"/>
          <w:highlight w:val="none"/>
        </w:rPr>
        <w:t>权重</w:t>
      </w:r>
      <w:r>
        <w:rPr>
          <w:rFonts w:hint="eastAsia" w:ascii="仿宋_GB2312" w:hAnsi="仿宋_GB2312" w:cs="仿宋_GB2312"/>
          <w:color w:val="auto"/>
          <w:sz w:val="32"/>
          <w:szCs w:val="32"/>
          <w:highlight w:val="none"/>
          <w:lang w:eastAsia="zh-Hans"/>
        </w:rPr>
        <w:t>分值</w:t>
      </w:r>
      <w:r>
        <w:rPr>
          <w:rFonts w:hint="eastAsia" w:ascii="仿宋_GB2312" w:hAnsi="仿宋_GB2312" w:cs="仿宋_GB2312"/>
          <w:color w:val="auto"/>
          <w:sz w:val="32"/>
          <w:szCs w:val="32"/>
          <w:highlight w:val="none"/>
        </w:rPr>
        <w:t>为 20 分，</w:t>
      </w:r>
      <w:r>
        <w:rPr>
          <w:rFonts w:hint="eastAsia" w:ascii="仿宋_GB2312" w:hAnsi="仿宋_GB2312" w:cs="仿宋_GB2312"/>
          <w:color w:val="auto"/>
          <w:sz w:val="32"/>
          <w:szCs w:val="32"/>
          <w:highlight w:val="none"/>
          <w:lang w:eastAsia="zh-Hans"/>
        </w:rPr>
        <w:t>本项目</w:t>
      </w:r>
      <w:r>
        <w:rPr>
          <w:rFonts w:hint="eastAsia" w:ascii="仿宋_GB2312" w:hAnsi="仿宋_GB2312" w:cs="仿宋_GB2312"/>
          <w:color w:val="auto"/>
          <w:sz w:val="32"/>
          <w:szCs w:val="32"/>
          <w:highlight w:val="none"/>
        </w:rPr>
        <w:t>实际得分</w:t>
      </w:r>
      <w:r>
        <w:rPr>
          <w:rFonts w:hint="eastAsia" w:ascii="仿宋_GB2312"/>
          <w:color w:val="auto"/>
          <w:sz w:val="32"/>
          <w:szCs w:val="32"/>
          <w:highlight w:val="none"/>
          <w:lang w:val="en-US" w:eastAsia="zh-CN"/>
        </w:rPr>
        <w:t>100</w:t>
      </w:r>
      <w:r>
        <w:rPr>
          <w:rFonts w:ascii="仿宋_GB2312"/>
          <w:color w:val="auto"/>
          <w:sz w:val="32"/>
          <w:szCs w:val="32"/>
          <w:highlight w:val="none"/>
        </w:rPr>
        <w:t>.</w:t>
      </w:r>
      <w:r>
        <w:rPr>
          <w:rFonts w:hint="eastAsia" w:ascii="仿宋_GB2312"/>
          <w:color w:val="auto"/>
          <w:sz w:val="32"/>
          <w:szCs w:val="32"/>
          <w:highlight w:val="none"/>
          <w:lang w:val="en-US" w:eastAsia="zh-CN"/>
        </w:rPr>
        <w:t>00</w:t>
      </w:r>
      <w:r>
        <w:rPr>
          <w:rFonts w:hint="eastAsia" w:ascii="仿宋_GB2312" w:hAnsi="仿宋_GB2312" w:cs="仿宋_GB2312"/>
          <w:color w:val="auto"/>
          <w:sz w:val="32"/>
          <w:szCs w:val="32"/>
          <w:highlight w:val="none"/>
        </w:rPr>
        <w:t>分，得分率为</w:t>
      </w:r>
      <w:r>
        <w:rPr>
          <w:rFonts w:hint="eastAsia" w:ascii="仿宋_GB2312"/>
          <w:color w:val="auto"/>
          <w:sz w:val="32"/>
          <w:szCs w:val="32"/>
          <w:highlight w:val="none"/>
          <w:lang w:val="en-US" w:eastAsia="zh-CN"/>
        </w:rPr>
        <w:t>100</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具体各项指标得分如下</w:t>
      </w:r>
      <w:r>
        <w:rPr>
          <w:rFonts w:ascii="仿宋_GB2312" w:hAnsi="仿宋_GB2312" w:cs="仿宋_GB2312"/>
          <w:color w:val="auto"/>
          <w:sz w:val="32"/>
          <w:szCs w:val="32"/>
          <w:highlight w:val="none"/>
          <w:lang w:eastAsia="zh-Hans"/>
        </w:rPr>
        <w:t>：</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1.资金到位率：</w:t>
      </w:r>
      <w:r>
        <w:rPr>
          <w:rFonts w:hint="eastAsia" w:ascii="仿宋_GB2312" w:cs="仿宋_GB2312"/>
          <w:color w:val="auto"/>
          <w:sz w:val="32"/>
          <w:szCs w:val="32"/>
          <w:highlight w:val="none"/>
        </w:rPr>
        <w:t>该项目所需财政资金能够足额拨付到位，牵头单位能够及时足额按照合同约定将专项资金拨付给单位，根据评分标准，该指标</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 xml:space="preserve">分。   </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2.预算执行率：</w:t>
      </w:r>
      <w:r>
        <w:rPr>
          <w:rFonts w:hint="eastAsia" w:ascii="仿宋_GB2312" w:cs="仿宋_GB2312"/>
          <w:b/>
          <w:bCs/>
          <w:color w:val="auto"/>
          <w:sz w:val="32"/>
          <w:szCs w:val="32"/>
          <w:highlight w:val="none"/>
          <w:lang w:eastAsia="zh-Hans"/>
        </w:rPr>
        <w:t>本项目</w:t>
      </w:r>
      <w:r>
        <w:rPr>
          <w:rFonts w:hint="eastAsia" w:ascii="仿宋_GB2312" w:cs="仿宋_GB2312"/>
          <w:color w:val="auto"/>
          <w:sz w:val="32"/>
          <w:szCs w:val="32"/>
          <w:highlight w:val="none"/>
        </w:rPr>
        <w:t>预算编制较为详细，</w:t>
      </w:r>
      <w:r>
        <w:rPr>
          <w:rFonts w:hint="eastAsia" w:ascii="仿宋_GB2312" w:cs="仿宋_GB2312"/>
          <w:color w:val="auto"/>
          <w:sz w:val="32"/>
          <w:szCs w:val="32"/>
          <w:highlight w:val="none"/>
          <w:lang w:val="zh-TW" w:eastAsia="zh-TW"/>
        </w:rPr>
        <w:t>预算资金</w:t>
      </w:r>
      <w:r>
        <w:rPr>
          <w:rFonts w:hint="eastAsia" w:ascii="仿宋_GB2312" w:cs="仿宋_GB2312"/>
          <w:color w:val="auto"/>
          <w:sz w:val="32"/>
          <w:szCs w:val="32"/>
          <w:highlight w:val="none"/>
        </w:rPr>
        <w:t>317.9965</w:t>
      </w:r>
      <w:r>
        <w:rPr>
          <w:rFonts w:hint="eastAsia" w:ascii="仿宋_GB2312" w:cs="仿宋_GB2312"/>
          <w:color w:val="auto"/>
          <w:sz w:val="32"/>
          <w:szCs w:val="32"/>
          <w:highlight w:val="none"/>
          <w:lang w:val="zh-TW" w:eastAsia="zh-TW"/>
        </w:rPr>
        <w:t>万元</w:t>
      </w:r>
      <w:r>
        <w:rPr>
          <w:rFonts w:hint="eastAsia" w:ascii="仿宋_GB2312" w:cs="仿宋_GB2312"/>
          <w:color w:val="auto"/>
          <w:sz w:val="32"/>
          <w:szCs w:val="32"/>
          <w:highlight w:val="none"/>
          <w:lang w:eastAsia="zh-Hans"/>
        </w:rPr>
        <w:t>，实际执行</w:t>
      </w:r>
      <w:r>
        <w:rPr>
          <w:rFonts w:hint="eastAsia" w:ascii="仿宋_GB2312" w:cs="仿宋_GB2312"/>
          <w:color w:val="auto"/>
          <w:sz w:val="32"/>
          <w:szCs w:val="32"/>
          <w:highlight w:val="none"/>
        </w:rPr>
        <w:t>317.9965</w:t>
      </w:r>
      <w:r>
        <w:rPr>
          <w:rFonts w:hint="eastAsia" w:ascii="仿宋_GB2312" w:cs="仿宋_GB2312"/>
          <w:color w:val="auto"/>
          <w:sz w:val="32"/>
          <w:szCs w:val="32"/>
          <w:highlight w:val="none"/>
          <w:lang w:val="zh-TW" w:eastAsia="zh-TW"/>
        </w:rPr>
        <w:t>万元</w:t>
      </w:r>
      <w:r>
        <w:rPr>
          <w:rFonts w:hint="eastAsia" w:ascii="仿宋_GB2312" w:cs="仿宋_GB2312"/>
          <w:color w:val="auto"/>
          <w:sz w:val="32"/>
          <w:szCs w:val="32"/>
          <w:highlight w:val="none"/>
          <w:lang w:eastAsia="zh-Hans"/>
        </w:rPr>
        <w:t>，预算执行率为</w:t>
      </w:r>
      <w:r>
        <w:rPr>
          <w:rFonts w:hint="eastAsia" w:ascii="仿宋_GB2312" w:cs="仿宋_GB2312"/>
          <w:color w:val="auto"/>
          <w:sz w:val="32"/>
          <w:szCs w:val="32"/>
          <w:highlight w:val="none"/>
          <w:lang w:val="zh-TW" w:eastAsia="zh-TW"/>
        </w:rPr>
        <w:t>100%</w:t>
      </w:r>
      <w:r>
        <w:rPr>
          <w:rFonts w:hint="eastAsia" w:ascii="仿宋_GB2312" w:cs="仿宋_GB2312"/>
          <w:color w:val="auto"/>
          <w:sz w:val="32"/>
          <w:szCs w:val="32"/>
          <w:highlight w:val="none"/>
          <w:lang w:eastAsia="zh-Hans"/>
        </w:rPr>
        <w:t>，</w:t>
      </w:r>
      <w:r>
        <w:rPr>
          <w:rFonts w:hint="eastAsia" w:ascii="仿宋_GB2312" w:cs="仿宋_GB2312"/>
          <w:color w:val="auto"/>
          <w:sz w:val="32"/>
          <w:szCs w:val="32"/>
          <w:highlight w:val="none"/>
        </w:rPr>
        <w:t>项目资金支出总体能够按照预算执行，根据评分标准，该指标5分，得5分。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3.资金使用合规性：</w:t>
      </w:r>
      <w:r>
        <w:rPr>
          <w:rFonts w:hint="eastAsia" w:ascii="仿宋_GB2312" w:cs="仿宋_GB2312"/>
          <w:color w:val="auto"/>
          <w:sz w:val="32"/>
          <w:szCs w:val="32"/>
          <w:highlight w:val="none"/>
          <w:lang w:eastAsia="zh-Hans"/>
        </w:rPr>
        <w:t>项目任务下达后</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lang w:eastAsia="zh-Hans"/>
        </w:rPr>
        <w:t>我单位</w:t>
      </w:r>
      <w:r>
        <w:rPr>
          <w:rFonts w:hint="eastAsia" w:ascii="仿宋_GB2312" w:cs="仿宋_GB2312"/>
          <w:color w:val="auto"/>
          <w:sz w:val="32"/>
          <w:szCs w:val="32"/>
          <w:highlight w:val="none"/>
        </w:rPr>
        <w:t>制定了制度和管理规定对经费使用进行规范管理，财务制度健全、执行严格，根据评分标准，该指标</w:t>
      </w:r>
      <w:r>
        <w:rPr>
          <w:rFonts w:ascii="仿宋_GB2312" w:cs="仿宋_GB2312"/>
          <w:color w:val="auto"/>
          <w:sz w:val="32"/>
          <w:szCs w:val="32"/>
          <w:highlight w:val="none"/>
        </w:rPr>
        <w:t>5</w:t>
      </w:r>
      <w:r>
        <w:rPr>
          <w:rFonts w:hint="eastAsia" w:ascii="仿宋_GB2312" w:cs="仿宋_GB2312"/>
          <w:color w:val="auto"/>
          <w:sz w:val="32"/>
          <w:szCs w:val="32"/>
          <w:highlight w:val="none"/>
        </w:rPr>
        <w:t>分，得5分。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4.管理制度健全性：</w:t>
      </w:r>
      <w:r>
        <w:rPr>
          <w:rFonts w:hint="eastAsia" w:ascii="仿宋_GB2312" w:cs="仿宋_GB2312"/>
          <w:color w:val="auto"/>
          <w:sz w:val="32"/>
          <w:szCs w:val="32"/>
          <w:highlight w:val="none"/>
          <w:lang w:eastAsia="zh-Hans"/>
        </w:rPr>
        <w:t>我单位</w:t>
      </w:r>
      <w:r>
        <w:rPr>
          <w:rFonts w:hint="eastAsia" w:ascii="仿宋_GB2312" w:cs="仿宋_GB2312"/>
          <w:color w:val="auto"/>
          <w:sz w:val="32"/>
          <w:szCs w:val="32"/>
          <w:highlight w:val="none"/>
        </w:rPr>
        <w:t>制定了</w:t>
      </w:r>
      <w:r>
        <w:rPr>
          <w:rFonts w:hint="eastAsia" w:ascii="仿宋_GB2312" w:cs="仿宋_GB2312"/>
          <w:color w:val="auto"/>
          <w:sz w:val="32"/>
          <w:szCs w:val="32"/>
          <w:highlight w:val="none"/>
          <w:lang w:eastAsia="zh-Hans"/>
        </w:rPr>
        <w:t>等</w:t>
      </w:r>
      <w:r>
        <w:rPr>
          <w:rFonts w:ascii="仿宋_GB2312" w:cs="仿宋_GB2312"/>
          <w:color w:val="auto"/>
          <w:sz w:val="32"/>
          <w:szCs w:val="32"/>
          <w:highlight w:val="none"/>
        </w:rPr>
        <w:t>相关</w:t>
      </w:r>
      <w:r>
        <w:rPr>
          <w:rFonts w:hint="eastAsia" w:ascii="仿宋_GB2312" w:cs="仿宋_GB2312"/>
          <w:color w:val="auto"/>
          <w:sz w:val="32"/>
          <w:szCs w:val="32"/>
          <w:highlight w:val="none"/>
          <w:lang w:eastAsia="zh-Hans"/>
        </w:rPr>
        <w:t>项目</w:t>
      </w:r>
      <w:r>
        <w:rPr>
          <w:rFonts w:ascii="仿宋_GB2312" w:cs="仿宋_GB2312"/>
          <w:color w:val="auto"/>
          <w:sz w:val="32"/>
          <w:szCs w:val="32"/>
          <w:highlight w:val="none"/>
        </w:rPr>
        <w:t>管理办法，</w:t>
      </w:r>
      <w:r>
        <w:rPr>
          <w:rFonts w:hint="eastAsia" w:ascii="仿宋_GB2312" w:cs="仿宋_GB2312"/>
          <w:color w:val="auto"/>
          <w:sz w:val="32"/>
          <w:szCs w:val="32"/>
          <w:highlight w:val="none"/>
          <w:lang w:eastAsia="zh-Hans"/>
        </w:rPr>
        <w:t>同时</w:t>
      </w:r>
      <w:r>
        <w:rPr>
          <w:rFonts w:hint="eastAsia" w:ascii="仿宋_GB2312" w:cs="仿宋_GB2312"/>
          <w:color w:val="auto"/>
          <w:sz w:val="32"/>
          <w:szCs w:val="32"/>
          <w:highlight w:val="none"/>
        </w:rPr>
        <w:t>对财政专项资金进行</w:t>
      </w:r>
      <w:r>
        <w:rPr>
          <w:rFonts w:ascii="仿宋_GB2312" w:cs="仿宋_GB2312"/>
          <w:color w:val="auto"/>
          <w:sz w:val="32"/>
          <w:szCs w:val="32"/>
          <w:highlight w:val="none"/>
        </w:rPr>
        <w:t>严格</w:t>
      </w:r>
      <w:r>
        <w:rPr>
          <w:rFonts w:hint="eastAsia" w:ascii="仿宋_GB2312" w:cs="仿宋_GB2312"/>
          <w:color w:val="auto"/>
          <w:sz w:val="32"/>
          <w:szCs w:val="32"/>
          <w:highlight w:val="none"/>
        </w:rPr>
        <w:t>管理，基本做到了专款专用，根据评分标准，该指标</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5.制度执行有效性</w:t>
      </w:r>
      <w:r>
        <w:rPr>
          <w:rFonts w:hint="eastAsia" w:ascii="仿宋_GB2312" w:cs="仿宋_GB2312"/>
          <w:color w:val="auto"/>
          <w:sz w:val="32"/>
          <w:szCs w:val="32"/>
          <w:highlight w:val="none"/>
        </w:rPr>
        <w:t>：由部门提出经费预算支出可行性方案，经过与市政府分管领导沟通后</w:t>
      </w:r>
      <w:r>
        <w:rPr>
          <w:rFonts w:ascii="仿宋_GB2312" w:cs="仿宋_GB2312"/>
          <w:color w:val="auto"/>
          <w:sz w:val="32"/>
          <w:szCs w:val="32"/>
          <w:highlight w:val="none"/>
        </w:rPr>
        <w:t>，</w:t>
      </w:r>
      <w:r>
        <w:rPr>
          <w:rFonts w:hint="eastAsia" w:ascii="仿宋_GB2312" w:cs="仿宋_GB2312"/>
          <w:color w:val="auto"/>
          <w:sz w:val="32"/>
          <w:szCs w:val="32"/>
          <w:highlight w:val="none"/>
        </w:rPr>
        <w:t>报</w:t>
      </w:r>
      <w:r>
        <w:rPr>
          <w:rFonts w:ascii="仿宋_GB2312" w:cs="仿宋_GB2312"/>
          <w:color w:val="auto"/>
          <w:sz w:val="32"/>
          <w:szCs w:val="32"/>
          <w:highlight w:val="none"/>
        </w:rPr>
        <w:t>党</w:t>
      </w:r>
      <w:r>
        <w:rPr>
          <w:rFonts w:hint="eastAsia" w:ascii="仿宋_GB2312" w:cs="仿宋_GB2312"/>
          <w:color w:val="auto"/>
          <w:sz w:val="32"/>
          <w:szCs w:val="32"/>
          <w:highlight w:val="none"/>
        </w:rPr>
        <w:t>委</w:t>
      </w:r>
      <w:r>
        <w:rPr>
          <w:rFonts w:ascii="仿宋_GB2312" w:cs="仿宋_GB2312"/>
          <w:color w:val="auto"/>
          <w:sz w:val="32"/>
          <w:szCs w:val="32"/>
          <w:highlight w:val="none"/>
        </w:rPr>
        <w:t>会议</w:t>
      </w:r>
      <w:r>
        <w:rPr>
          <w:rFonts w:hint="eastAsia" w:ascii="仿宋_GB2312" w:cs="仿宋_GB2312"/>
          <w:color w:val="auto"/>
          <w:sz w:val="32"/>
          <w:szCs w:val="32"/>
          <w:highlight w:val="none"/>
        </w:rPr>
        <w:t>研究执行，财务对资金的使用合法合规性进行监督，年底对资金使用效果进行自评，根据评分标准，该指标</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w:t>
      </w:r>
    </w:p>
    <w:p>
      <w:pPr>
        <w:pStyle w:val="4"/>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w:t>
      </w:r>
      <w:r>
        <w:rPr>
          <w:rFonts w:hint="eastAsia" w:ascii="楷体_GB2312" w:eastAsia="楷体_GB2312"/>
          <w:color w:val="auto"/>
          <w:szCs w:val="32"/>
          <w:highlight w:val="none"/>
          <w:lang w:eastAsia="zh-Hans"/>
        </w:rPr>
        <w:t>三</w:t>
      </w:r>
      <w:r>
        <w:rPr>
          <w:rFonts w:hint="eastAsia" w:ascii="楷体_GB2312" w:eastAsia="楷体_GB2312"/>
          <w:color w:val="auto"/>
          <w:szCs w:val="32"/>
          <w:highlight w:val="none"/>
        </w:rPr>
        <w:t>）项目产出情况</w:t>
      </w:r>
    </w:p>
    <w:p>
      <w:pPr>
        <w:overflowPunct w:val="0"/>
        <w:spacing w:line="600" w:lineRule="exact"/>
        <w:ind w:firstLine="640"/>
        <w:contextualSpacing/>
        <w:rPr>
          <w:rFonts w:ascii="仿宋_GB2312" w:hAnsi="仿宋_GB2312" w:cs="仿宋_GB2312"/>
          <w:color w:val="auto"/>
          <w:sz w:val="32"/>
          <w:szCs w:val="32"/>
          <w:highlight w:val="none"/>
          <w:lang w:eastAsia="zh-Hans"/>
        </w:rPr>
      </w:pPr>
      <w:r>
        <w:rPr>
          <w:rFonts w:hint="eastAsia" w:ascii="仿宋_GB2312" w:cs="仿宋_GB2312"/>
          <w:color w:val="auto"/>
          <w:sz w:val="32"/>
          <w:szCs w:val="32"/>
          <w:highlight w:val="none"/>
        </w:rPr>
        <w:t>项目产出类指标包括产出数量、产出质量、产出时效、产出成本共四方面的内容，由</w:t>
      </w:r>
      <w:r>
        <w:rPr>
          <w:rFonts w:hint="eastAsia"/>
          <w:color w:val="auto"/>
          <w:sz w:val="32"/>
          <w:szCs w:val="32"/>
          <w:highlight w:val="none"/>
          <w:u w:color="000000"/>
        </w:rPr>
        <w:t>10</w:t>
      </w:r>
      <w:r>
        <w:rPr>
          <w:rFonts w:hint="eastAsia"/>
          <w:color w:val="auto"/>
          <w:sz w:val="32"/>
          <w:szCs w:val="32"/>
          <w:highlight w:val="none"/>
          <w:u w:color="000000"/>
          <w:lang w:val="zh-TW" w:eastAsia="zh-TW"/>
        </w:rPr>
        <w:t>个</w:t>
      </w:r>
      <w:r>
        <w:rPr>
          <w:rFonts w:hint="eastAsia" w:ascii="仿宋_GB2312" w:cs="仿宋_GB2312"/>
          <w:color w:val="auto"/>
          <w:sz w:val="32"/>
          <w:szCs w:val="32"/>
          <w:highlight w:val="none"/>
        </w:rPr>
        <w:t>三级指标构成，权重分为</w:t>
      </w:r>
      <w:r>
        <w:rPr>
          <w:rFonts w:ascii="仿宋_GB2312" w:cs="仿宋_GB2312"/>
          <w:color w:val="auto"/>
          <w:sz w:val="32"/>
          <w:szCs w:val="32"/>
          <w:highlight w:val="none"/>
        </w:rPr>
        <w:t>30</w:t>
      </w:r>
      <w:r>
        <w:rPr>
          <w:rFonts w:hint="eastAsia" w:ascii="仿宋_GB2312" w:cs="仿宋_GB2312"/>
          <w:color w:val="auto"/>
          <w:sz w:val="32"/>
          <w:szCs w:val="32"/>
          <w:highlight w:val="none"/>
        </w:rPr>
        <w:t>分，</w:t>
      </w:r>
      <w:r>
        <w:rPr>
          <w:rFonts w:hint="eastAsia" w:ascii="仿宋_GB2312" w:hAnsi="仿宋_GB2312" w:cs="仿宋_GB2312"/>
          <w:color w:val="auto"/>
          <w:sz w:val="32"/>
          <w:szCs w:val="32"/>
          <w:highlight w:val="none"/>
          <w:lang w:eastAsia="zh-Hans"/>
        </w:rPr>
        <w:t>本项目</w:t>
      </w:r>
      <w:r>
        <w:rPr>
          <w:rFonts w:hint="eastAsia" w:ascii="仿宋_GB2312" w:hAnsi="仿宋_GB2312" w:cs="仿宋_GB2312"/>
          <w:color w:val="auto"/>
          <w:sz w:val="32"/>
          <w:szCs w:val="32"/>
          <w:highlight w:val="none"/>
        </w:rPr>
        <w:t>实</w:t>
      </w:r>
      <w:r>
        <w:rPr>
          <w:rFonts w:hint="eastAsia" w:ascii="仿宋_GB2312" w:hAnsi="仿宋_GB2312" w:cs="仿宋_GB2312"/>
          <w:color w:val="auto"/>
          <w:sz w:val="32"/>
          <w:szCs w:val="32"/>
          <w:highlight w:val="none"/>
        </w:rPr>
        <w:t>际得分</w:t>
      </w:r>
      <w:r>
        <w:rPr>
          <w:rFonts w:hint="eastAsia" w:ascii="仿宋_GB2312"/>
          <w:color w:val="auto"/>
          <w:sz w:val="32"/>
          <w:szCs w:val="32"/>
          <w:highlight w:val="none"/>
          <w:lang w:val="en-US" w:eastAsia="zh-CN"/>
        </w:rPr>
        <w:t>30</w:t>
      </w:r>
      <w:r>
        <w:rPr>
          <w:rFonts w:hint="eastAsia" w:ascii="仿宋_GB2312" w:hAnsi="仿宋_GB2312" w:cs="仿宋_GB2312"/>
          <w:color w:val="auto"/>
          <w:sz w:val="32"/>
          <w:szCs w:val="32"/>
          <w:highlight w:val="none"/>
        </w:rPr>
        <w:t>分，得分率为</w:t>
      </w:r>
      <w:r>
        <w:rPr>
          <w:rFonts w:hint="eastAsia" w:ascii="仿宋_GB2312"/>
          <w:color w:val="auto"/>
          <w:sz w:val="32"/>
          <w:szCs w:val="32"/>
          <w:highlight w:val="none"/>
          <w:lang w:val="en-US" w:eastAsia="zh-CN"/>
        </w:rPr>
        <w:t>100</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具体各项指标得分如下</w:t>
      </w:r>
      <w:r>
        <w:rPr>
          <w:rFonts w:ascii="仿宋_GB2312" w:hAnsi="仿宋_GB2312" w:cs="仿宋_GB2312"/>
          <w:color w:val="auto"/>
          <w:sz w:val="32"/>
          <w:szCs w:val="32"/>
          <w:highlight w:val="none"/>
          <w:lang w:eastAsia="zh-Hans"/>
        </w:rPr>
        <w:t>：</w:t>
      </w:r>
    </w:p>
    <w:p>
      <w:pPr>
        <w:spacing w:line="600" w:lineRule="exact"/>
        <w:ind w:firstLineChars="0"/>
        <w:rPr>
          <w:rFonts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1. 产出数量</w:t>
      </w:r>
    </w:p>
    <w:p>
      <w:pPr>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“80周岁以上老年人基本生活补贴发放人数”指标</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预期指标值为“</w:t>
      </w:r>
      <w:r>
        <w:rPr>
          <w:rFonts w:hint="eastAsia" w:ascii="宋体" w:hAnsi="宋体" w:eastAsia="宋体" w:cs="仿宋_GB2312"/>
          <w:color w:val="auto"/>
          <w:sz w:val="32"/>
          <w:szCs w:val="32"/>
          <w:highlight w:val="none"/>
          <w:lang w:eastAsia="zh-Hans"/>
        </w:rPr>
        <w:t>&gt;=9100.00人</w:t>
      </w:r>
      <w:r>
        <w:rPr>
          <w:rFonts w:hint="eastAsia" w:ascii="仿宋_GB2312" w:hAnsi="仿宋_GB2312" w:cs="仿宋_GB2312"/>
          <w:color w:val="auto"/>
          <w:sz w:val="32"/>
          <w:szCs w:val="32"/>
          <w:highlight w:val="none"/>
          <w:lang w:eastAsia="zh-Hans"/>
        </w:rPr>
        <w:t>”，根据</w:t>
      </w:r>
      <w:r>
        <w:rPr>
          <w:rFonts w:hint="eastAsia" w:ascii="仿宋_GB2312" w:hAnsi="仿宋_GB2312" w:cs="仿宋_GB2312"/>
          <w:color w:val="auto"/>
          <w:sz w:val="32"/>
          <w:szCs w:val="32"/>
          <w:highlight w:val="none"/>
          <w:lang w:val="en-US" w:eastAsia="zh-CN"/>
        </w:rPr>
        <w:t>工作计划</w:t>
      </w:r>
      <w:r>
        <w:rPr>
          <w:rFonts w:hint="eastAsia" w:ascii="仿宋_GB2312" w:hAnsi="仿宋_GB2312" w:cs="仿宋_GB2312"/>
          <w:color w:val="auto"/>
          <w:sz w:val="32"/>
          <w:szCs w:val="32"/>
          <w:highlight w:val="none"/>
          <w:lang w:eastAsia="zh-Hans"/>
        </w:rPr>
        <w:t>可知，</w:t>
      </w:r>
      <w:r>
        <w:rPr>
          <w:rFonts w:hint="eastAsia" w:ascii="仿宋_GB2312" w:hAnsi="仿宋_GB2312" w:cs="仿宋_GB2312"/>
          <w:color w:val="auto"/>
          <w:sz w:val="32"/>
          <w:szCs w:val="32"/>
          <w:highlight w:val="none"/>
        </w:rPr>
        <w:t>实际</w:t>
      </w:r>
      <w:r>
        <w:rPr>
          <w:rFonts w:hint="eastAsia" w:ascii="仿宋_GB2312" w:hAnsi="仿宋_GB2312" w:cs="仿宋_GB2312"/>
          <w:color w:val="auto"/>
          <w:sz w:val="32"/>
          <w:szCs w:val="32"/>
          <w:highlight w:val="none"/>
          <w:lang w:eastAsia="zh-Hans"/>
        </w:rPr>
        <w:t>完成9762人</w:t>
      </w:r>
      <w:r>
        <w:rPr>
          <w:rFonts w:hint="eastAsia" w:ascii="仿宋_GB2312" w:hAnsi="仿宋_GB2312" w:cs="仿宋_GB2312"/>
          <w:color w:val="auto"/>
          <w:sz w:val="32"/>
          <w:szCs w:val="32"/>
          <w:highlight w:val="none"/>
        </w:rPr>
        <w:t>，与预期目标一致，根据评分标准，该指标</w:t>
      </w:r>
      <w:r>
        <w:rPr>
          <w:rFonts w:hint="eastAsia" w:ascii="仿宋_GB2312" w:hAnsi="仿宋_GB2312" w:cs="仿宋_GB2312"/>
          <w:color w:val="auto"/>
          <w:sz w:val="32"/>
          <w:szCs w:val="32"/>
          <w:highlight w:val="none"/>
          <w:lang w:val="en-US" w:eastAsia="zh-CN"/>
        </w:rPr>
        <w:t>8</w:t>
      </w:r>
      <w:r>
        <w:rPr>
          <w:rFonts w:hint="eastAsia" w:ascii="仿宋_GB2312" w:hAnsi="仿宋_GB2312" w:cs="仿宋_GB2312"/>
          <w:color w:val="auto"/>
          <w:sz w:val="32"/>
          <w:szCs w:val="32"/>
          <w:highlight w:val="none"/>
        </w:rPr>
        <w:t>分，得</w:t>
      </w:r>
      <w:r>
        <w:rPr>
          <w:rFonts w:hint="eastAsia" w:ascii="仿宋_GB2312" w:hAnsi="仿宋_GB2312" w:cs="仿宋_GB2312"/>
          <w:color w:val="auto"/>
          <w:sz w:val="32"/>
          <w:szCs w:val="32"/>
          <w:highlight w:val="none"/>
          <w:lang w:val="en-US" w:eastAsia="zh-CN"/>
        </w:rPr>
        <w:t>8</w:t>
      </w:r>
      <w:r>
        <w:rPr>
          <w:rFonts w:hint="eastAsia" w:ascii="仿宋_GB2312" w:hAnsi="仿宋_GB2312" w:cs="仿宋_GB2312"/>
          <w:color w:val="auto"/>
          <w:sz w:val="32"/>
          <w:szCs w:val="32"/>
          <w:highlight w:val="none"/>
        </w:rPr>
        <w:t>分。</w:t>
      </w:r>
    </w:p>
    <w:p>
      <w:pPr>
        <w:spacing w:line="600" w:lineRule="exact"/>
        <w:ind w:firstLine="643"/>
        <w:rPr>
          <w:rFonts w:ascii="仿宋_GB2312"/>
          <w:b/>
          <w:bCs/>
          <w:color w:val="auto"/>
          <w:sz w:val="32"/>
          <w:highlight w:val="none"/>
        </w:rPr>
      </w:pPr>
      <w:r>
        <w:rPr>
          <w:rFonts w:hint="eastAsia" w:ascii="仿宋_GB2312"/>
          <w:b/>
          <w:bCs/>
          <w:color w:val="auto"/>
          <w:sz w:val="32"/>
          <w:highlight w:val="none"/>
        </w:rPr>
        <w:t>2.产出质量</w:t>
      </w:r>
    </w:p>
    <w:p>
      <w:pPr>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rPr>
        <w:t>对昌吉市内高龄老年人补贴对象动态管理精准度</w:t>
      </w:r>
      <w:r>
        <w:rPr>
          <w:rFonts w:hint="eastAsia" w:ascii="仿宋_GB2312" w:hAnsi="仿宋_GB2312" w:cs="仿宋_GB2312"/>
          <w:color w:val="auto"/>
          <w:sz w:val="32"/>
          <w:szCs w:val="32"/>
          <w:highlight w:val="none"/>
          <w:lang w:eastAsia="zh-Hans"/>
        </w:rPr>
        <w:t>”指标</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预期指标值为“</w:t>
      </w:r>
      <w:r>
        <w:rPr>
          <w:rFonts w:hint="eastAsia" w:ascii="仿宋_GB2312" w:hAnsi="仿宋_GB2312" w:cs="仿宋_GB2312"/>
          <w:color w:val="auto"/>
          <w:sz w:val="32"/>
          <w:szCs w:val="32"/>
          <w:highlight w:val="none"/>
        </w:rPr>
        <w:t>100%</w:t>
      </w:r>
      <w:r>
        <w:rPr>
          <w:rFonts w:hint="eastAsia" w:ascii="仿宋_GB2312" w:hAnsi="仿宋_GB2312" w:cs="仿宋_GB2312"/>
          <w:color w:val="auto"/>
          <w:sz w:val="32"/>
          <w:szCs w:val="32"/>
          <w:highlight w:val="none"/>
          <w:lang w:eastAsia="zh-Hans"/>
        </w:rPr>
        <w:t>”，根据现证明指标完成值的资料可知</w:t>
      </w:r>
      <w:r>
        <w:rPr>
          <w:rFonts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val="en-US" w:eastAsia="zh-CN"/>
        </w:rPr>
        <w:t>精准度</w:t>
      </w:r>
      <w:r>
        <w:rPr>
          <w:rFonts w:hint="eastAsia" w:ascii="仿宋_GB2312" w:hAnsi="仿宋_GB2312" w:cs="仿宋_GB2312"/>
          <w:color w:val="auto"/>
          <w:sz w:val="32"/>
          <w:szCs w:val="32"/>
          <w:highlight w:val="none"/>
          <w:lang w:eastAsia="zh-Hans"/>
        </w:rPr>
        <w:t>达</w:t>
      </w:r>
      <w:r>
        <w:rPr>
          <w:rFonts w:ascii="仿宋_GB2312" w:hAnsi="仿宋_GB2312" w:cs="仿宋_GB2312"/>
          <w:color w:val="auto"/>
          <w:sz w:val="32"/>
          <w:szCs w:val="32"/>
          <w:highlight w:val="none"/>
          <w:lang w:eastAsia="zh-Hans"/>
        </w:rPr>
        <w:t>100%，</w:t>
      </w:r>
      <w:r>
        <w:rPr>
          <w:rFonts w:hint="eastAsia" w:ascii="仿宋_GB2312" w:hAnsi="仿宋_GB2312" w:cs="仿宋_GB2312"/>
          <w:color w:val="auto"/>
          <w:sz w:val="32"/>
          <w:szCs w:val="32"/>
          <w:highlight w:val="none"/>
        </w:rPr>
        <w:t>与预期目标一致，根据评分标准，该指标</w:t>
      </w:r>
      <w:r>
        <w:rPr>
          <w:rFonts w:hint="eastAsia" w:ascii="仿宋_GB2312" w:hAnsi="仿宋_GB2312" w:cs="仿宋_GB2312"/>
          <w:color w:val="auto"/>
          <w:sz w:val="32"/>
          <w:szCs w:val="32"/>
          <w:highlight w:val="none"/>
          <w:lang w:val="en-US" w:eastAsia="zh-CN"/>
        </w:rPr>
        <w:t>8</w:t>
      </w:r>
      <w:r>
        <w:rPr>
          <w:rFonts w:hint="eastAsia" w:ascii="仿宋_GB2312" w:hAnsi="仿宋_GB2312" w:cs="仿宋_GB2312"/>
          <w:color w:val="auto"/>
          <w:sz w:val="32"/>
          <w:szCs w:val="32"/>
          <w:highlight w:val="none"/>
        </w:rPr>
        <w:t>分，得</w:t>
      </w:r>
      <w:r>
        <w:rPr>
          <w:rFonts w:hint="eastAsia" w:ascii="仿宋_GB2312" w:hAnsi="仿宋_GB2312" w:cs="仿宋_GB2312"/>
          <w:color w:val="auto"/>
          <w:sz w:val="32"/>
          <w:szCs w:val="32"/>
          <w:highlight w:val="none"/>
          <w:lang w:val="en-US" w:eastAsia="zh-CN"/>
        </w:rPr>
        <w:t>8</w:t>
      </w:r>
      <w:r>
        <w:rPr>
          <w:rFonts w:hint="eastAsia" w:ascii="仿宋_GB2312" w:hAnsi="仿宋_GB2312" w:cs="仿宋_GB2312"/>
          <w:color w:val="auto"/>
          <w:sz w:val="32"/>
          <w:szCs w:val="32"/>
          <w:highlight w:val="none"/>
        </w:rPr>
        <w:t>分。</w:t>
      </w:r>
    </w:p>
    <w:p>
      <w:pPr>
        <w:pStyle w:val="6"/>
        <w:spacing w:before="0" w:after="0" w:line="600" w:lineRule="exact"/>
        <w:ind w:left="643" w:firstLine="0" w:firstLineChars="0"/>
        <w:jc w:val="both"/>
        <w:rPr>
          <w:rFonts w:ascii="仿宋_GB2312" w:cs="仿宋_GB2312"/>
          <w:bCs/>
          <w:color w:val="auto"/>
          <w:sz w:val="32"/>
          <w:szCs w:val="32"/>
          <w:highlight w:val="none"/>
        </w:rPr>
      </w:pPr>
      <w:r>
        <w:rPr>
          <w:rFonts w:hint="eastAsia" w:ascii="仿宋_GB2312" w:cs="仿宋_GB2312"/>
          <w:bCs/>
          <w:color w:val="auto"/>
          <w:sz w:val="32"/>
          <w:szCs w:val="32"/>
          <w:highlight w:val="none"/>
        </w:rPr>
        <w:t>3.产出时效</w:t>
      </w:r>
    </w:p>
    <w:p>
      <w:pPr>
        <w:pStyle w:val="6"/>
        <w:spacing w:before="0" w:after="0" w:line="600" w:lineRule="exact"/>
        <w:ind w:firstLine="640"/>
        <w:jc w:val="both"/>
        <w:rPr>
          <w:rFonts w:ascii="仿宋_GB2312" w:cs="仿宋_GB2312"/>
          <w:b w:val="0"/>
          <w:color w:val="auto"/>
          <w:sz w:val="32"/>
          <w:szCs w:val="32"/>
          <w:highlight w:val="none"/>
        </w:rPr>
      </w:pPr>
      <w:r>
        <w:rPr>
          <w:rFonts w:hint="eastAsia" w:ascii="仿宋_GB2312" w:cs="仿宋_GB2312"/>
          <w:b w:val="0"/>
          <w:color w:val="auto"/>
          <w:sz w:val="32"/>
          <w:szCs w:val="32"/>
          <w:highlight w:val="none"/>
          <w:lang w:eastAsia="zh-Hans"/>
        </w:rPr>
        <w:t>“</w:t>
      </w:r>
      <w:r>
        <w:rPr>
          <w:rFonts w:hint="eastAsia" w:ascii="仿宋_GB2312" w:cs="仿宋_GB2312"/>
          <w:b w:val="0"/>
          <w:color w:val="auto"/>
          <w:sz w:val="32"/>
          <w:szCs w:val="32"/>
          <w:highlight w:val="none"/>
        </w:rPr>
        <w:t>资金支付及时率</w:t>
      </w:r>
      <w:r>
        <w:rPr>
          <w:rFonts w:hint="eastAsia" w:ascii="仿宋_GB2312" w:cs="仿宋_GB2312"/>
          <w:b w:val="0"/>
          <w:color w:val="auto"/>
          <w:sz w:val="32"/>
          <w:szCs w:val="32"/>
          <w:highlight w:val="none"/>
          <w:lang w:eastAsia="zh-Hans"/>
        </w:rPr>
        <w:t>”</w:t>
      </w:r>
      <w:r>
        <w:rPr>
          <w:rFonts w:hint="eastAsia" w:ascii="仿宋_GB2312" w:hAnsi="仿宋_GB2312" w:cs="仿宋_GB2312"/>
          <w:b w:val="0"/>
          <w:color w:val="auto"/>
          <w:sz w:val="32"/>
          <w:szCs w:val="32"/>
          <w:highlight w:val="none"/>
          <w:lang w:eastAsia="zh-Hans"/>
        </w:rPr>
        <w:t>指标，预期指标值为</w:t>
      </w:r>
      <w:r>
        <w:rPr>
          <w:rFonts w:hint="eastAsia" w:ascii="仿宋_GB2312" w:cs="仿宋_GB2312"/>
          <w:b w:val="0"/>
          <w:color w:val="auto"/>
          <w:sz w:val="32"/>
          <w:szCs w:val="32"/>
          <w:highlight w:val="none"/>
          <w:lang w:eastAsia="zh-Hans"/>
        </w:rPr>
        <w:t>“</w:t>
      </w:r>
      <w:r>
        <w:rPr>
          <w:rFonts w:ascii="仿宋_GB2312" w:cs="仿宋_GB2312"/>
          <w:b w:val="0"/>
          <w:color w:val="auto"/>
          <w:sz w:val="32"/>
          <w:szCs w:val="32"/>
          <w:highlight w:val="none"/>
        </w:rPr>
        <w:t>100%</w:t>
      </w:r>
      <w:r>
        <w:rPr>
          <w:rFonts w:hint="eastAsia" w:ascii="仿宋_GB2312" w:cs="仿宋_GB2312"/>
          <w:b w:val="0"/>
          <w:color w:val="auto"/>
          <w:sz w:val="32"/>
          <w:szCs w:val="32"/>
          <w:highlight w:val="none"/>
          <w:lang w:eastAsia="zh-Hans"/>
        </w:rPr>
        <w:t>”</w:t>
      </w:r>
      <w:r>
        <w:rPr>
          <w:rFonts w:ascii="仿宋_GB2312" w:cs="仿宋_GB2312"/>
          <w:b w:val="0"/>
          <w:color w:val="auto"/>
          <w:sz w:val="32"/>
          <w:szCs w:val="32"/>
          <w:highlight w:val="none"/>
          <w:lang w:eastAsia="zh-Hans"/>
        </w:rPr>
        <w:t>；</w:t>
      </w:r>
      <w:r>
        <w:rPr>
          <w:rFonts w:hint="eastAsia" w:ascii="仿宋_GB2312" w:cs="仿宋_GB2312"/>
          <w:b w:val="0"/>
          <w:color w:val="auto"/>
          <w:sz w:val="32"/>
          <w:szCs w:val="32"/>
          <w:highlight w:val="none"/>
          <w:lang w:eastAsia="zh-Hans"/>
        </w:rPr>
        <w:t>根据资金支付凭证显示</w:t>
      </w:r>
      <w:r>
        <w:rPr>
          <w:rFonts w:ascii="仿宋_GB2312" w:cs="仿宋_GB2312"/>
          <w:b w:val="0"/>
          <w:color w:val="auto"/>
          <w:sz w:val="32"/>
          <w:szCs w:val="32"/>
          <w:highlight w:val="none"/>
          <w:lang w:eastAsia="zh-Hans"/>
        </w:rPr>
        <w:t>，</w:t>
      </w:r>
      <w:r>
        <w:rPr>
          <w:rFonts w:hint="eastAsia" w:ascii="仿宋_GB2312" w:cs="仿宋_GB2312"/>
          <w:b w:val="0"/>
          <w:color w:val="auto"/>
          <w:sz w:val="32"/>
          <w:szCs w:val="32"/>
          <w:highlight w:val="none"/>
          <w:lang w:eastAsia="zh-Hans"/>
        </w:rPr>
        <w:t>该项目于</w:t>
      </w:r>
      <w:r>
        <w:rPr>
          <w:rFonts w:hint="eastAsia" w:ascii="仿宋_GB2312" w:cs="仿宋_GB2312"/>
          <w:b w:val="0"/>
          <w:color w:val="auto"/>
          <w:sz w:val="32"/>
          <w:szCs w:val="32"/>
          <w:highlight w:val="none"/>
        </w:rPr>
        <w:t>2</w:t>
      </w:r>
      <w:r>
        <w:rPr>
          <w:rFonts w:ascii="仿宋_GB2312" w:cs="仿宋_GB2312"/>
          <w:b w:val="0"/>
          <w:color w:val="auto"/>
          <w:sz w:val="32"/>
          <w:szCs w:val="32"/>
          <w:highlight w:val="none"/>
        </w:rPr>
        <w:t>02</w:t>
      </w:r>
      <w:r>
        <w:rPr>
          <w:rFonts w:hint="eastAsia" w:ascii="仿宋_GB2312" w:cs="仿宋_GB2312"/>
          <w:b w:val="0"/>
          <w:color w:val="auto"/>
          <w:sz w:val="32"/>
          <w:szCs w:val="32"/>
          <w:highlight w:val="none"/>
          <w:lang w:val="en-US" w:eastAsia="zh-CN"/>
        </w:rPr>
        <w:t>2</w:t>
      </w:r>
      <w:r>
        <w:rPr>
          <w:rFonts w:hint="eastAsia" w:ascii="仿宋_GB2312" w:cs="仿宋_GB2312"/>
          <w:b w:val="0"/>
          <w:color w:val="auto"/>
          <w:sz w:val="32"/>
          <w:szCs w:val="32"/>
          <w:highlight w:val="none"/>
        </w:rPr>
        <w:t>年6月完成竣工验收，按合同约定，</w:t>
      </w:r>
      <w:r>
        <w:rPr>
          <w:rFonts w:hint="eastAsia" w:ascii="仿宋_GB2312" w:cs="仿宋_GB2312"/>
          <w:b w:val="0"/>
          <w:color w:val="auto"/>
          <w:sz w:val="32"/>
          <w:szCs w:val="32"/>
          <w:highlight w:val="none"/>
          <w:lang w:eastAsia="zh-Hans"/>
        </w:rPr>
        <w:t>资金已于</w:t>
      </w:r>
      <w:r>
        <w:rPr>
          <w:rFonts w:ascii="仿宋_GB2312" w:cs="仿宋_GB2312"/>
          <w:b w:val="0"/>
          <w:color w:val="auto"/>
          <w:sz w:val="32"/>
          <w:szCs w:val="32"/>
          <w:highlight w:val="none"/>
          <w:lang w:eastAsia="zh-Hans"/>
        </w:rPr>
        <w:t>202</w:t>
      </w:r>
      <w:r>
        <w:rPr>
          <w:rFonts w:hint="eastAsia" w:ascii="仿宋_GB2312" w:cs="仿宋_GB2312"/>
          <w:b w:val="0"/>
          <w:color w:val="auto"/>
          <w:sz w:val="32"/>
          <w:szCs w:val="32"/>
          <w:highlight w:val="none"/>
          <w:lang w:val="en-US" w:eastAsia="zh-CN"/>
        </w:rPr>
        <w:t>2</w:t>
      </w:r>
      <w:r>
        <w:rPr>
          <w:rFonts w:hint="eastAsia" w:ascii="仿宋_GB2312" w:cs="仿宋_GB2312"/>
          <w:b w:val="0"/>
          <w:color w:val="auto"/>
          <w:sz w:val="32"/>
          <w:szCs w:val="32"/>
          <w:highlight w:val="none"/>
          <w:lang w:eastAsia="zh-Hans"/>
        </w:rPr>
        <w:t>年</w:t>
      </w:r>
      <w:r>
        <w:rPr>
          <w:rFonts w:ascii="仿宋_GB2312" w:cs="仿宋_GB2312"/>
          <w:b w:val="0"/>
          <w:color w:val="auto"/>
          <w:sz w:val="32"/>
          <w:szCs w:val="32"/>
          <w:highlight w:val="none"/>
          <w:lang w:eastAsia="zh-Hans"/>
        </w:rPr>
        <w:t>9</w:t>
      </w:r>
      <w:r>
        <w:rPr>
          <w:rFonts w:hint="eastAsia" w:ascii="仿宋_GB2312" w:cs="仿宋_GB2312"/>
          <w:b w:val="0"/>
          <w:color w:val="auto"/>
          <w:sz w:val="32"/>
          <w:szCs w:val="32"/>
          <w:highlight w:val="none"/>
          <w:lang w:eastAsia="zh-Hans"/>
        </w:rPr>
        <w:t>月全部支付完毕</w:t>
      </w:r>
      <w:r>
        <w:rPr>
          <w:rFonts w:ascii="仿宋_GB2312" w:cs="仿宋_GB2312"/>
          <w:b w:val="0"/>
          <w:color w:val="auto"/>
          <w:sz w:val="32"/>
          <w:szCs w:val="32"/>
          <w:highlight w:val="none"/>
          <w:lang w:eastAsia="zh-Hans"/>
        </w:rPr>
        <w:t>，</w:t>
      </w:r>
      <w:r>
        <w:rPr>
          <w:rFonts w:hint="eastAsia" w:ascii="仿宋_GB2312" w:cs="仿宋_GB2312"/>
          <w:b w:val="0"/>
          <w:color w:val="auto"/>
          <w:sz w:val="32"/>
          <w:szCs w:val="32"/>
          <w:highlight w:val="none"/>
        </w:rPr>
        <w:t>与预期目标指标一</w:t>
      </w:r>
      <w:r>
        <w:rPr>
          <w:rFonts w:hint="eastAsia" w:ascii="仿宋_GB2312" w:cs="仿宋_GB2312"/>
          <w:b w:val="0"/>
          <w:bCs/>
          <w:color w:val="auto"/>
          <w:sz w:val="32"/>
          <w:szCs w:val="32"/>
          <w:highlight w:val="none"/>
        </w:rPr>
        <w:t>致</w:t>
      </w:r>
      <w:r>
        <w:rPr>
          <w:rFonts w:hint="eastAsia" w:ascii="仿宋_GB2312" w:cs="仿宋_GB2312"/>
          <w:b w:val="0"/>
          <w:color w:val="auto"/>
          <w:sz w:val="32"/>
          <w:szCs w:val="32"/>
          <w:highlight w:val="none"/>
        </w:rPr>
        <w:t>，根据评分标准，该指标</w:t>
      </w:r>
      <w:r>
        <w:rPr>
          <w:rFonts w:hint="eastAsia" w:ascii="仿宋_GB2312" w:cs="仿宋_GB2312"/>
          <w:b w:val="0"/>
          <w:color w:val="auto"/>
          <w:sz w:val="32"/>
          <w:szCs w:val="32"/>
          <w:highlight w:val="none"/>
          <w:lang w:val="en-US" w:eastAsia="zh-CN"/>
        </w:rPr>
        <w:t>6</w:t>
      </w:r>
      <w:r>
        <w:rPr>
          <w:rFonts w:hint="eastAsia" w:ascii="仿宋_GB2312" w:cs="仿宋_GB2312"/>
          <w:b w:val="0"/>
          <w:color w:val="auto"/>
          <w:sz w:val="32"/>
          <w:szCs w:val="32"/>
          <w:highlight w:val="none"/>
        </w:rPr>
        <w:t>分，得</w:t>
      </w:r>
      <w:r>
        <w:rPr>
          <w:rFonts w:hint="eastAsia" w:ascii="仿宋_GB2312" w:cs="仿宋_GB2312"/>
          <w:b w:val="0"/>
          <w:color w:val="auto"/>
          <w:sz w:val="32"/>
          <w:szCs w:val="32"/>
          <w:highlight w:val="none"/>
          <w:lang w:val="en-US" w:eastAsia="zh-CN"/>
        </w:rPr>
        <w:t>6</w:t>
      </w:r>
      <w:r>
        <w:rPr>
          <w:rFonts w:hint="eastAsia" w:ascii="仿宋_GB2312" w:cs="仿宋_GB2312"/>
          <w:b w:val="0"/>
          <w:color w:val="auto"/>
          <w:sz w:val="32"/>
          <w:szCs w:val="32"/>
          <w:highlight w:val="none"/>
        </w:rPr>
        <w:t>分。</w:t>
      </w:r>
    </w:p>
    <w:p>
      <w:pPr>
        <w:spacing w:line="600" w:lineRule="exact"/>
        <w:ind w:firstLine="643"/>
        <w:rPr>
          <w:rFonts w:ascii="仿宋_GB2312" w:cs="仿宋_GB2312"/>
          <w:b/>
          <w:bCs/>
          <w:color w:val="auto"/>
          <w:sz w:val="32"/>
          <w:szCs w:val="32"/>
          <w:highlight w:val="none"/>
        </w:rPr>
      </w:pPr>
      <w:r>
        <w:rPr>
          <w:rFonts w:hint="eastAsia" w:ascii="仿宋_GB2312" w:cs="仿宋_GB2312"/>
          <w:b/>
          <w:bCs/>
          <w:color w:val="auto"/>
          <w:sz w:val="32"/>
          <w:szCs w:val="32"/>
          <w:highlight w:val="none"/>
        </w:rPr>
        <w:t>4.产出成本</w:t>
      </w:r>
    </w:p>
    <w:p>
      <w:pPr>
        <w:spacing w:line="600" w:lineRule="exact"/>
        <w:ind w:firstLine="640"/>
        <w:rPr>
          <w:rFonts w:hint="eastAsia" w:ascii="仿宋_GB2312" w:cs="仿宋_GB2312"/>
          <w:color w:val="auto"/>
          <w:sz w:val="32"/>
          <w:szCs w:val="32"/>
          <w:highlight w:val="none"/>
        </w:rPr>
      </w:pPr>
      <w:r>
        <w:rPr>
          <w:rFonts w:hint="eastAsia" w:ascii="仿宋_GB2312" w:cs="仿宋_GB2312"/>
          <w:color w:val="auto"/>
          <w:sz w:val="32"/>
          <w:szCs w:val="32"/>
          <w:highlight w:val="none"/>
          <w:lang w:eastAsia="zh-Hans"/>
        </w:rPr>
        <w:t>“</w:t>
      </w:r>
      <w:r>
        <w:rPr>
          <w:rFonts w:hint="eastAsia" w:ascii="仿宋_GB2312" w:cs="仿宋_GB2312"/>
          <w:color w:val="auto"/>
          <w:sz w:val="32"/>
          <w:szCs w:val="32"/>
          <w:highlight w:val="none"/>
        </w:rPr>
        <w:t>80（含80）至89周岁老人津贴标准</w:t>
      </w:r>
      <w:r>
        <w:rPr>
          <w:rFonts w:hint="eastAsia" w:asci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指标，预期指标值为</w:t>
      </w:r>
      <w:r>
        <w:rPr>
          <w:rFonts w:hint="eastAsia" w:ascii="仿宋_GB2312" w:cs="仿宋_GB2312"/>
          <w:color w:val="auto"/>
          <w:sz w:val="32"/>
          <w:szCs w:val="32"/>
          <w:highlight w:val="none"/>
          <w:lang w:eastAsia="zh-Hans"/>
        </w:rPr>
        <w:t>“</w:t>
      </w:r>
      <w:r>
        <w:rPr>
          <w:rFonts w:hint="eastAsia" w:ascii="宋体" w:hAnsi="宋体" w:eastAsia="宋体" w:cs="Arial"/>
          <w:color w:val="auto"/>
          <w:sz w:val="32"/>
          <w:szCs w:val="32"/>
          <w:highlight w:val="none"/>
          <w:lang w:eastAsia="zh-Hans"/>
        </w:rPr>
        <w:t>=100.00元/人/月</w:t>
      </w:r>
      <w:r>
        <w:rPr>
          <w:rFonts w:hint="eastAsia" w:ascii="仿宋_GB2312" w:cs="仿宋_GB2312"/>
          <w:color w:val="auto"/>
          <w:sz w:val="32"/>
          <w:szCs w:val="32"/>
          <w:highlight w:val="none"/>
          <w:lang w:eastAsia="zh-Hans"/>
        </w:rPr>
        <w:t>”，根据项目合同和资金支付凭证显示</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lang w:eastAsia="zh-Hans"/>
        </w:rPr>
        <w:t>本</w:t>
      </w:r>
      <w:r>
        <w:rPr>
          <w:rFonts w:hint="eastAsia" w:ascii="仿宋_GB2312" w:cs="仿宋_GB2312"/>
          <w:color w:val="auto"/>
          <w:sz w:val="32"/>
          <w:szCs w:val="32"/>
          <w:highlight w:val="none"/>
        </w:rPr>
        <w:t>项目2</w:t>
      </w:r>
      <w:r>
        <w:rPr>
          <w:rFonts w:ascii="仿宋_GB2312" w:cs="仿宋_GB2312"/>
          <w:color w:val="auto"/>
          <w:sz w:val="32"/>
          <w:szCs w:val="32"/>
          <w:highlight w:val="none"/>
        </w:rPr>
        <w:t>02</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年</w:t>
      </w:r>
      <w:r>
        <w:rPr>
          <w:rFonts w:hint="eastAsia" w:ascii="仿宋_GB2312" w:cs="仿宋_GB2312"/>
          <w:color w:val="auto"/>
          <w:sz w:val="32"/>
          <w:szCs w:val="32"/>
          <w:highlight w:val="none"/>
          <w:lang w:val="en-US" w:eastAsia="zh-CN"/>
        </w:rPr>
        <w:t>标准</w:t>
      </w:r>
      <w:r>
        <w:rPr>
          <w:rFonts w:hint="eastAsia" w:ascii="仿宋_GB2312" w:cs="仿宋_GB2312"/>
          <w:color w:val="auto"/>
          <w:sz w:val="32"/>
          <w:szCs w:val="32"/>
          <w:highlight w:val="none"/>
        </w:rPr>
        <w:t>100元/人/月</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rPr>
        <w:t>根据评分标准，该指标</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分。</w:t>
      </w:r>
    </w:p>
    <w:p>
      <w:pPr>
        <w:spacing w:line="600" w:lineRule="exact"/>
        <w:ind w:firstLine="640"/>
        <w:rPr>
          <w:rFonts w:ascii="仿宋_GB2312" w:cs="仿宋_GB2312"/>
          <w:color w:val="auto"/>
          <w:sz w:val="32"/>
          <w:szCs w:val="32"/>
          <w:highlight w:val="none"/>
        </w:rPr>
      </w:pPr>
      <w:r>
        <w:rPr>
          <w:rFonts w:hint="eastAsia" w:ascii="仿宋_GB2312" w:cs="仿宋_GB2312"/>
          <w:color w:val="auto"/>
          <w:sz w:val="32"/>
          <w:szCs w:val="32"/>
          <w:highlight w:val="none"/>
          <w:lang w:eastAsia="zh-Hans"/>
        </w:rPr>
        <w:t>“</w:t>
      </w:r>
      <w:r>
        <w:rPr>
          <w:rFonts w:hint="eastAsia" w:ascii="仿宋_GB2312" w:cs="仿宋_GB2312"/>
          <w:color w:val="auto"/>
          <w:sz w:val="32"/>
          <w:szCs w:val="32"/>
          <w:highlight w:val="none"/>
        </w:rPr>
        <w:t>90（含90）至99周岁老人津贴标准</w:t>
      </w:r>
      <w:r>
        <w:rPr>
          <w:rFonts w:hint="eastAsia" w:asci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指标，预期指标值为</w:t>
      </w:r>
      <w:r>
        <w:rPr>
          <w:rFonts w:hint="eastAsia" w:ascii="仿宋_GB2312" w:cs="仿宋_GB2312"/>
          <w:color w:val="auto"/>
          <w:sz w:val="32"/>
          <w:szCs w:val="32"/>
          <w:highlight w:val="none"/>
          <w:lang w:eastAsia="zh-Hans"/>
        </w:rPr>
        <w:t>“</w:t>
      </w:r>
      <w:r>
        <w:rPr>
          <w:rFonts w:hint="eastAsia" w:ascii="宋体" w:hAnsi="宋体" w:eastAsia="宋体" w:cs="Arial"/>
          <w:color w:val="auto"/>
          <w:sz w:val="32"/>
          <w:szCs w:val="32"/>
          <w:highlight w:val="none"/>
          <w:lang w:eastAsia="zh-Hans"/>
        </w:rPr>
        <w:t>=200.00元/人/月</w:t>
      </w:r>
      <w:r>
        <w:rPr>
          <w:rFonts w:hint="eastAsia" w:ascii="仿宋_GB2312" w:cs="仿宋_GB2312"/>
          <w:color w:val="auto"/>
          <w:sz w:val="32"/>
          <w:szCs w:val="32"/>
          <w:highlight w:val="none"/>
          <w:lang w:eastAsia="zh-Hans"/>
        </w:rPr>
        <w:t>”，根据项目合同和资金支付凭证显示</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lang w:eastAsia="zh-Hans"/>
        </w:rPr>
        <w:t>本</w:t>
      </w:r>
      <w:r>
        <w:rPr>
          <w:rFonts w:hint="eastAsia" w:ascii="仿宋_GB2312" w:cs="仿宋_GB2312"/>
          <w:color w:val="auto"/>
          <w:sz w:val="32"/>
          <w:szCs w:val="32"/>
          <w:highlight w:val="none"/>
        </w:rPr>
        <w:t>项目2</w:t>
      </w:r>
      <w:r>
        <w:rPr>
          <w:rFonts w:ascii="仿宋_GB2312" w:cs="仿宋_GB2312"/>
          <w:color w:val="auto"/>
          <w:sz w:val="32"/>
          <w:szCs w:val="32"/>
          <w:highlight w:val="none"/>
        </w:rPr>
        <w:t>02</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年</w:t>
      </w:r>
      <w:r>
        <w:rPr>
          <w:rFonts w:hint="eastAsia" w:ascii="仿宋_GB2312" w:cs="仿宋_GB2312"/>
          <w:color w:val="auto"/>
          <w:sz w:val="32"/>
          <w:szCs w:val="32"/>
          <w:highlight w:val="none"/>
          <w:lang w:val="en-US" w:eastAsia="zh-CN"/>
        </w:rPr>
        <w:t>标准</w:t>
      </w:r>
      <w:r>
        <w:rPr>
          <w:rFonts w:hint="eastAsia" w:ascii="仿宋_GB2312" w:cs="仿宋_GB2312"/>
          <w:color w:val="auto"/>
          <w:sz w:val="32"/>
          <w:szCs w:val="32"/>
          <w:highlight w:val="none"/>
        </w:rPr>
        <w:t>200.00元/人/月</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rPr>
        <w:t>根据评分标准，该指标</w:t>
      </w:r>
      <w:r>
        <w:rPr>
          <w:rFonts w:hint="eastAsia" w:ascii="仿宋_GB2312" w:cs="仿宋_GB2312"/>
          <w:color w:val="auto"/>
          <w:sz w:val="32"/>
          <w:szCs w:val="32"/>
          <w:highlight w:val="none"/>
          <w:lang w:val="en-US" w:eastAsia="zh-CN"/>
        </w:rPr>
        <w:t>3</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3</w:t>
      </w:r>
      <w:r>
        <w:rPr>
          <w:rFonts w:hint="eastAsia" w:ascii="仿宋_GB2312" w:cs="仿宋_GB2312"/>
          <w:color w:val="auto"/>
          <w:sz w:val="32"/>
          <w:szCs w:val="32"/>
          <w:highlight w:val="none"/>
        </w:rPr>
        <w:t>分。</w:t>
      </w:r>
    </w:p>
    <w:p>
      <w:pPr>
        <w:spacing w:line="600" w:lineRule="exact"/>
        <w:ind w:firstLine="640"/>
        <w:rPr>
          <w:rFonts w:ascii="仿宋_GB2312" w:cs="仿宋_GB2312"/>
          <w:color w:val="auto"/>
          <w:sz w:val="32"/>
          <w:szCs w:val="32"/>
          <w:highlight w:val="none"/>
        </w:rPr>
      </w:pPr>
      <w:r>
        <w:rPr>
          <w:rFonts w:hint="eastAsia" w:ascii="仿宋_GB2312" w:cs="仿宋_GB2312"/>
          <w:color w:val="auto"/>
          <w:sz w:val="32"/>
          <w:szCs w:val="32"/>
          <w:highlight w:val="none"/>
          <w:lang w:eastAsia="zh-Hans"/>
        </w:rPr>
        <w:t>“</w:t>
      </w:r>
      <w:r>
        <w:rPr>
          <w:rFonts w:hint="eastAsia" w:ascii="仿宋_GB2312" w:cs="仿宋_GB2312"/>
          <w:color w:val="auto"/>
          <w:sz w:val="32"/>
          <w:szCs w:val="32"/>
          <w:highlight w:val="none"/>
        </w:rPr>
        <w:t>100周岁及以上老人津贴标准</w:t>
      </w:r>
      <w:r>
        <w:rPr>
          <w:rFonts w:hint="eastAsia" w:asci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指标，预期指标值为</w:t>
      </w:r>
      <w:r>
        <w:rPr>
          <w:rFonts w:hint="eastAsia" w:ascii="仿宋_GB2312" w:cs="仿宋_GB2312"/>
          <w:color w:val="auto"/>
          <w:sz w:val="32"/>
          <w:szCs w:val="32"/>
          <w:highlight w:val="none"/>
          <w:lang w:eastAsia="zh-Hans"/>
        </w:rPr>
        <w:t>“</w:t>
      </w:r>
      <w:r>
        <w:rPr>
          <w:rFonts w:hint="eastAsia" w:ascii="宋体" w:hAnsi="宋体" w:eastAsia="宋体" w:cs="Arial"/>
          <w:color w:val="auto"/>
          <w:sz w:val="32"/>
          <w:szCs w:val="32"/>
          <w:highlight w:val="none"/>
          <w:lang w:eastAsia="zh-Hans"/>
        </w:rPr>
        <w:t>=500.00元/人/月</w:t>
      </w:r>
      <w:r>
        <w:rPr>
          <w:rFonts w:hint="eastAsia" w:ascii="仿宋_GB2312" w:cs="仿宋_GB2312"/>
          <w:color w:val="auto"/>
          <w:sz w:val="32"/>
          <w:szCs w:val="32"/>
          <w:highlight w:val="none"/>
          <w:lang w:eastAsia="zh-Hans"/>
        </w:rPr>
        <w:t>”，根据项目合同和资金支付凭证显示</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lang w:eastAsia="zh-Hans"/>
        </w:rPr>
        <w:t>本</w:t>
      </w:r>
      <w:r>
        <w:rPr>
          <w:rFonts w:hint="eastAsia" w:ascii="仿宋_GB2312" w:cs="仿宋_GB2312"/>
          <w:color w:val="auto"/>
          <w:sz w:val="32"/>
          <w:szCs w:val="32"/>
          <w:highlight w:val="none"/>
        </w:rPr>
        <w:t>项目2</w:t>
      </w:r>
      <w:r>
        <w:rPr>
          <w:rFonts w:ascii="仿宋_GB2312" w:cs="仿宋_GB2312"/>
          <w:color w:val="auto"/>
          <w:sz w:val="32"/>
          <w:szCs w:val="32"/>
          <w:highlight w:val="none"/>
        </w:rPr>
        <w:t>02</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年</w:t>
      </w:r>
      <w:r>
        <w:rPr>
          <w:rFonts w:hint="eastAsia" w:ascii="仿宋_GB2312" w:cs="仿宋_GB2312"/>
          <w:color w:val="auto"/>
          <w:sz w:val="32"/>
          <w:szCs w:val="32"/>
          <w:highlight w:val="none"/>
          <w:lang w:val="en-US" w:eastAsia="zh-CN"/>
        </w:rPr>
        <w:t>标准</w:t>
      </w:r>
      <w:r>
        <w:rPr>
          <w:rFonts w:hint="eastAsia" w:ascii="仿宋_GB2312" w:cs="仿宋_GB2312"/>
          <w:color w:val="auto"/>
          <w:sz w:val="32"/>
          <w:szCs w:val="32"/>
          <w:highlight w:val="none"/>
        </w:rPr>
        <w:t>500.00元/人/月</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rPr>
        <w:t>根据评分标准，该指标</w:t>
      </w:r>
      <w:r>
        <w:rPr>
          <w:rFonts w:hint="eastAsia" w:ascii="仿宋_GB2312" w:cs="仿宋_GB2312"/>
          <w:color w:val="auto"/>
          <w:sz w:val="32"/>
          <w:szCs w:val="32"/>
          <w:highlight w:val="none"/>
          <w:lang w:val="en-US" w:eastAsia="zh-CN"/>
        </w:rPr>
        <w:t>3</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3</w:t>
      </w:r>
      <w:r>
        <w:rPr>
          <w:rFonts w:hint="eastAsia" w:ascii="仿宋_GB2312" w:cs="仿宋_GB2312"/>
          <w:color w:val="auto"/>
          <w:sz w:val="32"/>
          <w:szCs w:val="32"/>
          <w:highlight w:val="none"/>
        </w:rPr>
        <w:t>分。</w:t>
      </w:r>
    </w:p>
    <w:p>
      <w:pPr>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综上所述</w:t>
      </w:r>
      <w:r>
        <w:rPr>
          <w:rFonts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产出成本指标</w:t>
      </w:r>
      <w:r>
        <w:rPr>
          <w:rFonts w:hint="eastAsia" w:ascii="仿宋_GB2312" w:hAnsi="仿宋_GB2312" w:cs="仿宋_GB2312"/>
          <w:color w:val="auto"/>
          <w:sz w:val="32"/>
          <w:szCs w:val="32"/>
          <w:highlight w:val="none"/>
        </w:rPr>
        <w:t>合计得</w:t>
      </w:r>
      <w:r>
        <w:rPr>
          <w:rFonts w:hint="eastAsia" w:ascii="仿宋_GB2312"/>
          <w:color w:val="auto"/>
          <w:sz w:val="32"/>
          <w:szCs w:val="32"/>
          <w:highlight w:val="none"/>
          <w:lang w:val="en-US" w:eastAsia="zh-CN"/>
        </w:rPr>
        <w:t>8</w:t>
      </w:r>
      <w:r>
        <w:rPr>
          <w:rFonts w:hint="eastAsia" w:ascii="仿宋_GB2312" w:hAnsi="仿宋_GB2312" w:cs="仿宋_GB2312"/>
          <w:color w:val="auto"/>
          <w:sz w:val="32"/>
          <w:szCs w:val="32"/>
          <w:highlight w:val="none"/>
        </w:rPr>
        <w:t>分。</w:t>
      </w:r>
    </w:p>
    <w:p>
      <w:pPr>
        <w:pStyle w:val="4"/>
        <w:spacing w:line="600" w:lineRule="exact"/>
        <w:ind w:left="560" w:leftChars="200" w:firstLine="0" w:firstLineChars="0"/>
        <w:rPr>
          <w:rFonts w:ascii="楷体_GB2312" w:eastAsia="楷体_GB2312"/>
          <w:color w:val="auto"/>
          <w:szCs w:val="32"/>
          <w:highlight w:val="none"/>
        </w:rPr>
      </w:pPr>
      <w:r>
        <w:rPr>
          <w:rFonts w:hint="eastAsia" w:ascii="楷体_GB2312" w:eastAsia="楷体_GB2312"/>
          <w:color w:val="auto"/>
          <w:szCs w:val="32"/>
          <w:highlight w:val="none"/>
        </w:rPr>
        <w:t>（</w:t>
      </w:r>
      <w:r>
        <w:rPr>
          <w:rFonts w:hint="eastAsia" w:ascii="楷体_GB2312" w:eastAsia="楷体_GB2312"/>
          <w:color w:val="auto"/>
          <w:szCs w:val="32"/>
          <w:highlight w:val="none"/>
          <w:lang w:eastAsia="zh-Hans"/>
        </w:rPr>
        <w:t>四</w:t>
      </w:r>
      <w:r>
        <w:rPr>
          <w:rFonts w:hint="eastAsia" w:ascii="楷体_GB2312" w:eastAsia="楷体_GB2312"/>
          <w:color w:val="auto"/>
          <w:szCs w:val="32"/>
          <w:highlight w:val="none"/>
        </w:rPr>
        <w:t>）项目效益情况</w:t>
      </w:r>
    </w:p>
    <w:p>
      <w:pPr>
        <w:overflowPunct w:val="0"/>
        <w:spacing w:line="600" w:lineRule="exact"/>
        <w:ind w:firstLine="640"/>
        <w:contextualSpacing/>
        <w:rPr>
          <w:rFonts w:ascii="仿宋_GB2312" w:hAnsi="仿宋_GB2312" w:cs="仿宋_GB2312"/>
          <w:color w:val="auto"/>
          <w:sz w:val="32"/>
          <w:szCs w:val="32"/>
          <w:highlight w:val="none"/>
          <w:lang w:eastAsia="zh-Hans"/>
        </w:rPr>
      </w:pPr>
      <w:r>
        <w:rPr>
          <w:rFonts w:hint="eastAsia"/>
          <w:color w:val="auto"/>
          <w:sz w:val="32"/>
          <w:szCs w:val="32"/>
          <w:highlight w:val="none"/>
          <w:u w:color="000000"/>
          <w:lang w:val="zh-TW" w:eastAsia="zh-TW"/>
        </w:rPr>
        <w:t>项目</w:t>
      </w:r>
      <w:r>
        <w:rPr>
          <w:rFonts w:hint="eastAsia" w:ascii="仿宋_GB2312"/>
          <w:color w:val="auto"/>
          <w:sz w:val="32"/>
          <w:szCs w:val="32"/>
          <w:highlight w:val="none"/>
        </w:rPr>
        <w:t>效益</w:t>
      </w:r>
      <w:r>
        <w:rPr>
          <w:rFonts w:hint="eastAsia"/>
          <w:color w:val="auto"/>
          <w:sz w:val="32"/>
          <w:szCs w:val="32"/>
          <w:highlight w:val="none"/>
          <w:u w:color="000000"/>
          <w:lang w:val="zh-TW" w:eastAsia="zh-TW"/>
        </w:rPr>
        <w:t>类指标由</w:t>
      </w:r>
      <w:r>
        <w:rPr>
          <w:rFonts w:hint="eastAsia"/>
          <w:color w:val="auto"/>
          <w:sz w:val="32"/>
          <w:szCs w:val="32"/>
          <w:highlight w:val="none"/>
          <w:u w:color="000000"/>
        </w:rPr>
        <w:t>5</w:t>
      </w:r>
      <w:r>
        <w:rPr>
          <w:rFonts w:hint="eastAsia"/>
          <w:color w:val="auto"/>
          <w:sz w:val="32"/>
          <w:szCs w:val="32"/>
          <w:highlight w:val="none"/>
          <w:u w:color="000000"/>
          <w:lang w:val="zh-TW" w:eastAsia="zh-TW"/>
        </w:rPr>
        <w:t>个</w:t>
      </w:r>
      <w:r>
        <w:rPr>
          <w:rFonts w:hint="eastAsia"/>
          <w:color w:val="auto"/>
          <w:sz w:val="32"/>
          <w:szCs w:val="32"/>
          <w:highlight w:val="none"/>
          <w:u w:color="000000"/>
          <w:lang w:val="zh-TW"/>
        </w:rPr>
        <w:t>二</w:t>
      </w:r>
      <w:r>
        <w:rPr>
          <w:rFonts w:hint="eastAsia"/>
          <w:color w:val="auto"/>
          <w:sz w:val="32"/>
          <w:szCs w:val="32"/>
          <w:highlight w:val="none"/>
          <w:u w:color="000000"/>
          <w:lang w:val="zh-TW" w:eastAsia="zh-TW"/>
        </w:rPr>
        <w:t>级指标和</w:t>
      </w:r>
      <w:r>
        <w:rPr>
          <w:rFonts w:hint="eastAsia"/>
          <w:color w:val="auto"/>
          <w:sz w:val="32"/>
          <w:szCs w:val="32"/>
          <w:highlight w:val="none"/>
          <w:u w:color="000000"/>
        </w:rPr>
        <w:t>2</w:t>
      </w:r>
      <w:r>
        <w:rPr>
          <w:rFonts w:hint="eastAsia"/>
          <w:color w:val="auto"/>
          <w:sz w:val="32"/>
          <w:szCs w:val="32"/>
          <w:highlight w:val="none"/>
          <w:u w:color="000000"/>
          <w:lang w:val="zh-TW" w:eastAsia="zh-TW"/>
        </w:rPr>
        <w:t>个</w:t>
      </w:r>
      <w:r>
        <w:rPr>
          <w:rFonts w:hint="eastAsia"/>
          <w:color w:val="auto"/>
          <w:sz w:val="32"/>
          <w:szCs w:val="32"/>
          <w:highlight w:val="none"/>
          <w:u w:color="000000"/>
        </w:rPr>
        <w:t>三</w:t>
      </w:r>
      <w:r>
        <w:rPr>
          <w:rFonts w:hint="eastAsia"/>
          <w:color w:val="auto"/>
          <w:sz w:val="32"/>
          <w:szCs w:val="32"/>
          <w:highlight w:val="none"/>
          <w:u w:color="000000"/>
          <w:lang w:val="zh-TW" w:eastAsia="zh-TW"/>
        </w:rPr>
        <w:t>级指标构成，</w:t>
      </w:r>
      <w:r>
        <w:rPr>
          <w:rFonts w:hint="eastAsia" w:ascii="仿宋_GB2312" w:cs="仿宋_GB2312"/>
          <w:color w:val="auto"/>
          <w:sz w:val="32"/>
          <w:szCs w:val="32"/>
          <w:highlight w:val="none"/>
        </w:rPr>
        <w:t>权重分为</w:t>
      </w:r>
      <w:r>
        <w:rPr>
          <w:rFonts w:ascii="仿宋_GB2312" w:cs="仿宋_GB2312"/>
          <w:color w:val="auto"/>
          <w:sz w:val="32"/>
          <w:szCs w:val="32"/>
          <w:highlight w:val="none"/>
        </w:rPr>
        <w:t>30</w:t>
      </w:r>
      <w:r>
        <w:rPr>
          <w:rFonts w:hint="eastAsia" w:ascii="仿宋_GB2312" w:cs="仿宋_GB2312"/>
          <w:color w:val="auto"/>
          <w:sz w:val="32"/>
          <w:szCs w:val="32"/>
          <w:highlight w:val="none"/>
        </w:rPr>
        <w:t>分，</w:t>
      </w:r>
      <w:r>
        <w:rPr>
          <w:rFonts w:hint="eastAsia" w:ascii="仿宋_GB2312" w:hAnsi="仿宋_GB2312" w:cs="仿宋_GB2312"/>
          <w:color w:val="auto"/>
          <w:sz w:val="32"/>
          <w:szCs w:val="32"/>
          <w:highlight w:val="none"/>
          <w:lang w:eastAsia="zh-Hans"/>
        </w:rPr>
        <w:t>本项目</w:t>
      </w:r>
      <w:r>
        <w:rPr>
          <w:rFonts w:hint="eastAsia" w:ascii="仿宋_GB2312" w:hAnsi="仿宋_GB2312" w:cs="仿宋_GB2312"/>
          <w:color w:val="auto"/>
          <w:sz w:val="32"/>
          <w:szCs w:val="32"/>
          <w:highlight w:val="none"/>
        </w:rPr>
        <w:t>实际得</w:t>
      </w:r>
      <w:r>
        <w:rPr>
          <w:rFonts w:hint="eastAsia" w:ascii="仿宋_GB2312" w:hAnsi="仿宋_GB2312" w:cs="仿宋_GB2312"/>
          <w:color w:val="auto"/>
          <w:sz w:val="32"/>
          <w:szCs w:val="32"/>
          <w:highlight w:val="none"/>
        </w:rPr>
        <w:t>分</w:t>
      </w:r>
      <w:r>
        <w:rPr>
          <w:rFonts w:hint="eastAsia" w:ascii="仿宋_GB2312"/>
          <w:color w:val="auto"/>
          <w:sz w:val="32"/>
          <w:szCs w:val="32"/>
          <w:highlight w:val="none"/>
          <w:lang w:val="en-US" w:eastAsia="zh-CN"/>
        </w:rPr>
        <w:t>30</w:t>
      </w:r>
      <w:r>
        <w:rPr>
          <w:rFonts w:hint="eastAsia" w:ascii="仿宋_GB2312" w:hAnsi="仿宋_GB2312" w:cs="仿宋_GB2312"/>
          <w:color w:val="auto"/>
          <w:sz w:val="32"/>
          <w:szCs w:val="32"/>
          <w:highlight w:val="none"/>
        </w:rPr>
        <w:t>分，得分率为</w:t>
      </w:r>
      <w:r>
        <w:rPr>
          <w:rFonts w:hint="eastAsia" w:ascii="仿宋_GB2312"/>
          <w:color w:val="auto"/>
          <w:sz w:val="32"/>
          <w:szCs w:val="32"/>
          <w:highlight w:val="none"/>
          <w:lang w:val="en-US" w:eastAsia="zh-CN"/>
        </w:rPr>
        <w:t>100</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具体各项指标得分如下</w:t>
      </w:r>
      <w:r>
        <w:rPr>
          <w:rFonts w:ascii="仿宋_GB2312" w:hAnsi="仿宋_GB2312" w:cs="仿宋_GB2312"/>
          <w:color w:val="auto"/>
          <w:sz w:val="32"/>
          <w:szCs w:val="32"/>
          <w:highlight w:val="none"/>
          <w:lang w:eastAsia="zh-Hans"/>
        </w:rPr>
        <w:t>：</w:t>
      </w:r>
    </w:p>
    <w:p>
      <w:pPr>
        <w:overflowPunct w:val="0"/>
        <w:spacing w:line="600" w:lineRule="exact"/>
        <w:ind w:firstLine="643"/>
        <w:contextualSpacing/>
        <w:rPr>
          <w:rFonts w:ascii="仿宋_GB2312"/>
          <w:b/>
          <w:bCs/>
          <w:color w:val="auto"/>
          <w:sz w:val="32"/>
          <w:szCs w:val="32"/>
          <w:highlight w:val="none"/>
        </w:rPr>
      </w:pPr>
      <w:r>
        <w:rPr>
          <w:rFonts w:hint="eastAsia" w:ascii="仿宋_GB2312" w:cs="仿宋_GB2312"/>
          <w:b/>
          <w:bCs/>
          <w:color w:val="auto"/>
          <w:sz w:val="32"/>
          <w:szCs w:val="32"/>
          <w:highlight w:val="none"/>
        </w:rPr>
        <w:t>1.</w:t>
      </w:r>
      <w:r>
        <w:rPr>
          <w:rFonts w:hint="eastAsia" w:ascii="仿宋_GB2312"/>
          <w:b/>
          <w:bCs/>
          <w:color w:val="auto"/>
          <w:sz w:val="32"/>
          <w:szCs w:val="32"/>
          <w:highlight w:val="none"/>
        </w:rPr>
        <w:t>实施效益指标</w:t>
      </w:r>
    </w:p>
    <w:p>
      <w:pPr>
        <w:spacing w:line="600" w:lineRule="exact"/>
        <w:ind w:firstLine="643"/>
        <w:rPr>
          <w:rFonts w:ascii="仿宋_GB2312"/>
          <w:b/>
          <w:bCs/>
          <w:color w:val="auto"/>
          <w:sz w:val="32"/>
          <w:szCs w:val="32"/>
          <w:highlight w:val="none"/>
        </w:rPr>
      </w:pPr>
      <w:r>
        <w:rPr>
          <w:rFonts w:hint="eastAsia" w:ascii="仿宋_GB2312" w:hAnsi="仿宋_GB2312" w:cs="仿宋_GB2312"/>
          <w:b/>
          <w:bCs/>
          <w:color w:val="auto"/>
          <w:sz w:val="32"/>
          <w:highlight w:val="none"/>
        </w:rPr>
        <w:t>（1）</w:t>
      </w:r>
      <w:r>
        <w:rPr>
          <w:rFonts w:hint="eastAsia" w:ascii="仿宋_GB2312"/>
          <w:b/>
          <w:bCs/>
          <w:color w:val="auto"/>
          <w:sz w:val="32"/>
          <w:szCs w:val="32"/>
          <w:highlight w:val="none"/>
        </w:rPr>
        <w:t>社会效益指标</w:t>
      </w:r>
    </w:p>
    <w:p>
      <w:pPr>
        <w:spacing w:line="600" w:lineRule="exact"/>
        <w:ind w:firstLine="640"/>
        <w:rPr>
          <w:color w:val="auto"/>
          <w:highlight w:val="none"/>
        </w:rPr>
      </w:pPr>
      <w:r>
        <w:rPr>
          <w:rFonts w:hint="eastAsia" w:ascii="仿宋_GB2312"/>
          <w:color w:val="auto"/>
          <w:sz w:val="32"/>
          <w:szCs w:val="32"/>
          <w:highlight w:val="none"/>
          <w:lang w:eastAsia="zh-Hans"/>
        </w:rPr>
        <w:t>“</w:t>
      </w:r>
      <w:r>
        <w:rPr>
          <w:rFonts w:hint="eastAsia" w:ascii="仿宋_GB2312"/>
          <w:color w:val="auto"/>
          <w:sz w:val="32"/>
          <w:szCs w:val="32"/>
          <w:highlight w:val="none"/>
        </w:rPr>
        <w:t>提升80周岁以上高龄老人生活水平</w:t>
      </w:r>
      <w:r>
        <w:rPr>
          <w:rFonts w:hint="eastAsia" w:ascii="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指标，预期指标值为</w:t>
      </w:r>
      <w:r>
        <w:rPr>
          <w:rFonts w:hint="eastAsia" w:ascii="仿宋_GB2312"/>
          <w:color w:val="auto"/>
          <w:sz w:val="32"/>
          <w:szCs w:val="32"/>
          <w:highlight w:val="none"/>
          <w:lang w:eastAsia="zh-Hans"/>
        </w:rPr>
        <w:t>“逐步提升”</w:t>
      </w:r>
      <w:r>
        <w:rPr>
          <w:rFonts w:hint="eastAsia" w:ascii="仿宋_GB2312"/>
          <w:color w:val="auto"/>
          <w:sz w:val="32"/>
          <w:szCs w:val="32"/>
          <w:highlight w:val="none"/>
          <w:lang w:eastAsia="zh-Hans"/>
        </w:rPr>
        <w:t>，</w:t>
      </w:r>
      <w:r>
        <w:rPr>
          <w:rFonts w:hint="eastAsia"/>
          <w:color w:val="auto"/>
          <w:sz w:val="32"/>
          <w:szCs w:val="32"/>
          <w:highlight w:val="none"/>
        </w:rPr>
        <w:t>根据</w:t>
      </w:r>
      <w:r>
        <w:rPr>
          <w:rFonts w:hint="eastAsia" w:ascii="仿宋_GB2312"/>
          <w:color w:val="auto"/>
          <w:sz w:val="32"/>
          <w:szCs w:val="32"/>
          <w:highlight w:val="none"/>
          <w:lang w:eastAsia="zh-Hans"/>
        </w:rPr>
        <w:t>本单位年度考核情况</w:t>
      </w:r>
      <w:r>
        <w:rPr>
          <w:rFonts w:hint="eastAsia" w:ascii="仿宋_GB2312" w:hAnsi="仿宋_GB2312" w:cs="仿宋_GB2312"/>
          <w:color w:val="auto"/>
          <w:sz w:val="32"/>
          <w:szCs w:val="32"/>
          <w:highlight w:val="none"/>
          <w:lang w:eastAsia="zh-Hans"/>
        </w:rPr>
        <w:t>（</w:t>
      </w:r>
      <w:r>
        <w:rPr>
          <w:rFonts w:hint="eastAsia"/>
          <w:color w:val="auto"/>
          <w:sz w:val="32"/>
          <w:szCs w:val="32"/>
          <w:highlight w:val="none"/>
        </w:rPr>
        <w:t>可知，实际完成值为</w:t>
      </w:r>
      <w:r>
        <w:rPr>
          <w:rFonts w:hint="eastAsia" w:ascii="仿宋_GB2312"/>
          <w:color w:val="auto"/>
          <w:sz w:val="32"/>
          <w:szCs w:val="32"/>
          <w:highlight w:val="none"/>
          <w:lang w:eastAsia="zh-Hans"/>
        </w:rPr>
        <w:t>“好”</w:t>
      </w:r>
      <w:r>
        <w:rPr>
          <w:rFonts w:ascii="仿宋_GB2312"/>
          <w:color w:val="auto"/>
          <w:sz w:val="32"/>
          <w:szCs w:val="32"/>
          <w:highlight w:val="none"/>
        </w:rPr>
        <w:t>，</w:t>
      </w:r>
      <w:r>
        <w:rPr>
          <w:rFonts w:hint="eastAsia" w:ascii="仿宋_GB2312"/>
          <w:color w:val="auto"/>
          <w:sz w:val="32"/>
          <w:szCs w:val="32"/>
          <w:highlight w:val="none"/>
        </w:rPr>
        <w:t>根据评分标准，该指标</w:t>
      </w:r>
      <w:r>
        <w:rPr>
          <w:rFonts w:hint="eastAsia" w:ascii="仿宋_GB2312"/>
          <w:color w:val="auto"/>
          <w:sz w:val="32"/>
          <w:szCs w:val="32"/>
          <w:highlight w:val="none"/>
          <w:lang w:val="en-US" w:eastAsia="zh-CN"/>
        </w:rPr>
        <w:t>10</w:t>
      </w:r>
      <w:r>
        <w:rPr>
          <w:rFonts w:hint="eastAsia" w:ascii="仿宋_GB2312"/>
          <w:color w:val="auto"/>
          <w:sz w:val="32"/>
          <w:szCs w:val="32"/>
          <w:highlight w:val="none"/>
        </w:rPr>
        <w:t>分，得</w:t>
      </w:r>
      <w:r>
        <w:rPr>
          <w:rFonts w:hint="eastAsia" w:ascii="仿宋_GB2312"/>
          <w:color w:val="auto"/>
          <w:sz w:val="32"/>
          <w:szCs w:val="32"/>
          <w:highlight w:val="none"/>
          <w:lang w:val="en-US" w:eastAsia="zh-CN"/>
        </w:rPr>
        <w:t>10</w:t>
      </w:r>
      <w:r>
        <w:rPr>
          <w:rFonts w:hint="eastAsia" w:ascii="仿宋_GB2312"/>
          <w:color w:val="auto"/>
          <w:sz w:val="32"/>
          <w:szCs w:val="32"/>
          <w:highlight w:val="none"/>
        </w:rPr>
        <w:t>分。</w:t>
      </w:r>
    </w:p>
    <w:p>
      <w:pPr>
        <w:spacing w:line="600" w:lineRule="exact"/>
        <w:ind w:firstLine="643"/>
        <w:rPr>
          <w:rFonts w:ascii="仿宋_GB2312"/>
          <w:b/>
          <w:bCs/>
          <w:color w:val="auto"/>
          <w:sz w:val="32"/>
          <w:szCs w:val="32"/>
          <w:highlight w:val="none"/>
        </w:rPr>
      </w:pPr>
      <w:r>
        <w:rPr>
          <w:rFonts w:hint="eastAsia" w:ascii="仿宋_GB2312" w:hAnsi="仿宋_GB2312" w:cs="仿宋_GB2312"/>
          <w:b/>
          <w:bCs/>
          <w:color w:val="auto"/>
          <w:sz w:val="32"/>
          <w:highlight w:val="none"/>
        </w:rPr>
        <w:t>（2）</w:t>
      </w:r>
      <w:r>
        <w:rPr>
          <w:rFonts w:hint="eastAsia" w:ascii="仿宋_GB2312"/>
          <w:b/>
          <w:bCs/>
          <w:color w:val="auto"/>
          <w:sz w:val="32"/>
          <w:szCs w:val="32"/>
          <w:highlight w:val="none"/>
        </w:rPr>
        <w:t>可持续影响指标</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lang w:eastAsia="zh-Hans"/>
        </w:rPr>
        <w:t>“</w:t>
      </w:r>
      <w:r>
        <w:rPr>
          <w:rFonts w:hint="eastAsia" w:ascii="仿宋_GB2312"/>
          <w:color w:val="auto"/>
          <w:sz w:val="32"/>
          <w:szCs w:val="32"/>
          <w:highlight w:val="none"/>
        </w:rPr>
        <w:t>保障80周岁以上高龄老人基本生活质量</w:t>
      </w:r>
      <w:r>
        <w:rPr>
          <w:rFonts w:hint="eastAsia" w:ascii="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指标，预期指标值为</w:t>
      </w:r>
      <w:r>
        <w:rPr>
          <w:rFonts w:hint="eastAsia" w:ascii="仿宋_GB2312"/>
          <w:color w:val="auto"/>
          <w:sz w:val="32"/>
          <w:szCs w:val="32"/>
          <w:highlight w:val="none"/>
          <w:lang w:eastAsia="zh-Hans"/>
        </w:rPr>
        <w:t>“长期”，</w:t>
      </w:r>
      <w:r>
        <w:rPr>
          <w:rFonts w:hint="eastAsia" w:ascii="仿宋_GB2312"/>
          <w:color w:val="auto"/>
          <w:sz w:val="32"/>
          <w:szCs w:val="32"/>
          <w:highlight w:val="none"/>
          <w:lang w:val="en-US" w:eastAsia="zh-CN"/>
        </w:rPr>
        <w:t>根据效果分析长期提升</w:t>
      </w:r>
      <w:r>
        <w:rPr>
          <w:rFonts w:hint="eastAsia" w:ascii="仿宋_GB2312"/>
          <w:color w:val="auto"/>
          <w:sz w:val="32"/>
          <w:szCs w:val="32"/>
          <w:highlight w:val="none"/>
          <w:lang w:eastAsia="zh-Hans"/>
        </w:rPr>
        <w:t>，</w:t>
      </w:r>
      <w:r>
        <w:rPr>
          <w:rFonts w:ascii="仿宋_GB2312"/>
          <w:color w:val="auto"/>
          <w:sz w:val="32"/>
          <w:szCs w:val="32"/>
          <w:highlight w:val="none"/>
        </w:rPr>
        <w:t>与预期指标</w:t>
      </w:r>
      <w:r>
        <w:rPr>
          <w:rFonts w:hint="eastAsia" w:ascii="仿宋_GB2312" w:cs="仿宋_GB2312"/>
          <w:color w:val="auto"/>
          <w:sz w:val="32"/>
          <w:szCs w:val="32"/>
          <w:highlight w:val="none"/>
        </w:rPr>
        <w:t>一致</w:t>
      </w:r>
      <w:r>
        <w:rPr>
          <w:rFonts w:ascii="仿宋_GB2312"/>
          <w:color w:val="auto"/>
          <w:sz w:val="32"/>
          <w:szCs w:val="32"/>
          <w:highlight w:val="none"/>
        </w:rPr>
        <w:t>，</w:t>
      </w:r>
      <w:r>
        <w:rPr>
          <w:rFonts w:hint="eastAsia" w:ascii="仿宋_GB2312"/>
          <w:color w:val="auto"/>
          <w:sz w:val="32"/>
          <w:szCs w:val="32"/>
          <w:highlight w:val="none"/>
        </w:rPr>
        <w:t>根据评分标准，该指标</w:t>
      </w:r>
      <w:r>
        <w:rPr>
          <w:rFonts w:ascii="仿宋_GB2312"/>
          <w:color w:val="auto"/>
          <w:sz w:val="32"/>
          <w:szCs w:val="32"/>
          <w:highlight w:val="none"/>
        </w:rPr>
        <w:t>10</w:t>
      </w:r>
      <w:r>
        <w:rPr>
          <w:rFonts w:hint="eastAsia" w:ascii="仿宋_GB2312"/>
          <w:color w:val="auto"/>
          <w:sz w:val="32"/>
          <w:szCs w:val="32"/>
          <w:highlight w:val="none"/>
        </w:rPr>
        <w:t>分，得10分。</w:t>
      </w:r>
    </w:p>
    <w:p>
      <w:pPr>
        <w:spacing w:line="600" w:lineRule="exact"/>
        <w:ind w:firstLine="643"/>
        <w:rPr>
          <w:rFonts w:ascii="仿宋_GB2312"/>
          <w:b/>
          <w:bCs/>
          <w:color w:val="auto"/>
          <w:sz w:val="32"/>
          <w:szCs w:val="32"/>
          <w:highlight w:val="none"/>
        </w:rPr>
      </w:pPr>
      <w:r>
        <w:rPr>
          <w:rFonts w:hint="eastAsia" w:ascii="仿宋_GB2312" w:hAnsi="仿宋_GB2312" w:cs="仿宋_GB2312"/>
          <w:b/>
          <w:bCs/>
          <w:color w:val="auto"/>
          <w:sz w:val="32"/>
          <w:highlight w:val="none"/>
        </w:rPr>
        <w:t>（3）</w:t>
      </w:r>
      <w:r>
        <w:rPr>
          <w:rFonts w:hint="eastAsia" w:ascii="仿宋_GB2312"/>
          <w:b/>
          <w:bCs/>
          <w:color w:val="auto"/>
          <w:sz w:val="32"/>
          <w:szCs w:val="32"/>
          <w:highlight w:val="none"/>
        </w:rPr>
        <w:t>经济效益指标</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本项目无</w:t>
      </w:r>
      <w:r>
        <w:rPr>
          <w:rFonts w:hint="eastAsia" w:ascii="仿宋_GB2312"/>
          <w:color w:val="auto"/>
          <w:sz w:val="32"/>
          <w:szCs w:val="32"/>
          <w:highlight w:val="none"/>
          <w:lang w:eastAsia="zh-Hans"/>
        </w:rPr>
        <w:t>该项</w:t>
      </w:r>
      <w:r>
        <w:rPr>
          <w:rFonts w:hint="eastAsia" w:ascii="仿宋_GB2312"/>
          <w:color w:val="auto"/>
          <w:sz w:val="32"/>
          <w:szCs w:val="32"/>
          <w:highlight w:val="none"/>
        </w:rPr>
        <w:t>指标。</w:t>
      </w:r>
    </w:p>
    <w:p>
      <w:pPr>
        <w:spacing w:line="600" w:lineRule="exact"/>
        <w:ind w:firstLine="643"/>
        <w:rPr>
          <w:rFonts w:ascii="仿宋_GB2312"/>
          <w:b/>
          <w:bCs/>
          <w:color w:val="auto"/>
          <w:sz w:val="32"/>
          <w:szCs w:val="32"/>
          <w:highlight w:val="none"/>
        </w:rPr>
      </w:pPr>
      <w:r>
        <w:rPr>
          <w:rFonts w:hint="eastAsia" w:ascii="仿宋_GB2312" w:hAnsi="仿宋_GB2312" w:cs="仿宋_GB2312"/>
          <w:b/>
          <w:bCs/>
          <w:color w:val="auto"/>
          <w:sz w:val="32"/>
          <w:highlight w:val="none"/>
        </w:rPr>
        <w:t>（4）</w:t>
      </w:r>
      <w:r>
        <w:rPr>
          <w:rFonts w:hint="eastAsia" w:ascii="仿宋_GB2312"/>
          <w:b/>
          <w:bCs/>
          <w:color w:val="auto"/>
          <w:sz w:val="32"/>
          <w:szCs w:val="32"/>
          <w:highlight w:val="none"/>
        </w:rPr>
        <w:t>生态效益指标</w:t>
      </w:r>
    </w:p>
    <w:p>
      <w:pPr>
        <w:spacing w:line="600" w:lineRule="exact"/>
        <w:ind w:firstLine="640"/>
        <w:rPr>
          <w:rFonts w:ascii="仿宋_GB2312"/>
          <w:b/>
          <w:color w:val="auto"/>
          <w:sz w:val="32"/>
          <w:szCs w:val="32"/>
          <w:highlight w:val="none"/>
        </w:rPr>
      </w:pPr>
      <w:r>
        <w:rPr>
          <w:rFonts w:hint="eastAsia" w:ascii="仿宋_GB2312"/>
          <w:color w:val="auto"/>
          <w:sz w:val="32"/>
          <w:szCs w:val="32"/>
          <w:highlight w:val="none"/>
        </w:rPr>
        <w:t>本项目无</w:t>
      </w:r>
      <w:r>
        <w:rPr>
          <w:rFonts w:hint="eastAsia" w:ascii="仿宋_GB2312"/>
          <w:color w:val="auto"/>
          <w:sz w:val="32"/>
          <w:szCs w:val="32"/>
          <w:highlight w:val="none"/>
          <w:lang w:eastAsia="zh-Hans"/>
        </w:rPr>
        <w:t>该项</w:t>
      </w:r>
      <w:r>
        <w:rPr>
          <w:rFonts w:hint="eastAsia" w:ascii="仿宋_GB2312"/>
          <w:color w:val="auto"/>
          <w:sz w:val="32"/>
          <w:szCs w:val="32"/>
          <w:highlight w:val="none"/>
        </w:rPr>
        <w:t>指标。</w:t>
      </w:r>
    </w:p>
    <w:p>
      <w:pPr>
        <w:spacing w:line="600" w:lineRule="exact"/>
        <w:ind w:firstLine="643"/>
        <w:rPr>
          <w:rFonts w:ascii="仿宋_GB2312"/>
          <w:b/>
          <w:bCs/>
          <w:color w:val="auto"/>
          <w:sz w:val="32"/>
          <w:szCs w:val="32"/>
          <w:highlight w:val="none"/>
        </w:rPr>
      </w:pPr>
      <w:r>
        <w:rPr>
          <w:rFonts w:hint="eastAsia" w:ascii="仿宋_GB2312" w:cs="仿宋_GB2312"/>
          <w:b/>
          <w:bCs/>
          <w:color w:val="auto"/>
          <w:sz w:val="32"/>
          <w:szCs w:val="32"/>
          <w:highlight w:val="none"/>
        </w:rPr>
        <w:t>2.</w:t>
      </w:r>
      <w:r>
        <w:rPr>
          <w:rFonts w:hint="eastAsia" w:ascii="仿宋_GB2312"/>
          <w:b/>
          <w:bCs/>
          <w:color w:val="auto"/>
          <w:sz w:val="32"/>
          <w:szCs w:val="32"/>
          <w:highlight w:val="none"/>
        </w:rPr>
        <w:t>满意度指标</w:t>
      </w:r>
    </w:p>
    <w:p>
      <w:pPr>
        <w:pStyle w:val="20"/>
        <w:spacing w:line="600" w:lineRule="exact"/>
        <w:ind w:firstLine="640"/>
        <w:rPr>
          <w:rFonts w:ascii="仿宋_GB2312" w:cs="仿宋_GB2312"/>
          <w:color w:val="auto"/>
          <w:kern w:val="2"/>
          <w:sz w:val="32"/>
          <w:szCs w:val="32"/>
          <w:highlight w:val="none"/>
        </w:rPr>
      </w:pPr>
      <w:bookmarkStart w:id="16" w:name="_Toc1921"/>
      <w:bookmarkStart w:id="17" w:name="_Toc28290"/>
      <w:r>
        <w:rPr>
          <w:rFonts w:hint="eastAsia" w:ascii="仿宋_GB2312" w:cs="仿宋_GB2312"/>
          <w:color w:val="auto"/>
          <w:kern w:val="2"/>
          <w:sz w:val="32"/>
          <w:szCs w:val="32"/>
          <w:highlight w:val="none"/>
        </w:rPr>
        <w:t>“</w:t>
      </w:r>
      <w:r>
        <w:rPr>
          <w:rFonts w:hint="eastAsia" w:ascii="仿宋_GB2312"/>
          <w:bCs/>
          <w:color w:val="auto"/>
          <w:spacing w:val="-4"/>
          <w:sz w:val="32"/>
          <w:szCs w:val="32"/>
          <w:highlight w:val="none"/>
        </w:rPr>
        <w:t>老年人满意度</w:t>
      </w:r>
      <w:r>
        <w:rPr>
          <w:rFonts w:hint="eastAsia" w:ascii="仿宋_GB2312" w:cs="仿宋_GB2312"/>
          <w:color w:val="auto"/>
          <w:kern w:val="2"/>
          <w:sz w:val="32"/>
          <w:szCs w:val="32"/>
          <w:highlight w:val="none"/>
          <w:lang w:eastAsia="zh-Hans"/>
        </w:rPr>
        <w:t>”</w:t>
      </w:r>
      <w:r>
        <w:rPr>
          <w:rFonts w:hint="eastAsia" w:ascii="仿宋_GB2312" w:hAnsi="仿宋_GB2312" w:cs="仿宋_GB2312"/>
          <w:color w:val="auto"/>
          <w:kern w:val="2"/>
          <w:sz w:val="32"/>
          <w:szCs w:val="32"/>
          <w:highlight w:val="none"/>
          <w:lang w:eastAsia="zh-Hans"/>
        </w:rPr>
        <w:t>指标，预期指标值为</w:t>
      </w:r>
      <w:r>
        <w:rPr>
          <w:rFonts w:hint="eastAsia" w:ascii="仿宋_GB2312" w:cs="仿宋_GB2312"/>
          <w:color w:val="auto"/>
          <w:kern w:val="2"/>
          <w:sz w:val="32"/>
          <w:szCs w:val="32"/>
          <w:highlight w:val="none"/>
          <w:lang w:eastAsia="zh-Hans"/>
        </w:rPr>
        <w:t>“</w:t>
      </w:r>
      <w:r>
        <w:rPr>
          <w:rFonts w:hint="eastAsia" w:ascii="宋体" w:hAnsi="宋体" w:eastAsia="宋体" w:cs="仿宋_GB2312"/>
          <w:color w:val="auto"/>
          <w:kern w:val="2"/>
          <w:sz w:val="32"/>
          <w:szCs w:val="32"/>
          <w:highlight w:val="none"/>
          <w:lang w:eastAsia="zh-Hans"/>
        </w:rPr>
        <w:t>≥</w:t>
      </w:r>
      <w:r>
        <w:rPr>
          <w:rFonts w:ascii="仿宋_GB2312" w:cs="仿宋_GB2312"/>
          <w:color w:val="auto"/>
          <w:kern w:val="2"/>
          <w:sz w:val="32"/>
          <w:szCs w:val="32"/>
          <w:highlight w:val="none"/>
          <w:lang w:eastAsia="zh-Hans"/>
        </w:rPr>
        <w:t>9</w:t>
      </w:r>
      <w:r>
        <w:rPr>
          <w:rFonts w:hint="eastAsia" w:ascii="仿宋_GB2312" w:cs="仿宋_GB2312"/>
          <w:color w:val="auto"/>
          <w:kern w:val="2"/>
          <w:sz w:val="32"/>
          <w:szCs w:val="32"/>
          <w:highlight w:val="none"/>
          <w:lang w:val="en-US" w:eastAsia="zh-CN"/>
        </w:rPr>
        <w:t>0</w:t>
      </w:r>
      <w:r>
        <w:rPr>
          <w:rFonts w:ascii="仿宋_GB2312" w:cs="仿宋_GB2312"/>
          <w:color w:val="auto"/>
          <w:kern w:val="2"/>
          <w:sz w:val="32"/>
          <w:szCs w:val="32"/>
          <w:highlight w:val="none"/>
          <w:lang w:eastAsia="zh-Hans"/>
        </w:rPr>
        <w:t>%</w:t>
      </w:r>
      <w:r>
        <w:rPr>
          <w:rFonts w:hint="eastAsia" w:ascii="仿宋_GB2312" w:cs="仿宋_GB2312"/>
          <w:color w:val="auto"/>
          <w:kern w:val="2"/>
          <w:sz w:val="32"/>
          <w:szCs w:val="32"/>
          <w:highlight w:val="none"/>
          <w:lang w:eastAsia="zh-Hans"/>
        </w:rPr>
        <w:t>”，根据对</w:t>
      </w:r>
      <w:r>
        <w:rPr>
          <w:rFonts w:hint="eastAsia" w:ascii="仿宋_GB2312" w:cs="仿宋_GB2312"/>
          <w:color w:val="auto"/>
          <w:kern w:val="2"/>
          <w:sz w:val="32"/>
          <w:szCs w:val="32"/>
          <w:highlight w:val="none"/>
          <w:lang w:val="en-US" w:eastAsia="zh-CN"/>
        </w:rPr>
        <w:t>高龄老人</w:t>
      </w:r>
      <w:r>
        <w:rPr>
          <w:rFonts w:hint="eastAsia" w:ascii="仿宋_GB2312" w:cs="仿宋_GB2312"/>
          <w:color w:val="auto"/>
          <w:kern w:val="2"/>
          <w:sz w:val="32"/>
          <w:szCs w:val="32"/>
          <w:highlight w:val="none"/>
          <w:lang w:eastAsia="zh-Hans"/>
        </w:rPr>
        <w:t>进行满意度问卷调查的结果可知</w:t>
      </w:r>
      <w:r>
        <w:rPr>
          <w:rFonts w:ascii="仿宋_GB2312" w:cs="仿宋_GB2312"/>
          <w:color w:val="auto"/>
          <w:kern w:val="2"/>
          <w:sz w:val="32"/>
          <w:szCs w:val="32"/>
          <w:highlight w:val="none"/>
          <w:lang w:eastAsia="zh-Hans"/>
        </w:rPr>
        <w:t>，</w:t>
      </w:r>
      <w:r>
        <w:rPr>
          <w:rFonts w:hint="eastAsia" w:ascii="仿宋_GB2312" w:cs="仿宋_GB2312"/>
          <w:color w:val="auto"/>
          <w:kern w:val="2"/>
          <w:sz w:val="32"/>
          <w:szCs w:val="32"/>
          <w:highlight w:val="none"/>
          <w:lang w:val="en-US" w:eastAsia="zh-CN"/>
        </w:rPr>
        <w:t>高龄</w:t>
      </w:r>
      <w:bookmarkStart w:id="19" w:name="_GoBack"/>
      <w:bookmarkEnd w:id="19"/>
      <w:r>
        <w:rPr>
          <w:rFonts w:hint="eastAsia" w:ascii="仿宋_GB2312" w:cs="仿宋_GB2312"/>
          <w:color w:val="auto"/>
          <w:kern w:val="2"/>
          <w:sz w:val="32"/>
          <w:szCs w:val="32"/>
          <w:highlight w:val="none"/>
          <w:lang w:val="en-US" w:eastAsia="zh-CN"/>
        </w:rPr>
        <w:t>老人</w:t>
      </w:r>
      <w:r>
        <w:rPr>
          <w:rFonts w:hint="eastAsia" w:ascii="仿宋_GB2312" w:cs="仿宋_GB2312"/>
          <w:color w:val="auto"/>
          <w:kern w:val="2"/>
          <w:sz w:val="32"/>
          <w:szCs w:val="32"/>
          <w:highlight w:val="none"/>
          <w:lang w:eastAsia="zh-Hans"/>
        </w:rPr>
        <w:t>满意度达</w:t>
      </w:r>
      <w:r>
        <w:rPr>
          <w:rFonts w:hint="eastAsia" w:ascii="仿宋_GB2312" w:cs="仿宋_GB2312"/>
          <w:color w:val="auto"/>
          <w:kern w:val="2"/>
          <w:sz w:val="32"/>
          <w:szCs w:val="32"/>
          <w:highlight w:val="none"/>
          <w:lang w:val="en-US" w:eastAsia="zh-CN"/>
        </w:rPr>
        <w:t>90</w:t>
      </w:r>
      <w:r>
        <w:rPr>
          <w:rFonts w:ascii="仿宋_GB2312" w:cs="仿宋_GB2312"/>
          <w:color w:val="auto"/>
          <w:kern w:val="2"/>
          <w:sz w:val="32"/>
          <w:szCs w:val="32"/>
          <w:highlight w:val="none"/>
          <w:lang w:eastAsia="zh-Hans"/>
        </w:rPr>
        <w:t>%</w:t>
      </w:r>
      <w:r>
        <w:rPr>
          <w:rFonts w:hint="eastAsia" w:ascii="仿宋_GB2312" w:cs="仿宋_GB2312"/>
          <w:color w:val="auto"/>
          <w:kern w:val="2"/>
          <w:sz w:val="32"/>
          <w:szCs w:val="32"/>
          <w:highlight w:val="none"/>
          <w:lang w:eastAsia="zh-Hans"/>
        </w:rPr>
        <w:t>，</w:t>
      </w:r>
      <w:r>
        <w:rPr>
          <w:rFonts w:hint="eastAsia" w:ascii="仿宋_GB2312" w:cs="仿宋_GB2312"/>
          <w:color w:val="auto"/>
          <w:kern w:val="2"/>
          <w:sz w:val="32"/>
          <w:szCs w:val="32"/>
          <w:highlight w:val="none"/>
        </w:rPr>
        <w:t>根据评分标准，该指标</w:t>
      </w:r>
      <w:r>
        <w:rPr>
          <w:rFonts w:ascii="仿宋_GB2312" w:cs="仿宋_GB2312"/>
          <w:color w:val="auto"/>
          <w:kern w:val="2"/>
          <w:sz w:val="32"/>
          <w:szCs w:val="32"/>
          <w:highlight w:val="none"/>
        </w:rPr>
        <w:t>10</w:t>
      </w:r>
      <w:r>
        <w:rPr>
          <w:rFonts w:hint="eastAsia" w:ascii="仿宋_GB2312" w:cs="仿宋_GB2312"/>
          <w:color w:val="auto"/>
          <w:kern w:val="2"/>
          <w:sz w:val="32"/>
          <w:szCs w:val="32"/>
          <w:highlight w:val="none"/>
        </w:rPr>
        <w:t>分,得10分。</w:t>
      </w:r>
    </w:p>
    <w:p>
      <w:pPr>
        <w:pStyle w:val="3"/>
        <w:spacing w:line="600" w:lineRule="exact"/>
        <w:ind w:firstLine="640"/>
        <w:rPr>
          <w:color w:val="auto"/>
          <w:szCs w:val="32"/>
          <w:highlight w:val="none"/>
        </w:rPr>
      </w:pPr>
      <w:r>
        <w:rPr>
          <w:rFonts w:hint="eastAsia"/>
          <w:color w:val="auto"/>
          <w:szCs w:val="32"/>
          <w:highlight w:val="none"/>
        </w:rPr>
        <w:t>五、预算执行进度与绩效指标偏差情况</w:t>
      </w:r>
    </w:p>
    <w:p>
      <w:pPr>
        <w:pStyle w:val="4"/>
        <w:numPr>
          <w:ilvl w:val="0"/>
          <w:numId w:val="6"/>
        </w:numPr>
        <w:spacing w:line="600" w:lineRule="exact"/>
        <w:ind w:firstLine="643"/>
        <w:rPr>
          <w:rFonts w:ascii="楷体_GB2312" w:eastAsia="楷体_GB2312"/>
          <w:color w:val="auto"/>
          <w:szCs w:val="32"/>
          <w:highlight w:val="none"/>
          <w:lang w:eastAsia="zh-Hans"/>
        </w:rPr>
      </w:pPr>
      <w:r>
        <w:rPr>
          <w:rFonts w:hint="eastAsia" w:ascii="楷体_GB2312" w:eastAsia="楷体_GB2312"/>
          <w:color w:val="auto"/>
          <w:szCs w:val="32"/>
          <w:highlight w:val="none"/>
          <w:lang w:eastAsia="zh-Hans"/>
        </w:rPr>
        <w:t>预算执行进度</w:t>
      </w:r>
    </w:p>
    <w:p>
      <w:pPr>
        <w:pStyle w:val="20"/>
        <w:spacing w:line="600" w:lineRule="exact"/>
        <w:ind w:firstLine="640"/>
        <w:rPr>
          <w:rFonts w:ascii="仿宋_GB2312"/>
          <w:color w:val="auto"/>
          <w:sz w:val="32"/>
          <w:szCs w:val="32"/>
          <w:highlight w:val="none"/>
          <w:lang w:eastAsia="zh-Hans"/>
        </w:rPr>
      </w:pPr>
      <w:r>
        <w:rPr>
          <w:rFonts w:hint="eastAsia"/>
          <w:color w:val="auto"/>
          <w:sz w:val="32"/>
          <w:szCs w:val="32"/>
          <w:highlight w:val="none"/>
        </w:rPr>
        <w:t>昌吉市民政局</w:t>
      </w:r>
      <w:r>
        <w:rPr>
          <w:rFonts w:hint="eastAsia"/>
          <w:color w:val="auto"/>
          <w:sz w:val="32"/>
          <w:szCs w:val="32"/>
          <w:highlight w:val="none"/>
          <w:lang w:eastAsia="zh-CN"/>
        </w:rPr>
        <w:t>2022年自治区彩票公益金资助80岁以上老年人基本生活津贴和免费体检项目（高龄津贴）</w:t>
      </w:r>
      <w:r>
        <w:rPr>
          <w:rFonts w:hint="eastAsia" w:ascii="仿宋_GB2312"/>
          <w:color w:val="auto"/>
          <w:sz w:val="32"/>
          <w:szCs w:val="32"/>
          <w:highlight w:val="none"/>
          <w:lang w:eastAsia="zh-Hans"/>
        </w:rPr>
        <w:t>项目预算金额</w:t>
      </w:r>
      <w:r>
        <w:rPr>
          <w:rFonts w:hint="eastAsia"/>
          <w:color w:val="auto"/>
          <w:sz w:val="32"/>
          <w:szCs w:val="32"/>
          <w:highlight w:val="none"/>
        </w:rPr>
        <w:t>317.9965</w:t>
      </w:r>
      <w:r>
        <w:rPr>
          <w:rFonts w:hint="eastAsia"/>
          <w:color w:val="auto"/>
          <w:szCs w:val="32"/>
          <w:highlight w:val="none"/>
          <w:u w:color="000000"/>
          <w:lang w:val="zh-TW" w:eastAsia="zh-TW"/>
        </w:rPr>
        <w:t>万元</w:t>
      </w:r>
      <w:r>
        <w:rPr>
          <w:rFonts w:hint="eastAsia" w:ascii="仿宋_GB2312"/>
          <w:color w:val="auto"/>
          <w:sz w:val="32"/>
          <w:szCs w:val="32"/>
          <w:highlight w:val="none"/>
          <w:lang w:eastAsia="zh-Hans"/>
        </w:rPr>
        <w:t>，实际到位</w:t>
      </w:r>
      <w:r>
        <w:rPr>
          <w:rFonts w:hint="eastAsia"/>
          <w:color w:val="auto"/>
          <w:sz w:val="32"/>
          <w:szCs w:val="32"/>
          <w:highlight w:val="none"/>
        </w:rPr>
        <w:t>317.9965</w:t>
      </w:r>
      <w:r>
        <w:rPr>
          <w:rFonts w:hint="eastAsia"/>
          <w:color w:val="auto"/>
          <w:szCs w:val="32"/>
          <w:highlight w:val="none"/>
          <w:u w:color="000000"/>
          <w:lang w:val="zh-TW" w:eastAsia="zh-TW"/>
        </w:rPr>
        <w:t>万元</w:t>
      </w:r>
      <w:r>
        <w:rPr>
          <w:rFonts w:hint="eastAsia" w:ascii="仿宋_GB2312"/>
          <w:color w:val="auto"/>
          <w:sz w:val="32"/>
          <w:szCs w:val="32"/>
          <w:highlight w:val="none"/>
          <w:lang w:eastAsia="zh-Hans"/>
        </w:rPr>
        <w:t>，实际支出</w:t>
      </w:r>
      <w:r>
        <w:rPr>
          <w:rFonts w:hint="eastAsia"/>
          <w:color w:val="auto"/>
          <w:sz w:val="32"/>
          <w:szCs w:val="32"/>
          <w:highlight w:val="none"/>
        </w:rPr>
        <w:t>317.9965</w:t>
      </w:r>
      <w:r>
        <w:rPr>
          <w:rFonts w:hint="eastAsia"/>
          <w:color w:val="auto"/>
          <w:szCs w:val="32"/>
          <w:highlight w:val="none"/>
          <w:u w:color="000000"/>
          <w:lang w:val="zh-TW" w:eastAsia="zh-TW"/>
        </w:rPr>
        <w:t>万元</w:t>
      </w:r>
      <w:r>
        <w:rPr>
          <w:rFonts w:hint="eastAsia" w:ascii="仿宋_GB2312"/>
          <w:color w:val="auto"/>
          <w:sz w:val="32"/>
          <w:szCs w:val="32"/>
          <w:highlight w:val="none"/>
          <w:lang w:eastAsia="zh-Hans"/>
        </w:rPr>
        <w:t>，预算执行率为</w:t>
      </w:r>
      <w:r>
        <w:rPr>
          <w:rFonts w:ascii="仿宋_GB2312"/>
          <w:color w:val="auto"/>
          <w:sz w:val="32"/>
          <w:szCs w:val="32"/>
          <w:highlight w:val="none"/>
        </w:rPr>
        <w:t>100</w:t>
      </w:r>
      <w:r>
        <w:rPr>
          <w:rFonts w:hint="eastAsia" w:ascii="仿宋_GB2312"/>
          <w:color w:val="auto"/>
          <w:sz w:val="32"/>
          <w:szCs w:val="32"/>
          <w:highlight w:val="none"/>
          <w:lang w:eastAsia="zh-Hans"/>
        </w:rPr>
        <w:t>%。</w:t>
      </w:r>
    </w:p>
    <w:p>
      <w:pPr>
        <w:pStyle w:val="4"/>
        <w:numPr>
          <w:ilvl w:val="0"/>
          <w:numId w:val="6"/>
        </w:numPr>
        <w:spacing w:line="600" w:lineRule="exact"/>
        <w:ind w:firstLine="643"/>
        <w:rPr>
          <w:rFonts w:ascii="楷体_GB2312" w:eastAsia="楷体_GB2312"/>
          <w:color w:val="auto"/>
          <w:szCs w:val="32"/>
          <w:highlight w:val="none"/>
          <w:lang w:eastAsia="zh-Hans"/>
        </w:rPr>
      </w:pPr>
      <w:r>
        <w:rPr>
          <w:rFonts w:hint="eastAsia" w:ascii="楷体_GB2312" w:eastAsia="楷体_GB2312"/>
          <w:color w:val="auto"/>
          <w:szCs w:val="32"/>
          <w:highlight w:val="none"/>
          <w:lang w:eastAsia="zh-Hans"/>
        </w:rPr>
        <w:t>绩效指标偏差情况</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202</w:t>
      </w:r>
      <w:r>
        <w:rPr>
          <w:rFonts w:hint="eastAsia" w:ascii="仿宋_GB2312"/>
          <w:color w:val="auto"/>
          <w:sz w:val="32"/>
          <w:szCs w:val="32"/>
          <w:highlight w:val="none"/>
          <w:lang w:val="en-US" w:eastAsia="zh-CN"/>
        </w:rPr>
        <w:t>2</w:t>
      </w:r>
      <w:r>
        <w:rPr>
          <w:rFonts w:hint="eastAsia" w:ascii="仿宋_GB2312"/>
          <w:color w:val="auto"/>
          <w:sz w:val="32"/>
          <w:szCs w:val="32"/>
          <w:highlight w:val="none"/>
        </w:rPr>
        <w:t>年本单位负责实施的</w:t>
      </w:r>
      <w:r>
        <w:rPr>
          <w:rFonts w:hint="eastAsia"/>
          <w:color w:val="auto"/>
          <w:sz w:val="32"/>
          <w:szCs w:val="32"/>
          <w:highlight w:val="none"/>
        </w:rPr>
        <w:t>昌吉市民政局</w:t>
      </w:r>
      <w:r>
        <w:rPr>
          <w:rFonts w:hint="eastAsia"/>
          <w:color w:val="auto"/>
          <w:sz w:val="32"/>
          <w:szCs w:val="32"/>
          <w:highlight w:val="none"/>
          <w:lang w:eastAsia="zh-CN"/>
        </w:rPr>
        <w:t>2022年自治区彩票公益金资助80岁以上老年人基本生活津贴和免费体检项目（高龄津贴）</w:t>
      </w:r>
      <w:r>
        <w:rPr>
          <w:rFonts w:hint="eastAsia" w:ascii="仿宋_GB2312"/>
          <w:color w:val="auto"/>
          <w:sz w:val="32"/>
          <w:szCs w:val="32"/>
          <w:highlight w:val="none"/>
          <w:lang w:eastAsia="zh-Hans"/>
        </w:rPr>
        <w:t>项目</w:t>
      </w:r>
      <w:r>
        <w:rPr>
          <w:rFonts w:hint="eastAsia" w:ascii="仿宋_GB2312"/>
          <w:color w:val="auto"/>
          <w:sz w:val="32"/>
          <w:szCs w:val="32"/>
          <w:highlight w:val="none"/>
        </w:rPr>
        <w:t>的绩效目标及指标已经全部达成，不存在偏差情况。</w:t>
      </w:r>
    </w:p>
    <w:bookmarkEnd w:id="16"/>
    <w:bookmarkEnd w:id="17"/>
    <w:p>
      <w:pPr>
        <w:pStyle w:val="3"/>
        <w:spacing w:line="600" w:lineRule="exact"/>
        <w:ind w:firstLine="640"/>
        <w:rPr>
          <w:color w:val="auto"/>
          <w:szCs w:val="32"/>
          <w:highlight w:val="none"/>
        </w:rPr>
      </w:pPr>
      <w:r>
        <w:rPr>
          <w:rFonts w:hint="eastAsia"/>
          <w:color w:val="auto"/>
          <w:szCs w:val="32"/>
          <w:highlight w:val="none"/>
        </w:rPr>
        <w:t>六、主要经验及做法</w:t>
      </w:r>
      <w:r>
        <w:rPr>
          <w:color w:val="auto"/>
          <w:szCs w:val="32"/>
          <w:highlight w:val="none"/>
        </w:rPr>
        <w:t>、</w:t>
      </w:r>
      <w:r>
        <w:rPr>
          <w:rFonts w:hint="eastAsia"/>
          <w:color w:val="auto"/>
          <w:szCs w:val="32"/>
          <w:highlight w:val="none"/>
        </w:rPr>
        <w:t>存在的问题及原因分析</w:t>
      </w:r>
    </w:p>
    <w:p>
      <w:pPr>
        <w:pStyle w:val="22"/>
        <w:spacing w:before="0" w:after="0" w:line="600" w:lineRule="exact"/>
        <w:ind w:left="560"/>
        <w:rPr>
          <w:rFonts w:ascii="仿宋_GB2312" w:hAnsi="仿宋_GB2312" w:cs="仿宋_GB2312"/>
          <w:color w:val="auto"/>
          <w:sz w:val="32"/>
          <w:highlight w:val="none"/>
        </w:rPr>
      </w:pPr>
      <w:r>
        <w:rPr>
          <w:rFonts w:hint="eastAsia" w:ascii="仿宋_GB2312" w:hAnsi="仿宋_GB2312" w:cs="仿宋_GB2312"/>
          <w:color w:val="auto"/>
          <w:sz w:val="32"/>
          <w:highlight w:val="none"/>
        </w:rPr>
        <w:t>（一）主要经验及做法</w:t>
      </w:r>
    </w:p>
    <w:p>
      <w:pPr>
        <w:ind w:firstLine="640"/>
        <w:rPr>
          <w:color w:val="auto"/>
          <w:sz w:val="32"/>
          <w:szCs w:val="32"/>
          <w:highlight w:val="none"/>
        </w:rPr>
      </w:pPr>
      <w:bookmarkStart w:id="18" w:name="_Toc68364674"/>
      <w:r>
        <w:rPr>
          <w:rFonts w:hint="eastAsia"/>
          <w:color w:val="auto"/>
          <w:sz w:val="32"/>
          <w:szCs w:val="32"/>
          <w:highlight w:val="none"/>
        </w:rPr>
        <w:t>按时完成汇总辖区内各乡镇街道上报的高龄老人享受人员的数字，督促各乡镇街道负责人及时录入财政“一卡通”系统，对接财政局及时向银行拨钱，并落实补助资金打卡到位。与卫健委对接，并拨钱给卫健委，对80岁以上老人进行免费体检。</w:t>
      </w:r>
    </w:p>
    <w:p>
      <w:pPr>
        <w:pStyle w:val="22"/>
        <w:spacing w:before="0" w:after="0" w:line="600" w:lineRule="exact"/>
        <w:ind w:left="560"/>
        <w:rPr>
          <w:rFonts w:ascii="仿宋_GB2312" w:hAnsi="仿宋_GB2312" w:cs="仿宋_GB2312"/>
          <w:color w:val="auto"/>
          <w:sz w:val="32"/>
          <w:highlight w:val="none"/>
        </w:rPr>
      </w:pPr>
      <w:r>
        <w:rPr>
          <w:rFonts w:hint="eastAsia" w:ascii="仿宋_GB2312" w:hAnsi="仿宋_GB2312" w:cs="仿宋_GB2312"/>
          <w:color w:val="auto"/>
          <w:sz w:val="32"/>
          <w:highlight w:val="none"/>
        </w:rPr>
        <w:t>（二）存在问题及原因分析</w:t>
      </w:r>
      <w:bookmarkEnd w:id="18"/>
    </w:p>
    <w:p>
      <w:pPr>
        <w:ind w:firstLine="640"/>
        <w:rPr>
          <w:rFonts w:ascii="黑体" w:hAnsi="黑体" w:eastAsia="黑体"/>
          <w:color w:val="auto"/>
          <w:sz w:val="32"/>
          <w:szCs w:val="32"/>
          <w:highlight w:val="none"/>
        </w:rPr>
      </w:pPr>
      <w:r>
        <w:rPr>
          <w:rFonts w:hint="eastAsia" w:ascii="黑体" w:hAnsi="黑体" w:eastAsia="黑体"/>
          <w:color w:val="auto"/>
          <w:sz w:val="32"/>
          <w:szCs w:val="32"/>
          <w:highlight w:val="none"/>
        </w:rPr>
        <w:t>无</w:t>
      </w:r>
    </w:p>
    <w:p>
      <w:pPr>
        <w:pStyle w:val="3"/>
        <w:spacing w:line="600" w:lineRule="exact"/>
        <w:ind w:firstLine="640"/>
        <w:rPr>
          <w:color w:val="auto"/>
          <w:szCs w:val="32"/>
          <w:highlight w:val="none"/>
        </w:rPr>
      </w:pPr>
      <w:r>
        <w:rPr>
          <w:rFonts w:hint="eastAsia"/>
          <w:color w:val="auto"/>
          <w:szCs w:val="32"/>
          <w:highlight w:val="none"/>
        </w:rPr>
        <w:t>七、</w:t>
      </w:r>
      <w:r>
        <w:rPr>
          <w:rFonts w:hint="eastAsia"/>
          <w:color w:val="auto"/>
          <w:szCs w:val="32"/>
          <w:highlight w:val="none"/>
          <w:lang w:eastAsia="zh-Hans"/>
        </w:rPr>
        <w:t>有关建议</w:t>
      </w:r>
    </w:p>
    <w:p>
      <w:pPr>
        <w:ind w:firstLine="640"/>
        <w:rPr>
          <w:rFonts w:hint="eastAsia"/>
          <w:color w:val="auto"/>
          <w:sz w:val="32"/>
          <w:szCs w:val="32"/>
          <w:highlight w:val="none"/>
        </w:rPr>
      </w:pPr>
      <w:r>
        <w:rPr>
          <w:rFonts w:hint="eastAsia"/>
          <w:color w:val="auto"/>
          <w:sz w:val="32"/>
          <w:szCs w:val="32"/>
          <w:highlight w:val="none"/>
        </w:rPr>
        <w:t>建议财政局直接将各乡镇街道申请高龄津贴资金拨付至乡镇街道财政所，并由各乡镇街道自行组织打卡发放。</w:t>
      </w:r>
    </w:p>
    <w:p>
      <w:pPr>
        <w:pStyle w:val="3"/>
        <w:spacing w:line="600" w:lineRule="exact"/>
        <w:ind w:firstLine="640"/>
        <w:rPr>
          <w:color w:val="auto"/>
          <w:szCs w:val="32"/>
          <w:highlight w:val="none"/>
        </w:rPr>
      </w:pPr>
      <w:r>
        <w:rPr>
          <w:rFonts w:hint="eastAsia"/>
          <w:color w:val="auto"/>
          <w:szCs w:val="32"/>
          <w:highlight w:val="none"/>
        </w:rPr>
        <w:t>八、其他需要说明的问题</w:t>
      </w:r>
    </w:p>
    <w:p>
      <w:pPr>
        <w:ind w:firstLine="624"/>
        <w:rPr>
          <w:color w:val="auto"/>
          <w:spacing w:val="-4"/>
          <w:sz w:val="32"/>
          <w:szCs w:val="32"/>
          <w:highlight w:val="none"/>
        </w:rPr>
      </w:pPr>
      <w:r>
        <w:rPr>
          <w:rFonts w:hint="eastAsia"/>
          <w:color w:val="auto"/>
          <w:spacing w:val="-4"/>
          <w:sz w:val="32"/>
          <w:szCs w:val="32"/>
          <w:highlight w:val="none"/>
        </w:rPr>
        <w:t>无其他说明内容。</w:t>
      </w:r>
    </w:p>
    <w:p>
      <w:pPr>
        <w:pStyle w:val="20"/>
        <w:spacing w:line="600" w:lineRule="exact"/>
        <w:ind w:firstLine="624"/>
        <w:rPr>
          <w:rFonts w:ascii="仿宋_GB2312"/>
          <w:color w:val="auto"/>
          <w:sz w:val="32"/>
          <w:szCs w:val="32"/>
          <w:highlight w:val="none"/>
        </w:rPr>
      </w:pP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0000600000000000000"/>
    <w:charset w:val="86"/>
    <w:family w:val="script"/>
    <w:pitch w:val="default"/>
    <w:sig w:usb0="800002BF" w:usb1="184F6CF8" w:usb2="00000012" w:usb3="00000000" w:csb0="00160001" w:csb1="1203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Segoe UI Symbol">
    <w:panose1 w:val="020B0502040204020203"/>
    <w:charset w:val="00"/>
    <w:family w:val="swiss"/>
    <w:pitch w:val="default"/>
    <w:sig w:usb0="800001E3" w:usb1="1200FFEF" w:usb2="00040000" w:usb3="04000000" w:csb0="00000001" w:csb1="4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4">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166511E"/>
    <w:multiLevelType w:val="singleLevel"/>
    <w:tmpl w:val="4166511E"/>
    <w:lvl w:ilvl="0" w:tentative="0">
      <w:start w:val="1"/>
      <w:numFmt w:val="chineseCounting"/>
      <w:suff w:val="nothing"/>
      <w:lvlText w:val="（%1）"/>
      <w:lvlJc w:val="left"/>
      <w:rPr>
        <w:rFonts w:hint="eastAsia"/>
      </w:rPr>
    </w:lvl>
  </w:abstractNum>
  <w:num w:numId="1">
    <w:abstractNumId w:val="4"/>
  </w:num>
  <w:num w:numId="2">
    <w:abstractNumId w:val="0"/>
  </w:num>
  <w:num w:numId="3">
    <w:abstractNumId w:val="1"/>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HorizontalSpacing w:val="140"/>
  <w:drawingGridVerticalSpacing w:val="204"/>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zMjM2ZjdhZjg0MDMzN2JmNjQzZWZiMTQwODA3NzkifQ=="/>
  </w:docVars>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7F7450"/>
    <w:rsid w:val="00806D7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D8A40A6"/>
    <w:rsid w:val="11200F67"/>
    <w:rsid w:val="12F1313F"/>
    <w:rsid w:val="15DC6CEA"/>
    <w:rsid w:val="214B0FAD"/>
    <w:rsid w:val="245E1E24"/>
    <w:rsid w:val="2E483E7E"/>
    <w:rsid w:val="33944516"/>
    <w:rsid w:val="3B816234"/>
    <w:rsid w:val="413A0CED"/>
    <w:rsid w:val="41EF5698"/>
    <w:rsid w:val="57C813A6"/>
    <w:rsid w:val="68291A1A"/>
    <w:rsid w:val="691B1594"/>
    <w:rsid w:val="6E010240"/>
    <w:rsid w:val="6F0D6C22"/>
    <w:rsid w:val="73D9A77D"/>
    <w:rsid w:val="74446F14"/>
    <w:rsid w:val="76D2301A"/>
    <w:rsid w:val="77861774"/>
    <w:rsid w:val="77978BBA"/>
    <w:rsid w:val="79300B45"/>
    <w:rsid w:val="9CFE6730"/>
    <w:rsid w:val="DB6F0F71"/>
    <w:rsid w:val="E17F179A"/>
    <w:rsid w:val="FF3E814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unhideWhenUsed/>
    <w:qFormat/>
    <w:uiPriority w:val="0"/>
    <w:pPr>
      <w:spacing w:before="240" w:after="240" w:line="360" w:lineRule="auto"/>
      <w:jc w:val="center"/>
    </w:pPr>
    <w:rPr>
      <w:b/>
      <w:sz w:val="44"/>
    </w:rPr>
  </w:style>
  <w:style w:type="paragraph" w:styleId="7">
    <w:name w:val="Balloon Text"/>
    <w:basedOn w:val="1"/>
    <w:link w:val="16"/>
    <w:qFormat/>
    <w:uiPriority w:val="0"/>
    <w:pPr>
      <w:spacing w:line="240" w:lineRule="auto"/>
    </w:pPr>
    <w:rPr>
      <w:sz w:val="18"/>
      <w:szCs w:val="18"/>
    </w:rPr>
  </w:style>
  <w:style w:type="paragraph" w:styleId="8">
    <w:name w:val="footer"/>
    <w:basedOn w:val="1"/>
    <w:link w:val="19"/>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0"/>
    <w:rPr>
      <w:b/>
      <w:bCs/>
    </w:rPr>
  </w:style>
  <w:style w:type="character" w:styleId="14">
    <w:name w:val="annotation reference"/>
    <w:basedOn w:val="12"/>
    <w:qFormat/>
    <w:uiPriority w:val="0"/>
    <w:rPr>
      <w:sz w:val="21"/>
      <w:szCs w:val="21"/>
    </w:rPr>
  </w:style>
  <w:style w:type="paragraph" w:customStyle="1" w:styleId="15">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6">
    <w:name w:val="批注框文本 字符"/>
    <w:basedOn w:val="12"/>
    <w:link w:val="7"/>
    <w:qFormat/>
    <w:uiPriority w:val="0"/>
    <w:rPr>
      <w:rFonts w:eastAsia="仿宋_GB2312"/>
      <w:kern w:val="2"/>
      <w:sz w:val="18"/>
      <w:szCs w:val="18"/>
    </w:rPr>
  </w:style>
  <w:style w:type="paragraph" w:customStyle="1" w:styleId="17">
    <w:name w:val="列表段落1"/>
    <w:basedOn w:val="1"/>
    <w:unhideWhenUsed/>
    <w:qFormat/>
    <w:uiPriority w:val="99"/>
    <w:pPr>
      <w:ind w:firstLine="420"/>
    </w:p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character" w:customStyle="1" w:styleId="19">
    <w:name w:val="页脚 字符"/>
    <w:basedOn w:val="12"/>
    <w:link w:val="8"/>
    <w:qFormat/>
    <w:uiPriority w:val="99"/>
    <w:rPr>
      <w:rFonts w:eastAsia="仿宋_GB2312"/>
      <w:kern w:val="2"/>
      <w:sz w:val="18"/>
      <w:szCs w:val="24"/>
    </w:rPr>
  </w:style>
  <w:style w:type="paragraph" w:customStyle="1" w:styleId="20">
    <w:name w:val="闻政-正文段落文字"/>
    <w:basedOn w:val="1"/>
    <w:link w:val="25"/>
    <w:qFormat/>
    <w:uiPriority w:val="3"/>
    <w:pPr>
      <w:spacing w:line="500" w:lineRule="exact"/>
      <w:ind w:firstLine="200"/>
    </w:pPr>
    <w:rPr>
      <w:kern w:val="0"/>
      <w:szCs w:val="28"/>
    </w:rPr>
  </w:style>
  <w:style w:type="paragraph" w:customStyle="1" w:styleId="21">
    <w:name w:val="_Style 1"/>
    <w:basedOn w:val="1"/>
    <w:qFormat/>
    <w:uiPriority w:val="34"/>
    <w:pPr>
      <w:ind w:firstLine="420"/>
    </w:pPr>
  </w:style>
  <w:style w:type="paragraph" w:customStyle="1" w:styleId="22">
    <w:name w:val="闻政-正文二级标题"/>
    <w:basedOn w:val="4"/>
    <w:next w:val="20"/>
    <w:qFormat/>
    <w:uiPriority w:val="3"/>
    <w:pPr>
      <w:spacing w:before="120" w:after="60" w:line="500" w:lineRule="exact"/>
      <w:ind w:left="200" w:leftChars="200" w:firstLine="0" w:firstLineChars="0"/>
    </w:pPr>
    <w:rPr>
      <w:rFonts w:ascii="Times New Roman" w:hAnsi="Times New Roman"/>
      <w:sz w:val="28"/>
    </w:rPr>
  </w:style>
  <w:style w:type="paragraph" w:customStyle="1" w:styleId="23">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4">
    <w:name w:val="闻政-正文一级标题"/>
    <w:basedOn w:val="2"/>
    <w:next w:val="20"/>
    <w:qFormat/>
    <w:uiPriority w:val="3"/>
    <w:pPr>
      <w:spacing w:before="120" w:after="60" w:line="500" w:lineRule="exact"/>
      <w:ind w:firstLine="0" w:firstLineChars="0"/>
      <w:outlineLvl w:val="0"/>
    </w:pPr>
    <w:rPr>
      <w:rFonts w:ascii="黑体" w:hAnsi="黑体" w:eastAsia="黑体"/>
      <w:sz w:val="32"/>
    </w:rPr>
  </w:style>
  <w:style w:type="character" w:customStyle="1" w:styleId="25">
    <w:name w:val="闻政-正文段落文字 Char"/>
    <w:link w:val="20"/>
    <w:qFormat/>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17</Pages>
  <Words>6450</Words>
  <Characters>6895</Characters>
  <Lines>1</Lines>
  <Paragraphs>1</Paragraphs>
  <TotalTime>12</TotalTime>
  <ScaleCrop>false</ScaleCrop>
  <LinksUpToDate>false</LinksUpToDate>
  <CharactersWithSpaces>6913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2020-04-09T07:22:00Z</dcterms:created>
  <dc:creator>驰远天合-柴万顺-18690160103</dc:creator>
  <cp:lastModifiedBy>张哲鑫</cp:lastModifiedBy>
  <cp:lastPrinted>2021-03-03T03:49:00Z</cp:lastPrinted>
  <dcterms:modified xsi:type="dcterms:W3CDTF">2023-04-17T14:49:39Z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EC769EAD88C04A419EAA32CE9F6E506F_12</vt:lpwstr>
  </property>
</Properties>
</file>