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昌吉市住房和城乡建设局中小企业欠款化解资金（第二批）</w:t>
      </w: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宋体" w:eastAsia="黑体" w:cs="黑体"/>
          <w:color w:val="000000"/>
          <w:kern w:val="2"/>
          <w:sz w:val="30"/>
          <w:szCs w:val="30"/>
          <w:lang w:val="en-US" w:eastAsia="zh-CN" w:bidi="ar"/>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w:t>
      </w:r>
      <w:r>
        <w:rPr>
          <w:rFonts w:hint="eastAsia" w:ascii="黑体" w:hAnsi="宋体" w:eastAsia="黑体" w:cs="黑体"/>
          <w:color w:val="000000"/>
          <w:kern w:val="2"/>
          <w:sz w:val="30"/>
          <w:szCs w:val="30"/>
          <w:lang w:val="en-US" w:eastAsia="zh-CN" w:bidi="ar"/>
        </w:rPr>
        <w:t>昌吉市住房和城乡建设局中小企业欠款化解资金</w:t>
      </w:r>
      <w:bookmarkEnd w:id="0"/>
      <w:r>
        <w:rPr>
          <w:rFonts w:hint="eastAsia" w:ascii="黑体" w:hAnsi="宋体" w:eastAsia="黑体" w:cs="黑体"/>
          <w:color w:val="000000"/>
          <w:kern w:val="2"/>
          <w:sz w:val="30"/>
          <w:szCs w:val="30"/>
          <w:lang w:val="en-US" w:eastAsia="zh-CN" w:bidi="ar"/>
        </w:rPr>
        <w:t>（第二批）</w:t>
      </w: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宋体" w:eastAsia="黑体" w:cs="黑体"/>
          <w:color w:val="000000"/>
          <w:kern w:val="2"/>
          <w:sz w:val="30"/>
          <w:szCs w:val="30"/>
          <w:lang w:val="en-US" w:eastAsia="zh-CN" w:bidi="ar"/>
        </w:rPr>
      </w:pPr>
      <w:r>
        <w:rPr>
          <w:rFonts w:ascii="黑体" w:hAnsi="黑体" w:eastAsia="黑体" w:cs="宋体"/>
          <w:sz w:val="30"/>
          <w:szCs w:val="30"/>
        </w:rPr>
        <w:t>项目单位：</w:t>
      </w:r>
      <w:r>
        <w:rPr>
          <w:rFonts w:hint="eastAsia" w:ascii="黑体" w:hAnsi="宋体" w:eastAsia="黑体" w:cs="黑体"/>
          <w:color w:val="000000"/>
          <w:kern w:val="2"/>
          <w:sz w:val="30"/>
          <w:szCs w:val="30"/>
          <w:lang w:val="en-US" w:eastAsia="zh-CN" w:bidi="ar"/>
        </w:rPr>
        <w:t>昌吉市住房和城乡建设局</w:t>
      </w:r>
    </w:p>
    <w:p>
      <w:pPr>
        <w:ind w:left="0" w:leftChars="0" w:firstLine="600" w:firstLineChars="200"/>
        <w:rPr>
          <w:rFonts w:ascii="黑体" w:hAnsi="黑体" w:eastAsia="黑体" w:cs="宋体"/>
          <w:sz w:val="30"/>
          <w:szCs w:val="30"/>
        </w:rPr>
      </w:pPr>
      <w:r>
        <w:rPr>
          <w:rFonts w:ascii="黑体" w:hAnsi="黑体" w:eastAsia="黑体" w:cs="宋体"/>
          <w:sz w:val="30"/>
          <w:szCs w:val="30"/>
        </w:rPr>
        <w:t>主管部门：</w:t>
      </w:r>
      <w:r>
        <w:rPr>
          <w:rFonts w:hint="eastAsia" w:ascii="黑体" w:hAnsi="宋体" w:eastAsia="黑体" w:cs="黑体"/>
          <w:color w:val="000000"/>
          <w:kern w:val="2"/>
          <w:sz w:val="30"/>
          <w:szCs w:val="30"/>
          <w:lang w:val="en-US" w:eastAsia="zh-CN" w:bidi="ar"/>
        </w:rPr>
        <w:t>昌吉市住房和城乡建设局</w:t>
      </w:r>
    </w:p>
    <w:p>
      <w:pPr>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刘洪</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rFonts w:hint="eastAsia"/>
          <w:sz w:val="32"/>
        </w:rPr>
      </w:pPr>
      <w:r>
        <w:rPr>
          <w:rFonts w:hint="eastAsia"/>
          <w:sz w:val="32"/>
        </w:rPr>
        <w:t>1.项目背景</w:t>
      </w:r>
    </w:p>
    <w:p>
      <w:pPr>
        <w:pStyle w:val="20"/>
        <w:spacing w:line="600" w:lineRule="exact"/>
        <w:ind w:firstLine="624"/>
      </w:pPr>
      <w:r>
        <w:rPr>
          <w:rFonts w:hint="eastAsia"/>
          <w:spacing w:val="-4"/>
          <w:sz w:val="32"/>
          <w:szCs w:val="32"/>
        </w:rPr>
        <w:t>近年来，拖欠中小企业款项问题较为突出。2018年底以来，按照党中央、国务院的部署，国务院减轻企业负担部际联席会议办公室组织开展了清理拖欠民营企业中小企业账款工作，取得积极成效。为贯彻落实党中央、国务院决策部署，建立防范化解拖欠中小企业款项长效机制，进一步落实《中小企业促进法》关于国家机关、事业单位和大型企业不得违约拖欠中小企业的货物、工程、服务款项的规定，在总结清欠工作实践经验、广泛听取各方面意见，并研究借鉴一些国家（地区）相关法律制度的基础上，国务院制定了《条例》。</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
        <w:spacing w:line="600" w:lineRule="exact"/>
        <w:ind w:firstLine="643"/>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b w:val="0"/>
          <w:bCs w:val="0"/>
          <w:color w:val="auto"/>
          <w:sz w:val="32"/>
          <w:szCs w:val="32"/>
          <w:highlight w:val="none"/>
          <w:lang w:val="en-US" w:eastAsia="zh-CN"/>
        </w:rPr>
        <w:t>本年度到账199.34万元，用于偿还5个项目施工款，有效的提升政府良好形象，降低上访风险，维护政府形象。</w:t>
      </w:r>
    </w:p>
    <w:p>
      <w:pPr>
        <w:pStyle w:val="2"/>
        <w:numPr>
          <w:ilvl w:val="0"/>
          <w:numId w:val="0"/>
        </w:numPr>
        <w:spacing w:line="600" w:lineRule="exact"/>
        <w:ind w:firstLine="643" w:firstLineChars="200"/>
        <w:rPr>
          <w:rFonts w:hint="eastAsia"/>
          <w:color w:val="auto"/>
          <w:sz w:val="32"/>
          <w:highlight w:val="none"/>
        </w:rPr>
      </w:pPr>
      <w:r>
        <w:rPr>
          <w:rFonts w:hint="eastAsia"/>
          <w:color w:val="auto"/>
          <w:sz w:val="32"/>
          <w:highlight w:val="none"/>
          <w:lang w:val="en-US" w:eastAsia="zh-CN"/>
        </w:rPr>
        <w:t>3.</w:t>
      </w:r>
      <w:r>
        <w:rPr>
          <w:rFonts w:hint="eastAsia"/>
          <w:color w:val="auto"/>
          <w:sz w:val="32"/>
          <w:highlight w:val="none"/>
        </w:rPr>
        <w:t>项目实施主体</w:t>
      </w:r>
    </w:p>
    <w:p>
      <w:pPr>
        <w:pStyle w:val="20"/>
        <w:spacing w:line="57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Hans" w:bidi="ar-SA"/>
        </w:rPr>
        <w:t>202</w:t>
      </w:r>
      <w:r>
        <w:rPr>
          <w:rFonts w:hint="eastAsia"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Hans" w:bidi="ar-SA"/>
        </w:rPr>
        <w:t>年</w:t>
      </w:r>
      <w:r>
        <w:rPr>
          <w:rFonts w:hint="eastAsia" w:ascii="Times New Roman" w:hAnsi="Times New Roman" w:eastAsia="仿宋_GB2312" w:cs="Times New Roman"/>
          <w:color w:val="auto"/>
          <w:kern w:val="2"/>
          <w:sz w:val="32"/>
          <w:szCs w:val="32"/>
          <w:highlight w:val="none"/>
          <w:lang w:val="en-US" w:eastAsia="zh-CN" w:bidi="ar-SA"/>
        </w:rPr>
        <w:t>中小企业欠款化解资金</w:t>
      </w:r>
      <w:r>
        <w:rPr>
          <w:rFonts w:hint="eastAsia" w:cs="Times New Roman"/>
          <w:color w:val="auto"/>
          <w:kern w:val="2"/>
          <w:sz w:val="32"/>
          <w:szCs w:val="32"/>
          <w:highlight w:val="none"/>
          <w:lang w:val="en-US" w:eastAsia="zh-CN" w:bidi="ar-SA"/>
        </w:rPr>
        <w:t>（第二批）</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实施主体</w:t>
      </w:r>
      <w:r>
        <w:rPr>
          <w:rFonts w:hint="eastAsia" w:ascii="Times New Roman" w:hAnsi="Times New Roman" w:eastAsia="仿宋_GB2312" w:cs="Times New Roman"/>
          <w:color w:val="auto"/>
          <w:kern w:val="2"/>
          <w:sz w:val="32"/>
          <w:szCs w:val="32"/>
          <w:highlight w:val="none"/>
          <w:lang w:val="en-US" w:eastAsia="zh-CN" w:bidi="ar-SA"/>
        </w:rPr>
        <w:t>为昌吉市住房和城乡建设局，该局纳入2022年部门决算编制范围的有7个办公室：、党政办公室、合同预算科，计划财务科、城市建设科、村镇科、建筑业管理科、公用事业科等</w:t>
      </w:r>
      <w:r>
        <w:rPr>
          <w:rFonts w:hint="eastAsia" w:cs="Times New Roman"/>
          <w:color w:val="auto"/>
          <w:kern w:val="2"/>
          <w:sz w:val="32"/>
          <w:szCs w:val="32"/>
          <w:highlight w:val="none"/>
          <w:lang w:val="en-US" w:eastAsia="zh-CN" w:bidi="ar-SA"/>
        </w:rPr>
        <w:t>。</w:t>
      </w:r>
    </w:p>
    <w:p>
      <w:pPr>
        <w:numPr>
          <w:ilvl w:val="0"/>
          <w:numId w:val="0"/>
        </w:numPr>
        <w:ind w:firstLine="640" w:firstLineChars="20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编制人数为18人，其中：行政人员编制15人、工勤2人、参公3人、事业编制53人。实有在职人数71人，其中：行政在职15人，工勤2人、参公3人、事业在职71人。离退休人员74人，其中：行政退休人员28人、事业退休46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根据《财政支出绩效评价管理暂行办法》（财预〔2020〕10号）文件</w:t>
      </w:r>
      <w:r>
        <w:rPr>
          <w:rFonts w:hint="eastAsia" w:ascii="仿宋_GB2312" w:hAnsi="仿宋_GB2312" w:cs="仿宋_GB2312"/>
          <w:color w:val="auto"/>
          <w:sz w:val="32"/>
          <w:szCs w:val="32"/>
          <w:highlight w:val="none"/>
          <w:lang w:eastAsia="zh-Hans"/>
        </w:rPr>
        <w:t>文件，</w:t>
      </w: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中小企业欠款化解资金（第二批）</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199.34万元</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199.34万元</w:t>
      </w:r>
      <w:r>
        <w:rPr>
          <w:rFonts w:hint="eastAsia" w:ascii="仿宋_GB2312"/>
          <w:color w:val="auto"/>
          <w:sz w:val="32"/>
          <w:szCs w:val="32"/>
          <w:highlight w:val="none"/>
        </w:rPr>
        <w:t>，预算资金到位率为</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199.34万元</w:t>
      </w:r>
      <w:r>
        <w:rPr>
          <w:rFonts w:hint="eastAsia" w:ascii="仿宋_GB2312"/>
          <w:color w:val="auto"/>
          <w:sz w:val="32"/>
          <w:szCs w:val="32"/>
          <w:highlight w:val="none"/>
        </w:rPr>
        <w:t>，预算执行率</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%。项目资金主要用于支付</w:t>
      </w:r>
      <w:r>
        <w:rPr>
          <w:rFonts w:hint="eastAsia" w:ascii="仿宋_GB2312"/>
          <w:color w:val="auto"/>
          <w:sz w:val="32"/>
          <w:szCs w:val="32"/>
          <w:highlight w:val="none"/>
          <w:lang w:val="en-US" w:eastAsia="zh-CN"/>
        </w:rPr>
        <w:t>施工款，</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199.34万元</w:t>
      </w:r>
      <w:r>
        <w:rPr>
          <w:rFonts w:hint="eastAsia" w:ascii="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Style w:val="2"/>
        <w:spacing w:line="600" w:lineRule="exact"/>
        <w:ind w:firstLine="643"/>
        <w:rPr>
          <w:rFonts w:hint="default"/>
          <w:b w:val="0"/>
          <w:bCs w:val="0"/>
          <w:color w:val="auto"/>
          <w:sz w:val="32"/>
          <w:szCs w:val="32"/>
          <w:highlight w:val="none"/>
          <w:lang w:val="en-US" w:eastAsia="zh-CN"/>
        </w:rPr>
      </w:pPr>
      <w:r>
        <w:rPr>
          <w:rFonts w:hint="eastAsia"/>
          <w:b w:val="0"/>
          <w:bCs w:val="0"/>
          <w:color w:val="auto"/>
          <w:sz w:val="32"/>
          <w:szCs w:val="32"/>
          <w:highlight w:val="none"/>
          <w:lang w:val="en-US" w:eastAsia="zh-CN"/>
        </w:rPr>
        <w:t>本年度到账199.34万元，用于偿还5个项目施工款，有效的提升政府良好形象，降低上访风险，维护政府形象。</w:t>
      </w:r>
    </w:p>
    <w:p>
      <w:pPr>
        <w:pStyle w:val="2"/>
        <w:spacing w:line="600" w:lineRule="exact"/>
        <w:ind w:firstLine="643"/>
        <w:rPr>
          <w:b w:val="0"/>
          <w:bCs w:val="0"/>
          <w:sz w:val="32"/>
        </w:rPr>
      </w:pPr>
      <w:r>
        <w:rPr>
          <w:rFonts w:hint="eastAsia"/>
          <w:b w:val="0"/>
          <w:bCs w:val="0"/>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支付项目欠款数量</w:t>
      </w:r>
      <w:r>
        <w:rPr>
          <w:rFonts w:hint="eastAsia"/>
          <w:color w:val="auto"/>
          <w:sz w:val="32"/>
          <w:szCs w:val="32"/>
        </w:rPr>
        <w:t>”指标，预期指标值为“</w:t>
      </w:r>
      <w:r>
        <w:rPr>
          <w:rFonts w:hint="eastAsia" w:ascii="仿宋_GB2312"/>
          <w:color w:val="auto"/>
          <w:sz w:val="32"/>
          <w:szCs w:val="32"/>
          <w:lang w:val="en-US" w:eastAsia="zh-CN"/>
        </w:rPr>
        <w:t>5.00个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资金使用合规率</w:t>
      </w:r>
      <w:r>
        <w:rPr>
          <w:rFonts w:hint="eastAsia"/>
          <w:color w:val="auto"/>
          <w:sz w:val="32"/>
          <w:szCs w:val="32"/>
        </w:rPr>
        <w:t>”指标，预期指标值为“</w:t>
      </w:r>
      <w:r>
        <w:rPr>
          <w:rFonts w:hint="eastAsia" w:ascii="仿宋_GB2312"/>
          <w:color w:val="auto"/>
          <w:sz w:val="32"/>
          <w:szCs w:val="32"/>
          <w:lang w:val="en-US" w:eastAsia="zh-CN"/>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资金发放及时率</w:t>
      </w:r>
      <w:r>
        <w:rPr>
          <w:rFonts w:hint="eastAsia"/>
          <w:color w:val="auto"/>
          <w:sz w:val="32"/>
          <w:szCs w:val="32"/>
        </w:rPr>
        <w:t>”指标，预期指标值为“</w:t>
      </w:r>
      <w:r>
        <w:rPr>
          <w:rFonts w:hint="eastAsia" w:ascii="仿宋_GB2312"/>
          <w:color w:val="auto"/>
          <w:sz w:val="32"/>
          <w:szCs w:val="32"/>
          <w:lang w:val="en-US" w:eastAsia="zh-CN"/>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平均支付每个欠款项目成本</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w:t>
      </w:r>
      <w:r>
        <w:rPr>
          <w:rFonts w:hint="eastAsia" w:ascii="仿宋_GB2312"/>
          <w:color w:val="auto"/>
          <w:sz w:val="32"/>
          <w:szCs w:val="32"/>
          <w:lang w:val="en-US" w:eastAsia="zh-CN"/>
        </w:rPr>
        <w:t>39.87万元/个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经济带动</w:t>
      </w:r>
      <w:r>
        <w:rPr>
          <w:rFonts w:hint="eastAsia"/>
          <w:color w:val="auto"/>
          <w:sz w:val="32"/>
          <w:szCs w:val="32"/>
        </w:rPr>
        <w:t>”指标，预期指标值为“</w:t>
      </w:r>
      <w:r>
        <w:rPr>
          <w:rFonts w:hint="eastAsia" w:ascii="仿宋_GB2312"/>
          <w:color w:val="auto"/>
          <w:sz w:val="32"/>
          <w:szCs w:val="32"/>
          <w:lang w:val="en-US" w:eastAsia="zh-CN"/>
        </w:rPr>
        <w:t>＞=3.50%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政府形象改善度</w:t>
      </w:r>
      <w:r>
        <w:rPr>
          <w:rFonts w:hint="eastAsia"/>
          <w:color w:val="auto"/>
          <w:sz w:val="32"/>
          <w:szCs w:val="32"/>
        </w:rPr>
        <w:t>”指标，预期指标值为“</w:t>
      </w:r>
      <w:r>
        <w:rPr>
          <w:rFonts w:hint="eastAsia" w:ascii="仿宋_GB2312"/>
          <w:color w:val="auto"/>
          <w:sz w:val="32"/>
          <w:szCs w:val="32"/>
          <w:lang w:val="en-US" w:eastAsia="zh-CN"/>
        </w:rPr>
        <w:t>＞=7.50%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default" w:eastAsia="仿宋_GB2312"/>
          <w:color w:val="auto"/>
          <w:sz w:val="32"/>
          <w:szCs w:val="32"/>
          <w:lang w:val="en-US" w:eastAsia="zh-CN"/>
        </w:rPr>
      </w:pPr>
      <w:r>
        <w:rPr>
          <w:rFonts w:hint="eastAsia"/>
          <w:color w:val="auto"/>
          <w:sz w:val="32"/>
          <w:szCs w:val="32"/>
        </w:rPr>
        <w:t>生态效益指标</w:t>
      </w:r>
      <w:r>
        <w:rPr>
          <w:rFonts w:hint="eastAsia"/>
          <w:color w:val="auto"/>
          <w:sz w:val="32"/>
          <w:szCs w:val="32"/>
          <w:lang w:eastAsia="zh-CN"/>
        </w:rPr>
        <w:t>，</w:t>
      </w:r>
      <w:r>
        <w:rPr>
          <w:rFonts w:hint="eastAsia"/>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支持中小企业经营发展</w:t>
      </w:r>
      <w:r>
        <w:rPr>
          <w:rFonts w:hint="eastAsia"/>
          <w:color w:val="auto"/>
          <w:sz w:val="32"/>
          <w:szCs w:val="32"/>
        </w:rPr>
        <w:t>”指标，预期指标值为“</w:t>
      </w:r>
      <w:r>
        <w:rPr>
          <w:rFonts w:hint="eastAsia" w:ascii="仿宋_GB2312"/>
          <w:color w:val="auto"/>
          <w:sz w:val="32"/>
          <w:szCs w:val="32"/>
          <w:lang w:val="en-US" w:eastAsia="zh-CN"/>
        </w:rPr>
        <w:t>有力支持</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施工单位满意度</w:t>
      </w:r>
      <w:r>
        <w:rPr>
          <w:rFonts w:hint="eastAsia"/>
          <w:color w:val="auto"/>
          <w:sz w:val="32"/>
          <w:szCs w:val="32"/>
        </w:rPr>
        <w:t>”指标，预期指标值为“</w:t>
      </w:r>
      <w:r>
        <w:rPr>
          <w:rFonts w:hint="eastAsia" w:ascii="仿宋_GB2312"/>
          <w:color w:val="auto"/>
          <w:sz w:val="32"/>
          <w:szCs w:val="32"/>
          <w:lang w:val="en-US" w:eastAsia="zh-CN"/>
        </w:rPr>
        <w:t>＞=90.00%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5462343"/>
      <w:bookmarkStart w:id="3" w:name="_Toc480473081"/>
      <w:bookmarkStart w:id="4" w:name="_Toc26632"/>
      <w:bookmarkStart w:id="5" w:name="_Toc12868"/>
      <w:bookmarkStart w:id="6" w:name="_Toc5258"/>
      <w:bookmarkStart w:id="7" w:name="_Toc21664"/>
      <w:bookmarkStart w:id="8" w:name="_Toc2292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hAnsi="仿宋_GB2312" w:cs="仿宋_GB2312"/>
          <w:color w:val="auto"/>
          <w:sz w:val="32"/>
          <w:szCs w:val="32"/>
          <w:lang w:val="en-US" w:eastAsia="zh-CN"/>
        </w:rPr>
        <w:t>中小企业欠款化解资金（第二批）</w:t>
      </w:r>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中小企业欠款化解资金（第二批）</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428278230"/>
      <w:bookmarkStart w:id="11" w:name="_Toc419984722"/>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杨俊涛</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刘洪</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张烨</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中小企业欠款化解资金（第二批）</w:t>
      </w:r>
      <w:r>
        <w:rPr>
          <w:rFonts w:hint="eastAsia" w:ascii="仿宋_GB2312"/>
          <w:color w:val="auto"/>
          <w:sz w:val="32"/>
          <w:szCs w:val="32"/>
        </w:rPr>
        <w:t>的实施，解决了</w:t>
      </w:r>
      <w:r>
        <w:rPr>
          <w:rFonts w:hint="eastAsia" w:ascii="仿宋_GB2312"/>
          <w:color w:val="auto"/>
          <w:sz w:val="32"/>
          <w:szCs w:val="32"/>
          <w:lang w:val="en-US" w:eastAsia="zh-CN"/>
        </w:rPr>
        <w:t>施工企业上访</w:t>
      </w:r>
      <w:r>
        <w:rPr>
          <w:rFonts w:hint="eastAsia" w:ascii="仿宋_GB2312"/>
          <w:color w:val="auto"/>
          <w:sz w:val="32"/>
          <w:szCs w:val="32"/>
        </w:rPr>
        <w:t>问题，实现了</w:t>
      </w:r>
      <w:r>
        <w:rPr>
          <w:rFonts w:hint="eastAsia" w:ascii="仿宋_GB2312"/>
          <w:color w:val="auto"/>
          <w:sz w:val="32"/>
          <w:szCs w:val="32"/>
          <w:lang w:val="en-US" w:eastAsia="zh-CN"/>
        </w:rPr>
        <w:t>有效提升政府良好形象</w:t>
      </w:r>
      <w:r>
        <w:rPr>
          <w:rFonts w:hint="eastAsia" w:ascii="仿宋_GB2312"/>
          <w:color w:val="auto"/>
          <w:sz w:val="32"/>
          <w:szCs w:val="32"/>
        </w:rPr>
        <w:t>效益，该项目预算执行率达</w:t>
      </w:r>
      <w:r>
        <w:rPr>
          <w:rFonts w:hint="eastAsia" w:ascii="仿宋_GB2312"/>
          <w:color w:val="auto"/>
          <w:sz w:val="32"/>
          <w:szCs w:val="32"/>
          <w:lang w:val="en-US" w:eastAsia="zh-CN"/>
        </w:rPr>
        <w:t>100.00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中小企业欠款化解资金（第二批）</w:t>
      </w:r>
      <w:r>
        <w:rPr>
          <w:rFonts w:hint="eastAsia" w:ascii="仿宋_GB2312"/>
          <w:color w:val="auto"/>
          <w:sz w:val="32"/>
          <w:szCs w:val="32"/>
        </w:rPr>
        <w:t>的绩效目标和各项具体绩效指标实现情况进行了客观评价，最终评分为</w:t>
      </w:r>
      <w:r>
        <w:rPr>
          <w:rFonts w:hint="eastAsia" w:ascii="仿宋_GB2312"/>
          <w:color w:val="auto"/>
          <w:sz w:val="32"/>
          <w:szCs w:val="32"/>
          <w:lang w:val="en-US" w:eastAsia="zh-CN"/>
        </w:rPr>
        <w:t>100.00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昌吉市住房和城乡建设局</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hint="eastAsia" w:cs="仿宋_GB2312"/>
          <w:color w:val="auto"/>
          <w:lang w:eastAsia="zh-CN"/>
        </w:rPr>
        <w:t>，按照昌吉市财政委员会</w:t>
      </w:r>
      <w:r>
        <w:rPr>
          <w:rFonts w:hint="eastAsia" w:cs="仿宋_GB2312"/>
          <w:color w:val="auto"/>
          <w:lang w:eastAsia="zh-Hans"/>
        </w:rPr>
        <w:t>要求</w:t>
      </w:r>
      <w:r>
        <w:rPr>
          <w:rFonts w:hint="eastAsia" w:cs="仿宋_GB2312"/>
          <w:color w:val="auto"/>
          <w:lang w:eastAsia="zh-CN"/>
        </w:rPr>
        <w:t>批复，</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199.34万元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199.34万元</w:t>
      </w:r>
      <w:r>
        <w:rPr>
          <w:rFonts w:hint="eastAsia" w:ascii="仿宋_GB2312" w:cs="仿宋_GB2312"/>
          <w:color w:val="auto"/>
          <w:sz w:val="32"/>
          <w:szCs w:val="32"/>
          <w:lang w:eastAsia="zh-Hans"/>
        </w:rPr>
        <w:t>，预算执行率为</w:t>
      </w:r>
      <w:r>
        <w:rPr>
          <w:rFonts w:hint="eastAsia" w:ascii="仿宋_GB2312" w:cs="仿宋_GB2312"/>
          <w:color w:val="auto"/>
          <w:sz w:val="32"/>
          <w:szCs w:val="32"/>
          <w:lang w:val="en-US" w:eastAsia="zh-CN"/>
        </w:rPr>
        <w:t>100.00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Hans"/>
        </w:rPr>
        <w:t>未执行完写原因</w:t>
      </w:r>
      <w:r>
        <w:rPr>
          <w:rFonts w:hint="eastAsia" w:ascii="仿宋_GB2312" w:cs="仿宋_GB2312"/>
          <w:color w:val="auto"/>
          <w:sz w:val="32"/>
          <w:szCs w:val="32"/>
        </w:rPr>
        <w:t>，并按标准扣分），根据评分标准，该指标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项目资金支付管理办法</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项目资金支付管理办法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支付项目欠款数量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5个</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5个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资金使用合格率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w:t>
      </w:r>
      <w:r>
        <w:rPr>
          <w:rFonts w:hint="eastAsia" w:ascii="仿宋_GB2312" w:hAnsi="仿宋_GB2312" w:cs="仿宋_GB2312"/>
          <w:color w:val="auto"/>
          <w:sz w:val="32"/>
          <w:szCs w:val="32"/>
          <w:lang w:eastAsia="zh-Hans"/>
        </w:rPr>
        <w:t>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w:t>
      </w:r>
      <w:r>
        <w:rPr>
          <w:rFonts w:hint="eastAsia" w:ascii="仿宋_GB2312" w:cs="仿宋_GB2312"/>
          <w:b w:val="0"/>
          <w:color w:val="auto"/>
          <w:sz w:val="32"/>
          <w:szCs w:val="32"/>
          <w:lang w:eastAsia="zh-CN"/>
        </w:rPr>
        <w:t>安排到位</w:t>
      </w:r>
      <w:r>
        <w:rPr>
          <w:rFonts w:hint="eastAsia" w:ascii="仿宋_GB2312" w:cs="仿宋_GB2312"/>
          <w:b w:val="0"/>
          <w:color w:val="auto"/>
          <w:sz w:val="32"/>
          <w:szCs w:val="32"/>
        </w:rPr>
        <w:t>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color w:val="auto"/>
          <w:sz w:val="32"/>
          <w:szCs w:val="32"/>
        </w:rPr>
        <w:t>“</w:t>
      </w:r>
      <w:r>
        <w:rPr>
          <w:rFonts w:hint="eastAsia" w:ascii="仿宋_GB2312"/>
          <w:color w:val="auto"/>
          <w:sz w:val="32"/>
          <w:szCs w:val="32"/>
          <w:lang w:val="en-US" w:eastAsia="zh-CN"/>
        </w:rPr>
        <w:t>平均支付每个欠款项目成本</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w:t>
      </w:r>
      <w:r>
        <w:rPr>
          <w:rFonts w:hint="eastAsia" w:ascii="仿宋_GB2312"/>
          <w:color w:val="auto"/>
          <w:sz w:val="32"/>
          <w:szCs w:val="32"/>
          <w:lang w:val="en-US" w:eastAsia="zh-CN"/>
        </w:rPr>
        <w:t>39.87万元/个</w:t>
      </w:r>
      <w:r>
        <w:rPr>
          <w:rFonts w:hint="eastAsia"/>
          <w:color w:val="auto"/>
          <w:sz w:val="32"/>
          <w:szCs w:val="32"/>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olor w:val="auto"/>
          <w:sz w:val="32"/>
          <w:szCs w:val="32"/>
          <w:lang w:val="en-US" w:eastAsia="zh-CN"/>
        </w:rPr>
        <w:t>39.87万元/个</w:t>
      </w:r>
      <w:r>
        <w:rPr>
          <w:rFonts w:hint="eastAsia" w:ascii="仿宋_GB2312" w:cs="仿宋_GB2312"/>
          <w:color w:val="auto"/>
          <w:sz w:val="32"/>
          <w:szCs w:val="32"/>
          <w:lang w:eastAsia="zh-Hans"/>
        </w:rPr>
        <w:t>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政府形象改善度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lang w:val="en-US" w:eastAsia="zh-CN"/>
        </w:rPr>
        <w:t>=7.50%</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,7</w:t>
      </w:r>
      <w:r>
        <w:rPr>
          <w:rFonts w:hint="eastAsia" w:ascii="仿宋_GB2312"/>
          <w:color w:val="auto"/>
          <w:sz w:val="32"/>
          <w:szCs w:val="32"/>
        </w:rPr>
        <w:t>分，得</w:t>
      </w:r>
      <w:r>
        <w:rPr>
          <w:rFonts w:hint="eastAsia" w:ascii="仿宋_GB2312"/>
          <w:color w:val="auto"/>
          <w:sz w:val="32"/>
          <w:szCs w:val="32"/>
          <w:lang w:val="en-US" w:eastAsia="zh-CN"/>
        </w:rPr>
        <w:t>7</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支持中小企业经营发展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有力支持</w:t>
      </w:r>
      <w:r>
        <w:rPr>
          <w:rFonts w:hint="eastAsia" w:ascii="仿宋_GB2312"/>
          <w:color w:val="auto"/>
          <w:sz w:val="32"/>
          <w:szCs w:val="32"/>
          <w:lang w:eastAsia="zh-Hans"/>
        </w:rPr>
        <w:t>”</w:t>
      </w:r>
      <w:r>
        <w:rPr>
          <w:rFonts w:hint="eastAsia"/>
          <w:color w:val="auto"/>
          <w:sz w:val="32"/>
          <w:szCs w:val="32"/>
        </w:rPr>
        <w:t>，</w:t>
      </w:r>
      <w:bookmarkStart w:id="19" w:name="_GoBack"/>
      <w:bookmarkEnd w:id="19"/>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,6</w:t>
      </w:r>
      <w:r>
        <w:rPr>
          <w:rFonts w:hint="eastAsia" w:ascii="仿宋_GB2312"/>
          <w:color w:val="auto"/>
          <w:sz w:val="32"/>
          <w:szCs w:val="32"/>
        </w:rPr>
        <w:t>分，得</w:t>
      </w:r>
      <w:r>
        <w:rPr>
          <w:rFonts w:hint="eastAsia" w:ascii="仿宋_GB2312"/>
          <w:color w:val="auto"/>
          <w:sz w:val="32"/>
          <w:szCs w:val="32"/>
          <w:lang w:val="en-US" w:eastAsia="zh-CN"/>
        </w:rPr>
        <w:t>6</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政府形象改善度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lang w:val="en-US" w:eastAsia="zh-CN"/>
        </w:rPr>
        <w:t>=3.50%</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,7</w:t>
      </w:r>
      <w:r>
        <w:rPr>
          <w:rFonts w:hint="eastAsia" w:ascii="仿宋_GB2312"/>
          <w:color w:val="auto"/>
          <w:sz w:val="32"/>
          <w:szCs w:val="32"/>
        </w:rPr>
        <w:t>分，得</w:t>
      </w:r>
      <w:r>
        <w:rPr>
          <w:rFonts w:hint="eastAsia" w:ascii="仿宋_GB2312"/>
          <w:color w:val="auto"/>
          <w:sz w:val="32"/>
          <w:szCs w:val="32"/>
          <w:lang w:val="en-US" w:eastAsia="zh-CN"/>
        </w:rPr>
        <w:t>7</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施工单位满意度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lang w:eastAsia="zh-CN"/>
        </w:rPr>
        <w:t>施工单位</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2022年中小企业欠款化解资金</w:t>
      </w:r>
      <w:r>
        <w:rPr>
          <w:rFonts w:hint="eastAsia" w:ascii="仿宋_GB2312"/>
          <w:color w:val="auto"/>
          <w:sz w:val="32"/>
          <w:szCs w:val="32"/>
          <w:lang w:eastAsia="zh-CN"/>
        </w:rPr>
        <w:t>（第二批）</w:t>
      </w:r>
      <w:r>
        <w:rPr>
          <w:rFonts w:hint="eastAsia" w:ascii="仿宋_GB2312"/>
          <w:color w:val="auto"/>
          <w:sz w:val="32"/>
          <w:szCs w:val="32"/>
          <w:lang w:eastAsia="zh-Hans"/>
        </w:rPr>
        <w:t>预算金额</w:t>
      </w:r>
      <w:r>
        <w:rPr>
          <w:rFonts w:hint="eastAsia" w:ascii="仿宋_GB2312"/>
          <w:color w:val="auto"/>
          <w:sz w:val="32"/>
          <w:szCs w:val="32"/>
          <w:lang w:val="en-US" w:eastAsia="zh-CN"/>
        </w:rPr>
        <w:t>199.34万元</w:t>
      </w:r>
      <w:r>
        <w:rPr>
          <w:rFonts w:hint="eastAsia" w:ascii="仿宋_GB2312"/>
          <w:color w:val="auto"/>
          <w:sz w:val="32"/>
          <w:szCs w:val="32"/>
          <w:lang w:eastAsia="zh-Hans"/>
        </w:rPr>
        <w:t>，实际到位</w:t>
      </w:r>
      <w:r>
        <w:rPr>
          <w:rFonts w:hint="eastAsia" w:ascii="仿宋_GB2312"/>
          <w:color w:val="auto"/>
          <w:sz w:val="32"/>
          <w:szCs w:val="32"/>
          <w:lang w:val="en-US" w:eastAsia="zh-CN"/>
        </w:rPr>
        <w:t>199.34万元</w:t>
      </w:r>
      <w:r>
        <w:rPr>
          <w:rFonts w:hint="eastAsia" w:ascii="仿宋_GB2312"/>
          <w:color w:val="auto"/>
          <w:sz w:val="32"/>
          <w:szCs w:val="32"/>
          <w:lang w:eastAsia="zh-Hans"/>
        </w:rPr>
        <w:t>，实际支出</w:t>
      </w:r>
      <w:r>
        <w:rPr>
          <w:rFonts w:hint="eastAsia" w:ascii="仿宋_GB2312"/>
          <w:color w:val="auto"/>
          <w:sz w:val="32"/>
          <w:szCs w:val="32"/>
          <w:lang w:val="en-US" w:eastAsia="zh-CN"/>
        </w:rPr>
        <w:t>199.34万元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022年中小企业欠款化解资金</w:t>
      </w:r>
      <w:r>
        <w:rPr>
          <w:rFonts w:hint="eastAsia" w:ascii="仿宋_GB2312"/>
          <w:color w:val="auto"/>
          <w:sz w:val="32"/>
          <w:szCs w:val="32"/>
          <w:lang w:eastAsia="zh-CN"/>
        </w:rPr>
        <w:t>（第二批）</w:t>
      </w:r>
      <w:r>
        <w:rPr>
          <w:rFonts w:hint="eastAsia" w:ascii="仿宋_GB2312"/>
          <w:color w:val="auto"/>
          <w:sz w:val="32"/>
          <w:szCs w:val="32"/>
        </w:rPr>
        <w:t>的绩效目标及指标已经全部达成，不存在偏差情况。</w:t>
      </w:r>
    </w:p>
    <w:bookmarkEnd w:id="16"/>
    <w:bookmarkEnd w:id="17"/>
    <w:p>
      <w:pPr>
        <w:spacing w:line="600" w:lineRule="exact"/>
        <w:ind w:firstLine="640"/>
        <w:rPr>
          <w:rFonts w:ascii="仿宋_GB2312" w:hAnsi="仿宋_GB2312" w:cs="仿宋_GB2312"/>
          <w:b/>
          <w:bCs/>
          <w:color w:val="FF0000"/>
          <w:sz w:val="32"/>
          <w:szCs w:val="32"/>
        </w:rPr>
      </w:pPr>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ind w:firstLine="640"/>
        <w:rPr>
          <w:rFonts w:hint="eastAsia" w:ascii="Times New Roman" w:hAnsi="Times New Roman" w:eastAsia="仿宋_GB2312" w:cs="Times New Roman"/>
          <w:b w:val="0"/>
          <w:color w:val="000000"/>
          <w:kern w:val="2"/>
          <w:sz w:val="32"/>
          <w:szCs w:val="32"/>
          <w:u w:color="000000"/>
          <w:lang w:val="en-US" w:eastAsia="zh-CN" w:bidi="ar-SA"/>
        </w:rPr>
      </w:pPr>
      <w:r>
        <w:rPr>
          <w:rFonts w:hint="eastAsia" w:ascii="Times New Roman" w:hAnsi="Times New Roman" w:eastAsia="仿宋_GB2312" w:cs="Times New Roman"/>
          <w:b w:val="0"/>
          <w:color w:val="000000"/>
          <w:kern w:val="2"/>
          <w:sz w:val="32"/>
          <w:szCs w:val="32"/>
          <w:u w:color="000000"/>
          <w:lang w:val="en-US" w:eastAsia="zh-CN" w:bidi="ar-SA"/>
        </w:rPr>
        <w:t>支出绩效目标全部达成，不存在未完成原因分析。</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p>
      <w:pPr>
        <w:pStyle w:val="20"/>
        <w:spacing w:line="600" w:lineRule="exact"/>
        <w:ind w:firstLine="624"/>
        <w:rPr>
          <w:rFonts w:ascii="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3MDEyOTY0Y2MwMGEwYThlNTJkODU5ZmI5MGZjM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F0E4092"/>
    <w:rsid w:val="12F1313F"/>
    <w:rsid w:val="15DC6CEA"/>
    <w:rsid w:val="214B0FAD"/>
    <w:rsid w:val="245E1E24"/>
    <w:rsid w:val="2A2F5D38"/>
    <w:rsid w:val="2E483E7E"/>
    <w:rsid w:val="2E9F25C5"/>
    <w:rsid w:val="33944516"/>
    <w:rsid w:val="3B816234"/>
    <w:rsid w:val="44287A04"/>
    <w:rsid w:val="46132D66"/>
    <w:rsid w:val="4A8204BA"/>
    <w:rsid w:val="4B8B61DB"/>
    <w:rsid w:val="4EF15C0F"/>
    <w:rsid w:val="58B747D6"/>
    <w:rsid w:val="68291A1A"/>
    <w:rsid w:val="691B1594"/>
    <w:rsid w:val="6F0D6C22"/>
    <w:rsid w:val="73D9A77D"/>
    <w:rsid w:val="76D2301A"/>
    <w:rsid w:val="77861774"/>
    <w:rsid w:val="77978BBA"/>
    <w:rsid w:val="79300B45"/>
    <w:rsid w:val="7EB240C3"/>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6739</Words>
  <Characters>7094</Characters>
  <Lines>1</Lines>
  <Paragraphs>1</Paragraphs>
  <TotalTime>2</TotalTime>
  <ScaleCrop>false</ScaleCrop>
  <LinksUpToDate>false</LinksUpToDate>
  <CharactersWithSpaces>7107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2023-04-16T10:15:13Z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2258E4F962CF47039D239DBA36738021_12</vt:lpwstr>
  </property>
</Properties>
</file>