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司法</w:t>
      </w:r>
      <w:r>
        <w:rPr>
          <w:rFonts w:hint="default" w:ascii="方正小标宋简体" w:hAnsi="方正小标宋简体" w:eastAsia="方正小标宋简体" w:cs="方正小标宋简体"/>
          <w:kern w:val="2"/>
          <w:sz w:val="48"/>
          <w:szCs w:val="48"/>
          <w:lang w:val="en-US" w:eastAsia="zh-CN" w:bidi="ar"/>
        </w:rPr>
        <w:t>局</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firstLine="1200" w:firstLineChars="4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2022年“访惠聚”驻村（社区）工作经费</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w:t>
      </w:r>
      <w:r>
        <w:rPr>
          <w:rFonts w:hint="eastAsia" w:ascii="黑体" w:hAnsi="黑体" w:eastAsia="黑体" w:cs="宋体"/>
          <w:sz w:val="30"/>
          <w:szCs w:val="30"/>
          <w:lang w:eastAsia="zh-CN"/>
        </w:rPr>
        <w:t>昌吉市司法局</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宋体"/>
          <w:sz w:val="30"/>
          <w:szCs w:val="30"/>
          <w:lang w:eastAsia="zh-CN"/>
        </w:rPr>
        <w:t>昌吉市司法局</w:t>
      </w:r>
    </w:p>
    <w:p>
      <w:pPr>
        <w:ind w:firstLine="1200" w:firstLineChars="4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刘艮生</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7</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spacing w:line="600" w:lineRule="exact"/>
        <w:ind w:firstLine="640"/>
        <w:rPr>
          <w:color w:val="FF0000"/>
          <w:sz w:val="32"/>
          <w:szCs w:val="32"/>
        </w:rPr>
      </w:pPr>
      <w:r>
        <w:rPr>
          <w:rFonts w:hint="eastAsia" w:ascii="仿宋" w:hAnsi="仿宋" w:eastAsia="仿宋" w:cs="仿宋"/>
          <w:color w:val="auto"/>
          <w:sz w:val="32"/>
          <w:szCs w:val="32"/>
        </w:rPr>
        <w:t>按照自治区“访惠聚”驻村工作要求，</w:t>
      </w:r>
      <w:r>
        <w:rPr>
          <w:rFonts w:hint="eastAsia" w:ascii="仿宋_GB2312" w:hAnsi="仿宋_GB2312" w:eastAsia="仿宋_GB2312" w:cs="仿宋_GB2312"/>
          <w:snapToGrid w:val="0"/>
          <w:color w:val="auto"/>
          <w:spacing w:val="0"/>
          <w:kern w:val="0"/>
          <w:sz w:val="32"/>
          <w:szCs w:val="32"/>
          <w:highlight w:val="none"/>
          <w:lang w:eastAsia="zh-CN"/>
        </w:rPr>
        <w:t>坚持以习近平新时代中国特色社会主义思想为指导，深入贯彻落实区、州、市各项决策部署，</w:t>
      </w:r>
      <w:r>
        <w:rPr>
          <w:rFonts w:hint="eastAsia" w:ascii="仿宋_GB2312" w:eastAsia="仿宋_GB2312"/>
          <w:snapToGrid w:val="0"/>
          <w:color w:val="auto"/>
          <w:spacing w:val="0"/>
          <w:kern w:val="0"/>
          <w:sz w:val="32"/>
          <w:szCs w:val="32"/>
          <w:highlight w:val="none"/>
        </w:rPr>
        <w:t>同心同力、同向同调,锐意进取、攻坚克难,全面落实“1+2+5”八项重点工作任务,</w:t>
      </w:r>
      <w:r>
        <w:rPr>
          <w:rFonts w:hint="eastAsia" w:ascii="仿宋_GB2312" w:eastAsia="仿宋_GB2312"/>
          <w:snapToGrid w:val="0"/>
          <w:color w:val="auto"/>
          <w:spacing w:val="0"/>
          <w:kern w:val="0"/>
          <w:sz w:val="32"/>
          <w:szCs w:val="32"/>
          <w:highlight w:val="none"/>
          <w:lang w:eastAsia="zh-CN"/>
        </w:rPr>
        <w:t>从而</w:t>
      </w:r>
      <w:r>
        <w:rPr>
          <w:rFonts w:hint="eastAsia" w:ascii="仿宋_GB2312" w:hAnsi="仿宋_GB2312" w:eastAsia="仿宋_GB2312" w:cs="仿宋_GB2312"/>
          <w:snapToGrid w:val="0"/>
          <w:color w:val="auto"/>
          <w:spacing w:val="0"/>
          <w:kern w:val="0"/>
          <w:sz w:val="32"/>
          <w:szCs w:val="32"/>
          <w:highlight w:val="none"/>
          <w:lang w:eastAsia="zh-CN"/>
        </w:rPr>
        <w:t>实现村情民意和谐和睦、农村生产稳中有进、民生福祉持续改善、民族团结不断巩固、组织建设不断加强</w:t>
      </w:r>
      <w:r>
        <w:rPr>
          <w:rFonts w:hint="eastAsia" w:ascii="仿宋" w:hAnsi="仿宋" w:eastAsia="仿宋" w:cs="仿宋"/>
          <w:color w:val="auto"/>
          <w:sz w:val="32"/>
          <w:szCs w:val="32"/>
        </w:rPr>
        <w:t>，为群众意愿着想，积极发挥派出单位优势，认真谋划、主动作为，扎实做好“访惠聚”工作，为民办实事工作经费。为深入贯彻自治区、州党委、政府深化“访惠聚”驻村工作的部署要求，进一步继续扎实开展好“访惠聚”驻村工作，充分发挥驻村工作队为民办实事的需求，20</w:t>
      </w:r>
      <w:bookmarkStart w:id="19" w:name="_GoBack"/>
      <w:bookmarkEnd w:id="19"/>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年政府根据</w:t>
      </w:r>
      <w:r>
        <w:rPr>
          <w:rFonts w:hint="eastAsia" w:ascii="仿宋_GB2312" w:hAnsi="仿宋_GB2312" w:eastAsia="仿宋_GB2312" w:cs="仿宋_GB2312"/>
          <w:b w:val="0"/>
          <w:bCs w:val="0"/>
          <w:color w:val="auto"/>
          <w:sz w:val="32"/>
          <w:szCs w:val="32"/>
          <w:lang w:val="en-US" w:eastAsia="zh-CN"/>
        </w:rPr>
        <w:t>昌</w:t>
      </w:r>
      <w:r>
        <w:rPr>
          <w:rFonts w:hint="eastAsia" w:ascii="仿宋_GB2312" w:hAnsi="仿宋_GB2312" w:cs="仿宋_GB2312"/>
          <w:b w:val="0"/>
          <w:bCs w:val="0"/>
          <w:color w:val="auto"/>
          <w:sz w:val="32"/>
          <w:szCs w:val="32"/>
          <w:lang w:val="en-US" w:eastAsia="zh-CN"/>
        </w:rPr>
        <w:t>市</w:t>
      </w:r>
      <w:r>
        <w:rPr>
          <w:rFonts w:hint="eastAsia" w:ascii="仿宋_GB2312" w:hAnsi="仿宋_GB2312" w:eastAsia="仿宋_GB2312" w:cs="仿宋_GB2312"/>
          <w:b w:val="0"/>
          <w:bCs w:val="0"/>
          <w:color w:val="auto"/>
          <w:sz w:val="32"/>
          <w:szCs w:val="32"/>
          <w:lang w:val="en-US" w:eastAsia="zh-CN"/>
        </w:rPr>
        <w:t>财</w:t>
      </w:r>
      <w:r>
        <w:rPr>
          <w:rFonts w:hint="eastAsia" w:ascii="仿宋_GB2312" w:hAnsi="仿宋_GB2312" w:cs="仿宋_GB2312"/>
          <w:b w:val="0"/>
          <w:bCs w:val="0"/>
          <w:color w:val="auto"/>
          <w:sz w:val="32"/>
          <w:szCs w:val="32"/>
          <w:lang w:val="en-US" w:eastAsia="zh-CN"/>
        </w:rPr>
        <w:t>预字</w:t>
      </w:r>
      <w:r>
        <w:rPr>
          <w:rFonts w:hint="eastAsia" w:ascii="仿宋_GB2312" w:hAnsi="仿宋_GB2312" w:eastAsia="仿宋_GB2312" w:cs="仿宋_GB2312"/>
          <w:b w:val="0"/>
          <w:bCs w:val="0"/>
          <w:color w:val="auto"/>
          <w:sz w:val="32"/>
          <w:szCs w:val="32"/>
          <w:lang w:val="en-US" w:eastAsia="zh-CN"/>
        </w:rPr>
        <w:t>【202</w:t>
      </w:r>
      <w:r>
        <w:rPr>
          <w:rFonts w:hint="eastAsia" w:ascii="仿宋_GB2312"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427号</w:t>
      </w:r>
      <w:r>
        <w:rPr>
          <w:rFonts w:hint="eastAsia" w:ascii="仿宋_GB2312" w:hAnsi="仿宋_GB2312" w:eastAsia="仿宋_GB2312" w:cs="仿宋_GB2312"/>
          <w:b w:val="0"/>
          <w:bCs w:val="0"/>
          <w:color w:val="auto"/>
          <w:sz w:val="32"/>
          <w:szCs w:val="32"/>
          <w:lang w:val="en-US" w:eastAsia="zh-CN"/>
        </w:rPr>
        <w:t>号文件</w:t>
      </w:r>
      <w:r>
        <w:rPr>
          <w:rFonts w:hint="eastAsia" w:ascii="仿宋" w:hAnsi="仿宋" w:eastAsia="仿宋" w:cs="仿宋"/>
          <w:color w:val="auto"/>
          <w:sz w:val="32"/>
          <w:szCs w:val="32"/>
        </w:rPr>
        <w:t>，拨付昌吉市</w:t>
      </w:r>
      <w:r>
        <w:rPr>
          <w:rFonts w:hint="eastAsia" w:ascii="仿宋" w:hAnsi="仿宋" w:eastAsia="仿宋" w:cs="仿宋"/>
          <w:color w:val="auto"/>
          <w:sz w:val="32"/>
          <w:szCs w:val="32"/>
          <w:lang w:val="en-US" w:eastAsia="zh-CN"/>
        </w:rPr>
        <w:t>司法</w:t>
      </w:r>
      <w:r>
        <w:rPr>
          <w:rFonts w:hint="eastAsia" w:ascii="仿宋" w:hAnsi="仿宋" w:eastAsia="仿宋" w:cs="仿宋"/>
          <w:color w:val="auto"/>
          <w:sz w:val="32"/>
          <w:szCs w:val="32"/>
          <w:lang w:eastAsia="zh-CN"/>
        </w:rPr>
        <w:t>局</w:t>
      </w:r>
      <w:r>
        <w:rPr>
          <w:rFonts w:hint="eastAsia" w:ascii="仿宋" w:hAnsi="仿宋" w:eastAsia="仿宋" w:cs="仿宋"/>
          <w:color w:val="auto"/>
          <w:sz w:val="32"/>
          <w:szCs w:val="32"/>
        </w:rPr>
        <w:t>驻村“访惠聚”工作组</w:t>
      </w:r>
      <w:r>
        <w:rPr>
          <w:rFonts w:hint="eastAsia" w:ascii="仿宋" w:hAnsi="仿宋" w:eastAsia="仿宋" w:cs="仿宋"/>
          <w:color w:val="auto"/>
          <w:sz w:val="32"/>
          <w:szCs w:val="32"/>
          <w:lang w:val="en-US" w:eastAsia="zh-CN"/>
        </w:rPr>
        <w:t>8.36</w:t>
      </w:r>
      <w:r>
        <w:rPr>
          <w:rFonts w:hint="eastAsia" w:ascii="仿宋" w:hAnsi="仿宋" w:eastAsia="仿宋" w:cs="仿宋"/>
          <w:color w:val="auto"/>
          <w:sz w:val="32"/>
          <w:szCs w:val="32"/>
        </w:rPr>
        <w:t>万元用于2022年“访惠聚”驻村（社区）工作经费。</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ageBreakBefore w:val="0"/>
        <w:kinsoku/>
        <w:wordWrap/>
        <w:overflowPunct/>
        <w:topLinePunct w:val="0"/>
        <w:autoSpaceDE/>
        <w:bidi w:val="0"/>
        <w:adjustRightInd/>
        <w:snapToGrid/>
        <w:spacing w:line="600" w:lineRule="exact"/>
        <w:ind w:left="0" w:right="0" w:firstLine="641" w:firstLineChars="0"/>
        <w:jc w:val="left"/>
        <w:textAlignment w:val="auto"/>
        <w:outlineLvl w:val="9"/>
        <w:rPr>
          <w:rFonts w:hint="eastAsia" w:ascii="仿宋_GB2312" w:hAnsi="仿宋_GB2312" w:eastAsia="仿宋_GB2312" w:cs="仿宋_GB2312"/>
          <w:color w:val="auto"/>
          <w:spacing w:val="0"/>
          <w:kern w:val="0"/>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202</w:t>
      </w:r>
      <w:r>
        <w:rPr>
          <w:rFonts w:hint="eastAsia" w:ascii="仿宋_GB2312" w:hAnsi="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lang w:val="en-US" w:eastAsia="zh-CN"/>
        </w:rPr>
        <w:t>年</w:t>
      </w:r>
      <w:r>
        <w:rPr>
          <w:rFonts w:hint="eastAsia" w:ascii="仿宋" w:hAnsi="仿宋" w:eastAsia="仿宋" w:cs="仿宋"/>
          <w:bCs/>
          <w:sz w:val="32"/>
          <w:szCs w:val="32"/>
          <w:lang w:eastAsia="zh-CN"/>
        </w:rPr>
        <w:t>“访惠聚”驻村（社区）工作经费</w:t>
      </w:r>
      <w:r>
        <w:rPr>
          <w:rFonts w:hint="eastAsia" w:ascii="仿宋_GB2312" w:hAnsi="仿宋_GB2312" w:eastAsia="仿宋_GB2312" w:cs="仿宋_GB2312"/>
          <w:b w:val="0"/>
          <w:bCs w:val="0"/>
          <w:sz w:val="32"/>
          <w:szCs w:val="32"/>
          <w:highlight w:val="none"/>
          <w:lang w:val="en-US" w:eastAsia="zh-CN"/>
        </w:rPr>
        <w:t>项目</w:t>
      </w:r>
      <w:r>
        <w:rPr>
          <w:rFonts w:hint="eastAsia" w:ascii="仿宋_GB2312" w:hAnsi="仿宋_GB2312" w:cs="仿宋_GB2312"/>
          <w:b w:val="0"/>
          <w:bCs w:val="0"/>
          <w:sz w:val="32"/>
          <w:szCs w:val="32"/>
          <w:highlight w:val="none"/>
          <w:lang w:val="en-US" w:eastAsia="zh-CN"/>
        </w:rPr>
        <w:t>于2022年1月开始实施，截止2022年12月已全部完成。</w:t>
      </w:r>
      <w:r>
        <w:rPr>
          <w:rFonts w:hint="eastAsia" w:ascii="仿宋_GB2312" w:hAnsi="仿宋_GB2312" w:eastAsia="仿宋_GB2312" w:cs="仿宋_GB2312"/>
          <w:b w:val="0"/>
          <w:bCs w:val="0"/>
          <w:sz w:val="32"/>
          <w:szCs w:val="32"/>
          <w:highlight w:val="none"/>
          <w:lang w:val="en-US" w:eastAsia="zh-CN"/>
        </w:rPr>
        <w:t>主要</w:t>
      </w:r>
      <w:r>
        <w:rPr>
          <w:rFonts w:hint="eastAsia" w:ascii="仿宋_GB2312" w:hAnsi="仿宋_GB2312" w:cs="仿宋_GB2312"/>
          <w:b w:val="0"/>
          <w:bCs w:val="0"/>
          <w:sz w:val="32"/>
          <w:szCs w:val="32"/>
          <w:highlight w:val="none"/>
          <w:lang w:val="en-US" w:eastAsia="zh-CN"/>
        </w:rPr>
        <w:t>用于</w:t>
      </w:r>
      <w:r>
        <w:rPr>
          <w:rFonts w:hint="eastAsia" w:ascii="仿宋_GB2312" w:hAnsi="仿宋_GB2312" w:cs="仿宋_GB2312"/>
          <w:color w:val="auto"/>
          <w:kern w:val="0"/>
          <w:sz w:val="32"/>
          <w:szCs w:val="32"/>
          <w:highlight w:val="none"/>
          <w:lang w:val="en-US" w:eastAsia="zh-CN"/>
        </w:rPr>
        <w:t>改善融锦社区社区居民生活和文化环境，</w:t>
      </w:r>
      <w:r>
        <w:rPr>
          <w:rFonts w:hint="eastAsia" w:ascii="仿宋_GB2312" w:hAnsi="仿宋_GB2312" w:eastAsia="仿宋_GB2312" w:cs="仿宋_GB2312"/>
          <w:color w:val="auto"/>
          <w:kern w:val="0"/>
          <w:sz w:val="32"/>
          <w:szCs w:val="32"/>
          <w:highlight w:val="none"/>
          <w:lang w:val="en-US" w:eastAsia="zh-CN"/>
        </w:rPr>
        <w:t>购买电动自行车</w:t>
      </w:r>
      <w:r>
        <w:rPr>
          <w:rFonts w:hint="eastAsia" w:ascii="仿宋_GB2312" w:hAnsi="仿宋_GB2312" w:cs="仿宋_GB2312"/>
          <w:color w:val="auto"/>
          <w:kern w:val="0"/>
          <w:sz w:val="32"/>
          <w:szCs w:val="32"/>
          <w:highlight w:val="none"/>
          <w:lang w:val="en-US" w:eastAsia="zh-CN"/>
        </w:rPr>
        <w:t>，购买笔记本电脑，</w:t>
      </w:r>
      <w:r>
        <w:rPr>
          <w:rFonts w:hint="eastAsia" w:ascii="仿宋_GB2312" w:hAnsi="仿宋_GB2312" w:eastAsia="仿宋_GB2312" w:cs="仿宋_GB2312"/>
          <w:color w:val="auto"/>
          <w:kern w:val="0"/>
          <w:sz w:val="32"/>
          <w:szCs w:val="32"/>
          <w:highlight w:val="none"/>
          <w:lang w:val="en-US" w:eastAsia="zh-CN"/>
        </w:rPr>
        <w:t>购置户外休闲椅、健身器材，组织法律体检</w:t>
      </w:r>
      <w:r>
        <w:rPr>
          <w:rFonts w:hint="eastAsia" w:ascii="仿宋_GB2312" w:hAnsi="仿宋_GB2312" w:cs="仿宋_GB2312"/>
          <w:color w:val="auto"/>
          <w:kern w:val="0"/>
          <w:sz w:val="32"/>
          <w:szCs w:val="32"/>
          <w:highlight w:val="none"/>
          <w:lang w:val="en-US" w:eastAsia="zh-CN"/>
        </w:rPr>
        <w:t>、民族团结一家亲联谊活动，贫困家庭资助</w:t>
      </w:r>
      <w:r>
        <w:rPr>
          <w:rFonts w:hint="eastAsia" w:ascii="仿宋_GB2312" w:hAnsi="仿宋_GB2312" w:eastAsia="仿宋_GB2312" w:cs="仿宋_GB2312"/>
          <w:color w:val="auto"/>
          <w:kern w:val="0"/>
          <w:sz w:val="32"/>
          <w:szCs w:val="32"/>
          <w:highlight w:val="none"/>
          <w:lang w:val="en-US" w:eastAsia="zh-CN"/>
        </w:rPr>
        <w:t>等</w:t>
      </w:r>
      <w:r>
        <w:rPr>
          <w:rFonts w:hint="eastAsia" w:ascii="仿宋_GB2312" w:hAnsi="仿宋_GB2312" w:eastAsia="仿宋_GB2312" w:cs="仿宋_GB2312"/>
          <w:color w:val="auto"/>
          <w:spacing w:val="0"/>
          <w:kern w:val="0"/>
          <w:sz w:val="32"/>
          <w:szCs w:val="32"/>
          <w:highlight w:val="none"/>
          <w:lang w:eastAsia="zh-CN"/>
        </w:rPr>
        <w:t>各项</w:t>
      </w:r>
      <w:r>
        <w:rPr>
          <w:rFonts w:hint="eastAsia" w:ascii="仿宋_GB2312" w:hAnsi="仿宋_GB2312" w:eastAsia="仿宋_GB2312" w:cs="仿宋_GB2312"/>
          <w:color w:val="auto"/>
          <w:spacing w:val="0"/>
          <w:kern w:val="0"/>
          <w:sz w:val="32"/>
          <w:szCs w:val="32"/>
          <w:highlight w:val="none"/>
        </w:rPr>
        <w:t>惠民生</w:t>
      </w:r>
      <w:r>
        <w:rPr>
          <w:rFonts w:hint="eastAsia" w:ascii="仿宋_GB2312" w:hAnsi="仿宋_GB2312" w:eastAsia="仿宋_GB2312" w:cs="仿宋_GB2312"/>
          <w:color w:val="auto"/>
          <w:spacing w:val="0"/>
          <w:kern w:val="0"/>
          <w:sz w:val="32"/>
          <w:szCs w:val="32"/>
          <w:highlight w:val="none"/>
          <w:lang w:eastAsia="zh-CN"/>
        </w:rPr>
        <w:t>聚民心的</w:t>
      </w:r>
      <w:r>
        <w:rPr>
          <w:rFonts w:hint="eastAsia" w:ascii="仿宋_GB2312" w:hAnsi="仿宋_GB2312" w:eastAsia="仿宋_GB2312" w:cs="仿宋_GB2312"/>
          <w:color w:val="auto"/>
          <w:spacing w:val="0"/>
          <w:kern w:val="0"/>
          <w:sz w:val="32"/>
          <w:szCs w:val="32"/>
          <w:highlight w:val="none"/>
        </w:rPr>
        <w:t>实事</w:t>
      </w:r>
      <w:r>
        <w:rPr>
          <w:rFonts w:hint="eastAsia" w:ascii="仿宋_GB2312" w:hAnsi="仿宋_GB2312" w:eastAsia="仿宋_GB2312" w:cs="仿宋_GB2312"/>
          <w:color w:val="auto"/>
          <w:spacing w:val="0"/>
          <w:kern w:val="0"/>
          <w:sz w:val="32"/>
          <w:szCs w:val="32"/>
          <w:highlight w:val="none"/>
          <w:lang w:eastAsia="zh-CN"/>
        </w:rPr>
        <w:t>好事</w:t>
      </w:r>
      <w:r>
        <w:rPr>
          <w:rFonts w:hint="eastAsia" w:ascii="仿宋_GB2312" w:hAnsi="仿宋_GB2312" w:eastAsia="仿宋_GB2312" w:cs="仿宋_GB2312"/>
          <w:color w:val="auto"/>
          <w:kern w:val="0"/>
          <w:sz w:val="32"/>
          <w:szCs w:val="32"/>
          <w:highlight w:val="none"/>
          <w:lang w:val="en-US" w:eastAsia="zh-CN"/>
        </w:rPr>
        <w:t>活动</w:t>
      </w:r>
      <w:r>
        <w:rPr>
          <w:rFonts w:hint="eastAsia" w:ascii="仿宋_GB2312" w:hAnsi="仿宋_GB2312" w:eastAsia="仿宋_GB2312" w:cs="仿宋_GB2312"/>
          <w:color w:val="auto"/>
          <w:spacing w:val="0"/>
          <w:kern w:val="0"/>
          <w:sz w:val="32"/>
          <w:szCs w:val="32"/>
          <w:highlight w:val="none"/>
          <w:lang w:eastAsia="zh-CN"/>
        </w:rPr>
        <w:t>。</w:t>
      </w:r>
    </w:p>
    <w:p>
      <w:pPr>
        <w:pStyle w:val="21"/>
        <w:spacing w:line="600" w:lineRule="exact"/>
        <w:ind w:left="0" w:leftChars="0" w:firstLine="0" w:firstLineChars="0"/>
        <w:rPr>
          <w:color w:val="auto"/>
          <w:sz w:val="32"/>
        </w:rPr>
      </w:pPr>
      <w:r>
        <w:rPr>
          <w:rFonts w:hint="eastAsia" w:ascii="仿宋_GB2312" w:hAnsi="仿宋_GB2312" w:cs="仿宋_GB2312"/>
          <w:color w:val="auto"/>
          <w:sz w:val="32"/>
          <w:szCs w:val="32"/>
          <w:lang w:eastAsia="zh-Hans"/>
        </w:rPr>
        <w:t>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有效丰富</w:t>
      </w:r>
      <w:r>
        <w:rPr>
          <w:rFonts w:hint="eastAsia" w:ascii="仿宋_GB2312" w:hAnsi="仿宋_GB2312" w:cs="仿宋_GB2312"/>
          <w:color w:val="auto"/>
          <w:sz w:val="32"/>
          <w:szCs w:val="32"/>
          <w:lang w:eastAsia="zh-CN"/>
        </w:rPr>
        <w:t>了</w:t>
      </w:r>
      <w:r>
        <w:rPr>
          <w:rFonts w:hint="eastAsia" w:ascii="仿宋_GB2312" w:hAnsi="仿宋_GB2312" w:cs="仿宋_GB2312"/>
          <w:color w:val="auto"/>
          <w:sz w:val="32"/>
          <w:szCs w:val="32"/>
        </w:rPr>
        <w:t>居民文化生活</w:t>
      </w:r>
      <w:r>
        <w:rPr>
          <w:rFonts w:hint="eastAsia" w:ascii="仿宋_GB2312" w:hAnsi="仿宋_GB2312" w:cs="仿宋_GB2312"/>
          <w:color w:val="auto"/>
          <w:sz w:val="32"/>
          <w:szCs w:val="32"/>
          <w:lang w:eastAsia="zh-CN"/>
        </w:rPr>
        <w:t>，提高了为民服务水平</w:t>
      </w:r>
      <w:r>
        <w:rPr>
          <w:rFonts w:hint="eastAsia" w:ascii="仿宋_GB2312" w:hAnsi="仿宋_GB2312" w:cs="仿宋_GB2312"/>
          <w:color w:val="auto"/>
          <w:sz w:val="32"/>
          <w:szCs w:val="32"/>
        </w:rPr>
        <w:t>。</w:t>
      </w:r>
    </w:p>
    <w:p>
      <w:pPr>
        <w:pStyle w:val="5"/>
        <w:spacing w:line="600" w:lineRule="exact"/>
        <w:ind w:firstLine="643"/>
        <w:rPr>
          <w:sz w:val="32"/>
        </w:rPr>
      </w:pPr>
      <w:r>
        <w:rPr>
          <w:rFonts w:hint="eastAsia"/>
          <w:sz w:val="32"/>
        </w:rPr>
        <w:t>3.项目实施主体</w:t>
      </w:r>
    </w:p>
    <w:p>
      <w:pPr>
        <w:pStyle w:val="21"/>
        <w:spacing w:line="570" w:lineRule="exact"/>
        <w:ind w:firstLine="640"/>
        <w:rPr>
          <w:rFonts w:ascii="仿宋_GB2312" w:hAnsi="仿宋_GB2312" w:cs="仿宋_GB2312"/>
          <w:color w:val="FF0000"/>
          <w:sz w:val="32"/>
          <w:szCs w:val="32"/>
        </w:rPr>
      </w:pP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lang w:eastAsia="zh-CN"/>
        </w:rPr>
        <w:t>昌吉市司法</w:t>
      </w:r>
      <w:r>
        <w:rPr>
          <w:rFonts w:hint="eastAsia" w:ascii="仿宋_GB2312" w:hAnsi="仿宋_GB2312" w:cs="仿宋_GB2312"/>
          <w:color w:val="auto"/>
          <w:sz w:val="32"/>
          <w:szCs w:val="32"/>
          <w:lang w:eastAsia="zh-Hans"/>
        </w:rPr>
        <w:t>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8</w:t>
      </w:r>
      <w:r>
        <w:rPr>
          <w:rFonts w:hint="eastAsia" w:ascii="仿宋_GB2312" w:hAnsi="仿宋_GB2312" w:cs="仿宋_GB2312"/>
          <w:color w:val="000000" w:themeColor="text1"/>
          <w:sz w:val="32"/>
          <w:szCs w:val="32"/>
          <w14:textFill>
            <w14:solidFill>
              <w14:schemeClr w14:val="tx1"/>
            </w14:solidFill>
          </w14:textFill>
        </w:rPr>
        <w:t>个办</w:t>
      </w:r>
      <w:r>
        <w:rPr>
          <w:rFonts w:hint="eastAsia" w:ascii="仿宋_GB2312" w:hAnsi="仿宋_GB2312" w:cs="仿宋_GB2312"/>
          <w:color w:val="auto"/>
          <w:sz w:val="32"/>
          <w:szCs w:val="32"/>
        </w:rPr>
        <w:t>公室：</w:t>
      </w:r>
      <w:r>
        <w:rPr>
          <w:rFonts w:hint="eastAsia"/>
          <w:color w:val="auto"/>
          <w:sz w:val="32"/>
          <w:szCs w:val="32"/>
          <w:lang w:eastAsia="zh-CN"/>
        </w:rPr>
        <w:t>党政办</w:t>
      </w:r>
      <w:r>
        <w:rPr>
          <w:rFonts w:hint="eastAsia"/>
          <w:color w:val="auto"/>
          <w:sz w:val="32"/>
          <w:szCs w:val="32"/>
          <w:lang w:eastAsia="zh-Hans"/>
        </w:rPr>
        <w:t>、</w:t>
      </w:r>
      <w:r>
        <w:rPr>
          <w:rFonts w:hint="eastAsia"/>
          <w:color w:val="auto"/>
          <w:sz w:val="32"/>
          <w:szCs w:val="32"/>
          <w:lang w:eastAsia="zh-CN"/>
        </w:rPr>
        <w:t>普法与依法治理科</w:t>
      </w:r>
      <w:r>
        <w:rPr>
          <w:rFonts w:hint="eastAsia"/>
          <w:color w:val="auto"/>
          <w:sz w:val="32"/>
          <w:szCs w:val="32"/>
          <w:lang w:eastAsia="zh-Hans"/>
        </w:rPr>
        <w:t>、</w:t>
      </w:r>
      <w:r>
        <w:rPr>
          <w:rFonts w:hint="eastAsia"/>
          <w:color w:val="auto"/>
          <w:sz w:val="32"/>
          <w:szCs w:val="32"/>
          <w:lang w:eastAsia="zh-CN"/>
        </w:rPr>
        <w:t>行政复议与审查监督科</w:t>
      </w:r>
      <w:r>
        <w:rPr>
          <w:rFonts w:hint="eastAsia"/>
          <w:color w:val="auto"/>
          <w:sz w:val="32"/>
          <w:szCs w:val="32"/>
          <w:lang w:eastAsia="zh-Hans"/>
        </w:rPr>
        <w:t>、</w:t>
      </w:r>
      <w:r>
        <w:rPr>
          <w:rFonts w:hint="eastAsia"/>
          <w:color w:val="auto"/>
          <w:sz w:val="32"/>
          <w:szCs w:val="32"/>
          <w:lang w:eastAsia="zh-CN"/>
        </w:rPr>
        <w:t>人民参与和促进法治科、公共法律服务管理科、社区矫正科、安置帮教科、法律援助中心</w:t>
      </w:r>
      <w:r>
        <w:rPr>
          <w:rFonts w:hint="eastAsia"/>
          <w:color w:val="auto"/>
          <w:sz w:val="32"/>
          <w:szCs w:val="32"/>
          <w:lang w:eastAsia="zh-Hans"/>
        </w:rPr>
        <w:t>。</w:t>
      </w:r>
    </w:p>
    <w:p>
      <w:pPr>
        <w:pStyle w:val="21"/>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30</w:t>
      </w:r>
      <w:r>
        <w:rPr>
          <w:rFonts w:hint="eastAsia" w:ascii="仿宋_GB2312" w:hAnsi="仿宋_GB2312" w:cs="仿宋_GB2312"/>
          <w:color w:val="auto"/>
          <w:sz w:val="32"/>
          <w:szCs w:val="32"/>
        </w:rPr>
        <w:t>人，其中：行政人员编制</w:t>
      </w:r>
      <w:r>
        <w:rPr>
          <w:rFonts w:hint="eastAsia"/>
          <w:color w:val="auto"/>
          <w:sz w:val="32"/>
          <w:szCs w:val="32"/>
          <w:lang w:val="en-US" w:eastAsia="zh-CN"/>
        </w:rPr>
        <w:t>24</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color w:val="auto"/>
          <w:sz w:val="32"/>
          <w:szCs w:val="32"/>
          <w:lang w:val="en-US" w:eastAsia="zh-CN"/>
        </w:rPr>
        <w:t>4</w:t>
      </w:r>
      <w:r>
        <w:rPr>
          <w:rFonts w:hint="eastAsia" w:ascii="仿宋_GB2312" w:hAnsi="仿宋_GB2312" w:cs="仿宋_GB2312"/>
          <w:color w:val="auto"/>
          <w:sz w:val="32"/>
          <w:szCs w:val="32"/>
        </w:rPr>
        <w:t>人、事业编制</w:t>
      </w:r>
      <w:r>
        <w:rPr>
          <w:rFonts w:hint="eastAsia"/>
          <w:color w:val="auto"/>
          <w:sz w:val="32"/>
          <w:szCs w:val="32"/>
          <w:lang w:val="en-US" w:eastAsia="zh-CN"/>
        </w:rPr>
        <w:t>0</w:t>
      </w:r>
      <w:r>
        <w:rPr>
          <w:rFonts w:hint="eastAsia" w:ascii="仿宋_GB2312" w:hAnsi="仿宋_GB2312" w:cs="仿宋_GB2312"/>
          <w:color w:val="auto"/>
          <w:sz w:val="32"/>
          <w:szCs w:val="32"/>
        </w:rPr>
        <w:t>人。实有在职人数</w:t>
      </w:r>
      <w:r>
        <w:rPr>
          <w:rFonts w:hint="eastAsia"/>
          <w:color w:val="auto"/>
          <w:sz w:val="32"/>
          <w:szCs w:val="32"/>
          <w:lang w:val="en-US" w:eastAsia="zh-CN"/>
        </w:rPr>
        <w:t>30</w:t>
      </w:r>
      <w:r>
        <w:rPr>
          <w:rFonts w:hint="eastAsia" w:ascii="仿宋_GB2312" w:hAnsi="仿宋_GB2312" w:cs="仿宋_GB2312"/>
          <w:color w:val="auto"/>
          <w:sz w:val="32"/>
          <w:szCs w:val="32"/>
        </w:rPr>
        <w:t>人，其中：行政在职</w:t>
      </w:r>
      <w:r>
        <w:rPr>
          <w:rFonts w:hint="eastAsia"/>
          <w:color w:val="auto"/>
          <w:sz w:val="32"/>
          <w:szCs w:val="32"/>
          <w:lang w:val="en-US" w:eastAsia="zh-CN"/>
        </w:rPr>
        <w:t>24</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color w:val="auto"/>
          <w:sz w:val="32"/>
          <w:szCs w:val="32"/>
          <w:lang w:val="en-US" w:eastAsia="zh-CN"/>
        </w:rPr>
        <w:t>4</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0</w:t>
      </w:r>
      <w:r>
        <w:rPr>
          <w:rFonts w:hint="eastAsia" w:ascii="仿宋_GB2312" w:hAnsi="仿宋_GB2312" w:cs="仿宋_GB2312"/>
          <w:color w:val="auto"/>
          <w:sz w:val="32"/>
          <w:szCs w:val="32"/>
        </w:rPr>
        <w:t>人。离退休人员</w:t>
      </w:r>
      <w:r>
        <w:rPr>
          <w:rFonts w:hint="eastAsia"/>
          <w:color w:val="auto"/>
          <w:sz w:val="32"/>
          <w:szCs w:val="32"/>
          <w:lang w:val="en-US" w:eastAsia="zh-CN"/>
        </w:rPr>
        <w:t>15</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15</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5"/>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根据昌市财预字[2022]427号</w:t>
      </w:r>
      <w:r>
        <w:rPr>
          <w:rFonts w:hint="eastAsia" w:ascii="仿宋_GB2312" w:hAnsi="仿宋_GB2312" w:cs="仿宋_GB2312"/>
          <w:sz w:val="32"/>
          <w:szCs w:val="32"/>
          <w:lang w:eastAsia="zh-Hans"/>
        </w:rPr>
        <w:t>文件，</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13</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8.36</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8.36</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8.36</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r>
        <w:rPr>
          <w:rFonts w:hint="eastAsia" w:ascii="仿宋_GB2312"/>
          <w:sz w:val="32"/>
          <w:szCs w:val="32"/>
        </w:rPr>
        <w:t>。项目资金主</w:t>
      </w:r>
      <w:r>
        <w:rPr>
          <w:rFonts w:hint="eastAsia" w:ascii="仿宋_GB2312"/>
          <w:color w:val="auto"/>
          <w:sz w:val="32"/>
          <w:szCs w:val="32"/>
        </w:rPr>
        <w:t>要用于支付</w:t>
      </w:r>
      <w:r>
        <w:rPr>
          <w:rFonts w:hint="eastAsia" w:ascii="仿宋_GB2312"/>
          <w:color w:val="auto"/>
          <w:sz w:val="32"/>
          <w:szCs w:val="32"/>
          <w:lang w:eastAsia="zh-CN"/>
        </w:rPr>
        <w:t>电动自行车</w:t>
      </w:r>
      <w:r>
        <w:rPr>
          <w:rFonts w:hint="eastAsia" w:ascii="仿宋_GB2312"/>
          <w:color w:val="auto"/>
          <w:sz w:val="32"/>
          <w:szCs w:val="32"/>
        </w:rPr>
        <w:t>费用</w:t>
      </w:r>
      <w:r>
        <w:rPr>
          <w:rFonts w:hint="eastAsia" w:ascii="仿宋_GB2312"/>
          <w:color w:val="auto"/>
          <w:sz w:val="32"/>
          <w:szCs w:val="32"/>
          <w:lang w:val="en-US" w:eastAsia="zh-CN"/>
        </w:rPr>
        <w:t>1.8</w:t>
      </w:r>
      <w:r>
        <w:rPr>
          <w:rFonts w:hint="eastAsia" w:ascii="仿宋_GB2312"/>
          <w:color w:val="auto"/>
          <w:sz w:val="32"/>
          <w:szCs w:val="32"/>
        </w:rPr>
        <w:t>万元、</w:t>
      </w:r>
      <w:r>
        <w:rPr>
          <w:rFonts w:hint="eastAsia" w:ascii="仿宋_GB2312"/>
          <w:color w:val="auto"/>
          <w:sz w:val="32"/>
          <w:szCs w:val="32"/>
          <w:lang w:eastAsia="zh-CN"/>
        </w:rPr>
        <w:t>笔记本电脑</w:t>
      </w:r>
      <w:r>
        <w:rPr>
          <w:rFonts w:hint="eastAsia" w:ascii="仿宋_GB2312"/>
          <w:color w:val="auto"/>
          <w:sz w:val="32"/>
          <w:szCs w:val="32"/>
        </w:rPr>
        <w:t>费用</w:t>
      </w:r>
      <w:r>
        <w:rPr>
          <w:rFonts w:hint="eastAsia" w:ascii="仿宋_GB2312"/>
          <w:color w:val="auto"/>
          <w:sz w:val="32"/>
          <w:szCs w:val="32"/>
          <w:lang w:val="en-US" w:eastAsia="zh-CN"/>
        </w:rPr>
        <w:t>0.6</w:t>
      </w:r>
      <w:r>
        <w:rPr>
          <w:rFonts w:hint="eastAsia" w:ascii="仿宋_GB2312"/>
          <w:color w:val="auto"/>
          <w:sz w:val="32"/>
          <w:szCs w:val="32"/>
        </w:rPr>
        <w:t>万元</w:t>
      </w:r>
      <w:r>
        <w:rPr>
          <w:rFonts w:hint="eastAsia" w:ascii="仿宋_GB2312"/>
          <w:color w:val="auto"/>
          <w:sz w:val="32"/>
          <w:szCs w:val="32"/>
          <w:lang w:eastAsia="zh-CN"/>
        </w:rPr>
        <w:t>、高低杠</w:t>
      </w:r>
      <w:r>
        <w:rPr>
          <w:rFonts w:hint="eastAsia" w:ascii="仿宋_GB2312"/>
          <w:color w:val="auto"/>
          <w:sz w:val="32"/>
          <w:szCs w:val="32"/>
        </w:rPr>
        <w:t>费用</w:t>
      </w:r>
      <w:r>
        <w:rPr>
          <w:rFonts w:hint="eastAsia" w:ascii="仿宋_GB2312"/>
          <w:color w:val="auto"/>
          <w:sz w:val="32"/>
          <w:szCs w:val="32"/>
          <w:lang w:val="en-US" w:eastAsia="zh-CN"/>
        </w:rPr>
        <w:t>0.55</w:t>
      </w:r>
      <w:r>
        <w:rPr>
          <w:rFonts w:hint="eastAsia" w:ascii="仿宋_GB2312"/>
          <w:color w:val="auto"/>
          <w:sz w:val="32"/>
          <w:szCs w:val="32"/>
        </w:rPr>
        <w:t>万元</w:t>
      </w:r>
      <w:r>
        <w:rPr>
          <w:rFonts w:hint="eastAsia" w:ascii="仿宋_GB2312"/>
          <w:color w:val="auto"/>
          <w:sz w:val="32"/>
          <w:szCs w:val="32"/>
          <w:lang w:eastAsia="zh-CN"/>
        </w:rPr>
        <w:t>、法律书籍</w:t>
      </w:r>
      <w:r>
        <w:rPr>
          <w:rFonts w:hint="eastAsia" w:ascii="仿宋_GB2312"/>
          <w:color w:val="auto"/>
          <w:sz w:val="32"/>
          <w:szCs w:val="32"/>
        </w:rPr>
        <w:t>费用</w:t>
      </w:r>
      <w:r>
        <w:rPr>
          <w:rFonts w:hint="eastAsia" w:ascii="仿宋_GB2312"/>
          <w:color w:val="auto"/>
          <w:sz w:val="32"/>
          <w:szCs w:val="32"/>
          <w:lang w:val="en-US" w:eastAsia="zh-CN"/>
        </w:rPr>
        <w:t>1</w:t>
      </w:r>
      <w:r>
        <w:rPr>
          <w:rFonts w:hint="eastAsia" w:ascii="仿宋_GB2312"/>
          <w:color w:val="auto"/>
          <w:sz w:val="32"/>
          <w:szCs w:val="32"/>
        </w:rPr>
        <w:t>万元</w:t>
      </w:r>
      <w:r>
        <w:rPr>
          <w:rFonts w:hint="eastAsia" w:ascii="仿宋_GB2312"/>
          <w:color w:val="auto"/>
          <w:sz w:val="32"/>
          <w:szCs w:val="32"/>
          <w:lang w:eastAsia="zh-CN"/>
        </w:rPr>
        <w:t>、慰问及组织活动等</w:t>
      </w:r>
      <w:r>
        <w:rPr>
          <w:rFonts w:hint="eastAsia" w:ascii="仿宋_GB2312"/>
          <w:color w:val="auto"/>
          <w:sz w:val="32"/>
          <w:szCs w:val="32"/>
          <w:lang w:val="en-US" w:eastAsia="zh-CN"/>
        </w:rPr>
        <w:t>4.41万元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pageBreakBefore w:val="0"/>
        <w:kinsoku/>
        <w:wordWrap/>
        <w:overflowPunct/>
        <w:topLinePunct w:val="0"/>
        <w:autoSpaceDE/>
        <w:bidi w:val="0"/>
        <w:adjustRightInd/>
        <w:snapToGrid/>
        <w:spacing w:line="600" w:lineRule="exact"/>
        <w:ind w:left="0" w:right="0" w:firstLine="641" w:firstLineChars="0"/>
        <w:jc w:val="left"/>
        <w:textAlignment w:val="auto"/>
        <w:outlineLvl w:val="9"/>
        <w:rPr>
          <w:color w:val="FF0000"/>
          <w:sz w:val="32"/>
          <w:szCs w:val="32"/>
        </w:rPr>
      </w:pPr>
      <w:r>
        <w:rPr>
          <w:rFonts w:hint="eastAsia" w:ascii="仿宋_GB2312" w:hAnsi="仿宋_GB2312" w:eastAsia="仿宋_GB2312" w:cs="仿宋_GB2312"/>
          <w:b w:val="0"/>
          <w:bCs w:val="0"/>
          <w:sz w:val="32"/>
          <w:szCs w:val="32"/>
          <w:highlight w:val="none"/>
          <w:lang w:val="en-US" w:eastAsia="zh-CN"/>
        </w:rPr>
        <w:t>202</w:t>
      </w:r>
      <w:r>
        <w:rPr>
          <w:rFonts w:hint="eastAsia" w:ascii="仿宋_GB2312" w:hAnsi="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lang w:val="en-US" w:eastAsia="zh-CN"/>
        </w:rPr>
        <w:t>年</w:t>
      </w:r>
      <w:r>
        <w:rPr>
          <w:rFonts w:hint="eastAsia" w:ascii="仿宋" w:hAnsi="仿宋" w:eastAsia="仿宋" w:cs="仿宋"/>
          <w:bCs/>
          <w:sz w:val="32"/>
          <w:szCs w:val="32"/>
          <w:lang w:eastAsia="zh-CN"/>
        </w:rPr>
        <w:t>“访惠聚”驻村（社区）工作经费</w:t>
      </w:r>
      <w:r>
        <w:rPr>
          <w:rFonts w:hint="eastAsia" w:ascii="仿宋_GB2312" w:hAnsi="仿宋_GB2312" w:eastAsia="仿宋_GB2312" w:cs="仿宋_GB2312"/>
          <w:b w:val="0"/>
          <w:bCs w:val="0"/>
          <w:sz w:val="32"/>
          <w:szCs w:val="32"/>
          <w:highlight w:val="none"/>
          <w:lang w:val="en-US" w:eastAsia="zh-CN"/>
        </w:rPr>
        <w:t>项目</w:t>
      </w:r>
      <w:r>
        <w:rPr>
          <w:rFonts w:hint="eastAsia" w:ascii="仿宋_GB2312" w:hAnsi="仿宋_GB2312" w:cs="仿宋_GB2312"/>
          <w:b w:val="0"/>
          <w:bCs w:val="0"/>
          <w:sz w:val="32"/>
          <w:szCs w:val="32"/>
          <w:highlight w:val="none"/>
          <w:lang w:val="en-US" w:eastAsia="zh-CN"/>
        </w:rPr>
        <w:t>计划通过为社区购买便民设施、帮扶困难群众及组织惠民活动等实事好事活动</w:t>
      </w:r>
      <w:r>
        <w:rPr>
          <w:rFonts w:hint="eastAsia" w:ascii="仿宋_GB2312" w:hAnsi="仿宋_GB2312" w:cs="仿宋_GB2312"/>
          <w:color w:val="auto"/>
          <w:kern w:val="0"/>
          <w:sz w:val="32"/>
          <w:szCs w:val="32"/>
          <w:highlight w:val="none"/>
          <w:lang w:val="en-US" w:eastAsia="zh-CN"/>
        </w:rPr>
        <w:t>改善融锦社区社区居民生活和文化环境，预期</w:t>
      </w:r>
      <w:r>
        <w:rPr>
          <w:rFonts w:hint="eastAsia" w:ascii="仿宋_GB2312" w:hAnsi="仿宋_GB2312" w:cs="仿宋_GB2312"/>
          <w:color w:val="auto"/>
          <w:sz w:val="32"/>
          <w:szCs w:val="32"/>
          <w:lang w:eastAsia="zh-Hans"/>
        </w:rPr>
        <w:t>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有效丰富居民文化生活</w:t>
      </w:r>
      <w:r>
        <w:rPr>
          <w:rFonts w:hint="eastAsia" w:ascii="仿宋_GB2312" w:hAnsi="仿宋_GB2312" w:cs="仿宋_GB2312"/>
          <w:color w:val="auto"/>
          <w:sz w:val="32"/>
          <w:szCs w:val="32"/>
          <w:lang w:eastAsia="zh-CN"/>
        </w:rPr>
        <w:t>，提高为民服务水平</w:t>
      </w:r>
      <w:r>
        <w:rPr>
          <w:rFonts w:hint="eastAsia" w:ascii="仿宋_GB2312" w:hAnsi="仿宋_GB2312" w:cs="仿宋_GB2312"/>
          <w:color w:val="auto"/>
          <w:sz w:val="32"/>
          <w:szCs w:val="32"/>
        </w:rPr>
        <w:t>。</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10号）、《阿克苏地区财政</w:t>
      </w:r>
      <w:r>
        <w:rPr>
          <w:rFonts w:hint="eastAsia" w:ascii="仿宋_GB2312"/>
          <w:sz w:val="32"/>
          <w:szCs w:val="32"/>
        </w:rPr>
        <w:t>支出绩效评价管理暂行办法》（阿地财预〔2019〕</w:t>
      </w:r>
      <w:r>
        <w:rPr>
          <w:rFonts w:hint="eastAsia" w:ascii="仿宋_GB2312"/>
          <w:color w:val="auto"/>
          <w:sz w:val="32"/>
          <w:szCs w:val="32"/>
        </w:rPr>
        <w:t>26号）等文件要求，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购买手持电动清雪机</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2台</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购买电动自行车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4辆</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购买笔记本电脑</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1台</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购买高低杠</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5组</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购买休闲桌椅</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6张</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组织民族团结一家亲联谊活动</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2次</w:t>
      </w:r>
      <w:r>
        <w:rPr>
          <w:rFonts w:hint="eastAsia"/>
          <w:color w:val="auto"/>
          <w:sz w:val="32"/>
          <w:szCs w:val="32"/>
        </w:rPr>
        <w:t>”；</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贫困家庭资助</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4次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采购验收合格率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项目支出完成时间</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资金拨付及时率</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社区为民办实事经费</w:t>
      </w:r>
      <w:r>
        <w:rPr>
          <w:rFonts w:hint="eastAsia"/>
          <w:color w:val="auto"/>
          <w:sz w:val="32"/>
          <w:szCs w:val="32"/>
        </w:rPr>
        <w:t>”指标，预期指标值为“</w:t>
      </w:r>
      <w:r>
        <w:rPr>
          <w:rFonts w:hint="eastAsia" w:ascii="仿宋_GB2312"/>
          <w:color w:val="auto"/>
          <w:sz w:val="32"/>
          <w:szCs w:val="32"/>
          <w:lang w:eastAsia="zh-Hans"/>
        </w:rPr>
        <w:t>&lt;=10.00万元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第一书记为民办实事经费</w:t>
      </w:r>
      <w:r>
        <w:rPr>
          <w:rFonts w:hint="eastAsia"/>
          <w:color w:val="auto"/>
          <w:sz w:val="32"/>
          <w:szCs w:val="32"/>
        </w:rPr>
        <w:t>”指标，预期指标值为“</w:t>
      </w:r>
      <w:r>
        <w:rPr>
          <w:rFonts w:hint="eastAsia" w:ascii="仿宋_GB2312"/>
          <w:color w:val="auto"/>
          <w:sz w:val="32"/>
          <w:szCs w:val="32"/>
          <w:lang w:eastAsia="zh-Hans"/>
        </w:rPr>
        <w:t>&lt;=2.00万元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工作队工作经费</w:t>
      </w:r>
      <w:r>
        <w:rPr>
          <w:rFonts w:hint="eastAsia"/>
          <w:color w:val="auto"/>
          <w:sz w:val="32"/>
          <w:szCs w:val="32"/>
        </w:rPr>
        <w:t>”指标，预期指标值为“</w:t>
      </w:r>
      <w:r>
        <w:rPr>
          <w:rFonts w:hint="eastAsia" w:ascii="仿宋_GB2312"/>
          <w:color w:val="auto"/>
          <w:sz w:val="32"/>
          <w:szCs w:val="32"/>
          <w:lang w:eastAsia="zh-Hans"/>
        </w:rPr>
        <w:t>&lt;=1.00万元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①经济效益指标</w:t>
      </w:r>
    </w:p>
    <w:p>
      <w:pPr>
        <w:pStyle w:val="2"/>
        <w:ind w:left="0" w:leftChars="0" w:firstLine="640" w:firstLineChars="200"/>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无</w:t>
      </w:r>
    </w:p>
    <w:p>
      <w:pPr>
        <w:spacing w:line="600" w:lineRule="exact"/>
        <w:ind w:firstLine="640"/>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②社会效益指标</w:t>
      </w:r>
    </w:p>
    <w:p>
      <w:pPr>
        <w:spacing w:line="600" w:lineRule="exact"/>
        <w:ind w:firstLine="640"/>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“丰富居民文化生活”指标，预期指标值为“有效丰富”；</w:t>
      </w:r>
    </w:p>
    <w:p>
      <w:pPr>
        <w:spacing w:line="600" w:lineRule="exact"/>
        <w:ind w:firstLine="640"/>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③生态效益指标</w:t>
      </w:r>
    </w:p>
    <w:p>
      <w:pPr>
        <w:spacing w:line="600" w:lineRule="exact"/>
        <w:ind w:firstLine="640"/>
        <w:rPr>
          <w:rFonts w:hint="eastAsia"/>
          <w:color w:val="auto"/>
          <w:sz w:val="32"/>
          <w:szCs w:val="32"/>
          <w:lang w:val="en-US" w:eastAsia="zh-CN"/>
        </w:rPr>
      </w:pPr>
      <w:r>
        <w:rPr>
          <w:rFonts w:hint="eastAsia"/>
          <w:color w:val="auto"/>
          <w:sz w:val="32"/>
          <w:szCs w:val="32"/>
          <w:lang w:val="en-US" w:eastAsia="zh-CN"/>
        </w:rPr>
        <w:t>无</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val="en-US" w:eastAsia="zh-CN"/>
        </w:rPr>
      </w:pPr>
      <w:r>
        <w:rPr>
          <w:rFonts w:hint="eastAsia"/>
          <w:color w:val="auto"/>
          <w:sz w:val="32"/>
          <w:szCs w:val="32"/>
        </w:rPr>
        <w:t>“</w:t>
      </w:r>
      <w:r>
        <w:rPr>
          <w:rFonts w:hint="eastAsia" w:ascii="仿宋_GB2312"/>
          <w:color w:val="auto"/>
          <w:sz w:val="32"/>
          <w:szCs w:val="32"/>
          <w:lang w:eastAsia="zh-Hans"/>
        </w:rPr>
        <w:t>持续提高为民服务水平</w:t>
      </w:r>
      <w:r>
        <w:rPr>
          <w:rFonts w:hint="eastAsia"/>
          <w:color w:val="auto"/>
          <w:sz w:val="32"/>
          <w:szCs w:val="32"/>
        </w:rPr>
        <w:t>”指标，预期指标值为“</w:t>
      </w:r>
      <w:r>
        <w:rPr>
          <w:rFonts w:hint="eastAsia" w:ascii="仿宋_GB2312"/>
          <w:color w:val="auto"/>
          <w:sz w:val="32"/>
          <w:szCs w:val="32"/>
          <w:lang w:eastAsia="zh-Hans"/>
        </w:rPr>
        <w:t>长期</w:t>
      </w:r>
      <w:r>
        <w:rPr>
          <w:rFonts w:hint="default" w:ascii="仿宋_GB2312"/>
          <w:color w:val="auto"/>
          <w:sz w:val="32"/>
          <w:szCs w:val="32"/>
          <w:lang w:val="en-US" w:eastAsia="zh-CN"/>
        </w:rPr>
        <w:t>”</w:t>
      </w:r>
      <w:r>
        <w:rPr>
          <w:rFonts w:hint="eastAsia" w:ascii="仿宋_GB2312"/>
          <w:color w:val="auto"/>
          <w:sz w:val="32"/>
          <w:szCs w:val="32"/>
          <w:lang w:val="en-US"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服务对象满意度</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5462343"/>
      <w:bookmarkStart w:id="3" w:name="_Toc480473081"/>
      <w:bookmarkStart w:id="4" w:name="_Toc5258"/>
      <w:bookmarkStart w:id="5" w:name="_Toc26632"/>
      <w:bookmarkStart w:id="6" w:name="_Toc12868"/>
      <w:bookmarkStart w:id="7" w:name="_Toc21664"/>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刘艮生</w:t>
      </w:r>
      <w:r>
        <w:rPr>
          <w:rFonts w:hint="eastAsia" w:ascii="仿宋_GB2312" w:hAnsi="仿宋_GB2312" w:cs="仿宋_GB2312"/>
          <w:color w:val="auto"/>
          <w:sz w:val="32"/>
          <w:szCs w:val="32"/>
        </w:rPr>
        <w:t>任评价组</w:t>
      </w:r>
      <w:r>
        <w:rPr>
          <w:rFonts w:hint="eastAsia" w:ascii="仿宋_GB2312" w:hAnsi="仿宋_GB2312" w:cs="仿宋_GB2312"/>
          <w:sz w:val="32"/>
          <w:szCs w:val="32"/>
        </w:rPr>
        <w:t>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王超</w:t>
      </w:r>
      <w:r>
        <w:rPr>
          <w:rFonts w:hint="eastAsia" w:ascii="仿宋_GB2312" w:hAnsi="仿宋_GB2312" w:cs="仿宋_GB2312"/>
          <w:color w:val="auto"/>
          <w:sz w:val="32"/>
          <w:szCs w:val="32"/>
        </w:rPr>
        <w:t>任评</w:t>
      </w:r>
      <w:r>
        <w:rPr>
          <w:rFonts w:hint="eastAsia" w:ascii="仿宋_GB2312" w:hAnsi="仿宋_GB2312" w:cs="仿宋_GB2312"/>
          <w:sz w:val="32"/>
          <w:szCs w:val="32"/>
        </w:rPr>
        <w:t>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李常鹛</w:t>
      </w:r>
      <w:r>
        <w:rPr>
          <w:rFonts w:hint="eastAsia" w:ascii="仿宋_GB2312" w:hAnsi="仿宋_GB2312" w:cs="仿宋_GB2312"/>
          <w:color w:val="auto"/>
          <w:sz w:val="32"/>
          <w:szCs w:val="32"/>
        </w:rPr>
        <w:t>任</w:t>
      </w:r>
      <w:r>
        <w:rPr>
          <w:rFonts w:hint="eastAsia" w:ascii="仿宋_GB2312" w:hAnsi="仿宋_GB2312" w:cs="仿宋_GB2312"/>
          <w:sz w:val="32"/>
          <w:szCs w:val="32"/>
        </w:rPr>
        <w:t>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eastAsia="仿宋_GB2312"/>
          <w:color w:val="auto"/>
          <w:sz w:val="32"/>
          <w:szCs w:val="32"/>
          <w:lang w:eastAsia="zh-CN"/>
        </w:rPr>
      </w:pPr>
      <w:r>
        <w:rPr>
          <w:rFonts w:hint="eastAsia" w:ascii="仿宋_GB2312"/>
          <w:sz w:val="32"/>
          <w:szCs w:val="32"/>
        </w:rPr>
        <w:t>通过</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sz w:val="32"/>
          <w:szCs w:val="32"/>
        </w:rPr>
        <w:t>项目的实施，解决了</w:t>
      </w:r>
      <w:r>
        <w:rPr>
          <w:rFonts w:hint="eastAsia" w:ascii="仿宋_GB2312"/>
          <w:sz w:val="32"/>
          <w:szCs w:val="32"/>
          <w:lang w:eastAsia="zh-CN"/>
        </w:rPr>
        <w:t>社区居民生活不便利及社区工作工具不足的问题及帮扶了困难家庭</w:t>
      </w:r>
      <w:r>
        <w:rPr>
          <w:rFonts w:hint="eastAsia" w:ascii="仿宋_GB2312"/>
          <w:color w:val="auto"/>
          <w:sz w:val="32"/>
          <w:szCs w:val="32"/>
          <w:lang w:eastAsia="zh-CN"/>
        </w:rPr>
        <w:t>的问题</w:t>
      </w:r>
      <w:r>
        <w:rPr>
          <w:rFonts w:hint="eastAsia" w:ascii="仿宋_GB2312"/>
          <w:color w:val="auto"/>
          <w:sz w:val="32"/>
          <w:szCs w:val="32"/>
        </w:rPr>
        <w:t>，实现了</w:t>
      </w:r>
      <w:r>
        <w:rPr>
          <w:rFonts w:hint="eastAsia" w:ascii="仿宋_GB2312"/>
          <w:color w:val="auto"/>
          <w:sz w:val="32"/>
          <w:szCs w:val="32"/>
          <w:lang w:eastAsia="zh-CN"/>
        </w:rPr>
        <w:t>丰富居民文化生活、持续提高为民服务水平</w:t>
      </w:r>
      <w:r>
        <w:rPr>
          <w:rFonts w:hint="eastAsia" w:ascii="仿宋_GB2312"/>
          <w:color w:val="auto"/>
          <w:sz w:val="32"/>
          <w:szCs w:val="32"/>
        </w:rPr>
        <w:t>效益，该项目预算执行率达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w:t>
      </w:r>
      <w:r>
        <w:rPr>
          <w:rFonts w:hint="eastAsia" w:ascii="仿宋_GB2312"/>
          <w:color w:val="auto"/>
          <w:sz w:val="32"/>
          <w:szCs w:val="32"/>
          <w:lang w:eastAsia="zh-CN"/>
        </w:rPr>
        <w:t>基本</w:t>
      </w:r>
      <w:r>
        <w:rPr>
          <w:rFonts w:hint="eastAsia" w:ascii="仿宋_GB2312"/>
          <w:color w:val="auto"/>
          <w:sz w:val="32"/>
          <w:szCs w:val="32"/>
        </w:rPr>
        <w:t>达成</w:t>
      </w:r>
      <w:r>
        <w:rPr>
          <w:rFonts w:hint="eastAsia" w:ascii="仿宋_GB2312"/>
          <w:color w:val="auto"/>
          <w:sz w:val="32"/>
          <w:szCs w:val="32"/>
          <w:lang w:eastAsia="zh-CN"/>
        </w:rPr>
        <w:t>。</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96</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分、项目产出</w:t>
      </w:r>
      <w:r>
        <w:rPr>
          <w:rFonts w:hint="eastAsia" w:ascii="仿宋_GB2312"/>
          <w:color w:val="auto"/>
          <w:sz w:val="32"/>
          <w:szCs w:val="32"/>
          <w:lang w:val="en-US" w:eastAsia="zh-CN"/>
        </w:rPr>
        <w:t>25</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18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Style w:val="24"/>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昌吉市司法局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年我单位根据昌市财预字[2022]427号文件要求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cs="仿宋_GB2312"/>
          <w:color w:val="auto"/>
        </w:rPr>
        <w:t>2</w:t>
      </w:r>
      <w:r>
        <w:rPr>
          <w:rFonts w:hint="eastAsia" w:cs="仿宋_GB2312"/>
          <w:color w:val="auto"/>
        </w:rPr>
        <w:t>分。③事前未经过必要的可行性研究、专家论证、风险评估、绩效评估、集体决策-1分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分。①预算编制未经过科学论证-1分</w:t>
      </w:r>
    </w:p>
    <w:p>
      <w:pPr>
        <w:spacing w:line="600" w:lineRule="exact"/>
        <w:ind w:firstLine="643"/>
        <w:rPr>
          <w:rFonts w:ascii="仿宋_GB2312" w:cs="仿宋_GB2312"/>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w:t>
      </w:r>
      <w:r>
        <w:rPr>
          <w:rFonts w:hint="eastAsia" w:ascii="仿宋_GB2312" w:cs="仿宋_GB2312"/>
          <w:color w:val="auto"/>
          <w:sz w:val="32"/>
          <w:szCs w:val="32"/>
        </w:rPr>
        <w:t>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w:t>
      </w:r>
      <w:r>
        <w:rPr>
          <w:rFonts w:hint="eastAsia" w:ascii="仿宋_GB2312" w:cs="仿宋_GB2312"/>
          <w:b/>
          <w:bCs/>
          <w:color w:val="auto"/>
          <w:sz w:val="32"/>
          <w:szCs w:val="32"/>
          <w:lang w:eastAsia="zh-Hans"/>
        </w:rPr>
        <w:t>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8.36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36</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CN"/>
        </w:rPr>
        <w:t>，其中社区为民办实事经费及工作队工作经费未使用完成</w:t>
      </w:r>
      <w:r>
        <w:rPr>
          <w:rFonts w:hint="eastAsia" w:ascii="仿宋_GB2312" w:cs="仿宋_GB2312"/>
          <w:color w:val="auto"/>
          <w:sz w:val="32"/>
          <w:szCs w:val="32"/>
        </w:rPr>
        <w:t>，根据评分标准，该指标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lang w:eastAsia="zh-CN"/>
        </w:rPr>
        <w:t>根据资金使用</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25</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83</w:t>
      </w:r>
      <w:r>
        <w:rPr>
          <w:rFonts w:ascii="仿宋_GB2312"/>
          <w:color w:val="auto"/>
          <w:sz w:val="32"/>
          <w:szCs w:val="32"/>
        </w:rPr>
        <w:t>.</w:t>
      </w:r>
      <w:r>
        <w:rPr>
          <w:rFonts w:hint="eastAsia" w:ascii="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购买手持电动清雪机”指标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=2.00台</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未进行购买</w:t>
      </w:r>
      <w:r>
        <w:rPr>
          <w:rFonts w:hint="eastAsia" w:ascii="仿宋_GB2312" w:hAnsi="仿宋_GB2312" w:cs="仿宋_GB2312"/>
          <w:color w:val="auto"/>
          <w:sz w:val="32"/>
          <w:szCs w:val="32"/>
        </w:rPr>
        <w:t>，指标完成率为</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%，偏差率为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%，造成偏差原因</w:t>
      </w:r>
      <w:r>
        <w:rPr>
          <w:rFonts w:hint="eastAsia" w:ascii="仿宋_GB2312" w:hAnsi="仿宋_GB2312" w:cs="仿宋_GB2312"/>
          <w:color w:val="auto"/>
          <w:sz w:val="32"/>
          <w:szCs w:val="32"/>
          <w:lang w:eastAsia="zh-Hans"/>
        </w:rPr>
        <w:t>为</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疫情耽误时间长</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根据评分标准，该指标扣</w:t>
      </w:r>
      <w:r>
        <w:rPr>
          <w:rFonts w:hint="eastAsia" w:ascii="仿宋_GB2312"/>
          <w:color w:val="auto"/>
          <w:sz w:val="32"/>
          <w:szCs w:val="32"/>
          <w:lang w:val="en-US" w:eastAsia="zh-CN"/>
        </w:rPr>
        <w:t>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“购买电动自行车”指标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预期指标值为“=4.00辆</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=4辆</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“购买笔记本电脑”指标，</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=1.00台</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=1.00台</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“购买高低杠”指标，</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=5.00组</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=5.00组</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分。</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“购买休闲桌椅”指标，</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=6.00张</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可知，实际</w:t>
      </w:r>
      <w:r>
        <w:rPr>
          <w:rFonts w:hint="eastAsia" w:ascii="仿宋_GB2312" w:hAnsi="仿宋_GB2312" w:cs="仿宋_GB2312"/>
          <w:color w:val="auto"/>
          <w:sz w:val="32"/>
          <w:szCs w:val="32"/>
          <w:lang w:eastAsia="zh-Hans"/>
        </w:rPr>
        <w:t>完成购买休闲桌椅</w:t>
      </w:r>
      <w:r>
        <w:rPr>
          <w:rFonts w:hint="eastAsia" w:ascii="仿宋_GB2312" w:hAnsi="仿宋_GB2312" w:cs="仿宋_GB2312"/>
          <w:color w:val="auto"/>
          <w:sz w:val="32"/>
          <w:szCs w:val="32"/>
          <w:lang w:val="en-US" w:eastAsia="zh-CN"/>
        </w:rPr>
        <w:t>=6.00张</w:t>
      </w:r>
      <w:r>
        <w:rPr>
          <w:rFonts w:hint="eastAsia" w:ascii="仿宋_GB2312" w:hAnsi="仿宋_GB2312" w:cs="仿宋_GB2312"/>
          <w:color w:val="auto"/>
          <w:sz w:val="32"/>
          <w:szCs w:val="32"/>
          <w:lang w:eastAsia="zh-Hans"/>
        </w:rPr>
        <w:t>，与</w:t>
      </w:r>
      <w:r>
        <w:rPr>
          <w:rFonts w:hint="eastAsia" w:ascii="仿宋_GB2312" w:hAnsi="仿宋_GB2312" w:cs="仿宋_GB2312"/>
          <w:color w:val="000000" w:themeColor="text1"/>
          <w:sz w:val="32"/>
          <w:szCs w:val="32"/>
          <w14:textFill>
            <w14:solidFill>
              <w14:schemeClr w14:val="tx1"/>
            </w14:solidFill>
          </w14:textFill>
        </w:rPr>
        <w:t>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pP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组织法律体检”指标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=2.00次</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2022年决算报告</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CN"/>
          <w14:textFill>
            <w14:solidFill>
              <w14:schemeClr w14:val="tx1"/>
            </w14:solidFill>
          </w14:textFill>
        </w:rPr>
        <w:t>未</w:t>
      </w:r>
      <w:r>
        <w:rPr>
          <w:rFonts w:hint="eastAsia" w:ascii="仿宋_GB2312" w:hAnsi="仿宋_GB2312" w:cs="仿宋_GB2312"/>
          <w:color w:val="000000" w:themeColor="text1"/>
          <w:sz w:val="32"/>
          <w:szCs w:val="32"/>
          <w:lang w:eastAsia="zh-Hans"/>
          <w14:textFill>
            <w14:solidFill>
              <w14:schemeClr w14:val="tx1"/>
            </w14:solidFill>
          </w14:textFill>
        </w:rPr>
        <w:t>完成组织法律体检</w:t>
      </w:r>
      <w:r>
        <w:rPr>
          <w:rFonts w:hint="eastAsia" w:ascii="仿宋_GB2312" w:hAnsi="仿宋_GB2312" w:cs="仿宋_GB2312"/>
          <w:color w:val="000000" w:themeColor="text1"/>
          <w:sz w:val="32"/>
          <w:szCs w:val="32"/>
          <w14:textFill>
            <w14:solidFill>
              <w14:schemeClr w14:val="tx1"/>
            </w14:solidFill>
          </w14:textFill>
        </w:rPr>
        <w:t>，指标完成</w:t>
      </w:r>
      <w:r>
        <w:rPr>
          <w:rFonts w:hint="eastAsia" w:ascii="仿宋_GB2312" w:hAnsi="仿宋_GB2312" w:cs="仿宋_GB2312"/>
          <w:color w:val="auto"/>
          <w:sz w:val="32"/>
          <w:szCs w:val="32"/>
        </w:rPr>
        <w:t>率为</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%，偏差率为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%，造成偏差原因</w:t>
      </w:r>
      <w:r>
        <w:rPr>
          <w:rFonts w:hint="eastAsia" w:ascii="仿宋_GB2312" w:hAnsi="仿宋_GB2312" w:cs="仿宋_GB2312"/>
          <w:color w:val="auto"/>
          <w:sz w:val="32"/>
          <w:szCs w:val="32"/>
          <w:lang w:eastAsia="zh-Hans"/>
        </w:rPr>
        <w:t>为</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疫情原因</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根据评分标准，该指标扣</w:t>
      </w:r>
      <w:r>
        <w:rPr>
          <w:rFonts w:hint="eastAsia" w:ascii="仿宋_GB2312"/>
          <w:color w:val="auto"/>
          <w:sz w:val="32"/>
          <w:szCs w:val="32"/>
          <w:lang w:val="en-US" w:eastAsia="zh-CN"/>
        </w:rPr>
        <w:t>1</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分，得</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“组织民族团结一家亲联谊活动”指标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=2.00次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完成组织民族团结一家亲联谊活动</w:t>
      </w:r>
      <w:r>
        <w:rPr>
          <w:rFonts w:hint="eastAsia" w:ascii="宋体" w:hAnsi="宋体" w:eastAsia="宋体" w:cs="仿宋_GB2312"/>
          <w:color w:val="auto"/>
          <w:sz w:val="32"/>
          <w:szCs w:val="32"/>
          <w:lang w:val="en-US" w:eastAsia="zh-CN"/>
        </w:rPr>
        <w:t>=2.00张</w:t>
      </w:r>
      <w:r>
        <w:rPr>
          <w:rFonts w:hint="eastAsia" w:ascii="仿宋_GB2312" w:hAnsi="仿宋_GB2312" w:cs="仿宋_GB2312"/>
          <w:color w:val="auto"/>
          <w:sz w:val="32"/>
          <w:szCs w:val="32"/>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pPr>
      <w:r>
        <w:rPr>
          <w:rFonts w:hint="eastAsia" w:ascii="仿宋_GB2312" w:hAnsi="仿宋_GB2312" w:cs="仿宋_GB2312"/>
          <w:color w:val="auto"/>
          <w:sz w:val="32"/>
          <w:szCs w:val="32"/>
          <w:lang w:eastAsia="zh-Hans"/>
        </w:rPr>
        <w:t>“贫困家庭资助”指标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=4.00张</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2022年决算报告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完成贫困家庭资助</w:t>
      </w:r>
      <w:r>
        <w:rPr>
          <w:rFonts w:hint="eastAsia" w:ascii="宋体" w:hAnsi="宋体" w:eastAsia="宋体" w:cs="仿宋_GB2312"/>
          <w:color w:val="auto"/>
          <w:sz w:val="32"/>
          <w:szCs w:val="32"/>
          <w:lang w:val="en-US" w:eastAsia="zh-CN"/>
        </w:rPr>
        <w:t>=4.00张</w:t>
      </w:r>
      <w:r>
        <w:rPr>
          <w:rFonts w:hint="eastAsia" w:ascii="仿宋_GB2312" w:hAnsi="仿宋_GB2312" w:cs="仿宋_GB2312"/>
          <w:color w:val="auto"/>
          <w:sz w:val="32"/>
          <w:szCs w:val="32"/>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采购验收合格率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当年凭证</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采购验收合格率</w:t>
      </w:r>
      <w:r>
        <w:rPr>
          <w:rFonts w:hint="eastAsia" w:ascii="仿宋_GB2312" w:hAnsi="仿宋_GB2312" w:cs="仿宋_GB2312"/>
          <w:color w:val="auto"/>
          <w:sz w:val="32"/>
          <w:szCs w:val="32"/>
          <w:lang w:eastAsia="zh-CN"/>
        </w:rPr>
        <w:t>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项目支出完成时间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2022年12月31日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资金拨付及时率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spacing w:line="600" w:lineRule="exact"/>
        <w:ind w:left="0" w:leftChars="0" w:firstLine="640" w:firstLineChars="20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CN"/>
        </w:rPr>
        <w:t>成本</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13</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8.63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丰富居民文化生活</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“有效丰富”，</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“有效丰富”</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20</w:t>
      </w:r>
      <w:r>
        <w:rPr>
          <w:rFonts w:hint="eastAsia" w:ascii="仿宋_GB2312" w:hAnsi="仿宋_GB2312" w:cs="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持续提高为民服务水平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长期</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eastAsia="zh-CN"/>
        </w:rPr>
        <w:t>长期</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服务对象满意度”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入户居民满意度</w:t>
      </w:r>
      <w:r>
        <w:rPr>
          <w:rFonts w:hint="eastAsia" w:ascii="仿宋_GB2312" w:cs="仿宋_GB2312"/>
          <w:color w:val="auto"/>
          <w:kern w:val="2"/>
          <w:sz w:val="32"/>
          <w:szCs w:val="32"/>
          <w:lang w:eastAsia="zh-Hans"/>
        </w:rPr>
        <w:t>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服务对象满意度达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63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63</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63</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auto"/>
          <w:sz w:val="32"/>
          <w:szCs w:val="32"/>
        </w:rPr>
        <w:t>项目的绩效目标及指标已经全部达成，不存在偏差情况。</w:t>
      </w:r>
    </w:p>
    <w:p>
      <w:pPr>
        <w:spacing w:line="600" w:lineRule="exact"/>
        <w:ind w:firstLine="640"/>
        <w:rPr>
          <w:rFonts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如有偏差，则写法如下：</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eastAsia="仿宋_GB2312" w:cs="仿宋_GB2312"/>
          <w:b w:val="0"/>
          <w:bCs w:val="0"/>
          <w:color w:val="auto"/>
          <w:sz w:val="32"/>
          <w:szCs w:val="32"/>
          <w:highlight w:val="none"/>
          <w:lang w:val="en-US" w:eastAsia="zh-CN"/>
        </w:rPr>
        <w:t>202</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lang w:val="en-US" w:eastAsia="zh-CN"/>
        </w:rPr>
        <w:t>年</w:t>
      </w:r>
      <w:r>
        <w:rPr>
          <w:rFonts w:hint="eastAsia" w:ascii="仿宋" w:hAnsi="仿宋" w:eastAsia="仿宋" w:cs="仿宋"/>
          <w:bCs/>
          <w:color w:val="auto"/>
          <w:sz w:val="32"/>
          <w:szCs w:val="32"/>
          <w:lang w:eastAsia="zh-CN"/>
        </w:rPr>
        <w:t>“访惠聚”驻村（社区）工作经费</w:t>
      </w:r>
      <w:r>
        <w:rPr>
          <w:rFonts w:hint="eastAsia" w:ascii="仿宋_GB2312"/>
          <w:color w:val="auto"/>
          <w:sz w:val="32"/>
          <w:szCs w:val="32"/>
        </w:rPr>
        <w:t>项目当中，</w:t>
      </w:r>
      <w:r>
        <w:rPr>
          <w:rFonts w:hint="eastAsia" w:ascii="仿宋_GB2312"/>
          <w:color w:val="auto"/>
          <w:sz w:val="32"/>
          <w:szCs w:val="32"/>
          <w:lang w:eastAsia="zh-CN"/>
        </w:rPr>
        <w:t>“</w:t>
      </w:r>
      <w:r>
        <w:rPr>
          <w:rFonts w:hint="eastAsia" w:ascii="仿宋_GB2312"/>
          <w:color w:val="auto"/>
          <w:sz w:val="32"/>
          <w:szCs w:val="32"/>
        </w:rPr>
        <w:t>购买手持电动清雪机</w:t>
      </w:r>
      <w:r>
        <w:rPr>
          <w:rFonts w:hint="eastAsia" w:ascii="仿宋_GB2312"/>
          <w:color w:val="auto"/>
          <w:sz w:val="32"/>
          <w:szCs w:val="32"/>
          <w:lang w:eastAsia="zh-CN"/>
        </w:rPr>
        <w:t>”</w:t>
      </w:r>
      <w:r>
        <w:rPr>
          <w:rFonts w:hint="eastAsia" w:ascii="仿宋_GB2312"/>
          <w:color w:val="auto"/>
          <w:sz w:val="32"/>
          <w:szCs w:val="32"/>
        </w:rPr>
        <w:t>指标</w:t>
      </w:r>
      <w:r>
        <w:rPr>
          <w:rFonts w:hint="eastAsia" w:ascii="仿宋_GB2312"/>
          <w:color w:val="auto"/>
          <w:sz w:val="32"/>
          <w:szCs w:val="32"/>
          <w:lang w:eastAsia="zh-CN"/>
        </w:rPr>
        <w:t>和“组织法律体检”</w:t>
      </w:r>
      <w:r>
        <w:rPr>
          <w:rFonts w:hint="eastAsia" w:ascii="仿宋_GB2312"/>
          <w:color w:val="auto"/>
          <w:sz w:val="32"/>
          <w:szCs w:val="32"/>
        </w:rPr>
        <w:t>指标的实际完成情况未能达到预算指标值，存在偏差的原因如下：</w:t>
      </w:r>
    </w:p>
    <w:p>
      <w:pPr>
        <w:spacing w:line="600" w:lineRule="exact"/>
        <w:ind w:firstLine="640"/>
        <w:rPr>
          <w:rFonts w:ascii="仿宋_GB2312" w:hAnsi="仿宋_GB2312" w:cs="仿宋_GB2312"/>
          <w:b/>
          <w:bCs/>
          <w:color w:val="auto"/>
          <w:sz w:val="32"/>
          <w:szCs w:val="32"/>
        </w:rPr>
      </w:pPr>
      <w:r>
        <w:rPr>
          <w:rFonts w:hint="eastAsia" w:ascii="仿宋_GB2312" w:hAnsi="仿宋_GB2312" w:cs="仿宋_GB2312"/>
          <w:color w:val="auto"/>
          <w:sz w:val="32"/>
          <w:szCs w:val="32"/>
        </w:rPr>
        <w:t>1</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w:t>
      </w:r>
      <w:r>
        <w:rPr>
          <w:rFonts w:hint="eastAsia" w:ascii="仿宋_GB2312"/>
          <w:color w:val="auto"/>
          <w:sz w:val="32"/>
          <w:szCs w:val="32"/>
        </w:rPr>
        <w:t>购买手持电动清雪机</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=2.00台</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=0台</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，偏差率为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 ，偏差原因</w:t>
      </w:r>
      <w:r>
        <w:rPr>
          <w:rFonts w:hint="eastAsia" w:ascii="仿宋_GB2312" w:hAnsi="仿宋_GB2312" w:cs="仿宋_GB2312"/>
          <w:color w:val="auto"/>
          <w:sz w:val="32"/>
          <w:szCs w:val="32"/>
          <w:lang w:eastAsia="zh-Hans"/>
        </w:rPr>
        <w:t>是由于</w:t>
      </w:r>
      <w:r>
        <w:rPr>
          <w:rFonts w:hint="eastAsia" w:ascii="仿宋_GB2312" w:hAnsi="仿宋_GB2312" w:cs="仿宋_GB2312"/>
          <w:color w:val="auto"/>
          <w:sz w:val="32"/>
          <w:szCs w:val="32"/>
          <w:lang w:eastAsia="zh-CN"/>
        </w:rPr>
        <w:t>疫情持续时间长</w:t>
      </w:r>
      <w:r>
        <w:rPr>
          <w:rFonts w:hint="eastAsia" w:ascii="仿宋_GB2312" w:hAnsi="仿宋_GB2312" w:cs="仿宋_GB2312"/>
          <w:color w:val="auto"/>
          <w:sz w:val="32"/>
          <w:szCs w:val="32"/>
          <w:lang w:val="en-US" w:eastAsia="zh-CN"/>
        </w:rPr>
        <w:t xml:space="preserve"> </w:t>
      </w:r>
      <w:r>
        <w:rPr>
          <w:rFonts w:ascii="仿宋_GB2312" w:hAnsi="仿宋_GB2312" w:cs="仿宋_GB2312"/>
          <w:color w:val="auto"/>
          <w:sz w:val="32"/>
          <w:szCs w:val="32"/>
        </w:rPr>
        <w:t>。</w:t>
      </w:r>
    </w:p>
    <w:bookmarkEnd w:id="16"/>
    <w:bookmarkEnd w:id="17"/>
    <w:p>
      <w:pPr>
        <w:spacing w:line="600" w:lineRule="exact"/>
        <w:ind w:firstLine="640"/>
        <w:rPr>
          <w:rFonts w:ascii="仿宋_GB2312" w:hAnsi="仿宋_GB2312" w:cs="仿宋_GB2312"/>
          <w:b/>
          <w:bCs/>
          <w:color w:val="auto"/>
          <w:sz w:val="32"/>
          <w:szCs w:val="32"/>
        </w:rPr>
      </w:pPr>
      <w:r>
        <w:rPr>
          <w:rFonts w:ascii="仿宋_GB2312" w:hAnsi="仿宋_GB2312" w:cs="仿宋_GB2312"/>
          <w:color w:val="auto"/>
          <w:sz w:val="32"/>
          <w:szCs w:val="32"/>
          <w:lang w:eastAsia="zh-Hans"/>
        </w:rPr>
        <w:t>2.</w:t>
      </w:r>
      <w:r>
        <w:rPr>
          <w:rFonts w:hint="eastAsia" w:ascii="仿宋_GB2312" w:hAnsi="仿宋_GB2312" w:cs="仿宋_GB2312"/>
          <w:color w:val="auto"/>
          <w:sz w:val="32"/>
          <w:szCs w:val="32"/>
          <w:lang w:eastAsia="zh-Hans"/>
        </w:rPr>
        <w:t>“</w:t>
      </w:r>
      <w:r>
        <w:rPr>
          <w:rFonts w:hint="eastAsia" w:ascii="仿宋_GB2312"/>
          <w:color w:val="auto"/>
          <w:sz w:val="32"/>
          <w:szCs w:val="32"/>
        </w:rPr>
        <w:t>组织法律体检</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=2.00次</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=0次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，偏差率为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 ，偏差原因</w:t>
      </w:r>
      <w:r>
        <w:rPr>
          <w:rFonts w:hint="eastAsia" w:ascii="仿宋_GB2312" w:hAnsi="仿宋_GB2312" w:cs="仿宋_GB2312"/>
          <w:color w:val="auto"/>
          <w:sz w:val="32"/>
          <w:szCs w:val="32"/>
          <w:lang w:eastAsia="zh-Hans"/>
        </w:rPr>
        <w:t>是由于</w:t>
      </w:r>
      <w:r>
        <w:rPr>
          <w:rFonts w:hint="eastAsia" w:ascii="仿宋_GB2312" w:hAnsi="仿宋_GB2312" w:cs="仿宋_GB2312"/>
          <w:color w:val="auto"/>
          <w:sz w:val="32"/>
          <w:szCs w:val="32"/>
          <w:lang w:eastAsia="zh-CN"/>
        </w:rPr>
        <w:t>疫情持续时间长</w:t>
      </w:r>
      <w:r>
        <w:rPr>
          <w:rFonts w:hint="eastAsia" w:ascii="仿宋_GB2312" w:hAnsi="仿宋_GB2312" w:cs="仿宋_GB2312"/>
          <w:color w:val="auto"/>
          <w:sz w:val="32"/>
          <w:szCs w:val="32"/>
          <w:lang w:val="en-US" w:eastAsia="zh-CN"/>
        </w:rPr>
        <w:t>，无法聚集</w:t>
      </w:r>
      <w:r>
        <w:rPr>
          <w:rFonts w:ascii="仿宋_GB2312" w:hAnsi="仿宋_GB2312" w:cs="仿宋_GB2312"/>
          <w:color w:val="auto"/>
          <w:sz w:val="32"/>
          <w:szCs w:val="32"/>
        </w:rPr>
        <w:t>。</w:t>
      </w:r>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3"/>
        <w:spacing w:before="0" w:after="0" w:line="600" w:lineRule="exact"/>
        <w:ind w:left="560"/>
        <w:rPr>
          <w:rFonts w:ascii="仿宋_GB2312"/>
          <w:bCs/>
          <w:color w:val="auto"/>
          <w:spacing w:val="-4"/>
          <w:sz w:val="32"/>
          <w:szCs w:val="32"/>
        </w:rPr>
      </w:pPr>
      <w:r>
        <w:rPr>
          <w:rFonts w:hint="eastAsia" w:ascii="仿宋_GB2312" w:hAnsi="仿宋_GB2312" w:cs="仿宋_GB2312"/>
          <w:color w:val="auto"/>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因</w:t>
      </w:r>
      <w:r>
        <w:rPr>
          <w:rFonts w:hint="eastAsia" w:ascii="仿宋_GB2312" w:hAnsi="仿宋_GB2312" w:cs="仿宋_GB2312"/>
          <w:color w:val="auto"/>
          <w:kern w:val="0"/>
          <w:sz w:val="32"/>
          <w:szCs w:val="32"/>
          <w:lang w:val="en-US" w:eastAsia="zh-CN" w:bidi="ar-SA"/>
        </w:rPr>
        <w:t>2022年</w:t>
      </w:r>
      <w:r>
        <w:rPr>
          <w:rFonts w:hint="eastAsia" w:ascii="仿宋_GB2312" w:hAnsi="仿宋_GB2312" w:eastAsia="仿宋_GB2312" w:cs="仿宋_GB2312"/>
          <w:color w:val="auto"/>
          <w:kern w:val="0"/>
          <w:sz w:val="32"/>
          <w:szCs w:val="32"/>
          <w:lang w:val="en-US" w:eastAsia="zh-CN" w:bidi="ar-SA"/>
        </w:rPr>
        <w:t>疫情持续时间长，</w:t>
      </w:r>
      <w:r>
        <w:rPr>
          <w:rFonts w:hint="eastAsia" w:ascii="仿宋_GB2312" w:hAnsi="仿宋_GB2312" w:cs="仿宋_GB2312"/>
          <w:color w:val="auto"/>
          <w:kern w:val="0"/>
          <w:sz w:val="32"/>
          <w:szCs w:val="32"/>
          <w:lang w:val="en-US" w:eastAsia="zh-CN" w:bidi="ar-SA"/>
        </w:rPr>
        <w:t>部分计划未完成，将在下一年度抓紧完成。</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3NTM3YTM2MjgzYjg5YWNjYjY2M2JhNzNhZDIwMT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93645CF"/>
    <w:rsid w:val="12F1313F"/>
    <w:rsid w:val="13E12077"/>
    <w:rsid w:val="15DC6CEA"/>
    <w:rsid w:val="1A9A1B4D"/>
    <w:rsid w:val="1B245B7C"/>
    <w:rsid w:val="214B0FAD"/>
    <w:rsid w:val="245E1E24"/>
    <w:rsid w:val="2E483E7E"/>
    <w:rsid w:val="33944516"/>
    <w:rsid w:val="3B816234"/>
    <w:rsid w:val="512E53F4"/>
    <w:rsid w:val="68291A1A"/>
    <w:rsid w:val="691B1594"/>
    <w:rsid w:val="6E2B7217"/>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8349</Words>
  <Characters>8894</Characters>
  <Lines>1</Lines>
  <Paragraphs>1</Paragraphs>
  <TotalTime>19</TotalTime>
  <ScaleCrop>false</ScaleCrop>
  <LinksUpToDate>false</LinksUpToDate>
  <CharactersWithSpaces>8928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2023-04-18T10:36:15Z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12E753776ECC4D58B0317AD5FF0E6898</vt:lpwstr>
  </property>
</Properties>
</file>