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sz w:val="48"/>
          <w:szCs w:val="48"/>
        </w:rPr>
      </w:pPr>
      <w:r>
        <w:rPr>
          <w:rFonts w:hint="eastAsia" w:ascii="方正小标宋简体" w:hAnsi="方正小标宋简体" w:eastAsia="方正小标宋简体" w:cs="方正小标宋简体"/>
          <w:kern w:val="2"/>
          <w:sz w:val="48"/>
          <w:szCs w:val="48"/>
          <w:lang w:val="en-US" w:eastAsia="zh-CN" w:bidi="ar"/>
        </w:rPr>
        <w:t>昌吉市住房和城乡建设局中小企业欠款化解资金（第三批）</w:t>
      </w:r>
      <w:r>
        <w:rPr>
          <w:rFonts w:hint="eastAsia" w:ascii="方正小标宋简体" w:hAnsi="黑体" w:eastAsia="方正小标宋简体" w:cs="黑体"/>
          <w:bCs/>
          <w:sz w:val="48"/>
          <w:szCs w:val="48"/>
        </w:rPr>
        <w:t>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left="0" w:leftChars="0" w:firstLine="0" w:firstLineChars="0"/>
        <w:jc w:val="both"/>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360" w:lineRule="auto"/>
        <w:ind w:left="0" w:right="0" w:firstLine="600" w:firstLineChars="200"/>
        <w:jc w:val="both"/>
        <w:rPr>
          <w:rFonts w:hint="eastAsia" w:ascii="黑体" w:hAnsi="宋体" w:eastAsia="黑体" w:cs="黑体"/>
          <w:color w:val="000000"/>
          <w:kern w:val="2"/>
          <w:sz w:val="30"/>
          <w:szCs w:val="30"/>
          <w:lang w:val="en-US" w:eastAsia="zh-CN" w:bidi="ar"/>
        </w:rPr>
      </w:pPr>
      <w:r>
        <w:rPr>
          <w:rFonts w:ascii="黑体" w:hAnsi="黑体" w:eastAsia="黑体" w:cs="宋体"/>
          <w:sz w:val="30"/>
          <w:szCs w:val="30"/>
        </w:rPr>
        <w:t>项目名称：</w:t>
      </w:r>
      <w:bookmarkStart w:id="0" w:name="_Hlk68780987"/>
      <w:r>
        <w:rPr>
          <w:rFonts w:ascii="黑体" w:hAnsi="黑体" w:eastAsia="黑体" w:cs="仿宋_GB2312"/>
          <w:sz w:val="30"/>
          <w:szCs w:val="30"/>
        </w:rPr>
        <w:t>202</w:t>
      </w:r>
      <w:r>
        <w:rPr>
          <w:rFonts w:hint="eastAsia" w:ascii="黑体" w:hAnsi="黑体" w:eastAsia="黑体" w:cs="仿宋_GB2312"/>
          <w:sz w:val="30"/>
          <w:szCs w:val="30"/>
          <w:lang w:val="en-US" w:eastAsia="zh-CN"/>
        </w:rPr>
        <w:t>2</w:t>
      </w:r>
      <w:r>
        <w:rPr>
          <w:rFonts w:hint="eastAsia" w:ascii="黑体" w:hAnsi="黑体" w:eastAsia="黑体" w:cs="仿宋_GB2312"/>
          <w:sz w:val="30"/>
          <w:szCs w:val="30"/>
        </w:rPr>
        <w:t>年</w:t>
      </w:r>
      <w:r>
        <w:rPr>
          <w:rFonts w:hint="eastAsia" w:ascii="黑体" w:hAnsi="宋体" w:eastAsia="黑体" w:cs="黑体"/>
          <w:color w:val="000000"/>
          <w:kern w:val="2"/>
          <w:sz w:val="30"/>
          <w:szCs w:val="30"/>
          <w:lang w:val="en-US" w:eastAsia="zh-CN" w:bidi="ar"/>
        </w:rPr>
        <w:t>昌吉市住房和城乡建设局中小企业欠款化解资金（第三批）</w:t>
      </w:r>
      <w:bookmarkEnd w:id="0"/>
    </w:p>
    <w:p>
      <w:pPr>
        <w:keepNext w:val="0"/>
        <w:keepLines w:val="0"/>
        <w:widowControl w:val="0"/>
        <w:suppressLineNumbers w:val="0"/>
        <w:spacing w:before="0" w:beforeAutospacing="0" w:after="0" w:afterAutospacing="0" w:line="360" w:lineRule="auto"/>
        <w:ind w:left="0" w:right="0" w:firstLine="600" w:firstLineChars="200"/>
        <w:jc w:val="both"/>
        <w:rPr>
          <w:rFonts w:hint="eastAsia" w:ascii="黑体" w:hAnsi="宋体" w:eastAsia="黑体" w:cs="黑体"/>
          <w:color w:val="000000"/>
          <w:kern w:val="2"/>
          <w:sz w:val="30"/>
          <w:szCs w:val="30"/>
          <w:lang w:val="en-US" w:eastAsia="zh-CN" w:bidi="ar"/>
        </w:rPr>
      </w:pPr>
      <w:r>
        <w:rPr>
          <w:rFonts w:ascii="黑体" w:hAnsi="黑体" w:eastAsia="黑体" w:cs="宋体"/>
          <w:sz w:val="30"/>
          <w:szCs w:val="30"/>
        </w:rPr>
        <w:t>项目单位：</w:t>
      </w:r>
      <w:r>
        <w:rPr>
          <w:rFonts w:hint="eastAsia" w:ascii="黑体" w:hAnsi="宋体" w:eastAsia="黑体" w:cs="黑体"/>
          <w:color w:val="000000"/>
          <w:kern w:val="2"/>
          <w:sz w:val="30"/>
          <w:szCs w:val="30"/>
          <w:lang w:val="en-US" w:eastAsia="zh-CN" w:bidi="ar"/>
        </w:rPr>
        <w:t>昌吉市住房和城乡建设局</w:t>
      </w:r>
    </w:p>
    <w:p>
      <w:pPr>
        <w:ind w:left="0" w:leftChars="0" w:firstLine="600" w:firstLineChars="200"/>
        <w:rPr>
          <w:rFonts w:ascii="黑体" w:hAnsi="黑体" w:eastAsia="黑体" w:cs="宋体"/>
          <w:sz w:val="30"/>
          <w:szCs w:val="30"/>
        </w:rPr>
      </w:pPr>
      <w:r>
        <w:rPr>
          <w:rFonts w:ascii="黑体" w:hAnsi="黑体" w:eastAsia="黑体" w:cs="宋体"/>
          <w:sz w:val="30"/>
          <w:szCs w:val="30"/>
        </w:rPr>
        <w:t>主管部门：</w:t>
      </w:r>
      <w:r>
        <w:rPr>
          <w:rFonts w:hint="eastAsia" w:ascii="黑体" w:hAnsi="宋体" w:eastAsia="黑体" w:cs="黑体"/>
          <w:color w:val="000000"/>
          <w:kern w:val="2"/>
          <w:sz w:val="30"/>
          <w:szCs w:val="30"/>
          <w:lang w:val="en-US" w:eastAsia="zh-CN" w:bidi="ar"/>
        </w:rPr>
        <w:t>昌吉市住房和城乡建设局</w:t>
      </w:r>
    </w:p>
    <w:p>
      <w:pPr>
        <w:rPr>
          <w:rFonts w:hint="eastAsia" w:ascii="黑体" w:hAnsi="黑体" w:eastAsia="黑体" w:cs="宋体"/>
          <w:sz w:val="30"/>
          <w:szCs w:val="30"/>
          <w:lang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val="en-US" w:eastAsia="zh-CN"/>
        </w:rPr>
        <w:t>刘洪</w:t>
      </w:r>
    </w:p>
    <w:p>
      <w:pPr>
        <w:rPr>
          <w:rFonts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10</w:t>
      </w:r>
      <w:r>
        <w:rPr>
          <w:rFonts w:hint="eastAsia" w:ascii="黑体" w:hAnsi="黑体" w:eastAsia="黑体" w:cs="仿宋_GB2312"/>
          <w:color w:val="000000" w:themeColor="text1"/>
          <w:sz w:val="30"/>
          <w:szCs w:val="30"/>
          <w14:textFill>
            <w14:solidFill>
              <w14:schemeClr w14:val="tx1"/>
            </w14:solidFill>
          </w14:textFill>
        </w:rPr>
        <w:t>日</w:t>
      </w: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rFonts w:hint="eastAsia"/>
          <w:sz w:val="32"/>
        </w:rPr>
      </w:pPr>
      <w:r>
        <w:rPr>
          <w:rFonts w:hint="eastAsia"/>
          <w:sz w:val="32"/>
        </w:rPr>
        <w:t>1.项目背景</w:t>
      </w:r>
    </w:p>
    <w:p>
      <w:pPr>
        <w:pStyle w:val="20"/>
        <w:spacing w:line="600" w:lineRule="exact"/>
        <w:ind w:firstLine="624"/>
      </w:pPr>
      <w:r>
        <w:rPr>
          <w:rFonts w:hint="eastAsia"/>
          <w:spacing w:val="-4"/>
          <w:sz w:val="32"/>
          <w:szCs w:val="32"/>
        </w:rPr>
        <w:t>近年来，拖欠中小企业款项问题较为突出。2018年底以来，按照党中央、国务院的部署，国务院减轻企业负担部际联席会议办公室组织开展了清理拖欠民营企业中小企业账款工作，取得积极成效。为贯彻落实党中央、国务院决策部署，建立防范化解拖欠中小企业款项长效机制，进一步落实《中小企业促进法》关于国家机关、事业单位和大型企业不得违约拖欠中小企业的货物、工程、服务款项的规定，在总结清欠工作实践经验、广泛听取各方面意见，并研究借鉴一些国家（地区）相关法律制度的基础上，国务院制定了《条例》。</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pStyle w:val="2"/>
        <w:spacing w:line="600" w:lineRule="exact"/>
        <w:ind w:firstLine="643"/>
        <w:rPr>
          <w:sz w:val="32"/>
        </w:rPr>
      </w:pPr>
      <w:r>
        <w:rPr>
          <w:rFonts w:hint="eastAsia" w:ascii="仿宋_GB2312" w:hAnsi="仿宋_GB2312" w:cs="仿宋_GB2312"/>
          <w:color w:val="000000" w:themeColor="text1"/>
          <w:sz w:val="32"/>
          <w:szCs w:val="32"/>
          <w14:textFill>
            <w14:solidFill>
              <w14:schemeClr w14:val="tx1"/>
            </w14:solidFill>
          </w14:textFill>
        </w:rPr>
        <w:t>本项目主要</w:t>
      </w:r>
      <w:r>
        <w:rPr>
          <w:rFonts w:hint="eastAsia" w:ascii="仿宋_GB2312" w:hAnsi="仿宋_GB2312" w:cs="仿宋_GB2312"/>
          <w:color w:val="000000" w:themeColor="text1"/>
          <w:sz w:val="32"/>
          <w:szCs w:val="32"/>
          <w:lang w:eastAsia="zh-Hans"/>
          <w14:textFill>
            <w14:solidFill>
              <w14:schemeClr w14:val="tx1"/>
            </w14:solidFill>
          </w14:textFill>
        </w:rPr>
        <w:t>内容为</w:t>
      </w:r>
      <w:r>
        <w:rPr>
          <w:rFonts w:hint="eastAsia"/>
          <w:b w:val="0"/>
          <w:bCs w:val="0"/>
          <w:color w:val="auto"/>
          <w:sz w:val="32"/>
          <w:szCs w:val="32"/>
          <w:highlight w:val="none"/>
          <w:lang w:val="en-US" w:eastAsia="zh-CN"/>
        </w:rPr>
        <w:t>本年度到账100.06万元，用于偿还5个项目施工款，有效的提升政府良好形象，降低上访风险，维护政府形象。</w:t>
      </w:r>
    </w:p>
    <w:p>
      <w:pPr>
        <w:pStyle w:val="2"/>
        <w:numPr>
          <w:numId w:val="0"/>
        </w:numPr>
        <w:spacing w:line="600" w:lineRule="exact"/>
        <w:ind w:firstLine="643" w:firstLineChars="200"/>
        <w:rPr>
          <w:rFonts w:hint="eastAsia"/>
          <w:color w:val="auto"/>
          <w:sz w:val="32"/>
          <w:highlight w:val="none"/>
        </w:rPr>
      </w:pPr>
      <w:r>
        <w:rPr>
          <w:rFonts w:hint="eastAsia"/>
          <w:color w:val="auto"/>
          <w:sz w:val="32"/>
          <w:highlight w:val="none"/>
          <w:lang w:val="en-US" w:eastAsia="zh-CN"/>
        </w:rPr>
        <w:t>3.</w:t>
      </w:r>
      <w:r>
        <w:rPr>
          <w:rFonts w:hint="eastAsia"/>
          <w:color w:val="auto"/>
          <w:sz w:val="32"/>
          <w:highlight w:val="none"/>
        </w:rPr>
        <w:t>项目实施主体</w:t>
      </w:r>
    </w:p>
    <w:p>
      <w:pPr>
        <w:pStyle w:val="20"/>
        <w:spacing w:line="570" w:lineRule="exact"/>
        <w:ind w:firstLine="640"/>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Hans" w:bidi="ar-SA"/>
        </w:rPr>
        <w:t>202</w:t>
      </w:r>
      <w:r>
        <w:rPr>
          <w:rFonts w:hint="eastAsia" w:ascii="Times New Roman" w:hAnsi="Times New Roman" w:eastAsia="仿宋_GB2312" w:cs="Times New Roman"/>
          <w:color w:val="auto"/>
          <w:kern w:val="2"/>
          <w:sz w:val="32"/>
          <w:szCs w:val="32"/>
          <w:highlight w:val="none"/>
          <w:lang w:val="en-US" w:eastAsia="zh-CN" w:bidi="ar-SA"/>
        </w:rPr>
        <w:t>2</w:t>
      </w:r>
      <w:r>
        <w:rPr>
          <w:rFonts w:hint="eastAsia" w:ascii="Times New Roman" w:hAnsi="Times New Roman" w:eastAsia="仿宋_GB2312" w:cs="Times New Roman"/>
          <w:color w:val="auto"/>
          <w:kern w:val="2"/>
          <w:sz w:val="32"/>
          <w:szCs w:val="32"/>
          <w:highlight w:val="none"/>
          <w:lang w:val="en-US" w:eastAsia="zh-Hans" w:bidi="ar-SA"/>
        </w:rPr>
        <w:t>年</w:t>
      </w:r>
      <w:r>
        <w:rPr>
          <w:rFonts w:hint="eastAsia" w:ascii="Times New Roman" w:hAnsi="Times New Roman" w:eastAsia="仿宋_GB2312" w:cs="Times New Roman"/>
          <w:color w:val="auto"/>
          <w:kern w:val="2"/>
          <w:sz w:val="32"/>
          <w:szCs w:val="32"/>
          <w:highlight w:val="none"/>
          <w:lang w:val="en-US" w:eastAsia="zh-CN" w:bidi="ar-SA"/>
        </w:rPr>
        <w:t>中小企业欠款化解资金（第三批），</w:t>
      </w:r>
      <w:r>
        <w:rPr>
          <w:rFonts w:hint="eastAsia" w:ascii="Times New Roman" w:hAnsi="Times New Roman" w:eastAsia="仿宋_GB2312" w:cs="Times New Roman"/>
          <w:color w:val="auto"/>
          <w:kern w:val="2"/>
          <w:sz w:val="32"/>
          <w:szCs w:val="32"/>
          <w:highlight w:val="none"/>
          <w:lang w:val="en-US" w:eastAsia="zh-Hans" w:bidi="ar-SA"/>
        </w:rPr>
        <w:t>实施主体</w:t>
      </w:r>
      <w:r>
        <w:rPr>
          <w:rFonts w:hint="eastAsia" w:ascii="Times New Roman" w:hAnsi="Times New Roman" w:eastAsia="仿宋_GB2312" w:cs="Times New Roman"/>
          <w:color w:val="auto"/>
          <w:kern w:val="2"/>
          <w:sz w:val="32"/>
          <w:szCs w:val="32"/>
          <w:highlight w:val="none"/>
          <w:lang w:val="en-US" w:eastAsia="zh-CN" w:bidi="ar-SA"/>
        </w:rPr>
        <w:t>为昌吉市住房和城乡建设局，该局纳入2022年部门决算编制范围的有7个办公室：、党政办公室、合同预算科，计划财务科、城市建设科、村镇科、建筑业管理科、公用事业科等</w:t>
      </w:r>
      <w:r>
        <w:rPr>
          <w:rFonts w:hint="eastAsia" w:cs="Times New Roman"/>
          <w:color w:val="auto"/>
          <w:kern w:val="2"/>
          <w:sz w:val="32"/>
          <w:szCs w:val="32"/>
          <w:highlight w:val="none"/>
          <w:lang w:val="en-US" w:eastAsia="zh-CN" w:bidi="ar-SA"/>
        </w:rPr>
        <w:t>。</w:t>
      </w:r>
    </w:p>
    <w:p>
      <w:pPr>
        <w:numPr>
          <w:ilvl w:val="0"/>
          <w:numId w:val="0"/>
        </w:numPr>
        <w:ind w:firstLine="640" w:firstLineChars="200"/>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编制人数为18人，其中：行政人员编制15人、工勤2人、参公3人、事业编制53人。实有在职人数71人，其中：行政在职15人，工勤2人、参公3人、事业在职71人。离退休人员74人，其中：行政退休人员28人、事业退休46人。</w:t>
      </w:r>
    </w:p>
    <w:p>
      <w:pPr>
        <w:pStyle w:val="2"/>
        <w:spacing w:line="600" w:lineRule="exact"/>
        <w:ind w:firstLine="643"/>
        <w:rPr>
          <w:color w:val="auto"/>
          <w:sz w:val="32"/>
          <w:highlight w:val="none"/>
        </w:rPr>
      </w:pPr>
      <w:r>
        <w:rPr>
          <w:color w:val="auto"/>
          <w:sz w:val="32"/>
          <w:highlight w:val="none"/>
        </w:rPr>
        <w:t>4</w:t>
      </w:r>
      <w:r>
        <w:rPr>
          <w:rFonts w:hint="eastAsia"/>
          <w:color w:val="auto"/>
          <w:sz w:val="32"/>
          <w:highlight w:val="none"/>
        </w:rPr>
        <w:t>.</w:t>
      </w:r>
      <w:r>
        <w:rPr>
          <w:rFonts w:hint="eastAsia" w:cs="仿宋_GB2312"/>
          <w:color w:val="auto"/>
          <w:sz w:val="32"/>
          <w:highlight w:val="none"/>
        </w:rPr>
        <w:t xml:space="preserve"> 资金投入和使用情况</w:t>
      </w:r>
    </w:p>
    <w:p>
      <w:pPr>
        <w:spacing w:line="600" w:lineRule="exact"/>
        <w:ind w:firstLine="640"/>
        <w:rPr>
          <w:rFonts w:ascii="仿宋_GB2312" w:hAnsi="仿宋_GB2312" w:cs="仿宋_GB2312"/>
          <w:color w:val="auto"/>
          <w:sz w:val="32"/>
          <w:szCs w:val="32"/>
          <w:highlight w:val="none"/>
        </w:rPr>
      </w:pPr>
      <w:r>
        <w:rPr>
          <w:rFonts w:hint="eastAsia"/>
          <w:color w:val="auto"/>
          <w:sz w:val="32"/>
          <w:szCs w:val="32"/>
          <w:highlight w:val="none"/>
        </w:rPr>
        <w:t>（1）项目资金安排落实、总投入情况</w:t>
      </w:r>
    </w:p>
    <w:p>
      <w:pPr>
        <w:spacing w:line="600" w:lineRule="exact"/>
        <w:ind w:firstLine="640"/>
        <w:rPr>
          <w:rFonts w:ascii="仿宋_GB2312" w:hAnsi="仿宋_GB2312" w:cs="仿宋_GB2312"/>
          <w:color w:val="auto"/>
          <w:sz w:val="32"/>
          <w:szCs w:val="32"/>
          <w:highlight w:val="none"/>
        </w:rPr>
      </w:pPr>
      <w:r>
        <w:rPr>
          <w:rFonts w:hint="eastAsia"/>
          <w:color w:val="auto"/>
          <w:sz w:val="32"/>
          <w:szCs w:val="32"/>
          <w:highlight w:val="none"/>
        </w:rPr>
        <w:t>根据《财政支出绩效评价管理暂行办法》（财预〔2020〕10号）文件</w:t>
      </w:r>
      <w:r>
        <w:rPr>
          <w:rFonts w:hint="eastAsia" w:ascii="仿宋_GB2312" w:hAnsi="仿宋_GB2312" w:cs="仿宋_GB2312"/>
          <w:color w:val="auto"/>
          <w:sz w:val="32"/>
          <w:szCs w:val="32"/>
          <w:highlight w:val="none"/>
          <w:lang w:eastAsia="zh-Hans"/>
        </w:rPr>
        <w:t>文件，</w:t>
      </w:r>
      <w:r>
        <w:rPr>
          <w:rFonts w:ascii="仿宋_GB2312" w:hAnsi="仿宋_GB2312" w:cs="仿宋_GB2312"/>
          <w:color w:val="auto"/>
          <w:sz w:val="32"/>
          <w:szCs w:val="32"/>
          <w:highlight w:val="none"/>
          <w:lang w:eastAsia="zh-Hans"/>
        </w:rPr>
        <w:t>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eastAsia="zh-Hans"/>
        </w:rPr>
        <w:t>年</w:t>
      </w:r>
      <w:r>
        <w:rPr>
          <w:rFonts w:hint="eastAsia" w:ascii="仿宋_GB2312" w:hAnsi="仿宋_GB2312" w:cs="仿宋_GB2312"/>
          <w:color w:val="auto"/>
          <w:sz w:val="32"/>
          <w:szCs w:val="32"/>
          <w:highlight w:val="none"/>
          <w:lang w:val="en-US" w:eastAsia="zh-CN"/>
        </w:rPr>
        <w:t>中小企业欠款化解资金（第三批）</w:t>
      </w:r>
      <w:r>
        <w:rPr>
          <w:rFonts w:hint="eastAsia" w:ascii="仿宋_GB2312" w:hAnsi="仿宋_GB2312" w:cs="仿宋_GB2312"/>
          <w:color w:val="auto"/>
          <w:sz w:val="32"/>
          <w:szCs w:val="32"/>
          <w:highlight w:val="none"/>
          <w:lang w:eastAsia="zh-Hans"/>
        </w:rPr>
        <w:t>预算</w:t>
      </w:r>
      <w:r>
        <w:rPr>
          <w:rFonts w:hint="eastAsia" w:ascii="仿宋_GB2312" w:hAnsi="仿宋_GB2312" w:cs="仿宋_GB2312"/>
          <w:color w:val="auto"/>
          <w:sz w:val="32"/>
          <w:szCs w:val="32"/>
          <w:highlight w:val="none"/>
        </w:rPr>
        <w:t>安排资金</w:t>
      </w:r>
      <w:r>
        <w:rPr>
          <w:rFonts w:hint="eastAsia" w:ascii="仿宋_GB2312" w:hAnsi="仿宋_GB2312" w:cs="仿宋_GB2312"/>
          <w:color w:val="auto"/>
          <w:sz w:val="32"/>
          <w:szCs w:val="32"/>
          <w:highlight w:val="none"/>
          <w:lang w:eastAsia="zh-Hans"/>
        </w:rPr>
        <w:t>总额</w:t>
      </w:r>
      <w:r>
        <w:rPr>
          <w:rFonts w:hint="eastAsia" w:ascii="仿宋_GB2312"/>
          <w:color w:val="auto"/>
          <w:sz w:val="32"/>
          <w:szCs w:val="32"/>
          <w:highlight w:val="none"/>
          <w:lang w:val="en-US" w:eastAsia="zh-CN"/>
        </w:rPr>
        <w:t>100.06万元</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其中</w:t>
      </w:r>
      <w:r>
        <w:rPr>
          <w:rFonts w:hint="eastAsia" w:ascii="仿宋_GB2312"/>
          <w:color w:val="auto"/>
          <w:sz w:val="32"/>
          <w:szCs w:val="32"/>
          <w:highlight w:val="none"/>
        </w:rPr>
        <w:t>财政资</w:t>
      </w:r>
      <w:r>
        <w:rPr>
          <w:rFonts w:hint="eastAsia" w:ascii="仿宋_GB2312" w:hAnsi="仿宋_GB2312" w:cs="仿宋_GB2312"/>
          <w:color w:val="auto"/>
          <w:sz w:val="32"/>
          <w:szCs w:val="32"/>
          <w:highlight w:val="none"/>
        </w:rPr>
        <w:t>金</w:t>
      </w:r>
      <w:r>
        <w:rPr>
          <w:rFonts w:hint="eastAsia" w:ascii="仿宋_GB2312"/>
          <w:color w:val="auto"/>
          <w:sz w:val="32"/>
          <w:szCs w:val="32"/>
          <w:highlight w:val="none"/>
          <w:lang w:val="en-US" w:eastAsia="zh-CN"/>
        </w:rPr>
        <w:t>0</w:t>
      </w:r>
      <w:r>
        <w:rPr>
          <w:rFonts w:hint="eastAsia" w:ascii="仿宋_GB2312"/>
          <w:color w:val="auto"/>
          <w:sz w:val="32"/>
          <w:szCs w:val="32"/>
          <w:highlight w:val="none"/>
        </w:rPr>
        <w:t>万元、其他资金</w:t>
      </w:r>
      <w:r>
        <w:rPr>
          <w:rFonts w:hint="eastAsia" w:ascii="仿宋_GB2312"/>
          <w:color w:val="auto"/>
          <w:sz w:val="32"/>
          <w:szCs w:val="32"/>
          <w:highlight w:val="none"/>
          <w:lang w:val="en-US" w:eastAsia="zh-CN"/>
        </w:rPr>
        <w:t>0</w:t>
      </w:r>
      <w:r>
        <w:rPr>
          <w:rFonts w:hint="eastAsia" w:ascii="仿宋_GB2312"/>
          <w:color w:val="auto"/>
          <w:sz w:val="32"/>
          <w:szCs w:val="32"/>
          <w:highlight w:val="none"/>
        </w:rPr>
        <w:t>万元，20</w:t>
      </w:r>
      <w:r>
        <w:rPr>
          <w:rFonts w:hint="eastAsia" w:ascii="仿宋_GB2312"/>
          <w:color w:val="auto"/>
          <w:sz w:val="32"/>
          <w:szCs w:val="32"/>
          <w:highlight w:val="none"/>
          <w:lang w:val="en-US" w:eastAsia="zh-CN"/>
        </w:rPr>
        <w:t>22</w:t>
      </w:r>
      <w:r>
        <w:rPr>
          <w:rFonts w:hint="eastAsia" w:ascii="仿宋_GB2312"/>
          <w:color w:val="auto"/>
          <w:sz w:val="32"/>
          <w:szCs w:val="32"/>
          <w:highlight w:val="none"/>
        </w:rPr>
        <w:t>年实际收到预算资金</w:t>
      </w:r>
      <w:r>
        <w:rPr>
          <w:rFonts w:hint="eastAsia" w:ascii="仿宋_GB2312"/>
          <w:color w:val="auto"/>
          <w:sz w:val="32"/>
          <w:szCs w:val="32"/>
          <w:highlight w:val="none"/>
          <w:lang w:val="en-US" w:eastAsia="zh-CN"/>
        </w:rPr>
        <w:t>100.06万元</w:t>
      </w:r>
      <w:r>
        <w:rPr>
          <w:rFonts w:hint="eastAsia" w:ascii="仿宋_GB2312"/>
          <w:color w:val="auto"/>
          <w:sz w:val="32"/>
          <w:szCs w:val="32"/>
          <w:highlight w:val="none"/>
        </w:rPr>
        <w:t>，预算资金到位率为</w:t>
      </w:r>
      <w:r>
        <w:rPr>
          <w:rFonts w:hint="eastAsia" w:ascii="仿宋_GB2312" w:hAnsi="仿宋_GB2312" w:cs="仿宋_GB2312"/>
          <w:color w:val="auto"/>
          <w:sz w:val="32"/>
          <w:szCs w:val="32"/>
          <w:highlight w:val="none"/>
          <w:lang w:val="en-US" w:eastAsia="zh-CN"/>
        </w:rPr>
        <w:t>100.00</w:t>
      </w:r>
      <w:r>
        <w:rPr>
          <w:rFonts w:hint="eastAsia" w:ascii="仿宋_GB2312"/>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（2）项目资金实际使用情况</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截至202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年12月31日，</w:t>
      </w:r>
      <w:r>
        <w:rPr>
          <w:rFonts w:hint="eastAsia" w:ascii="仿宋_GB2312"/>
          <w:color w:val="auto"/>
          <w:sz w:val="32"/>
          <w:szCs w:val="32"/>
          <w:highlight w:val="none"/>
        </w:rPr>
        <w:t>本项目实际支付资金</w:t>
      </w:r>
      <w:r>
        <w:rPr>
          <w:rFonts w:hint="eastAsia" w:ascii="仿宋_GB2312"/>
          <w:color w:val="auto"/>
          <w:sz w:val="32"/>
          <w:szCs w:val="32"/>
          <w:highlight w:val="none"/>
          <w:lang w:val="en-US" w:eastAsia="zh-CN"/>
        </w:rPr>
        <w:t>100.06万元</w:t>
      </w:r>
      <w:r>
        <w:rPr>
          <w:rFonts w:hint="eastAsia" w:ascii="仿宋_GB2312"/>
          <w:color w:val="auto"/>
          <w:sz w:val="32"/>
          <w:szCs w:val="32"/>
          <w:highlight w:val="none"/>
        </w:rPr>
        <w:t>，预算执行率</w:t>
      </w:r>
      <w:r>
        <w:rPr>
          <w:rFonts w:hint="eastAsia" w:ascii="仿宋_GB2312" w:hAnsi="仿宋_GB2312" w:cs="仿宋_GB2312"/>
          <w:color w:val="auto"/>
          <w:sz w:val="32"/>
          <w:szCs w:val="32"/>
          <w:highlight w:val="none"/>
          <w:lang w:val="en-US" w:eastAsia="zh-CN"/>
        </w:rPr>
        <w:t>100.00</w:t>
      </w:r>
      <w:r>
        <w:rPr>
          <w:rFonts w:hint="eastAsia" w:ascii="仿宋_GB2312"/>
          <w:color w:val="auto"/>
          <w:sz w:val="32"/>
          <w:szCs w:val="32"/>
          <w:highlight w:val="none"/>
        </w:rPr>
        <w:t>%。项目资金主要用于支付</w:t>
      </w:r>
      <w:r>
        <w:rPr>
          <w:rFonts w:hint="eastAsia" w:ascii="仿宋_GB2312"/>
          <w:color w:val="auto"/>
          <w:sz w:val="32"/>
          <w:szCs w:val="32"/>
          <w:highlight w:val="none"/>
          <w:lang w:val="en-US" w:eastAsia="zh-CN"/>
        </w:rPr>
        <w:t>施工款，</w:t>
      </w:r>
      <w:r>
        <w:rPr>
          <w:rFonts w:hint="eastAsia" w:ascii="仿宋_GB2312"/>
          <w:color w:val="auto"/>
          <w:sz w:val="32"/>
          <w:szCs w:val="32"/>
          <w:highlight w:val="none"/>
        </w:rPr>
        <w:t>费用</w:t>
      </w:r>
      <w:r>
        <w:rPr>
          <w:rFonts w:hint="eastAsia" w:ascii="仿宋_GB2312"/>
          <w:color w:val="auto"/>
          <w:sz w:val="32"/>
          <w:szCs w:val="32"/>
          <w:highlight w:val="none"/>
          <w:lang w:val="en-US" w:eastAsia="zh-CN"/>
        </w:rPr>
        <w:t>100.06万元</w:t>
      </w:r>
      <w:r>
        <w:rPr>
          <w:rFonts w:hint="eastAsia" w:ascii="仿宋_GB2312"/>
          <w:color w:val="auto"/>
          <w:sz w:val="32"/>
          <w:szCs w:val="32"/>
          <w:highlight w:val="none"/>
        </w:rPr>
        <w:t>。</w:t>
      </w:r>
    </w:p>
    <w:p>
      <w:pPr>
        <w:pStyle w:val="4"/>
        <w:numPr>
          <w:ilvl w:val="0"/>
          <w:numId w:val="2"/>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项目绩效目标</w:t>
      </w:r>
    </w:p>
    <w:p>
      <w:pPr>
        <w:pStyle w:val="2"/>
        <w:spacing w:line="600" w:lineRule="exact"/>
        <w:ind w:firstLine="643"/>
        <w:rPr>
          <w:color w:val="auto"/>
          <w:sz w:val="32"/>
          <w:highlight w:val="none"/>
        </w:rPr>
      </w:pPr>
      <w:r>
        <w:rPr>
          <w:rFonts w:hint="eastAsia"/>
          <w:color w:val="auto"/>
          <w:sz w:val="32"/>
          <w:highlight w:val="none"/>
        </w:rPr>
        <w:t>1.总体目标</w:t>
      </w:r>
    </w:p>
    <w:p>
      <w:pPr>
        <w:pStyle w:val="2"/>
        <w:spacing w:line="600" w:lineRule="exact"/>
        <w:ind w:firstLine="643"/>
        <w:rPr>
          <w:rFonts w:hint="default"/>
          <w:b w:val="0"/>
          <w:bCs w:val="0"/>
          <w:color w:val="auto"/>
          <w:sz w:val="32"/>
          <w:szCs w:val="32"/>
          <w:highlight w:val="none"/>
          <w:lang w:val="en-US" w:eastAsia="zh-CN"/>
        </w:rPr>
      </w:pPr>
      <w:r>
        <w:rPr>
          <w:rFonts w:hint="eastAsia"/>
          <w:b w:val="0"/>
          <w:bCs w:val="0"/>
          <w:color w:val="auto"/>
          <w:sz w:val="32"/>
          <w:szCs w:val="32"/>
          <w:highlight w:val="none"/>
          <w:lang w:val="en-US" w:eastAsia="zh-CN"/>
        </w:rPr>
        <w:t>本年度到账100.06万元，用于偿还5个项目施工款，有效的提升政府良好形象，降低上访风险，维护政府形象。</w:t>
      </w:r>
    </w:p>
    <w:p>
      <w:pPr>
        <w:pStyle w:val="2"/>
        <w:spacing w:line="600" w:lineRule="exact"/>
        <w:ind w:firstLine="643"/>
        <w:rPr>
          <w:b w:val="0"/>
          <w:bCs w:val="0"/>
          <w:sz w:val="32"/>
        </w:rPr>
      </w:pPr>
      <w:r>
        <w:rPr>
          <w:rFonts w:hint="eastAsia"/>
          <w:b w:val="0"/>
          <w:bCs w:val="0"/>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sz w:val="32"/>
          <w:szCs w:val="32"/>
        </w:rPr>
        <w:t>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color w:val="auto"/>
          <w:sz w:val="32"/>
          <w:szCs w:val="32"/>
        </w:rPr>
      </w:pPr>
      <w:r>
        <w:rPr>
          <w:rFonts w:hint="eastAsia"/>
          <w:color w:val="auto"/>
          <w:sz w:val="32"/>
          <w:szCs w:val="32"/>
        </w:rPr>
        <w:t>项目产出目标</w:t>
      </w:r>
    </w:p>
    <w:p>
      <w:pPr>
        <w:spacing w:line="600" w:lineRule="exact"/>
        <w:ind w:firstLine="640"/>
        <w:rPr>
          <w:color w:val="auto"/>
          <w:sz w:val="32"/>
          <w:szCs w:val="32"/>
        </w:rPr>
      </w:pPr>
      <w:r>
        <w:rPr>
          <w:rFonts w:hint="eastAsia"/>
          <w:color w:val="auto"/>
          <w:sz w:val="32"/>
          <w:szCs w:val="32"/>
        </w:rPr>
        <w:t>①数量指标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val="en-US" w:eastAsia="zh-CN"/>
        </w:rPr>
        <w:t>支付项目欠款数量</w:t>
      </w:r>
      <w:r>
        <w:rPr>
          <w:rFonts w:hint="eastAsia"/>
          <w:color w:val="auto"/>
          <w:sz w:val="32"/>
          <w:szCs w:val="32"/>
        </w:rPr>
        <w:t>”指标，预期指标值为“</w:t>
      </w:r>
      <w:r>
        <w:rPr>
          <w:rFonts w:hint="eastAsia" w:ascii="仿宋_GB2312"/>
          <w:color w:val="auto"/>
          <w:sz w:val="32"/>
          <w:szCs w:val="32"/>
          <w:lang w:val="en-US" w:eastAsia="zh-CN"/>
        </w:rPr>
        <w:t>5.00个</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②质量指标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val="en-US" w:eastAsia="zh-CN"/>
        </w:rPr>
        <w:t>资金使用合规率</w:t>
      </w:r>
      <w:r>
        <w:rPr>
          <w:rFonts w:hint="eastAsia"/>
          <w:color w:val="auto"/>
          <w:sz w:val="32"/>
          <w:szCs w:val="32"/>
        </w:rPr>
        <w:t>”指标，预期指标值为“</w:t>
      </w:r>
      <w:r>
        <w:rPr>
          <w:rFonts w:hint="eastAsia" w:ascii="仿宋_GB2312"/>
          <w:color w:val="auto"/>
          <w:sz w:val="32"/>
          <w:szCs w:val="32"/>
          <w:lang w:val="en-US" w:eastAsia="zh-CN"/>
        </w:rPr>
        <w:t>100.00%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③时效指标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val="en-US" w:eastAsia="zh-CN"/>
        </w:rPr>
        <w:t>资金发放及时率</w:t>
      </w:r>
      <w:r>
        <w:rPr>
          <w:rFonts w:hint="eastAsia"/>
          <w:color w:val="auto"/>
          <w:sz w:val="32"/>
          <w:szCs w:val="32"/>
        </w:rPr>
        <w:t>”指标，预期指标值为“</w:t>
      </w:r>
      <w:r>
        <w:rPr>
          <w:rFonts w:hint="eastAsia" w:ascii="仿宋_GB2312"/>
          <w:color w:val="auto"/>
          <w:sz w:val="32"/>
          <w:szCs w:val="32"/>
          <w:lang w:val="en-US" w:eastAsia="zh-CN"/>
        </w:rPr>
        <w:t>100.00%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④成本指标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val="en-US" w:eastAsia="zh-CN"/>
        </w:rPr>
        <w:t>单个项目平均资金成本</w:t>
      </w:r>
      <w:r>
        <w:rPr>
          <w:rFonts w:hint="eastAsia"/>
          <w:color w:val="auto"/>
          <w:sz w:val="32"/>
          <w:szCs w:val="32"/>
        </w:rPr>
        <w:t>”指标，预期指标值为“</w:t>
      </w:r>
      <w:r>
        <w:rPr>
          <w:rFonts w:hint="eastAsia" w:ascii="仿宋_GB2312"/>
          <w:color w:val="auto"/>
          <w:sz w:val="32"/>
          <w:szCs w:val="32"/>
          <w:lang w:val="en-US" w:eastAsia="zh-CN"/>
        </w:rPr>
        <w:t>20.01万</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color w:val="auto"/>
          <w:sz w:val="32"/>
          <w:szCs w:val="32"/>
        </w:rPr>
      </w:pPr>
      <w:r>
        <w:rPr>
          <w:rFonts w:hint="eastAsia"/>
          <w:color w:val="auto"/>
          <w:sz w:val="32"/>
          <w:szCs w:val="32"/>
        </w:rPr>
        <w:t>①经济效益指标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val="en-US" w:eastAsia="zh-CN"/>
        </w:rPr>
        <w:t>经济带动</w:t>
      </w:r>
      <w:r>
        <w:rPr>
          <w:rFonts w:hint="eastAsia"/>
          <w:color w:val="auto"/>
          <w:sz w:val="32"/>
          <w:szCs w:val="32"/>
        </w:rPr>
        <w:t>”指标，预期指标值为“</w:t>
      </w:r>
      <w:r>
        <w:rPr>
          <w:rFonts w:hint="eastAsia" w:ascii="仿宋_GB2312"/>
          <w:color w:val="auto"/>
          <w:sz w:val="32"/>
          <w:szCs w:val="32"/>
          <w:lang w:val="en-US" w:eastAsia="zh-CN"/>
        </w:rPr>
        <w:t>＞=3.00%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val="en-US" w:eastAsia="zh-CN"/>
        </w:rPr>
        <w:t>政府形象改善度</w:t>
      </w:r>
      <w:r>
        <w:rPr>
          <w:rFonts w:hint="eastAsia"/>
          <w:color w:val="auto"/>
          <w:sz w:val="32"/>
          <w:szCs w:val="32"/>
        </w:rPr>
        <w:t>”指标，预期指标值为“</w:t>
      </w:r>
      <w:r>
        <w:rPr>
          <w:rFonts w:hint="eastAsia" w:ascii="仿宋_GB2312"/>
          <w:color w:val="auto"/>
          <w:sz w:val="32"/>
          <w:szCs w:val="32"/>
          <w:lang w:val="en-US" w:eastAsia="zh-CN"/>
        </w:rPr>
        <w:t>＞=5.00%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rFonts w:hint="default" w:eastAsia="仿宋_GB2312"/>
          <w:color w:val="auto"/>
          <w:sz w:val="32"/>
          <w:szCs w:val="32"/>
          <w:lang w:val="en-US" w:eastAsia="zh-CN"/>
        </w:rPr>
      </w:pPr>
      <w:r>
        <w:rPr>
          <w:rFonts w:hint="eastAsia"/>
          <w:color w:val="auto"/>
          <w:sz w:val="32"/>
          <w:szCs w:val="32"/>
        </w:rPr>
        <w:t>生态效益指标</w:t>
      </w:r>
      <w:r>
        <w:rPr>
          <w:rFonts w:hint="eastAsia"/>
          <w:color w:val="auto"/>
          <w:sz w:val="32"/>
          <w:szCs w:val="32"/>
          <w:lang w:eastAsia="zh-CN"/>
        </w:rPr>
        <w:t>，</w:t>
      </w:r>
      <w:r>
        <w:rPr>
          <w:rFonts w:hint="eastAsia"/>
          <w:color w:val="auto"/>
          <w:sz w:val="32"/>
          <w:szCs w:val="32"/>
          <w:lang w:val="en-US" w:eastAsia="zh-CN"/>
        </w:rPr>
        <w:t>无此项指标</w:t>
      </w: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rFonts w:hint="eastAsia"/>
          <w:color w:val="auto"/>
          <w:sz w:val="32"/>
          <w:szCs w:val="32"/>
          <w:lang w:val="en-US" w:eastAsia="zh-CN"/>
        </w:rPr>
      </w:pPr>
      <w:r>
        <w:rPr>
          <w:rFonts w:hint="eastAsia"/>
          <w:color w:val="auto"/>
          <w:sz w:val="32"/>
          <w:szCs w:val="32"/>
        </w:rPr>
        <w:t>可持续影响指标</w:t>
      </w:r>
      <w:r>
        <w:rPr>
          <w:rFonts w:hint="eastAsia"/>
          <w:color w:val="auto"/>
          <w:sz w:val="32"/>
          <w:szCs w:val="32"/>
          <w:lang w:eastAsia="zh-CN"/>
        </w:rPr>
        <w:t>，</w:t>
      </w:r>
      <w:r>
        <w:rPr>
          <w:rFonts w:hint="eastAsia"/>
          <w:color w:val="auto"/>
          <w:sz w:val="32"/>
          <w:szCs w:val="32"/>
          <w:lang w:val="en-US" w:eastAsia="zh-CN"/>
        </w:rPr>
        <w:t>无此项指标</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val="en-US" w:eastAsia="zh-CN"/>
        </w:rPr>
        <w:t>施工单位满意度</w:t>
      </w:r>
      <w:r>
        <w:rPr>
          <w:rFonts w:hint="eastAsia"/>
          <w:color w:val="auto"/>
          <w:sz w:val="32"/>
          <w:szCs w:val="32"/>
        </w:rPr>
        <w:t>”指标，预期指标值为“</w:t>
      </w:r>
      <w:r>
        <w:rPr>
          <w:rFonts w:hint="eastAsia" w:ascii="仿宋_GB2312"/>
          <w:color w:val="auto"/>
          <w:sz w:val="32"/>
          <w:szCs w:val="32"/>
          <w:lang w:val="en-US" w:eastAsia="zh-CN"/>
        </w:rPr>
        <w:t>＞=90.00%</w:t>
      </w:r>
      <w:r>
        <w:rPr>
          <w:rFonts w:hint="eastAsia"/>
          <w:color w:val="auto"/>
          <w:sz w:val="32"/>
          <w:szCs w:val="32"/>
        </w:rPr>
        <w:t>”；</w:t>
      </w:r>
    </w:p>
    <w:p>
      <w:pPr>
        <w:pStyle w:val="3"/>
        <w:spacing w:line="600" w:lineRule="exact"/>
        <w:ind w:firstLine="640"/>
        <w:rPr>
          <w:color w:val="auto"/>
          <w:szCs w:val="32"/>
        </w:rPr>
      </w:pPr>
      <w:r>
        <w:rPr>
          <w:rFonts w:hint="eastAsia"/>
          <w:color w:val="auto"/>
          <w:szCs w:val="32"/>
        </w:rPr>
        <w:t>二、绩效评价工作开展情况</w:t>
      </w:r>
    </w:p>
    <w:p>
      <w:pPr>
        <w:pStyle w:val="4"/>
        <w:numPr>
          <w:ilvl w:val="0"/>
          <w:numId w:val="4"/>
        </w:numPr>
        <w:spacing w:line="600" w:lineRule="exact"/>
        <w:ind w:firstLine="643"/>
        <w:rPr>
          <w:rFonts w:ascii="楷体_GB2312" w:eastAsia="楷体_GB2312"/>
          <w:color w:val="auto"/>
          <w:szCs w:val="32"/>
        </w:rPr>
      </w:pPr>
      <w:bookmarkStart w:id="1" w:name="_Toc22169_WPSOffice_Level2"/>
      <w:bookmarkStart w:id="2" w:name="_Toc5462343"/>
      <w:bookmarkStart w:id="3" w:name="_Toc480473081"/>
      <w:bookmarkStart w:id="4" w:name="_Toc26632"/>
      <w:bookmarkStart w:id="5" w:name="_Toc5258"/>
      <w:bookmarkStart w:id="6" w:name="_Toc21664"/>
      <w:bookmarkStart w:id="7" w:name="_Toc12868"/>
      <w:bookmarkStart w:id="8" w:name="_Toc22922"/>
      <w:r>
        <w:rPr>
          <w:rFonts w:hint="eastAsia" w:ascii="楷体_GB2312" w:eastAsia="楷体_GB2312"/>
          <w:color w:val="auto"/>
          <w:szCs w:val="32"/>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rPr>
        <w:t>、对象和范围</w:t>
      </w:r>
    </w:p>
    <w:p>
      <w:pPr>
        <w:pStyle w:val="2"/>
        <w:spacing w:line="600" w:lineRule="exact"/>
        <w:ind w:firstLine="643"/>
        <w:rPr>
          <w:color w:val="auto"/>
          <w:sz w:val="32"/>
        </w:rPr>
      </w:pPr>
      <w:r>
        <w:rPr>
          <w:rFonts w:hint="eastAsia"/>
          <w:color w:val="auto"/>
          <w:sz w:val="32"/>
        </w:rPr>
        <w:t>1.</w:t>
      </w:r>
      <w:r>
        <w:rPr>
          <w:rFonts w:hint="eastAsia" w:hAnsi="楷体" w:cs="楷体"/>
          <w:color w:val="auto"/>
          <w:sz w:val="32"/>
        </w:rPr>
        <w:t>绩效评价的目的</w:t>
      </w:r>
    </w:p>
    <w:p>
      <w:pPr>
        <w:spacing w:line="600" w:lineRule="exact"/>
        <w:ind w:firstLine="640"/>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rPr>
      </w:pPr>
      <w:r>
        <w:rPr>
          <w:rFonts w:hint="eastAsia"/>
          <w:color w:val="auto"/>
          <w:sz w:val="32"/>
        </w:rPr>
        <w:t>2.绩效评价的对象和范围</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2</w:t>
      </w:r>
      <w:r>
        <w:rPr>
          <w:rFonts w:hint="eastAsia" w:ascii="仿宋_GB2312"/>
          <w:color w:val="auto"/>
          <w:sz w:val="32"/>
          <w:szCs w:val="32"/>
        </w:rPr>
        <w:t>年度我单位实施的</w:t>
      </w:r>
      <w:r>
        <w:rPr>
          <w:rFonts w:hint="eastAsia" w:ascii="仿宋_GB2312" w:hAnsi="仿宋_GB2312" w:cs="仿宋_GB2312"/>
          <w:color w:val="auto"/>
          <w:sz w:val="32"/>
          <w:szCs w:val="32"/>
          <w:lang w:val="en-US" w:eastAsia="zh-CN"/>
        </w:rPr>
        <w:t>中小企业欠款化解资金（第三批）</w:t>
      </w:r>
      <w:r>
        <w:rPr>
          <w:rFonts w:hint="eastAsia" w:ascii="仿宋_GB2312"/>
          <w:color w:val="auto"/>
          <w:sz w:val="32"/>
          <w:szCs w:val="32"/>
        </w:rPr>
        <w:t>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rPr>
      </w:pPr>
      <w:r>
        <w:rPr>
          <w:rFonts w:hint="eastAsia" w:ascii="楷体_GB2312" w:eastAsia="楷体_GB2312"/>
          <w:color w:val="auto"/>
          <w:szCs w:val="32"/>
        </w:rPr>
        <w:t>评价工作简述</w:t>
      </w:r>
    </w:p>
    <w:p>
      <w:pPr>
        <w:pStyle w:val="2"/>
        <w:spacing w:line="600" w:lineRule="exact"/>
        <w:ind w:firstLine="643"/>
        <w:rPr>
          <w:color w:val="auto"/>
          <w:sz w:val="32"/>
        </w:rPr>
      </w:pPr>
      <w:r>
        <w:rPr>
          <w:rFonts w:hint="eastAsia"/>
          <w:color w:val="auto"/>
          <w:sz w:val="32"/>
        </w:rPr>
        <w:t>1.绩效评价原则</w:t>
      </w:r>
    </w:p>
    <w:p>
      <w:pPr>
        <w:spacing w:line="600" w:lineRule="exact"/>
        <w:ind w:firstLine="64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等法规和政策文件要求，本次绩效评价秉承科学规范、公正公开、分级分类、绩效相关等原则，按照从投入、过程到产出效果和影响的绩效逻辑路径，结合</w:t>
      </w: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lang w:val="en-US" w:eastAsia="zh-CN"/>
        </w:rPr>
        <w:t>中小企业欠款化解资金（第三批）</w:t>
      </w:r>
      <w:r>
        <w:rPr>
          <w:rFonts w:hint="eastAsia"/>
          <w:color w:val="auto"/>
          <w:sz w:val="32"/>
          <w:szCs w:val="32"/>
        </w:rPr>
        <w:t>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rPr>
      </w:pPr>
      <w:r>
        <w:rPr>
          <w:rFonts w:hint="eastAsia"/>
          <w:color w:val="auto"/>
          <w:sz w:val="32"/>
          <w:szCs w:val="32"/>
        </w:rPr>
        <w:t>根据以上原则，绩效评价遵循如下具体要求：</w:t>
      </w:r>
    </w:p>
    <w:p>
      <w:pPr>
        <w:spacing w:line="600" w:lineRule="exact"/>
        <w:ind w:firstLine="640"/>
        <w:rPr>
          <w:color w:val="auto"/>
          <w:sz w:val="32"/>
          <w:szCs w:val="32"/>
        </w:rPr>
      </w:pPr>
      <w:r>
        <w:rPr>
          <w:rFonts w:hint="eastAsia"/>
          <w:color w:val="auto"/>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rPr>
      </w:pPr>
      <w:r>
        <w:rPr>
          <w:rFonts w:hint="eastAsia" w:ascii="仿宋_GB2312"/>
          <w:color w:val="auto"/>
          <w:sz w:val="32"/>
          <w:szCs w:val="32"/>
        </w:rPr>
        <w:t>（2）保证评价结果的真实性、公正性，提高评价报告的公信力。</w:t>
      </w:r>
    </w:p>
    <w:p>
      <w:pPr>
        <w:spacing w:line="600" w:lineRule="exact"/>
        <w:ind w:firstLine="640"/>
        <w:rPr>
          <w:color w:val="auto"/>
          <w:sz w:val="32"/>
          <w:szCs w:val="32"/>
        </w:rPr>
      </w:pPr>
      <w:r>
        <w:rPr>
          <w:rFonts w:hint="eastAsia"/>
          <w:color w:val="auto"/>
          <w:sz w:val="32"/>
          <w:szCs w:val="32"/>
        </w:rPr>
        <w:t>（3）绩效评价报告简明扼要，除对绩效评价的过程、结果描述外，还总结经验、指出问题，并就共性问题提出可操作性改进建议。</w:t>
      </w:r>
    </w:p>
    <w:p>
      <w:pPr>
        <w:pStyle w:val="2"/>
        <w:spacing w:line="600" w:lineRule="exact"/>
        <w:ind w:firstLine="643"/>
        <w:rPr>
          <w:color w:val="auto"/>
          <w:sz w:val="32"/>
        </w:rPr>
      </w:pPr>
      <w:bookmarkStart w:id="9" w:name="_Toc1913"/>
      <w:bookmarkStart w:id="10" w:name="_Toc428278230"/>
      <w:bookmarkStart w:id="11" w:name="_Toc419984722"/>
      <w:bookmarkStart w:id="12" w:name="_Toc26131"/>
      <w:r>
        <w:rPr>
          <w:rFonts w:hint="eastAsia"/>
          <w:color w:val="auto"/>
          <w:sz w:val="32"/>
        </w:rPr>
        <w:t>2.绩效评价指标体系及绩效评价</w:t>
      </w:r>
      <w:bookmarkEnd w:id="9"/>
      <w:bookmarkEnd w:id="10"/>
      <w:bookmarkEnd w:id="11"/>
      <w:bookmarkEnd w:id="12"/>
      <w:r>
        <w:rPr>
          <w:rFonts w:hint="eastAsia"/>
          <w:color w:val="auto"/>
          <w:sz w:val="32"/>
        </w:rPr>
        <w:t>标准</w:t>
      </w:r>
    </w:p>
    <w:p>
      <w:pPr>
        <w:spacing w:line="600" w:lineRule="exact"/>
        <w:ind w:firstLine="640"/>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rPr>
      </w:pPr>
      <w:r>
        <w:rPr>
          <w:rFonts w:hint="eastAsia" w:ascii="仿宋_GB2312"/>
          <w:color w:val="auto"/>
          <w:sz w:val="32"/>
          <w:szCs w:val="32"/>
        </w:rPr>
        <w:t>一级指标为：决策、过程、产出、效益。</w:t>
      </w:r>
    </w:p>
    <w:p>
      <w:pPr>
        <w:spacing w:line="600" w:lineRule="exact"/>
        <w:ind w:firstLine="640"/>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rPr>
      </w:pPr>
      <w:r>
        <w:rPr>
          <w:rFonts w:hint="eastAsia"/>
          <w:color w:val="auto"/>
          <w:sz w:val="32"/>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rPr>
      </w:pPr>
      <w:r>
        <w:rPr>
          <w:rFonts w:hint="eastAsia"/>
          <w:color w:val="auto"/>
          <w:sz w:val="32"/>
        </w:rPr>
        <w:t>4.评价标准</w:t>
      </w:r>
    </w:p>
    <w:p>
      <w:pPr>
        <w:spacing w:line="600" w:lineRule="exact"/>
        <w:ind w:firstLine="640"/>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rPr>
      </w:pPr>
      <w:r>
        <w:rPr>
          <w:rFonts w:hint="eastAsia"/>
          <w:color w:val="auto"/>
          <w:szCs w:val="32"/>
        </w:rPr>
        <w:t>（三）绩效评价工作过程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pPr>
        <w:pStyle w:val="20"/>
        <w:spacing w:line="600" w:lineRule="exact"/>
        <w:ind w:firstLine="640"/>
        <w:rPr>
          <w:rFonts w:ascii="仿宋_GB2312" w:hAnsi="仿宋_GB2312" w:cs="仿宋_GB2312"/>
          <w:color w:val="auto"/>
          <w:sz w:val="32"/>
          <w:szCs w:val="32"/>
        </w:rPr>
      </w:pPr>
      <w:r>
        <w:rPr>
          <w:rFonts w:hint="eastAsia" w:ascii="仿宋_GB2312" w:hAnsi="仿宋" w:cs="仿宋"/>
          <w:color w:val="auto"/>
          <w:sz w:val="32"/>
          <w:szCs w:val="32"/>
          <w:lang w:bidi="ar"/>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杨俊涛</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刘洪</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张烨</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rPr>
      </w:pPr>
      <w:bookmarkStart w:id="13" w:name="_Toc2618"/>
      <w:r>
        <w:rPr>
          <w:rFonts w:hint="eastAsia" w:ascii="仿宋_GB2312" w:hAnsi="仿宋_GB2312" w:cs="仿宋_GB2312"/>
          <w:color w:val="auto"/>
          <w:sz w:val="32"/>
          <w:szCs w:val="32"/>
        </w:rPr>
        <w:t>第四阶段：撰写与提交评价报告</w:t>
      </w:r>
      <w:bookmarkEnd w:id="13"/>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rPr>
      </w:pPr>
      <w:bookmarkStart w:id="14" w:name="_Toc5055"/>
      <w:r>
        <w:rPr>
          <w:rFonts w:hint="eastAsia" w:ascii="仿宋_GB2312" w:hAnsi="仿宋_GB2312" w:cs="仿宋_GB2312"/>
          <w:color w:val="auto"/>
          <w:sz w:val="32"/>
          <w:szCs w:val="32"/>
        </w:rPr>
        <w:t>第五阶段：归集档案</w:t>
      </w:r>
      <w:bookmarkEnd w:id="14"/>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rPr>
      </w:pPr>
      <w:r>
        <w:rPr>
          <w:rFonts w:hint="eastAsia"/>
          <w:color w:val="auto"/>
          <w:szCs w:val="32"/>
        </w:rPr>
        <w:t>综合评价情况及评价结论</w:t>
      </w:r>
    </w:p>
    <w:p>
      <w:pPr>
        <w:pStyle w:val="22"/>
        <w:spacing w:before="0" w:after="0" w:line="600" w:lineRule="exact"/>
        <w:ind w:left="560"/>
        <w:rPr>
          <w:rFonts w:ascii="仿宋_GB2312" w:hAnsi="仿宋_GB2312" w:cs="仿宋_GB2312"/>
          <w:color w:val="auto"/>
          <w:sz w:val="32"/>
        </w:rPr>
      </w:pPr>
      <w:bookmarkStart w:id="15" w:name="_Toc68364665"/>
      <w:r>
        <w:rPr>
          <w:rFonts w:hint="eastAsia" w:ascii="仿宋_GB2312" w:hAnsi="仿宋_GB2312" w:cs="仿宋_GB2312"/>
          <w:color w:val="auto"/>
          <w:sz w:val="32"/>
        </w:rPr>
        <w:t>（一）综合评价情况</w:t>
      </w:r>
      <w:bookmarkEnd w:id="15"/>
    </w:p>
    <w:p>
      <w:pPr>
        <w:spacing w:line="600" w:lineRule="exact"/>
        <w:ind w:firstLine="640"/>
        <w:rPr>
          <w:rFonts w:ascii="仿宋_GB2312"/>
          <w:color w:val="auto"/>
          <w:sz w:val="32"/>
          <w:szCs w:val="32"/>
        </w:rPr>
      </w:pPr>
      <w:r>
        <w:rPr>
          <w:rFonts w:hint="eastAsia" w:ascii="仿宋_GB2312"/>
          <w:color w:val="auto"/>
          <w:sz w:val="32"/>
          <w:szCs w:val="32"/>
        </w:rPr>
        <w:t>通过</w:t>
      </w: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lang w:val="en-US" w:eastAsia="zh-CN"/>
        </w:rPr>
        <w:t>中小企业欠款化解资金（第三批）</w:t>
      </w:r>
      <w:r>
        <w:rPr>
          <w:rFonts w:hint="eastAsia" w:ascii="仿宋_GB2312"/>
          <w:color w:val="auto"/>
          <w:sz w:val="32"/>
          <w:szCs w:val="32"/>
        </w:rPr>
        <w:t>的实施，解决了</w:t>
      </w:r>
      <w:r>
        <w:rPr>
          <w:rFonts w:hint="eastAsia" w:ascii="仿宋_GB2312"/>
          <w:color w:val="auto"/>
          <w:sz w:val="32"/>
          <w:szCs w:val="32"/>
          <w:lang w:val="en-US" w:eastAsia="zh-CN"/>
        </w:rPr>
        <w:t>施工企业上访</w:t>
      </w:r>
      <w:r>
        <w:rPr>
          <w:rFonts w:hint="eastAsia" w:ascii="仿宋_GB2312"/>
          <w:color w:val="auto"/>
          <w:sz w:val="32"/>
          <w:szCs w:val="32"/>
        </w:rPr>
        <w:t>问题，实现了</w:t>
      </w:r>
      <w:r>
        <w:rPr>
          <w:rFonts w:hint="eastAsia" w:ascii="仿宋_GB2312"/>
          <w:color w:val="auto"/>
          <w:sz w:val="32"/>
          <w:szCs w:val="32"/>
          <w:lang w:val="en-US" w:eastAsia="zh-CN"/>
        </w:rPr>
        <w:t>有效提升政府良好形象</w:t>
      </w:r>
      <w:r>
        <w:rPr>
          <w:rFonts w:hint="eastAsia" w:ascii="仿宋_GB2312"/>
          <w:color w:val="auto"/>
          <w:sz w:val="32"/>
          <w:szCs w:val="32"/>
        </w:rPr>
        <w:t>效益，该项目预算执行率达</w:t>
      </w:r>
      <w:r>
        <w:rPr>
          <w:rFonts w:hint="eastAsia" w:ascii="仿宋_GB2312"/>
          <w:color w:val="auto"/>
          <w:sz w:val="32"/>
          <w:szCs w:val="32"/>
          <w:lang w:val="en-US" w:eastAsia="zh-CN"/>
        </w:rPr>
        <w:t>100.00</w:t>
      </w:r>
      <w:r>
        <w:rPr>
          <w:rFonts w:ascii="仿宋_GB2312"/>
          <w:color w:val="auto"/>
          <w:sz w:val="32"/>
          <w:szCs w:val="32"/>
        </w:rPr>
        <w:t>%</w:t>
      </w:r>
      <w:r>
        <w:rPr>
          <w:rFonts w:hint="eastAsia" w:ascii="仿宋_GB2312"/>
          <w:color w:val="auto"/>
          <w:sz w:val="32"/>
          <w:szCs w:val="32"/>
        </w:rPr>
        <w:t>，项目预期绩效目标及各项具体指标均已全部达成。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w:t>
      </w: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lang w:val="en-US" w:eastAsia="zh-CN"/>
        </w:rPr>
        <w:t>中小企业欠款化解资金（第三批）</w:t>
      </w:r>
      <w:r>
        <w:rPr>
          <w:rFonts w:hint="eastAsia" w:ascii="仿宋_GB2312"/>
          <w:color w:val="auto"/>
          <w:sz w:val="32"/>
          <w:szCs w:val="32"/>
        </w:rPr>
        <w:t>的绩效目标和各项具体绩效指标实现情况进行了客观评价，</w:t>
      </w:r>
      <w:r>
        <w:rPr>
          <w:rFonts w:hint="eastAsia" w:ascii="仿宋_GB2312"/>
          <w:color w:val="auto"/>
          <w:sz w:val="32"/>
          <w:szCs w:val="32"/>
        </w:rPr>
        <w:t>最终评分为</w:t>
      </w:r>
      <w:r>
        <w:rPr>
          <w:rFonts w:hint="eastAsia" w:ascii="仿宋_GB2312"/>
          <w:color w:val="auto"/>
          <w:sz w:val="32"/>
          <w:szCs w:val="32"/>
          <w:lang w:val="en-US" w:eastAsia="zh-CN"/>
        </w:rPr>
        <w:t>100.00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20.00</w:t>
      </w:r>
      <w:r>
        <w:rPr>
          <w:rFonts w:hint="eastAsia" w:ascii="仿宋_GB2312" w:cs="仿宋_GB2312"/>
          <w:color w:val="auto"/>
          <w:sz w:val="32"/>
          <w:szCs w:val="32"/>
        </w:rPr>
        <w:t>分、项目过程</w:t>
      </w:r>
      <w:r>
        <w:rPr>
          <w:rFonts w:hint="eastAsia" w:ascii="仿宋_GB2312"/>
          <w:color w:val="auto"/>
          <w:sz w:val="32"/>
          <w:szCs w:val="32"/>
          <w:lang w:val="en-US" w:eastAsia="zh-CN"/>
        </w:rPr>
        <w:t>20.00</w:t>
      </w:r>
      <w:r>
        <w:rPr>
          <w:rFonts w:hint="eastAsia" w:ascii="仿宋_GB2312" w:cs="仿宋_GB2312"/>
          <w:color w:val="auto"/>
          <w:sz w:val="32"/>
          <w:szCs w:val="32"/>
        </w:rPr>
        <w:t>分、项目产出</w:t>
      </w:r>
      <w:r>
        <w:rPr>
          <w:rFonts w:hint="eastAsia" w:ascii="仿宋_GB2312"/>
          <w:color w:val="auto"/>
          <w:sz w:val="32"/>
          <w:szCs w:val="32"/>
          <w:lang w:val="en-US" w:eastAsia="zh-CN"/>
        </w:rPr>
        <w:t>30.00</w:t>
      </w:r>
      <w:r>
        <w:rPr>
          <w:rFonts w:hint="eastAsia" w:ascii="仿宋_GB2312" w:cs="仿宋_GB2312"/>
          <w:color w:val="auto"/>
          <w:sz w:val="32"/>
          <w:szCs w:val="32"/>
        </w:rPr>
        <w:t>分、项目效益</w:t>
      </w:r>
      <w:r>
        <w:rPr>
          <w:rFonts w:hint="eastAsia" w:ascii="仿宋_GB2312"/>
          <w:color w:val="auto"/>
          <w:sz w:val="32"/>
          <w:szCs w:val="32"/>
          <w:lang w:val="en-US" w:eastAsia="zh-CN"/>
        </w:rPr>
        <w:t>30.00</w:t>
      </w:r>
      <w:r>
        <w:rPr>
          <w:rFonts w:hint="eastAsia" w:ascii="仿宋_GB2312" w:cs="仿宋_GB2312"/>
          <w:color w:val="auto"/>
          <w:sz w:val="32"/>
          <w:szCs w:val="32"/>
        </w:rPr>
        <w:t>分。</w:t>
      </w:r>
    </w:p>
    <w:p>
      <w:pPr>
        <w:pStyle w:val="3"/>
        <w:spacing w:line="600" w:lineRule="exact"/>
        <w:ind w:firstLine="640"/>
        <w:rPr>
          <w:color w:val="auto"/>
          <w:szCs w:val="32"/>
        </w:rPr>
      </w:pPr>
      <w:r>
        <w:rPr>
          <w:rFonts w:hint="eastAsia"/>
          <w:color w:val="auto"/>
          <w:szCs w:val="32"/>
        </w:rPr>
        <w:t>四、绩效评价指标分析</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3"/>
        <w:spacing w:line="600" w:lineRule="exact"/>
        <w:ind w:firstLine="736"/>
        <w:rPr>
          <w:rFonts w:cs="仿宋_GB2312"/>
          <w:color w:val="auto"/>
        </w:rPr>
      </w:pPr>
      <w:r>
        <w:rPr>
          <w:rFonts w:hint="eastAsia" w:cs="仿宋_GB2312"/>
          <w:b/>
          <w:bCs/>
          <w:color w:val="auto"/>
        </w:rPr>
        <w:t>1.立项依据充分性：</w:t>
      </w:r>
      <w:r>
        <w:rPr>
          <w:rFonts w:hint="eastAsia" w:cs="仿宋_GB2312"/>
          <w:color w:val="auto"/>
          <w:lang w:eastAsia="zh-Hans"/>
        </w:rPr>
        <w:t>本项目是由</w:t>
      </w:r>
      <w:r>
        <w:rPr>
          <w:rFonts w:hint="eastAsia" w:cs="仿宋_GB2312"/>
          <w:color w:val="auto"/>
          <w:lang w:eastAsia="zh-CN"/>
        </w:rPr>
        <w:t>昌吉市住房和城乡建设局</w:t>
      </w:r>
      <w:r>
        <w:rPr>
          <w:rFonts w:hint="eastAsia" w:cs="仿宋_GB2312"/>
          <w:color w:val="auto"/>
          <w:lang w:eastAsia="zh-Hans"/>
        </w:rPr>
        <w:t>单位提出申报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1</w:t>
      </w:r>
      <w:r>
        <w:rPr>
          <w:rFonts w:hint="eastAsia" w:cs="仿宋_GB2312"/>
          <w:color w:val="auto"/>
          <w:lang w:eastAsia="zh-Hans"/>
        </w:rPr>
        <w:t>月批复设立</w:t>
      </w:r>
      <w:r>
        <w:rPr>
          <w:rFonts w:hint="eastAsia" w:cs="仿宋_GB2312"/>
          <w:color w:val="auto"/>
          <w:lang w:eastAsia="zh-CN"/>
        </w:rPr>
        <w:t>，按照昌吉市财政委员会</w:t>
      </w:r>
      <w:r>
        <w:rPr>
          <w:rFonts w:hint="eastAsia" w:cs="仿宋_GB2312"/>
          <w:color w:val="auto"/>
          <w:lang w:eastAsia="zh-Hans"/>
        </w:rPr>
        <w:t>要求</w:t>
      </w:r>
      <w:r>
        <w:rPr>
          <w:rFonts w:hint="eastAsia" w:cs="仿宋_GB2312"/>
          <w:color w:val="auto"/>
          <w:lang w:eastAsia="zh-CN"/>
        </w:rPr>
        <w:t>批复，</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w:t>
      </w:r>
      <w:r>
        <w:rPr>
          <w:rFonts w:hint="eastAsia" w:cs="仿宋_GB2312"/>
          <w:color w:val="auto"/>
        </w:rPr>
        <w:t>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3"/>
        <w:spacing w:line="600" w:lineRule="exact"/>
        <w:ind w:firstLine="736"/>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bookmarkStart w:id="19" w:name="_GoBack"/>
      <w:r>
        <w:rPr>
          <w:rFonts w:hint="eastAsia" w:ascii="仿宋_GB2312" w:cs="仿宋_GB2312"/>
          <w:color w:val="auto"/>
          <w:sz w:val="32"/>
          <w:szCs w:val="32"/>
        </w:rPr>
        <w:t>2</w:t>
      </w:r>
      <w:bookmarkEnd w:id="19"/>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b/>
          <w:bCs/>
          <w:color w:val="auto"/>
          <w:sz w:val="32"/>
          <w:szCs w:val="32"/>
        </w:rPr>
        <w:t>：</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100.06万元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100.06万元</w:t>
      </w:r>
      <w:r>
        <w:rPr>
          <w:rFonts w:hint="eastAsia" w:ascii="仿宋_GB2312" w:cs="仿宋_GB2312"/>
          <w:color w:val="auto"/>
          <w:sz w:val="32"/>
          <w:szCs w:val="32"/>
          <w:lang w:eastAsia="zh-Hans"/>
        </w:rPr>
        <w:t>，预算执行率为</w:t>
      </w:r>
      <w:r>
        <w:rPr>
          <w:rFonts w:hint="eastAsia" w:ascii="仿宋_GB2312" w:cs="仿宋_GB2312"/>
          <w:color w:val="auto"/>
          <w:sz w:val="32"/>
          <w:szCs w:val="32"/>
          <w:lang w:val="en-US" w:eastAsia="zh-CN"/>
        </w:rPr>
        <w:t>100.00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w:t>
      </w:r>
      <w:r>
        <w:rPr>
          <w:rFonts w:hint="eastAsia" w:ascii="仿宋_GB2312" w:cs="仿宋_GB2312"/>
          <w:color w:val="auto"/>
          <w:sz w:val="32"/>
          <w:szCs w:val="32"/>
          <w:lang w:eastAsia="zh-Hans"/>
        </w:rPr>
        <w:t>未执行完写原因</w:t>
      </w:r>
      <w:r>
        <w:rPr>
          <w:rFonts w:hint="eastAsia" w:ascii="仿宋_GB2312" w:cs="仿宋_GB2312"/>
          <w:color w:val="auto"/>
          <w:sz w:val="32"/>
          <w:szCs w:val="32"/>
        </w:rPr>
        <w:t>，并按标准扣分），根据评分标准，该指标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3.资金使用合规性：</w:t>
      </w:r>
      <w:r>
        <w:rPr>
          <w:rFonts w:hint="eastAsia" w:ascii="仿宋_GB2312" w:cs="仿宋_GB2312"/>
          <w:color w:val="auto"/>
          <w:sz w:val="32"/>
          <w:szCs w:val="32"/>
          <w:highlight w:val="none"/>
          <w:lang w:eastAsia="zh-Hans"/>
        </w:rPr>
        <w:t>项目任务下达后</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cs="仿宋_GB2312"/>
          <w:color w:val="auto"/>
          <w:sz w:val="32"/>
          <w:szCs w:val="32"/>
          <w:highlight w:val="none"/>
          <w:lang w:eastAsia="zh-CN"/>
        </w:rPr>
        <w:t>项目资金支付管理办法</w:t>
      </w:r>
      <w:r>
        <w:rPr>
          <w:rFonts w:ascii="仿宋_GB2312" w:cs="仿宋_GB2312"/>
          <w:color w:val="auto"/>
          <w:sz w:val="32"/>
          <w:szCs w:val="32"/>
          <w:highlight w:val="none"/>
        </w:rPr>
        <w:t>》</w:t>
      </w:r>
      <w:r>
        <w:rPr>
          <w:rFonts w:hint="eastAsia" w:ascii="仿宋_GB2312" w:cs="仿宋_GB2312"/>
          <w:color w:val="auto"/>
          <w:sz w:val="32"/>
          <w:szCs w:val="32"/>
          <w:highlight w:val="none"/>
        </w:rPr>
        <w:t>制度和管理规定对经费使用进行规范管理，财务制度健全、执行严格，根据评分标准，该指标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4.管理制度健全性：</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cs="仿宋_GB2312"/>
          <w:color w:val="auto"/>
          <w:sz w:val="32"/>
          <w:szCs w:val="32"/>
          <w:highlight w:val="none"/>
          <w:lang w:eastAsia="zh-CN"/>
        </w:rPr>
        <w:t>项目资金支付管理办法</w:t>
      </w:r>
      <w:r>
        <w:rPr>
          <w:rFonts w:ascii="仿宋_GB2312" w:cs="仿宋_GB2312"/>
          <w:color w:val="auto"/>
          <w:sz w:val="32"/>
          <w:szCs w:val="32"/>
          <w:highlight w:val="none"/>
        </w:rPr>
        <w:t>》</w:t>
      </w:r>
      <w:r>
        <w:rPr>
          <w:rFonts w:hint="eastAsia" w:ascii="仿宋_GB2312" w:cs="仿宋_GB2312"/>
          <w:color w:val="auto"/>
          <w:sz w:val="32"/>
          <w:szCs w:val="32"/>
          <w:highlight w:val="none"/>
          <w:lang w:eastAsia="zh-Hans"/>
        </w:rPr>
        <w:t>等</w:t>
      </w:r>
      <w:r>
        <w:rPr>
          <w:rFonts w:ascii="仿宋_GB2312" w:cs="仿宋_GB2312"/>
          <w:color w:val="auto"/>
          <w:sz w:val="32"/>
          <w:szCs w:val="32"/>
          <w:highlight w:val="none"/>
        </w:rPr>
        <w:t>相关</w:t>
      </w:r>
      <w:r>
        <w:rPr>
          <w:rFonts w:hint="eastAsia" w:ascii="仿宋_GB2312" w:cs="仿宋_GB2312"/>
          <w:color w:val="auto"/>
          <w:sz w:val="32"/>
          <w:szCs w:val="32"/>
          <w:highlight w:val="none"/>
          <w:lang w:eastAsia="zh-Hans"/>
        </w:rPr>
        <w:t>项目</w:t>
      </w:r>
      <w:r>
        <w:rPr>
          <w:rFonts w:ascii="仿宋_GB2312" w:cs="仿宋_GB2312"/>
          <w:color w:val="auto"/>
          <w:sz w:val="32"/>
          <w:szCs w:val="32"/>
          <w:highlight w:val="none"/>
        </w:rPr>
        <w:t>管理办法，</w:t>
      </w:r>
      <w:r>
        <w:rPr>
          <w:rFonts w:hint="eastAsia" w:ascii="仿宋_GB2312" w:cs="仿宋_GB2312"/>
          <w:color w:val="auto"/>
          <w:sz w:val="32"/>
          <w:szCs w:val="32"/>
          <w:highlight w:val="none"/>
          <w:lang w:eastAsia="zh-Hans"/>
        </w:rPr>
        <w:t>同时</w:t>
      </w:r>
      <w:r>
        <w:rPr>
          <w:rFonts w:hint="eastAsia" w:ascii="仿宋_GB2312" w:cs="仿宋_GB2312"/>
          <w:color w:val="auto"/>
          <w:sz w:val="32"/>
          <w:szCs w:val="32"/>
          <w:highlight w:val="none"/>
        </w:rPr>
        <w:t>对财政专项资金进行</w:t>
      </w:r>
      <w:r>
        <w:rPr>
          <w:rFonts w:ascii="仿宋_GB2312" w:cs="仿宋_GB2312"/>
          <w:color w:val="auto"/>
          <w:sz w:val="32"/>
          <w:szCs w:val="32"/>
          <w:highlight w:val="none"/>
        </w:rPr>
        <w:t>严格</w:t>
      </w:r>
      <w:r>
        <w:rPr>
          <w:rFonts w:hint="eastAsia" w:ascii="仿宋_GB2312" w:cs="仿宋_GB2312"/>
          <w:color w:val="auto"/>
          <w:sz w:val="32"/>
          <w:szCs w:val="32"/>
          <w:highlight w:val="none"/>
        </w:rPr>
        <w:t>管理，基本做到了专款专用，根据评分标准，该指标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4</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支付项目欠款数量</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val="en-US" w:eastAsia="zh-CN"/>
        </w:rPr>
        <w:t>5个</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5个</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资金使用合格率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资金</w:t>
      </w:r>
      <w:r>
        <w:rPr>
          <w:rFonts w:hint="eastAsia" w:ascii="仿宋_GB2312" w:hAnsi="仿宋_GB2312" w:cs="仿宋_GB2312"/>
          <w:color w:val="auto"/>
          <w:sz w:val="32"/>
          <w:szCs w:val="32"/>
          <w:lang w:eastAsia="zh-Hans"/>
        </w:rPr>
        <w:t>得到了有效利用</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有效利用</w:t>
      </w:r>
      <w:r>
        <w:rPr>
          <w:rFonts w:hint="eastAsia" w:ascii="仿宋_GB2312" w:hAnsi="仿宋_GB2312" w:cs="仿宋_GB2312"/>
          <w:color w:val="auto"/>
          <w:sz w:val="32"/>
          <w:szCs w:val="32"/>
          <w:lang w:eastAsia="zh-Hans"/>
        </w:rPr>
        <w:t>率达</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pStyle w:val="6"/>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6"/>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资金</w:t>
      </w:r>
      <w:r>
        <w:rPr>
          <w:rFonts w:hint="eastAsia" w:ascii="仿宋_GB2312" w:cs="仿宋_GB2312"/>
          <w:b w:val="0"/>
          <w:color w:val="auto"/>
          <w:sz w:val="32"/>
          <w:szCs w:val="32"/>
          <w:lang w:eastAsia="zh-CN"/>
        </w:rPr>
        <w:t>发放</w:t>
      </w:r>
      <w:r>
        <w:rPr>
          <w:rFonts w:hint="eastAsia" w:ascii="仿宋_GB2312" w:cs="仿宋_GB2312"/>
          <w:b w:val="0"/>
          <w:color w:val="auto"/>
          <w:sz w:val="32"/>
          <w:szCs w:val="32"/>
        </w:rPr>
        <w:t>及时率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lang w:eastAsia="zh-CN"/>
        </w:rPr>
        <w:t>单个项目平均资金成本</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val="en-US" w:eastAsia="zh-CN"/>
        </w:rPr>
        <w:t>=20.01</w:t>
      </w:r>
      <w:r>
        <w:rPr>
          <w:rFonts w:hint="eastAsia" w:ascii="仿宋_GB2312" w:cs="仿宋_GB2312"/>
          <w:color w:val="auto"/>
          <w:sz w:val="32"/>
          <w:szCs w:val="32"/>
        </w:rPr>
        <w:t>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年共计支付工程款</w:t>
      </w:r>
      <w:r>
        <w:rPr>
          <w:rFonts w:hint="eastAsia" w:ascii="仿宋_GB2312" w:cs="仿宋_GB2312"/>
          <w:color w:val="auto"/>
          <w:sz w:val="32"/>
          <w:szCs w:val="32"/>
          <w:lang w:val="en-US" w:eastAsia="zh-CN"/>
        </w:rPr>
        <w:t>20.01</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8</w:t>
      </w:r>
      <w:r>
        <w:rPr>
          <w:rFonts w:hint="eastAsia" w:ascii="仿宋_GB2312" w:cs="仿宋_GB2312"/>
          <w:color w:val="auto"/>
          <w:sz w:val="32"/>
          <w:szCs w:val="32"/>
        </w:rPr>
        <w:t>分，得</w:t>
      </w:r>
      <w:r>
        <w:rPr>
          <w:rFonts w:hint="eastAsia" w:ascii="仿宋_GB2312" w:cs="仿宋_GB2312"/>
          <w:color w:val="auto"/>
          <w:sz w:val="32"/>
          <w:szCs w:val="32"/>
          <w:lang w:val="en-US" w:eastAsia="zh-CN"/>
        </w:rPr>
        <w:t>8</w:t>
      </w:r>
      <w:r>
        <w:rPr>
          <w:rFonts w:hint="eastAsia" w:ascii="仿宋_GB2312" w:cs="仿宋_GB2312"/>
          <w:color w:val="auto"/>
          <w:sz w:val="32"/>
          <w:szCs w:val="32"/>
        </w:rPr>
        <w:t>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4</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lang w:eastAsia="zh-CN"/>
        </w:rPr>
        <w:t>政府形象改善度</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eastAsia="zh-CN"/>
        </w:rPr>
        <w:t>＞</w:t>
      </w:r>
      <w:r>
        <w:rPr>
          <w:rFonts w:hint="eastAsia" w:ascii="仿宋_GB2312"/>
          <w:color w:val="auto"/>
          <w:sz w:val="32"/>
          <w:szCs w:val="32"/>
          <w:lang w:val="en-US" w:eastAsia="zh-CN"/>
        </w:rPr>
        <w:t>=5.00%</w:t>
      </w:r>
      <w:r>
        <w:rPr>
          <w:rFonts w:hint="eastAsia" w:ascii="仿宋_GB2312"/>
          <w:color w:val="auto"/>
          <w:sz w:val="32"/>
          <w:szCs w:val="32"/>
          <w:lang w:eastAsia="zh-Hans"/>
        </w:rPr>
        <w:t>”</w:t>
      </w:r>
      <w:r>
        <w:rPr>
          <w:rFonts w:hint="eastAsia"/>
          <w:color w:val="auto"/>
          <w:sz w:val="32"/>
          <w:szCs w:val="32"/>
        </w:rPr>
        <w:t>，实际完成值为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lang w:eastAsia="zh-CN"/>
        </w:rPr>
        <w:t>政府形象改善度</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eastAsia="zh-CN"/>
        </w:rPr>
        <w:t>＞</w:t>
      </w:r>
      <w:r>
        <w:rPr>
          <w:rFonts w:hint="eastAsia" w:ascii="仿宋_GB2312"/>
          <w:color w:val="auto"/>
          <w:sz w:val="32"/>
          <w:szCs w:val="32"/>
          <w:lang w:val="en-US" w:eastAsia="zh-CN"/>
        </w:rPr>
        <w:t>=3.00%</w:t>
      </w:r>
      <w:r>
        <w:rPr>
          <w:rFonts w:hint="eastAsia" w:ascii="仿宋_GB2312"/>
          <w:color w:val="auto"/>
          <w:sz w:val="32"/>
          <w:szCs w:val="32"/>
          <w:lang w:eastAsia="zh-Hans"/>
        </w:rPr>
        <w:t>””</w:t>
      </w:r>
      <w:r>
        <w:rPr>
          <w:rFonts w:hint="eastAsia"/>
          <w:color w:val="auto"/>
          <w:sz w:val="32"/>
          <w:szCs w:val="32"/>
        </w:rPr>
        <w:t>，实际完成值为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0"/>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eastAsia="zh-CN"/>
        </w:rPr>
        <w:t>施工单位满意度</w:t>
      </w:r>
      <w:r>
        <w:rPr>
          <w:rFonts w:hint="eastAsia" w:ascii="仿宋_GB2312" w:cs="仿宋_GB2312"/>
          <w:color w:val="auto"/>
          <w:kern w:val="2"/>
          <w:sz w:val="32"/>
          <w:szCs w:val="32"/>
          <w:lang w:eastAsia="zh-Hans"/>
        </w:rPr>
        <w:t>”</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hint="eastAsia" w:ascii="仿宋_GB2312" w:eastAsia="宋体" w:cs="仿宋_GB2312"/>
          <w:color w:val="auto"/>
          <w:kern w:val="2"/>
          <w:sz w:val="32"/>
          <w:szCs w:val="32"/>
          <w:lang w:val="en-US" w:eastAsia="zh-CN"/>
        </w:rPr>
        <w:t>90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lang w:eastAsia="zh-CN"/>
        </w:rPr>
        <w:t>施工单位</w:t>
      </w:r>
      <w:r>
        <w:rPr>
          <w:rFonts w:hint="eastAsia" w:ascii="仿宋_GB2312" w:cs="仿宋_GB2312"/>
          <w:color w:val="auto"/>
          <w:kern w:val="2"/>
          <w:sz w:val="32"/>
          <w:szCs w:val="32"/>
          <w:lang w:eastAsia="zh-Hans"/>
        </w:rPr>
        <w:t>满意度达</w:t>
      </w:r>
      <w:r>
        <w:rPr>
          <w:rFonts w:hint="eastAsia" w:ascii="仿宋_GB2312" w:cs="仿宋_GB2312"/>
          <w:color w:val="auto"/>
          <w:kern w:val="2"/>
          <w:sz w:val="32"/>
          <w:szCs w:val="32"/>
          <w:lang w:val="en-US" w:eastAsia="zh-CN"/>
        </w:rPr>
        <w:t>90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color w:val="auto"/>
          <w:szCs w:val="32"/>
        </w:rPr>
      </w:pPr>
      <w:r>
        <w:rPr>
          <w:rFonts w:hint="eastAsia"/>
          <w:color w:val="auto"/>
          <w:szCs w:val="32"/>
        </w:rPr>
        <w:t>五、预算执行进度与绩效指标偏差情况</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_GB2312"/>
          <w:color w:val="auto"/>
          <w:sz w:val="32"/>
          <w:szCs w:val="32"/>
          <w:lang w:eastAsia="zh-Hans"/>
        </w:rPr>
        <w:t>2022年中小企业欠款化解资金（第三批）预算金额</w:t>
      </w:r>
      <w:r>
        <w:rPr>
          <w:rFonts w:hint="eastAsia" w:ascii="仿宋_GB2312"/>
          <w:color w:val="auto"/>
          <w:sz w:val="32"/>
          <w:szCs w:val="32"/>
          <w:lang w:val="en-US" w:eastAsia="zh-CN"/>
        </w:rPr>
        <w:t>100.06</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100.06</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100.06</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ascii="仿宋_GB2312"/>
          <w:color w:val="auto"/>
          <w:sz w:val="32"/>
          <w:szCs w:val="32"/>
          <w:lang w:eastAsia="zh-Hans"/>
        </w:rPr>
        <w:t>022年中小企业欠款化解资金（第三批）</w:t>
      </w:r>
      <w:r>
        <w:rPr>
          <w:rFonts w:hint="eastAsia" w:ascii="仿宋_GB2312"/>
          <w:color w:val="auto"/>
          <w:sz w:val="32"/>
          <w:szCs w:val="32"/>
        </w:rPr>
        <w:t>的绩效目标及指标已经全部达成，不存在偏差情况。</w:t>
      </w:r>
    </w:p>
    <w:bookmarkEnd w:id="16"/>
    <w:bookmarkEnd w:id="17"/>
    <w:p>
      <w:pPr>
        <w:spacing w:line="600" w:lineRule="exact"/>
        <w:ind w:firstLine="640"/>
        <w:rPr>
          <w:rFonts w:ascii="仿宋_GB2312" w:hAnsi="仿宋_GB2312" w:cs="仿宋_GB2312"/>
          <w:b/>
          <w:bCs/>
          <w:color w:val="FF0000"/>
          <w:sz w:val="32"/>
          <w:szCs w:val="32"/>
        </w:rPr>
      </w:pPr>
    </w:p>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1"/>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20"/>
        <w:spacing w:line="600" w:lineRule="exact"/>
        <w:ind w:firstLine="643"/>
        <w:rPr>
          <w:rFonts w:ascii="仿宋_GB2312" w:hAnsi="仿宋_GB2312" w:cs="仿宋_GB2312"/>
          <w:b/>
          <w:bCs/>
          <w:color w:val="auto"/>
          <w:sz w:val="32"/>
          <w:szCs w:val="32"/>
          <w:lang w:eastAsia="zh-Hans"/>
        </w:rPr>
      </w:pPr>
      <w:r>
        <w:rPr>
          <w:rFonts w:ascii="仿宋_GB2312" w:hAnsi="仿宋_GB2312" w:cs="仿宋_GB2312"/>
          <w:b/>
          <w:bCs/>
          <w:color w:val="auto"/>
          <w:sz w:val="32"/>
          <w:szCs w:val="32"/>
          <w:lang w:eastAsia="zh-Hans"/>
        </w:rPr>
        <w:t>4</w:t>
      </w:r>
      <w:r>
        <w:rPr>
          <w:rFonts w:hint="eastAsia" w:ascii="仿宋_GB2312" w:hAnsi="仿宋_GB2312" w:cs="仿宋_GB2312"/>
          <w:b/>
          <w:bCs/>
          <w:color w:val="auto"/>
          <w:sz w:val="32"/>
          <w:szCs w:val="32"/>
          <w:lang w:eastAsia="zh-Hans"/>
        </w:rPr>
        <w:t>.项目进度滞后</w:t>
      </w:r>
    </w:p>
    <w:p>
      <w:pPr>
        <w:ind w:firstLine="640"/>
        <w:rPr>
          <w:rFonts w:hint="eastAsia" w:ascii="Times New Roman" w:hAnsi="Times New Roman" w:eastAsia="仿宋_GB2312" w:cs="Times New Roman"/>
          <w:b w:val="0"/>
          <w:color w:val="000000"/>
          <w:kern w:val="2"/>
          <w:sz w:val="32"/>
          <w:szCs w:val="32"/>
          <w:u w:color="000000"/>
          <w:lang w:val="en-US" w:eastAsia="zh-CN" w:bidi="ar-SA"/>
        </w:rPr>
      </w:pPr>
      <w:r>
        <w:rPr>
          <w:rFonts w:hint="eastAsia" w:ascii="Times New Roman" w:hAnsi="Times New Roman" w:eastAsia="仿宋_GB2312" w:cs="Times New Roman"/>
          <w:b w:val="0"/>
          <w:color w:val="000000"/>
          <w:kern w:val="2"/>
          <w:sz w:val="32"/>
          <w:szCs w:val="32"/>
          <w:u w:color="000000"/>
          <w:lang w:val="en-US" w:eastAsia="zh-CN" w:bidi="ar-SA"/>
        </w:rPr>
        <w:t>支出绩效目标全部达成，不存在未完成原因分析。</w:t>
      </w:r>
    </w:p>
    <w:p>
      <w:pPr>
        <w:pStyle w:val="3"/>
        <w:spacing w:line="600" w:lineRule="exact"/>
        <w:ind w:firstLine="640"/>
        <w:rPr>
          <w:szCs w:val="32"/>
        </w:rPr>
      </w:pPr>
      <w:r>
        <w:rPr>
          <w:rFonts w:hint="eastAsia"/>
          <w:szCs w:val="32"/>
        </w:rPr>
        <w:t>七、</w:t>
      </w:r>
      <w:r>
        <w:rPr>
          <w:rFonts w:hint="eastAsia"/>
          <w:szCs w:val="32"/>
          <w:lang w:eastAsia="zh-Hans"/>
        </w:rPr>
        <w:t>有关建议</w:t>
      </w:r>
    </w:p>
    <w:p>
      <w:pPr>
        <w:pStyle w:val="20"/>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0"/>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eastAsia="zh-CN"/>
        </w:rPr>
        <w:t>昌吉市</w:t>
      </w:r>
      <w:r>
        <w:rPr>
          <w:rFonts w:hint="eastAsia" w:ascii="仿宋_GB2312" w:hAnsi="仿宋_GB2312" w:cs="仿宋_GB2312"/>
          <w:sz w:val="32"/>
          <w:szCs w:val="32"/>
        </w:rPr>
        <w:t>关于绩效管理工作档案资料归档的相关要求，强化收集力度，确保归档资料的完整齐全。</w:t>
      </w:r>
    </w:p>
    <w:p>
      <w:pPr>
        <w:pStyle w:val="20"/>
        <w:spacing w:line="600" w:lineRule="exact"/>
        <w:ind w:firstLine="643"/>
        <w:rPr>
          <w:rFonts w:ascii="仿宋_GB2312"/>
          <w:b/>
          <w:bCs/>
          <w:sz w:val="32"/>
          <w:szCs w:val="32"/>
        </w:rPr>
      </w:pPr>
      <w:r>
        <w:rPr>
          <w:rFonts w:hint="eastAsia" w:ascii="仿宋_GB2312"/>
          <w:b/>
          <w:bCs/>
          <w:sz w:val="32"/>
          <w:szCs w:val="32"/>
        </w:rPr>
        <w:t>3. 高度重视，加强领导</w:t>
      </w:r>
    </w:p>
    <w:p>
      <w:pPr>
        <w:pStyle w:val="20"/>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0"/>
        <w:spacing w:line="600" w:lineRule="exact"/>
        <w:ind w:firstLine="624"/>
        <w:rPr>
          <w:rFonts w:ascii="仿宋_GB2312"/>
          <w:sz w:val="32"/>
          <w:szCs w:val="32"/>
        </w:rPr>
      </w:pPr>
      <w:r>
        <w:rPr>
          <w:rFonts w:hint="eastAsia"/>
          <w:spacing w:val="-4"/>
          <w:sz w:val="32"/>
          <w:szCs w:val="32"/>
        </w:rPr>
        <w:t>无其他说明内容。</w:t>
      </w:r>
    </w:p>
    <w:p>
      <w:pPr>
        <w:pStyle w:val="20"/>
        <w:spacing w:line="600" w:lineRule="exact"/>
        <w:ind w:firstLine="624"/>
        <w:rPr>
          <w:rFonts w:ascii="仿宋_GB2312"/>
          <w:sz w:val="32"/>
          <w:szCs w:val="32"/>
        </w:rPr>
      </w:pP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Segoe UI Symbol">
    <w:panose1 w:val="020B0502040204020203"/>
    <w:charset w:val="00"/>
    <w:family w:val="swiss"/>
    <w:pitch w:val="default"/>
    <w:sig w:usb0="8000006F" w:usb1="1200FBEF" w:usb2="0064C000" w:usb3="00000002" w:csb0="00000001" w:csb1="4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3MDEyOTY0Y2MwMGEwYThlNTJkODU5ZmI5MGZjMzk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F0E4092"/>
    <w:rsid w:val="12F1313F"/>
    <w:rsid w:val="15DC6CEA"/>
    <w:rsid w:val="214B0FAD"/>
    <w:rsid w:val="245E1E24"/>
    <w:rsid w:val="2A2F5D38"/>
    <w:rsid w:val="2E483E7E"/>
    <w:rsid w:val="2E9F25C5"/>
    <w:rsid w:val="33944516"/>
    <w:rsid w:val="3B816234"/>
    <w:rsid w:val="44287A04"/>
    <w:rsid w:val="46132D66"/>
    <w:rsid w:val="4A8204BA"/>
    <w:rsid w:val="4B8B61DB"/>
    <w:rsid w:val="4EF15C0F"/>
    <w:rsid w:val="58B747D6"/>
    <w:rsid w:val="68291A1A"/>
    <w:rsid w:val="691B1594"/>
    <w:rsid w:val="6F0D6C22"/>
    <w:rsid w:val="73D9A77D"/>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19</Pages>
  <Words>7627</Words>
  <Characters>8203</Characters>
  <Lines>1</Lines>
  <Paragraphs>1</Paragraphs>
  <TotalTime>6</TotalTime>
  <ScaleCrop>false</ScaleCrop>
  <LinksUpToDate>false</LinksUpToDate>
  <CharactersWithSpaces>8217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Administrator</cp:lastModifiedBy>
  <cp:lastPrinted>2021-03-03T03:49:00Z</cp:lastPrinted>
  <dcterms:modified xsi:type="dcterms:W3CDTF">2023-04-16T09:58:14Z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2258E4F962CF47039D239DBA36738021_12</vt:lpwstr>
  </property>
</Properties>
</file>