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0D6" w:rsidRDefault="00211C37">
      <w:pPr>
        <w:spacing w:line="540" w:lineRule="exact"/>
        <w:jc w:val="center"/>
        <w:rPr>
          <w:rFonts w:ascii="方正小标宋_GBK" w:eastAsia="方正小标宋_GBK" w:hAnsi="宋体" w:cs="Times New Roman"/>
          <w:sz w:val="44"/>
          <w:szCs w:val="44"/>
        </w:rPr>
      </w:pPr>
      <w:r>
        <w:rPr>
          <w:rFonts w:ascii="方正小标宋_GBK" w:eastAsia="方正小标宋_GBK" w:hAnsi="宋体" w:cs="Times New Roman" w:hint="eastAsia"/>
          <w:sz w:val="44"/>
          <w:szCs w:val="44"/>
        </w:rPr>
        <w:t>2018年度中共昌吉市委员会办公室决算</w:t>
      </w:r>
    </w:p>
    <w:p w:rsidR="001A60D6" w:rsidRDefault="00211C37">
      <w:pPr>
        <w:spacing w:line="540" w:lineRule="exact"/>
        <w:jc w:val="center"/>
        <w:rPr>
          <w:rFonts w:ascii="方正小标宋_GBK" w:eastAsia="方正小标宋_GBK" w:hAnsi="宋体" w:cs="Times New Roman"/>
          <w:sz w:val="44"/>
          <w:szCs w:val="44"/>
        </w:rPr>
      </w:pPr>
      <w:r>
        <w:rPr>
          <w:rFonts w:ascii="方正小标宋_GBK" w:eastAsia="方正小标宋_GBK" w:hAnsi="宋体" w:cs="Times New Roman" w:hint="eastAsia"/>
          <w:sz w:val="44"/>
          <w:szCs w:val="44"/>
        </w:rPr>
        <w:t>公开</w:t>
      </w:r>
    </w:p>
    <w:p w:rsidR="001A60D6" w:rsidRDefault="001A60D6">
      <w:pPr>
        <w:spacing w:line="540" w:lineRule="exact"/>
        <w:rPr>
          <w:rFonts w:ascii="仿宋_GB2312" w:eastAsia="仿宋_GB2312" w:hAnsi="宋体"/>
          <w:sz w:val="32"/>
          <w:szCs w:val="32"/>
        </w:rPr>
      </w:pPr>
    </w:p>
    <w:p w:rsidR="001A60D6" w:rsidRDefault="00211C3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A60D6" w:rsidRDefault="001A60D6">
      <w:pPr>
        <w:spacing w:line="540" w:lineRule="exact"/>
        <w:rPr>
          <w:rFonts w:ascii="仿宋_GB2312" w:eastAsia="仿宋_GB2312" w:hAnsi="宋体"/>
          <w:b/>
          <w:kern w:val="0"/>
          <w:sz w:val="32"/>
          <w:szCs w:val="32"/>
        </w:rPr>
      </w:pPr>
    </w:p>
    <w:p w:rsidR="001A60D6" w:rsidRDefault="00211C3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A60D6" w:rsidRDefault="00211C3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A60D6" w:rsidRDefault="00211C3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A60D6" w:rsidRDefault="00211C3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A60D6" w:rsidRDefault="00211C37">
      <w:pPr>
        <w:spacing w:line="540" w:lineRule="exact"/>
        <w:ind w:firstLineChars="200" w:firstLine="640"/>
        <w:jc w:val="center"/>
        <w:rPr>
          <w:rFonts w:ascii="仿宋_GB2312" w:eastAsia="仿宋_GB2312"/>
          <w:sz w:val="32"/>
          <w:szCs w:val="32"/>
        </w:rPr>
      </w:pPr>
      <w:r>
        <w:rPr>
          <w:rFonts w:ascii="仿宋_GB2312" w:eastAsia="仿宋_GB2312" w:hint="eastAsia"/>
          <w:sz w:val="32"/>
          <w:szCs w:val="32"/>
        </w:rPr>
        <w:t>（一）部门收入支出决算总体情况说明</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（二）预算绩效情况的说明</w:t>
      </w:r>
    </w:p>
    <w:p w:rsidR="001A60D6" w:rsidRDefault="00211C3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A60D6" w:rsidRDefault="00211C3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lastRenderedPageBreak/>
        <w:t>第四部分 部</w:t>
      </w:r>
      <w:r>
        <w:rPr>
          <w:rFonts w:ascii="黑体" w:eastAsia="黑体" w:hAnsi="黑体" w:hint="eastAsia"/>
          <w:sz w:val="32"/>
          <w:szCs w:val="32"/>
        </w:rPr>
        <w:t>门决算公开的8张报表</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A60D6" w:rsidRDefault="00211C3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A60D6" w:rsidRDefault="001A60D6">
      <w:pPr>
        <w:spacing w:line="540" w:lineRule="exact"/>
        <w:ind w:firstLineChars="200" w:firstLine="640"/>
        <w:rPr>
          <w:rFonts w:ascii="黑体" w:eastAsia="黑体" w:hAnsi="黑体"/>
          <w:sz w:val="32"/>
          <w:szCs w:val="32"/>
        </w:rPr>
      </w:pPr>
    </w:p>
    <w:p w:rsidR="001A60D6" w:rsidRDefault="00211C3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A60D6" w:rsidRDefault="00211C3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负责全面了解全市经济与社会发展情况，及时掌握各地重大动态，为市党委科学决策发挥参谋助手作用。2、负责市党委日常工作的综合协调。3、承担市党委和党委办公室文件、文稿的起草、修改、校核、印发和日常文书处理工作。4、负责市党委的信息调研工作。5、负责市党委各种会议的会务工作和市党委领导同志参加重大活动的组织安排；负责市党委领导亲自进行督促检查的服务工作和组织协调工作；负责做好中央、自治区、自治州党委领导和区内外兄弟县市党委系统领导来我市的接待和服务工作。6、负责市党委系统办公室自动化的统一规划、协调和文秘人员的专业培训、业务指导工作；7、负责市人大、市人民政府报市党委的法规性文件的政策性研究审核及市党委办公室公文的核文把关。8、负责接收、传达中央、自治区、自治州和</w:t>
      </w:r>
      <w:r>
        <w:rPr>
          <w:rFonts w:ascii="仿宋_GB2312" w:eastAsia="仿宋_GB2312" w:hAnsi="Times New Roman" w:cs="Times New Roman" w:hint="eastAsia"/>
          <w:sz w:val="32"/>
          <w:szCs w:val="32"/>
        </w:rPr>
        <w:lastRenderedPageBreak/>
        <w:t>市党委、市人民政府有关部门的秘级文件、专件等。9、负责市党委办公室机关队伍建设、政治学习、思想教育和党的工作；负责市党委办公室的行政管理和精神文明建设工作；10、承办市党委交办的其他工作。</w:t>
      </w:r>
    </w:p>
    <w:p w:rsidR="001A60D6" w:rsidRDefault="00211C3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从决算单位构成看，中共昌吉市委员会办公室部门决算包括：中共昌吉市委员会办公室本级决算。</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纳入中共昌吉市委员会办公室2018年部门决算编制范围的单位名单见下表：</w:t>
      </w:r>
    </w:p>
    <w:tbl>
      <w:tblPr>
        <w:tblW w:w="8282" w:type="dxa"/>
        <w:tblBorders>
          <w:top w:val="outset" w:sz="6" w:space="0" w:color="000000"/>
          <w:left w:val="outset" w:sz="6" w:space="0" w:color="000000"/>
          <w:bottom w:val="outset" w:sz="6" w:space="0" w:color="000000"/>
          <w:right w:val="outset" w:sz="6" w:space="0" w:color="000000"/>
        </w:tblBorders>
        <w:tblLayout w:type="fixed"/>
        <w:tblCellMar>
          <w:top w:w="24" w:type="dxa"/>
          <w:left w:w="24" w:type="dxa"/>
          <w:bottom w:w="24" w:type="dxa"/>
          <w:right w:w="24" w:type="dxa"/>
        </w:tblCellMar>
        <w:tblLook w:val="04A0"/>
      </w:tblPr>
      <w:tblGrid>
        <w:gridCol w:w="1647"/>
        <w:gridCol w:w="4000"/>
        <w:gridCol w:w="2635"/>
      </w:tblGrid>
      <w:tr w:rsidR="001A60D6">
        <w:tc>
          <w:tcPr>
            <w:tcW w:w="1647"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211C37">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序号</w:t>
            </w:r>
          </w:p>
        </w:tc>
        <w:tc>
          <w:tcPr>
            <w:tcW w:w="400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211C37">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单位名称</w:t>
            </w:r>
          </w:p>
        </w:tc>
        <w:tc>
          <w:tcPr>
            <w:tcW w:w="263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211C37">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备注</w:t>
            </w:r>
          </w:p>
        </w:tc>
      </w:tr>
      <w:tr w:rsidR="001A60D6">
        <w:tc>
          <w:tcPr>
            <w:tcW w:w="1647"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211C37">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p>
        </w:tc>
        <w:tc>
          <w:tcPr>
            <w:tcW w:w="400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211C37">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中共昌吉市委员会办公室本级</w:t>
            </w:r>
          </w:p>
        </w:tc>
        <w:tc>
          <w:tcPr>
            <w:tcW w:w="263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1A60D6">
            <w:pPr>
              <w:spacing w:line="500" w:lineRule="exact"/>
              <w:ind w:firstLineChars="200" w:firstLine="640"/>
              <w:rPr>
                <w:rFonts w:ascii="仿宋_GB2312" w:eastAsia="仿宋_GB2312" w:hAnsi="Times New Roman" w:cs="Times New Roman"/>
                <w:sz w:val="32"/>
                <w:szCs w:val="32"/>
              </w:rPr>
            </w:pPr>
          </w:p>
        </w:tc>
      </w:tr>
      <w:tr w:rsidR="001A60D6">
        <w:tc>
          <w:tcPr>
            <w:tcW w:w="1647"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211C37">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p>
        </w:tc>
        <w:tc>
          <w:tcPr>
            <w:tcW w:w="400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1A60D6">
            <w:pPr>
              <w:spacing w:line="500" w:lineRule="exact"/>
              <w:ind w:firstLineChars="200" w:firstLine="640"/>
              <w:rPr>
                <w:rFonts w:ascii="仿宋_GB2312" w:eastAsia="仿宋_GB2312" w:hAnsi="Times New Roman" w:cs="Times New Roman"/>
                <w:sz w:val="32"/>
                <w:szCs w:val="32"/>
              </w:rPr>
            </w:pPr>
          </w:p>
        </w:tc>
        <w:tc>
          <w:tcPr>
            <w:tcW w:w="263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1A60D6">
            <w:pPr>
              <w:spacing w:line="500" w:lineRule="exact"/>
              <w:ind w:firstLineChars="200" w:firstLine="640"/>
              <w:rPr>
                <w:rFonts w:ascii="仿宋_GB2312" w:eastAsia="仿宋_GB2312" w:hAnsi="Times New Roman" w:cs="Times New Roman"/>
                <w:sz w:val="32"/>
                <w:szCs w:val="32"/>
              </w:rPr>
            </w:pPr>
          </w:p>
        </w:tc>
      </w:tr>
      <w:tr w:rsidR="001A60D6">
        <w:tc>
          <w:tcPr>
            <w:tcW w:w="1647"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211C37">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w:t>
            </w:r>
          </w:p>
        </w:tc>
        <w:tc>
          <w:tcPr>
            <w:tcW w:w="400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1A60D6">
            <w:pPr>
              <w:spacing w:line="500" w:lineRule="exact"/>
              <w:ind w:firstLineChars="200" w:firstLine="640"/>
              <w:rPr>
                <w:rFonts w:ascii="仿宋_GB2312" w:eastAsia="仿宋_GB2312" w:hAnsi="Times New Roman" w:cs="Times New Roman"/>
                <w:sz w:val="32"/>
                <w:szCs w:val="32"/>
              </w:rPr>
            </w:pPr>
          </w:p>
        </w:tc>
        <w:tc>
          <w:tcPr>
            <w:tcW w:w="263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1A60D6">
            <w:pPr>
              <w:spacing w:line="500" w:lineRule="exact"/>
              <w:ind w:firstLineChars="200" w:firstLine="640"/>
              <w:rPr>
                <w:rFonts w:ascii="仿宋_GB2312" w:eastAsia="仿宋_GB2312" w:hAnsi="Times New Roman" w:cs="Times New Roman"/>
                <w:sz w:val="32"/>
                <w:szCs w:val="32"/>
              </w:rPr>
            </w:pPr>
          </w:p>
        </w:tc>
      </w:tr>
      <w:tr w:rsidR="001A60D6">
        <w:tc>
          <w:tcPr>
            <w:tcW w:w="1647"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1A60D6">
            <w:pPr>
              <w:spacing w:line="500" w:lineRule="exact"/>
              <w:ind w:firstLineChars="200" w:firstLine="640"/>
              <w:rPr>
                <w:rFonts w:ascii="仿宋_GB2312" w:eastAsia="仿宋_GB2312" w:hAnsi="Times New Roman" w:cs="Times New Roman"/>
                <w:sz w:val="32"/>
                <w:szCs w:val="32"/>
              </w:rPr>
            </w:pPr>
          </w:p>
        </w:tc>
        <w:tc>
          <w:tcPr>
            <w:tcW w:w="400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1A60D6">
            <w:pPr>
              <w:spacing w:line="500" w:lineRule="exact"/>
              <w:ind w:firstLineChars="200" w:firstLine="640"/>
              <w:rPr>
                <w:rFonts w:ascii="仿宋_GB2312" w:eastAsia="仿宋_GB2312" w:hAnsi="Times New Roman" w:cs="Times New Roman"/>
                <w:sz w:val="32"/>
                <w:szCs w:val="32"/>
              </w:rPr>
            </w:pPr>
          </w:p>
        </w:tc>
        <w:tc>
          <w:tcPr>
            <w:tcW w:w="263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1A60D6" w:rsidRDefault="001A60D6">
            <w:pPr>
              <w:spacing w:line="500" w:lineRule="exact"/>
              <w:ind w:firstLineChars="200" w:firstLine="640"/>
              <w:rPr>
                <w:rFonts w:ascii="仿宋_GB2312" w:eastAsia="仿宋_GB2312" w:hAnsi="Times New Roman" w:cs="Times New Roman"/>
                <w:sz w:val="32"/>
                <w:szCs w:val="32"/>
              </w:rPr>
            </w:pPr>
          </w:p>
        </w:tc>
      </w:tr>
    </w:tbl>
    <w:p w:rsidR="001A60D6" w:rsidRDefault="001A60D6">
      <w:pPr>
        <w:spacing w:line="540" w:lineRule="exact"/>
        <w:jc w:val="center"/>
        <w:rPr>
          <w:rFonts w:ascii="黑体" w:eastAsia="黑体" w:hAnsi="黑体"/>
          <w:sz w:val="32"/>
          <w:szCs w:val="32"/>
        </w:rPr>
      </w:pPr>
    </w:p>
    <w:p w:rsidR="001A60D6" w:rsidRDefault="00211C3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A60D6" w:rsidRDefault="00211C37">
      <w:pPr>
        <w:widowControl/>
        <w:shd w:val="clear" w:color="auto" w:fill="FFFFFF"/>
        <w:spacing w:before="225" w:line="450" w:lineRule="atLeast"/>
        <w:ind w:firstLine="480"/>
        <w:jc w:val="left"/>
        <w:rPr>
          <w:rFonts w:ascii="黑体" w:eastAsia="黑体" w:hAnsi="黑体"/>
          <w:sz w:val="32"/>
          <w:szCs w:val="32"/>
        </w:rPr>
      </w:pPr>
      <w:r>
        <w:rPr>
          <w:rFonts w:ascii="黑体" w:eastAsia="黑体" w:hAnsi="黑体" w:hint="eastAsia"/>
          <w:sz w:val="32"/>
          <w:szCs w:val="32"/>
        </w:rPr>
        <w:t>一、部门收支总体情况</w:t>
      </w:r>
    </w:p>
    <w:p w:rsidR="001A60D6" w:rsidRDefault="00211C37">
      <w:pPr>
        <w:spacing w:line="540" w:lineRule="exact"/>
        <w:ind w:firstLineChars="200" w:firstLine="643"/>
        <w:rPr>
          <w:rFonts w:ascii="楷体_GB2312" w:eastAsia="楷体_GB2312" w:hAnsi="Calibri" w:cs="Times New Roman"/>
          <w:b/>
          <w:bCs/>
          <w:sz w:val="32"/>
          <w:szCs w:val="32"/>
        </w:rPr>
      </w:pPr>
      <w:r>
        <w:rPr>
          <w:rFonts w:ascii="楷体_GB2312" w:eastAsia="楷体_GB2312" w:hAnsi="Calibri" w:cs="Times New Roman" w:hint="eastAsia"/>
          <w:b/>
          <w:bCs/>
          <w:sz w:val="32"/>
          <w:szCs w:val="32"/>
        </w:rPr>
        <w:t>（一）部门收入支出决算总体情况说明</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收入854.86万元,与上年相比，减少695.68万元，降低44.87%，增减变化主要原因是：2018年无工程项目预算；支出914.86万元,与上年相比，减少584.86万元，降低39%，增减变化主要原因是：项目经费支出未做安排未支出；结余0万元，与上年相比，减少60万元，降低100%，增减变化主要原因是加快资金支出进度。</w:t>
      </w:r>
    </w:p>
    <w:p w:rsidR="001A60D6" w:rsidRDefault="00211C37">
      <w:pPr>
        <w:spacing w:line="540" w:lineRule="exact"/>
        <w:ind w:firstLineChars="200" w:firstLine="643"/>
        <w:rPr>
          <w:rFonts w:ascii="楷体_GB2312" w:eastAsia="楷体_GB2312" w:hAnsi="Calibri" w:cs="Times New Roman"/>
          <w:b/>
          <w:bCs/>
          <w:sz w:val="32"/>
          <w:szCs w:val="32"/>
        </w:rPr>
      </w:pPr>
      <w:r>
        <w:rPr>
          <w:rFonts w:ascii="楷体_GB2312" w:eastAsia="楷体_GB2312" w:hAnsi="Calibri" w:cs="Times New Roman" w:hint="eastAsia"/>
          <w:b/>
          <w:bCs/>
          <w:sz w:val="32"/>
          <w:szCs w:val="32"/>
        </w:rPr>
        <w:lastRenderedPageBreak/>
        <w:t>（二）部门收入总体情况说明</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本年收入合计854.86万元，其中：财政拨款收入854.86万元，占100%；上级补助收入0万元，占0%；事业收入0万元，占0%；经营收入0万元，占0%；附属单位缴款0万元，占0%；其他收入0万元，占0%。</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与年初预算数相比情况：本年收入年初预算数670.24万元，决算数854.86元，预决算差异率27.55%，差异主要原因追加了人员调资经费和社保费。</w:t>
      </w:r>
    </w:p>
    <w:p w:rsidR="001A60D6" w:rsidRDefault="00211C37">
      <w:pPr>
        <w:spacing w:line="540" w:lineRule="exact"/>
        <w:ind w:firstLineChars="200" w:firstLine="643"/>
        <w:rPr>
          <w:rFonts w:ascii="楷体_GB2312" w:eastAsia="楷体_GB2312" w:hAnsi="Calibri" w:cs="Times New Roman"/>
          <w:b/>
          <w:bCs/>
          <w:sz w:val="32"/>
          <w:szCs w:val="32"/>
        </w:rPr>
      </w:pPr>
      <w:r>
        <w:rPr>
          <w:rFonts w:ascii="楷体_GB2312" w:eastAsia="楷体_GB2312" w:hAnsi="Calibri" w:cs="Times New Roman" w:hint="eastAsia"/>
          <w:b/>
          <w:bCs/>
          <w:sz w:val="32"/>
          <w:szCs w:val="32"/>
        </w:rPr>
        <w:t>（三）部门支出总体情况说明</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本年支出合计914.86万元，其中：基本支出834.86万元，占91.26%；项目支出80万元，占8.74%；上缴上级支出0万元，占0%；经营支出0万元，占0%；对附属单位补助支出0万元，占0%。</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与年初预算数相比情况：本年支出年初预算数670.24万元，决算数914.86万元，预决算差异率36.5%，差异主要原因追加了人员调资后的经费和社保部分。</w:t>
      </w:r>
    </w:p>
    <w:p w:rsidR="001A60D6" w:rsidRDefault="00211C37">
      <w:pPr>
        <w:widowControl/>
        <w:shd w:val="clear" w:color="auto" w:fill="FFFFFF"/>
        <w:spacing w:before="225" w:line="450" w:lineRule="atLeast"/>
        <w:ind w:firstLine="480"/>
        <w:jc w:val="left"/>
        <w:rPr>
          <w:rFonts w:ascii="黑体" w:eastAsia="黑体" w:hAnsi="黑体"/>
          <w:sz w:val="32"/>
          <w:szCs w:val="32"/>
        </w:rPr>
      </w:pPr>
      <w:r>
        <w:rPr>
          <w:rFonts w:ascii="黑体" w:eastAsia="黑体" w:hAnsi="黑体" w:hint="eastAsia"/>
          <w:sz w:val="32"/>
          <w:szCs w:val="32"/>
        </w:rPr>
        <w:t>二、部门财政拨款收支情况</w:t>
      </w:r>
    </w:p>
    <w:p w:rsidR="001A60D6" w:rsidRDefault="00211C37">
      <w:pPr>
        <w:spacing w:line="540" w:lineRule="exact"/>
        <w:ind w:firstLineChars="200" w:firstLine="643"/>
        <w:rPr>
          <w:rFonts w:ascii="楷体_GB2312" w:eastAsia="楷体_GB2312" w:hAnsi="Calibri" w:cs="Times New Roman"/>
          <w:b/>
          <w:bCs/>
          <w:sz w:val="32"/>
          <w:szCs w:val="32"/>
        </w:rPr>
      </w:pPr>
      <w:r>
        <w:rPr>
          <w:rFonts w:ascii="楷体_GB2312" w:eastAsia="楷体_GB2312" w:hAnsi="Calibri" w:cs="Times New Roman" w:hint="eastAsia"/>
          <w:b/>
          <w:bCs/>
          <w:sz w:val="32"/>
          <w:szCs w:val="32"/>
        </w:rPr>
        <w:t>（一）财政拨款收支总体情况说明</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财政拨款收入854.86万元，与上年相比，减少695.68万元，降低44.87%。增减变化的主要原因是：项目经费未做安排。财政拨款支出914.86万元，与上年相比，减少584.86万元，降低39%，增减变化主要原因是：项目经费支出未做安排未支出。其中：基本支出834.86万元，项目支出80万元。财政拨款结转结余0万元，与上年相比，减少60万元，降低100%。增减变化的主要原因是：加快资</w:t>
      </w:r>
      <w:r>
        <w:rPr>
          <w:rFonts w:ascii="仿宋_GB2312" w:eastAsia="仿宋_GB2312" w:hAnsi="Times New Roman" w:cs="Times New Roman" w:hint="eastAsia"/>
          <w:sz w:val="32"/>
          <w:szCs w:val="32"/>
        </w:rPr>
        <w:lastRenderedPageBreak/>
        <w:t>金支付进度。</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财政拨款收入年初预算数670.24万元，决算数854.86万元，预决算差异率27.55%，差异主要原因追加了项目资金和人员调资后的经费和社保部分。财政拨款支出年初预算数670.24万元，决算数914.86万元，预决算差异率36.5%，差异主要原因追加了项目资金和人员调资后的经费和社保部分。</w:t>
      </w:r>
    </w:p>
    <w:p w:rsidR="001A60D6" w:rsidRDefault="00211C37">
      <w:pPr>
        <w:widowControl/>
        <w:shd w:val="clear" w:color="auto" w:fill="FFFFFF"/>
        <w:spacing w:before="225" w:line="450" w:lineRule="atLeast"/>
        <w:ind w:firstLine="480"/>
        <w:jc w:val="left"/>
        <w:rPr>
          <w:rFonts w:ascii="宋体" w:eastAsia="宋体" w:hAnsi="宋体" w:cs="宋体"/>
          <w:color w:val="333333"/>
          <w:kern w:val="0"/>
          <w:sz w:val="24"/>
          <w:szCs w:val="24"/>
        </w:rPr>
      </w:pPr>
      <w:r>
        <w:rPr>
          <w:rFonts w:ascii="楷体_GB2312" w:eastAsia="楷体_GB2312" w:hAnsi="Calibri" w:cs="Times New Roman" w:hint="eastAsia"/>
          <w:b/>
          <w:bCs/>
          <w:sz w:val="32"/>
          <w:szCs w:val="32"/>
        </w:rPr>
        <w:t>（二）一般公共预算收支决算情况说明</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一般公共预算财政拨款收入854.86万元。与上年相比，减少695.68万元，降低44.87%，增减变化的主要原因是：项目资金未做安排。一般公共预算财政拨款支出914.86万元。与上年相比，减少584.86万元，降低39%，增减变化主要原因是：项目经费支出未做安排未支出。其中，按功能分类科目，201类一般公共服务支出851.28万元，208类社会保障和就业支出63.59万元。按经济分类科目，工资福利支出594.87万元，商品和服务支出261.96万元，对个人和家庭的补助47.21万元，资本性支出10.82万元。</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财政拨款收入年初预算数670.24万元，决算数854.86万元，预决算差异率27.55%，差异主要原因追加了项目资金和人员工资调整经费和社保部分。一般公共预算财政拨款支出年初预算数670.24万元，决算数914.86万元，预决算差异率36.5%，差异主要原因追加了项目资金和人员工资调整经费和社保部分。</w:t>
      </w:r>
    </w:p>
    <w:p w:rsidR="001A60D6" w:rsidRDefault="00211C37">
      <w:pPr>
        <w:widowControl/>
        <w:shd w:val="clear" w:color="auto" w:fill="FFFFFF"/>
        <w:spacing w:before="225" w:line="450" w:lineRule="atLeast"/>
        <w:ind w:firstLine="480"/>
        <w:jc w:val="left"/>
        <w:rPr>
          <w:rFonts w:ascii="楷体_GB2312" w:eastAsia="楷体_GB2312" w:hAnsi="Calibri" w:cs="Times New Roman"/>
          <w:b/>
          <w:bCs/>
          <w:sz w:val="32"/>
          <w:szCs w:val="32"/>
        </w:rPr>
      </w:pPr>
      <w:r>
        <w:rPr>
          <w:rFonts w:ascii="楷体_GB2312" w:eastAsia="楷体_GB2312" w:hAnsi="Calibri" w:cs="Times New Roman" w:hint="eastAsia"/>
          <w:b/>
          <w:bCs/>
          <w:sz w:val="32"/>
          <w:szCs w:val="32"/>
        </w:rPr>
        <w:t>（三）政府性基金预算收支决算情况说明</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2018年度政府性基金预算财政拨款收入0万元，与上年相比，增加0万元，增长0%。增减变化的主要原因是：预算未安排。政府性基金预算财政拨款支出0万元，与上年相比，增加0万元，增长0%。增减变化的主要原因是：预算未安排。</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rsidR="001A60D6" w:rsidRDefault="00211C37">
      <w:pPr>
        <w:widowControl/>
        <w:shd w:val="clear" w:color="auto" w:fill="FFFFFF"/>
        <w:spacing w:before="225" w:line="450" w:lineRule="atLeast"/>
        <w:ind w:firstLine="480"/>
        <w:jc w:val="left"/>
        <w:rPr>
          <w:rFonts w:ascii="黑体" w:eastAsia="黑体" w:hAnsi="黑体"/>
          <w:sz w:val="32"/>
          <w:szCs w:val="32"/>
        </w:rPr>
      </w:pPr>
      <w:r>
        <w:rPr>
          <w:rFonts w:ascii="黑体" w:eastAsia="黑体" w:hAnsi="黑体" w:hint="eastAsia"/>
          <w:sz w:val="32"/>
          <w:szCs w:val="32"/>
        </w:rPr>
        <w:t>三、部门结转结余情况</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年末结转结余0万元。与上年相比，减少60万元，降低100%。</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其中财政拨款结转结余0万元。与上年相比，增加0万元，增长0%。</w:t>
      </w:r>
    </w:p>
    <w:p w:rsidR="001A60D6" w:rsidRDefault="00211C37">
      <w:pPr>
        <w:widowControl/>
        <w:shd w:val="clear" w:color="auto" w:fill="FFFFFF"/>
        <w:spacing w:before="225" w:line="450" w:lineRule="atLeast"/>
        <w:ind w:firstLine="480"/>
        <w:jc w:val="left"/>
        <w:rPr>
          <w:rFonts w:ascii="黑体" w:eastAsia="黑体" w:hAnsi="黑体"/>
          <w:sz w:val="32"/>
          <w:szCs w:val="32"/>
        </w:rPr>
      </w:pPr>
      <w:r>
        <w:rPr>
          <w:rFonts w:ascii="黑体" w:eastAsia="黑体" w:hAnsi="黑体" w:hint="eastAsia"/>
          <w:sz w:val="32"/>
          <w:szCs w:val="32"/>
        </w:rPr>
        <w:t>四、一般公共预算“三公”经费支出情况</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一般公共预算“三公”经费支出决算72.5万元，比上年减少0万元，降低0%，原因是持续控制公务接待、降低接待规模。其中，因公出国（境）费支出0万元，占0%，比上年增加0万元，增长0%，增加原因是本年无增减；公务用车购置及运行维护费支出72.5万元，占100%，比上年增加0万元，增长0%，原因是加强车辆管理，控制车辆使用、压缩公务用车运行维护费，例行节约。公务接待费支出0万元，占0%，比上年增加0万元，增长0%，增加原因是预算未安排。具体情况如下：</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因公出国（境）费支出0万元。中共昌吉市委员会办公室全年使用一般公共预算财政拨款安排的出国（境）团组0个，累计0人次。开支内容包括：无开支。</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用车购置及运行维护费72.5万元,其中，公务用车购置0万元，公务用车运行维护费72.5万元。主要用于公务用车维修、燃油、审验、保险、保养等。单位一般公共财政拨款安排的公务用车购置量0辆，保有量为0辆。</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公务接待费0万元。具体是：国内公务接待支出0万元，主要是无公务接待。中共昌吉市委员会办公室国内公务接待0批次，0人次。</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三公”经费支出年初预算数72.5万元，决算数72.5万元，预决算差异率0%，差异主要原因持续控制公务接待、降低接待规模。压缩公务用车运行维护费，例行节约。其中：因公出国（境）费预算数0万元，决算数0万元，预决算差异率0%，差异主要原因本年无增减；公务用车购置预算数0万元，决算数0万元，预决算差异率0%，差异主要原因本年无增减；公务用车运行费预算数72.5万元，决算数72.5万元，预决算差异率0%，差异主要原因压缩公务用车运行维护费，例行节约。公务接待费预算数0万元，决算数0万元，预决算差异率0%，差异主要原因本年无增减。</w:t>
      </w:r>
    </w:p>
    <w:p w:rsidR="001A60D6" w:rsidRDefault="00211C37">
      <w:pPr>
        <w:widowControl/>
        <w:shd w:val="clear" w:color="auto" w:fill="FFFFFF"/>
        <w:spacing w:before="225" w:line="450" w:lineRule="atLeast"/>
        <w:ind w:firstLine="480"/>
        <w:jc w:val="left"/>
        <w:rPr>
          <w:rFonts w:ascii="黑体" w:eastAsia="黑体" w:hAnsi="黑体"/>
          <w:sz w:val="32"/>
          <w:szCs w:val="32"/>
        </w:rPr>
      </w:pPr>
      <w:r>
        <w:rPr>
          <w:rFonts w:ascii="黑体" w:eastAsia="黑体" w:hAnsi="黑体" w:hint="eastAsia"/>
          <w:sz w:val="32"/>
          <w:szCs w:val="32"/>
        </w:rPr>
        <w:t>五、机关运行经费支出情况</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2018年度中共昌吉市委员会办公室机关运行经费支出192.78万元，比上年减少92.31万元，降低91.88%，主要原因是项目经费减少，压缩日常开支。</w:t>
      </w:r>
    </w:p>
    <w:p w:rsidR="001A60D6" w:rsidRDefault="00211C37">
      <w:pPr>
        <w:widowControl/>
        <w:shd w:val="clear" w:color="auto" w:fill="FFFFFF"/>
        <w:spacing w:before="225" w:line="450" w:lineRule="atLeast"/>
        <w:ind w:firstLine="480"/>
        <w:jc w:val="left"/>
        <w:rPr>
          <w:rFonts w:ascii="黑体" w:eastAsia="黑体" w:hAnsi="黑体"/>
          <w:sz w:val="32"/>
          <w:szCs w:val="32"/>
        </w:rPr>
      </w:pPr>
      <w:r>
        <w:rPr>
          <w:rFonts w:ascii="黑体" w:eastAsia="黑体" w:hAnsi="黑体" w:hint="eastAsia"/>
          <w:sz w:val="32"/>
          <w:szCs w:val="32"/>
        </w:rPr>
        <w:lastRenderedPageBreak/>
        <w:t>六、政府采购情况</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2018年度政府采购支出总额46.03万元，其中：政府采购货物支出0万元、政府采购工程支出0万元、政府采购服务支出46.03万元。</w:t>
      </w:r>
    </w:p>
    <w:p w:rsidR="001A60D6" w:rsidRDefault="00211C37">
      <w:pPr>
        <w:widowControl/>
        <w:shd w:val="clear" w:color="auto" w:fill="FFFFFF"/>
        <w:spacing w:before="225" w:line="450" w:lineRule="atLeast"/>
        <w:ind w:firstLine="480"/>
        <w:jc w:val="left"/>
        <w:rPr>
          <w:rFonts w:ascii="黑体" w:eastAsia="黑体" w:hAnsi="黑体"/>
          <w:sz w:val="32"/>
          <w:szCs w:val="32"/>
        </w:rPr>
      </w:pPr>
      <w:r>
        <w:rPr>
          <w:rFonts w:ascii="黑体" w:eastAsia="黑体" w:hAnsi="黑体" w:hint="eastAsia"/>
          <w:sz w:val="32"/>
          <w:szCs w:val="32"/>
        </w:rPr>
        <w:t>七、其他重要事项的情况</w:t>
      </w:r>
    </w:p>
    <w:p w:rsidR="001A60D6" w:rsidRDefault="00211C37">
      <w:pPr>
        <w:widowControl/>
        <w:shd w:val="clear" w:color="auto" w:fill="FFFFFF"/>
        <w:spacing w:before="225" w:line="450" w:lineRule="atLeast"/>
        <w:ind w:firstLine="480"/>
        <w:jc w:val="left"/>
        <w:rPr>
          <w:rFonts w:ascii="楷体_GB2312" w:eastAsia="楷体_GB2312" w:hAnsi="Calibri" w:cs="Times New Roman"/>
          <w:b/>
          <w:bCs/>
          <w:sz w:val="32"/>
          <w:szCs w:val="32"/>
        </w:rPr>
      </w:pPr>
      <w:r>
        <w:rPr>
          <w:rFonts w:ascii="楷体_GB2312" w:eastAsia="楷体_GB2312" w:hAnsi="Calibri" w:cs="Times New Roman" w:hint="eastAsia"/>
          <w:b/>
          <w:bCs/>
          <w:sz w:val="32"/>
          <w:szCs w:val="32"/>
        </w:rPr>
        <w:t>（一）国有资产占用情况说明</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截至2018年12月31日，单位共有车辆17辆，价值466.67万元，其中：部级领导干部用车0辆、主要领导干部用车0辆、机要通信用车1辆、应急保障用车0辆、执法执勤用车0辆、特种专业技术用车0辆、离退休干部用车0辆、其他用车16辆，其他用车主要是：一般公务用车；单位价值50万元以上通用设备0台（套）、单位价值100万元以上专用设备0台（套），其他固定资产价值174.67万元。</w:t>
      </w:r>
    </w:p>
    <w:p w:rsidR="001A60D6" w:rsidRDefault="00211C37">
      <w:pPr>
        <w:widowControl/>
        <w:shd w:val="clear" w:color="auto" w:fill="FFFFFF"/>
        <w:spacing w:before="225" w:line="450" w:lineRule="atLeast"/>
        <w:ind w:firstLine="480"/>
        <w:jc w:val="left"/>
        <w:rPr>
          <w:rFonts w:ascii="楷体_GB2312" w:eastAsia="楷体_GB2312" w:hAnsi="Calibri" w:cs="Times New Roman"/>
          <w:b/>
          <w:bCs/>
          <w:sz w:val="32"/>
          <w:szCs w:val="32"/>
        </w:rPr>
      </w:pPr>
      <w:r>
        <w:rPr>
          <w:rFonts w:ascii="楷体_GB2312" w:eastAsia="楷体_GB2312" w:hAnsi="Calibri" w:cs="Times New Roman" w:hint="eastAsia"/>
          <w:b/>
          <w:bCs/>
          <w:sz w:val="32"/>
          <w:szCs w:val="32"/>
        </w:rPr>
        <w:t>（二）预算绩效情况的说明</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本部门单位预算绩效自评情况：2018年度，中共昌吉市委员会办公室共有1个绩效项目，为网络租费及业务经费，安排资金80万元，主要用于涉密域电子政务、秘书工作、信息督查等专项业务经费。严格落实津补贴、绩效奖金发放管理办法和办公室机关综合量化考核管理办法，严格按照财经制度，不挤占挪用，充分发挥专项资金实际效用。</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网络租费及业务经费项目绩效自评综述：根据年初设定的绩效目标，网络租费及业务经费项目绩效自评得分100分，</w:t>
      </w:r>
      <w:r>
        <w:rPr>
          <w:rFonts w:ascii="仿宋_GB2312" w:eastAsia="仿宋_GB2312" w:hAnsi="Times New Roman" w:cs="Times New Roman" w:hint="eastAsia"/>
          <w:sz w:val="32"/>
          <w:szCs w:val="32"/>
        </w:rPr>
        <w:lastRenderedPageBreak/>
        <w:t>项目全年预算数为80万元，执行数为80万元，完成预算的100%。主要产出和效果：一是启动电子政务内网横向网络建设，完成与10个乡镇、6个街道、50个社区和21家单位的横向网络连接和。二是充分调动工作积极性，努力建设信念坚定、业务精通、作风务实、清正廉洁的高素质团队；发现的问题及原因：因工作量加大，各项业务经费逐年上升。下一步改进措施：合理安排经费使用，继续更好的完成市委、政府交办的各项工作。</w:t>
      </w:r>
    </w:p>
    <w:p w:rsidR="001A60D6" w:rsidRDefault="001A60D6">
      <w:pPr>
        <w:spacing w:line="540" w:lineRule="exact"/>
        <w:ind w:firstLineChars="200" w:firstLine="640"/>
        <w:rPr>
          <w:rFonts w:ascii="仿宋_GB2312" w:eastAsia="仿宋_GB2312" w:hAnsi="Times New Roman" w:cs="Times New Roman"/>
          <w:sz w:val="32"/>
          <w:szCs w:val="32"/>
        </w:rPr>
      </w:pPr>
    </w:p>
    <w:tbl>
      <w:tblPr>
        <w:tblW w:w="8522" w:type="dxa"/>
        <w:jc w:val="center"/>
        <w:tblLayout w:type="fixed"/>
        <w:tblLook w:val="04A0"/>
      </w:tblPr>
      <w:tblGrid>
        <w:gridCol w:w="680"/>
        <w:gridCol w:w="785"/>
        <w:gridCol w:w="292"/>
        <w:gridCol w:w="899"/>
        <w:gridCol w:w="386"/>
        <w:gridCol w:w="1021"/>
        <w:gridCol w:w="831"/>
        <w:gridCol w:w="297"/>
        <w:gridCol w:w="1649"/>
        <w:gridCol w:w="1682"/>
      </w:tblGrid>
      <w:tr w:rsidR="001A60D6">
        <w:trPr>
          <w:trHeight w:val="528"/>
          <w:jc w:val="center"/>
        </w:trPr>
        <w:tc>
          <w:tcPr>
            <w:tcW w:w="8522" w:type="dxa"/>
            <w:gridSpan w:val="10"/>
            <w:tcBorders>
              <w:top w:val="nil"/>
              <w:left w:val="nil"/>
              <w:bottom w:val="nil"/>
              <w:right w:val="nil"/>
            </w:tcBorders>
            <w:vAlign w:val="center"/>
          </w:tcPr>
          <w:p w:rsidR="001A60D6" w:rsidRDefault="00211C37">
            <w:pPr>
              <w:widowControl/>
              <w:jc w:val="center"/>
              <w:rPr>
                <w:rFonts w:ascii="宋体" w:hAnsi="宋体" w:cs="宋体"/>
                <w:b/>
                <w:bCs/>
                <w:kern w:val="0"/>
                <w:sz w:val="32"/>
                <w:szCs w:val="32"/>
              </w:rPr>
            </w:pPr>
            <w:r>
              <w:rPr>
                <w:rFonts w:ascii="宋体" w:hAnsi="宋体" w:cs="宋体" w:hint="eastAsia"/>
                <w:b/>
                <w:bCs/>
                <w:kern w:val="0"/>
                <w:sz w:val="32"/>
                <w:szCs w:val="32"/>
              </w:rPr>
              <w:t>中共昌吉市委员会办公室项目支出绩效自评表</w:t>
            </w:r>
          </w:p>
        </w:tc>
      </w:tr>
      <w:tr w:rsidR="001A60D6">
        <w:trPr>
          <w:trHeight w:val="285"/>
          <w:jc w:val="center"/>
        </w:trPr>
        <w:tc>
          <w:tcPr>
            <w:tcW w:w="8522" w:type="dxa"/>
            <w:gridSpan w:val="10"/>
            <w:tcBorders>
              <w:top w:val="nil"/>
              <w:left w:val="nil"/>
              <w:bottom w:val="nil"/>
              <w:right w:val="nil"/>
            </w:tcBorders>
            <w:vAlign w:val="center"/>
          </w:tcPr>
          <w:p w:rsidR="001A60D6" w:rsidRDefault="00211C37">
            <w:pPr>
              <w:widowControl/>
              <w:jc w:val="center"/>
              <w:rPr>
                <w:rFonts w:ascii="宋体" w:eastAsia="宋体" w:hAnsi="宋体" w:cs="宋体"/>
                <w:kern w:val="0"/>
                <w:sz w:val="24"/>
              </w:rPr>
            </w:pPr>
            <w:r>
              <w:rPr>
                <w:rFonts w:ascii="宋体" w:eastAsia="宋体" w:hAnsi="宋体" w:cs="宋体" w:hint="eastAsia"/>
                <w:kern w:val="0"/>
                <w:sz w:val="24"/>
              </w:rPr>
              <w:t>（ 2018 年度）</w:t>
            </w:r>
          </w:p>
        </w:tc>
      </w:tr>
      <w:tr w:rsidR="001A60D6">
        <w:trPr>
          <w:trHeight w:val="285"/>
          <w:jc w:val="center"/>
        </w:trPr>
        <w:tc>
          <w:tcPr>
            <w:tcW w:w="680" w:type="dxa"/>
            <w:tcBorders>
              <w:top w:val="nil"/>
              <w:left w:val="nil"/>
              <w:bottom w:val="nil"/>
              <w:right w:val="nil"/>
            </w:tcBorders>
            <w:vAlign w:val="center"/>
          </w:tcPr>
          <w:p w:rsidR="001A60D6" w:rsidRDefault="001A60D6">
            <w:pPr>
              <w:widowControl/>
              <w:jc w:val="center"/>
              <w:rPr>
                <w:rFonts w:ascii="宋体" w:eastAsia="宋体" w:hAnsi="宋体" w:cs="宋体"/>
                <w:kern w:val="0"/>
                <w:sz w:val="24"/>
              </w:rPr>
            </w:pPr>
          </w:p>
        </w:tc>
        <w:tc>
          <w:tcPr>
            <w:tcW w:w="1077" w:type="dxa"/>
            <w:gridSpan w:val="2"/>
            <w:tcBorders>
              <w:top w:val="nil"/>
              <w:left w:val="nil"/>
              <w:bottom w:val="nil"/>
              <w:right w:val="nil"/>
            </w:tcBorders>
            <w:vAlign w:val="center"/>
          </w:tcPr>
          <w:p w:rsidR="001A60D6" w:rsidRDefault="001A60D6">
            <w:pPr>
              <w:widowControl/>
              <w:jc w:val="center"/>
              <w:rPr>
                <w:rFonts w:ascii="宋体" w:eastAsia="宋体" w:hAnsi="宋体" w:cs="宋体"/>
                <w:kern w:val="0"/>
                <w:sz w:val="24"/>
              </w:rPr>
            </w:pPr>
          </w:p>
        </w:tc>
        <w:tc>
          <w:tcPr>
            <w:tcW w:w="1285" w:type="dxa"/>
            <w:gridSpan w:val="2"/>
            <w:tcBorders>
              <w:top w:val="nil"/>
              <w:left w:val="nil"/>
              <w:bottom w:val="nil"/>
              <w:right w:val="nil"/>
            </w:tcBorders>
            <w:vAlign w:val="center"/>
          </w:tcPr>
          <w:p w:rsidR="001A60D6" w:rsidRDefault="001A60D6">
            <w:pPr>
              <w:widowControl/>
              <w:jc w:val="center"/>
              <w:rPr>
                <w:rFonts w:ascii="宋体" w:eastAsia="宋体" w:hAnsi="宋体" w:cs="宋体"/>
                <w:kern w:val="0"/>
                <w:sz w:val="24"/>
              </w:rPr>
            </w:pPr>
          </w:p>
        </w:tc>
        <w:tc>
          <w:tcPr>
            <w:tcW w:w="1021" w:type="dxa"/>
            <w:tcBorders>
              <w:top w:val="nil"/>
              <w:left w:val="nil"/>
              <w:bottom w:val="nil"/>
              <w:right w:val="nil"/>
            </w:tcBorders>
            <w:vAlign w:val="center"/>
          </w:tcPr>
          <w:p w:rsidR="001A60D6" w:rsidRDefault="001A60D6">
            <w:pPr>
              <w:widowControl/>
              <w:jc w:val="center"/>
              <w:rPr>
                <w:rFonts w:ascii="宋体" w:eastAsia="宋体" w:hAnsi="宋体" w:cs="宋体"/>
                <w:kern w:val="0"/>
                <w:sz w:val="24"/>
              </w:rPr>
            </w:pPr>
          </w:p>
        </w:tc>
        <w:tc>
          <w:tcPr>
            <w:tcW w:w="831" w:type="dxa"/>
            <w:tcBorders>
              <w:top w:val="nil"/>
              <w:left w:val="nil"/>
              <w:bottom w:val="nil"/>
              <w:right w:val="nil"/>
            </w:tcBorders>
            <w:vAlign w:val="center"/>
          </w:tcPr>
          <w:p w:rsidR="001A60D6" w:rsidRDefault="001A60D6">
            <w:pPr>
              <w:widowControl/>
              <w:jc w:val="center"/>
              <w:rPr>
                <w:rFonts w:ascii="宋体" w:eastAsia="宋体" w:hAnsi="宋体" w:cs="宋体"/>
                <w:kern w:val="0"/>
                <w:sz w:val="24"/>
              </w:rPr>
            </w:pPr>
          </w:p>
        </w:tc>
        <w:tc>
          <w:tcPr>
            <w:tcW w:w="1946" w:type="dxa"/>
            <w:gridSpan w:val="2"/>
            <w:tcBorders>
              <w:top w:val="nil"/>
              <w:left w:val="nil"/>
              <w:bottom w:val="nil"/>
              <w:right w:val="nil"/>
            </w:tcBorders>
            <w:vAlign w:val="center"/>
          </w:tcPr>
          <w:p w:rsidR="001A60D6" w:rsidRDefault="001A60D6">
            <w:pPr>
              <w:widowControl/>
              <w:jc w:val="center"/>
              <w:rPr>
                <w:rFonts w:ascii="宋体" w:eastAsia="宋体" w:hAnsi="宋体" w:cs="宋体"/>
                <w:kern w:val="0"/>
                <w:sz w:val="24"/>
              </w:rPr>
            </w:pPr>
          </w:p>
        </w:tc>
        <w:tc>
          <w:tcPr>
            <w:tcW w:w="1682" w:type="dxa"/>
            <w:tcBorders>
              <w:top w:val="nil"/>
              <w:left w:val="nil"/>
              <w:bottom w:val="nil"/>
              <w:right w:val="nil"/>
            </w:tcBorders>
            <w:vAlign w:val="center"/>
          </w:tcPr>
          <w:p w:rsidR="001A60D6" w:rsidRDefault="001A60D6">
            <w:pPr>
              <w:widowControl/>
              <w:jc w:val="center"/>
              <w:rPr>
                <w:rFonts w:ascii="宋体" w:eastAsia="宋体" w:hAnsi="宋体" w:cs="宋体"/>
                <w:kern w:val="0"/>
                <w:sz w:val="24"/>
              </w:rPr>
            </w:pPr>
          </w:p>
        </w:tc>
      </w:tr>
      <w:tr w:rsidR="001A60D6">
        <w:trPr>
          <w:trHeight w:val="275"/>
          <w:jc w:val="center"/>
        </w:trPr>
        <w:tc>
          <w:tcPr>
            <w:tcW w:w="3042" w:type="dxa"/>
            <w:gridSpan w:val="5"/>
            <w:tcBorders>
              <w:top w:val="single" w:sz="4" w:space="0" w:color="auto"/>
              <w:left w:val="single" w:sz="4" w:space="0" w:color="auto"/>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项目名称</w:t>
            </w:r>
          </w:p>
        </w:tc>
        <w:tc>
          <w:tcPr>
            <w:tcW w:w="5480" w:type="dxa"/>
            <w:gridSpan w:val="5"/>
            <w:tcBorders>
              <w:top w:val="single" w:sz="4" w:space="0" w:color="auto"/>
              <w:left w:val="nil"/>
              <w:bottom w:val="single" w:sz="4" w:space="0" w:color="auto"/>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网络租费及业务经费</w:t>
            </w:r>
          </w:p>
        </w:tc>
      </w:tr>
      <w:tr w:rsidR="001A60D6">
        <w:trPr>
          <w:trHeight w:val="320"/>
          <w:jc w:val="center"/>
        </w:trPr>
        <w:tc>
          <w:tcPr>
            <w:tcW w:w="3042" w:type="dxa"/>
            <w:gridSpan w:val="5"/>
            <w:tcBorders>
              <w:top w:val="single" w:sz="4" w:space="0" w:color="auto"/>
              <w:left w:val="single" w:sz="4" w:space="0" w:color="auto"/>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预算单位</w:t>
            </w:r>
          </w:p>
        </w:tc>
        <w:tc>
          <w:tcPr>
            <w:tcW w:w="5480" w:type="dxa"/>
            <w:gridSpan w:val="5"/>
            <w:tcBorders>
              <w:top w:val="single" w:sz="4" w:space="0" w:color="auto"/>
              <w:left w:val="nil"/>
              <w:bottom w:val="single" w:sz="4" w:space="0" w:color="auto"/>
              <w:right w:val="single" w:sz="4" w:space="0" w:color="000000"/>
            </w:tcBorders>
            <w:vAlign w:val="center"/>
          </w:tcPr>
          <w:p w:rsidR="001A60D6" w:rsidRDefault="00211C37" w:rsidP="00611191">
            <w:pPr>
              <w:widowControl/>
              <w:jc w:val="center"/>
              <w:rPr>
                <w:rFonts w:ascii="宋体" w:eastAsia="宋体" w:hAnsi="宋体" w:cs="宋体"/>
                <w:kern w:val="0"/>
                <w:sz w:val="20"/>
                <w:szCs w:val="20"/>
              </w:rPr>
            </w:pPr>
            <w:r>
              <w:rPr>
                <w:rFonts w:ascii="宋体" w:eastAsia="宋体" w:hAnsi="宋体" w:cs="宋体" w:hint="eastAsia"/>
                <w:kern w:val="0"/>
                <w:sz w:val="20"/>
                <w:szCs w:val="20"/>
              </w:rPr>
              <w:t>中共昌吉市委员会办公室</w:t>
            </w:r>
          </w:p>
        </w:tc>
      </w:tr>
      <w:tr w:rsidR="001A60D6">
        <w:trPr>
          <w:trHeight w:val="435"/>
          <w:jc w:val="center"/>
        </w:trPr>
        <w:tc>
          <w:tcPr>
            <w:tcW w:w="680" w:type="dxa"/>
            <w:vMerge w:val="restart"/>
            <w:tcBorders>
              <w:top w:val="nil"/>
              <w:left w:val="single" w:sz="4" w:space="0" w:color="auto"/>
              <w:bottom w:val="single" w:sz="4" w:space="0" w:color="auto"/>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预算</w:t>
            </w:r>
            <w:r>
              <w:rPr>
                <w:rFonts w:ascii="宋体" w:eastAsia="宋体" w:hAnsi="宋体" w:cs="宋体" w:hint="eastAsia"/>
                <w:kern w:val="0"/>
                <w:sz w:val="20"/>
                <w:szCs w:val="20"/>
              </w:rPr>
              <w:br/>
              <w:t>执行</w:t>
            </w:r>
            <w:r>
              <w:rPr>
                <w:rFonts w:ascii="宋体" w:eastAsia="宋体" w:hAnsi="宋体" w:cs="宋体" w:hint="eastAsia"/>
                <w:kern w:val="0"/>
                <w:sz w:val="20"/>
                <w:szCs w:val="20"/>
              </w:rPr>
              <w:br/>
              <w:t>情况</w:t>
            </w:r>
            <w:r>
              <w:rPr>
                <w:rFonts w:ascii="宋体" w:eastAsia="宋体" w:hAnsi="宋体" w:cs="宋体" w:hint="eastAsia"/>
                <w:kern w:val="0"/>
                <w:sz w:val="20"/>
                <w:szCs w:val="20"/>
              </w:rPr>
              <w:br/>
              <w:t>（万元）</w:t>
            </w:r>
          </w:p>
        </w:tc>
        <w:tc>
          <w:tcPr>
            <w:tcW w:w="2362" w:type="dxa"/>
            <w:gridSpan w:val="4"/>
            <w:tcBorders>
              <w:top w:val="single" w:sz="4" w:space="0" w:color="auto"/>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预算数：</w:t>
            </w:r>
          </w:p>
        </w:tc>
        <w:tc>
          <w:tcPr>
            <w:tcW w:w="2149" w:type="dxa"/>
            <w:gridSpan w:val="3"/>
            <w:tcBorders>
              <w:top w:val="single" w:sz="4" w:space="0" w:color="auto"/>
              <w:left w:val="nil"/>
              <w:bottom w:val="single" w:sz="4" w:space="0" w:color="auto"/>
              <w:right w:val="single" w:sz="4" w:space="0" w:color="000000"/>
            </w:tcBorders>
            <w:vAlign w:val="center"/>
          </w:tcPr>
          <w:p w:rsidR="001A60D6" w:rsidRDefault="00211C37">
            <w:pPr>
              <w:widowControl/>
              <w:jc w:val="right"/>
              <w:rPr>
                <w:rFonts w:ascii="宋体" w:eastAsia="宋体" w:hAnsi="宋体" w:cs="宋体"/>
                <w:kern w:val="0"/>
                <w:sz w:val="20"/>
                <w:szCs w:val="20"/>
              </w:rPr>
            </w:pPr>
            <w:r>
              <w:rPr>
                <w:rFonts w:ascii="宋体" w:eastAsia="宋体" w:hAnsi="宋体" w:cs="宋体" w:hint="eastAsia"/>
                <w:kern w:val="0"/>
                <w:sz w:val="20"/>
                <w:szCs w:val="20"/>
              </w:rPr>
              <w:t>80</w:t>
            </w:r>
          </w:p>
        </w:tc>
        <w:tc>
          <w:tcPr>
            <w:tcW w:w="1649"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执行数：</w:t>
            </w:r>
          </w:p>
        </w:tc>
        <w:tc>
          <w:tcPr>
            <w:tcW w:w="1682" w:type="dxa"/>
            <w:tcBorders>
              <w:top w:val="nil"/>
              <w:left w:val="nil"/>
              <w:bottom w:val="single" w:sz="4" w:space="0" w:color="auto"/>
              <w:right w:val="single" w:sz="4" w:space="0" w:color="auto"/>
            </w:tcBorders>
            <w:vAlign w:val="center"/>
          </w:tcPr>
          <w:p w:rsidR="001A60D6" w:rsidRDefault="00211C37">
            <w:pPr>
              <w:widowControl/>
              <w:jc w:val="right"/>
              <w:rPr>
                <w:rFonts w:ascii="宋体" w:eastAsia="宋体" w:hAnsi="宋体" w:cs="宋体"/>
                <w:kern w:val="0"/>
                <w:sz w:val="20"/>
                <w:szCs w:val="20"/>
              </w:rPr>
            </w:pPr>
            <w:r>
              <w:rPr>
                <w:rFonts w:ascii="宋体" w:eastAsia="宋体" w:hAnsi="宋体" w:cs="宋体" w:hint="eastAsia"/>
                <w:kern w:val="0"/>
                <w:sz w:val="20"/>
                <w:szCs w:val="20"/>
              </w:rPr>
              <w:t>80</w:t>
            </w:r>
          </w:p>
        </w:tc>
      </w:tr>
      <w:tr w:rsidR="001A60D6">
        <w:trPr>
          <w:trHeight w:val="529"/>
          <w:jc w:val="center"/>
        </w:trPr>
        <w:tc>
          <w:tcPr>
            <w:tcW w:w="680" w:type="dxa"/>
            <w:vMerge/>
            <w:tcBorders>
              <w:top w:val="nil"/>
              <w:left w:val="single" w:sz="4" w:space="0" w:color="auto"/>
              <w:bottom w:val="single" w:sz="4" w:space="0" w:color="auto"/>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2362" w:type="dxa"/>
            <w:gridSpan w:val="4"/>
            <w:tcBorders>
              <w:top w:val="single" w:sz="4" w:space="0" w:color="auto"/>
              <w:left w:val="nil"/>
              <w:bottom w:val="single" w:sz="4" w:space="0" w:color="auto"/>
              <w:right w:val="single" w:sz="4" w:space="0" w:color="auto"/>
            </w:tcBorders>
            <w:vAlign w:val="center"/>
          </w:tcPr>
          <w:p w:rsidR="001A60D6" w:rsidRDefault="00211C37">
            <w:pPr>
              <w:widowControl/>
              <w:jc w:val="right"/>
              <w:rPr>
                <w:rFonts w:ascii="宋体" w:eastAsia="宋体" w:hAnsi="宋体" w:cs="宋体"/>
                <w:kern w:val="0"/>
                <w:sz w:val="20"/>
                <w:szCs w:val="20"/>
              </w:rPr>
            </w:pPr>
            <w:r>
              <w:rPr>
                <w:rFonts w:ascii="宋体" w:eastAsia="宋体" w:hAnsi="宋体" w:cs="宋体" w:hint="eastAsia"/>
                <w:kern w:val="0"/>
                <w:sz w:val="20"/>
                <w:szCs w:val="20"/>
              </w:rPr>
              <w:t>其中：财政拨款</w:t>
            </w:r>
          </w:p>
        </w:tc>
        <w:tc>
          <w:tcPr>
            <w:tcW w:w="2149" w:type="dxa"/>
            <w:gridSpan w:val="3"/>
            <w:tcBorders>
              <w:top w:val="single" w:sz="4" w:space="0" w:color="auto"/>
              <w:left w:val="nil"/>
              <w:bottom w:val="single" w:sz="4" w:space="0" w:color="auto"/>
              <w:right w:val="single" w:sz="4" w:space="0" w:color="000000"/>
            </w:tcBorders>
            <w:vAlign w:val="center"/>
          </w:tcPr>
          <w:p w:rsidR="001A60D6" w:rsidRDefault="00211C37">
            <w:pPr>
              <w:widowControl/>
              <w:jc w:val="right"/>
              <w:rPr>
                <w:rFonts w:ascii="宋体" w:eastAsia="宋体" w:hAnsi="宋体" w:cs="宋体"/>
                <w:kern w:val="0"/>
                <w:sz w:val="20"/>
                <w:szCs w:val="20"/>
              </w:rPr>
            </w:pPr>
            <w:r>
              <w:rPr>
                <w:rFonts w:ascii="宋体" w:eastAsia="宋体" w:hAnsi="宋体" w:cs="宋体" w:hint="eastAsia"/>
                <w:kern w:val="0"/>
                <w:sz w:val="20"/>
                <w:szCs w:val="20"/>
              </w:rPr>
              <w:t>80</w:t>
            </w:r>
          </w:p>
        </w:tc>
        <w:tc>
          <w:tcPr>
            <w:tcW w:w="1649" w:type="dxa"/>
            <w:tcBorders>
              <w:top w:val="nil"/>
              <w:left w:val="nil"/>
              <w:bottom w:val="nil"/>
              <w:right w:val="single" w:sz="4" w:space="0" w:color="auto"/>
            </w:tcBorders>
            <w:vAlign w:val="center"/>
          </w:tcPr>
          <w:p w:rsidR="001A60D6" w:rsidRDefault="00211C37">
            <w:pPr>
              <w:widowControl/>
              <w:jc w:val="right"/>
              <w:rPr>
                <w:rFonts w:ascii="宋体" w:eastAsia="宋体" w:hAnsi="宋体" w:cs="宋体"/>
                <w:kern w:val="0"/>
                <w:sz w:val="20"/>
                <w:szCs w:val="20"/>
              </w:rPr>
            </w:pPr>
            <w:r>
              <w:rPr>
                <w:rFonts w:ascii="宋体" w:eastAsia="宋体" w:hAnsi="宋体" w:cs="宋体" w:hint="eastAsia"/>
                <w:kern w:val="0"/>
                <w:sz w:val="20"/>
                <w:szCs w:val="20"/>
              </w:rPr>
              <w:t>其中：财政拨款</w:t>
            </w:r>
          </w:p>
        </w:tc>
        <w:tc>
          <w:tcPr>
            <w:tcW w:w="1682" w:type="dxa"/>
            <w:tcBorders>
              <w:top w:val="nil"/>
              <w:left w:val="nil"/>
              <w:bottom w:val="single" w:sz="4" w:space="0" w:color="auto"/>
              <w:right w:val="single" w:sz="4" w:space="0" w:color="auto"/>
            </w:tcBorders>
            <w:vAlign w:val="center"/>
          </w:tcPr>
          <w:p w:rsidR="001A60D6" w:rsidRDefault="00211C37">
            <w:pPr>
              <w:widowControl/>
              <w:jc w:val="right"/>
              <w:rPr>
                <w:rFonts w:ascii="宋体" w:eastAsia="宋体" w:hAnsi="宋体" w:cs="宋体"/>
                <w:kern w:val="0"/>
                <w:sz w:val="20"/>
                <w:szCs w:val="20"/>
              </w:rPr>
            </w:pPr>
            <w:r>
              <w:rPr>
                <w:rFonts w:ascii="宋体" w:eastAsia="宋体" w:hAnsi="宋体" w:cs="宋体" w:hint="eastAsia"/>
                <w:kern w:val="0"/>
                <w:sz w:val="20"/>
                <w:szCs w:val="20"/>
              </w:rPr>
              <w:t>80</w:t>
            </w:r>
          </w:p>
        </w:tc>
      </w:tr>
      <w:tr w:rsidR="001A60D6">
        <w:trPr>
          <w:trHeight w:val="526"/>
          <w:jc w:val="center"/>
        </w:trPr>
        <w:tc>
          <w:tcPr>
            <w:tcW w:w="680" w:type="dxa"/>
            <w:vMerge/>
            <w:tcBorders>
              <w:top w:val="nil"/>
              <w:left w:val="single" w:sz="4" w:space="0" w:color="auto"/>
              <w:bottom w:val="single" w:sz="4" w:space="0" w:color="auto"/>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2362" w:type="dxa"/>
            <w:gridSpan w:val="4"/>
            <w:tcBorders>
              <w:top w:val="single" w:sz="4" w:space="0" w:color="auto"/>
              <w:left w:val="nil"/>
              <w:bottom w:val="single" w:sz="4" w:space="0" w:color="auto"/>
              <w:right w:val="single" w:sz="4" w:space="0" w:color="auto"/>
            </w:tcBorders>
            <w:vAlign w:val="center"/>
          </w:tcPr>
          <w:p w:rsidR="001A60D6" w:rsidRDefault="00211C37">
            <w:pPr>
              <w:widowControl/>
              <w:jc w:val="right"/>
              <w:rPr>
                <w:rFonts w:ascii="宋体" w:eastAsia="宋体" w:hAnsi="宋体" w:cs="宋体"/>
                <w:kern w:val="0"/>
                <w:sz w:val="20"/>
                <w:szCs w:val="20"/>
              </w:rPr>
            </w:pPr>
            <w:r>
              <w:rPr>
                <w:rFonts w:ascii="宋体" w:eastAsia="宋体" w:hAnsi="宋体" w:cs="宋体" w:hint="eastAsia"/>
                <w:kern w:val="0"/>
                <w:sz w:val="20"/>
                <w:szCs w:val="20"/>
              </w:rPr>
              <w:t>其他资金</w:t>
            </w:r>
          </w:p>
        </w:tc>
        <w:tc>
          <w:tcPr>
            <w:tcW w:w="2149" w:type="dxa"/>
            <w:gridSpan w:val="3"/>
            <w:tcBorders>
              <w:top w:val="single" w:sz="4" w:space="0" w:color="auto"/>
              <w:left w:val="nil"/>
              <w:bottom w:val="single" w:sz="4" w:space="0" w:color="auto"/>
              <w:right w:val="single" w:sz="4" w:space="0" w:color="000000"/>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1649" w:type="dxa"/>
            <w:tcBorders>
              <w:top w:val="single" w:sz="4" w:space="0" w:color="auto"/>
              <w:left w:val="nil"/>
              <w:bottom w:val="nil"/>
              <w:right w:val="single" w:sz="4" w:space="0" w:color="auto"/>
            </w:tcBorders>
            <w:vAlign w:val="center"/>
          </w:tcPr>
          <w:p w:rsidR="001A60D6" w:rsidRDefault="00211C37">
            <w:pPr>
              <w:widowControl/>
              <w:jc w:val="right"/>
              <w:rPr>
                <w:rFonts w:ascii="宋体" w:eastAsia="宋体" w:hAnsi="宋体" w:cs="宋体"/>
                <w:kern w:val="0"/>
                <w:sz w:val="20"/>
                <w:szCs w:val="20"/>
              </w:rPr>
            </w:pPr>
            <w:r>
              <w:rPr>
                <w:rFonts w:ascii="宋体" w:eastAsia="宋体" w:hAnsi="宋体" w:cs="宋体" w:hint="eastAsia"/>
                <w:kern w:val="0"/>
                <w:sz w:val="20"/>
                <w:szCs w:val="20"/>
              </w:rPr>
              <w:t>其他资金</w:t>
            </w:r>
          </w:p>
        </w:tc>
        <w:tc>
          <w:tcPr>
            <w:tcW w:w="1682" w:type="dxa"/>
            <w:tcBorders>
              <w:top w:val="nil"/>
              <w:left w:val="nil"/>
              <w:bottom w:val="single" w:sz="4" w:space="0" w:color="auto"/>
              <w:right w:val="single" w:sz="4" w:space="0" w:color="auto"/>
            </w:tcBorders>
            <w:vAlign w:val="center"/>
          </w:tcPr>
          <w:p w:rsidR="001A60D6" w:rsidRDefault="00211C37">
            <w:pPr>
              <w:widowControl/>
              <w:jc w:val="right"/>
              <w:rPr>
                <w:rFonts w:ascii="宋体" w:eastAsia="宋体" w:hAnsi="宋体" w:cs="宋体"/>
                <w:kern w:val="0"/>
                <w:sz w:val="20"/>
                <w:szCs w:val="20"/>
              </w:rPr>
            </w:pPr>
            <w:r>
              <w:rPr>
                <w:rFonts w:ascii="宋体" w:eastAsia="宋体" w:hAnsi="宋体" w:cs="宋体" w:hint="eastAsia"/>
                <w:kern w:val="0"/>
                <w:sz w:val="20"/>
                <w:szCs w:val="20"/>
              </w:rPr>
              <w:t xml:space="preserve">　</w:t>
            </w:r>
          </w:p>
        </w:tc>
      </w:tr>
      <w:tr w:rsidR="001A60D6">
        <w:trPr>
          <w:trHeight w:val="450"/>
          <w:jc w:val="center"/>
        </w:trPr>
        <w:tc>
          <w:tcPr>
            <w:tcW w:w="680" w:type="dxa"/>
            <w:vMerge w:val="restart"/>
            <w:tcBorders>
              <w:top w:val="nil"/>
              <w:left w:val="single" w:sz="4" w:space="0" w:color="auto"/>
              <w:bottom w:val="single" w:sz="4" w:space="0" w:color="auto"/>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年度</w:t>
            </w:r>
            <w:r>
              <w:rPr>
                <w:rFonts w:ascii="宋体" w:eastAsia="宋体" w:hAnsi="宋体" w:cs="宋体" w:hint="eastAsia"/>
                <w:kern w:val="0"/>
                <w:sz w:val="20"/>
                <w:szCs w:val="20"/>
              </w:rPr>
              <w:br/>
              <w:t>目标</w:t>
            </w:r>
            <w:r>
              <w:rPr>
                <w:rFonts w:ascii="宋体" w:eastAsia="宋体" w:hAnsi="宋体" w:cs="宋体" w:hint="eastAsia"/>
                <w:kern w:val="0"/>
                <w:sz w:val="20"/>
                <w:szCs w:val="20"/>
              </w:rPr>
              <w:br/>
              <w:t>完成</w:t>
            </w:r>
            <w:r>
              <w:rPr>
                <w:rFonts w:ascii="宋体" w:eastAsia="宋体" w:hAnsi="宋体" w:cs="宋体" w:hint="eastAsia"/>
                <w:kern w:val="0"/>
                <w:sz w:val="20"/>
                <w:szCs w:val="20"/>
              </w:rPr>
              <w:br/>
              <w:t>情况</w:t>
            </w:r>
          </w:p>
        </w:tc>
        <w:tc>
          <w:tcPr>
            <w:tcW w:w="4511" w:type="dxa"/>
            <w:gridSpan w:val="7"/>
            <w:tcBorders>
              <w:top w:val="single" w:sz="4" w:space="0" w:color="auto"/>
              <w:left w:val="nil"/>
              <w:bottom w:val="single" w:sz="4" w:space="0" w:color="auto"/>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预期目标</w:t>
            </w:r>
          </w:p>
        </w:tc>
        <w:tc>
          <w:tcPr>
            <w:tcW w:w="3331" w:type="dxa"/>
            <w:gridSpan w:val="2"/>
            <w:tcBorders>
              <w:top w:val="single" w:sz="4" w:space="0" w:color="auto"/>
              <w:left w:val="nil"/>
              <w:bottom w:val="single" w:sz="4" w:space="0" w:color="auto"/>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实际完成目标</w:t>
            </w:r>
          </w:p>
        </w:tc>
      </w:tr>
      <w:tr w:rsidR="001A60D6">
        <w:trPr>
          <w:trHeight w:val="726"/>
          <w:jc w:val="center"/>
        </w:trPr>
        <w:tc>
          <w:tcPr>
            <w:tcW w:w="680" w:type="dxa"/>
            <w:vMerge/>
            <w:tcBorders>
              <w:top w:val="nil"/>
              <w:left w:val="single" w:sz="4" w:space="0" w:color="auto"/>
              <w:bottom w:val="single" w:sz="4" w:space="0" w:color="auto"/>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4511" w:type="dxa"/>
            <w:gridSpan w:val="7"/>
            <w:tcBorders>
              <w:top w:val="single" w:sz="4" w:space="0" w:color="auto"/>
              <w:left w:val="nil"/>
              <w:bottom w:val="single" w:sz="4" w:space="0" w:color="auto"/>
              <w:right w:val="single" w:sz="4" w:space="0" w:color="000000"/>
            </w:tcBorders>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启动电子政务内网横向网络建设，完成与10个乡镇、6个街道、50个社区和21家涉密域单位的横向网络连接和汇聚工作</w:t>
            </w:r>
          </w:p>
        </w:tc>
        <w:tc>
          <w:tcPr>
            <w:tcW w:w="3331" w:type="dxa"/>
            <w:gridSpan w:val="2"/>
            <w:tcBorders>
              <w:top w:val="single" w:sz="4" w:space="0" w:color="auto"/>
              <w:left w:val="nil"/>
              <w:bottom w:val="single" w:sz="4" w:space="0" w:color="auto"/>
              <w:right w:val="single" w:sz="4" w:space="0" w:color="000000"/>
            </w:tcBorders>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验收合格投入使用</w:t>
            </w:r>
          </w:p>
        </w:tc>
      </w:tr>
      <w:tr w:rsidR="001A60D6">
        <w:trPr>
          <w:trHeight w:val="826"/>
          <w:jc w:val="center"/>
        </w:trPr>
        <w:tc>
          <w:tcPr>
            <w:tcW w:w="680" w:type="dxa"/>
            <w:vMerge w:val="restart"/>
            <w:tcBorders>
              <w:top w:val="nil"/>
              <w:left w:val="single" w:sz="4" w:space="0" w:color="auto"/>
              <w:bottom w:val="single" w:sz="4" w:space="0" w:color="000000"/>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年度</w:t>
            </w:r>
            <w:r>
              <w:rPr>
                <w:rFonts w:ascii="宋体" w:eastAsia="宋体" w:hAnsi="宋体" w:cs="宋体" w:hint="eastAsia"/>
                <w:kern w:val="0"/>
                <w:sz w:val="20"/>
                <w:szCs w:val="20"/>
              </w:rPr>
              <w:br/>
              <w:t>绩效</w:t>
            </w:r>
            <w:r>
              <w:rPr>
                <w:rFonts w:ascii="宋体" w:eastAsia="宋体" w:hAnsi="宋体" w:cs="宋体" w:hint="eastAsia"/>
                <w:kern w:val="0"/>
                <w:sz w:val="20"/>
                <w:szCs w:val="20"/>
              </w:rPr>
              <w:br/>
              <w:t>指标</w:t>
            </w:r>
            <w:r>
              <w:rPr>
                <w:rFonts w:ascii="宋体" w:eastAsia="宋体" w:hAnsi="宋体" w:cs="宋体" w:hint="eastAsia"/>
                <w:kern w:val="0"/>
                <w:sz w:val="20"/>
                <w:szCs w:val="20"/>
              </w:rPr>
              <w:br/>
              <w:t>完成</w:t>
            </w:r>
            <w:r>
              <w:rPr>
                <w:rFonts w:ascii="宋体" w:eastAsia="宋体" w:hAnsi="宋体" w:cs="宋体" w:hint="eastAsia"/>
                <w:kern w:val="0"/>
                <w:sz w:val="20"/>
                <w:szCs w:val="20"/>
              </w:rPr>
              <w:br/>
              <w:t>情况</w:t>
            </w:r>
          </w:p>
        </w:tc>
        <w:tc>
          <w:tcPr>
            <w:tcW w:w="785" w:type="dxa"/>
            <w:tcBorders>
              <w:top w:val="nil"/>
              <w:left w:val="nil"/>
              <w:bottom w:val="nil"/>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一级指标</w:t>
            </w:r>
          </w:p>
        </w:tc>
        <w:tc>
          <w:tcPr>
            <w:tcW w:w="1191" w:type="dxa"/>
            <w:gridSpan w:val="2"/>
            <w:tcBorders>
              <w:top w:val="nil"/>
              <w:left w:val="nil"/>
              <w:bottom w:val="single" w:sz="4" w:space="0" w:color="auto"/>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二级指标</w:t>
            </w:r>
          </w:p>
        </w:tc>
        <w:tc>
          <w:tcPr>
            <w:tcW w:w="2535" w:type="dxa"/>
            <w:gridSpan w:val="4"/>
            <w:tcBorders>
              <w:top w:val="single" w:sz="4" w:space="0" w:color="auto"/>
              <w:left w:val="nil"/>
              <w:bottom w:val="single" w:sz="4" w:space="0" w:color="auto"/>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三级指标</w:t>
            </w:r>
          </w:p>
        </w:tc>
        <w:tc>
          <w:tcPr>
            <w:tcW w:w="1649" w:type="dxa"/>
            <w:tcBorders>
              <w:top w:val="nil"/>
              <w:left w:val="nil"/>
              <w:bottom w:val="single" w:sz="4" w:space="0" w:color="auto"/>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预期指标值（包含数字及文字描述）</w:t>
            </w:r>
          </w:p>
        </w:tc>
        <w:tc>
          <w:tcPr>
            <w:tcW w:w="1682" w:type="dxa"/>
            <w:tcBorders>
              <w:top w:val="nil"/>
              <w:left w:val="nil"/>
              <w:bottom w:val="single" w:sz="4" w:space="0" w:color="auto"/>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实际完成指标值（包含数字及文字描述）</w:t>
            </w:r>
          </w:p>
        </w:tc>
      </w:tr>
      <w:tr w:rsidR="001A60D6">
        <w:trPr>
          <w:trHeight w:val="480"/>
          <w:jc w:val="center"/>
        </w:trPr>
        <w:tc>
          <w:tcPr>
            <w:tcW w:w="680" w:type="dxa"/>
            <w:vMerge/>
            <w:tcBorders>
              <w:top w:val="nil"/>
              <w:left w:val="single" w:sz="4" w:space="0" w:color="auto"/>
              <w:bottom w:val="single" w:sz="4" w:space="0" w:color="000000"/>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785" w:type="dxa"/>
            <w:vMerge w:val="restart"/>
            <w:tcBorders>
              <w:top w:val="single" w:sz="4" w:space="0" w:color="auto"/>
              <w:left w:val="single" w:sz="4" w:space="0" w:color="auto"/>
              <w:bottom w:val="single" w:sz="4" w:space="0" w:color="auto"/>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项目完成指标</w:t>
            </w:r>
          </w:p>
        </w:tc>
        <w:tc>
          <w:tcPr>
            <w:tcW w:w="1191" w:type="dxa"/>
            <w:gridSpan w:val="2"/>
            <w:vMerge w:val="restart"/>
            <w:tcBorders>
              <w:top w:val="nil"/>
              <w:left w:val="single" w:sz="4" w:space="0" w:color="auto"/>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数量指标</w:t>
            </w:r>
          </w:p>
        </w:tc>
        <w:tc>
          <w:tcPr>
            <w:tcW w:w="2535" w:type="dxa"/>
            <w:gridSpan w:val="4"/>
            <w:tcBorders>
              <w:top w:val="single" w:sz="4" w:space="0" w:color="auto"/>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指标1：启动电子政务内网横向网络建设，完成横向网络连接</w:t>
            </w:r>
          </w:p>
        </w:tc>
        <w:tc>
          <w:tcPr>
            <w:tcW w:w="1649"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启动电子政务内网横向网络建设，完成与10个乡镇、6个街道、50个社区和21家横向网络连接工作</w:t>
            </w:r>
          </w:p>
        </w:tc>
        <w:tc>
          <w:tcPr>
            <w:tcW w:w="1682"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启动电子政务内网横向网络建设，完成与10个乡镇、6个街道、50个社区和21家单位的横向网络连接工作</w:t>
            </w:r>
          </w:p>
        </w:tc>
      </w:tr>
      <w:tr w:rsidR="001A60D6">
        <w:trPr>
          <w:trHeight w:val="480"/>
          <w:jc w:val="center"/>
        </w:trPr>
        <w:tc>
          <w:tcPr>
            <w:tcW w:w="680" w:type="dxa"/>
            <w:vMerge/>
            <w:tcBorders>
              <w:top w:val="nil"/>
              <w:left w:val="single" w:sz="4" w:space="0" w:color="auto"/>
              <w:bottom w:val="single" w:sz="4" w:space="0" w:color="000000"/>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785" w:type="dxa"/>
            <w:vMerge/>
            <w:tcBorders>
              <w:top w:val="single" w:sz="4" w:space="0" w:color="auto"/>
              <w:left w:val="single" w:sz="4" w:space="0" w:color="auto"/>
              <w:bottom w:val="single" w:sz="4" w:space="0" w:color="auto"/>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1191" w:type="dxa"/>
            <w:gridSpan w:val="2"/>
            <w:vMerge/>
            <w:tcBorders>
              <w:left w:val="single" w:sz="4" w:space="0" w:color="auto"/>
              <w:bottom w:val="single" w:sz="4" w:space="0" w:color="000000"/>
              <w:right w:val="single" w:sz="4" w:space="0" w:color="auto"/>
            </w:tcBorders>
            <w:vAlign w:val="center"/>
          </w:tcPr>
          <w:p w:rsidR="001A60D6" w:rsidRDefault="001A60D6">
            <w:pPr>
              <w:widowControl/>
              <w:jc w:val="center"/>
              <w:rPr>
                <w:rFonts w:ascii="宋体" w:eastAsia="宋体" w:hAnsi="宋体" w:cs="宋体"/>
                <w:kern w:val="0"/>
                <w:sz w:val="20"/>
                <w:szCs w:val="20"/>
              </w:rPr>
            </w:pPr>
          </w:p>
        </w:tc>
        <w:tc>
          <w:tcPr>
            <w:tcW w:w="2535" w:type="dxa"/>
            <w:gridSpan w:val="4"/>
            <w:tcBorders>
              <w:top w:val="single" w:sz="4" w:space="0" w:color="auto"/>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指标2：全市受益单位数量</w:t>
            </w:r>
          </w:p>
        </w:tc>
        <w:tc>
          <w:tcPr>
            <w:tcW w:w="1649"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60家</w:t>
            </w:r>
          </w:p>
        </w:tc>
        <w:tc>
          <w:tcPr>
            <w:tcW w:w="1682"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60家</w:t>
            </w:r>
          </w:p>
        </w:tc>
      </w:tr>
      <w:tr w:rsidR="001A60D6">
        <w:trPr>
          <w:trHeight w:val="480"/>
          <w:jc w:val="center"/>
        </w:trPr>
        <w:tc>
          <w:tcPr>
            <w:tcW w:w="680" w:type="dxa"/>
            <w:vMerge/>
            <w:tcBorders>
              <w:top w:val="nil"/>
              <w:left w:val="single" w:sz="4" w:space="0" w:color="auto"/>
              <w:bottom w:val="single" w:sz="4" w:space="0" w:color="000000"/>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785" w:type="dxa"/>
            <w:vMerge/>
            <w:tcBorders>
              <w:top w:val="single" w:sz="4" w:space="0" w:color="auto"/>
              <w:left w:val="single" w:sz="4" w:space="0" w:color="auto"/>
              <w:bottom w:val="single" w:sz="4" w:space="0" w:color="auto"/>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1191" w:type="dxa"/>
            <w:gridSpan w:val="2"/>
            <w:tcBorders>
              <w:top w:val="nil"/>
              <w:left w:val="single" w:sz="4" w:space="0" w:color="auto"/>
              <w:bottom w:val="single" w:sz="4" w:space="0" w:color="000000"/>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质量指标</w:t>
            </w:r>
          </w:p>
        </w:tc>
        <w:tc>
          <w:tcPr>
            <w:tcW w:w="2535" w:type="dxa"/>
            <w:gridSpan w:val="4"/>
            <w:tcBorders>
              <w:top w:val="single" w:sz="4" w:space="0" w:color="auto"/>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指标1：项目验收合格率</w:t>
            </w:r>
          </w:p>
        </w:tc>
        <w:tc>
          <w:tcPr>
            <w:tcW w:w="1649" w:type="dxa"/>
            <w:tcBorders>
              <w:top w:val="single" w:sz="4" w:space="0" w:color="auto"/>
              <w:left w:val="single" w:sz="4" w:space="0" w:color="auto"/>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项目验收合格率</w:t>
            </w:r>
            <w:r>
              <w:rPr>
                <w:rFonts w:ascii="宋体" w:eastAsia="宋体" w:hAnsi="宋体" w:cs="宋体" w:hint="eastAsia"/>
                <w:kern w:val="0"/>
                <w:sz w:val="20"/>
                <w:szCs w:val="20"/>
              </w:rPr>
              <w:lastRenderedPageBreak/>
              <w:t>100%</w:t>
            </w:r>
          </w:p>
        </w:tc>
        <w:tc>
          <w:tcPr>
            <w:tcW w:w="1682" w:type="dxa"/>
            <w:tcBorders>
              <w:top w:val="single" w:sz="4" w:space="0" w:color="auto"/>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lastRenderedPageBreak/>
              <w:t>项目验收合格率</w:t>
            </w:r>
            <w:r>
              <w:rPr>
                <w:rFonts w:ascii="宋体" w:eastAsia="宋体" w:hAnsi="宋体" w:cs="宋体" w:hint="eastAsia"/>
                <w:kern w:val="0"/>
                <w:sz w:val="20"/>
                <w:szCs w:val="20"/>
              </w:rPr>
              <w:lastRenderedPageBreak/>
              <w:t>100%</w:t>
            </w:r>
          </w:p>
        </w:tc>
      </w:tr>
      <w:tr w:rsidR="001A60D6">
        <w:trPr>
          <w:trHeight w:val="480"/>
          <w:jc w:val="center"/>
        </w:trPr>
        <w:tc>
          <w:tcPr>
            <w:tcW w:w="680" w:type="dxa"/>
            <w:vMerge/>
            <w:tcBorders>
              <w:top w:val="nil"/>
              <w:left w:val="single" w:sz="4" w:space="0" w:color="auto"/>
              <w:bottom w:val="single" w:sz="4" w:space="0" w:color="000000"/>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785" w:type="dxa"/>
            <w:vMerge/>
            <w:tcBorders>
              <w:top w:val="single" w:sz="4" w:space="0" w:color="auto"/>
              <w:left w:val="single" w:sz="4" w:space="0" w:color="auto"/>
              <w:bottom w:val="single" w:sz="4" w:space="0" w:color="auto"/>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1191" w:type="dxa"/>
            <w:gridSpan w:val="2"/>
            <w:tcBorders>
              <w:top w:val="nil"/>
              <w:left w:val="single" w:sz="4" w:space="0" w:color="auto"/>
              <w:bottom w:val="single" w:sz="4" w:space="0" w:color="000000"/>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时效指标</w:t>
            </w:r>
          </w:p>
        </w:tc>
        <w:tc>
          <w:tcPr>
            <w:tcW w:w="2535" w:type="dxa"/>
            <w:gridSpan w:val="4"/>
            <w:tcBorders>
              <w:top w:val="single" w:sz="4" w:space="0" w:color="auto"/>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指标1：业务处理及时性</w:t>
            </w:r>
          </w:p>
        </w:tc>
        <w:tc>
          <w:tcPr>
            <w:tcW w:w="1649" w:type="dxa"/>
            <w:tcBorders>
              <w:top w:val="single" w:sz="4" w:space="0" w:color="auto"/>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业务处理及时性100%</w:t>
            </w:r>
          </w:p>
        </w:tc>
        <w:tc>
          <w:tcPr>
            <w:tcW w:w="1682" w:type="dxa"/>
            <w:tcBorders>
              <w:top w:val="single" w:sz="4" w:space="0" w:color="auto"/>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及时处理业务数占总处理数100%</w:t>
            </w:r>
          </w:p>
        </w:tc>
      </w:tr>
      <w:tr w:rsidR="001A60D6">
        <w:trPr>
          <w:trHeight w:val="90"/>
          <w:jc w:val="center"/>
        </w:trPr>
        <w:tc>
          <w:tcPr>
            <w:tcW w:w="680" w:type="dxa"/>
            <w:vMerge/>
            <w:tcBorders>
              <w:top w:val="nil"/>
              <w:left w:val="single" w:sz="4" w:space="0" w:color="auto"/>
              <w:bottom w:val="single" w:sz="4" w:space="0" w:color="000000"/>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785" w:type="dxa"/>
            <w:vMerge/>
            <w:tcBorders>
              <w:top w:val="single" w:sz="4" w:space="0" w:color="auto"/>
              <w:left w:val="single" w:sz="4" w:space="0" w:color="auto"/>
              <w:bottom w:val="single" w:sz="4" w:space="0" w:color="auto"/>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1191" w:type="dxa"/>
            <w:gridSpan w:val="2"/>
            <w:tcBorders>
              <w:top w:val="nil"/>
              <w:left w:val="single" w:sz="4" w:space="0" w:color="auto"/>
              <w:bottom w:val="single" w:sz="4" w:space="0" w:color="000000"/>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成本指标</w:t>
            </w:r>
          </w:p>
        </w:tc>
        <w:tc>
          <w:tcPr>
            <w:tcW w:w="2535" w:type="dxa"/>
            <w:gridSpan w:val="4"/>
            <w:tcBorders>
              <w:top w:val="single" w:sz="4" w:space="0" w:color="auto"/>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指标1：项目投入资金</w:t>
            </w:r>
          </w:p>
        </w:tc>
        <w:tc>
          <w:tcPr>
            <w:tcW w:w="1649"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80万元</w:t>
            </w:r>
          </w:p>
        </w:tc>
        <w:tc>
          <w:tcPr>
            <w:tcW w:w="1682"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80万元</w:t>
            </w:r>
          </w:p>
        </w:tc>
      </w:tr>
      <w:tr w:rsidR="001A60D6">
        <w:trPr>
          <w:trHeight w:val="384"/>
          <w:jc w:val="center"/>
        </w:trPr>
        <w:tc>
          <w:tcPr>
            <w:tcW w:w="680" w:type="dxa"/>
            <w:vMerge/>
            <w:tcBorders>
              <w:top w:val="nil"/>
              <w:left w:val="single" w:sz="4" w:space="0" w:color="auto"/>
              <w:bottom w:val="single" w:sz="4" w:space="0" w:color="000000"/>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785" w:type="dxa"/>
            <w:vMerge w:val="restart"/>
            <w:tcBorders>
              <w:top w:val="nil"/>
              <w:left w:val="single" w:sz="4" w:space="0" w:color="auto"/>
              <w:bottom w:val="single" w:sz="4" w:space="0" w:color="auto"/>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项目效果指标</w:t>
            </w:r>
          </w:p>
        </w:tc>
        <w:tc>
          <w:tcPr>
            <w:tcW w:w="1191" w:type="dxa"/>
            <w:gridSpan w:val="2"/>
            <w:tcBorders>
              <w:top w:val="nil"/>
              <w:left w:val="single" w:sz="4" w:space="0" w:color="auto"/>
              <w:bottom w:val="single" w:sz="4" w:space="0" w:color="000000"/>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经济效益</w:t>
            </w:r>
            <w:r>
              <w:rPr>
                <w:rFonts w:ascii="宋体" w:eastAsia="宋体" w:hAnsi="宋体" w:cs="宋体" w:hint="eastAsia"/>
                <w:kern w:val="0"/>
                <w:sz w:val="20"/>
                <w:szCs w:val="20"/>
              </w:rPr>
              <w:br/>
              <w:t>指标</w:t>
            </w:r>
          </w:p>
        </w:tc>
        <w:tc>
          <w:tcPr>
            <w:tcW w:w="2535" w:type="dxa"/>
            <w:gridSpan w:val="4"/>
            <w:tcBorders>
              <w:top w:val="single" w:sz="4" w:space="0" w:color="auto"/>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指标1：设计功能实现率</w:t>
            </w:r>
          </w:p>
        </w:tc>
        <w:tc>
          <w:tcPr>
            <w:tcW w:w="1649"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设计功能实现率100%</w:t>
            </w:r>
          </w:p>
        </w:tc>
        <w:tc>
          <w:tcPr>
            <w:tcW w:w="1682"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项目实施达到设计标准程度</w:t>
            </w:r>
          </w:p>
        </w:tc>
      </w:tr>
      <w:tr w:rsidR="001A60D6">
        <w:trPr>
          <w:trHeight w:val="480"/>
          <w:jc w:val="center"/>
        </w:trPr>
        <w:tc>
          <w:tcPr>
            <w:tcW w:w="680" w:type="dxa"/>
            <w:vMerge/>
            <w:tcBorders>
              <w:top w:val="nil"/>
              <w:left w:val="single" w:sz="4" w:space="0" w:color="auto"/>
              <w:bottom w:val="single" w:sz="4" w:space="0" w:color="000000"/>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785" w:type="dxa"/>
            <w:vMerge/>
            <w:tcBorders>
              <w:top w:val="nil"/>
              <w:left w:val="single" w:sz="4" w:space="0" w:color="auto"/>
              <w:bottom w:val="single" w:sz="4" w:space="0" w:color="auto"/>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1191" w:type="dxa"/>
            <w:gridSpan w:val="2"/>
            <w:tcBorders>
              <w:top w:val="nil"/>
              <w:left w:val="single" w:sz="4" w:space="0" w:color="auto"/>
              <w:bottom w:val="single" w:sz="4" w:space="0" w:color="000000"/>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社会效益</w:t>
            </w:r>
            <w:r>
              <w:rPr>
                <w:rFonts w:ascii="宋体" w:eastAsia="宋体" w:hAnsi="宋体" w:cs="宋体" w:hint="eastAsia"/>
                <w:kern w:val="0"/>
                <w:sz w:val="20"/>
                <w:szCs w:val="20"/>
              </w:rPr>
              <w:br/>
              <w:t>指标</w:t>
            </w:r>
          </w:p>
        </w:tc>
        <w:tc>
          <w:tcPr>
            <w:tcW w:w="2535" w:type="dxa"/>
            <w:gridSpan w:val="4"/>
            <w:tcBorders>
              <w:top w:val="single" w:sz="4" w:space="0" w:color="auto"/>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指标1：保障全市网络安全和通信畅通</w:t>
            </w:r>
          </w:p>
        </w:tc>
        <w:tc>
          <w:tcPr>
            <w:tcW w:w="1649"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保障了全市网络安全和通信畅通</w:t>
            </w:r>
          </w:p>
        </w:tc>
        <w:tc>
          <w:tcPr>
            <w:tcW w:w="1682"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保障了全市网络安全和通信畅通</w:t>
            </w:r>
          </w:p>
        </w:tc>
      </w:tr>
      <w:tr w:rsidR="001A60D6">
        <w:trPr>
          <w:trHeight w:val="480"/>
          <w:jc w:val="center"/>
        </w:trPr>
        <w:tc>
          <w:tcPr>
            <w:tcW w:w="680" w:type="dxa"/>
            <w:vMerge/>
            <w:tcBorders>
              <w:top w:val="nil"/>
              <w:left w:val="single" w:sz="4" w:space="0" w:color="auto"/>
              <w:bottom w:val="single" w:sz="4" w:space="0" w:color="000000"/>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785" w:type="dxa"/>
            <w:vMerge/>
            <w:tcBorders>
              <w:top w:val="nil"/>
              <w:left w:val="single" w:sz="4" w:space="0" w:color="auto"/>
              <w:bottom w:val="single" w:sz="4" w:space="0" w:color="auto"/>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1191" w:type="dxa"/>
            <w:gridSpan w:val="2"/>
            <w:tcBorders>
              <w:top w:val="nil"/>
              <w:left w:val="single" w:sz="4" w:space="0" w:color="auto"/>
              <w:bottom w:val="single" w:sz="4" w:space="0" w:color="000000"/>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可持续影响</w:t>
            </w:r>
            <w:r>
              <w:rPr>
                <w:rFonts w:ascii="宋体" w:eastAsia="宋体" w:hAnsi="宋体" w:cs="宋体" w:hint="eastAsia"/>
                <w:kern w:val="0"/>
                <w:sz w:val="20"/>
                <w:szCs w:val="20"/>
              </w:rPr>
              <w:br/>
              <w:t>指标</w:t>
            </w:r>
          </w:p>
        </w:tc>
        <w:tc>
          <w:tcPr>
            <w:tcW w:w="2535" w:type="dxa"/>
            <w:gridSpan w:val="4"/>
            <w:tcBorders>
              <w:top w:val="single" w:sz="4" w:space="0" w:color="auto"/>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指标1：持续保障全市网络安全和通信畅通</w:t>
            </w:r>
          </w:p>
        </w:tc>
        <w:tc>
          <w:tcPr>
            <w:tcW w:w="1649"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综合利用率高</w:t>
            </w:r>
          </w:p>
        </w:tc>
        <w:tc>
          <w:tcPr>
            <w:tcW w:w="1682"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持续保障全市网络安全和通信畅通</w:t>
            </w:r>
          </w:p>
        </w:tc>
      </w:tr>
      <w:tr w:rsidR="001A60D6">
        <w:trPr>
          <w:trHeight w:val="721"/>
          <w:jc w:val="center"/>
        </w:trPr>
        <w:tc>
          <w:tcPr>
            <w:tcW w:w="680" w:type="dxa"/>
            <w:vMerge/>
            <w:tcBorders>
              <w:top w:val="nil"/>
              <w:left w:val="single" w:sz="4" w:space="0" w:color="auto"/>
              <w:bottom w:val="single" w:sz="4" w:space="0" w:color="000000"/>
              <w:right w:val="single" w:sz="4" w:space="0" w:color="auto"/>
            </w:tcBorders>
            <w:vAlign w:val="center"/>
          </w:tcPr>
          <w:p w:rsidR="001A60D6" w:rsidRDefault="001A60D6">
            <w:pPr>
              <w:widowControl/>
              <w:jc w:val="left"/>
              <w:rPr>
                <w:rFonts w:ascii="宋体" w:eastAsia="宋体" w:hAnsi="宋体" w:cs="宋体"/>
                <w:kern w:val="0"/>
                <w:sz w:val="20"/>
                <w:szCs w:val="20"/>
              </w:rPr>
            </w:pPr>
          </w:p>
        </w:tc>
        <w:tc>
          <w:tcPr>
            <w:tcW w:w="785" w:type="dxa"/>
            <w:tcBorders>
              <w:top w:val="nil"/>
              <w:left w:val="single" w:sz="4" w:space="0" w:color="auto"/>
              <w:bottom w:val="single" w:sz="4" w:space="0" w:color="000000"/>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满意度</w:t>
            </w:r>
            <w:r>
              <w:rPr>
                <w:rFonts w:ascii="宋体" w:eastAsia="宋体" w:hAnsi="宋体" w:cs="宋体" w:hint="eastAsia"/>
                <w:kern w:val="0"/>
                <w:sz w:val="20"/>
                <w:szCs w:val="20"/>
              </w:rPr>
              <w:br/>
              <w:t>指标</w:t>
            </w:r>
          </w:p>
        </w:tc>
        <w:tc>
          <w:tcPr>
            <w:tcW w:w="1191" w:type="dxa"/>
            <w:gridSpan w:val="2"/>
            <w:tcBorders>
              <w:top w:val="nil"/>
              <w:left w:val="single" w:sz="4" w:space="0" w:color="auto"/>
              <w:bottom w:val="single" w:sz="4" w:space="0" w:color="000000"/>
              <w:right w:val="single" w:sz="4" w:space="0" w:color="auto"/>
            </w:tcBorders>
            <w:vAlign w:val="center"/>
          </w:tcPr>
          <w:p w:rsidR="001A60D6" w:rsidRDefault="00211C37">
            <w:pPr>
              <w:widowControl/>
              <w:jc w:val="center"/>
              <w:rPr>
                <w:rFonts w:ascii="宋体" w:eastAsia="宋体" w:hAnsi="宋体" w:cs="宋体"/>
                <w:kern w:val="0"/>
                <w:sz w:val="20"/>
                <w:szCs w:val="20"/>
              </w:rPr>
            </w:pPr>
            <w:r>
              <w:rPr>
                <w:rFonts w:ascii="宋体" w:eastAsia="宋体" w:hAnsi="宋体" w:cs="宋体" w:hint="eastAsia"/>
                <w:kern w:val="0"/>
                <w:sz w:val="20"/>
                <w:szCs w:val="20"/>
              </w:rPr>
              <w:t>满意度指标</w:t>
            </w:r>
          </w:p>
        </w:tc>
        <w:tc>
          <w:tcPr>
            <w:tcW w:w="2535" w:type="dxa"/>
            <w:gridSpan w:val="4"/>
            <w:tcBorders>
              <w:top w:val="single" w:sz="4" w:space="0" w:color="auto"/>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指标1：受益单位满意度</w:t>
            </w:r>
          </w:p>
        </w:tc>
        <w:tc>
          <w:tcPr>
            <w:tcW w:w="1649"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100%</w:t>
            </w:r>
          </w:p>
        </w:tc>
        <w:tc>
          <w:tcPr>
            <w:tcW w:w="1682" w:type="dxa"/>
            <w:tcBorders>
              <w:top w:val="nil"/>
              <w:left w:val="nil"/>
              <w:bottom w:val="single" w:sz="4" w:space="0" w:color="auto"/>
              <w:right w:val="single" w:sz="4" w:space="0" w:color="auto"/>
            </w:tcBorders>
            <w:vAlign w:val="center"/>
          </w:tcPr>
          <w:p w:rsidR="001A60D6" w:rsidRDefault="00211C37">
            <w:pPr>
              <w:widowControl/>
              <w:jc w:val="left"/>
              <w:rPr>
                <w:rFonts w:ascii="宋体" w:eastAsia="宋体" w:hAnsi="宋体" w:cs="宋体"/>
                <w:kern w:val="0"/>
                <w:sz w:val="20"/>
                <w:szCs w:val="20"/>
              </w:rPr>
            </w:pPr>
            <w:r>
              <w:rPr>
                <w:rFonts w:ascii="宋体" w:eastAsia="宋体" w:hAnsi="宋体" w:cs="宋体" w:hint="eastAsia"/>
                <w:kern w:val="0"/>
                <w:sz w:val="20"/>
                <w:szCs w:val="20"/>
              </w:rPr>
              <w:t>100</w:t>
            </w:r>
            <w:bookmarkStart w:id="0" w:name="_GoBack"/>
            <w:bookmarkEnd w:id="0"/>
            <w:r>
              <w:rPr>
                <w:rFonts w:ascii="宋体" w:eastAsia="宋体" w:hAnsi="宋体" w:cs="宋体" w:hint="eastAsia"/>
                <w:kern w:val="0"/>
                <w:sz w:val="20"/>
                <w:szCs w:val="20"/>
              </w:rPr>
              <w:t>%</w:t>
            </w:r>
          </w:p>
        </w:tc>
      </w:tr>
    </w:tbl>
    <w:p w:rsidR="001A60D6" w:rsidRDefault="001A60D6">
      <w:pPr>
        <w:spacing w:line="540" w:lineRule="exact"/>
        <w:ind w:firstLineChars="200" w:firstLine="640"/>
        <w:rPr>
          <w:rFonts w:ascii="仿宋_GB2312" w:eastAsia="仿宋_GB2312" w:hAnsi="Times New Roman" w:cs="Times New Roman"/>
          <w:sz w:val="32"/>
          <w:szCs w:val="32"/>
        </w:rPr>
      </w:pPr>
    </w:p>
    <w:p w:rsidR="001A60D6" w:rsidRDefault="00211C3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w:t>
      </w:r>
      <w:r>
        <w:rPr>
          <w:rFonts w:ascii="仿宋_GB2312" w:eastAsia="仿宋_GB2312" w:hint="eastAsia"/>
          <w:sz w:val="32"/>
          <w:szCs w:val="32"/>
        </w:rPr>
        <w:lastRenderedPageBreak/>
        <w:t>抵后按国家规定提取、用于弥补以后年度收支差额的基金）弥补本年度收支缺口的资金。</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A60D6" w:rsidRDefault="00211C3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w:t>
      </w:r>
      <w:r>
        <w:rPr>
          <w:rFonts w:ascii="仿宋_GB2312" w:eastAsia="仿宋_GB2312" w:hint="eastAsia"/>
          <w:sz w:val="32"/>
          <w:szCs w:val="32"/>
        </w:rPr>
        <w:lastRenderedPageBreak/>
        <w:t>位按规定开支的各类公务接待（含外宾接待）支出。</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A60D6" w:rsidRDefault="00211C3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单位支出功能分类说明。201（类）31（款）01（项）：指行政运行。201（类）31（款）50（项）：指事业运行。201（类）31（款）99（项）：指其他党委办公厅（室）及相关机构事务支出。208（类）05（款）05（项）：指机关事业单位基本养老保险缴费支出。</w:t>
      </w:r>
    </w:p>
    <w:p w:rsidR="001A60D6" w:rsidRDefault="001A60D6">
      <w:pPr>
        <w:spacing w:line="540" w:lineRule="exact"/>
        <w:ind w:firstLineChars="200" w:firstLine="643"/>
        <w:rPr>
          <w:rFonts w:ascii="仿宋_GB2312" w:eastAsia="仿宋_GB2312"/>
          <w:b/>
          <w:sz w:val="32"/>
          <w:szCs w:val="32"/>
        </w:rPr>
      </w:pPr>
    </w:p>
    <w:p w:rsidR="001A60D6" w:rsidRDefault="00211C3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A60D6" w:rsidRDefault="00211C3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A60D6" w:rsidRDefault="00211C37">
      <w:pPr>
        <w:spacing w:line="540" w:lineRule="exact"/>
        <w:ind w:firstLineChars="200" w:firstLine="640"/>
        <w:rPr>
          <w:rFonts w:ascii="仿宋_GB2312" w:eastAsia="仿宋_GB2312"/>
          <w:sz w:val="32"/>
          <w:szCs w:val="32"/>
        </w:r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A60D6" w:rsidRDefault="001A60D6"/>
    <w:p w:rsidR="001A60D6" w:rsidRDefault="001A60D6"/>
    <w:sectPr w:rsidR="001A60D6" w:rsidSect="001A60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243" w:rsidRDefault="00AE3243" w:rsidP="00C017DE">
      <w:r>
        <w:separator/>
      </w:r>
    </w:p>
  </w:endnote>
  <w:endnote w:type="continuationSeparator" w:id="1">
    <w:p w:rsidR="00AE3243" w:rsidRDefault="00AE3243" w:rsidP="00C017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charset w:val="86"/>
    <w:family w:val="auto"/>
    <w:pitch w:val="default"/>
    <w:sig w:usb0="00000000" w:usb1="00000000"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243" w:rsidRDefault="00AE3243" w:rsidP="00C017DE">
      <w:r>
        <w:separator/>
      </w:r>
    </w:p>
  </w:footnote>
  <w:footnote w:type="continuationSeparator" w:id="1">
    <w:p w:rsidR="00AE3243" w:rsidRDefault="00AE3243" w:rsidP="00C017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47379"/>
    <w:rsid w:val="000F440D"/>
    <w:rsid w:val="0018779F"/>
    <w:rsid w:val="001A60D6"/>
    <w:rsid w:val="00211C37"/>
    <w:rsid w:val="00611191"/>
    <w:rsid w:val="00AE3243"/>
    <w:rsid w:val="00B63857"/>
    <w:rsid w:val="00C017DE"/>
    <w:rsid w:val="00D47379"/>
    <w:rsid w:val="15D1241B"/>
    <w:rsid w:val="5EA270D3"/>
    <w:rsid w:val="5F186188"/>
    <w:rsid w:val="6F1C05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0D6"/>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rsid w:val="001A60D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1A60D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qFormat/>
    <w:rsid w:val="001A60D6"/>
    <w:rPr>
      <w:color w:val="0000FF"/>
      <w:u w:val="single"/>
    </w:rPr>
  </w:style>
  <w:style w:type="character" w:customStyle="1" w:styleId="2Char">
    <w:name w:val="标题 2 Char"/>
    <w:basedOn w:val="a0"/>
    <w:link w:val="2"/>
    <w:uiPriority w:val="9"/>
    <w:qFormat/>
    <w:rsid w:val="001A60D6"/>
    <w:rPr>
      <w:rFonts w:ascii="宋体" w:eastAsia="宋体" w:hAnsi="宋体" w:cs="宋体"/>
      <w:b/>
      <w:bCs/>
      <w:kern w:val="0"/>
      <w:sz w:val="36"/>
      <w:szCs w:val="36"/>
    </w:rPr>
  </w:style>
  <w:style w:type="character" w:customStyle="1" w:styleId="pagesprintfont">
    <w:name w:val="pages_print_font"/>
    <w:basedOn w:val="a0"/>
    <w:qFormat/>
    <w:rsid w:val="001A60D6"/>
  </w:style>
  <w:style w:type="character" w:customStyle="1" w:styleId="am-margin-right-sm">
    <w:name w:val="am-margin-right-sm"/>
    <w:basedOn w:val="a0"/>
    <w:qFormat/>
    <w:rsid w:val="001A60D6"/>
  </w:style>
  <w:style w:type="character" w:customStyle="1" w:styleId="pointer">
    <w:name w:val="pointer"/>
    <w:basedOn w:val="a0"/>
    <w:qFormat/>
    <w:rsid w:val="001A60D6"/>
  </w:style>
  <w:style w:type="character" w:customStyle="1" w:styleId="btnprint">
    <w:name w:val="btnprint"/>
    <w:basedOn w:val="a0"/>
    <w:qFormat/>
    <w:rsid w:val="001A60D6"/>
  </w:style>
  <w:style w:type="paragraph" w:styleId="a5">
    <w:name w:val="header"/>
    <w:basedOn w:val="a"/>
    <w:link w:val="Char"/>
    <w:uiPriority w:val="99"/>
    <w:semiHidden/>
    <w:unhideWhenUsed/>
    <w:rsid w:val="00C017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C017DE"/>
    <w:rPr>
      <w:rFonts w:asciiTheme="minorHAnsi" w:eastAsiaTheme="minorEastAsia" w:hAnsiTheme="minorHAnsi" w:cstheme="minorBidi"/>
      <w:kern w:val="2"/>
      <w:sz w:val="18"/>
      <w:szCs w:val="18"/>
    </w:rPr>
  </w:style>
  <w:style w:type="paragraph" w:styleId="a6">
    <w:name w:val="footer"/>
    <w:basedOn w:val="a"/>
    <w:link w:val="Char0"/>
    <w:uiPriority w:val="99"/>
    <w:semiHidden/>
    <w:unhideWhenUsed/>
    <w:rsid w:val="00C017DE"/>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C017DE"/>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970</Words>
  <Characters>5535</Characters>
  <Application>Microsoft Office Word</Application>
  <DocSecurity>0</DocSecurity>
  <Lines>46</Lines>
  <Paragraphs>12</Paragraphs>
  <ScaleCrop>false</ScaleCrop>
  <Company>Organization</Company>
  <LinksUpToDate>false</LinksUpToDate>
  <CharactersWithSpaces>6493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用户</cp:lastModifiedBy>
  <cp:revision>6</cp:revision>
  <dcterms:created xsi:type="dcterms:W3CDTF">2021-05-21T14:32:00Z</dcterms:created>
  <dcterms:modified xsi:type="dcterms:W3CDTF">2025-02-05T09:02:00Z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A9D8089E173B49049697B89101561C66</vt:lpwstr>
  </property>
</Properties>
</file>