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4357BE" w14:textId="77777777" w:rsidR="006F56AE" w:rsidRDefault="006F56AE">
      <w:pPr>
        <w:rPr>
          <w:rFonts w:ascii="黑体" w:eastAsia="黑体" w:hAnsi="黑体" w:hint="eastAsia"/>
          <w:sz w:val="32"/>
          <w:szCs w:val="32"/>
        </w:rPr>
      </w:pPr>
    </w:p>
    <w:p w14:paraId="2289D656" w14:textId="77777777" w:rsidR="006F56AE" w:rsidRDefault="006F56AE">
      <w:pPr>
        <w:jc w:val="center"/>
        <w:rPr>
          <w:rFonts w:ascii="方正小标宋_GBK" w:eastAsia="方正小标宋_GBK" w:hAnsi="宋体" w:hint="eastAsia"/>
          <w:sz w:val="44"/>
          <w:szCs w:val="44"/>
        </w:rPr>
      </w:pPr>
    </w:p>
    <w:p w14:paraId="1CF07191" w14:textId="77777777" w:rsidR="006F56A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昌吉市大西渠镇中心幼儿园</w:t>
      </w:r>
    </w:p>
    <w:p w14:paraId="4F4196B9" w14:textId="77777777" w:rsidR="006F56A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2402940" w14:textId="77777777" w:rsidR="006F56A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27B4143" w14:textId="77777777" w:rsidR="006F56A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D8365FB" w14:textId="77777777" w:rsidR="006F56A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4EC2254" w14:textId="77777777" w:rsidR="006F56A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F56AE">
          <w:rPr>
            <w:rFonts w:ascii="仿宋_GB2312" w:eastAsia="仿宋_GB2312" w:hAnsi="仿宋_GB2312" w:cs="仿宋_GB2312" w:hint="eastAsia"/>
            <w:b/>
            <w:bCs/>
            <w:sz w:val="32"/>
            <w:szCs w:val="32"/>
          </w:rPr>
          <w:t>第一部分 单位概况</w:t>
        </w:r>
      </w:hyperlink>
    </w:p>
    <w:p w14:paraId="01EDC9AF"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A5EF7E6"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858E44F" w14:textId="77777777" w:rsidR="006F56AE" w:rsidRDefault="006F56A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53B8C8F"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88C05F8"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ECDC187"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68627FE"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3B90DD7"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D54F7C1"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FB16A53"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448C95F"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7620578" w14:textId="77777777" w:rsidR="006F56AE" w:rsidRDefault="006F56A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678C322"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1E2B077" w14:textId="77777777" w:rsidR="006F56AE" w:rsidRDefault="006F56A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0989928" w14:textId="77777777" w:rsidR="006F56AE" w:rsidRDefault="006F56A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938316D" w14:textId="77777777" w:rsidR="006F56AE" w:rsidRDefault="006F56A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BCD0EA4"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4B7B27A" w14:textId="77777777" w:rsidR="006F56A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646A067" w14:textId="77777777" w:rsidR="006F56AE" w:rsidRDefault="006F56A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E845E18" w14:textId="77777777" w:rsidR="006F56AE" w:rsidRDefault="006F56A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71A8DEB"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0C349FC"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EFA2BAE"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E6A7199"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494EE0C"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07D18C0"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A2B6827" w14:textId="77777777" w:rsidR="006F56AE" w:rsidRDefault="006F56A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E4750F2" w14:textId="77777777" w:rsidR="006F56AE" w:rsidRDefault="006F56A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0F93745" w14:textId="77777777" w:rsidR="006F56A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3CA265D" w14:textId="77777777" w:rsidR="006F56AE" w:rsidRDefault="00000000">
      <w:r>
        <w:rPr>
          <w:rFonts w:ascii="仿宋_GB2312" w:eastAsia="仿宋_GB2312" w:hAnsi="仿宋_GB2312" w:cs="仿宋_GB2312" w:hint="eastAsia"/>
          <w:sz w:val="32"/>
          <w:szCs w:val="32"/>
        </w:rPr>
        <w:fldChar w:fldCharType="end"/>
      </w:r>
    </w:p>
    <w:p w14:paraId="7D2E7E85" w14:textId="77777777" w:rsidR="006F56AE" w:rsidRDefault="00000000">
      <w:pPr>
        <w:rPr>
          <w:rFonts w:ascii="仿宋_GB2312" w:eastAsia="仿宋_GB2312"/>
          <w:sz w:val="32"/>
          <w:szCs w:val="32"/>
        </w:rPr>
      </w:pPr>
      <w:r>
        <w:rPr>
          <w:rFonts w:ascii="仿宋_GB2312" w:eastAsia="仿宋_GB2312" w:hint="eastAsia"/>
          <w:sz w:val="32"/>
          <w:szCs w:val="32"/>
        </w:rPr>
        <w:br w:type="page"/>
      </w:r>
    </w:p>
    <w:p w14:paraId="7BB8B21E" w14:textId="77777777" w:rsidR="006F56AE"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7962833" w14:textId="77777777" w:rsidR="006F56AE"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6911DBE" w14:textId="67F29623" w:rsidR="006F56AE" w:rsidRDefault="00BC66C3">
      <w:pPr>
        <w:ind w:firstLineChars="200" w:firstLine="640"/>
        <w:jc w:val="left"/>
        <w:rPr>
          <w:rFonts w:ascii="仿宋_GB2312" w:eastAsia="仿宋_GB2312"/>
          <w:sz w:val="32"/>
          <w:szCs w:val="32"/>
        </w:rPr>
      </w:pPr>
      <w:r>
        <w:rPr>
          <w:rFonts w:ascii="仿宋_GB2312" w:eastAsia="仿宋_GB2312" w:hint="eastAsia"/>
          <w:sz w:val="32"/>
          <w:szCs w:val="32"/>
        </w:rPr>
        <w:t>负责贯彻执行国家对幼儿保育和教育的路线、方针、政策。为学龄前儿童提供保育和教育服务。本着保育和教育相结合的 原则,对幼儿实施德、智、体、美全面发展的教育,促进其身心和谐健康发展（相关社会服务）。</w:t>
      </w:r>
    </w:p>
    <w:p w14:paraId="182EED8C" w14:textId="77777777" w:rsidR="006F56A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B5BE06F" w14:textId="77777777" w:rsidR="006F56A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昌吉市大西渠镇中心幼儿园2023年度，实有人数</w:t>
      </w:r>
      <w:r>
        <w:rPr>
          <w:rFonts w:ascii="仿宋_GB2312" w:eastAsia="仿宋_GB2312" w:hint="eastAsia"/>
          <w:sz w:val="32"/>
          <w:szCs w:val="32"/>
          <w:lang w:val="zh-CN"/>
        </w:rPr>
        <w:t>26</w:t>
      </w:r>
      <w:r>
        <w:rPr>
          <w:rFonts w:ascii="仿宋_GB2312" w:eastAsia="仿宋_GB2312" w:hint="eastAsia"/>
          <w:sz w:val="32"/>
          <w:szCs w:val="32"/>
        </w:rPr>
        <w:t>人，其中：在职人员</w:t>
      </w:r>
      <w:r>
        <w:rPr>
          <w:rFonts w:ascii="仿宋_GB2312" w:eastAsia="仿宋_GB2312" w:hint="eastAsia"/>
          <w:sz w:val="32"/>
          <w:szCs w:val="32"/>
          <w:lang w:val="zh-CN"/>
        </w:rPr>
        <w:t>26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60497214" w14:textId="49DA83B3" w:rsidR="006F56AE" w:rsidRDefault="00000000">
      <w:pPr>
        <w:ind w:firstLineChars="200" w:firstLine="640"/>
        <w:rPr>
          <w:rFonts w:ascii="仿宋_GB2312" w:eastAsia="仿宋_GB2312" w:hAnsi="宋体" w:cs="宋体" w:hint="eastAsia"/>
          <w:kern w:val="0"/>
          <w:sz w:val="32"/>
          <w:szCs w:val="32"/>
        </w:rPr>
        <w:sectPr w:rsidR="006F56A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C66C3">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BC66C3">
        <w:rPr>
          <w:rFonts w:ascii="仿宋_GB2312" w:eastAsia="仿宋_GB2312" w:hint="eastAsia"/>
          <w:sz w:val="32"/>
          <w:szCs w:val="32"/>
        </w:rPr>
        <w:t>教研室、总务处、保教处</w:t>
      </w:r>
      <w:r>
        <w:rPr>
          <w:rFonts w:ascii="仿宋_GB2312" w:eastAsia="仿宋_GB2312" w:hAnsi="宋体" w:cs="宋体" w:hint="eastAsia"/>
          <w:kern w:val="0"/>
          <w:sz w:val="32"/>
          <w:szCs w:val="32"/>
        </w:rPr>
        <w:t>。</w:t>
      </w:r>
    </w:p>
    <w:p w14:paraId="7CAA4BDE" w14:textId="77777777" w:rsidR="006F56A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C2D855A" w14:textId="77777777" w:rsidR="006F56AE"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6961915A" w14:textId="77777777" w:rsidR="006F56A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2023年度收入总计743.80万元，其中：本年收入合计735.49万元，使用非财政拨款结余0.00万元，年初结转和结余8.30万元。</w:t>
      </w:r>
    </w:p>
    <w:p w14:paraId="5F122AB8" w14:textId="77777777" w:rsidR="006F56A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2023年度支出总计743.80万元，其中：本年支出合计736.14万元，结余分配0.00万元，年末结转和结余7.66万元。</w:t>
      </w:r>
    </w:p>
    <w:p w14:paraId="56FDCCCE" w14:textId="483B927A" w:rsidR="006F56AE"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增加5.46万元</w:t>
      </w:r>
      <w:r>
        <w:rPr>
          <w:rFonts w:ascii="仿宋_GB2312" w:eastAsia="仿宋_GB2312" w:hint="eastAsia"/>
          <w:sz w:val="32"/>
          <w:szCs w:val="32"/>
        </w:rPr>
        <w:t>，增长0.74%，主要原因是：</w:t>
      </w:r>
      <w:r w:rsidR="009877FB" w:rsidRPr="009877FB">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int="eastAsia"/>
          <w:sz w:val="32"/>
          <w:szCs w:val="32"/>
        </w:rPr>
        <w:t>。</w:t>
      </w:r>
    </w:p>
    <w:p w14:paraId="61A6CD41" w14:textId="77777777" w:rsidR="006F56A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71D2F52" w14:textId="77777777" w:rsidR="006F56A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本年收入735.49万元，其中：财政拨款收入</w:t>
      </w:r>
      <w:r>
        <w:rPr>
          <w:rFonts w:ascii="仿宋_GB2312" w:eastAsia="仿宋_GB2312" w:hint="eastAsia"/>
          <w:sz w:val="32"/>
          <w:szCs w:val="32"/>
          <w:lang w:val="zh-CN"/>
        </w:rPr>
        <w:t>735.49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5AD4E88" w14:textId="77777777" w:rsidR="006F56A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4AA86E8" w14:textId="77777777" w:rsidR="006F56A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本年支出736.14万元，其中：基本支出736.14万元，占100.00%；项目支出0.00万元，占0.00%；上缴上级支出0.00万元，占0.00%；经营支出0.00万元，占0.00%；对附属单位补助支出0.00万元，占0.00%。</w:t>
      </w:r>
    </w:p>
    <w:p w14:paraId="0D064169" w14:textId="77777777" w:rsidR="006F56A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408056D" w14:textId="77777777" w:rsidR="006F56A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743.80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8.30</w:t>
      </w:r>
      <w:r>
        <w:rPr>
          <w:rFonts w:ascii="仿宋_GB2312" w:eastAsia="仿宋_GB2312" w:hint="eastAsia"/>
          <w:sz w:val="32"/>
          <w:szCs w:val="32"/>
        </w:rPr>
        <w:t>万元，本年财政拨款收入</w:t>
      </w:r>
      <w:r>
        <w:rPr>
          <w:rFonts w:ascii="仿宋_GB2312" w:eastAsia="仿宋_GB2312" w:hint="eastAsia"/>
          <w:sz w:val="32"/>
          <w:szCs w:val="32"/>
          <w:lang w:val="zh-CN"/>
        </w:rPr>
        <w:t>735.49</w:t>
      </w:r>
      <w:r>
        <w:rPr>
          <w:rFonts w:ascii="仿宋_GB2312" w:eastAsia="仿宋_GB2312" w:hint="eastAsia"/>
          <w:sz w:val="32"/>
          <w:szCs w:val="32"/>
        </w:rPr>
        <w:t>万元。财政拨款支出总计</w:t>
      </w:r>
      <w:r>
        <w:rPr>
          <w:rFonts w:ascii="仿宋_GB2312" w:eastAsia="仿宋_GB2312" w:hint="eastAsia"/>
          <w:sz w:val="32"/>
          <w:szCs w:val="32"/>
          <w:lang w:val="zh-CN"/>
        </w:rPr>
        <w:t>743.80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7.66</w:t>
      </w:r>
      <w:r>
        <w:rPr>
          <w:rFonts w:ascii="仿宋_GB2312" w:eastAsia="仿宋_GB2312" w:hint="eastAsia"/>
          <w:sz w:val="32"/>
          <w:szCs w:val="32"/>
        </w:rPr>
        <w:t>万元，本年财政拨款支出</w:t>
      </w:r>
      <w:r>
        <w:rPr>
          <w:rFonts w:ascii="仿宋_GB2312" w:eastAsia="仿宋_GB2312" w:hint="eastAsia"/>
          <w:sz w:val="32"/>
          <w:szCs w:val="32"/>
          <w:lang w:val="zh-CN"/>
        </w:rPr>
        <w:t>736.14</w:t>
      </w:r>
      <w:r>
        <w:rPr>
          <w:rFonts w:ascii="仿宋_GB2312" w:eastAsia="仿宋_GB2312" w:hint="eastAsia"/>
          <w:sz w:val="32"/>
          <w:szCs w:val="32"/>
        </w:rPr>
        <w:t>万元。</w:t>
      </w:r>
    </w:p>
    <w:p w14:paraId="02C50DDA" w14:textId="508B78CB" w:rsidR="006F56AE"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增加5.46万元</w:t>
      </w:r>
      <w:r>
        <w:rPr>
          <w:rFonts w:ascii="仿宋_GB2312" w:eastAsia="仿宋_GB2312" w:hint="eastAsia"/>
          <w:sz w:val="32"/>
          <w:szCs w:val="32"/>
        </w:rPr>
        <w:t>，增长0.74%,主要原因是：</w:t>
      </w:r>
      <w:r w:rsidR="009877FB" w:rsidRPr="009877FB">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688.71</w:t>
      </w:r>
      <w:r>
        <w:rPr>
          <w:rFonts w:ascii="仿宋_GB2312" w:eastAsia="仿宋_GB2312" w:hint="eastAsia"/>
          <w:sz w:val="32"/>
          <w:szCs w:val="32"/>
        </w:rPr>
        <w:t>万元，决算数</w:t>
      </w:r>
      <w:r>
        <w:rPr>
          <w:rFonts w:ascii="仿宋_GB2312" w:eastAsia="仿宋_GB2312" w:hint="eastAsia"/>
          <w:sz w:val="32"/>
          <w:szCs w:val="32"/>
          <w:lang w:val="zh-CN"/>
        </w:rPr>
        <w:t>743.80</w:t>
      </w:r>
      <w:r>
        <w:rPr>
          <w:rFonts w:ascii="仿宋_GB2312" w:eastAsia="仿宋_GB2312" w:hint="eastAsia"/>
          <w:sz w:val="32"/>
          <w:szCs w:val="32"/>
        </w:rPr>
        <w:t>万元，预决算差异率8.00%，主要原因是：</w:t>
      </w:r>
      <w:r w:rsidR="009877FB" w:rsidRPr="009877FB">
        <w:rPr>
          <w:rFonts w:ascii="仿宋_GB2312" w:eastAsia="仿宋_GB2312" w:hAnsi="仿宋_GB2312" w:cs="仿宋_GB2312" w:hint="eastAsia"/>
          <w:sz w:val="32"/>
          <w:szCs w:val="32"/>
          <w:lang w:val="zh-CN"/>
        </w:rPr>
        <w:t>单位本年人员工资调增，</w:t>
      </w:r>
      <w:r w:rsidR="009877FB">
        <w:rPr>
          <w:rFonts w:ascii="仿宋_GB2312" w:eastAsia="仿宋_GB2312" w:hAnsi="仿宋_GB2312" w:cs="仿宋_GB2312" w:hint="eastAsia"/>
          <w:sz w:val="32"/>
          <w:szCs w:val="32"/>
          <w:lang w:val="zh-CN"/>
        </w:rPr>
        <w:t>年中追加</w:t>
      </w:r>
      <w:r w:rsidR="009877FB" w:rsidRPr="009877FB">
        <w:rPr>
          <w:rFonts w:ascii="仿宋_GB2312" w:eastAsia="仿宋_GB2312" w:hAnsi="仿宋_GB2312" w:cs="仿宋_GB2312" w:hint="eastAsia"/>
          <w:sz w:val="32"/>
          <w:szCs w:val="32"/>
          <w:lang w:val="zh-CN"/>
        </w:rPr>
        <w:t>工资、津贴补贴、奖金等相关人员经费</w:t>
      </w:r>
      <w:r>
        <w:rPr>
          <w:rFonts w:ascii="仿宋_GB2312" w:eastAsia="仿宋_GB2312" w:hint="eastAsia"/>
          <w:sz w:val="32"/>
          <w:szCs w:val="32"/>
        </w:rPr>
        <w:t>。</w:t>
      </w:r>
    </w:p>
    <w:p w14:paraId="5CB12335" w14:textId="77777777" w:rsidR="006F56A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2A09F3F" w14:textId="77777777" w:rsidR="006F56A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709E916" w14:textId="6843A390" w:rsidR="006F56AE"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2023年度一般公共预算财政拨款支出736.14万元，占本年支出合计的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增加6.10万元</w:t>
      </w:r>
      <w:r>
        <w:rPr>
          <w:rFonts w:ascii="仿宋_GB2312" w:eastAsia="仿宋_GB2312" w:hint="eastAsia"/>
          <w:sz w:val="32"/>
          <w:szCs w:val="32"/>
        </w:rPr>
        <w:t>，增长0.84%,主要原因是：</w:t>
      </w:r>
      <w:r w:rsidR="009877FB" w:rsidRPr="009877FB">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688.71</w:t>
      </w:r>
      <w:r>
        <w:rPr>
          <w:rFonts w:ascii="仿宋_GB2312" w:eastAsia="仿宋_GB2312" w:hint="eastAsia"/>
          <w:sz w:val="32"/>
          <w:szCs w:val="32"/>
        </w:rPr>
        <w:t>万元，决算数</w:t>
      </w:r>
      <w:r>
        <w:rPr>
          <w:rFonts w:ascii="仿宋_GB2312" w:eastAsia="仿宋_GB2312" w:hint="eastAsia"/>
          <w:sz w:val="32"/>
          <w:szCs w:val="32"/>
          <w:lang w:val="zh-CN"/>
        </w:rPr>
        <w:t>736.14</w:t>
      </w:r>
      <w:r>
        <w:rPr>
          <w:rFonts w:ascii="仿宋_GB2312" w:eastAsia="仿宋_GB2312" w:hint="eastAsia"/>
          <w:sz w:val="32"/>
          <w:szCs w:val="32"/>
        </w:rPr>
        <w:t>万元，预决算差异率</w:t>
      </w:r>
      <w:r>
        <w:rPr>
          <w:rFonts w:ascii="仿宋_GB2312" w:eastAsia="仿宋_GB2312" w:hint="eastAsia"/>
          <w:sz w:val="32"/>
          <w:szCs w:val="32"/>
          <w:lang w:val="zh-CN"/>
        </w:rPr>
        <w:t>6.89%</w:t>
      </w:r>
      <w:r>
        <w:rPr>
          <w:rFonts w:ascii="仿宋_GB2312" w:eastAsia="仿宋_GB2312" w:hint="eastAsia"/>
          <w:sz w:val="32"/>
          <w:szCs w:val="32"/>
        </w:rPr>
        <w:t>，主要原因是：</w:t>
      </w:r>
      <w:r w:rsidR="009877FB" w:rsidRPr="009877FB">
        <w:rPr>
          <w:rFonts w:ascii="仿宋_GB2312" w:eastAsia="仿宋_GB2312" w:hAnsi="仿宋_GB2312" w:cs="仿宋_GB2312" w:hint="eastAsia"/>
          <w:sz w:val="32"/>
          <w:szCs w:val="32"/>
          <w:lang w:val="zh-CN"/>
        </w:rPr>
        <w:t>单位本年人员工资调增，</w:t>
      </w:r>
      <w:r w:rsidR="009877FB">
        <w:rPr>
          <w:rFonts w:ascii="仿宋_GB2312" w:eastAsia="仿宋_GB2312" w:hAnsi="仿宋_GB2312" w:cs="仿宋_GB2312" w:hint="eastAsia"/>
          <w:sz w:val="32"/>
          <w:szCs w:val="32"/>
          <w:lang w:val="zh-CN"/>
        </w:rPr>
        <w:t>年中追加</w:t>
      </w:r>
      <w:r w:rsidR="009877FB" w:rsidRPr="009877FB">
        <w:rPr>
          <w:rFonts w:ascii="仿宋_GB2312" w:eastAsia="仿宋_GB2312" w:hAnsi="仿宋_GB2312" w:cs="仿宋_GB2312" w:hint="eastAsia"/>
          <w:sz w:val="32"/>
          <w:szCs w:val="32"/>
          <w:lang w:val="zh-CN"/>
        </w:rPr>
        <w:t>工资、津贴补贴、奖金等相关人员经费</w:t>
      </w:r>
      <w:r>
        <w:rPr>
          <w:rFonts w:ascii="仿宋_GB2312" w:eastAsia="仿宋_GB2312" w:hint="eastAsia"/>
          <w:sz w:val="32"/>
          <w:szCs w:val="32"/>
        </w:rPr>
        <w:t>。</w:t>
      </w:r>
    </w:p>
    <w:p w14:paraId="123FC97C" w14:textId="77777777" w:rsidR="006F56A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5FA33B2" w14:textId="68F446FB" w:rsidR="006F56AE" w:rsidRDefault="00BC66C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733.50</w:t>
      </w:r>
      <w:r>
        <w:rPr>
          <w:rFonts w:ascii="仿宋_GB2312" w:eastAsia="仿宋_GB2312"/>
          <w:kern w:val="2"/>
          <w:sz w:val="32"/>
          <w:szCs w:val="32"/>
          <w:lang w:val="zh-CN"/>
        </w:rPr>
        <w:t>万元，占</w:t>
      </w:r>
      <w:r>
        <w:rPr>
          <w:rFonts w:ascii="仿宋_GB2312" w:eastAsia="仿宋_GB2312" w:hint="eastAsia"/>
          <w:kern w:val="2"/>
          <w:sz w:val="32"/>
          <w:szCs w:val="32"/>
          <w:lang w:val="zh-CN"/>
        </w:rPr>
        <w:t>99.64%</w:t>
      </w:r>
      <w:r>
        <w:rPr>
          <w:rFonts w:ascii="仿宋_GB2312" w:eastAsia="仿宋_GB2312"/>
          <w:kern w:val="2"/>
          <w:sz w:val="32"/>
          <w:szCs w:val="32"/>
          <w:lang w:val="zh-CN"/>
        </w:rPr>
        <w:t>；</w:t>
      </w:r>
    </w:p>
    <w:p w14:paraId="52A92CB9" w14:textId="390D4DD8" w:rsidR="006F56AE" w:rsidRDefault="00BC66C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2.64</w:t>
      </w:r>
      <w:r>
        <w:rPr>
          <w:rFonts w:ascii="仿宋_GB2312" w:eastAsia="仿宋_GB2312"/>
          <w:kern w:val="2"/>
          <w:sz w:val="32"/>
          <w:szCs w:val="32"/>
          <w:lang w:val="zh-CN"/>
        </w:rPr>
        <w:t>万元，占</w:t>
      </w:r>
      <w:r>
        <w:rPr>
          <w:rFonts w:ascii="仿宋_GB2312" w:eastAsia="仿宋_GB2312" w:hint="eastAsia"/>
          <w:kern w:val="2"/>
          <w:sz w:val="32"/>
          <w:szCs w:val="32"/>
          <w:lang w:val="zh-CN"/>
        </w:rPr>
        <w:t>0.36%。</w:t>
      </w:r>
    </w:p>
    <w:p w14:paraId="123051E8" w14:textId="77777777" w:rsidR="006F56A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2C2E594" w14:textId="14CBA48B" w:rsidR="006F56A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1.教育支出（类）普通教育（款）学前教育（项）:支出决算数为733.50万元，比上年决算增加</w:t>
      </w:r>
      <w:r w:rsidR="00B15C9C">
        <w:rPr>
          <w:rFonts w:ascii="仿宋_GB2312" w:eastAsia="仿宋_GB2312" w:hAnsi="仿宋_GB2312" w:cs="仿宋_GB2312" w:hint="eastAsia"/>
          <w:sz w:val="32"/>
          <w:szCs w:val="32"/>
        </w:rPr>
        <w:t>3.46</w:t>
      </w:r>
      <w:r>
        <w:rPr>
          <w:rFonts w:ascii="仿宋_GB2312" w:eastAsia="仿宋_GB2312" w:hAnsi="仿宋_GB2312" w:cs="仿宋_GB2312" w:hint="eastAsia"/>
          <w:sz w:val="32"/>
          <w:szCs w:val="32"/>
        </w:rPr>
        <w:t>万元，增长0.47%，主要原因是：</w:t>
      </w:r>
      <w:r w:rsidR="009877FB" w:rsidRPr="009877FB">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69EE56B9" w14:textId="22259AA3" w:rsidR="006F56A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2.社会保障和就业支出（类）行政事业单位养老支出（款）机关事业单位职业年金缴费支出（项）:支出决算数为2.64万元，比上年决算增加2.64万元，增长100%，主要原因是：</w:t>
      </w:r>
      <w:r w:rsidR="009877FB">
        <w:rPr>
          <w:rFonts w:ascii="仿宋_GB2312" w:eastAsia="仿宋_GB2312" w:hAnsi="仿宋_GB2312" w:cs="仿宋_GB2312" w:hint="eastAsia"/>
          <w:sz w:val="32"/>
          <w:szCs w:val="32"/>
        </w:rPr>
        <w:t>单位</w:t>
      </w:r>
      <w:r w:rsidR="009877FB">
        <w:rPr>
          <w:rFonts w:ascii="仿宋_GB2312" w:eastAsia="仿宋_GB2312" w:hAnsi="仿宋_GB2312" w:cs="仿宋_GB2312" w:hint="eastAsia"/>
          <w:sz w:val="32"/>
          <w:szCs w:val="32"/>
          <w:lang w:val="zh-CN"/>
        </w:rPr>
        <w:t>本年退休人员增加，职业年金缴费增加</w:t>
      </w:r>
      <w:r>
        <w:rPr>
          <w:rFonts w:ascii="仿宋_GB2312" w:eastAsia="仿宋_GB2312" w:hAnsi="仿宋_GB2312" w:cs="仿宋_GB2312" w:hint="eastAsia"/>
          <w:sz w:val="32"/>
          <w:szCs w:val="32"/>
          <w:lang w:val="zh-CN"/>
        </w:rPr>
        <w:t>。</w:t>
      </w:r>
    </w:p>
    <w:p w14:paraId="7781EFFD" w14:textId="77777777" w:rsidR="006F56A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EE0B59E" w14:textId="63EB864B" w:rsidR="006F56A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736.14万元，其中：人员经费670.34万元，包括：基本工资、津贴补贴、奖金、绩效工资、机关事业单位基本养老保险缴费、职业年金缴费、职工基本医疗保险缴费、其他社会保障缴费、住房公积金、其他工资福利支出、生活补助。</w:t>
      </w:r>
    </w:p>
    <w:p w14:paraId="460BF473" w14:textId="03F18798" w:rsidR="006F56AE" w:rsidRDefault="00000000" w:rsidP="00BC66C3">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公用经费65.80万元，包括：办公费、手续费、水费、电费、邮电费、取暖费、维修（护）费、劳务费、其他商品和服务支出、办公设备购置、专用设备购置、其他资本性支出</w:t>
      </w:r>
      <w:r>
        <w:rPr>
          <w:rFonts w:ascii="仿宋_GB2312" w:eastAsia="仿宋_GB2312" w:hAnsi="宋体" w:cs="宋体" w:hint="eastAsia"/>
          <w:kern w:val="0"/>
          <w:sz w:val="32"/>
          <w:szCs w:val="32"/>
        </w:rPr>
        <w:t>。</w:t>
      </w:r>
    </w:p>
    <w:p w14:paraId="53ADAAC8" w14:textId="77777777" w:rsidR="006F56A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87D8DAD" w14:textId="47A53B4A" w:rsidR="006F56A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C66C3" w:rsidRPr="00BC66C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C66C3" w:rsidRPr="00BC66C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C66C3" w:rsidRPr="00BC66C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C66C3" w:rsidRPr="00BC66C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3B10995" w14:textId="77777777" w:rsidR="006F56A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9C9438B" w14:textId="44406F23" w:rsidR="006F56A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BC66C3" w:rsidRPr="00BC66C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930D7A2" w14:textId="7701A6EE" w:rsidR="006F56A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BC66C3" w:rsidRPr="00BC66C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D57E1" w:rsidRPr="00FD57E1">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1CD14CE" w14:textId="40FA7CD3" w:rsidR="006F56A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BC66C3" w:rsidRPr="00BC66C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3A3EA18" w14:textId="5F9F1C98" w:rsidR="006F56A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w:t>
      </w:r>
      <w:r>
        <w:rPr>
          <w:rFonts w:ascii="仿宋_GB2312" w:eastAsia="仿宋_GB2312" w:hint="eastAsia"/>
          <w:sz w:val="32"/>
          <w:szCs w:val="32"/>
          <w:lang w:val="zh-CN"/>
        </w:rPr>
        <w:lastRenderedPageBreak/>
        <w:t>要原因是：</w:t>
      </w:r>
      <w:r w:rsidR="00BC66C3" w:rsidRPr="00BC66C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BC66C3" w:rsidRPr="00BC66C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C66C3" w:rsidRPr="00BC66C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C66C3" w:rsidRPr="00BC66C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C66C3" w:rsidRPr="00BC66C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2586A97" w14:textId="77777777" w:rsidR="006F56AE"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311DB25" w14:textId="33C6E45C" w:rsidR="006F56AE" w:rsidRPr="00BC66C3" w:rsidRDefault="00000000" w:rsidP="00BC66C3">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F10F7A8" w14:textId="77777777" w:rsidR="006F56A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A961E7C" w14:textId="77777777" w:rsidR="006F56A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32D8A9C" w14:textId="77777777" w:rsidR="006F56A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52B4D39" w14:textId="77777777" w:rsidR="006F56AE"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93E79A6" w14:textId="5205F134" w:rsidR="006F56AE"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昌吉市大西渠镇中心幼儿园（事业单位）公用经费支出65.80万元，</w:t>
      </w:r>
      <w:r>
        <w:rPr>
          <w:rFonts w:ascii="仿宋_GB2312" w:eastAsia="仿宋_GB2312" w:hAnsi="仿宋_GB2312" w:cs="仿宋_GB2312" w:hint="eastAsia"/>
          <w:sz w:val="32"/>
          <w:szCs w:val="32"/>
          <w:lang w:val="zh-CN"/>
        </w:rPr>
        <w:t>比上年减少40.70万元，下降38.22%，主要原因是：</w:t>
      </w:r>
      <w:r w:rsidR="00BC66C3">
        <w:rPr>
          <w:rFonts w:ascii="仿宋_GB2312" w:eastAsia="仿宋_GB2312" w:hAnsi="仿宋_GB2312" w:cs="仿宋_GB2312" w:hint="eastAsia"/>
          <w:sz w:val="32"/>
          <w:szCs w:val="32"/>
          <w:lang w:val="zh-CN"/>
        </w:rPr>
        <w:t>本年单位</w:t>
      </w:r>
      <w:r w:rsidR="009877FB">
        <w:rPr>
          <w:rFonts w:ascii="仿宋_GB2312" w:eastAsia="仿宋_GB2312" w:hint="eastAsia"/>
          <w:sz w:val="32"/>
          <w:szCs w:val="32"/>
        </w:rPr>
        <w:t>办公费、水电费、邮电费、取暖费、</w:t>
      </w:r>
      <w:r w:rsidR="009877FB">
        <w:rPr>
          <w:rFonts w:ascii="仿宋_GB2312" w:eastAsia="仿宋_GB2312" w:hint="eastAsia"/>
          <w:sz w:val="32"/>
          <w:szCs w:val="32"/>
        </w:rPr>
        <w:lastRenderedPageBreak/>
        <w:t>劳务费</w:t>
      </w:r>
      <w:r w:rsidR="00BC66C3">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437B3889" w14:textId="77777777" w:rsidR="006F56A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934BF27" w14:textId="77777777" w:rsidR="006F56A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2023年度政府采购支出总额13.13万元，其中：政府采购货物支出6.71万元、政府采购工程支出0.00万元、政府采购服务支出6.43万元。</w:t>
      </w:r>
    </w:p>
    <w:p w14:paraId="27961DC7" w14:textId="77777777" w:rsidR="006F56A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授予中小企业合同金额13.07万元，占政府采购支出总额的99.54%，其中：授予小微企业合同金额13.07万元，占政府采购支出总额的99.54%</w:t>
      </w:r>
      <w:r>
        <w:rPr>
          <w:rFonts w:ascii="仿宋_GB2312" w:eastAsia="仿宋_GB2312" w:hAnsi="仿宋_GB2312" w:cs="仿宋_GB2312" w:hint="eastAsia"/>
          <w:sz w:val="32"/>
          <w:szCs w:val="32"/>
        </w:rPr>
        <w:t>。</w:t>
      </w:r>
    </w:p>
    <w:p w14:paraId="45011044" w14:textId="77777777" w:rsidR="006F56AE" w:rsidRPr="00BC66C3" w:rsidRDefault="00000000">
      <w:pPr>
        <w:ind w:firstLineChars="200" w:firstLine="640"/>
        <w:jc w:val="left"/>
        <w:rPr>
          <w:rFonts w:eastAsia="黑体"/>
          <w:sz w:val="32"/>
          <w:szCs w:val="30"/>
          <w:lang w:val="zh-CN"/>
        </w:rPr>
      </w:pPr>
      <w:bookmarkStart w:id="26" w:name="_Toc4591"/>
      <w:bookmarkStart w:id="27" w:name="_Toc8391"/>
      <w:r w:rsidRPr="00BC66C3">
        <w:rPr>
          <w:rFonts w:eastAsia="黑体" w:hint="eastAsia"/>
          <w:sz w:val="32"/>
          <w:szCs w:val="30"/>
          <w:lang w:val="zh-CN"/>
        </w:rPr>
        <w:t>（三）国有资产占用情况说明</w:t>
      </w:r>
      <w:bookmarkEnd w:id="26"/>
      <w:bookmarkEnd w:id="27"/>
    </w:p>
    <w:p w14:paraId="54D9EAA7" w14:textId="38EB87DD" w:rsidR="006F56A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359.75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屋1,625.42平方米，价值291.60万元。车辆0辆，价值0.00万元，其中：副部（省）级及以上领导用车0辆、主要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BC66C3" w:rsidRPr="00BC66C3">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70BDC5D" w14:textId="77777777" w:rsidR="006F56AE"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D11B181" w14:textId="1D498592" w:rsidR="006F56AE"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6B7187" w:rsidRPr="006B7187">
        <w:rPr>
          <w:rFonts w:ascii="仿宋_GB2312" w:eastAsia="仿宋_GB2312"/>
          <w:sz w:val="32"/>
          <w:szCs w:val="32"/>
        </w:rPr>
        <w:t>743.80</w:t>
      </w:r>
      <w:r>
        <w:rPr>
          <w:rFonts w:ascii="仿宋_GB2312" w:eastAsia="仿宋_GB2312" w:hint="eastAsia"/>
          <w:sz w:val="32"/>
          <w:szCs w:val="32"/>
        </w:rPr>
        <w:t>万元，实际执行总额</w:t>
      </w:r>
      <w:r w:rsidR="006B7187" w:rsidRPr="006B7187">
        <w:rPr>
          <w:rFonts w:ascii="仿宋_GB2312" w:eastAsia="仿宋_GB2312"/>
          <w:sz w:val="32"/>
          <w:szCs w:val="32"/>
        </w:rPr>
        <w:t>736.14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6B7187">
        <w:rPr>
          <w:rFonts w:ascii="仿宋_GB2312" w:eastAsia="仿宋_GB2312" w:hint="eastAsia"/>
          <w:sz w:val="32"/>
          <w:szCs w:val="32"/>
        </w:rPr>
        <w:t>0</w:t>
      </w:r>
      <w:r>
        <w:rPr>
          <w:rFonts w:ascii="仿宋_GB2312" w:eastAsia="仿宋_GB2312" w:hint="eastAsia"/>
          <w:sz w:val="32"/>
          <w:szCs w:val="32"/>
        </w:rPr>
        <w:t>个，全年预算数</w:t>
      </w:r>
      <w:r w:rsidR="006B7187">
        <w:rPr>
          <w:rFonts w:ascii="仿宋_GB2312" w:eastAsia="仿宋_GB2312" w:hint="eastAsia"/>
          <w:sz w:val="32"/>
          <w:szCs w:val="32"/>
        </w:rPr>
        <w:t>0.00</w:t>
      </w:r>
      <w:r>
        <w:rPr>
          <w:rFonts w:ascii="仿宋_GB2312" w:eastAsia="仿宋_GB2312" w:hint="eastAsia"/>
          <w:sz w:val="32"/>
          <w:szCs w:val="32"/>
        </w:rPr>
        <w:t>万元，全年执行数</w:t>
      </w:r>
      <w:r w:rsidR="006B7187">
        <w:rPr>
          <w:rFonts w:ascii="仿宋_GB2312" w:eastAsia="仿宋_GB2312" w:hint="eastAsia"/>
          <w:sz w:val="32"/>
          <w:szCs w:val="32"/>
        </w:rPr>
        <w:t>0.00</w:t>
      </w:r>
      <w:r>
        <w:rPr>
          <w:rFonts w:ascii="仿宋_GB2312" w:eastAsia="仿宋_GB2312" w:hint="eastAsia"/>
          <w:sz w:val="32"/>
          <w:szCs w:val="32"/>
        </w:rPr>
        <w:t>万元。</w:t>
      </w:r>
      <w:r w:rsidR="006F153B" w:rsidRPr="006F153B">
        <w:rPr>
          <w:rFonts w:ascii="仿宋_GB2312" w:eastAsia="仿宋_GB2312" w:hint="eastAsia"/>
          <w:sz w:val="32"/>
          <w:szCs w:val="32"/>
        </w:rPr>
        <w:t>预算绩效管理取得的成效：一是制定明确清晰的工作目标和指标，更好的开</w:t>
      </w:r>
      <w:r w:rsidR="006F153B" w:rsidRPr="006F153B">
        <w:rPr>
          <w:rFonts w:ascii="仿宋_GB2312" w:eastAsia="仿宋_GB2312" w:hint="eastAsia"/>
          <w:sz w:val="32"/>
          <w:szCs w:val="32"/>
        </w:rPr>
        <w:lastRenderedPageBreak/>
        <w:t>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9877FB">
        <w:rPr>
          <w:rFonts w:ascii="仿宋_GB2312" w:eastAsia="仿宋_GB2312" w:hint="eastAsia"/>
          <w:sz w:val="32"/>
          <w:szCs w:val="32"/>
        </w:rPr>
        <w:t>；</w:t>
      </w:r>
      <w:r w:rsidR="006F153B" w:rsidRPr="006F153B">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199"/>
        <w:gridCol w:w="1166"/>
        <w:gridCol w:w="970"/>
        <w:gridCol w:w="1003"/>
        <w:gridCol w:w="796"/>
        <w:gridCol w:w="915"/>
        <w:gridCol w:w="926"/>
      </w:tblGrid>
      <w:tr w:rsidR="00BC66C3" w:rsidRPr="00BC66C3" w14:paraId="4E69D273" w14:textId="77777777" w:rsidTr="00BC66C3">
        <w:trPr>
          <w:trHeight w:val="522"/>
          <w:jc w:val="center"/>
        </w:trPr>
        <w:tc>
          <w:tcPr>
            <w:tcW w:w="8522" w:type="dxa"/>
            <w:gridSpan w:val="8"/>
            <w:shd w:val="clear" w:color="auto" w:fill="auto"/>
            <w:noWrap/>
            <w:vAlign w:val="center"/>
            <w:hideMark/>
          </w:tcPr>
          <w:p w14:paraId="15F0B559"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部门（单位）整体支出绩效目标自评表</w:t>
            </w:r>
          </w:p>
        </w:tc>
      </w:tr>
      <w:tr w:rsidR="00BC66C3" w:rsidRPr="00BC66C3" w14:paraId="4D1ECD40" w14:textId="77777777" w:rsidTr="00BC66C3">
        <w:trPr>
          <w:trHeight w:val="360"/>
          <w:jc w:val="center"/>
        </w:trPr>
        <w:tc>
          <w:tcPr>
            <w:tcW w:w="8522" w:type="dxa"/>
            <w:gridSpan w:val="8"/>
            <w:shd w:val="clear" w:color="auto" w:fill="auto"/>
            <w:noWrap/>
            <w:vAlign w:val="center"/>
            <w:hideMark/>
          </w:tcPr>
          <w:p w14:paraId="4CBB6BAE"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（2023年度）</w:t>
            </w:r>
          </w:p>
        </w:tc>
      </w:tr>
      <w:tr w:rsidR="00BC66C3" w:rsidRPr="00BC66C3" w14:paraId="66AD6319" w14:textId="77777777" w:rsidTr="00BC66C3">
        <w:trPr>
          <w:trHeight w:val="660"/>
          <w:jc w:val="center"/>
        </w:trPr>
        <w:tc>
          <w:tcPr>
            <w:tcW w:w="1547" w:type="dxa"/>
            <w:shd w:val="clear" w:color="auto" w:fill="auto"/>
            <w:noWrap/>
            <w:vAlign w:val="center"/>
            <w:hideMark/>
          </w:tcPr>
          <w:p w14:paraId="31B4DE54"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部门（单位）名称</w:t>
            </w:r>
          </w:p>
        </w:tc>
        <w:tc>
          <w:tcPr>
            <w:tcW w:w="6975" w:type="dxa"/>
            <w:gridSpan w:val="7"/>
            <w:shd w:val="clear" w:color="auto" w:fill="auto"/>
            <w:noWrap/>
            <w:vAlign w:val="center"/>
            <w:hideMark/>
          </w:tcPr>
          <w:p w14:paraId="02C1FA56"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昌吉市大西渠镇中心幼儿园</w:t>
            </w:r>
          </w:p>
        </w:tc>
      </w:tr>
      <w:tr w:rsidR="00BC66C3" w:rsidRPr="00BC66C3" w14:paraId="4B474542" w14:textId="77777777" w:rsidTr="00BC66C3">
        <w:trPr>
          <w:trHeight w:val="570"/>
          <w:jc w:val="center"/>
        </w:trPr>
        <w:tc>
          <w:tcPr>
            <w:tcW w:w="1547" w:type="dxa"/>
            <w:vMerge w:val="restart"/>
            <w:shd w:val="clear" w:color="auto" w:fill="auto"/>
            <w:vAlign w:val="center"/>
            <w:hideMark/>
          </w:tcPr>
          <w:p w14:paraId="24BF9638"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部门资金（万元）</w:t>
            </w:r>
          </w:p>
        </w:tc>
        <w:tc>
          <w:tcPr>
            <w:tcW w:w="1199" w:type="dxa"/>
            <w:shd w:val="clear" w:color="auto" w:fill="auto"/>
            <w:vAlign w:val="center"/>
            <w:hideMark/>
          </w:tcPr>
          <w:p w14:paraId="64F2AE8B"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资金来源</w:t>
            </w:r>
          </w:p>
        </w:tc>
        <w:tc>
          <w:tcPr>
            <w:tcW w:w="1166" w:type="dxa"/>
            <w:shd w:val="clear" w:color="auto" w:fill="auto"/>
            <w:vAlign w:val="center"/>
            <w:hideMark/>
          </w:tcPr>
          <w:p w14:paraId="4D1F0048"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年初预算数</w:t>
            </w:r>
          </w:p>
        </w:tc>
        <w:tc>
          <w:tcPr>
            <w:tcW w:w="970" w:type="dxa"/>
            <w:shd w:val="clear" w:color="auto" w:fill="auto"/>
            <w:vAlign w:val="center"/>
            <w:hideMark/>
          </w:tcPr>
          <w:p w14:paraId="395AB8AD"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全年预算数</w:t>
            </w:r>
          </w:p>
        </w:tc>
        <w:tc>
          <w:tcPr>
            <w:tcW w:w="1003" w:type="dxa"/>
            <w:shd w:val="clear" w:color="auto" w:fill="auto"/>
            <w:vAlign w:val="center"/>
            <w:hideMark/>
          </w:tcPr>
          <w:p w14:paraId="686B9B9D"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全年执行数</w:t>
            </w:r>
          </w:p>
        </w:tc>
        <w:tc>
          <w:tcPr>
            <w:tcW w:w="796" w:type="dxa"/>
            <w:shd w:val="clear" w:color="auto" w:fill="auto"/>
            <w:vAlign w:val="center"/>
            <w:hideMark/>
          </w:tcPr>
          <w:p w14:paraId="033DBCEA"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分值权重</w:t>
            </w:r>
          </w:p>
        </w:tc>
        <w:tc>
          <w:tcPr>
            <w:tcW w:w="915" w:type="dxa"/>
            <w:shd w:val="clear" w:color="auto" w:fill="auto"/>
            <w:vAlign w:val="center"/>
            <w:hideMark/>
          </w:tcPr>
          <w:p w14:paraId="72851F8B"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执行率</w:t>
            </w:r>
          </w:p>
        </w:tc>
        <w:tc>
          <w:tcPr>
            <w:tcW w:w="926" w:type="dxa"/>
            <w:shd w:val="clear" w:color="auto" w:fill="auto"/>
            <w:vAlign w:val="center"/>
            <w:hideMark/>
          </w:tcPr>
          <w:p w14:paraId="7817FCB9"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得分</w:t>
            </w:r>
          </w:p>
        </w:tc>
      </w:tr>
      <w:tr w:rsidR="00BC66C3" w:rsidRPr="00BC66C3" w14:paraId="00562E13" w14:textId="77777777" w:rsidTr="00BC66C3">
        <w:trPr>
          <w:trHeight w:val="879"/>
          <w:jc w:val="center"/>
        </w:trPr>
        <w:tc>
          <w:tcPr>
            <w:tcW w:w="1547" w:type="dxa"/>
            <w:vMerge/>
            <w:vAlign w:val="center"/>
            <w:hideMark/>
          </w:tcPr>
          <w:p w14:paraId="0838DF27" w14:textId="77777777" w:rsidR="00BC66C3" w:rsidRPr="00BC66C3" w:rsidRDefault="00BC66C3" w:rsidP="00BC66C3">
            <w:pPr>
              <w:widowControl/>
              <w:jc w:val="left"/>
              <w:rPr>
                <w:rFonts w:ascii="宋体" w:hAnsi="宋体" w:cs="宋体" w:hint="eastAsia"/>
                <w:kern w:val="0"/>
                <w:sz w:val="20"/>
                <w:szCs w:val="20"/>
              </w:rPr>
            </w:pPr>
          </w:p>
        </w:tc>
        <w:tc>
          <w:tcPr>
            <w:tcW w:w="1199" w:type="dxa"/>
            <w:shd w:val="clear" w:color="auto" w:fill="auto"/>
            <w:noWrap/>
            <w:vAlign w:val="center"/>
            <w:hideMark/>
          </w:tcPr>
          <w:p w14:paraId="08D59D69"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中央安排</w:t>
            </w:r>
          </w:p>
        </w:tc>
        <w:tc>
          <w:tcPr>
            <w:tcW w:w="1166" w:type="dxa"/>
            <w:shd w:val="clear" w:color="auto" w:fill="auto"/>
            <w:vAlign w:val="center"/>
            <w:hideMark/>
          </w:tcPr>
          <w:p w14:paraId="06046824" w14:textId="68F206E4"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0</w:t>
            </w:r>
            <w:r w:rsidRPr="000306B3">
              <w:rPr>
                <w:rFonts w:ascii="宋体" w:hAnsi="宋体" w:cs="宋体" w:hint="eastAsia"/>
                <w:kern w:val="0"/>
                <w:sz w:val="20"/>
                <w:szCs w:val="20"/>
              </w:rPr>
              <w:t>.00</w:t>
            </w:r>
          </w:p>
        </w:tc>
        <w:tc>
          <w:tcPr>
            <w:tcW w:w="970" w:type="dxa"/>
            <w:shd w:val="clear" w:color="auto" w:fill="auto"/>
            <w:vAlign w:val="center"/>
            <w:hideMark/>
          </w:tcPr>
          <w:p w14:paraId="721BD9E2" w14:textId="6307341A"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0</w:t>
            </w:r>
            <w:r w:rsidRPr="000306B3">
              <w:rPr>
                <w:rFonts w:ascii="宋体" w:hAnsi="宋体" w:cs="宋体" w:hint="eastAsia"/>
                <w:kern w:val="0"/>
                <w:sz w:val="20"/>
                <w:szCs w:val="20"/>
              </w:rPr>
              <w:t>.00</w:t>
            </w:r>
          </w:p>
        </w:tc>
        <w:tc>
          <w:tcPr>
            <w:tcW w:w="1003" w:type="dxa"/>
            <w:shd w:val="clear" w:color="auto" w:fill="auto"/>
            <w:vAlign w:val="center"/>
            <w:hideMark/>
          </w:tcPr>
          <w:p w14:paraId="3182A4C5" w14:textId="74CDC958"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0</w:t>
            </w:r>
            <w:r w:rsidRPr="000306B3">
              <w:rPr>
                <w:rFonts w:ascii="宋体" w:hAnsi="宋体" w:cs="宋体" w:hint="eastAsia"/>
                <w:kern w:val="0"/>
                <w:sz w:val="20"/>
                <w:szCs w:val="20"/>
              </w:rPr>
              <w:t>.00</w:t>
            </w:r>
          </w:p>
        </w:tc>
        <w:tc>
          <w:tcPr>
            <w:tcW w:w="796" w:type="dxa"/>
            <w:shd w:val="clear" w:color="auto" w:fill="auto"/>
            <w:vAlign w:val="center"/>
            <w:hideMark/>
          </w:tcPr>
          <w:p w14:paraId="7BF7E22B"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10</w:t>
            </w:r>
          </w:p>
        </w:tc>
        <w:tc>
          <w:tcPr>
            <w:tcW w:w="915" w:type="dxa"/>
            <w:shd w:val="clear" w:color="auto" w:fill="auto"/>
            <w:vAlign w:val="center"/>
            <w:hideMark/>
          </w:tcPr>
          <w:p w14:paraId="6FAC8C32"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98.97%</w:t>
            </w:r>
          </w:p>
        </w:tc>
        <w:tc>
          <w:tcPr>
            <w:tcW w:w="926" w:type="dxa"/>
            <w:shd w:val="clear" w:color="auto" w:fill="auto"/>
            <w:vAlign w:val="center"/>
            <w:hideMark/>
          </w:tcPr>
          <w:p w14:paraId="498B4EAD"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9.89</w:t>
            </w:r>
          </w:p>
        </w:tc>
      </w:tr>
      <w:tr w:rsidR="00BC66C3" w:rsidRPr="00BC66C3" w14:paraId="546B9DF0" w14:textId="77777777" w:rsidTr="00BC66C3">
        <w:trPr>
          <w:trHeight w:val="879"/>
          <w:jc w:val="center"/>
        </w:trPr>
        <w:tc>
          <w:tcPr>
            <w:tcW w:w="1547" w:type="dxa"/>
            <w:vMerge/>
            <w:vAlign w:val="center"/>
            <w:hideMark/>
          </w:tcPr>
          <w:p w14:paraId="05323F9C" w14:textId="77777777" w:rsidR="00BC66C3" w:rsidRPr="00BC66C3" w:rsidRDefault="00BC66C3" w:rsidP="00BC66C3">
            <w:pPr>
              <w:widowControl/>
              <w:jc w:val="left"/>
              <w:rPr>
                <w:rFonts w:ascii="宋体" w:hAnsi="宋体" w:cs="宋体" w:hint="eastAsia"/>
                <w:kern w:val="0"/>
                <w:sz w:val="20"/>
                <w:szCs w:val="20"/>
              </w:rPr>
            </w:pPr>
          </w:p>
        </w:tc>
        <w:tc>
          <w:tcPr>
            <w:tcW w:w="1199" w:type="dxa"/>
            <w:shd w:val="clear" w:color="auto" w:fill="auto"/>
            <w:vAlign w:val="center"/>
            <w:hideMark/>
          </w:tcPr>
          <w:p w14:paraId="73BEF9B2"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自治区安排</w:t>
            </w:r>
          </w:p>
        </w:tc>
        <w:tc>
          <w:tcPr>
            <w:tcW w:w="1166" w:type="dxa"/>
            <w:shd w:val="clear" w:color="auto" w:fill="auto"/>
            <w:vAlign w:val="center"/>
            <w:hideMark/>
          </w:tcPr>
          <w:p w14:paraId="007E0875" w14:textId="04C8F5FA"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0</w:t>
            </w:r>
            <w:r w:rsidRPr="000306B3">
              <w:rPr>
                <w:rFonts w:ascii="宋体" w:hAnsi="宋体" w:cs="宋体" w:hint="eastAsia"/>
                <w:kern w:val="0"/>
                <w:sz w:val="20"/>
                <w:szCs w:val="20"/>
              </w:rPr>
              <w:t>.00</w:t>
            </w:r>
          </w:p>
        </w:tc>
        <w:tc>
          <w:tcPr>
            <w:tcW w:w="970" w:type="dxa"/>
            <w:shd w:val="clear" w:color="auto" w:fill="auto"/>
            <w:vAlign w:val="center"/>
            <w:hideMark/>
          </w:tcPr>
          <w:p w14:paraId="7E17154A" w14:textId="4CC37FF9"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0</w:t>
            </w:r>
            <w:r w:rsidRPr="000306B3">
              <w:rPr>
                <w:rFonts w:ascii="宋体" w:hAnsi="宋体" w:cs="宋体" w:hint="eastAsia"/>
                <w:kern w:val="0"/>
                <w:sz w:val="20"/>
                <w:szCs w:val="20"/>
              </w:rPr>
              <w:t>.00</w:t>
            </w:r>
          </w:p>
        </w:tc>
        <w:tc>
          <w:tcPr>
            <w:tcW w:w="1003" w:type="dxa"/>
            <w:shd w:val="clear" w:color="auto" w:fill="auto"/>
            <w:vAlign w:val="center"/>
            <w:hideMark/>
          </w:tcPr>
          <w:p w14:paraId="5698BF34" w14:textId="6DA0CDE8"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0</w:t>
            </w:r>
            <w:r w:rsidRPr="000306B3">
              <w:rPr>
                <w:rFonts w:ascii="宋体" w:hAnsi="宋体" w:cs="宋体" w:hint="eastAsia"/>
                <w:kern w:val="0"/>
                <w:sz w:val="20"/>
                <w:szCs w:val="20"/>
              </w:rPr>
              <w:t>.00</w:t>
            </w:r>
          </w:p>
        </w:tc>
        <w:tc>
          <w:tcPr>
            <w:tcW w:w="796" w:type="dxa"/>
            <w:shd w:val="clear" w:color="auto" w:fill="auto"/>
            <w:vAlign w:val="center"/>
            <w:hideMark/>
          </w:tcPr>
          <w:p w14:paraId="3CEC14EB"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c>
          <w:tcPr>
            <w:tcW w:w="915" w:type="dxa"/>
            <w:shd w:val="clear" w:color="auto" w:fill="auto"/>
            <w:vAlign w:val="center"/>
            <w:hideMark/>
          </w:tcPr>
          <w:p w14:paraId="47EB4BD8"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c>
          <w:tcPr>
            <w:tcW w:w="926" w:type="dxa"/>
            <w:shd w:val="clear" w:color="auto" w:fill="auto"/>
            <w:vAlign w:val="center"/>
            <w:hideMark/>
          </w:tcPr>
          <w:p w14:paraId="28C97A75"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r>
      <w:tr w:rsidR="00BC66C3" w:rsidRPr="00BC66C3" w14:paraId="6E698525" w14:textId="77777777" w:rsidTr="00BC66C3">
        <w:trPr>
          <w:trHeight w:val="879"/>
          <w:jc w:val="center"/>
        </w:trPr>
        <w:tc>
          <w:tcPr>
            <w:tcW w:w="1547" w:type="dxa"/>
            <w:vMerge/>
            <w:vAlign w:val="center"/>
            <w:hideMark/>
          </w:tcPr>
          <w:p w14:paraId="3F96EC4F" w14:textId="77777777" w:rsidR="00BC66C3" w:rsidRPr="00BC66C3" w:rsidRDefault="00BC66C3" w:rsidP="00BC66C3">
            <w:pPr>
              <w:widowControl/>
              <w:jc w:val="left"/>
              <w:rPr>
                <w:rFonts w:ascii="宋体" w:hAnsi="宋体" w:cs="宋体" w:hint="eastAsia"/>
                <w:kern w:val="0"/>
                <w:sz w:val="20"/>
                <w:szCs w:val="20"/>
              </w:rPr>
            </w:pPr>
          </w:p>
        </w:tc>
        <w:tc>
          <w:tcPr>
            <w:tcW w:w="1199" w:type="dxa"/>
            <w:shd w:val="clear" w:color="auto" w:fill="auto"/>
            <w:vAlign w:val="center"/>
            <w:hideMark/>
          </w:tcPr>
          <w:p w14:paraId="1BF470A9"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地（州、市）安排</w:t>
            </w:r>
          </w:p>
        </w:tc>
        <w:tc>
          <w:tcPr>
            <w:tcW w:w="1166" w:type="dxa"/>
            <w:shd w:val="clear" w:color="auto" w:fill="auto"/>
            <w:vAlign w:val="center"/>
            <w:hideMark/>
          </w:tcPr>
          <w:p w14:paraId="0B92D4B2" w14:textId="5919EA10"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0</w:t>
            </w:r>
            <w:r w:rsidRPr="000306B3">
              <w:rPr>
                <w:rFonts w:ascii="宋体" w:hAnsi="宋体" w:cs="宋体" w:hint="eastAsia"/>
                <w:kern w:val="0"/>
                <w:sz w:val="20"/>
                <w:szCs w:val="20"/>
              </w:rPr>
              <w:t>.00</w:t>
            </w:r>
          </w:p>
        </w:tc>
        <w:tc>
          <w:tcPr>
            <w:tcW w:w="970" w:type="dxa"/>
            <w:shd w:val="clear" w:color="auto" w:fill="auto"/>
            <w:vAlign w:val="center"/>
            <w:hideMark/>
          </w:tcPr>
          <w:p w14:paraId="1AF66737" w14:textId="4A0B8B91"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0</w:t>
            </w:r>
            <w:r w:rsidRPr="000306B3">
              <w:rPr>
                <w:rFonts w:ascii="宋体" w:hAnsi="宋体" w:cs="宋体" w:hint="eastAsia"/>
                <w:kern w:val="0"/>
                <w:sz w:val="20"/>
                <w:szCs w:val="20"/>
              </w:rPr>
              <w:t>.00</w:t>
            </w:r>
          </w:p>
        </w:tc>
        <w:tc>
          <w:tcPr>
            <w:tcW w:w="1003" w:type="dxa"/>
            <w:shd w:val="clear" w:color="auto" w:fill="auto"/>
            <w:vAlign w:val="center"/>
            <w:hideMark/>
          </w:tcPr>
          <w:p w14:paraId="79E26572" w14:textId="4CA7D859"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0</w:t>
            </w:r>
            <w:r w:rsidRPr="000306B3">
              <w:rPr>
                <w:rFonts w:ascii="宋体" w:hAnsi="宋体" w:cs="宋体" w:hint="eastAsia"/>
                <w:kern w:val="0"/>
                <w:sz w:val="20"/>
                <w:szCs w:val="20"/>
              </w:rPr>
              <w:t>.00</w:t>
            </w:r>
          </w:p>
        </w:tc>
        <w:tc>
          <w:tcPr>
            <w:tcW w:w="796" w:type="dxa"/>
            <w:shd w:val="clear" w:color="auto" w:fill="auto"/>
            <w:vAlign w:val="center"/>
            <w:hideMark/>
          </w:tcPr>
          <w:p w14:paraId="7D5AB6A7"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c>
          <w:tcPr>
            <w:tcW w:w="915" w:type="dxa"/>
            <w:shd w:val="clear" w:color="auto" w:fill="auto"/>
            <w:vAlign w:val="center"/>
            <w:hideMark/>
          </w:tcPr>
          <w:p w14:paraId="1C1E28C5"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c>
          <w:tcPr>
            <w:tcW w:w="926" w:type="dxa"/>
            <w:shd w:val="clear" w:color="auto" w:fill="auto"/>
            <w:vAlign w:val="center"/>
            <w:hideMark/>
          </w:tcPr>
          <w:p w14:paraId="4C0ECA08"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r>
      <w:tr w:rsidR="00BC66C3" w:rsidRPr="00BC66C3" w14:paraId="40847695" w14:textId="77777777" w:rsidTr="00BC66C3">
        <w:trPr>
          <w:trHeight w:val="879"/>
          <w:jc w:val="center"/>
        </w:trPr>
        <w:tc>
          <w:tcPr>
            <w:tcW w:w="1547" w:type="dxa"/>
            <w:vMerge/>
            <w:vAlign w:val="center"/>
            <w:hideMark/>
          </w:tcPr>
          <w:p w14:paraId="6125E063" w14:textId="77777777" w:rsidR="00BC66C3" w:rsidRPr="00BC66C3" w:rsidRDefault="00BC66C3" w:rsidP="00BC66C3">
            <w:pPr>
              <w:widowControl/>
              <w:jc w:val="left"/>
              <w:rPr>
                <w:rFonts w:ascii="宋体" w:hAnsi="宋体" w:cs="宋体" w:hint="eastAsia"/>
                <w:kern w:val="0"/>
                <w:sz w:val="20"/>
                <w:szCs w:val="20"/>
              </w:rPr>
            </w:pPr>
          </w:p>
        </w:tc>
        <w:tc>
          <w:tcPr>
            <w:tcW w:w="1199" w:type="dxa"/>
            <w:shd w:val="clear" w:color="auto" w:fill="auto"/>
            <w:vAlign w:val="center"/>
            <w:hideMark/>
          </w:tcPr>
          <w:p w14:paraId="051E313A"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县（市、区）安排</w:t>
            </w:r>
          </w:p>
        </w:tc>
        <w:tc>
          <w:tcPr>
            <w:tcW w:w="1166" w:type="dxa"/>
            <w:shd w:val="clear" w:color="auto" w:fill="auto"/>
            <w:vAlign w:val="center"/>
            <w:hideMark/>
          </w:tcPr>
          <w:p w14:paraId="725329D3"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688.71</w:t>
            </w:r>
          </w:p>
        </w:tc>
        <w:tc>
          <w:tcPr>
            <w:tcW w:w="970" w:type="dxa"/>
            <w:shd w:val="clear" w:color="auto" w:fill="auto"/>
            <w:vAlign w:val="center"/>
            <w:hideMark/>
          </w:tcPr>
          <w:p w14:paraId="7B7886D9" w14:textId="4ACFA154"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743.8</w:t>
            </w:r>
            <w:r>
              <w:rPr>
                <w:rFonts w:ascii="宋体" w:hAnsi="宋体" w:cs="宋体" w:hint="eastAsia"/>
                <w:kern w:val="0"/>
                <w:sz w:val="20"/>
                <w:szCs w:val="20"/>
              </w:rPr>
              <w:t>0</w:t>
            </w:r>
          </w:p>
        </w:tc>
        <w:tc>
          <w:tcPr>
            <w:tcW w:w="1003" w:type="dxa"/>
            <w:shd w:val="clear" w:color="auto" w:fill="auto"/>
            <w:vAlign w:val="center"/>
            <w:hideMark/>
          </w:tcPr>
          <w:p w14:paraId="59DA3522"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736.14</w:t>
            </w:r>
          </w:p>
        </w:tc>
        <w:tc>
          <w:tcPr>
            <w:tcW w:w="796" w:type="dxa"/>
            <w:shd w:val="clear" w:color="auto" w:fill="auto"/>
            <w:vAlign w:val="center"/>
            <w:hideMark/>
          </w:tcPr>
          <w:p w14:paraId="23352E66" w14:textId="6BCE0F2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c>
          <w:tcPr>
            <w:tcW w:w="915" w:type="dxa"/>
            <w:shd w:val="clear" w:color="auto" w:fill="auto"/>
            <w:vAlign w:val="center"/>
            <w:hideMark/>
          </w:tcPr>
          <w:p w14:paraId="4A41B8C0" w14:textId="34088B73"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c>
          <w:tcPr>
            <w:tcW w:w="926" w:type="dxa"/>
            <w:shd w:val="clear" w:color="auto" w:fill="auto"/>
            <w:vAlign w:val="center"/>
            <w:hideMark/>
          </w:tcPr>
          <w:p w14:paraId="56597258" w14:textId="4898B92F"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r>
      <w:tr w:rsidR="00BC66C3" w:rsidRPr="00BC66C3" w14:paraId="6E7A3649" w14:textId="77777777" w:rsidTr="00BC66C3">
        <w:trPr>
          <w:trHeight w:val="879"/>
          <w:jc w:val="center"/>
        </w:trPr>
        <w:tc>
          <w:tcPr>
            <w:tcW w:w="1547" w:type="dxa"/>
            <w:vMerge/>
            <w:vAlign w:val="center"/>
            <w:hideMark/>
          </w:tcPr>
          <w:p w14:paraId="34C5F916" w14:textId="77777777" w:rsidR="00BC66C3" w:rsidRPr="00BC66C3" w:rsidRDefault="00BC66C3" w:rsidP="00BC66C3">
            <w:pPr>
              <w:widowControl/>
              <w:jc w:val="left"/>
              <w:rPr>
                <w:rFonts w:ascii="宋体" w:hAnsi="宋体" w:cs="宋体" w:hint="eastAsia"/>
                <w:kern w:val="0"/>
                <w:sz w:val="20"/>
                <w:szCs w:val="20"/>
              </w:rPr>
            </w:pPr>
          </w:p>
        </w:tc>
        <w:tc>
          <w:tcPr>
            <w:tcW w:w="1199" w:type="dxa"/>
            <w:shd w:val="clear" w:color="auto" w:fill="auto"/>
            <w:vAlign w:val="center"/>
            <w:hideMark/>
          </w:tcPr>
          <w:p w14:paraId="29F19B5B"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其他资金</w:t>
            </w:r>
          </w:p>
        </w:tc>
        <w:tc>
          <w:tcPr>
            <w:tcW w:w="1166" w:type="dxa"/>
            <w:shd w:val="clear" w:color="auto" w:fill="auto"/>
            <w:vAlign w:val="center"/>
            <w:hideMark/>
          </w:tcPr>
          <w:p w14:paraId="34E1CE25" w14:textId="6F4CF36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0</w:t>
            </w:r>
            <w:r w:rsidRPr="000306B3">
              <w:rPr>
                <w:rFonts w:ascii="宋体" w:hAnsi="宋体" w:cs="宋体" w:hint="eastAsia"/>
                <w:kern w:val="0"/>
                <w:sz w:val="20"/>
                <w:szCs w:val="20"/>
              </w:rPr>
              <w:t>.00</w:t>
            </w:r>
          </w:p>
        </w:tc>
        <w:tc>
          <w:tcPr>
            <w:tcW w:w="970" w:type="dxa"/>
            <w:shd w:val="clear" w:color="auto" w:fill="auto"/>
            <w:vAlign w:val="center"/>
            <w:hideMark/>
          </w:tcPr>
          <w:p w14:paraId="55AE4459" w14:textId="288074A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0</w:t>
            </w:r>
            <w:r w:rsidRPr="000306B3">
              <w:rPr>
                <w:rFonts w:ascii="宋体" w:hAnsi="宋体" w:cs="宋体" w:hint="eastAsia"/>
                <w:kern w:val="0"/>
                <w:sz w:val="20"/>
                <w:szCs w:val="20"/>
              </w:rPr>
              <w:t>.00</w:t>
            </w:r>
          </w:p>
        </w:tc>
        <w:tc>
          <w:tcPr>
            <w:tcW w:w="1003" w:type="dxa"/>
            <w:shd w:val="clear" w:color="auto" w:fill="auto"/>
            <w:vAlign w:val="center"/>
            <w:hideMark/>
          </w:tcPr>
          <w:p w14:paraId="1980DB2F" w14:textId="4596416A"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0</w:t>
            </w:r>
            <w:r w:rsidRPr="000306B3">
              <w:rPr>
                <w:rFonts w:ascii="宋体" w:hAnsi="宋体" w:cs="宋体" w:hint="eastAsia"/>
                <w:kern w:val="0"/>
                <w:sz w:val="20"/>
                <w:szCs w:val="20"/>
              </w:rPr>
              <w:t>.00</w:t>
            </w:r>
          </w:p>
        </w:tc>
        <w:tc>
          <w:tcPr>
            <w:tcW w:w="796" w:type="dxa"/>
            <w:shd w:val="clear" w:color="auto" w:fill="auto"/>
            <w:vAlign w:val="center"/>
            <w:hideMark/>
          </w:tcPr>
          <w:p w14:paraId="7F654D2C" w14:textId="2ECE0004"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c>
          <w:tcPr>
            <w:tcW w:w="915" w:type="dxa"/>
            <w:shd w:val="clear" w:color="auto" w:fill="auto"/>
            <w:vAlign w:val="center"/>
            <w:hideMark/>
          </w:tcPr>
          <w:p w14:paraId="6C4E8C8A" w14:textId="3FF0E24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c>
          <w:tcPr>
            <w:tcW w:w="926" w:type="dxa"/>
            <w:shd w:val="clear" w:color="auto" w:fill="auto"/>
            <w:vAlign w:val="center"/>
            <w:hideMark/>
          </w:tcPr>
          <w:p w14:paraId="1C727834" w14:textId="17429E85"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r>
      <w:tr w:rsidR="00BC66C3" w:rsidRPr="00BC66C3" w14:paraId="735512D6" w14:textId="77777777" w:rsidTr="00BC66C3">
        <w:trPr>
          <w:trHeight w:val="879"/>
          <w:jc w:val="center"/>
        </w:trPr>
        <w:tc>
          <w:tcPr>
            <w:tcW w:w="1547" w:type="dxa"/>
            <w:vMerge/>
            <w:vAlign w:val="center"/>
            <w:hideMark/>
          </w:tcPr>
          <w:p w14:paraId="61816EBA" w14:textId="77777777" w:rsidR="00BC66C3" w:rsidRPr="00BC66C3" w:rsidRDefault="00BC66C3" w:rsidP="00BC66C3">
            <w:pPr>
              <w:widowControl/>
              <w:jc w:val="left"/>
              <w:rPr>
                <w:rFonts w:ascii="宋体" w:hAnsi="宋体" w:cs="宋体" w:hint="eastAsia"/>
                <w:kern w:val="0"/>
                <w:sz w:val="20"/>
                <w:szCs w:val="20"/>
              </w:rPr>
            </w:pPr>
          </w:p>
        </w:tc>
        <w:tc>
          <w:tcPr>
            <w:tcW w:w="1199" w:type="dxa"/>
            <w:shd w:val="clear" w:color="auto" w:fill="auto"/>
            <w:vAlign w:val="center"/>
            <w:hideMark/>
          </w:tcPr>
          <w:p w14:paraId="3D81B81A"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合计</w:t>
            </w:r>
          </w:p>
        </w:tc>
        <w:tc>
          <w:tcPr>
            <w:tcW w:w="1166" w:type="dxa"/>
            <w:shd w:val="clear" w:color="auto" w:fill="auto"/>
            <w:vAlign w:val="center"/>
            <w:hideMark/>
          </w:tcPr>
          <w:p w14:paraId="348091D1"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688.71</w:t>
            </w:r>
          </w:p>
        </w:tc>
        <w:tc>
          <w:tcPr>
            <w:tcW w:w="970" w:type="dxa"/>
            <w:shd w:val="clear" w:color="auto" w:fill="auto"/>
            <w:vAlign w:val="center"/>
            <w:hideMark/>
          </w:tcPr>
          <w:p w14:paraId="4366C6A2" w14:textId="30586962"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743.8</w:t>
            </w:r>
            <w:r>
              <w:rPr>
                <w:rFonts w:ascii="宋体" w:hAnsi="宋体" w:cs="宋体" w:hint="eastAsia"/>
                <w:kern w:val="0"/>
                <w:sz w:val="20"/>
                <w:szCs w:val="20"/>
              </w:rPr>
              <w:t>0</w:t>
            </w:r>
          </w:p>
        </w:tc>
        <w:tc>
          <w:tcPr>
            <w:tcW w:w="1003" w:type="dxa"/>
            <w:shd w:val="clear" w:color="auto" w:fill="auto"/>
            <w:vAlign w:val="center"/>
            <w:hideMark/>
          </w:tcPr>
          <w:p w14:paraId="58DF082C"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736.14</w:t>
            </w:r>
          </w:p>
        </w:tc>
        <w:tc>
          <w:tcPr>
            <w:tcW w:w="796" w:type="dxa"/>
            <w:shd w:val="clear" w:color="auto" w:fill="auto"/>
            <w:vAlign w:val="center"/>
            <w:hideMark/>
          </w:tcPr>
          <w:p w14:paraId="7F495938"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c>
          <w:tcPr>
            <w:tcW w:w="915" w:type="dxa"/>
            <w:shd w:val="clear" w:color="auto" w:fill="auto"/>
            <w:vAlign w:val="center"/>
            <w:hideMark/>
          </w:tcPr>
          <w:p w14:paraId="3BF0C65C"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c>
          <w:tcPr>
            <w:tcW w:w="926" w:type="dxa"/>
            <w:shd w:val="clear" w:color="auto" w:fill="auto"/>
            <w:vAlign w:val="center"/>
            <w:hideMark/>
          </w:tcPr>
          <w:p w14:paraId="1EF68B92"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w:t>
            </w:r>
          </w:p>
        </w:tc>
      </w:tr>
      <w:tr w:rsidR="00BC66C3" w:rsidRPr="00BC66C3" w14:paraId="48C23108" w14:textId="77777777" w:rsidTr="00BC66C3">
        <w:trPr>
          <w:trHeight w:val="705"/>
          <w:jc w:val="center"/>
        </w:trPr>
        <w:tc>
          <w:tcPr>
            <w:tcW w:w="1547" w:type="dxa"/>
            <w:vMerge w:val="restart"/>
            <w:shd w:val="clear" w:color="auto" w:fill="auto"/>
            <w:vAlign w:val="center"/>
            <w:hideMark/>
          </w:tcPr>
          <w:p w14:paraId="21C0A1CB"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年度总体目标</w:t>
            </w:r>
          </w:p>
        </w:tc>
        <w:tc>
          <w:tcPr>
            <w:tcW w:w="3335" w:type="dxa"/>
            <w:gridSpan w:val="3"/>
            <w:shd w:val="clear" w:color="auto" w:fill="auto"/>
            <w:noWrap/>
            <w:vAlign w:val="center"/>
            <w:hideMark/>
          </w:tcPr>
          <w:p w14:paraId="760B9A92"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预期目标</w:t>
            </w:r>
          </w:p>
        </w:tc>
        <w:tc>
          <w:tcPr>
            <w:tcW w:w="3640" w:type="dxa"/>
            <w:gridSpan w:val="4"/>
            <w:shd w:val="clear" w:color="auto" w:fill="auto"/>
            <w:noWrap/>
            <w:vAlign w:val="center"/>
            <w:hideMark/>
          </w:tcPr>
          <w:p w14:paraId="3635CB3A"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实际完成情况</w:t>
            </w:r>
          </w:p>
        </w:tc>
      </w:tr>
      <w:tr w:rsidR="00BC66C3" w:rsidRPr="00BC66C3" w14:paraId="23B8166A" w14:textId="77777777" w:rsidTr="00BC66C3">
        <w:trPr>
          <w:trHeight w:val="2001"/>
          <w:jc w:val="center"/>
        </w:trPr>
        <w:tc>
          <w:tcPr>
            <w:tcW w:w="1547" w:type="dxa"/>
            <w:vMerge/>
            <w:vAlign w:val="center"/>
            <w:hideMark/>
          </w:tcPr>
          <w:p w14:paraId="5CDFEC40" w14:textId="77777777" w:rsidR="00BC66C3" w:rsidRPr="00BC66C3" w:rsidRDefault="00BC66C3" w:rsidP="00BC66C3">
            <w:pPr>
              <w:widowControl/>
              <w:jc w:val="left"/>
              <w:rPr>
                <w:rFonts w:ascii="宋体" w:hAnsi="宋体" w:cs="宋体" w:hint="eastAsia"/>
                <w:kern w:val="0"/>
                <w:sz w:val="20"/>
                <w:szCs w:val="20"/>
              </w:rPr>
            </w:pPr>
          </w:p>
        </w:tc>
        <w:tc>
          <w:tcPr>
            <w:tcW w:w="3335" w:type="dxa"/>
            <w:gridSpan w:val="3"/>
            <w:shd w:val="clear" w:color="auto" w:fill="auto"/>
            <w:vAlign w:val="center"/>
            <w:hideMark/>
          </w:tcPr>
          <w:p w14:paraId="1577461E" w14:textId="77777777" w:rsidR="00BC66C3" w:rsidRPr="00BC66C3" w:rsidRDefault="00BC66C3" w:rsidP="00BC66C3">
            <w:pPr>
              <w:widowControl/>
              <w:jc w:val="left"/>
              <w:rPr>
                <w:rFonts w:ascii="宋体" w:hAnsi="宋体" w:cs="宋体" w:hint="eastAsia"/>
                <w:kern w:val="0"/>
                <w:sz w:val="20"/>
                <w:szCs w:val="20"/>
              </w:rPr>
            </w:pPr>
            <w:r w:rsidRPr="00BC66C3">
              <w:rPr>
                <w:rFonts w:ascii="宋体" w:hAnsi="宋体" w:cs="宋体" w:hint="eastAsia"/>
                <w:kern w:val="0"/>
                <w:sz w:val="20"/>
                <w:szCs w:val="20"/>
              </w:rPr>
              <w:t>2023年昌吉市大西渠镇中心幼儿园保障教职工人数72人，发放工资福利688.71万元，经费主要支出方向为人员经费597.83万元，及商品服务类支出90.88万元，保障幼儿人数401人。房屋建筑物供暖面积6418平方米。保障了学校正常运转，完成教育教学活动，持续提高了学校教育教学质量。让家长满意、学生满意、教职工满意，以确保全年目标的顺利完成。</w:t>
            </w:r>
          </w:p>
        </w:tc>
        <w:tc>
          <w:tcPr>
            <w:tcW w:w="3640" w:type="dxa"/>
            <w:gridSpan w:val="4"/>
            <w:shd w:val="clear" w:color="auto" w:fill="auto"/>
            <w:vAlign w:val="center"/>
            <w:hideMark/>
          </w:tcPr>
          <w:p w14:paraId="1BC9B1D6" w14:textId="77777777" w:rsidR="00BC66C3" w:rsidRPr="00BC66C3" w:rsidRDefault="00BC66C3" w:rsidP="00BC66C3">
            <w:pPr>
              <w:widowControl/>
              <w:jc w:val="left"/>
              <w:rPr>
                <w:rFonts w:ascii="宋体" w:hAnsi="宋体" w:cs="宋体" w:hint="eastAsia"/>
                <w:kern w:val="0"/>
                <w:sz w:val="20"/>
                <w:szCs w:val="20"/>
              </w:rPr>
            </w:pPr>
            <w:r w:rsidRPr="00BC66C3">
              <w:rPr>
                <w:rFonts w:ascii="宋体" w:hAnsi="宋体" w:cs="宋体" w:hint="eastAsia"/>
                <w:kern w:val="0"/>
                <w:sz w:val="20"/>
                <w:szCs w:val="20"/>
              </w:rPr>
              <w:t>2023年昌吉市大西渠镇中心幼儿园保障教职工人数72人，发放工资福利736.14万元，经费主要支出方向为人员经费670.34万元，及商品服务类支出65.80万元，保障幼儿人数401人。房屋建筑物供暖面积6418平方米。保障了学校正常运转，完成教育教学活动，持续提高了学校教育教学质量。让家长满意、学生满意、教职工满意，以确保全年目标的顺利完成。</w:t>
            </w:r>
          </w:p>
        </w:tc>
      </w:tr>
      <w:tr w:rsidR="00BC66C3" w:rsidRPr="00BC66C3" w14:paraId="32E5D50D" w14:textId="77777777" w:rsidTr="00BC66C3">
        <w:trPr>
          <w:trHeight w:val="579"/>
          <w:jc w:val="center"/>
        </w:trPr>
        <w:tc>
          <w:tcPr>
            <w:tcW w:w="1547" w:type="dxa"/>
            <w:shd w:val="clear" w:color="auto" w:fill="auto"/>
            <w:vAlign w:val="center"/>
            <w:hideMark/>
          </w:tcPr>
          <w:p w14:paraId="6840B8C5"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一级指标</w:t>
            </w:r>
          </w:p>
        </w:tc>
        <w:tc>
          <w:tcPr>
            <w:tcW w:w="1199" w:type="dxa"/>
            <w:shd w:val="clear" w:color="auto" w:fill="auto"/>
            <w:vAlign w:val="center"/>
            <w:hideMark/>
          </w:tcPr>
          <w:p w14:paraId="15FD5CB9"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二级指标</w:t>
            </w:r>
          </w:p>
        </w:tc>
        <w:tc>
          <w:tcPr>
            <w:tcW w:w="1166" w:type="dxa"/>
            <w:shd w:val="clear" w:color="auto" w:fill="auto"/>
            <w:vAlign w:val="center"/>
            <w:hideMark/>
          </w:tcPr>
          <w:p w14:paraId="33DAE20D"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三级指标</w:t>
            </w:r>
          </w:p>
        </w:tc>
        <w:tc>
          <w:tcPr>
            <w:tcW w:w="970" w:type="dxa"/>
            <w:shd w:val="clear" w:color="auto" w:fill="auto"/>
            <w:vAlign w:val="center"/>
            <w:hideMark/>
          </w:tcPr>
          <w:p w14:paraId="6F1ED314"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预期指标值</w:t>
            </w:r>
          </w:p>
        </w:tc>
        <w:tc>
          <w:tcPr>
            <w:tcW w:w="1003" w:type="dxa"/>
            <w:shd w:val="clear" w:color="auto" w:fill="auto"/>
            <w:vAlign w:val="center"/>
            <w:hideMark/>
          </w:tcPr>
          <w:p w14:paraId="0C94959D"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指标值设定依据</w:t>
            </w:r>
          </w:p>
        </w:tc>
        <w:tc>
          <w:tcPr>
            <w:tcW w:w="796" w:type="dxa"/>
            <w:shd w:val="clear" w:color="auto" w:fill="auto"/>
            <w:vAlign w:val="center"/>
            <w:hideMark/>
          </w:tcPr>
          <w:p w14:paraId="3B3C5884"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分值权重</w:t>
            </w:r>
          </w:p>
        </w:tc>
        <w:tc>
          <w:tcPr>
            <w:tcW w:w="915" w:type="dxa"/>
            <w:shd w:val="clear" w:color="auto" w:fill="auto"/>
            <w:vAlign w:val="center"/>
            <w:hideMark/>
          </w:tcPr>
          <w:p w14:paraId="151C8770"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实际完成指标值</w:t>
            </w:r>
          </w:p>
        </w:tc>
        <w:tc>
          <w:tcPr>
            <w:tcW w:w="926" w:type="dxa"/>
            <w:shd w:val="clear" w:color="auto" w:fill="auto"/>
            <w:vAlign w:val="center"/>
            <w:hideMark/>
          </w:tcPr>
          <w:p w14:paraId="0284921B"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得分</w:t>
            </w:r>
          </w:p>
        </w:tc>
      </w:tr>
      <w:tr w:rsidR="00BC66C3" w:rsidRPr="00BC66C3" w14:paraId="4597253E" w14:textId="77777777" w:rsidTr="00BC66C3">
        <w:trPr>
          <w:trHeight w:val="741"/>
          <w:jc w:val="center"/>
        </w:trPr>
        <w:tc>
          <w:tcPr>
            <w:tcW w:w="1547" w:type="dxa"/>
            <w:vMerge w:val="restart"/>
            <w:shd w:val="clear" w:color="auto" w:fill="auto"/>
            <w:vAlign w:val="center"/>
            <w:hideMark/>
          </w:tcPr>
          <w:p w14:paraId="362B12E4"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运行成本</w:t>
            </w:r>
          </w:p>
        </w:tc>
        <w:tc>
          <w:tcPr>
            <w:tcW w:w="1199" w:type="dxa"/>
            <w:vMerge w:val="restart"/>
            <w:shd w:val="clear" w:color="auto" w:fill="auto"/>
            <w:vAlign w:val="center"/>
            <w:hideMark/>
          </w:tcPr>
          <w:p w14:paraId="2D808407"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数量指标</w:t>
            </w:r>
          </w:p>
        </w:tc>
        <w:tc>
          <w:tcPr>
            <w:tcW w:w="1166" w:type="dxa"/>
            <w:shd w:val="clear" w:color="auto" w:fill="auto"/>
            <w:vAlign w:val="center"/>
            <w:hideMark/>
          </w:tcPr>
          <w:p w14:paraId="3655DA28"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保障办公人员数量</w:t>
            </w:r>
          </w:p>
        </w:tc>
        <w:tc>
          <w:tcPr>
            <w:tcW w:w="970" w:type="dxa"/>
            <w:shd w:val="clear" w:color="auto" w:fill="auto"/>
            <w:vAlign w:val="center"/>
            <w:hideMark/>
          </w:tcPr>
          <w:p w14:paraId="169F13AA"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&gt;=72人</w:t>
            </w:r>
          </w:p>
        </w:tc>
        <w:tc>
          <w:tcPr>
            <w:tcW w:w="1003" w:type="dxa"/>
            <w:shd w:val="clear" w:color="auto" w:fill="auto"/>
            <w:vAlign w:val="center"/>
            <w:hideMark/>
          </w:tcPr>
          <w:p w14:paraId="6FC22025"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三定方案</w:t>
            </w:r>
          </w:p>
        </w:tc>
        <w:tc>
          <w:tcPr>
            <w:tcW w:w="796" w:type="dxa"/>
            <w:shd w:val="clear" w:color="auto" w:fill="auto"/>
            <w:vAlign w:val="center"/>
            <w:hideMark/>
          </w:tcPr>
          <w:p w14:paraId="05581EE9"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13</w:t>
            </w:r>
          </w:p>
        </w:tc>
        <w:tc>
          <w:tcPr>
            <w:tcW w:w="915" w:type="dxa"/>
            <w:shd w:val="clear" w:color="auto" w:fill="auto"/>
            <w:vAlign w:val="center"/>
            <w:hideMark/>
          </w:tcPr>
          <w:p w14:paraId="20A680AD"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72人</w:t>
            </w:r>
          </w:p>
        </w:tc>
        <w:tc>
          <w:tcPr>
            <w:tcW w:w="926" w:type="dxa"/>
            <w:shd w:val="clear" w:color="auto" w:fill="auto"/>
            <w:vAlign w:val="center"/>
            <w:hideMark/>
          </w:tcPr>
          <w:p w14:paraId="2EA330E2"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13</w:t>
            </w:r>
          </w:p>
        </w:tc>
      </w:tr>
      <w:tr w:rsidR="00BC66C3" w:rsidRPr="00BC66C3" w14:paraId="211C9621" w14:textId="77777777" w:rsidTr="00BC66C3">
        <w:trPr>
          <w:trHeight w:val="741"/>
          <w:jc w:val="center"/>
        </w:trPr>
        <w:tc>
          <w:tcPr>
            <w:tcW w:w="1547" w:type="dxa"/>
            <w:vMerge/>
            <w:vAlign w:val="center"/>
            <w:hideMark/>
          </w:tcPr>
          <w:p w14:paraId="527C9EE1" w14:textId="77777777" w:rsidR="00BC66C3" w:rsidRPr="00BC66C3" w:rsidRDefault="00BC66C3" w:rsidP="00BC66C3">
            <w:pPr>
              <w:widowControl/>
              <w:jc w:val="left"/>
              <w:rPr>
                <w:rFonts w:ascii="宋体" w:hAnsi="宋体" w:cs="宋体" w:hint="eastAsia"/>
                <w:kern w:val="0"/>
                <w:sz w:val="20"/>
                <w:szCs w:val="20"/>
              </w:rPr>
            </w:pPr>
          </w:p>
        </w:tc>
        <w:tc>
          <w:tcPr>
            <w:tcW w:w="1199" w:type="dxa"/>
            <w:vMerge/>
            <w:vAlign w:val="center"/>
            <w:hideMark/>
          </w:tcPr>
          <w:p w14:paraId="11E7F209" w14:textId="77777777" w:rsidR="00BC66C3" w:rsidRPr="00BC66C3" w:rsidRDefault="00BC66C3" w:rsidP="00BC66C3">
            <w:pPr>
              <w:widowControl/>
              <w:jc w:val="left"/>
              <w:rPr>
                <w:rFonts w:ascii="宋体" w:hAnsi="宋体" w:cs="宋体" w:hint="eastAsia"/>
                <w:kern w:val="0"/>
                <w:sz w:val="20"/>
                <w:szCs w:val="20"/>
              </w:rPr>
            </w:pPr>
          </w:p>
        </w:tc>
        <w:tc>
          <w:tcPr>
            <w:tcW w:w="1166" w:type="dxa"/>
            <w:shd w:val="clear" w:color="auto" w:fill="auto"/>
            <w:vAlign w:val="center"/>
            <w:hideMark/>
          </w:tcPr>
          <w:p w14:paraId="0A3D0403"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房屋建筑物供暖面积</w:t>
            </w:r>
          </w:p>
        </w:tc>
        <w:tc>
          <w:tcPr>
            <w:tcW w:w="970" w:type="dxa"/>
            <w:shd w:val="clear" w:color="auto" w:fill="auto"/>
            <w:vAlign w:val="center"/>
            <w:hideMark/>
          </w:tcPr>
          <w:p w14:paraId="61CF982B"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&gt;=6418平方米</w:t>
            </w:r>
          </w:p>
        </w:tc>
        <w:tc>
          <w:tcPr>
            <w:tcW w:w="1003" w:type="dxa"/>
            <w:shd w:val="clear" w:color="auto" w:fill="auto"/>
            <w:vAlign w:val="center"/>
            <w:hideMark/>
          </w:tcPr>
          <w:p w14:paraId="740D827C"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采暖合同</w:t>
            </w:r>
          </w:p>
        </w:tc>
        <w:tc>
          <w:tcPr>
            <w:tcW w:w="796" w:type="dxa"/>
            <w:shd w:val="clear" w:color="auto" w:fill="auto"/>
            <w:vAlign w:val="center"/>
            <w:hideMark/>
          </w:tcPr>
          <w:p w14:paraId="4553B938"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13</w:t>
            </w:r>
          </w:p>
        </w:tc>
        <w:tc>
          <w:tcPr>
            <w:tcW w:w="915" w:type="dxa"/>
            <w:shd w:val="clear" w:color="auto" w:fill="auto"/>
            <w:vAlign w:val="center"/>
            <w:hideMark/>
          </w:tcPr>
          <w:p w14:paraId="37F58205"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6418平方米</w:t>
            </w:r>
          </w:p>
        </w:tc>
        <w:tc>
          <w:tcPr>
            <w:tcW w:w="926" w:type="dxa"/>
            <w:shd w:val="clear" w:color="auto" w:fill="auto"/>
            <w:vAlign w:val="center"/>
            <w:hideMark/>
          </w:tcPr>
          <w:p w14:paraId="6089CA23"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13</w:t>
            </w:r>
          </w:p>
        </w:tc>
      </w:tr>
      <w:tr w:rsidR="00BC66C3" w:rsidRPr="00BC66C3" w14:paraId="1A5A6AF7" w14:textId="77777777" w:rsidTr="00BC66C3">
        <w:trPr>
          <w:trHeight w:val="741"/>
          <w:jc w:val="center"/>
        </w:trPr>
        <w:tc>
          <w:tcPr>
            <w:tcW w:w="1547" w:type="dxa"/>
            <w:vMerge/>
            <w:vAlign w:val="center"/>
            <w:hideMark/>
          </w:tcPr>
          <w:p w14:paraId="60B83BAA" w14:textId="77777777" w:rsidR="00BC66C3" w:rsidRPr="00BC66C3" w:rsidRDefault="00BC66C3" w:rsidP="00BC66C3">
            <w:pPr>
              <w:widowControl/>
              <w:jc w:val="left"/>
              <w:rPr>
                <w:rFonts w:ascii="宋体" w:hAnsi="宋体" w:cs="宋体" w:hint="eastAsia"/>
                <w:kern w:val="0"/>
                <w:sz w:val="20"/>
                <w:szCs w:val="20"/>
              </w:rPr>
            </w:pPr>
          </w:p>
        </w:tc>
        <w:tc>
          <w:tcPr>
            <w:tcW w:w="1199" w:type="dxa"/>
            <w:shd w:val="clear" w:color="auto" w:fill="auto"/>
            <w:vAlign w:val="center"/>
            <w:hideMark/>
          </w:tcPr>
          <w:p w14:paraId="16D5D422"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时效指标</w:t>
            </w:r>
          </w:p>
        </w:tc>
        <w:tc>
          <w:tcPr>
            <w:tcW w:w="1166" w:type="dxa"/>
            <w:shd w:val="clear" w:color="auto" w:fill="auto"/>
            <w:vAlign w:val="center"/>
            <w:hideMark/>
          </w:tcPr>
          <w:p w14:paraId="2437DAFE"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公用经费支付及时率</w:t>
            </w:r>
          </w:p>
        </w:tc>
        <w:tc>
          <w:tcPr>
            <w:tcW w:w="970" w:type="dxa"/>
            <w:shd w:val="clear" w:color="auto" w:fill="auto"/>
            <w:vAlign w:val="center"/>
            <w:hideMark/>
          </w:tcPr>
          <w:p w14:paraId="0DD9166C"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&gt;=95%</w:t>
            </w:r>
          </w:p>
        </w:tc>
        <w:tc>
          <w:tcPr>
            <w:tcW w:w="1003" w:type="dxa"/>
            <w:shd w:val="clear" w:color="auto" w:fill="auto"/>
            <w:vAlign w:val="center"/>
            <w:hideMark/>
          </w:tcPr>
          <w:p w14:paraId="5C3DE009"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资金管理办法</w:t>
            </w:r>
          </w:p>
        </w:tc>
        <w:tc>
          <w:tcPr>
            <w:tcW w:w="796" w:type="dxa"/>
            <w:shd w:val="clear" w:color="auto" w:fill="auto"/>
            <w:vAlign w:val="center"/>
            <w:hideMark/>
          </w:tcPr>
          <w:p w14:paraId="4CC898F4"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13</w:t>
            </w:r>
          </w:p>
        </w:tc>
        <w:tc>
          <w:tcPr>
            <w:tcW w:w="915" w:type="dxa"/>
            <w:shd w:val="clear" w:color="auto" w:fill="auto"/>
            <w:vAlign w:val="center"/>
            <w:hideMark/>
          </w:tcPr>
          <w:p w14:paraId="46A0A0C2"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95%</w:t>
            </w:r>
          </w:p>
        </w:tc>
        <w:tc>
          <w:tcPr>
            <w:tcW w:w="926" w:type="dxa"/>
            <w:shd w:val="clear" w:color="auto" w:fill="auto"/>
            <w:vAlign w:val="center"/>
            <w:hideMark/>
          </w:tcPr>
          <w:p w14:paraId="1B43FD55"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13</w:t>
            </w:r>
          </w:p>
        </w:tc>
      </w:tr>
      <w:tr w:rsidR="00BC66C3" w:rsidRPr="00BC66C3" w14:paraId="3D840209" w14:textId="77777777" w:rsidTr="00BC66C3">
        <w:trPr>
          <w:trHeight w:val="741"/>
          <w:jc w:val="center"/>
        </w:trPr>
        <w:tc>
          <w:tcPr>
            <w:tcW w:w="1547" w:type="dxa"/>
            <w:vMerge w:val="restart"/>
            <w:shd w:val="clear" w:color="auto" w:fill="auto"/>
            <w:vAlign w:val="center"/>
            <w:hideMark/>
          </w:tcPr>
          <w:p w14:paraId="19C64B57"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管理效率</w:t>
            </w:r>
          </w:p>
        </w:tc>
        <w:tc>
          <w:tcPr>
            <w:tcW w:w="1199" w:type="dxa"/>
            <w:shd w:val="clear" w:color="auto" w:fill="auto"/>
            <w:vAlign w:val="center"/>
            <w:hideMark/>
          </w:tcPr>
          <w:p w14:paraId="674518A0"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质量指标</w:t>
            </w:r>
          </w:p>
        </w:tc>
        <w:tc>
          <w:tcPr>
            <w:tcW w:w="1166" w:type="dxa"/>
            <w:shd w:val="clear" w:color="auto" w:fill="auto"/>
            <w:vAlign w:val="center"/>
            <w:hideMark/>
          </w:tcPr>
          <w:p w14:paraId="60CEB207"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资金使用合规率</w:t>
            </w:r>
          </w:p>
        </w:tc>
        <w:tc>
          <w:tcPr>
            <w:tcW w:w="970" w:type="dxa"/>
            <w:shd w:val="clear" w:color="auto" w:fill="auto"/>
            <w:vAlign w:val="center"/>
            <w:hideMark/>
          </w:tcPr>
          <w:p w14:paraId="749092B4"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=100%</w:t>
            </w:r>
          </w:p>
        </w:tc>
        <w:tc>
          <w:tcPr>
            <w:tcW w:w="1003" w:type="dxa"/>
            <w:shd w:val="clear" w:color="auto" w:fill="auto"/>
            <w:vAlign w:val="center"/>
            <w:hideMark/>
          </w:tcPr>
          <w:p w14:paraId="6958ED43"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资金管理办法</w:t>
            </w:r>
          </w:p>
        </w:tc>
        <w:tc>
          <w:tcPr>
            <w:tcW w:w="796" w:type="dxa"/>
            <w:shd w:val="clear" w:color="auto" w:fill="auto"/>
            <w:vAlign w:val="center"/>
            <w:hideMark/>
          </w:tcPr>
          <w:p w14:paraId="13931682"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12</w:t>
            </w:r>
          </w:p>
        </w:tc>
        <w:tc>
          <w:tcPr>
            <w:tcW w:w="915" w:type="dxa"/>
            <w:shd w:val="clear" w:color="auto" w:fill="auto"/>
            <w:vAlign w:val="center"/>
            <w:hideMark/>
          </w:tcPr>
          <w:p w14:paraId="0CD333AD"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100%</w:t>
            </w:r>
          </w:p>
        </w:tc>
        <w:tc>
          <w:tcPr>
            <w:tcW w:w="926" w:type="dxa"/>
            <w:shd w:val="clear" w:color="auto" w:fill="auto"/>
            <w:vAlign w:val="center"/>
            <w:hideMark/>
          </w:tcPr>
          <w:p w14:paraId="1D721B0A"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12</w:t>
            </w:r>
          </w:p>
        </w:tc>
      </w:tr>
      <w:tr w:rsidR="00BC66C3" w:rsidRPr="00BC66C3" w14:paraId="5D2C2FDF" w14:textId="77777777" w:rsidTr="00BC66C3">
        <w:trPr>
          <w:trHeight w:val="741"/>
          <w:jc w:val="center"/>
        </w:trPr>
        <w:tc>
          <w:tcPr>
            <w:tcW w:w="1547" w:type="dxa"/>
            <w:vMerge/>
            <w:vAlign w:val="center"/>
            <w:hideMark/>
          </w:tcPr>
          <w:p w14:paraId="0C4EDDFA" w14:textId="77777777" w:rsidR="00BC66C3" w:rsidRPr="00BC66C3" w:rsidRDefault="00BC66C3" w:rsidP="00BC66C3">
            <w:pPr>
              <w:widowControl/>
              <w:jc w:val="left"/>
              <w:rPr>
                <w:rFonts w:ascii="宋体" w:hAnsi="宋体" w:cs="宋体" w:hint="eastAsia"/>
                <w:kern w:val="0"/>
                <w:sz w:val="20"/>
                <w:szCs w:val="20"/>
              </w:rPr>
            </w:pPr>
          </w:p>
        </w:tc>
        <w:tc>
          <w:tcPr>
            <w:tcW w:w="1199" w:type="dxa"/>
            <w:shd w:val="clear" w:color="auto" w:fill="auto"/>
            <w:vAlign w:val="center"/>
            <w:hideMark/>
          </w:tcPr>
          <w:p w14:paraId="48A676F8"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时效指标</w:t>
            </w:r>
          </w:p>
        </w:tc>
        <w:tc>
          <w:tcPr>
            <w:tcW w:w="1166" w:type="dxa"/>
            <w:shd w:val="clear" w:color="auto" w:fill="auto"/>
            <w:vAlign w:val="center"/>
            <w:hideMark/>
          </w:tcPr>
          <w:p w14:paraId="352ED5F2"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年度工作任务按时完成率</w:t>
            </w:r>
          </w:p>
        </w:tc>
        <w:tc>
          <w:tcPr>
            <w:tcW w:w="970" w:type="dxa"/>
            <w:shd w:val="clear" w:color="auto" w:fill="auto"/>
            <w:vAlign w:val="center"/>
            <w:hideMark/>
          </w:tcPr>
          <w:p w14:paraId="60D27430"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&gt;=95%</w:t>
            </w:r>
          </w:p>
        </w:tc>
        <w:tc>
          <w:tcPr>
            <w:tcW w:w="1003" w:type="dxa"/>
            <w:shd w:val="clear" w:color="auto" w:fill="auto"/>
            <w:vAlign w:val="center"/>
            <w:hideMark/>
          </w:tcPr>
          <w:p w14:paraId="04C03606"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年度工作计划</w:t>
            </w:r>
          </w:p>
        </w:tc>
        <w:tc>
          <w:tcPr>
            <w:tcW w:w="796" w:type="dxa"/>
            <w:shd w:val="clear" w:color="auto" w:fill="auto"/>
            <w:vAlign w:val="center"/>
            <w:hideMark/>
          </w:tcPr>
          <w:p w14:paraId="5CE53CD3"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13</w:t>
            </w:r>
          </w:p>
        </w:tc>
        <w:tc>
          <w:tcPr>
            <w:tcW w:w="915" w:type="dxa"/>
            <w:shd w:val="clear" w:color="auto" w:fill="auto"/>
            <w:vAlign w:val="center"/>
            <w:hideMark/>
          </w:tcPr>
          <w:p w14:paraId="615B50C7"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95%</w:t>
            </w:r>
          </w:p>
        </w:tc>
        <w:tc>
          <w:tcPr>
            <w:tcW w:w="926" w:type="dxa"/>
            <w:shd w:val="clear" w:color="auto" w:fill="auto"/>
            <w:vAlign w:val="center"/>
            <w:hideMark/>
          </w:tcPr>
          <w:p w14:paraId="0736D23D"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13</w:t>
            </w:r>
          </w:p>
        </w:tc>
      </w:tr>
      <w:tr w:rsidR="00BC66C3" w:rsidRPr="00BC66C3" w14:paraId="47A887DF" w14:textId="77777777" w:rsidTr="00BC66C3">
        <w:trPr>
          <w:trHeight w:val="741"/>
          <w:jc w:val="center"/>
        </w:trPr>
        <w:tc>
          <w:tcPr>
            <w:tcW w:w="1547" w:type="dxa"/>
            <w:vMerge w:val="restart"/>
            <w:shd w:val="clear" w:color="auto" w:fill="auto"/>
            <w:vAlign w:val="center"/>
            <w:hideMark/>
          </w:tcPr>
          <w:p w14:paraId="03356352"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履职效能</w:t>
            </w:r>
          </w:p>
        </w:tc>
        <w:tc>
          <w:tcPr>
            <w:tcW w:w="1199" w:type="dxa"/>
            <w:shd w:val="clear" w:color="auto" w:fill="auto"/>
            <w:vAlign w:val="center"/>
            <w:hideMark/>
          </w:tcPr>
          <w:p w14:paraId="322FE415"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数量指标</w:t>
            </w:r>
          </w:p>
        </w:tc>
        <w:tc>
          <w:tcPr>
            <w:tcW w:w="1166" w:type="dxa"/>
            <w:shd w:val="clear" w:color="auto" w:fill="auto"/>
            <w:vAlign w:val="center"/>
            <w:hideMark/>
          </w:tcPr>
          <w:p w14:paraId="724DC24F"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享受学前教育资助的幼儿人数</w:t>
            </w:r>
          </w:p>
        </w:tc>
        <w:tc>
          <w:tcPr>
            <w:tcW w:w="970" w:type="dxa"/>
            <w:shd w:val="clear" w:color="auto" w:fill="auto"/>
            <w:vAlign w:val="center"/>
            <w:hideMark/>
          </w:tcPr>
          <w:p w14:paraId="2C2448E3"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=401人</w:t>
            </w:r>
          </w:p>
        </w:tc>
        <w:tc>
          <w:tcPr>
            <w:tcW w:w="1003" w:type="dxa"/>
            <w:shd w:val="clear" w:color="auto" w:fill="auto"/>
            <w:vAlign w:val="center"/>
            <w:hideMark/>
          </w:tcPr>
          <w:p w14:paraId="070CED6E"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年度工作计划</w:t>
            </w:r>
          </w:p>
        </w:tc>
        <w:tc>
          <w:tcPr>
            <w:tcW w:w="796" w:type="dxa"/>
            <w:shd w:val="clear" w:color="auto" w:fill="auto"/>
            <w:vAlign w:val="center"/>
            <w:hideMark/>
          </w:tcPr>
          <w:p w14:paraId="15FD5AF2"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13</w:t>
            </w:r>
          </w:p>
        </w:tc>
        <w:tc>
          <w:tcPr>
            <w:tcW w:w="915" w:type="dxa"/>
            <w:shd w:val="clear" w:color="auto" w:fill="auto"/>
            <w:vAlign w:val="center"/>
            <w:hideMark/>
          </w:tcPr>
          <w:p w14:paraId="3396C26B"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401人</w:t>
            </w:r>
          </w:p>
        </w:tc>
        <w:tc>
          <w:tcPr>
            <w:tcW w:w="926" w:type="dxa"/>
            <w:shd w:val="clear" w:color="auto" w:fill="auto"/>
            <w:vAlign w:val="center"/>
            <w:hideMark/>
          </w:tcPr>
          <w:p w14:paraId="39AD47CE" w14:textId="77777777" w:rsidR="00BC66C3" w:rsidRPr="00BC66C3" w:rsidRDefault="00BC66C3" w:rsidP="00BC66C3">
            <w:pPr>
              <w:widowControl/>
              <w:jc w:val="center"/>
              <w:rPr>
                <w:rFonts w:ascii="宋体" w:hAnsi="宋体" w:cs="宋体" w:hint="eastAsia"/>
                <w:kern w:val="0"/>
                <w:sz w:val="20"/>
                <w:szCs w:val="20"/>
              </w:rPr>
            </w:pPr>
            <w:r w:rsidRPr="00BC66C3">
              <w:rPr>
                <w:rFonts w:ascii="宋体" w:hAnsi="宋体" w:cs="宋体" w:hint="eastAsia"/>
                <w:kern w:val="0"/>
                <w:sz w:val="20"/>
                <w:szCs w:val="20"/>
              </w:rPr>
              <w:t>13</w:t>
            </w:r>
          </w:p>
        </w:tc>
      </w:tr>
      <w:tr w:rsidR="00BC66C3" w:rsidRPr="00BC66C3" w14:paraId="00D912C7" w14:textId="77777777" w:rsidTr="00BC66C3">
        <w:trPr>
          <w:trHeight w:val="741"/>
          <w:jc w:val="center"/>
        </w:trPr>
        <w:tc>
          <w:tcPr>
            <w:tcW w:w="1547" w:type="dxa"/>
            <w:vMerge/>
            <w:vAlign w:val="center"/>
            <w:hideMark/>
          </w:tcPr>
          <w:p w14:paraId="27714E47" w14:textId="77777777" w:rsidR="00BC66C3" w:rsidRPr="00BC66C3" w:rsidRDefault="00BC66C3" w:rsidP="00BC66C3">
            <w:pPr>
              <w:widowControl/>
              <w:jc w:val="left"/>
              <w:rPr>
                <w:rFonts w:ascii="宋体" w:hAnsi="宋体" w:cs="宋体" w:hint="eastAsia"/>
                <w:kern w:val="0"/>
                <w:sz w:val="20"/>
                <w:szCs w:val="20"/>
              </w:rPr>
            </w:pPr>
          </w:p>
        </w:tc>
        <w:tc>
          <w:tcPr>
            <w:tcW w:w="1199" w:type="dxa"/>
            <w:shd w:val="clear" w:color="auto" w:fill="auto"/>
            <w:noWrap/>
            <w:vAlign w:val="center"/>
            <w:hideMark/>
          </w:tcPr>
          <w:p w14:paraId="40D4D295" w14:textId="77777777" w:rsidR="00BC66C3" w:rsidRPr="00BC66C3" w:rsidRDefault="00BC66C3" w:rsidP="00BC66C3">
            <w:pPr>
              <w:widowControl/>
              <w:jc w:val="left"/>
              <w:rPr>
                <w:rFonts w:ascii="宋体" w:hAnsi="宋体" w:cs="宋体" w:hint="eastAsia"/>
                <w:kern w:val="0"/>
                <w:sz w:val="20"/>
                <w:szCs w:val="20"/>
              </w:rPr>
            </w:pPr>
            <w:r w:rsidRPr="00BC66C3">
              <w:rPr>
                <w:rFonts w:ascii="宋体" w:hAnsi="宋体" w:cs="宋体" w:hint="eastAsia"/>
                <w:kern w:val="0"/>
                <w:sz w:val="20"/>
                <w:szCs w:val="20"/>
              </w:rPr>
              <w:t>质量指标</w:t>
            </w:r>
          </w:p>
        </w:tc>
        <w:tc>
          <w:tcPr>
            <w:tcW w:w="1166" w:type="dxa"/>
            <w:shd w:val="clear" w:color="auto" w:fill="auto"/>
            <w:noWrap/>
            <w:vAlign w:val="center"/>
            <w:hideMark/>
          </w:tcPr>
          <w:p w14:paraId="3F9F8156" w14:textId="77777777" w:rsidR="00BC66C3" w:rsidRPr="00BC66C3" w:rsidRDefault="00BC66C3" w:rsidP="00BC66C3">
            <w:pPr>
              <w:widowControl/>
              <w:jc w:val="left"/>
              <w:rPr>
                <w:rFonts w:ascii="宋体" w:hAnsi="宋体" w:cs="宋体" w:hint="eastAsia"/>
                <w:kern w:val="0"/>
                <w:sz w:val="20"/>
                <w:szCs w:val="20"/>
              </w:rPr>
            </w:pPr>
            <w:r w:rsidRPr="00BC66C3">
              <w:rPr>
                <w:rFonts w:ascii="宋体" w:hAnsi="宋体" w:cs="宋体" w:hint="eastAsia"/>
                <w:kern w:val="0"/>
                <w:sz w:val="20"/>
                <w:szCs w:val="20"/>
              </w:rPr>
              <w:t>入学覆盖率</w:t>
            </w:r>
          </w:p>
        </w:tc>
        <w:tc>
          <w:tcPr>
            <w:tcW w:w="970" w:type="dxa"/>
            <w:shd w:val="clear" w:color="auto" w:fill="auto"/>
            <w:noWrap/>
            <w:vAlign w:val="center"/>
            <w:hideMark/>
          </w:tcPr>
          <w:p w14:paraId="65318699" w14:textId="77777777" w:rsidR="00BC66C3" w:rsidRPr="00BC66C3" w:rsidRDefault="00BC66C3" w:rsidP="00BC66C3">
            <w:pPr>
              <w:widowControl/>
              <w:jc w:val="left"/>
              <w:rPr>
                <w:rFonts w:ascii="宋体" w:hAnsi="宋体" w:cs="宋体" w:hint="eastAsia"/>
                <w:kern w:val="0"/>
                <w:sz w:val="20"/>
                <w:szCs w:val="20"/>
              </w:rPr>
            </w:pPr>
            <w:r w:rsidRPr="00BC66C3">
              <w:rPr>
                <w:rFonts w:ascii="宋体" w:hAnsi="宋体" w:cs="宋体" w:hint="eastAsia"/>
                <w:kern w:val="0"/>
                <w:sz w:val="20"/>
                <w:szCs w:val="20"/>
              </w:rPr>
              <w:t>&gt;=95%</w:t>
            </w:r>
          </w:p>
        </w:tc>
        <w:tc>
          <w:tcPr>
            <w:tcW w:w="1003" w:type="dxa"/>
            <w:shd w:val="clear" w:color="auto" w:fill="auto"/>
            <w:noWrap/>
            <w:vAlign w:val="center"/>
            <w:hideMark/>
          </w:tcPr>
          <w:p w14:paraId="38058AED" w14:textId="77777777" w:rsidR="00BC66C3" w:rsidRPr="00BC66C3" w:rsidRDefault="00BC66C3" w:rsidP="00BC66C3">
            <w:pPr>
              <w:widowControl/>
              <w:jc w:val="left"/>
              <w:rPr>
                <w:rFonts w:ascii="宋体" w:hAnsi="宋体" w:cs="宋体" w:hint="eastAsia"/>
                <w:kern w:val="0"/>
                <w:sz w:val="20"/>
                <w:szCs w:val="20"/>
              </w:rPr>
            </w:pPr>
            <w:r w:rsidRPr="00BC66C3">
              <w:rPr>
                <w:rFonts w:ascii="宋体" w:hAnsi="宋体" w:cs="宋体" w:hint="eastAsia"/>
                <w:kern w:val="0"/>
                <w:sz w:val="20"/>
                <w:szCs w:val="20"/>
              </w:rPr>
              <w:t>年度工作计划</w:t>
            </w:r>
          </w:p>
        </w:tc>
        <w:tc>
          <w:tcPr>
            <w:tcW w:w="796" w:type="dxa"/>
            <w:shd w:val="clear" w:color="auto" w:fill="auto"/>
            <w:noWrap/>
            <w:vAlign w:val="center"/>
            <w:hideMark/>
          </w:tcPr>
          <w:p w14:paraId="47AF7CCA" w14:textId="77777777" w:rsidR="00BC66C3" w:rsidRPr="00BC66C3" w:rsidRDefault="00BC66C3" w:rsidP="00BC66C3">
            <w:pPr>
              <w:widowControl/>
              <w:jc w:val="left"/>
              <w:rPr>
                <w:rFonts w:ascii="宋体" w:hAnsi="宋体" w:cs="宋体" w:hint="eastAsia"/>
                <w:kern w:val="0"/>
                <w:sz w:val="20"/>
                <w:szCs w:val="20"/>
              </w:rPr>
            </w:pPr>
            <w:r w:rsidRPr="00BC66C3">
              <w:rPr>
                <w:rFonts w:ascii="宋体" w:hAnsi="宋体" w:cs="宋体" w:hint="eastAsia"/>
                <w:kern w:val="0"/>
                <w:sz w:val="20"/>
                <w:szCs w:val="20"/>
              </w:rPr>
              <w:t>13</w:t>
            </w:r>
          </w:p>
        </w:tc>
        <w:tc>
          <w:tcPr>
            <w:tcW w:w="915" w:type="dxa"/>
            <w:shd w:val="clear" w:color="auto" w:fill="auto"/>
            <w:noWrap/>
            <w:vAlign w:val="center"/>
            <w:hideMark/>
          </w:tcPr>
          <w:p w14:paraId="3253314B" w14:textId="77777777" w:rsidR="00BC66C3" w:rsidRPr="00BC66C3" w:rsidRDefault="00BC66C3" w:rsidP="00BC66C3">
            <w:pPr>
              <w:widowControl/>
              <w:jc w:val="left"/>
              <w:rPr>
                <w:rFonts w:ascii="宋体" w:hAnsi="宋体" w:cs="宋体" w:hint="eastAsia"/>
                <w:kern w:val="0"/>
                <w:sz w:val="20"/>
                <w:szCs w:val="20"/>
              </w:rPr>
            </w:pPr>
            <w:r w:rsidRPr="00BC66C3">
              <w:rPr>
                <w:rFonts w:ascii="宋体" w:hAnsi="宋体" w:cs="宋体" w:hint="eastAsia"/>
                <w:kern w:val="0"/>
                <w:sz w:val="20"/>
                <w:szCs w:val="20"/>
              </w:rPr>
              <w:t>95%</w:t>
            </w:r>
          </w:p>
        </w:tc>
        <w:tc>
          <w:tcPr>
            <w:tcW w:w="926" w:type="dxa"/>
            <w:shd w:val="clear" w:color="auto" w:fill="auto"/>
            <w:noWrap/>
            <w:vAlign w:val="center"/>
            <w:hideMark/>
          </w:tcPr>
          <w:p w14:paraId="3C96D0E7" w14:textId="77777777" w:rsidR="00BC66C3" w:rsidRPr="00BC66C3" w:rsidRDefault="00BC66C3" w:rsidP="00BC66C3">
            <w:pPr>
              <w:widowControl/>
              <w:jc w:val="left"/>
              <w:rPr>
                <w:rFonts w:ascii="宋体" w:hAnsi="宋体" w:cs="宋体" w:hint="eastAsia"/>
                <w:kern w:val="0"/>
                <w:sz w:val="20"/>
                <w:szCs w:val="20"/>
              </w:rPr>
            </w:pPr>
            <w:r w:rsidRPr="00BC66C3">
              <w:rPr>
                <w:rFonts w:ascii="宋体" w:hAnsi="宋体" w:cs="宋体" w:hint="eastAsia"/>
                <w:kern w:val="0"/>
                <w:sz w:val="20"/>
                <w:szCs w:val="20"/>
              </w:rPr>
              <w:t>13</w:t>
            </w:r>
          </w:p>
        </w:tc>
      </w:tr>
      <w:tr w:rsidR="00BC66C3" w:rsidRPr="00BC66C3" w14:paraId="34F824B8" w14:textId="77777777" w:rsidTr="00BC66C3">
        <w:trPr>
          <w:trHeight w:val="741"/>
          <w:jc w:val="center"/>
        </w:trPr>
        <w:tc>
          <w:tcPr>
            <w:tcW w:w="1547" w:type="dxa"/>
            <w:shd w:val="clear" w:color="auto" w:fill="auto"/>
            <w:noWrap/>
            <w:vAlign w:val="center"/>
            <w:hideMark/>
          </w:tcPr>
          <w:p w14:paraId="22B1FC24" w14:textId="77777777" w:rsidR="00BC66C3" w:rsidRPr="00BC66C3" w:rsidRDefault="00BC66C3" w:rsidP="00BC66C3">
            <w:pPr>
              <w:widowControl/>
              <w:jc w:val="left"/>
              <w:rPr>
                <w:rFonts w:ascii="宋体" w:hAnsi="宋体" w:cs="宋体" w:hint="eastAsia"/>
                <w:kern w:val="0"/>
                <w:sz w:val="20"/>
                <w:szCs w:val="20"/>
              </w:rPr>
            </w:pPr>
            <w:r w:rsidRPr="00BC66C3">
              <w:rPr>
                <w:rFonts w:ascii="宋体" w:hAnsi="宋体" w:cs="宋体" w:hint="eastAsia"/>
                <w:kern w:val="0"/>
                <w:sz w:val="20"/>
                <w:szCs w:val="20"/>
              </w:rPr>
              <w:t>社会效益</w:t>
            </w:r>
          </w:p>
        </w:tc>
        <w:tc>
          <w:tcPr>
            <w:tcW w:w="1199" w:type="dxa"/>
            <w:shd w:val="clear" w:color="auto" w:fill="auto"/>
            <w:noWrap/>
            <w:vAlign w:val="center"/>
            <w:hideMark/>
          </w:tcPr>
          <w:p w14:paraId="2122AC20" w14:textId="77777777" w:rsidR="00BC66C3" w:rsidRPr="00BC66C3" w:rsidRDefault="00BC66C3" w:rsidP="00BC66C3">
            <w:pPr>
              <w:widowControl/>
              <w:jc w:val="left"/>
              <w:rPr>
                <w:rFonts w:ascii="宋体" w:hAnsi="宋体" w:cs="宋体" w:hint="eastAsia"/>
                <w:kern w:val="0"/>
                <w:sz w:val="20"/>
                <w:szCs w:val="20"/>
              </w:rPr>
            </w:pPr>
          </w:p>
        </w:tc>
        <w:tc>
          <w:tcPr>
            <w:tcW w:w="1166" w:type="dxa"/>
            <w:shd w:val="clear" w:color="auto" w:fill="auto"/>
            <w:noWrap/>
            <w:vAlign w:val="center"/>
            <w:hideMark/>
          </w:tcPr>
          <w:p w14:paraId="4A320BB2" w14:textId="77777777" w:rsidR="00BC66C3" w:rsidRPr="00BC66C3" w:rsidRDefault="00BC66C3" w:rsidP="00BC66C3">
            <w:pPr>
              <w:widowControl/>
              <w:jc w:val="left"/>
              <w:rPr>
                <w:rFonts w:eastAsia="Times New Roman"/>
                <w:kern w:val="0"/>
                <w:sz w:val="20"/>
                <w:szCs w:val="20"/>
              </w:rPr>
            </w:pPr>
          </w:p>
        </w:tc>
        <w:tc>
          <w:tcPr>
            <w:tcW w:w="970" w:type="dxa"/>
            <w:shd w:val="clear" w:color="auto" w:fill="auto"/>
            <w:noWrap/>
            <w:vAlign w:val="center"/>
            <w:hideMark/>
          </w:tcPr>
          <w:p w14:paraId="7CF79978" w14:textId="77777777" w:rsidR="00BC66C3" w:rsidRPr="00BC66C3" w:rsidRDefault="00BC66C3" w:rsidP="00BC66C3">
            <w:pPr>
              <w:widowControl/>
              <w:jc w:val="left"/>
              <w:rPr>
                <w:rFonts w:eastAsia="Times New Roman"/>
                <w:kern w:val="0"/>
                <w:sz w:val="20"/>
                <w:szCs w:val="20"/>
              </w:rPr>
            </w:pPr>
          </w:p>
        </w:tc>
        <w:tc>
          <w:tcPr>
            <w:tcW w:w="1003" w:type="dxa"/>
            <w:shd w:val="clear" w:color="auto" w:fill="auto"/>
            <w:noWrap/>
            <w:vAlign w:val="center"/>
            <w:hideMark/>
          </w:tcPr>
          <w:p w14:paraId="41C78508" w14:textId="77777777" w:rsidR="00BC66C3" w:rsidRPr="00BC66C3" w:rsidRDefault="00BC66C3" w:rsidP="00BC66C3">
            <w:pPr>
              <w:widowControl/>
              <w:jc w:val="left"/>
              <w:rPr>
                <w:rFonts w:eastAsia="Times New Roman"/>
                <w:kern w:val="0"/>
                <w:sz w:val="20"/>
                <w:szCs w:val="20"/>
              </w:rPr>
            </w:pPr>
          </w:p>
        </w:tc>
        <w:tc>
          <w:tcPr>
            <w:tcW w:w="796" w:type="dxa"/>
            <w:shd w:val="clear" w:color="auto" w:fill="auto"/>
            <w:noWrap/>
            <w:vAlign w:val="center"/>
            <w:hideMark/>
          </w:tcPr>
          <w:p w14:paraId="1E47683D" w14:textId="77777777" w:rsidR="00BC66C3" w:rsidRPr="00BC66C3" w:rsidRDefault="00BC66C3" w:rsidP="00BC66C3">
            <w:pPr>
              <w:widowControl/>
              <w:jc w:val="left"/>
              <w:rPr>
                <w:rFonts w:eastAsia="Times New Roman"/>
                <w:kern w:val="0"/>
                <w:sz w:val="20"/>
                <w:szCs w:val="20"/>
              </w:rPr>
            </w:pPr>
          </w:p>
        </w:tc>
        <w:tc>
          <w:tcPr>
            <w:tcW w:w="915" w:type="dxa"/>
            <w:shd w:val="clear" w:color="auto" w:fill="auto"/>
            <w:noWrap/>
            <w:vAlign w:val="center"/>
            <w:hideMark/>
          </w:tcPr>
          <w:p w14:paraId="3476A7F4" w14:textId="77777777" w:rsidR="00BC66C3" w:rsidRPr="00BC66C3" w:rsidRDefault="00BC66C3" w:rsidP="00BC66C3">
            <w:pPr>
              <w:widowControl/>
              <w:jc w:val="left"/>
              <w:rPr>
                <w:rFonts w:eastAsia="Times New Roman"/>
                <w:kern w:val="0"/>
                <w:sz w:val="20"/>
                <w:szCs w:val="20"/>
              </w:rPr>
            </w:pPr>
          </w:p>
        </w:tc>
        <w:tc>
          <w:tcPr>
            <w:tcW w:w="926" w:type="dxa"/>
            <w:shd w:val="clear" w:color="auto" w:fill="auto"/>
            <w:noWrap/>
            <w:vAlign w:val="center"/>
            <w:hideMark/>
          </w:tcPr>
          <w:p w14:paraId="47161388" w14:textId="77777777" w:rsidR="00BC66C3" w:rsidRPr="00BC66C3" w:rsidRDefault="00BC66C3" w:rsidP="00BC66C3">
            <w:pPr>
              <w:widowControl/>
              <w:jc w:val="left"/>
              <w:rPr>
                <w:rFonts w:eastAsia="Times New Roman"/>
                <w:kern w:val="0"/>
                <w:sz w:val="20"/>
                <w:szCs w:val="20"/>
              </w:rPr>
            </w:pPr>
          </w:p>
        </w:tc>
      </w:tr>
      <w:tr w:rsidR="00BC66C3" w:rsidRPr="00BC66C3" w14:paraId="2DE6D121" w14:textId="77777777" w:rsidTr="00BC66C3">
        <w:trPr>
          <w:trHeight w:val="741"/>
          <w:jc w:val="center"/>
        </w:trPr>
        <w:tc>
          <w:tcPr>
            <w:tcW w:w="1547" w:type="dxa"/>
            <w:shd w:val="clear" w:color="auto" w:fill="auto"/>
            <w:noWrap/>
            <w:vAlign w:val="center"/>
            <w:hideMark/>
          </w:tcPr>
          <w:p w14:paraId="2EA5784B" w14:textId="77777777" w:rsidR="00BC66C3" w:rsidRPr="00BC66C3" w:rsidRDefault="00BC66C3" w:rsidP="00BC66C3">
            <w:pPr>
              <w:widowControl/>
              <w:jc w:val="left"/>
              <w:rPr>
                <w:rFonts w:ascii="宋体" w:hAnsi="宋体" w:cs="宋体" w:hint="eastAsia"/>
                <w:kern w:val="0"/>
                <w:sz w:val="20"/>
                <w:szCs w:val="20"/>
              </w:rPr>
            </w:pPr>
            <w:r w:rsidRPr="00BC66C3">
              <w:rPr>
                <w:rFonts w:ascii="宋体" w:hAnsi="宋体" w:cs="宋体" w:hint="eastAsia"/>
                <w:kern w:val="0"/>
                <w:sz w:val="20"/>
                <w:szCs w:val="20"/>
              </w:rPr>
              <w:t>可持续发展能力</w:t>
            </w:r>
          </w:p>
        </w:tc>
        <w:tc>
          <w:tcPr>
            <w:tcW w:w="1199" w:type="dxa"/>
            <w:shd w:val="clear" w:color="auto" w:fill="auto"/>
            <w:noWrap/>
            <w:vAlign w:val="center"/>
            <w:hideMark/>
          </w:tcPr>
          <w:p w14:paraId="1D0499BC" w14:textId="77777777" w:rsidR="00BC66C3" w:rsidRPr="00BC66C3" w:rsidRDefault="00BC66C3" w:rsidP="00BC66C3">
            <w:pPr>
              <w:widowControl/>
              <w:jc w:val="left"/>
              <w:rPr>
                <w:rFonts w:ascii="宋体" w:hAnsi="宋体" w:cs="宋体" w:hint="eastAsia"/>
                <w:kern w:val="0"/>
                <w:sz w:val="20"/>
                <w:szCs w:val="20"/>
              </w:rPr>
            </w:pPr>
          </w:p>
        </w:tc>
        <w:tc>
          <w:tcPr>
            <w:tcW w:w="1166" w:type="dxa"/>
            <w:shd w:val="clear" w:color="auto" w:fill="auto"/>
            <w:noWrap/>
            <w:vAlign w:val="center"/>
            <w:hideMark/>
          </w:tcPr>
          <w:p w14:paraId="548A7585" w14:textId="77777777" w:rsidR="00BC66C3" w:rsidRPr="00BC66C3" w:rsidRDefault="00BC66C3" w:rsidP="00BC66C3">
            <w:pPr>
              <w:widowControl/>
              <w:jc w:val="left"/>
              <w:rPr>
                <w:rFonts w:eastAsia="Times New Roman"/>
                <w:kern w:val="0"/>
                <w:sz w:val="20"/>
                <w:szCs w:val="20"/>
              </w:rPr>
            </w:pPr>
          </w:p>
        </w:tc>
        <w:tc>
          <w:tcPr>
            <w:tcW w:w="970" w:type="dxa"/>
            <w:shd w:val="clear" w:color="auto" w:fill="auto"/>
            <w:noWrap/>
            <w:vAlign w:val="center"/>
            <w:hideMark/>
          </w:tcPr>
          <w:p w14:paraId="5ECB604F" w14:textId="77777777" w:rsidR="00BC66C3" w:rsidRPr="00BC66C3" w:rsidRDefault="00BC66C3" w:rsidP="00BC66C3">
            <w:pPr>
              <w:widowControl/>
              <w:jc w:val="left"/>
              <w:rPr>
                <w:rFonts w:eastAsia="Times New Roman"/>
                <w:kern w:val="0"/>
                <w:sz w:val="20"/>
                <w:szCs w:val="20"/>
              </w:rPr>
            </w:pPr>
          </w:p>
        </w:tc>
        <w:tc>
          <w:tcPr>
            <w:tcW w:w="1003" w:type="dxa"/>
            <w:shd w:val="clear" w:color="auto" w:fill="auto"/>
            <w:noWrap/>
            <w:vAlign w:val="center"/>
            <w:hideMark/>
          </w:tcPr>
          <w:p w14:paraId="3B3A8D3E" w14:textId="77777777" w:rsidR="00BC66C3" w:rsidRPr="00BC66C3" w:rsidRDefault="00BC66C3" w:rsidP="00BC66C3">
            <w:pPr>
              <w:widowControl/>
              <w:jc w:val="left"/>
              <w:rPr>
                <w:rFonts w:eastAsia="Times New Roman"/>
                <w:kern w:val="0"/>
                <w:sz w:val="20"/>
                <w:szCs w:val="20"/>
              </w:rPr>
            </w:pPr>
          </w:p>
        </w:tc>
        <w:tc>
          <w:tcPr>
            <w:tcW w:w="796" w:type="dxa"/>
            <w:shd w:val="clear" w:color="auto" w:fill="auto"/>
            <w:noWrap/>
            <w:vAlign w:val="center"/>
            <w:hideMark/>
          </w:tcPr>
          <w:p w14:paraId="5049557F" w14:textId="77777777" w:rsidR="00BC66C3" w:rsidRPr="00BC66C3" w:rsidRDefault="00BC66C3" w:rsidP="00BC66C3">
            <w:pPr>
              <w:widowControl/>
              <w:jc w:val="left"/>
              <w:rPr>
                <w:rFonts w:eastAsia="Times New Roman"/>
                <w:kern w:val="0"/>
                <w:sz w:val="20"/>
                <w:szCs w:val="20"/>
              </w:rPr>
            </w:pPr>
          </w:p>
        </w:tc>
        <w:tc>
          <w:tcPr>
            <w:tcW w:w="915" w:type="dxa"/>
            <w:shd w:val="clear" w:color="auto" w:fill="auto"/>
            <w:noWrap/>
            <w:vAlign w:val="center"/>
            <w:hideMark/>
          </w:tcPr>
          <w:p w14:paraId="2861B80A" w14:textId="77777777" w:rsidR="00BC66C3" w:rsidRPr="00BC66C3" w:rsidRDefault="00BC66C3" w:rsidP="00BC66C3">
            <w:pPr>
              <w:widowControl/>
              <w:jc w:val="left"/>
              <w:rPr>
                <w:rFonts w:eastAsia="Times New Roman"/>
                <w:kern w:val="0"/>
                <w:sz w:val="20"/>
                <w:szCs w:val="20"/>
              </w:rPr>
            </w:pPr>
          </w:p>
        </w:tc>
        <w:tc>
          <w:tcPr>
            <w:tcW w:w="926" w:type="dxa"/>
            <w:shd w:val="clear" w:color="auto" w:fill="auto"/>
            <w:noWrap/>
            <w:vAlign w:val="center"/>
            <w:hideMark/>
          </w:tcPr>
          <w:p w14:paraId="47DE1560" w14:textId="77777777" w:rsidR="00BC66C3" w:rsidRPr="00BC66C3" w:rsidRDefault="00BC66C3" w:rsidP="00BC66C3">
            <w:pPr>
              <w:widowControl/>
              <w:jc w:val="left"/>
              <w:rPr>
                <w:rFonts w:eastAsia="Times New Roman"/>
                <w:kern w:val="0"/>
                <w:sz w:val="20"/>
                <w:szCs w:val="20"/>
              </w:rPr>
            </w:pPr>
          </w:p>
        </w:tc>
      </w:tr>
      <w:tr w:rsidR="00BC66C3" w:rsidRPr="00BC66C3" w14:paraId="325C0F2A" w14:textId="77777777" w:rsidTr="00BC66C3">
        <w:trPr>
          <w:trHeight w:val="741"/>
          <w:jc w:val="center"/>
        </w:trPr>
        <w:tc>
          <w:tcPr>
            <w:tcW w:w="1547" w:type="dxa"/>
            <w:shd w:val="clear" w:color="auto" w:fill="auto"/>
            <w:noWrap/>
            <w:vAlign w:val="center"/>
            <w:hideMark/>
          </w:tcPr>
          <w:p w14:paraId="0AF19CE2" w14:textId="77777777" w:rsidR="00BC66C3" w:rsidRPr="00BC66C3" w:rsidRDefault="00BC66C3" w:rsidP="00BC66C3">
            <w:pPr>
              <w:widowControl/>
              <w:jc w:val="left"/>
              <w:rPr>
                <w:rFonts w:ascii="宋体" w:hAnsi="宋体" w:cs="宋体" w:hint="eastAsia"/>
                <w:kern w:val="0"/>
                <w:sz w:val="20"/>
                <w:szCs w:val="20"/>
              </w:rPr>
            </w:pPr>
            <w:r w:rsidRPr="00BC66C3">
              <w:rPr>
                <w:rFonts w:ascii="宋体" w:hAnsi="宋体" w:cs="宋体" w:hint="eastAsia"/>
                <w:kern w:val="0"/>
                <w:sz w:val="20"/>
                <w:szCs w:val="20"/>
              </w:rPr>
              <w:lastRenderedPageBreak/>
              <w:t>服务对象满意度</w:t>
            </w:r>
          </w:p>
        </w:tc>
        <w:tc>
          <w:tcPr>
            <w:tcW w:w="1199" w:type="dxa"/>
            <w:shd w:val="clear" w:color="auto" w:fill="auto"/>
            <w:noWrap/>
            <w:vAlign w:val="center"/>
            <w:hideMark/>
          </w:tcPr>
          <w:p w14:paraId="721C3EEC" w14:textId="77777777" w:rsidR="00BC66C3" w:rsidRPr="00BC66C3" w:rsidRDefault="00BC66C3" w:rsidP="00BC66C3">
            <w:pPr>
              <w:widowControl/>
              <w:jc w:val="left"/>
              <w:rPr>
                <w:rFonts w:ascii="宋体" w:hAnsi="宋体" w:cs="宋体" w:hint="eastAsia"/>
                <w:kern w:val="0"/>
                <w:sz w:val="20"/>
                <w:szCs w:val="20"/>
              </w:rPr>
            </w:pPr>
          </w:p>
        </w:tc>
        <w:tc>
          <w:tcPr>
            <w:tcW w:w="1166" w:type="dxa"/>
            <w:shd w:val="clear" w:color="auto" w:fill="auto"/>
            <w:noWrap/>
            <w:vAlign w:val="center"/>
            <w:hideMark/>
          </w:tcPr>
          <w:p w14:paraId="40A6E61C" w14:textId="77777777" w:rsidR="00BC66C3" w:rsidRPr="00BC66C3" w:rsidRDefault="00BC66C3" w:rsidP="00BC66C3">
            <w:pPr>
              <w:widowControl/>
              <w:jc w:val="left"/>
              <w:rPr>
                <w:rFonts w:eastAsia="Times New Roman"/>
                <w:kern w:val="0"/>
                <w:sz w:val="20"/>
                <w:szCs w:val="20"/>
              </w:rPr>
            </w:pPr>
          </w:p>
        </w:tc>
        <w:tc>
          <w:tcPr>
            <w:tcW w:w="970" w:type="dxa"/>
            <w:shd w:val="clear" w:color="auto" w:fill="auto"/>
            <w:noWrap/>
            <w:vAlign w:val="center"/>
            <w:hideMark/>
          </w:tcPr>
          <w:p w14:paraId="5DD69C1B" w14:textId="77777777" w:rsidR="00BC66C3" w:rsidRPr="00BC66C3" w:rsidRDefault="00BC66C3" w:rsidP="00BC66C3">
            <w:pPr>
              <w:widowControl/>
              <w:jc w:val="left"/>
              <w:rPr>
                <w:rFonts w:eastAsia="Times New Roman"/>
                <w:kern w:val="0"/>
                <w:sz w:val="20"/>
                <w:szCs w:val="20"/>
              </w:rPr>
            </w:pPr>
          </w:p>
        </w:tc>
        <w:tc>
          <w:tcPr>
            <w:tcW w:w="1003" w:type="dxa"/>
            <w:shd w:val="clear" w:color="auto" w:fill="auto"/>
            <w:noWrap/>
            <w:vAlign w:val="center"/>
            <w:hideMark/>
          </w:tcPr>
          <w:p w14:paraId="0D2FB325" w14:textId="77777777" w:rsidR="00BC66C3" w:rsidRPr="00BC66C3" w:rsidRDefault="00BC66C3" w:rsidP="00BC66C3">
            <w:pPr>
              <w:widowControl/>
              <w:jc w:val="left"/>
              <w:rPr>
                <w:rFonts w:eastAsia="Times New Roman"/>
                <w:kern w:val="0"/>
                <w:sz w:val="20"/>
                <w:szCs w:val="20"/>
              </w:rPr>
            </w:pPr>
          </w:p>
        </w:tc>
        <w:tc>
          <w:tcPr>
            <w:tcW w:w="796" w:type="dxa"/>
            <w:shd w:val="clear" w:color="auto" w:fill="auto"/>
            <w:noWrap/>
            <w:vAlign w:val="center"/>
            <w:hideMark/>
          </w:tcPr>
          <w:p w14:paraId="79F8452A" w14:textId="77777777" w:rsidR="00BC66C3" w:rsidRPr="00BC66C3" w:rsidRDefault="00BC66C3" w:rsidP="00BC66C3">
            <w:pPr>
              <w:widowControl/>
              <w:jc w:val="left"/>
              <w:rPr>
                <w:rFonts w:eastAsia="Times New Roman"/>
                <w:kern w:val="0"/>
                <w:sz w:val="20"/>
                <w:szCs w:val="20"/>
              </w:rPr>
            </w:pPr>
          </w:p>
        </w:tc>
        <w:tc>
          <w:tcPr>
            <w:tcW w:w="915" w:type="dxa"/>
            <w:shd w:val="clear" w:color="auto" w:fill="auto"/>
            <w:noWrap/>
            <w:vAlign w:val="center"/>
            <w:hideMark/>
          </w:tcPr>
          <w:p w14:paraId="44825B56" w14:textId="77777777" w:rsidR="00BC66C3" w:rsidRPr="00BC66C3" w:rsidRDefault="00BC66C3" w:rsidP="00BC66C3">
            <w:pPr>
              <w:widowControl/>
              <w:jc w:val="left"/>
              <w:rPr>
                <w:rFonts w:eastAsia="Times New Roman"/>
                <w:kern w:val="0"/>
                <w:sz w:val="20"/>
                <w:szCs w:val="20"/>
              </w:rPr>
            </w:pPr>
          </w:p>
        </w:tc>
        <w:tc>
          <w:tcPr>
            <w:tcW w:w="926" w:type="dxa"/>
            <w:shd w:val="clear" w:color="auto" w:fill="auto"/>
            <w:noWrap/>
            <w:vAlign w:val="center"/>
            <w:hideMark/>
          </w:tcPr>
          <w:p w14:paraId="57F6CE7A" w14:textId="77777777" w:rsidR="00BC66C3" w:rsidRPr="00BC66C3" w:rsidRDefault="00BC66C3" w:rsidP="00BC66C3">
            <w:pPr>
              <w:widowControl/>
              <w:jc w:val="left"/>
              <w:rPr>
                <w:rFonts w:eastAsia="Times New Roman"/>
                <w:kern w:val="0"/>
                <w:sz w:val="20"/>
                <w:szCs w:val="20"/>
              </w:rPr>
            </w:pPr>
          </w:p>
        </w:tc>
      </w:tr>
    </w:tbl>
    <w:p w14:paraId="6464A67D" w14:textId="77777777" w:rsidR="00BC66C3" w:rsidRDefault="00BC66C3">
      <w:pPr>
        <w:ind w:firstLineChars="200" w:firstLine="643"/>
        <w:jc w:val="left"/>
        <w:rPr>
          <w:rFonts w:ascii="仿宋_GB2312" w:eastAsia="仿宋_GB2312" w:hAnsi="仿宋_GB2312" w:cs="仿宋_GB2312" w:hint="eastAsia"/>
          <w:b/>
          <w:bCs/>
          <w:kern w:val="0"/>
          <w:sz w:val="32"/>
          <w:szCs w:val="32"/>
        </w:rPr>
      </w:pPr>
    </w:p>
    <w:p w14:paraId="3D128783" w14:textId="72BD54A1" w:rsidR="006F56A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AE58C94" w14:textId="0453E8F3" w:rsidR="006F56A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BC66C3">
        <w:rPr>
          <w:rFonts w:ascii="仿宋_GB2312" w:eastAsia="仿宋_GB2312" w:hAnsi="仿宋_GB2312" w:cs="仿宋_GB2312" w:hint="eastAsia"/>
          <w:kern w:val="0"/>
          <w:sz w:val="32"/>
          <w:szCs w:val="32"/>
        </w:rPr>
        <w:t>。</w:t>
      </w:r>
    </w:p>
    <w:p w14:paraId="1CEA3A47" w14:textId="77777777" w:rsidR="006F56AE"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0CA7C60" w14:textId="77777777" w:rsidR="006F56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3124CC2" w14:textId="77777777" w:rsidR="006F56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0179F2C" w14:textId="77777777" w:rsidR="006F56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54215A8" w14:textId="77777777" w:rsidR="006F56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3458A1F" w14:textId="77777777" w:rsidR="006F56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DD0C8AA" w14:textId="77777777" w:rsidR="006F56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DAEEFE8" w14:textId="77777777" w:rsidR="006F56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B36826E" w14:textId="77777777" w:rsidR="006F56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368610" w14:textId="77777777" w:rsidR="006F56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7C1CDF4" w14:textId="77777777" w:rsidR="006F56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107080C" w14:textId="77777777" w:rsidR="006F56A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5CC783E" w14:textId="77777777" w:rsidR="006F56A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02DD218" w14:textId="77777777" w:rsidR="006F56A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E1A7F5" w14:textId="77777777" w:rsidR="006F56A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3F50F30" w14:textId="77777777" w:rsidR="006F56A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B546C39" w14:textId="77777777" w:rsidR="006F56AE"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40C87AA2" w14:textId="77777777" w:rsidR="006F56AE"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66156DF8" w14:textId="77777777" w:rsidR="006F56AE"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5F28AA1E" w14:textId="77777777" w:rsidR="006F56AE"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361337BC" w14:textId="77777777" w:rsidR="006F56AE"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A4E0449" w14:textId="77777777" w:rsidR="006F56AE"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E0727F5" w14:textId="77777777" w:rsidR="006F56A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3394A7C3" w14:textId="77777777" w:rsidR="006F56AE"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68F4C1CC" w14:textId="77777777" w:rsidR="006F56A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0BBA6C6" w14:textId="77777777" w:rsidR="006F56AE" w:rsidRDefault="006F56AE">
      <w:pPr>
        <w:ind w:firstLineChars="200" w:firstLine="640"/>
        <w:rPr>
          <w:rFonts w:ascii="仿宋_GB2312" w:eastAsia="仿宋_GB2312"/>
          <w:sz w:val="32"/>
          <w:szCs w:val="32"/>
        </w:rPr>
      </w:pPr>
    </w:p>
    <w:p w14:paraId="09F9B07B" w14:textId="77777777" w:rsidR="006F56AE" w:rsidRDefault="006F56AE">
      <w:pPr>
        <w:ind w:firstLineChars="200" w:firstLine="640"/>
        <w:outlineLvl w:val="1"/>
        <w:rPr>
          <w:rFonts w:ascii="黑体" w:eastAsia="黑体" w:hAnsi="黑体" w:cs="宋体" w:hint="eastAsia"/>
          <w:bCs/>
          <w:kern w:val="0"/>
          <w:sz w:val="32"/>
          <w:szCs w:val="32"/>
        </w:rPr>
      </w:pPr>
    </w:p>
    <w:sectPr w:rsidR="006F56A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7C8DF0" w14:textId="77777777" w:rsidR="001F58D3" w:rsidRDefault="001F58D3">
      <w:r>
        <w:separator/>
      </w:r>
    </w:p>
  </w:endnote>
  <w:endnote w:type="continuationSeparator" w:id="0">
    <w:p w14:paraId="11B96B78" w14:textId="77777777" w:rsidR="001F58D3" w:rsidRDefault="001F5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E63C0" w14:textId="77777777" w:rsidR="006F56AE" w:rsidRDefault="00000000">
    <w:pPr>
      <w:pStyle w:val="a4"/>
    </w:pPr>
    <w:r>
      <w:rPr>
        <w:noProof/>
      </w:rPr>
      <mc:AlternateContent>
        <mc:Choice Requires="wps">
          <w:drawing>
            <wp:anchor distT="0" distB="0" distL="114300" distR="114300" simplePos="0" relativeHeight="251659264" behindDoc="0" locked="0" layoutInCell="1" allowOverlap="1" wp14:anchorId="13249611" wp14:editId="7D9DB49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25B0FD" w14:textId="77777777" w:rsidR="006F56A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324961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625B0FD" w14:textId="77777777" w:rsidR="006F56A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F0A37" w14:textId="77777777" w:rsidR="001F58D3" w:rsidRDefault="001F58D3">
      <w:r>
        <w:separator/>
      </w:r>
    </w:p>
  </w:footnote>
  <w:footnote w:type="continuationSeparator" w:id="0">
    <w:p w14:paraId="2F74D3F8" w14:textId="77777777" w:rsidR="001F58D3" w:rsidRDefault="001F58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47760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6F56AE"/>
    <w:rsid w:val="00104A32"/>
    <w:rsid w:val="001607FF"/>
    <w:rsid w:val="001F58D3"/>
    <w:rsid w:val="00213C59"/>
    <w:rsid w:val="002F1BF1"/>
    <w:rsid w:val="003210CE"/>
    <w:rsid w:val="00574B01"/>
    <w:rsid w:val="00636196"/>
    <w:rsid w:val="006B7187"/>
    <w:rsid w:val="006F153B"/>
    <w:rsid w:val="006F56AE"/>
    <w:rsid w:val="00715C38"/>
    <w:rsid w:val="007E7026"/>
    <w:rsid w:val="008C070F"/>
    <w:rsid w:val="008D4343"/>
    <w:rsid w:val="009877FB"/>
    <w:rsid w:val="00B15C9C"/>
    <w:rsid w:val="00B42620"/>
    <w:rsid w:val="00B70D59"/>
    <w:rsid w:val="00BC66C3"/>
    <w:rsid w:val="00CE0DF0"/>
    <w:rsid w:val="00D25764"/>
    <w:rsid w:val="00EF28B4"/>
    <w:rsid w:val="00F52A8D"/>
    <w:rsid w:val="00FD57E1"/>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23DD23"/>
  <w15:docId w15:val="{D19237A0-9499-495A-A602-B9818F342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9157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Pages>
  <Words>1063</Words>
  <Characters>6061</Characters>
  <Application>Microsoft Office Word</Application>
  <DocSecurity>0</DocSecurity>
  <Lines>50</Lines>
  <Paragraphs>14</Paragraphs>
  <ScaleCrop>false</ScaleCrop>
  <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2024-11-25T07:13:00Z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