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color w:val="000000" w:themeColor="text1"/>
          <w:kern w:val="0"/>
          <w:sz w:val="32"/>
          <w:szCs w:val="32"/>
          <w14:textFill>
            <w14:solidFill>
              <w14:schemeClr w14:val="tx1"/>
            </w14:solidFill>
          </w14:textFill>
        </w:rPr>
      </w:pPr>
      <w:bookmarkStart w:id="0" w:name="_GoBack"/>
      <w:r>
        <w:rPr>
          <w:rFonts w:hint="eastAsia" w:ascii="仿宋" w:hAnsi="仿宋" w:eastAsia="仿宋" w:cs="宋体"/>
          <w:color w:val="000000" w:themeColor="text1"/>
          <w:kern w:val="0"/>
          <w:sz w:val="32"/>
          <w:szCs w:val="32"/>
          <w14:textFill>
            <w14:solidFill>
              <w14:schemeClr w14:val="tx1"/>
            </w14:solidFill>
          </w14:textFill>
        </w:rPr>
        <w:t>附件2：</w:t>
      </w: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方正小标宋_GBK" w:hAnsi="华文中宋" w:eastAsia="方正小标宋_GBK" w:cs="宋体"/>
          <w:b/>
          <w:color w:val="000000" w:themeColor="text1"/>
          <w:kern w:val="0"/>
          <w:sz w:val="48"/>
          <w:szCs w:val="48"/>
          <w14:textFill>
            <w14:solidFill>
              <w14:schemeClr w14:val="tx1"/>
            </w14:solidFill>
          </w14:textFill>
        </w:rPr>
      </w:pPr>
      <w:r>
        <w:rPr>
          <w:rFonts w:hint="eastAsia" w:ascii="方正小标宋_GBK" w:hAnsi="华文中宋" w:eastAsia="方正小标宋_GBK" w:cs="宋体"/>
          <w:b/>
          <w:color w:val="000000" w:themeColor="text1"/>
          <w:kern w:val="0"/>
          <w:sz w:val="48"/>
          <w:szCs w:val="48"/>
          <w14:textFill>
            <w14:solidFill>
              <w14:schemeClr w14:val="tx1"/>
            </w14:solidFill>
          </w14:textFill>
        </w:rPr>
        <w:t>项目支出绩效自评报告</w:t>
      </w: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r>
        <w:rPr>
          <w:rStyle w:val="18"/>
          <w:rFonts w:hint="eastAsia" w:ascii="楷体" w:hAnsi="楷体" w:eastAsia="楷体"/>
          <w:color w:val="000000" w:themeColor="text1"/>
          <w:spacing w:val="-4"/>
          <w:sz w:val="32"/>
          <w:szCs w:val="32"/>
          <w14:textFill>
            <w14:solidFill>
              <w14:schemeClr w14:val="tx1"/>
            </w14:solidFill>
          </w14:textFill>
        </w:rPr>
        <w:t>2023</w:t>
      </w:r>
      <w:r>
        <w:rPr>
          <w:rFonts w:hint="eastAsia" w:hAnsi="宋体" w:eastAsia="仿宋_GB2312" w:cs="宋体"/>
          <w:color w:val="000000" w:themeColor="text1"/>
          <w:kern w:val="0"/>
          <w:sz w:val="36"/>
          <w:szCs w:val="36"/>
          <w14:textFill>
            <w14:solidFill>
              <w14:schemeClr w14:val="tx1"/>
            </w14:solidFill>
          </w14:textFill>
        </w:rPr>
        <w:t xml:space="preserve">  年度）</w:t>
      </w: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rPr>
          <w:rFonts w:hAnsi="宋体" w:eastAsia="仿宋_GB2312" w:cs="宋体"/>
          <w:color w:val="000000" w:themeColor="text1"/>
          <w:kern w:val="0"/>
          <w:sz w:val="30"/>
          <w:szCs w:val="30"/>
          <w14:textFill>
            <w14:solidFill>
              <w14:schemeClr w14:val="tx1"/>
            </w14:solidFill>
          </w14:textFill>
        </w:rPr>
      </w:pPr>
    </w:p>
    <w:p>
      <w:pPr>
        <w:spacing w:line="700" w:lineRule="exact"/>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p>
    <w:p>
      <w:pPr>
        <w:spacing w:line="700" w:lineRule="exact"/>
        <w:ind w:firstLine="900" w:firstLineChars="250"/>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项目名称：</w:t>
      </w:r>
      <w:r>
        <w:rPr>
          <w:rStyle w:val="18"/>
          <w:rFonts w:hint="eastAsia" w:ascii="楷体" w:hAnsi="楷体" w:eastAsia="楷体"/>
          <w:color w:val="000000" w:themeColor="text1"/>
          <w:spacing w:val="-4"/>
          <w:sz w:val="32"/>
          <w:szCs w:val="32"/>
          <w14:textFill>
            <w14:solidFill>
              <w14:schemeClr w14:val="tx1"/>
            </w14:solidFill>
          </w14:textFill>
        </w:rPr>
        <w:t>昌吉市第十五小学燃气供暖锅炉资金</w:t>
      </w:r>
    </w:p>
    <w:p>
      <w:pPr>
        <w:spacing w:line="540" w:lineRule="exact"/>
        <w:ind w:firstLine="567"/>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实施单位（公章）：</w:t>
      </w:r>
      <w:r>
        <w:rPr>
          <w:rStyle w:val="18"/>
          <w:rFonts w:hint="eastAsia" w:ascii="楷体" w:hAnsi="楷体" w:eastAsia="楷体"/>
          <w:color w:val="000000" w:themeColor="text1"/>
          <w:spacing w:val="-4"/>
          <w:sz w:val="28"/>
          <w:szCs w:val="28"/>
          <w14:textFill>
            <w14:solidFill>
              <w14:schemeClr w14:val="tx1"/>
            </w14:solidFill>
          </w14:textFill>
        </w:rPr>
        <w:t>昌吉市第三小学</w:t>
      </w:r>
    </w:p>
    <w:p>
      <w:pPr>
        <w:spacing w:line="540" w:lineRule="exact"/>
        <w:ind w:firstLine="900" w:firstLineChars="250"/>
        <w:rPr>
          <w:rFonts w:ascii="楷体" w:hAnsi="楷体" w:eastAsia="楷体"/>
          <w:b/>
          <w:bCs/>
          <w:color w:val="000000" w:themeColor="text1"/>
          <w:spacing w:val="-4"/>
          <w:sz w:val="28"/>
          <w:szCs w:val="28"/>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主管部门（公章）：</w:t>
      </w:r>
      <w:r>
        <w:rPr>
          <w:rStyle w:val="18"/>
          <w:rFonts w:hint="eastAsia" w:ascii="楷体" w:hAnsi="楷体" w:eastAsia="楷体"/>
          <w:color w:val="000000" w:themeColor="text1"/>
          <w:spacing w:val="-4"/>
          <w:sz w:val="28"/>
          <w:szCs w:val="28"/>
          <w14:textFill>
            <w14:solidFill>
              <w14:schemeClr w14:val="tx1"/>
            </w14:solidFill>
          </w14:textFill>
        </w:rPr>
        <w:t>昌吉市第三小学</w:t>
      </w:r>
    </w:p>
    <w:p>
      <w:pPr>
        <w:spacing w:line="540" w:lineRule="exact"/>
        <w:ind w:firstLine="900" w:firstLineChars="250"/>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项目负责人（签章）：</w:t>
      </w:r>
      <w:r>
        <w:rPr>
          <w:rStyle w:val="18"/>
          <w:rFonts w:hint="eastAsia" w:ascii="楷体" w:hAnsi="楷体" w:eastAsia="楷体"/>
          <w:color w:val="000000" w:themeColor="text1"/>
          <w:spacing w:val="-4"/>
          <w:sz w:val="32"/>
          <w:szCs w:val="32"/>
          <w14:textFill>
            <w14:solidFill>
              <w14:schemeClr w14:val="tx1"/>
            </w14:solidFill>
          </w14:textFill>
        </w:rPr>
        <w:t>姚志敏</w:t>
      </w:r>
    </w:p>
    <w:p>
      <w:pPr>
        <w:spacing w:line="540" w:lineRule="exact"/>
        <w:ind w:left="273" w:firstLine="567"/>
        <w:rPr>
          <w:rStyle w:val="18"/>
          <w:rFonts w:ascii="楷体" w:hAnsi="楷体" w:eastAsia="楷体"/>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填报时间：</w:t>
      </w:r>
      <w:r>
        <w:rPr>
          <w:rStyle w:val="18"/>
          <w:rFonts w:hint="eastAsia" w:ascii="楷体" w:hAnsi="楷体" w:eastAsia="楷体"/>
          <w:color w:val="000000" w:themeColor="text1"/>
          <w:spacing w:val="-4"/>
          <w:sz w:val="32"/>
          <w:szCs w:val="32"/>
          <w14:textFill>
            <w14:solidFill>
              <w14:schemeClr w14:val="tx1"/>
            </w14:solidFill>
          </w14:textFill>
        </w:rPr>
        <w:t>2024年04月18日</w:t>
      </w:r>
    </w:p>
    <w:p>
      <w:pPr>
        <w:spacing w:line="700" w:lineRule="exact"/>
        <w:ind w:firstLine="708" w:firstLineChars="236"/>
        <w:jc w:val="left"/>
        <w:rPr>
          <w:rFonts w:hAnsi="宋体" w:eastAsia="仿宋_GB2312" w:cs="宋体"/>
          <w:color w:val="000000" w:themeColor="text1"/>
          <w:kern w:val="0"/>
          <w:sz w:val="30"/>
          <w:szCs w:val="30"/>
          <w14:textFill>
            <w14:solidFill>
              <w14:schemeClr w14:val="tx1"/>
            </w14:solidFill>
          </w14:textFill>
        </w:rPr>
      </w:pPr>
    </w:p>
    <w:p>
      <w:pPr>
        <w:spacing w:line="540" w:lineRule="exact"/>
        <w:rPr>
          <w:rStyle w:val="18"/>
          <w:rFonts w:ascii="黑体" w:hAnsi="黑体" w:eastAsia="黑体"/>
          <w:b w:val="0"/>
          <w:color w:val="000000" w:themeColor="text1"/>
          <w:spacing w:val="-4"/>
          <w:sz w:val="32"/>
          <w:szCs w:val="32"/>
          <w14:textFill>
            <w14:solidFill>
              <w14:schemeClr w14:val="tx1"/>
            </w14:solidFill>
          </w14:textFill>
        </w:rPr>
      </w:pP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一、基本情况</w:t>
      </w:r>
    </w:p>
    <w:p>
      <w:pPr>
        <w:spacing w:line="540" w:lineRule="exact"/>
        <w:ind w:firstLine="567"/>
        <w:rPr>
          <w:rStyle w:val="18"/>
          <w:rFonts w:hint="default" w:ascii="楷体" w:hAnsi="楷体" w:eastAsia="楷体"/>
          <w:color w:val="000000" w:themeColor="text1"/>
          <w:spacing w:val="-4"/>
          <w:sz w:val="32"/>
          <w:szCs w:val="32"/>
          <w:lang w:val="en-US" w:eastAsia="zh-CN"/>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（一）项目概况</w:t>
      </w:r>
      <w:r>
        <w:rPr>
          <w:rStyle w:val="18"/>
          <w:rFonts w:hint="eastAsia" w:ascii="楷体" w:hAnsi="楷体" w:eastAsia="楷体"/>
          <w:color w:val="000000" w:themeColor="text1"/>
          <w:spacing w:val="-4"/>
          <w:sz w:val="32"/>
          <w:szCs w:val="32"/>
          <w:lang w:eastAsia="zh-CN"/>
          <w14:textFill>
            <w14:solidFill>
              <w14:schemeClr w14:val="tx1"/>
            </w14:solidFill>
          </w14:textFill>
        </w:rPr>
        <w:t>。</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一、基本情况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（一）项目概况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1.项目背景</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昌吉市第十五小学为新建小学，属昌吉市第三小学教育集团学校之一，目前尚未建立独立的财务核算。为保障昌吉市第十五小学平稳过冬，需增设一台燃气供暖锅炉，故按照流程申请，经批复后设立此项目。项目的实施可以有效提高冬季供暖效率，保障学校冬季平稳过冬。</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2.主要内容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（1）项目名称：昌吉市第十五小学燃气供暖锅炉资金项目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（2）项目主要内容：购买燃气锅炉1台，及锅炉运行管道等配套设施安装等内容，项目建设地：昌吉市第十五小学。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3.实施情况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实施主体：昌吉市第三小学。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实施时间：本项目实施周期为2023年1月-2023年12月。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施情况：根据中国政府采购网显示：2023年9月1日，经公开招标，确定新疆东方环宇工业设备安装有限责任公司为中标单位，成交金额51.18万元，工程内容包含：？本工程包括室内外燃气管道及可燃气体报警系统所需安装工程。其中室外部包括:D159*6流体输送无缝钢管管线106m，D108*5流体输送无缝钢管管线128m,D57*4流体输送无缝钢管管线11m，新建1座调压柜，新做DN50直埋阀井一座，及配套所需管件、阀门等材料。室内部分包括：后堂及锅炉房内流体输送无缝钢管管线及配套设备、材料等，可燃气体报警系统部分所需报警控制器、报警探测器、联动箱、风机、电缆等材料。全套施工图纸及工程量清单范围内的全部工作内容（包括招标文件、答疑及招标文件补充等内容），计划于年内完工，根据竣工验收报告显示：该项目于2023年已完工，已符合使用要求，并已投入使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4.项目实施主体</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本项目实施主体为：昌吉市第三小学。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（1）主要职能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实施小学义务教育，促进基础教育发展。小学学历教育（相关社会服务）。</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（2）机构设置情况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单位内设机构：根据事业机构设置任务，内设5个机构，即：教务处、德育处、总务处、办公室、教研室。</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5.资金投入和使用情况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（1）项目资金安排落实、总投入等情况分析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本项目预算安排总额为51.18万元，资金来源为本级部门预算，其中：财政资金51.18万元，其他资金0.00万元，2023年实际收到预算资金51.18万元，预算资金到位率为100.0%。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（2）项目资金实际使用情况分析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截至2023年12月31日，本项目实际支付资金51.18万元，预算执行率100.0%。本项目资金主要用于支付锅炉购买及安装费用51.18万元。</w:t>
      </w:r>
    </w:p>
    <w:p>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（二）项目绩效目标</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（二）项目绩效目标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1.总体目标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提购买燃气锅炉1台，及锅炉运行管道等配套设施安装等内容，项目建设地：昌吉市第十五小学。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2.阶段性目标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（1）项目产出指标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①数量指标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“购买燃气供暖锅炉数量”指标，预期指标值为“=1台”；</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“安装燃气供暖锅炉数量”指标，预期指标值为“=1台”；</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②质量指标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“燃气供暖锅炉验收合格率”指标，预期指标值为“=100.0%”；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③时效指标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“项目完成及时率”指标，预期指标值为“=100.0%”；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“资金支付及时率”指标，预期指标值为“=100.0%”；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（2）项目成本指标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①经济成本指标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“购买燃气供暖锅炉金额”指标，预期指标值为“≤51.18万元”；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②社会成本指标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无此类指标；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③生态环境成本指标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无此类指标；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（3）项目效益指标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①经济效益指标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无此类指标；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“有效提高冬季供暖效率”指标，预期指标值为“有效提高”；</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③生态效益指标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无此类指标；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（4）项目满意度指标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无此类指标；</w:t>
      </w: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二、绩效评价工作开展情况</w:t>
      </w:r>
    </w:p>
    <w:p>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（一）绩效评价目的、对象和范围</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二、绩效评价工作开展情况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（一）绩效评价的目的、对象和范围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1.绩效评价的目的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昌吉市第十五小学燃气供暖锅炉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2.绩效评价对象</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此次我单位根据《财政支出绩效评价管理暂行办法》（财预〔2020〕10号）文件要求实施评价工作，本次评价对象为昌吉市第十五小学燃气供暖锅炉资金项目，评价核心为项目资金、项目产出、项目效益。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3.绩效评价范围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（二）绩效评价原则、评价指标体系、评价方法、评价标准</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（二）绩效评价原则、评价指标体系</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1.绩效评价原则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（1）科学公正。绩效评价应当运用科学合理的方法，按照规范的程序，对项目绩效进行客观、公正的反映。</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（4）公开透明。绩效评价结果应依法依规公开，并自觉接受社会监督。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根据以上原则，绩效评价应遵循如下要求：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（1）在数据采集时，采取客观数据，主管部门审查、社会中介组织复查，与问卷调查相结合的形式，以保证各项指标的真实性。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（2）保证评价结果的真实性、公正性，提高评价报告的公信力。</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2.绩效评价指标体系</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我单位通过实施资料研读及前期调研，结合项目的实际开展情况，按照《项目支出绩效评价管理办法》（财预〔2020〕10号）文件要求，结合项目特点，经与专家组充分协商，设置指标体系结构如下：设置一级指标共5个，包括：决策指标（21.0%）、过程指标（19.0%）、产出指标（30.0%）、效益指标（20.0%）、满意度指标（10.0%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三级指标分析环节：总体采用比较法，同时辅以文献法、成本效益法、因素分析法以及公众评判法，根据不同三级指标类型进行逐项分析。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-80.0%（含）、80.0%-60.0%（含）、60.0%-0.0%合理确定分值，详细评价方法的应用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立项依据充分性：比较法、文献法，查找法律法规政策以及规划，对比实际执行内容和政策支持内容是否匹配。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立项程序规范性：比较法、文献法，查找相关项目设立的政策和文件要求，对比分析实际执行程序是否按照政策及文件要求执行，分析立项程序的规范性。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绩效目标合理性：比较法，对比分析年初编制项目支出绩效目标表与项目内容的相关性、资金的匹配性等。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绩效指标明确性：比较法，比较分析年初编制项目支出绩效目标表是否符合双七原则，是否可衡量。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预算编制科学性：成本效益分析法，分析在产出一定的情况下，成本取值是否有依据，是否经过询价，是否按照市场最低成本编制。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资金分配合理性：因素分析法，综合分析资金的分配依据是否充分，分配金额是否与项目实施单位需求金额一致，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资金到位率：比较法，资金到位率预期指标值应为100.0%，通过实际计算，分析实际完成值和预期指标值之间的差距和原因。</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预算执行率：比较法，预算执行率预期指标值应为100.0%，通过实际计算，分析实际完成值和预期指标值之间的差距和原因。</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资金使用合规性：文献法、实地勘察法，一是查找资金管理办法，包括专项资金管理办法和单位自有资金管理办法；二是通过查账了解具体开支情况，是否专款专用，是否按照标准支出。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管理制度健全性：文献法、比较法，查阅项目实施人员提供的财务和业务管理制度，将已建立的制度与现行的法律法规和政策要求进行对比，分析项目制度的合法性、合规性、完整性。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制度执行有效性：比较法，结合项目实际实施过程性文件，根据已建设的财务管理制度和项目管理制度综合分析制度执行的有效性。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定性指标：公众评判法，通过问卷及抽样调查等方式评价本项目实施后社会公众对于其实施效果的满意程度。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（三）绩效评价工作过程</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（三）绩效评价工作过程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1.前期准备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牛晓松（评价小组组长）：主要负责项目策划和监督，全面负责项目绩效评价报告的最终质量，对评估人员出具的最终报告质量进行复核，确保评估结果的客观性；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张丹（评价小组组员）：主要负责资料的收集，取证、数据统计分析；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王钰菁（评价小组组员）：主要负责项目报告的制定，指标的研判，数据分析及报告撰写。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2.组织实施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2024年3月2日-3月8日，评价工作进入实施阶段。在数据采集方面，评价小组整理单位前期提交的资料，与项目实施负责人沟通，了解资金的内容、操作流程、管理机制、资金使用方向等情况并采集信息，了解项目设置背景及资金使用等情况。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3.分析评价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2024年3月9日-3月19日，评价小组按照绩效评价的原则和规范，对取得的资料进行审查核实，对采集的数据进行分析，按照绩效评价指标评分表逐项进行打分、分析、汇总各方评价结果。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4.撰写与提交评价报告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2024年3月20日-3月30日，评价小组撰写绩效评价报告，按照新疆维吾尔自治区财政绩效管理信息系统绩效评价模块中统一格式和文本框架撰写绩效评价报告并提交审核。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5.问题整改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6.档案整理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三、综合评价情况及评价结论</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三、综合评价情况及评价结论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（一）综合评价情况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经评价，本项目达成年初设立的绩效目标，在实施过程中取得了良好的成效，项目的实施有效保障了昌吉市第十五小学的平稳过冬。</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此次绩效评价通过绩效评价小组论证的评价指标体系及评分标准，采用因素分析法和比较法对本项目绩效进行客观评价，最终评分结果：总分为100.0分，绩效评级为“优”。综合评价结论如下：本项目共设置三级指标数量7个，实现三级指标数量7个，总体完成率为100.0%。项目决策类指标共设置6个，满分指标6个，得分率100.0%；过程管理类指标共设置5个，满分指标5个，得分率100.0%；项目产出类指标共设置6个，满分指标6个，得分率100.0%；项目效益类指标共设置1个，满分指标1个，得分率100.0%；满意度类指标共设置0个，满分指标0个，得分率0.0%；详细情况见“附件2：项目综合得分表”。</w:t>
      </w:r>
    </w:p>
    <w:p>
      <w:pPr>
        <w:spacing w:line="540" w:lineRule="exact"/>
        <w:ind w:firstLine="640"/>
        <w:rPr>
          <w:rStyle w:val="18"/>
          <w:rFonts w:ascii="黑体" w:hAnsi="黑体" w:eastAsia="黑体"/>
          <w:color w:val="000000" w:themeColor="text1"/>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四、绩效评价指标分析</w:t>
      </w:r>
      <w:r>
        <w:rPr>
          <w:rStyle w:val="18"/>
          <w:rFonts w:hint="eastAsia" w:ascii="黑体" w:hAnsi="黑体" w:eastAsia="黑体"/>
          <w:color w:val="000000" w:themeColor="text1"/>
          <w14:textFill>
            <w14:solidFill>
              <w14:schemeClr w14:val="tx1"/>
            </w14:solidFill>
          </w14:textFill>
        </w:rPr>
        <w:t xml:space="preserve"> </w:t>
      </w:r>
    </w:p>
    <w:p>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（一）</w:t>
      </w:r>
      <w:r>
        <w:rPr>
          <w:rStyle w:val="18"/>
          <w:rFonts w:hint="eastAsia" w:ascii="楷体" w:hAnsi="楷体" w:eastAsia="楷体"/>
          <w:color w:val="000000" w:themeColor="text1"/>
          <w:spacing w:val="-4"/>
          <w:sz w:val="32"/>
          <w:szCs w:val="32"/>
          <w14:textFill>
            <w14:solidFill>
              <w14:schemeClr w14:val="tx1"/>
            </w14:solidFill>
          </w14:textFill>
        </w:rPr>
        <w:t>项目决策情况</w:t>
      </w:r>
    </w:p>
    <w:p>
      <w:pPr>
        <w:tabs>
          <w:tab w:val="center" w:pos="4295"/>
        </w:tabs>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四、绩效评价指标分析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（一）项目决策情况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项目决策类指标由3个二级指标和6个三级指标构成，权重分21.0分，实际得分21.0分。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1.项目立项情况分析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（1）立项依据充分性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立项符合行业发展规划和政策要求；本项目立项符合《昌吉市第三小学单位配置内设机构和人员编制规定》中职责范围中的“实施小学义务教育”，属于我单位履职所需；根据《财政资金直接支付申请书》，本项目资金性质为“公共财政预算”功能分类为“机构运行”经济分类为“机构运行”属于公共财政支持范围，符合中央、地方事权支出责任划分原则；经检查我单位财政管理一体化信息系统，本项目不存在重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综上所述，本指标满分为5.0分，根据评分标准得5.0分，本项目立项依据充分。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（2）立项程序规范性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本项目经向教育局申请批复后成功立项，项目立项过程中产生的文件均符合相关要求。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综上所述，本指标满分为3.0分，根据评分标准得3.0分，本项目立项程序规范。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2.绩效目标情况分析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（1）绩效目标合理性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该项目已设置年度绩效目标，具体内容为“该项目为年中追加项目，项目总金额为51.18万元，其中购买锅炉1台，共计金额51.18万元，其中包含安装费及其他配套材料费用，该项目的实施可以提高冬季取暖效率，提高学生冬季就学舒适度，保障学生健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②该项目实际工作内容为：购买及安装锅炉1台。绩效目标与实际工作内容一致，两者具有相关性。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③该项目按照绩效目标完成数量指标、质量指标、时效指标、成本指标，完成了锅炉购买及安装，保障了学校平稳过冬，预期产出效益和效果是否符合正常的业绩水平。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④该项目批复的预算金额为51.18万元，《项目支出绩效目标表》中预算金额为51.18万元，预算确定的项目资金与预算确定的项目投资额相匹配。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综上所述，本指标满分为4.0分，根据评分标准得4.0分，本项目绩效目标设置合理。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（2）绩效指标明确性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经检查我单位年初设置的《项目支出绩效目标表》，得出如下结论：本项目已将年度绩效目标进行细化为绩效指标体系，共设置一级指标3个，二级指标5个，三级指标7个，定量指标6个，定性指标1个，指标量化率为85.71%，量化率达70.0%以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绩效目标申报表》中，数量指标指标值为购买及安装燃气供暖锅炉数量1台，三级指标的年度指标值与年度绩效目标中任务数一致，已设置时效指标“项目完成及时率=100%”。已设置的绩效目标具备明确性、可衡量性、可实现性、相关性、时限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综上所述，本指标满分为3.0分，根据评分标准得3.0分，本项目所设置绩效指标明确。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3.资金投入情况分析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（1）预算编制科学性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本项目预算编制通过进行初步设计，按设计概算编制本项目预算，即预算编制较科学且经过论证；</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预算申请内容为昌吉市第十五小学燃气供暖锅炉购买及安装，项目实际内容为昌吉市第十五小学燃气供暖锅炉购买及安装，预算申请与涉及的实际项目内容匹配；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预算申请资金51.18万元，我单位在预算申请中严格按照项目实施内容及测算标准进行核算，其中：锅炉购买及安装费用51.18万元。预算确定资金量与实际工作任务相匹配。本项目预算额度测算依据充分，严格按照标准编制，预算确定资金量与实际工作任务相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综上所述，本指标满分为4.0分，根据评分标准得4.0分，本项目预算编制科学。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（2）资金分配合理性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实际分配资金以《关于申请昌吉市第十五小学燃气供暖锅炉资金项目资金的请示》和《昌吉市第十五小学燃气供暖锅炉资金项目实施方案》为依据进行资金分配，预算资金分配依据充分。本项目实际到位资金51.18万元，资金分配额度合理，与我单位实际需求相适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综上所述，本指标满分为2.0分，根据评分标准得2.0分，本项目资金分配合理。</w:t>
      </w:r>
      <w:r>
        <w:rPr>
          <w:rStyle w:val="18"/>
          <w:rFonts w:hint="eastAsia" w:ascii="楷体" w:hAnsi="楷体" w:eastAsia="楷体"/>
          <w:b w:val="0"/>
          <w:bCs w:val="0"/>
          <w:color w:val="000000" w:themeColor="text1"/>
          <w:spacing w:val="-4"/>
          <w:sz w:val="32"/>
          <w:szCs w:val="32"/>
          <w14:textFill>
            <w14:solidFill>
              <w14:schemeClr w14:val="tx1"/>
            </w14:solidFill>
          </w14:textFill>
        </w:rPr>
        <w:tab/>
      </w:r>
    </w:p>
    <w:p>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（二）</w:t>
      </w:r>
      <w:r>
        <w:rPr>
          <w:rStyle w:val="18"/>
          <w:rFonts w:hint="eastAsia" w:ascii="楷体" w:hAnsi="楷体" w:eastAsia="楷体"/>
          <w:color w:val="000000" w:themeColor="text1"/>
          <w:spacing w:val="-4"/>
          <w:sz w:val="32"/>
          <w:szCs w:val="32"/>
          <w14:textFill>
            <w14:solidFill>
              <w14:schemeClr w14:val="tx1"/>
            </w14:solidFill>
          </w14:textFill>
        </w:rPr>
        <w:t>项目过程情况</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（二）项目过程情况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项目过程管理类指标由2个二级指标和5个三级指标构成，权重分19.0分，实际得分19.0分。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1.资金管理情况分析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（1）资金到位率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本项目预算资金为51.18万元，其中：财政安排资金51.18万元，其他资金0.00万元，实际到位资金51.18万元，资金到位率=100.0%。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综上所述，本指标满分为2.0分，根据评分标准得2.0分，本项目资金分配合理。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（2）预算执行率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本项目实际支出资金51.18万元，预算执行率=100.0%；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项目已完成，总体完成率为100.0%；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综上所述，本指标满分为7.0分，根据评分标准得7.0分，本项目资金分配合理。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（3）资金使用合规性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通过检查本项目签订的合同、资金申请文件、发票等财务付款凭证，得出本项目资金支出符合国家财经法规、《政府会计制度》《昌吉市财政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综上所述，本指标满分为4.0分，根据评分标准得4.0分，资金支出符合我单位财务管理制度规定。</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2.组织实施情况分析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（1）管理制度健全性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我单位按照《昌吉市财政专项资金管理办法》对项目资金进行管理，均符合行政事业单位内控管理要求，财务和业务管理制度合法、合规、完整，本项目执行符合上述制度规定。</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综上所述，本指标满分为2.0分，根据评分标准得2.0分，项目制度建设健全。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（2）制度执行有效性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该项目的实施符合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②经现场查证项目合同书、验收评审表、财务支付凭证等资料齐全并及时归档。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③该项目实施过程中不存在调整事项。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④该项目实施所需要的项目人员和场地设备均已落实到位，具体涉及内容包括：项目资金支出严格按照自治区、地区以及本单位资金管理办法执行。</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综上所述，本指标满分为4.0分，根据评分标准得4.0分，本项目所建立制度执行有效。</w:t>
      </w:r>
    </w:p>
    <w:p>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（三）</w:t>
      </w:r>
      <w:r>
        <w:rPr>
          <w:rStyle w:val="18"/>
          <w:rFonts w:hint="eastAsia" w:ascii="楷体" w:hAnsi="楷体" w:eastAsia="楷体"/>
          <w:color w:val="000000" w:themeColor="text1"/>
          <w:spacing w:val="-4"/>
          <w:sz w:val="32"/>
          <w:szCs w:val="32"/>
          <w14:textFill>
            <w14:solidFill>
              <w14:schemeClr w14:val="tx1"/>
            </w14:solidFill>
          </w14:textFill>
        </w:rPr>
        <w:t>项目产出情况</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（三）项目产出情况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项目产出类指标由4个二级指标和6个三级指标构成，权重分30.0分，实际得分30.0分。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1.数量指标完成情况分析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“购买燃气供暖锅炉数量”指标：预期指标值为“=1台”，实际完成指标值为“=1台”，指标完成率为100.0%。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综上所述，本指标满分为4.0分，根据评分标准得4.0分。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“安装燃气供暖锅炉数量”指标：预期指标值为“=1台”，实际完成指标值为“=1台”，指标完成率为100.0%。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综上所述，本指标满分为4.0分，根据评分标准得4.0分。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2.质量指标完成情况分析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“燃气供暖锅炉验收合格率”指标：预期指标值为“=100%”，实际完成指标值为“100%”，指标完成率为100.0%。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综上所述，本指标满分为4.0分，根据评分标准得4.0分。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3.时效指标完成情况分析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“项目完成及时率”指标：预期指标值为“=100.0%”，实际完成指标值为“100.0%”，指标完成率为100.0%。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综上所述，本指标满分为4.0分，根据评分标准得4.0分。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“资金支付及时率”指标：预期指标值为“=100.0%”，实际完成指标值为“100.0%”，指标完成率为100.0%。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综上所述，本指标满分为4.0分，根据评分标准得4.0分。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4.成本指标完成情况分析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（1）经济成本指标完成情况分析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“购买燃气供暖锅炉金额”指标：预期指标值为“≤51.18万元”，实际完成指标值为“51.18万元”，指标完成率为100.0%。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综上所述，本指标满分为10.0分，根据评分标准得10.0分。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（2）社会成本指标完成情况分析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无此类指标。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（3）生态环境成本指标完成情况分析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无此类指标。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（四）项目效益情况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项目效益类指标由1个二级指标和1个三级指标构成，权重分20.0分，实际得分20.0分。</w:t>
      </w:r>
    </w:p>
    <w:p>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（四）</w:t>
      </w:r>
      <w:r>
        <w:rPr>
          <w:rStyle w:val="18"/>
          <w:rFonts w:hint="eastAsia" w:ascii="楷体" w:hAnsi="楷体" w:eastAsia="楷体"/>
          <w:color w:val="000000" w:themeColor="text1"/>
          <w:spacing w:val="-4"/>
          <w:sz w:val="32"/>
          <w:szCs w:val="32"/>
          <w14:textFill>
            <w14:solidFill>
              <w14:schemeClr w14:val="tx1"/>
            </w14:solidFill>
          </w14:textFill>
        </w:rPr>
        <w:t>项目效益情况</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1.社会效益完成情况分析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“有效提高冬季供暖效率”指标：预期指标值为“有效提高”，实际完成指标值为“基本达成目标”，指标完成率为100.0%。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综上所述，本指标满分为30.0分，根据评分标准得30.0分。</w:t>
      </w:r>
    </w:p>
    <w:p>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p>
    <w:p>
      <w:pPr>
        <w:numPr>
          <w:ilvl w:val="0"/>
          <w:numId w:val="1"/>
        </w:numPr>
        <w:spacing w:line="540" w:lineRule="exact"/>
        <w:ind w:firstLine="640"/>
        <w:rPr>
          <w:rStyle w:val="18"/>
          <w:rFonts w:hint="eastAsia"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预算执行进度与绩效指标偏差</w:t>
      </w:r>
    </w:p>
    <w:p>
      <w:pPr>
        <w:spacing w:line="540" w:lineRule="exact"/>
        <w:ind w:firstLine="567"/>
        <w:rPr>
          <w:rStyle w:val="18"/>
          <w:rFonts w:hint="default" w:ascii="黑体" w:hAnsi="黑体" w:eastAsia="黑体"/>
          <w:b w:val="0"/>
          <w:color w:val="000000" w:themeColor="text1"/>
          <w:spacing w:val="-4"/>
          <w:sz w:val="32"/>
          <w:szCs w:val="32"/>
          <w:lang w:val="en-US" w:eastAsia="zh-CN"/>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五、预算执行进度与绩效指标偏差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本项目年初预算资金总额为51.18万元，全年预算数为51.18万元，全年执行数为51.18万元，预算执行率为100.0%。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本项目共设置三级指标数量7个，满分指标数量7个，扣分指标数量0个，经分析计算所有三级指标完成率得出，本项目总体完成率为100.0%。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综上所述本项目预算执行率与总体完成率之间的偏差为0%。</w:t>
      </w:r>
    </w:p>
    <w:p>
      <w:pPr>
        <w:numPr>
          <w:ilvl w:val="0"/>
          <w:numId w:val="1"/>
        </w:numPr>
        <w:spacing w:line="540" w:lineRule="exact"/>
        <w:ind w:firstLine="640"/>
        <w:rPr>
          <w:rStyle w:val="18"/>
          <w:rFonts w:hint="eastAsia"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主要经验及做法、存在的问题及原因分析</w:t>
      </w:r>
    </w:p>
    <w:p>
      <w:pPr>
        <w:spacing w:line="540" w:lineRule="exact"/>
        <w:ind w:firstLine="567"/>
        <w:rPr>
          <w:rFonts w:ascii="仿宋_GB2312" w:eastAsia="仿宋_GB2312"/>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五、预算执行进度与绩效指标偏差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本项目年初预算资金总额为51.18万元，全年预算数为51.18万元，全年执行数为51.18万元，预算执行率为100.0%。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本项目共设置三级指标数量7个，满分指标数量7个，扣分指标数量0个，经分析计算所有三级指标完成率得出，本项目总体完成率为100.0%。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综上所述本项目预算执行率与总体完成率之间的偏差为0%。</w:t>
      </w: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七</w:t>
      </w:r>
      <w:r>
        <w:rPr>
          <w:rStyle w:val="18"/>
          <w:rFonts w:hint="eastAsia" w:ascii="黑体" w:hAnsi="黑体" w:eastAsia="黑体"/>
          <w:b w:val="0"/>
          <w:color w:val="000000" w:themeColor="text1"/>
          <w:spacing w:val="-4"/>
          <w:sz w:val="32"/>
          <w:szCs w:val="32"/>
          <w14:textFill>
            <w14:solidFill>
              <w14:schemeClr w14:val="tx1"/>
            </w14:solidFill>
          </w14:textFill>
        </w:rPr>
        <w:t>、有关建议</w:t>
      </w:r>
    </w:p>
    <w:p>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七、有关建议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1.加强培训，提高相关人员工作水平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2.扎实推进档案规范化建设，提升档案管理水平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高度重视，加强领导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八</w:t>
      </w:r>
      <w:r>
        <w:rPr>
          <w:rStyle w:val="18"/>
          <w:rFonts w:hint="eastAsia" w:ascii="黑体" w:hAnsi="黑体" w:eastAsia="黑体"/>
          <w:b w:val="0"/>
          <w:color w:val="000000" w:themeColor="text1"/>
          <w:spacing w:val="-4"/>
          <w:sz w:val="32"/>
          <w:szCs w:val="32"/>
          <w14:textFill>
            <w14:solidFill>
              <w14:schemeClr w14:val="tx1"/>
            </w14:solidFill>
          </w14:textFill>
        </w:rPr>
        <w:t>、其他需要说明的问题</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八、其他需要说明的问题</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（三）评价结果分别编入政府决算和部门预算，报送本级人民代表大会常务委员会，并依法予以公开。</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bookmarkEnd w:id="0"/>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zZDQ1MzgxMjczNzMwZjc0NmVkMzY5NzhjMWY5MmQ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043242E"/>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30</Pages>
  <Words>10488</Words>
  <Characters>11116</Characters>
  <Lines>4</Lines>
  <Paragraphs>1</Paragraphs>
  <TotalTime>2</TotalTime>
  <ScaleCrop>false</ScaleCrop>
  <LinksUpToDate>false</LinksUpToDate>
  <CharactersWithSpaces>11163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杜里里oppo</cp:lastModifiedBy>
  <cp:lastPrinted>2018-12-31T10:56:00Z</cp:lastPrinted>
  <dcterms:modified xsi:type="dcterms:W3CDTF">2024-09-11T10:01:14Z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C734C92AAAF24344A0E4232D8EB3359B</vt:lpwstr>
  </property>
</Properties>
</file>