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22B" w:rsidRDefault="00FE622B">
      <w:pPr>
        <w:rPr>
          <w:rFonts w:ascii="黑体" w:eastAsia="黑体" w:hAnsi="黑体"/>
          <w:sz w:val="32"/>
          <w:szCs w:val="32"/>
        </w:rPr>
      </w:pPr>
    </w:p>
    <w:p w:rsidR="00FE622B" w:rsidRDefault="00FE622B">
      <w:pPr>
        <w:jc w:val="center"/>
        <w:rPr>
          <w:rFonts w:ascii="方正小标宋_GBK" w:eastAsia="方正小标宋_GBK" w:hAnsi="宋体"/>
          <w:sz w:val="44"/>
          <w:szCs w:val="44"/>
        </w:rPr>
      </w:pPr>
    </w:p>
    <w:p w:rsidR="00FE622B" w:rsidRDefault="00D44059">
      <w:pPr>
        <w:jc w:val="center"/>
        <w:rPr>
          <w:rFonts w:ascii="方正小标宋_GBK" w:eastAsia="方正小标宋_GBK" w:hAnsi="宋体"/>
          <w:sz w:val="44"/>
          <w:szCs w:val="44"/>
        </w:rPr>
      </w:pPr>
      <w:r>
        <w:rPr>
          <w:rFonts w:ascii="方正小标宋_GBK" w:eastAsia="方正小标宋_GBK" w:hAnsi="宋体" w:hint="eastAsia"/>
          <w:sz w:val="44"/>
          <w:szCs w:val="44"/>
        </w:rPr>
        <w:t>昌吉市卫生计生综合监督执法局</w:t>
      </w:r>
    </w:p>
    <w:p w:rsidR="00FE622B" w:rsidRDefault="00D44059">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FE622B" w:rsidRDefault="00D44059">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E622B" w:rsidRDefault="00D44059">
      <w:pPr>
        <w:rPr>
          <w:rFonts w:ascii="方正小标宋_GBK" w:eastAsia="方正小标宋_GBK" w:hAnsi="宋体"/>
          <w:sz w:val="44"/>
          <w:szCs w:val="44"/>
        </w:rPr>
      </w:pPr>
      <w:r>
        <w:rPr>
          <w:rFonts w:ascii="方正小标宋_GBK" w:eastAsia="方正小标宋_GBK" w:hAnsi="宋体" w:hint="eastAsia"/>
          <w:sz w:val="44"/>
          <w:szCs w:val="44"/>
        </w:rPr>
        <w:br w:type="page"/>
      </w:r>
    </w:p>
    <w:p w:rsidR="00FE622B" w:rsidRDefault="00D44059">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FE622B" w:rsidRDefault="00177B5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D44059">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E622B">
          <w:rPr>
            <w:rFonts w:ascii="仿宋_GB2312" w:eastAsia="仿宋_GB2312" w:hAnsi="仿宋_GB2312" w:cs="仿宋_GB2312" w:hint="eastAsia"/>
            <w:b/>
            <w:bCs/>
            <w:sz w:val="32"/>
            <w:szCs w:val="32"/>
          </w:rPr>
          <w:t>第一部分 单位概况</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30567" w:history="1">
        <w:r w:rsidR="00FE622B">
          <w:rPr>
            <w:rFonts w:ascii="仿宋_GB2312" w:eastAsia="仿宋_GB2312" w:hAnsi="仿宋_GB2312" w:cs="仿宋_GB2312" w:hint="eastAsia"/>
            <w:bCs/>
            <w:kern w:val="0"/>
            <w:sz w:val="32"/>
            <w:szCs w:val="32"/>
          </w:rPr>
          <w:t>一、主要职能</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2151" w:history="1">
        <w:r w:rsidR="00FE622B">
          <w:rPr>
            <w:rFonts w:ascii="仿宋_GB2312" w:eastAsia="仿宋_GB2312" w:hAnsi="仿宋_GB2312" w:cs="仿宋_GB2312" w:hint="eastAsia"/>
            <w:bCs/>
            <w:kern w:val="0"/>
            <w:sz w:val="32"/>
            <w:szCs w:val="32"/>
          </w:rPr>
          <w:t>二、机构设置及人员情况</w:t>
        </w:r>
      </w:hyperlink>
    </w:p>
    <w:p w:rsidR="00FE622B" w:rsidRDefault="00177B58">
      <w:pPr>
        <w:pStyle w:val="1"/>
        <w:tabs>
          <w:tab w:val="right" w:pos="8306"/>
        </w:tabs>
        <w:rPr>
          <w:rFonts w:ascii="仿宋_GB2312" w:eastAsia="仿宋_GB2312" w:hAnsi="仿宋_GB2312" w:cs="仿宋_GB2312"/>
          <w:b/>
          <w:bCs/>
          <w:sz w:val="32"/>
          <w:szCs w:val="32"/>
        </w:rPr>
      </w:pPr>
      <w:hyperlink w:anchor="_Toc29374" w:history="1">
        <w:r w:rsidR="00FE622B">
          <w:rPr>
            <w:rFonts w:ascii="仿宋_GB2312" w:eastAsia="仿宋_GB2312" w:hAnsi="仿宋_GB2312" w:cs="仿宋_GB2312" w:hint="eastAsia"/>
            <w:b/>
            <w:bCs/>
            <w:sz w:val="32"/>
            <w:szCs w:val="32"/>
          </w:rPr>
          <w:t>第二部分 部门决算情况说明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25314" w:history="1">
        <w:r w:rsidR="00FE622B">
          <w:rPr>
            <w:rFonts w:ascii="仿宋_GB2312" w:eastAsia="仿宋_GB2312" w:hAnsi="仿宋_GB2312" w:cs="仿宋_GB2312" w:hint="eastAsia"/>
            <w:bCs/>
            <w:kern w:val="0"/>
            <w:sz w:val="32"/>
            <w:szCs w:val="32"/>
          </w:rPr>
          <w:t>一、收入支出决算总体情况说明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12142" w:history="1">
        <w:r w:rsidR="00FE622B">
          <w:rPr>
            <w:rFonts w:ascii="仿宋_GB2312" w:eastAsia="仿宋_GB2312" w:hAnsi="仿宋_GB2312" w:cs="仿宋_GB2312" w:hint="eastAsia"/>
            <w:bCs/>
            <w:kern w:val="0"/>
            <w:sz w:val="32"/>
            <w:szCs w:val="32"/>
          </w:rPr>
          <w:t>二、收入决算情况说明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13201" w:history="1">
        <w:r w:rsidR="00FE622B">
          <w:rPr>
            <w:rFonts w:ascii="仿宋_GB2312" w:eastAsia="仿宋_GB2312" w:hAnsi="仿宋_GB2312" w:cs="仿宋_GB2312" w:hint="eastAsia"/>
            <w:bCs/>
            <w:kern w:val="0"/>
            <w:sz w:val="32"/>
            <w:szCs w:val="32"/>
          </w:rPr>
          <w:t>三、支出决算情况说明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26564" w:history="1">
        <w:r w:rsidR="00FE622B">
          <w:rPr>
            <w:rFonts w:ascii="仿宋_GB2312" w:eastAsia="仿宋_GB2312" w:hAnsi="仿宋_GB2312" w:cs="仿宋_GB2312" w:hint="eastAsia"/>
            <w:bCs/>
            <w:kern w:val="0"/>
            <w:sz w:val="32"/>
            <w:szCs w:val="32"/>
          </w:rPr>
          <w:t>四、财政拨款收入支出决算总体情况说明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20360" w:history="1">
        <w:r w:rsidR="00FE622B">
          <w:rPr>
            <w:rFonts w:ascii="仿宋_GB2312" w:eastAsia="仿宋_GB2312" w:hAnsi="仿宋_GB2312" w:cs="仿宋_GB2312" w:hint="eastAsia"/>
            <w:bCs/>
            <w:kern w:val="0"/>
            <w:sz w:val="32"/>
            <w:szCs w:val="32"/>
          </w:rPr>
          <w:t>五、一般公共预算财政拨款支出决算情况说明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30870" w:history="1">
        <w:r w:rsidR="00FE622B">
          <w:rPr>
            <w:rFonts w:ascii="仿宋_GB2312" w:eastAsia="仿宋_GB2312" w:hAnsi="仿宋_GB2312" w:cs="仿宋_GB2312" w:hint="eastAsia"/>
            <w:bCs/>
            <w:kern w:val="0"/>
            <w:sz w:val="32"/>
            <w:szCs w:val="32"/>
          </w:rPr>
          <w:t>六、一般公共预算财政拨款基本支出决算情况说明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21518" w:history="1">
        <w:r w:rsidR="00FE622B">
          <w:rPr>
            <w:rFonts w:ascii="仿宋_GB2312" w:eastAsia="仿宋_GB2312" w:hAnsi="仿宋_GB2312" w:cs="仿宋_GB2312" w:hint="eastAsia"/>
            <w:bCs/>
            <w:kern w:val="0"/>
            <w:sz w:val="32"/>
            <w:szCs w:val="32"/>
          </w:rPr>
          <w:t>七、财政拨款“三公”经费支出决算情况说明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5810" w:history="1">
        <w:r w:rsidR="00FE622B">
          <w:rPr>
            <w:rFonts w:ascii="仿宋_GB2312" w:eastAsia="仿宋_GB2312" w:hAnsi="仿宋_GB2312" w:cs="仿宋_GB2312" w:hint="eastAsia"/>
            <w:bCs/>
            <w:kern w:val="0"/>
            <w:sz w:val="32"/>
            <w:szCs w:val="32"/>
          </w:rPr>
          <w:t>八、政府性基金预算财政拨款收入支出决算情况说明</w:t>
        </w:r>
      </w:hyperlink>
    </w:p>
    <w:p w:rsidR="00FE622B" w:rsidRDefault="00177B58">
      <w:hyperlink w:anchor="_Toc5810" w:history="1">
        <w:r w:rsidR="00FE622B">
          <w:rPr>
            <w:rFonts w:ascii="仿宋_GB2312" w:eastAsia="仿宋_GB2312" w:hAnsi="仿宋_GB2312" w:cs="仿宋_GB2312" w:hint="eastAsia"/>
            <w:bCs/>
            <w:kern w:val="0"/>
            <w:sz w:val="32"/>
            <w:szCs w:val="32"/>
          </w:rPr>
          <w:t>九、国有资本经营预算财政拨款收入支出决算情况说明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1235" w:history="1">
        <w:r w:rsidR="00FE622B">
          <w:rPr>
            <w:rFonts w:ascii="仿宋_GB2312" w:eastAsia="仿宋_GB2312" w:hAnsi="仿宋_GB2312" w:cs="仿宋_GB2312" w:hint="eastAsia"/>
            <w:sz w:val="32"/>
            <w:szCs w:val="32"/>
          </w:rPr>
          <w:t>十</w:t>
        </w:r>
        <w:r w:rsidR="00FE622B">
          <w:rPr>
            <w:rFonts w:ascii="仿宋_GB2312" w:eastAsia="仿宋_GB2312" w:hAnsi="仿宋_GB2312" w:cs="仿宋_GB2312" w:hint="eastAsia"/>
            <w:bCs/>
            <w:kern w:val="0"/>
            <w:sz w:val="32"/>
            <w:szCs w:val="32"/>
          </w:rPr>
          <w:t>、其他重要事项的情况说明</w:t>
        </w:r>
      </w:hyperlink>
    </w:p>
    <w:p w:rsidR="00FE622B" w:rsidRDefault="00177B58">
      <w:pPr>
        <w:pStyle w:val="3"/>
        <w:tabs>
          <w:tab w:val="right" w:pos="8306"/>
        </w:tabs>
        <w:ind w:leftChars="0" w:left="0"/>
        <w:rPr>
          <w:rFonts w:ascii="仿宋_GB2312" w:eastAsia="仿宋_GB2312" w:hAnsi="仿宋_GB2312" w:cs="仿宋_GB2312"/>
          <w:sz w:val="32"/>
          <w:szCs w:val="32"/>
        </w:rPr>
      </w:pPr>
      <w:hyperlink w:anchor="_Toc14519" w:history="1">
        <w:r w:rsidR="00FE622B">
          <w:rPr>
            <w:rFonts w:ascii="仿宋_GB2312" w:eastAsia="仿宋_GB2312" w:hAnsi="仿宋_GB2312" w:cs="仿宋_GB2312" w:hint="eastAsia"/>
            <w:sz w:val="32"/>
            <w:szCs w:val="32"/>
          </w:rPr>
          <w:t>（一）机关运行经费支出情况</w:t>
        </w:r>
      </w:hyperlink>
    </w:p>
    <w:p w:rsidR="00FE622B" w:rsidRDefault="00177B58">
      <w:pPr>
        <w:pStyle w:val="3"/>
        <w:tabs>
          <w:tab w:val="right" w:pos="8306"/>
        </w:tabs>
        <w:ind w:leftChars="0" w:left="0"/>
        <w:rPr>
          <w:rFonts w:ascii="仿宋_GB2312" w:eastAsia="仿宋_GB2312" w:hAnsi="仿宋_GB2312" w:cs="仿宋_GB2312"/>
          <w:sz w:val="32"/>
          <w:szCs w:val="32"/>
        </w:rPr>
      </w:pPr>
      <w:hyperlink w:anchor="_Toc227" w:history="1">
        <w:r w:rsidR="00FE622B">
          <w:rPr>
            <w:rFonts w:ascii="仿宋_GB2312" w:eastAsia="仿宋_GB2312" w:hAnsi="仿宋_GB2312" w:cs="仿宋_GB2312" w:hint="eastAsia"/>
            <w:sz w:val="32"/>
            <w:szCs w:val="32"/>
          </w:rPr>
          <w:t>（二）政府采购情况</w:t>
        </w:r>
      </w:hyperlink>
    </w:p>
    <w:p w:rsidR="00FE622B" w:rsidRDefault="00177B58">
      <w:pPr>
        <w:pStyle w:val="3"/>
        <w:tabs>
          <w:tab w:val="right" w:pos="8306"/>
        </w:tabs>
        <w:ind w:leftChars="0" w:left="0"/>
        <w:rPr>
          <w:rFonts w:ascii="仿宋_GB2312" w:eastAsia="仿宋_GB2312" w:hAnsi="仿宋_GB2312" w:cs="仿宋_GB2312"/>
          <w:sz w:val="32"/>
          <w:szCs w:val="32"/>
        </w:rPr>
      </w:pPr>
      <w:hyperlink w:anchor="_Toc8391" w:history="1">
        <w:r w:rsidR="00FE622B">
          <w:rPr>
            <w:rFonts w:ascii="仿宋_GB2312" w:eastAsia="仿宋_GB2312" w:hAnsi="仿宋_GB2312" w:cs="仿宋_GB2312" w:hint="eastAsia"/>
            <w:sz w:val="32"/>
            <w:szCs w:val="32"/>
          </w:rPr>
          <w:t>（三）国有资产占用情况说明</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11283" w:history="1">
        <w:r w:rsidR="00FE622B">
          <w:rPr>
            <w:rFonts w:ascii="仿宋_GB2312" w:eastAsia="仿宋_GB2312" w:hAnsi="仿宋_GB2312" w:cs="仿宋_GB2312" w:hint="eastAsia"/>
            <w:bCs/>
            <w:kern w:val="0"/>
            <w:sz w:val="32"/>
            <w:szCs w:val="32"/>
          </w:rPr>
          <w:t>十一、预算绩效的情况说明</w:t>
        </w:r>
      </w:hyperlink>
    </w:p>
    <w:p w:rsidR="00FE622B" w:rsidRDefault="00D44059">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FE622B" w:rsidRDefault="00177B58">
      <w:pPr>
        <w:pStyle w:val="1"/>
        <w:tabs>
          <w:tab w:val="right" w:pos="8306"/>
        </w:tabs>
        <w:rPr>
          <w:rFonts w:ascii="仿宋_GB2312" w:eastAsia="仿宋_GB2312" w:hAnsi="仿宋_GB2312" w:cs="仿宋_GB2312"/>
          <w:b/>
          <w:bCs/>
          <w:sz w:val="32"/>
          <w:szCs w:val="32"/>
        </w:rPr>
      </w:pPr>
      <w:hyperlink w:anchor="_Toc3250" w:history="1">
        <w:r w:rsidR="00FE622B">
          <w:rPr>
            <w:rFonts w:ascii="仿宋_GB2312" w:eastAsia="仿宋_GB2312" w:hAnsi="仿宋_GB2312" w:cs="仿宋_GB2312" w:hint="eastAsia"/>
            <w:b/>
            <w:bCs/>
            <w:sz w:val="32"/>
            <w:szCs w:val="32"/>
          </w:rPr>
          <w:t>第三部分 专业名词解释</w:t>
        </w:r>
      </w:hyperlink>
    </w:p>
    <w:p w:rsidR="00FE622B" w:rsidRDefault="00177B58">
      <w:pPr>
        <w:pStyle w:val="1"/>
        <w:tabs>
          <w:tab w:val="right" w:pos="8306"/>
        </w:tabs>
        <w:rPr>
          <w:rFonts w:ascii="仿宋_GB2312" w:eastAsia="仿宋_GB2312" w:hAnsi="仿宋_GB2312" w:cs="仿宋_GB2312"/>
          <w:b/>
          <w:bCs/>
          <w:sz w:val="32"/>
          <w:szCs w:val="32"/>
        </w:rPr>
      </w:pPr>
      <w:hyperlink w:anchor="_Toc22784" w:history="1">
        <w:r w:rsidR="00FE622B">
          <w:rPr>
            <w:rFonts w:ascii="仿宋_GB2312" w:eastAsia="仿宋_GB2312" w:hAnsi="仿宋_GB2312" w:cs="仿宋_GB2312" w:hint="eastAsia"/>
            <w:b/>
            <w:bCs/>
            <w:sz w:val="32"/>
            <w:szCs w:val="32"/>
          </w:rPr>
          <w:t>第四部分 部门决算报表（见附表）</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2183" w:history="1">
        <w:r w:rsidR="00FE622B">
          <w:rPr>
            <w:rFonts w:ascii="仿宋_GB2312" w:eastAsia="仿宋_GB2312" w:hAnsi="仿宋_GB2312" w:cs="仿宋_GB2312" w:hint="eastAsia"/>
            <w:bCs/>
            <w:kern w:val="0"/>
            <w:sz w:val="32"/>
            <w:szCs w:val="32"/>
          </w:rPr>
          <w:t>一、《收入支出决算总表》</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24532" w:history="1">
        <w:r w:rsidR="00FE622B">
          <w:rPr>
            <w:rFonts w:ascii="仿宋_GB2312" w:eastAsia="仿宋_GB2312" w:hAnsi="仿宋_GB2312" w:cs="仿宋_GB2312" w:hint="eastAsia"/>
            <w:bCs/>
            <w:kern w:val="0"/>
            <w:sz w:val="32"/>
            <w:szCs w:val="32"/>
          </w:rPr>
          <w:t>二、《收入决算表》</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32434" w:history="1">
        <w:r w:rsidR="00FE622B">
          <w:rPr>
            <w:rFonts w:ascii="仿宋_GB2312" w:eastAsia="仿宋_GB2312" w:hAnsi="仿宋_GB2312" w:cs="仿宋_GB2312" w:hint="eastAsia"/>
            <w:bCs/>
            <w:kern w:val="0"/>
            <w:sz w:val="32"/>
            <w:szCs w:val="32"/>
          </w:rPr>
          <w:t>三、《支出决算表》</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28786" w:history="1">
        <w:r w:rsidR="00FE622B">
          <w:rPr>
            <w:rFonts w:ascii="仿宋_GB2312" w:eastAsia="仿宋_GB2312" w:hAnsi="仿宋_GB2312" w:cs="仿宋_GB2312" w:hint="eastAsia"/>
            <w:bCs/>
            <w:kern w:val="0"/>
            <w:sz w:val="32"/>
            <w:szCs w:val="32"/>
          </w:rPr>
          <w:t>四、《财政拨款收入支出决算总表》</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14869" w:history="1">
        <w:r w:rsidR="00FE622B">
          <w:rPr>
            <w:rFonts w:ascii="仿宋_GB2312" w:eastAsia="仿宋_GB2312" w:hAnsi="仿宋_GB2312" w:cs="仿宋_GB2312" w:hint="eastAsia"/>
            <w:bCs/>
            <w:kern w:val="0"/>
            <w:sz w:val="32"/>
            <w:szCs w:val="32"/>
          </w:rPr>
          <w:t>五、《一般公共预算财政拨款支出决算表》</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8884" w:history="1">
        <w:r w:rsidR="00FE622B">
          <w:rPr>
            <w:rFonts w:ascii="仿宋_GB2312" w:eastAsia="仿宋_GB2312" w:hAnsi="仿宋_GB2312" w:cs="仿宋_GB2312" w:hint="eastAsia"/>
            <w:bCs/>
            <w:kern w:val="0"/>
            <w:sz w:val="32"/>
            <w:szCs w:val="32"/>
          </w:rPr>
          <w:t>六、《一般公共预算财政拨款基本支出决算表》</w:t>
        </w:r>
      </w:hyperlink>
    </w:p>
    <w:p w:rsidR="00FE622B" w:rsidRDefault="00177B58">
      <w:pPr>
        <w:pStyle w:val="2"/>
        <w:tabs>
          <w:tab w:val="right" w:pos="8306"/>
        </w:tabs>
        <w:ind w:leftChars="0" w:left="0"/>
        <w:rPr>
          <w:rFonts w:ascii="仿宋_GB2312" w:eastAsia="仿宋_GB2312" w:hAnsi="仿宋_GB2312" w:cs="仿宋_GB2312"/>
          <w:sz w:val="32"/>
          <w:szCs w:val="32"/>
        </w:rPr>
      </w:pPr>
      <w:hyperlink w:anchor="_Toc29106" w:history="1">
        <w:r w:rsidR="00FE622B">
          <w:rPr>
            <w:rFonts w:ascii="仿宋_GB2312" w:eastAsia="仿宋_GB2312" w:hAnsi="仿宋_GB2312" w:cs="仿宋_GB2312" w:hint="eastAsia"/>
            <w:bCs/>
            <w:kern w:val="0"/>
            <w:sz w:val="32"/>
            <w:szCs w:val="32"/>
          </w:rPr>
          <w:t>七、《财政拨款“三公”经费支出决算表》</w:t>
        </w:r>
      </w:hyperlink>
    </w:p>
    <w:p w:rsidR="00FE622B" w:rsidRDefault="00177B58">
      <w:pPr>
        <w:pStyle w:val="2"/>
        <w:tabs>
          <w:tab w:val="right" w:pos="8306"/>
        </w:tabs>
        <w:ind w:leftChars="0" w:left="0"/>
        <w:rPr>
          <w:rFonts w:ascii="仿宋_GB2312" w:eastAsia="仿宋_GB2312" w:hAnsi="仿宋_GB2312" w:cs="仿宋_GB2312"/>
          <w:bCs/>
          <w:kern w:val="0"/>
          <w:sz w:val="32"/>
          <w:szCs w:val="32"/>
        </w:rPr>
      </w:pPr>
      <w:hyperlink w:anchor="_Toc7643" w:history="1">
        <w:r w:rsidR="00FE622B">
          <w:rPr>
            <w:rFonts w:ascii="仿宋_GB2312" w:eastAsia="仿宋_GB2312" w:hAnsi="仿宋_GB2312" w:cs="仿宋_GB2312" w:hint="eastAsia"/>
            <w:bCs/>
            <w:kern w:val="0"/>
            <w:sz w:val="32"/>
            <w:szCs w:val="32"/>
          </w:rPr>
          <w:t>八、《政府性基金预算财政拨款收入支出决算表》</w:t>
        </w:r>
      </w:hyperlink>
    </w:p>
    <w:p w:rsidR="00FE622B" w:rsidRDefault="00D44059">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FE622B" w:rsidRDefault="00177B58">
      <w:r>
        <w:rPr>
          <w:rFonts w:ascii="仿宋_GB2312" w:eastAsia="仿宋_GB2312" w:hAnsi="仿宋_GB2312" w:cs="仿宋_GB2312" w:hint="eastAsia"/>
          <w:sz w:val="32"/>
          <w:szCs w:val="32"/>
        </w:rPr>
        <w:fldChar w:fldCharType="end"/>
      </w:r>
    </w:p>
    <w:p w:rsidR="00FE622B" w:rsidRDefault="00D44059">
      <w:pPr>
        <w:rPr>
          <w:rFonts w:ascii="仿宋_GB2312" w:eastAsia="仿宋_GB2312"/>
          <w:sz w:val="32"/>
          <w:szCs w:val="32"/>
        </w:rPr>
      </w:pPr>
      <w:r>
        <w:rPr>
          <w:rFonts w:ascii="仿宋_GB2312" w:eastAsia="仿宋_GB2312" w:hint="eastAsia"/>
          <w:sz w:val="32"/>
          <w:szCs w:val="32"/>
        </w:rPr>
        <w:br w:type="page"/>
      </w:r>
    </w:p>
    <w:p w:rsidR="00FE622B" w:rsidRDefault="00D44059">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FE622B" w:rsidRDefault="00D44059">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BA5EFB" w:rsidRPr="00BA5EFB" w:rsidRDefault="00BA5EFB" w:rsidP="00BA5EFB">
      <w:pPr>
        <w:ind w:firstLineChars="200" w:firstLine="640"/>
        <w:jc w:val="left"/>
        <w:rPr>
          <w:rFonts w:ascii="仿宋_GB2312" w:eastAsia="仿宋_GB2312"/>
          <w:sz w:val="32"/>
          <w:szCs w:val="32"/>
        </w:rPr>
      </w:pPr>
      <w:r w:rsidRPr="00BA5EFB">
        <w:rPr>
          <w:rFonts w:ascii="仿宋_GB2312" w:eastAsia="仿宋_GB2312" w:hint="eastAsia"/>
          <w:sz w:val="32"/>
          <w:szCs w:val="32"/>
        </w:rPr>
        <w:t>1.依照相关法律、法规受市卫生局委托对辖区内公共场所、职业卫生、生活饮用水、学校卫生、放射卫生、传染病防治、消毒产品、医疗机构等实施卫生监督；</w:t>
      </w:r>
    </w:p>
    <w:p w:rsidR="00BA5EFB" w:rsidRPr="00BA5EFB" w:rsidRDefault="00BA5EFB" w:rsidP="00BA5EFB">
      <w:pPr>
        <w:ind w:firstLineChars="200" w:firstLine="640"/>
        <w:jc w:val="left"/>
        <w:rPr>
          <w:rFonts w:ascii="仿宋_GB2312" w:eastAsia="仿宋_GB2312"/>
          <w:sz w:val="32"/>
          <w:szCs w:val="32"/>
        </w:rPr>
      </w:pPr>
      <w:r w:rsidRPr="00BA5EFB">
        <w:rPr>
          <w:rFonts w:ascii="仿宋_GB2312" w:eastAsia="仿宋_GB2312" w:hint="eastAsia"/>
          <w:sz w:val="32"/>
          <w:szCs w:val="32"/>
        </w:rPr>
        <w:t>2.承担公共场所、医疗机构行政许可等资格认证的申请受理、预防性卫生审查、现场卫生审查及有关证书的发放、注册、校验等；</w:t>
      </w:r>
    </w:p>
    <w:p w:rsidR="00BA5EFB" w:rsidRPr="00BA5EFB" w:rsidRDefault="00BA5EFB" w:rsidP="00BA5EFB">
      <w:pPr>
        <w:ind w:firstLineChars="200" w:firstLine="640"/>
        <w:jc w:val="left"/>
        <w:rPr>
          <w:rFonts w:ascii="仿宋_GB2312" w:eastAsia="仿宋_GB2312"/>
          <w:sz w:val="32"/>
          <w:szCs w:val="32"/>
        </w:rPr>
      </w:pPr>
      <w:r w:rsidRPr="00BA5EFB">
        <w:rPr>
          <w:rFonts w:ascii="仿宋_GB2312" w:eastAsia="仿宋_GB2312" w:hint="eastAsia"/>
          <w:sz w:val="32"/>
          <w:szCs w:val="32"/>
        </w:rPr>
        <w:t>3.承担现场卫生监测、抽样等工作；</w:t>
      </w:r>
    </w:p>
    <w:p w:rsidR="00BA5EFB" w:rsidRPr="00BA5EFB" w:rsidRDefault="00BA5EFB" w:rsidP="00BA5EFB">
      <w:pPr>
        <w:ind w:firstLineChars="200" w:firstLine="640"/>
        <w:jc w:val="left"/>
        <w:rPr>
          <w:rFonts w:ascii="仿宋_GB2312" w:eastAsia="仿宋_GB2312"/>
          <w:sz w:val="32"/>
          <w:szCs w:val="32"/>
        </w:rPr>
      </w:pPr>
      <w:r w:rsidRPr="00BA5EFB">
        <w:rPr>
          <w:rFonts w:ascii="仿宋_GB2312" w:eastAsia="仿宋_GB2312" w:hint="eastAsia"/>
          <w:sz w:val="32"/>
          <w:szCs w:val="32"/>
        </w:rPr>
        <w:t>4.参与突发公共卫生事件的调查处理、应急控制；</w:t>
      </w:r>
    </w:p>
    <w:p w:rsidR="00BA5EFB" w:rsidRPr="00BA5EFB" w:rsidRDefault="00BA5EFB" w:rsidP="00BA5EFB">
      <w:pPr>
        <w:ind w:firstLineChars="200" w:firstLine="640"/>
        <w:jc w:val="left"/>
        <w:rPr>
          <w:rFonts w:ascii="仿宋_GB2312" w:eastAsia="仿宋_GB2312"/>
          <w:sz w:val="32"/>
          <w:szCs w:val="32"/>
        </w:rPr>
      </w:pPr>
      <w:r w:rsidRPr="00BA5EFB">
        <w:rPr>
          <w:rFonts w:ascii="仿宋_GB2312" w:eastAsia="仿宋_GB2312" w:hint="eastAsia"/>
          <w:sz w:val="32"/>
          <w:szCs w:val="32"/>
        </w:rPr>
        <w:t>5.受理有关投诉、举报等进行调查、处理；</w:t>
      </w:r>
    </w:p>
    <w:p w:rsidR="00FE622B" w:rsidRDefault="00BA5EFB" w:rsidP="00BA5EFB">
      <w:pPr>
        <w:ind w:firstLineChars="200" w:firstLine="640"/>
        <w:jc w:val="left"/>
        <w:rPr>
          <w:rFonts w:ascii="仿宋_GB2312" w:eastAsia="仿宋_GB2312"/>
          <w:sz w:val="32"/>
          <w:szCs w:val="32"/>
        </w:rPr>
      </w:pPr>
      <w:r w:rsidRPr="00BA5EFB">
        <w:rPr>
          <w:rFonts w:ascii="仿宋_GB2312" w:eastAsia="仿宋_GB2312" w:hint="eastAsia"/>
          <w:sz w:val="32"/>
          <w:szCs w:val="32"/>
        </w:rPr>
        <w:t>6.负责办理市卫生局交办的其他工作</w:t>
      </w:r>
      <w:r>
        <w:rPr>
          <w:rFonts w:ascii="仿宋_GB2312" w:eastAsia="仿宋_GB2312" w:hint="eastAsia"/>
          <w:sz w:val="32"/>
          <w:szCs w:val="32"/>
        </w:rPr>
        <w:t>。</w:t>
      </w:r>
    </w:p>
    <w:p w:rsidR="00FE622B" w:rsidRDefault="00D44059">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FE622B" w:rsidRDefault="00D44059">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昌吉市卫生计生综合监督执法局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43</w:t>
      </w:r>
      <w:r>
        <w:rPr>
          <w:rFonts w:ascii="仿宋_GB2312" w:eastAsia="仿宋_GB2312" w:hint="eastAsia"/>
          <w:sz w:val="32"/>
          <w:szCs w:val="32"/>
        </w:rPr>
        <w:t>人，其中：在职人员</w:t>
      </w:r>
      <w:r>
        <w:rPr>
          <w:rFonts w:ascii="仿宋_GB2312" w:eastAsia="仿宋_GB2312" w:hint="eastAsia"/>
          <w:sz w:val="32"/>
          <w:szCs w:val="32"/>
          <w:lang w:val="zh-CN"/>
        </w:rPr>
        <w:t>28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rsidR="00FE622B" w:rsidRDefault="00D44059">
      <w:pPr>
        <w:ind w:firstLineChars="200" w:firstLine="640"/>
        <w:rPr>
          <w:rFonts w:ascii="仿宋_GB2312" w:eastAsia="仿宋_GB2312" w:hAnsi="宋体" w:cs="宋体"/>
          <w:kern w:val="0"/>
          <w:sz w:val="32"/>
          <w:szCs w:val="32"/>
        </w:rPr>
        <w:sectPr w:rsidR="00FE622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A5EFB">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BA5EFB" w:rsidRPr="00BA5EFB">
        <w:rPr>
          <w:rFonts w:ascii="仿宋_GB2312" w:eastAsia="仿宋_GB2312" w:hAnsi="宋体" w:cs="宋体" w:hint="eastAsia"/>
          <w:kern w:val="0"/>
          <w:sz w:val="32"/>
          <w:szCs w:val="32"/>
        </w:rPr>
        <w:t>办公室、公共卫生监督科、医疗卫生监督科、职业病科、稽查科</w:t>
      </w:r>
      <w:r>
        <w:rPr>
          <w:rFonts w:ascii="仿宋_GB2312" w:eastAsia="仿宋_GB2312" w:hAnsi="宋体" w:cs="宋体" w:hint="eastAsia"/>
          <w:kern w:val="0"/>
          <w:sz w:val="32"/>
          <w:szCs w:val="32"/>
        </w:rPr>
        <w:t>。</w:t>
      </w:r>
    </w:p>
    <w:p w:rsidR="00FE622B" w:rsidRDefault="00D44059">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FE622B" w:rsidRDefault="00D44059">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518.96</w:t>
      </w:r>
      <w:r>
        <w:rPr>
          <w:rFonts w:ascii="仿宋_GB2312" w:eastAsia="仿宋_GB2312" w:hint="eastAsia"/>
          <w:sz w:val="32"/>
          <w:szCs w:val="32"/>
        </w:rPr>
        <w:t>万元，其中：本年收入合计</w:t>
      </w:r>
      <w:r>
        <w:rPr>
          <w:rFonts w:ascii="仿宋_GB2312" w:eastAsia="仿宋_GB2312" w:hint="eastAsia"/>
          <w:sz w:val="32"/>
          <w:szCs w:val="32"/>
        </w:rPr>
        <w:t>518.96</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518.96</w:t>
      </w:r>
      <w:r>
        <w:rPr>
          <w:rFonts w:ascii="仿宋_GB2312" w:eastAsia="仿宋_GB2312" w:hint="eastAsia"/>
          <w:sz w:val="32"/>
          <w:szCs w:val="32"/>
        </w:rPr>
        <w:t>万元，其中：本年支出合计</w:t>
      </w:r>
      <w:r>
        <w:rPr>
          <w:rFonts w:ascii="仿宋_GB2312" w:eastAsia="仿宋_GB2312" w:hint="eastAsia"/>
          <w:sz w:val="32"/>
          <w:szCs w:val="32"/>
        </w:rPr>
        <w:t>518.96</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51.43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11.00%</w:t>
      </w:r>
      <w:r>
        <w:rPr>
          <w:rFonts w:ascii="仿宋_GB2312" w:eastAsia="仿宋_GB2312" w:hint="eastAsia"/>
          <w:sz w:val="32"/>
          <w:szCs w:val="32"/>
        </w:rPr>
        <w:t>，主要原因是：</w:t>
      </w:r>
      <w:bookmarkStart w:id="10" w:name="_Hlk177998729"/>
      <w:r w:rsidR="00BA5EFB">
        <w:rPr>
          <w:rFonts w:ascii="仿宋_GB2312" w:eastAsia="仿宋_GB2312" w:hint="eastAsia"/>
          <w:sz w:val="32"/>
          <w:szCs w:val="32"/>
        </w:rPr>
        <w:t>本年</w:t>
      </w:r>
      <w:r w:rsidR="00BA5EFB" w:rsidRPr="00BA5EFB">
        <w:rPr>
          <w:rFonts w:ascii="仿宋_GB2312" w:eastAsia="仿宋_GB2312" w:hint="eastAsia"/>
          <w:sz w:val="32"/>
          <w:szCs w:val="32"/>
        </w:rPr>
        <w:t>中央重大传染病补助资金</w:t>
      </w:r>
      <w:r w:rsidR="00BA5EFB">
        <w:rPr>
          <w:rFonts w:ascii="仿宋_GB2312" w:eastAsia="仿宋_GB2312" w:hint="eastAsia"/>
          <w:sz w:val="32"/>
          <w:szCs w:val="32"/>
        </w:rPr>
        <w:t>和</w:t>
      </w:r>
      <w:r w:rsidR="00BA5EFB" w:rsidRPr="00BA5EFB">
        <w:rPr>
          <w:rFonts w:ascii="仿宋_GB2312" w:eastAsia="仿宋_GB2312" w:hint="eastAsia"/>
          <w:sz w:val="32"/>
          <w:szCs w:val="32"/>
        </w:rPr>
        <w:t>2022年中央重大传染病防控经费(第二批）</w:t>
      </w:r>
      <w:r w:rsidR="00BA5EFB">
        <w:rPr>
          <w:rFonts w:ascii="仿宋_GB2312" w:eastAsia="仿宋_GB2312" w:hint="eastAsia"/>
          <w:sz w:val="32"/>
          <w:szCs w:val="32"/>
        </w:rPr>
        <w:t>项目经费增加</w:t>
      </w:r>
      <w:bookmarkEnd w:id="10"/>
      <w:r>
        <w:rPr>
          <w:rFonts w:ascii="仿宋_GB2312" w:eastAsia="仿宋_GB2312" w:hint="eastAsia"/>
          <w:sz w:val="32"/>
          <w:szCs w:val="32"/>
        </w:rPr>
        <w:t>。</w:t>
      </w:r>
    </w:p>
    <w:p w:rsidR="00FE622B" w:rsidRDefault="00D44059">
      <w:pPr>
        <w:ind w:firstLineChars="200" w:firstLine="640"/>
        <w:jc w:val="left"/>
        <w:outlineLvl w:val="1"/>
        <w:rPr>
          <w:rFonts w:ascii="黑体" w:eastAsia="黑体" w:hAnsi="黑体" w:cs="宋体"/>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518.96</w:t>
      </w:r>
      <w:r>
        <w:rPr>
          <w:rFonts w:ascii="仿宋_GB2312" w:eastAsia="仿宋_GB2312" w:hint="eastAsia"/>
          <w:sz w:val="32"/>
          <w:szCs w:val="32"/>
        </w:rPr>
        <w:t>万元，其中：财政拨款收入</w:t>
      </w:r>
      <w:r>
        <w:rPr>
          <w:rFonts w:ascii="仿宋_GB2312" w:eastAsia="仿宋_GB2312" w:hint="eastAsia"/>
          <w:sz w:val="32"/>
          <w:szCs w:val="32"/>
          <w:lang w:val="zh-CN"/>
        </w:rPr>
        <w:t>518.96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FE622B" w:rsidRDefault="00D44059">
      <w:pPr>
        <w:ind w:firstLineChars="200" w:firstLine="640"/>
        <w:jc w:val="left"/>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FE622B" w:rsidRDefault="00D4405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518.96</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484.22</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93.31%</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34.74</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6.69%</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w:t>
      </w:r>
      <w:r>
        <w:rPr>
          <w:rFonts w:ascii="仿宋_GB2312" w:eastAsia="仿宋_GB2312" w:hAnsi="仿宋_GB2312" w:cs="仿宋_GB2312" w:hint="eastAsia"/>
          <w:sz w:val="32"/>
          <w:szCs w:val="32"/>
          <w:lang w:val="zh-CN"/>
        </w:rPr>
        <w:t>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FE622B" w:rsidRDefault="00D44059">
      <w:pPr>
        <w:ind w:firstLineChars="200" w:firstLine="640"/>
        <w:jc w:val="left"/>
        <w:outlineLvl w:val="1"/>
        <w:rPr>
          <w:rFonts w:ascii="黑体" w:eastAsia="黑体" w:hAnsi="黑体" w:cs="宋体"/>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518.96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518.96</w:t>
      </w:r>
      <w:r>
        <w:rPr>
          <w:rFonts w:ascii="仿宋_GB2312" w:eastAsia="仿宋_GB2312" w:hint="eastAsia"/>
          <w:sz w:val="32"/>
          <w:szCs w:val="32"/>
        </w:rPr>
        <w:t>万元。财政拨款支出总计</w:t>
      </w:r>
      <w:r>
        <w:rPr>
          <w:rFonts w:ascii="仿宋_GB2312" w:eastAsia="仿宋_GB2312" w:hint="eastAsia"/>
          <w:sz w:val="32"/>
          <w:szCs w:val="32"/>
          <w:lang w:val="zh-CN"/>
        </w:rPr>
        <w:t>518.96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518.96</w:t>
      </w:r>
      <w:r>
        <w:rPr>
          <w:rFonts w:ascii="仿宋_GB2312" w:eastAsia="仿宋_GB2312" w:hint="eastAsia"/>
          <w:sz w:val="32"/>
          <w:szCs w:val="32"/>
        </w:rPr>
        <w:t>万元。</w:t>
      </w:r>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51.43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11.00%,</w:t>
      </w:r>
      <w:r>
        <w:rPr>
          <w:rFonts w:ascii="仿宋_GB2312" w:eastAsia="仿宋_GB2312" w:hint="eastAsia"/>
          <w:sz w:val="32"/>
          <w:szCs w:val="32"/>
        </w:rPr>
        <w:t>主要原因是：</w:t>
      </w:r>
      <w:r w:rsidR="00BA5EFB" w:rsidRPr="00BA5EFB">
        <w:rPr>
          <w:rFonts w:ascii="仿宋_GB2312" w:eastAsia="仿宋_GB2312" w:hint="eastAsia"/>
          <w:sz w:val="32"/>
          <w:szCs w:val="32"/>
        </w:rPr>
        <w:t>本年中央重大传染病补助资金和2022年中央重大传染病防控经费(第二批）项目经费增加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441.47</w:t>
      </w:r>
      <w:r>
        <w:rPr>
          <w:rFonts w:ascii="仿宋_GB2312" w:eastAsia="仿宋_GB2312" w:hint="eastAsia"/>
          <w:sz w:val="32"/>
          <w:szCs w:val="32"/>
        </w:rPr>
        <w:t>万元，决算数</w:t>
      </w:r>
      <w:r>
        <w:rPr>
          <w:rFonts w:ascii="仿宋_GB2312" w:eastAsia="仿宋_GB2312" w:hint="eastAsia"/>
          <w:sz w:val="32"/>
          <w:szCs w:val="32"/>
          <w:lang w:val="zh-CN"/>
        </w:rPr>
        <w:t>518.96</w:t>
      </w:r>
      <w:r>
        <w:rPr>
          <w:rFonts w:ascii="仿宋_GB2312" w:eastAsia="仿宋_GB2312" w:hint="eastAsia"/>
          <w:sz w:val="32"/>
          <w:szCs w:val="32"/>
        </w:rPr>
        <w:t>万元，预决算差异率</w:t>
      </w:r>
      <w:r>
        <w:rPr>
          <w:rFonts w:ascii="仿宋_GB2312" w:eastAsia="仿宋_GB2312" w:hint="eastAsia"/>
          <w:sz w:val="32"/>
          <w:szCs w:val="32"/>
        </w:rPr>
        <w:t>17.55%</w:t>
      </w:r>
      <w:r>
        <w:rPr>
          <w:rFonts w:ascii="仿宋_GB2312" w:eastAsia="仿宋_GB2312" w:hint="eastAsia"/>
          <w:sz w:val="32"/>
          <w:szCs w:val="32"/>
        </w:rPr>
        <w:t>，主要原因是：</w:t>
      </w:r>
      <w:r w:rsidR="00BA5EFB">
        <w:rPr>
          <w:rFonts w:ascii="仿宋_GB2312" w:eastAsia="仿宋_GB2312" w:hint="eastAsia"/>
          <w:sz w:val="32"/>
          <w:szCs w:val="32"/>
        </w:rPr>
        <w:t>年中追加</w:t>
      </w:r>
      <w:r w:rsidR="00BA5EFB" w:rsidRPr="00BA5EFB">
        <w:rPr>
          <w:rFonts w:ascii="仿宋_GB2312" w:eastAsia="仿宋_GB2312" w:hint="eastAsia"/>
          <w:sz w:val="32"/>
          <w:szCs w:val="32"/>
        </w:rPr>
        <w:t>第一批中小企业欠款化解资金</w:t>
      </w:r>
      <w:r w:rsidR="00BA5EFB">
        <w:rPr>
          <w:rFonts w:ascii="仿宋_GB2312" w:eastAsia="仿宋_GB2312" w:hint="eastAsia"/>
          <w:sz w:val="32"/>
          <w:szCs w:val="32"/>
        </w:rPr>
        <w:t>项目</w:t>
      </w:r>
      <w:r w:rsidR="00DB6D55">
        <w:rPr>
          <w:rFonts w:ascii="仿宋_GB2312" w:eastAsia="仿宋_GB2312" w:hint="eastAsia"/>
          <w:sz w:val="32"/>
          <w:szCs w:val="32"/>
        </w:rPr>
        <w:t>经费</w:t>
      </w:r>
      <w:r>
        <w:rPr>
          <w:rFonts w:ascii="仿宋_GB2312" w:eastAsia="仿宋_GB2312" w:hint="eastAsia"/>
          <w:sz w:val="32"/>
          <w:szCs w:val="32"/>
        </w:rPr>
        <w:t>。</w:t>
      </w:r>
    </w:p>
    <w:p w:rsidR="00FE622B" w:rsidRDefault="00D44059">
      <w:pPr>
        <w:ind w:firstLineChars="200" w:firstLine="640"/>
        <w:jc w:val="left"/>
        <w:outlineLvl w:val="1"/>
        <w:rPr>
          <w:rFonts w:ascii="黑体" w:eastAsia="黑体" w:hAnsi="黑体" w:cs="宋体"/>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rsidR="00FE622B" w:rsidRDefault="00D44059">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FE622B" w:rsidRDefault="00D44059">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518.96</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51.43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11.00%,</w:t>
      </w:r>
      <w:r>
        <w:rPr>
          <w:rFonts w:ascii="仿宋_GB2312" w:eastAsia="仿宋_GB2312" w:hint="eastAsia"/>
          <w:sz w:val="32"/>
          <w:szCs w:val="32"/>
        </w:rPr>
        <w:t>主要原因是：</w:t>
      </w:r>
      <w:r w:rsidR="00BA5EFB" w:rsidRPr="00BA5EFB">
        <w:rPr>
          <w:rFonts w:ascii="仿宋_GB2312" w:eastAsia="仿宋_GB2312" w:hint="eastAsia"/>
          <w:sz w:val="32"/>
          <w:szCs w:val="32"/>
        </w:rPr>
        <w:t>本年中央重大传染病补助资金和2022年中央重大传染病防控经费(第二批）项目经费增加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441.47</w:t>
      </w:r>
      <w:r>
        <w:rPr>
          <w:rFonts w:ascii="仿宋_GB2312" w:eastAsia="仿宋_GB2312" w:hint="eastAsia"/>
          <w:sz w:val="32"/>
          <w:szCs w:val="32"/>
        </w:rPr>
        <w:t>万元，决算数</w:t>
      </w:r>
      <w:r>
        <w:rPr>
          <w:rFonts w:ascii="仿宋_GB2312" w:eastAsia="仿宋_GB2312" w:hint="eastAsia"/>
          <w:sz w:val="32"/>
          <w:szCs w:val="32"/>
          <w:lang w:val="zh-CN"/>
        </w:rPr>
        <w:t>518.96</w:t>
      </w:r>
      <w:r>
        <w:rPr>
          <w:rFonts w:ascii="仿宋_GB2312" w:eastAsia="仿宋_GB2312" w:hint="eastAsia"/>
          <w:sz w:val="32"/>
          <w:szCs w:val="32"/>
        </w:rPr>
        <w:t>万元，预决算差异率</w:t>
      </w:r>
      <w:r>
        <w:rPr>
          <w:rFonts w:ascii="仿宋_GB2312" w:eastAsia="仿宋_GB2312" w:hint="eastAsia"/>
          <w:sz w:val="32"/>
          <w:szCs w:val="32"/>
          <w:lang w:val="zh-CN"/>
        </w:rPr>
        <w:t>17.55%</w:t>
      </w:r>
      <w:r>
        <w:rPr>
          <w:rFonts w:ascii="仿宋_GB2312" w:eastAsia="仿宋_GB2312" w:hint="eastAsia"/>
          <w:sz w:val="32"/>
          <w:szCs w:val="32"/>
        </w:rPr>
        <w:t>，主要原因是：</w:t>
      </w:r>
      <w:r w:rsidR="00BA5EFB">
        <w:rPr>
          <w:rFonts w:ascii="仿宋_GB2312" w:eastAsia="仿宋_GB2312" w:hint="eastAsia"/>
          <w:sz w:val="32"/>
          <w:szCs w:val="32"/>
        </w:rPr>
        <w:t>年中追加</w:t>
      </w:r>
      <w:r w:rsidR="00BA5EFB" w:rsidRPr="00BA5EFB">
        <w:rPr>
          <w:rFonts w:ascii="仿宋_GB2312" w:eastAsia="仿宋_GB2312" w:hint="eastAsia"/>
          <w:sz w:val="32"/>
          <w:szCs w:val="32"/>
        </w:rPr>
        <w:t>第一批中小企业欠款化解资金</w:t>
      </w:r>
      <w:r w:rsidR="00BA5EFB">
        <w:rPr>
          <w:rFonts w:ascii="仿宋_GB2312" w:eastAsia="仿宋_GB2312" w:hint="eastAsia"/>
          <w:sz w:val="32"/>
          <w:szCs w:val="32"/>
        </w:rPr>
        <w:t>项目</w:t>
      </w:r>
      <w:r w:rsidR="00DB6D55">
        <w:rPr>
          <w:rFonts w:ascii="仿宋_GB2312" w:eastAsia="仿宋_GB2312" w:hint="eastAsia"/>
          <w:sz w:val="32"/>
          <w:szCs w:val="32"/>
        </w:rPr>
        <w:t>经费</w:t>
      </w:r>
      <w:r>
        <w:rPr>
          <w:rFonts w:ascii="仿宋_GB2312" w:eastAsia="仿宋_GB2312" w:hint="eastAsia"/>
          <w:sz w:val="32"/>
          <w:szCs w:val="32"/>
        </w:rPr>
        <w:t>。</w:t>
      </w:r>
    </w:p>
    <w:p w:rsidR="00FE622B" w:rsidRDefault="00D44059">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FE622B" w:rsidRDefault="00BA5EF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43.32</w:t>
      </w:r>
      <w:r>
        <w:rPr>
          <w:rFonts w:ascii="仿宋_GB2312" w:eastAsia="仿宋_GB2312"/>
          <w:kern w:val="2"/>
          <w:sz w:val="32"/>
          <w:szCs w:val="32"/>
          <w:lang w:val="zh-CN"/>
        </w:rPr>
        <w:t>万元，占</w:t>
      </w:r>
      <w:r>
        <w:rPr>
          <w:rFonts w:ascii="仿宋_GB2312" w:eastAsia="仿宋_GB2312" w:hint="eastAsia"/>
          <w:kern w:val="2"/>
          <w:sz w:val="32"/>
          <w:szCs w:val="32"/>
          <w:lang w:val="zh-CN"/>
        </w:rPr>
        <w:t>8.35%</w:t>
      </w:r>
      <w:r>
        <w:rPr>
          <w:rFonts w:ascii="仿宋_GB2312" w:eastAsia="仿宋_GB2312"/>
          <w:kern w:val="2"/>
          <w:sz w:val="32"/>
          <w:szCs w:val="32"/>
          <w:lang w:val="zh-CN"/>
        </w:rPr>
        <w:t>；</w:t>
      </w:r>
    </w:p>
    <w:p w:rsidR="00FE622B" w:rsidRDefault="00BA5EF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434.96</w:t>
      </w:r>
      <w:r>
        <w:rPr>
          <w:rFonts w:ascii="仿宋_GB2312" w:eastAsia="仿宋_GB2312"/>
          <w:kern w:val="2"/>
          <w:sz w:val="32"/>
          <w:szCs w:val="32"/>
          <w:lang w:val="zh-CN"/>
        </w:rPr>
        <w:t>万元，占</w:t>
      </w:r>
      <w:r>
        <w:rPr>
          <w:rFonts w:ascii="仿宋_GB2312" w:eastAsia="仿宋_GB2312" w:hint="eastAsia"/>
          <w:kern w:val="2"/>
          <w:sz w:val="32"/>
          <w:szCs w:val="32"/>
          <w:lang w:val="zh-CN"/>
        </w:rPr>
        <w:t>83.81%</w:t>
      </w:r>
      <w:r>
        <w:rPr>
          <w:rFonts w:ascii="仿宋_GB2312" w:eastAsia="仿宋_GB2312"/>
          <w:kern w:val="2"/>
          <w:sz w:val="32"/>
          <w:szCs w:val="32"/>
          <w:lang w:val="zh-CN"/>
        </w:rPr>
        <w:t>；</w:t>
      </w:r>
    </w:p>
    <w:p w:rsidR="00FE622B" w:rsidRDefault="00BA5EF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4.92</w:t>
      </w:r>
      <w:r>
        <w:rPr>
          <w:rFonts w:ascii="仿宋_GB2312" w:eastAsia="仿宋_GB2312"/>
          <w:kern w:val="2"/>
          <w:sz w:val="32"/>
          <w:szCs w:val="32"/>
          <w:lang w:val="zh-CN"/>
        </w:rPr>
        <w:t>万元，占</w:t>
      </w:r>
      <w:r>
        <w:rPr>
          <w:rFonts w:ascii="仿宋_GB2312" w:eastAsia="仿宋_GB2312" w:hint="eastAsia"/>
          <w:kern w:val="2"/>
          <w:sz w:val="32"/>
          <w:szCs w:val="32"/>
          <w:lang w:val="zh-CN"/>
        </w:rPr>
        <w:t>0.95%</w:t>
      </w:r>
      <w:r>
        <w:rPr>
          <w:rFonts w:ascii="仿宋_GB2312" w:eastAsia="仿宋_GB2312"/>
          <w:kern w:val="2"/>
          <w:sz w:val="32"/>
          <w:szCs w:val="32"/>
          <w:lang w:val="zh-CN"/>
        </w:rPr>
        <w:t>；</w:t>
      </w:r>
    </w:p>
    <w:p w:rsidR="00FE622B" w:rsidRDefault="00BA5EF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32.79</w:t>
      </w:r>
      <w:r>
        <w:rPr>
          <w:rFonts w:ascii="仿宋_GB2312" w:eastAsia="仿宋_GB2312"/>
          <w:kern w:val="2"/>
          <w:sz w:val="32"/>
          <w:szCs w:val="32"/>
          <w:lang w:val="zh-CN"/>
        </w:rPr>
        <w:t>万元，占</w:t>
      </w:r>
      <w:r>
        <w:rPr>
          <w:rFonts w:ascii="仿宋_GB2312" w:eastAsia="仿宋_GB2312" w:hint="eastAsia"/>
          <w:kern w:val="2"/>
          <w:sz w:val="32"/>
          <w:szCs w:val="32"/>
          <w:lang w:val="zh-CN"/>
        </w:rPr>
        <w:t>6.32%</w:t>
      </w:r>
      <w:r>
        <w:rPr>
          <w:rFonts w:ascii="仿宋_GB2312" w:eastAsia="仿宋_GB2312"/>
          <w:kern w:val="2"/>
          <w:sz w:val="32"/>
          <w:szCs w:val="32"/>
          <w:lang w:val="zh-CN"/>
        </w:rPr>
        <w:t>；</w:t>
      </w:r>
    </w:p>
    <w:p w:rsidR="00FE622B" w:rsidRDefault="00BA5EF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2.97</w:t>
      </w:r>
      <w:r>
        <w:rPr>
          <w:rFonts w:ascii="仿宋_GB2312" w:eastAsia="仿宋_GB2312"/>
          <w:kern w:val="2"/>
          <w:sz w:val="32"/>
          <w:szCs w:val="32"/>
          <w:lang w:val="zh-CN"/>
        </w:rPr>
        <w:t>万元，占</w:t>
      </w:r>
      <w:r>
        <w:rPr>
          <w:rFonts w:ascii="仿宋_GB2312" w:eastAsia="仿宋_GB2312" w:hint="eastAsia"/>
          <w:kern w:val="2"/>
          <w:sz w:val="32"/>
          <w:szCs w:val="32"/>
          <w:lang w:val="zh-CN"/>
        </w:rPr>
        <w:t>0.57%。</w:t>
      </w:r>
    </w:p>
    <w:p w:rsidR="00FE622B" w:rsidRDefault="00D44059">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w:t>
      </w:r>
      <w:r w:rsidR="00FD059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w:t>
      </w:r>
      <w:r w:rsidR="00FD0598">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D0598">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25.73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5.25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25.6</w:t>
      </w:r>
      <w:r w:rsidR="00FD0598">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BA5EFB">
        <w:rPr>
          <w:rFonts w:ascii="仿宋_GB2312" w:eastAsia="仿宋_GB2312" w:hAnsi="仿宋_GB2312" w:cs="仿宋_GB2312" w:hint="eastAsia"/>
          <w:sz w:val="32"/>
          <w:szCs w:val="32"/>
          <w:lang w:val="zh-CN"/>
        </w:rPr>
        <w:t>本年人员增加，单位医疗保险缴费增加</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2.71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3.76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58.1</w:t>
      </w:r>
      <w:r w:rsidR="00FD059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DB6D55" w:rsidRPr="00DB6D5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32.79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6.64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25.</w:t>
      </w:r>
      <w:r w:rsidR="00FD0598">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BA5EFB">
        <w:rPr>
          <w:rFonts w:ascii="仿宋_GB2312" w:eastAsia="仿宋_GB2312" w:hAnsi="仿宋_GB2312" w:cs="仿宋_GB2312" w:hint="eastAsia"/>
          <w:sz w:val="32"/>
          <w:szCs w:val="32"/>
          <w:lang w:val="zh-CN"/>
        </w:rPr>
        <w:t>本年人员增加，单位</w:t>
      </w:r>
      <w:r w:rsidR="00BA5EFB">
        <w:rPr>
          <w:rFonts w:ascii="仿宋_GB2312" w:eastAsia="仿宋_GB2312" w:hAnsi="仿宋_GB2312" w:cs="仿宋_GB2312" w:hint="eastAsia"/>
          <w:sz w:val="32"/>
          <w:szCs w:val="32"/>
        </w:rPr>
        <w:t>住房公积金</w:t>
      </w:r>
      <w:r w:rsidR="00DB6D55">
        <w:rPr>
          <w:rFonts w:ascii="仿宋_GB2312" w:eastAsia="仿宋_GB2312" w:hAnsi="仿宋_GB2312" w:cs="仿宋_GB2312" w:hint="eastAsia"/>
          <w:sz w:val="32"/>
          <w:szCs w:val="32"/>
        </w:rPr>
        <w:t>缴费</w:t>
      </w:r>
      <w:r w:rsidR="00BA5EFB">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卫生健康支出（类）公共卫生（款）卫生监督机构（项）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支出决算数为</w:t>
      </w:r>
      <w:r>
        <w:rPr>
          <w:rFonts w:ascii="仿宋_GB2312" w:eastAsia="仿宋_GB2312" w:hAnsi="仿宋_GB2312" w:cs="仿宋_GB2312" w:hint="eastAsia"/>
          <w:sz w:val="32"/>
          <w:szCs w:val="32"/>
        </w:rPr>
        <w:t>379.51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31.5</w:t>
      </w:r>
      <w:r w:rsidR="00FD059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9.0</w:t>
      </w:r>
      <w:r w:rsidR="00FD059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BA5EFB">
        <w:rPr>
          <w:rFonts w:ascii="仿宋_GB2312" w:eastAsia="仿宋_GB2312" w:hAnsi="仿宋_GB2312" w:cs="仿宋_GB2312" w:hint="eastAsia"/>
          <w:sz w:val="32"/>
          <w:szCs w:val="32"/>
          <w:lang w:val="zh-CN"/>
        </w:rPr>
        <w:t>本年人员增加，工资，</w:t>
      </w:r>
      <w:r w:rsidR="00DB6D55">
        <w:rPr>
          <w:rFonts w:ascii="仿宋_GB2312" w:eastAsia="仿宋_GB2312" w:hAnsi="仿宋_GB2312" w:cs="仿宋_GB2312" w:hint="eastAsia"/>
          <w:sz w:val="32"/>
          <w:szCs w:val="32"/>
          <w:lang w:val="zh-CN"/>
        </w:rPr>
        <w:t>津贴补贴、奖金</w:t>
      </w:r>
      <w:r w:rsidR="00BA5EFB">
        <w:rPr>
          <w:rFonts w:ascii="仿宋_GB2312" w:eastAsia="仿宋_GB2312" w:hAnsi="仿宋_GB2312" w:cs="仿宋_GB2312" w:hint="eastAsia"/>
          <w:sz w:val="32"/>
          <w:szCs w:val="32"/>
          <w:lang w:val="zh-CN"/>
        </w:rPr>
        <w:t>等人员经费增加</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4.92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4.92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41D87">
        <w:rPr>
          <w:rFonts w:ascii="仿宋_GB2312" w:eastAsia="仿宋_GB2312" w:hAnsi="仿宋_GB2312" w:cs="仿宋_GB2312" w:hint="eastAsia"/>
          <w:sz w:val="32"/>
          <w:szCs w:val="32"/>
        </w:rPr>
        <w:t>本年</w:t>
      </w:r>
      <w:r w:rsidR="00B41D87" w:rsidRPr="00B41D87">
        <w:rPr>
          <w:rFonts w:ascii="仿宋_GB2312" w:eastAsia="仿宋_GB2312" w:hAnsi="仿宋_GB2312" w:cs="仿宋_GB2312" w:hint="eastAsia"/>
          <w:sz w:val="32"/>
          <w:szCs w:val="32"/>
          <w:lang w:val="zh-CN"/>
        </w:rPr>
        <w:t>偿还2021年“双随机一公开”债务</w:t>
      </w:r>
      <w:r w:rsidR="00B41D87">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4.15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58.0</w:t>
      </w:r>
      <w:r w:rsidR="00FD0598">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B41D87" w:rsidRPr="00B41D87">
        <w:rPr>
          <w:rFonts w:ascii="仿宋_GB2312" w:eastAsia="仿宋_GB2312" w:hAnsi="仿宋_GB2312" w:cs="仿宋_GB2312" w:hint="eastAsia"/>
          <w:sz w:val="32"/>
          <w:szCs w:val="32"/>
          <w:lang w:val="zh-CN"/>
        </w:rPr>
        <w:t>2022中央基本公共卫生服务补助资金（全国学生常见病健康影响因素监测及综合干预）</w:t>
      </w:r>
      <w:r w:rsidR="00B41D87">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卫生健康支出（类）公共卫生（款）</w:t>
      </w:r>
      <w:r>
        <w:rPr>
          <w:rFonts w:ascii="仿宋_GB2312" w:eastAsia="仿宋_GB2312" w:hAnsi="仿宋_GB2312" w:cs="仿宋_GB2312" w:hint="eastAsia"/>
          <w:sz w:val="32"/>
          <w:szCs w:val="32"/>
        </w:rPr>
        <w:t>重大公共卫生服务（项）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23.85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23.85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41D87">
        <w:rPr>
          <w:rFonts w:ascii="仿宋_GB2312" w:eastAsia="仿宋_GB2312" w:hAnsi="仿宋_GB2312" w:cs="仿宋_GB2312" w:hint="eastAsia"/>
          <w:sz w:val="32"/>
          <w:szCs w:val="32"/>
          <w:lang w:val="zh-CN"/>
        </w:rPr>
        <w:t>本年</w:t>
      </w:r>
      <w:r w:rsidR="00B41D87" w:rsidRPr="00B41D87">
        <w:rPr>
          <w:rFonts w:ascii="仿宋_GB2312" w:eastAsia="仿宋_GB2312" w:hAnsi="仿宋_GB2312" w:cs="仿宋_GB2312" w:hint="eastAsia"/>
          <w:sz w:val="32"/>
          <w:szCs w:val="32"/>
          <w:lang w:val="zh-CN"/>
        </w:rPr>
        <w:t>中央重大传染病补助</w:t>
      </w:r>
      <w:r w:rsidR="00DB6D55">
        <w:rPr>
          <w:rFonts w:ascii="仿宋_GB2312" w:eastAsia="仿宋_GB2312" w:hAnsi="仿宋_GB2312" w:cs="仿宋_GB2312" w:hint="eastAsia"/>
          <w:sz w:val="32"/>
          <w:szCs w:val="32"/>
          <w:lang w:val="zh-CN"/>
        </w:rPr>
        <w:t>项目</w:t>
      </w:r>
      <w:r w:rsidR="00B41D87" w:rsidRPr="00B41D87">
        <w:rPr>
          <w:rFonts w:ascii="仿宋_GB2312" w:eastAsia="仿宋_GB2312" w:hAnsi="仿宋_GB2312" w:cs="仿宋_GB2312" w:hint="eastAsia"/>
          <w:sz w:val="32"/>
          <w:szCs w:val="32"/>
          <w:lang w:val="zh-CN"/>
        </w:rPr>
        <w:t>资金</w:t>
      </w:r>
      <w:r w:rsidR="00B41D8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2.97</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10.03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77.1</w:t>
      </w:r>
      <w:r w:rsidR="00FD059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B41D87">
        <w:rPr>
          <w:rFonts w:ascii="仿宋_GB2312" w:eastAsia="仿宋_GB2312" w:hAnsi="仿宋_GB2312" w:cs="仿宋_GB2312" w:hint="eastAsia"/>
          <w:sz w:val="32"/>
          <w:szCs w:val="32"/>
          <w:lang w:val="zh-CN"/>
        </w:rPr>
        <w:t>本年工作队工作下半年结束，工作经费减少</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w:t>
      </w:r>
      <w:r>
        <w:rPr>
          <w:rFonts w:ascii="仿宋_GB2312" w:eastAsia="仿宋_GB2312" w:hAnsi="仿宋_GB2312" w:cs="仿宋_GB2312" w:hint="eastAsia"/>
          <w:sz w:val="32"/>
          <w:szCs w:val="32"/>
        </w:rPr>
        <w:lastRenderedPageBreak/>
        <w:t>（款）机关事业单位基本养老保险缴费支出（项）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43.32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8.8</w:t>
      </w:r>
      <w:r w:rsidR="00FD0598">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25.5</w:t>
      </w:r>
      <w:r w:rsidR="00FD0598">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B41D87">
        <w:rPr>
          <w:rFonts w:ascii="仿宋_GB2312" w:eastAsia="仿宋_GB2312" w:hAnsi="仿宋_GB2312" w:cs="仿宋_GB2312" w:hint="eastAsia"/>
          <w:sz w:val="32"/>
          <w:szCs w:val="32"/>
          <w:lang w:val="zh-CN"/>
        </w:rPr>
        <w:t>本年人员增加，</w:t>
      </w:r>
      <w:r w:rsidR="00B41D87">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1.43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DB6D55" w:rsidRPr="00DB6D55">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FE622B" w:rsidRDefault="00D4405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10.20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41D87">
        <w:rPr>
          <w:rFonts w:ascii="仿宋_GB2312" w:eastAsia="仿宋_GB2312" w:hAnsi="仿宋_GB2312" w:cs="仿宋_GB2312" w:hint="eastAsia"/>
          <w:sz w:val="32"/>
          <w:szCs w:val="32"/>
          <w:lang w:val="zh-CN"/>
        </w:rPr>
        <w:t>本年单位</w:t>
      </w:r>
      <w:r w:rsidR="007A2B73">
        <w:rPr>
          <w:rFonts w:ascii="仿宋_GB2312" w:eastAsia="仿宋_GB2312" w:hAnsi="仿宋_GB2312" w:cs="仿宋_GB2312" w:hint="eastAsia"/>
          <w:sz w:val="32"/>
          <w:szCs w:val="32"/>
          <w:lang w:val="zh-CN"/>
        </w:rPr>
        <w:t>无一次性职业年金缴费</w:t>
      </w:r>
      <w:r>
        <w:rPr>
          <w:rFonts w:ascii="仿宋_GB2312" w:eastAsia="仿宋_GB2312" w:hAnsi="仿宋_GB2312" w:cs="仿宋_GB2312" w:hint="eastAsia"/>
          <w:sz w:val="32"/>
          <w:szCs w:val="32"/>
          <w:lang w:val="zh-CN"/>
        </w:rPr>
        <w:t>。</w:t>
      </w:r>
    </w:p>
    <w:p w:rsidR="00FE622B" w:rsidRDefault="00D4405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484.22</w:t>
      </w:r>
      <w:r>
        <w:rPr>
          <w:rFonts w:ascii="仿宋_GB2312" w:eastAsia="仿宋_GB2312" w:hint="eastAsia"/>
          <w:sz w:val="32"/>
          <w:szCs w:val="32"/>
        </w:rPr>
        <w:t>万元，其中：人员经费</w:t>
      </w:r>
      <w:r>
        <w:rPr>
          <w:rFonts w:ascii="仿宋_GB2312" w:eastAsia="仿宋_GB2312" w:hint="eastAsia"/>
          <w:sz w:val="32"/>
          <w:szCs w:val="32"/>
        </w:rPr>
        <w:t>461.99</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万元，包括：基本工资、津贴补贴、奖金、机关事业单位基本养老保险缴费、职工基本医疗保险缴费、公务员医疗补助缴费、其他社会保障缴费、住房公积金、医疗费、其他工资福利支出、退休费、奖励金。</w:t>
      </w:r>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22.24</w:t>
      </w:r>
      <w:r>
        <w:rPr>
          <w:rFonts w:ascii="仿宋_GB2312" w:eastAsia="仿宋_GB2312" w:hint="eastAsia"/>
          <w:sz w:val="32"/>
          <w:szCs w:val="32"/>
        </w:rPr>
        <w:t>万元，包括：办公费、印刷费、咨询费、手续费、水费、电费、邮电费、取暖费、物业管理费、差旅费、公务用车运行维护费、其他交通</w:t>
      </w:r>
      <w:r w:rsidRPr="00B41D87">
        <w:rPr>
          <w:rFonts w:ascii="仿宋_GB2312" w:eastAsia="仿宋_GB2312" w:hint="eastAsia"/>
          <w:sz w:val="32"/>
          <w:szCs w:val="32"/>
        </w:rPr>
        <w:t>费用。</w:t>
      </w:r>
    </w:p>
    <w:p w:rsidR="00FE622B" w:rsidRDefault="00D4405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FE622B" w:rsidRPr="00B41D87" w:rsidRDefault="00D44059" w:rsidP="00B41D87">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4.36</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2.40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122.45%,</w:t>
      </w:r>
      <w:r>
        <w:rPr>
          <w:rFonts w:ascii="仿宋_GB2312" w:eastAsia="仿宋_GB2312" w:hint="eastAsia"/>
          <w:sz w:val="32"/>
          <w:szCs w:val="32"/>
          <w:lang w:val="zh-CN"/>
        </w:rPr>
        <w:t>主要原因是：</w:t>
      </w:r>
      <w:r w:rsidR="00B41D87" w:rsidRPr="00B41D87">
        <w:rPr>
          <w:rFonts w:ascii="仿宋_GB2312" w:eastAsia="仿宋_GB2312" w:hint="eastAsia"/>
          <w:sz w:val="32"/>
          <w:szCs w:val="32"/>
        </w:rPr>
        <w:t>车辆老化</w:t>
      </w:r>
      <w:r w:rsidR="00B41D87">
        <w:rPr>
          <w:rFonts w:ascii="仿宋_GB2312" w:eastAsia="仿宋_GB2312" w:hint="eastAsia"/>
          <w:sz w:val="32"/>
          <w:szCs w:val="32"/>
        </w:rPr>
        <w:t>，维修费，燃油费增加</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B41D87" w:rsidRPr="00B41D87">
        <w:rPr>
          <w:rFonts w:ascii="仿宋_GB2312" w:eastAsia="仿宋_GB2312" w:hint="eastAsia"/>
          <w:sz w:val="32"/>
          <w:szCs w:val="32"/>
          <w:lang w:val="zh-CN"/>
        </w:rPr>
        <w:t>本年单位无此项经费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4.36</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2.40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122.45%,</w:t>
      </w:r>
      <w:r>
        <w:rPr>
          <w:rFonts w:ascii="仿宋_GB2312" w:eastAsia="仿宋_GB2312" w:hint="eastAsia"/>
          <w:sz w:val="32"/>
          <w:szCs w:val="32"/>
          <w:lang w:val="zh-CN"/>
        </w:rPr>
        <w:t>主要原因是：</w:t>
      </w:r>
      <w:r w:rsidR="00B41D87" w:rsidRPr="00B41D87">
        <w:rPr>
          <w:rFonts w:ascii="仿宋_GB2312" w:eastAsia="仿宋_GB2312" w:hint="eastAsia"/>
          <w:sz w:val="32"/>
          <w:szCs w:val="32"/>
          <w:lang w:val="zh-CN"/>
        </w:rPr>
        <w:t>车辆老化，维修费，燃油费增加</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B41D87" w:rsidRPr="00B41D87">
        <w:rPr>
          <w:rFonts w:ascii="仿宋_GB2312" w:eastAsia="仿宋_GB2312" w:hint="eastAsia"/>
          <w:sz w:val="32"/>
          <w:szCs w:val="32"/>
          <w:lang w:val="zh-CN"/>
        </w:rPr>
        <w:t>本年单位无此项经费</w:t>
      </w:r>
      <w:r>
        <w:rPr>
          <w:rFonts w:ascii="仿宋_GB2312" w:eastAsia="仿宋_GB2312" w:hint="eastAsia"/>
          <w:sz w:val="32"/>
          <w:szCs w:val="32"/>
          <w:lang w:val="zh-CN"/>
        </w:rPr>
        <w:t>。</w:t>
      </w:r>
    </w:p>
    <w:p w:rsidR="00FE622B" w:rsidRDefault="00D4405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FE622B" w:rsidRDefault="00D4405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w:t>
      </w:r>
      <w:r>
        <w:rPr>
          <w:rFonts w:ascii="仿宋_GB2312" w:eastAsia="仿宋_GB2312" w:hint="eastAsia"/>
          <w:sz w:val="32"/>
          <w:szCs w:val="32"/>
          <w:lang w:val="zh-CN"/>
        </w:rPr>
        <w:t>.00</w:t>
      </w:r>
      <w:r>
        <w:rPr>
          <w:rFonts w:ascii="仿宋_GB2312" w:eastAsia="仿宋_GB2312" w:hint="eastAsia"/>
          <w:sz w:val="32"/>
          <w:szCs w:val="32"/>
          <w:lang w:val="zh-CN"/>
        </w:rPr>
        <w:t>万元，开支内容包括</w:t>
      </w:r>
      <w:r w:rsidR="00B41D87" w:rsidRPr="00B41D87">
        <w:rPr>
          <w:rFonts w:ascii="仿宋_GB2312" w:eastAsia="仿宋_GB2312" w:hint="eastAsia"/>
          <w:sz w:val="32"/>
          <w:szCs w:val="32"/>
          <w:lang w:val="zh-CN"/>
        </w:rPr>
        <w:t>本年单位无此项经费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4.36</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4.36</w:t>
      </w:r>
      <w:r>
        <w:rPr>
          <w:rFonts w:ascii="仿宋_GB2312" w:eastAsia="仿宋_GB2312" w:hint="eastAsia"/>
          <w:sz w:val="32"/>
          <w:szCs w:val="32"/>
          <w:lang w:val="zh-CN"/>
        </w:rPr>
        <w:t>万元。公务用车运行维护费开支内容包括</w:t>
      </w:r>
      <w:r w:rsidR="00B41D87" w:rsidRPr="00B41D87">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7</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A2B73" w:rsidRPr="007A2B73">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FE622B" w:rsidRDefault="00D4405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B41D87" w:rsidRPr="00B41D87">
        <w:rPr>
          <w:rFonts w:ascii="仿宋_GB2312" w:eastAsia="仿宋_GB2312" w:hint="eastAsia"/>
          <w:sz w:val="32"/>
          <w:szCs w:val="32"/>
          <w:lang w:val="zh-CN"/>
        </w:rPr>
        <w:t>本年单位无此项经费</w:t>
      </w:r>
      <w:r>
        <w:rPr>
          <w:rFonts w:ascii="仿宋_GB2312" w:eastAsia="仿宋_GB2312" w:hint="eastAsia"/>
          <w:sz w:val="32"/>
          <w:szCs w:val="32"/>
          <w:lang w:val="zh-CN"/>
        </w:rPr>
        <w:t>。单位全年安排的</w:t>
      </w:r>
      <w:r>
        <w:rPr>
          <w:rFonts w:ascii="仿宋_GB2312" w:eastAsia="仿宋_GB2312" w:hint="eastAsia"/>
          <w:sz w:val="32"/>
          <w:szCs w:val="32"/>
          <w:lang w:val="zh-CN"/>
        </w:rPr>
        <w:t>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FE622B" w:rsidRDefault="00D4405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4.36</w:t>
      </w:r>
      <w:r>
        <w:rPr>
          <w:rFonts w:ascii="仿宋_GB2312" w:eastAsia="仿宋_GB2312" w:hint="eastAsia"/>
          <w:sz w:val="32"/>
          <w:szCs w:val="32"/>
          <w:lang w:val="zh-CN"/>
        </w:rPr>
        <w:t>万元，决算数</w:t>
      </w:r>
      <w:r>
        <w:rPr>
          <w:rFonts w:ascii="仿宋_GB2312" w:eastAsia="仿宋_GB2312" w:hint="eastAsia"/>
          <w:sz w:val="32"/>
          <w:szCs w:val="32"/>
          <w:lang w:val="zh-CN"/>
        </w:rPr>
        <w:t>4.36</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B41D87">
        <w:rPr>
          <w:rFonts w:ascii="仿宋_GB2312" w:eastAsia="仿宋_GB2312" w:hint="eastAsia"/>
          <w:sz w:val="32"/>
          <w:szCs w:val="32"/>
          <w:lang w:val="zh-CN"/>
        </w:rPr>
        <w:t>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B41D87" w:rsidRPr="00B41D87">
        <w:rPr>
          <w:rFonts w:ascii="仿宋_GB2312" w:eastAsia="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B41D87" w:rsidRPr="00B41D87">
        <w:rPr>
          <w:rFonts w:ascii="仿宋_GB2312" w:eastAsia="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4.36</w:t>
      </w:r>
      <w:r>
        <w:rPr>
          <w:rFonts w:ascii="仿宋_GB2312" w:eastAsia="仿宋_GB2312" w:hint="eastAsia"/>
          <w:sz w:val="32"/>
          <w:szCs w:val="32"/>
          <w:lang w:val="zh-CN"/>
        </w:rPr>
        <w:t>万元，决算数</w:t>
      </w:r>
      <w:r>
        <w:rPr>
          <w:rFonts w:ascii="仿宋_GB2312" w:eastAsia="仿宋_GB2312" w:hint="eastAsia"/>
          <w:sz w:val="32"/>
          <w:szCs w:val="32"/>
          <w:lang w:val="zh-CN"/>
        </w:rPr>
        <w:t>4.36</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B41D87" w:rsidRPr="00B41D87">
        <w:rPr>
          <w:rFonts w:ascii="仿宋_GB2312" w:eastAsia="仿宋_GB2312" w:hint="eastAsia"/>
          <w:sz w:val="32"/>
          <w:szCs w:val="32"/>
          <w:lang w:val="zh-CN"/>
        </w:rPr>
        <w:t>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B41D87" w:rsidRPr="00B41D87">
        <w:rPr>
          <w:rFonts w:ascii="仿宋_GB2312" w:eastAsia="仿宋_GB2312" w:hint="eastAsia"/>
          <w:sz w:val="32"/>
          <w:szCs w:val="32"/>
          <w:lang w:val="zh-CN"/>
        </w:rPr>
        <w:t>本年单位无此项经费</w:t>
      </w:r>
      <w:r>
        <w:rPr>
          <w:rFonts w:ascii="仿宋_GB2312" w:eastAsia="仿宋_GB2312" w:hint="eastAsia"/>
          <w:sz w:val="32"/>
          <w:szCs w:val="32"/>
          <w:lang w:val="zh-CN"/>
        </w:rPr>
        <w:t>。</w:t>
      </w:r>
    </w:p>
    <w:p w:rsidR="00FE622B" w:rsidRDefault="00D44059">
      <w:pPr>
        <w:ind w:firstLineChars="200" w:firstLine="640"/>
        <w:jc w:val="left"/>
        <w:outlineLvl w:val="1"/>
        <w:rPr>
          <w:rFonts w:ascii="黑体" w:eastAsia="黑体" w:hAnsi="黑体" w:cs="宋体"/>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FE622B" w:rsidRDefault="00D4405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FE622B" w:rsidRDefault="00D44059">
      <w:pPr>
        <w:ind w:firstLineChars="200" w:firstLine="640"/>
        <w:jc w:val="left"/>
        <w:outlineLvl w:val="1"/>
        <w:rPr>
          <w:rFonts w:ascii="黑体" w:eastAsia="黑体" w:hAnsi="黑体" w:cs="宋体"/>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rsidR="00FE622B" w:rsidRDefault="00D44059">
      <w:pPr>
        <w:ind w:firstLineChars="200" w:firstLine="640"/>
        <w:jc w:val="left"/>
        <w:outlineLvl w:val="2"/>
        <w:rPr>
          <w:rFonts w:ascii="黑体" w:eastAsia="黑体" w:hAnsi="黑体"/>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rsidR="00FE622B" w:rsidRDefault="00D44059">
      <w:pPr>
        <w:ind w:firstLineChars="200" w:firstLine="640"/>
        <w:rPr>
          <w:rFonts w:ascii="仿宋_GB2312" w:eastAsia="仿宋_GB2312" w:hAnsi="仿宋_GB2312" w:cs="仿宋_GB2312"/>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昌吉市卫生计生综合监督执法局（行政单位和</w:t>
      </w:r>
      <w:r>
        <w:rPr>
          <w:rFonts w:ascii="仿宋_GB2312" w:eastAsia="仿宋_GB2312" w:hAnsi="仿宋_GB2312" w:cs="仿宋_GB2312" w:hint="eastAsia"/>
          <w:sz w:val="32"/>
          <w:szCs w:val="32"/>
        </w:rPr>
        <w:lastRenderedPageBreak/>
        <w:t>参照公务员法管理事业单位）机关运行经费支出</w:t>
      </w:r>
      <w:r>
        <w:rPr>
          <w:rFonts w:ascii="仿宋_GB2312" w:eastAsia="仿宋_GB2312" w:hAnsi="仿宋_GB2312" w:cs="仿宋_GB2312" w:hint="eastAsia"/>
          <w:sz w:val="32"/>
          <w:szCs w:val="32"/>
        </w:rPr>
        <w:t>22.24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4.74</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27.09%</w:t>
      </w:r>
      <w:r>
        <w:rPr>
          <w:rFonts w:ascii="仿宋_GB2312" w:eastAsia="仿宋_GB2312" w:hAnsi="仿宋_GB2312" w:cs="仿宋_GB2312" w:hint="eastAsia"/>
          <w:sz w:val="32"/>
          <w:szCs w:val="32"/>
          <w:lang w:val="zh-CN"/>
        </w:rPr>
        <w:t>，主要原因是：</w:t>
      </w:r>
      <w:r w:rsidR="00B41D87">
        <w:rPr>
          <w:rFonts w:ascii="仿宋_GB2312" w:eastAsia="仿宋_GB2312" w:hAnsi="仿宋_GB2312" w:cs="仿宋_GB2312" w:hint="eastAsia"/>
          <w:sz w:val="32"/>
          <w:szCs w:val="32"/>
          <w:lang w:val="zh-CN"/>
        </w:rPr>
        <w:t>本年办公费，手续费，水电费等增加</w:t>
      </w:r>
      <w:r>
        <w:rPr>
          <w:rFonts w:ascii="仿宋_GB2312" w:eastAsia="仿宋_GB2312" w:hAnsi="仿宋_GB2312" w:cs="仿宋_GB2312" w:hint="eastAsia"/>
          <w:sz w:val="32"/>
          <w:szCs w:val="32"/>
          <w:lang w:val="zh-CN"/>
        </w:rPr>
        <w:t>。</w:t>
      </w:r>
    </w:p>
    <w:p w:rsidR="00FE622B" w:rsidRDefault="00D44059">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rsidR="00FE622B" w:rsidRDefault="00D4405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30.48</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19.02</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11.46</w:t>
      </w:r>
      <w:r>
        <w:rPr>
          <w:rFonts w:ascii="仿宋_GB2312" w:eastAsia="仿宋_GB2312" w:hAnsi="仿宋_GB2312" w:cs="仿宋_GB2312" w:hint="eastAsia"/>
          <w:sz w:val="32"/>
          <w:szCs w:val="32"/>
          <w:lang w:val="zh-CN"/>
        </w:rPr>
        <w:t>万元。</w:t>
      </w:r>
    </w:p>
    <w:p w:rsidR="00FE622B" w:rsidRDefault="00D4405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29.34</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96.26%</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28.22</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92.59%</w:t>
      </w:r>
      <w:r>
        <w:rPr>
          <w:rFonts w:ascii="仿宋_GB2312" w:eastAsia="仿宋_GB2312" w:hAnsi="仿宋_GB2312" w:cs="仿宋_GB2312" w:hint="eastAsia"/>
          <w:sz w:val="32"/>
          <w:szCs w:val="32"/>
        </w:rPr>
        <w:t>。</w:t>
      </w:r>
    </w:p>
    <w:p w:rsidR="00FE622B" w:rsidRPr="00B41D87" w:rsidRDefault="00D44059">
      <w:pPr>
        <w:ind w:firstLineChars="200" w:firstLine="640"/>
        <w:jc w:val="left"/>
        <w:rPr>
          <w:rFonts w:eastAsia="黑体"/>
          <w:sz w:val="32"/>
          <w:szCs w:val="30"/>
          <w:lang w:val="zh-CN"/>
        </w:rPr>
      </w:pPr>
      <w:bookmarkStart w:id="27" w:name="_Toc4591"/>
      <w:bookmarkStart w:id="28" w:name="_Toc8391"/>
      <w:r w:rsidRPr="00B41D87">
        <w:rPr>
          <w:rFonts w:eastAsia="黑体" w:hint="eastAsia"/>
          <w:sz w:val="32"/>
          <w:szCs w:val="30"/>
          <w:lang w:val="zh-CN"/>
        </w:rPr>
        <w:t>（三）国有</w:t>
      </w:r>
      <w:r w:rsidRPr="00B41D87">
        <w:rPr>
          <w:rFonts w:eastAsia="黑体" w:hint="eastAsia"/>
          <w:sz w:val="32"/>
          <w:szCs w:val="30"/>
          <w:lang w:val="zh-CN"/>
        </w:rPr>
        <w:t>资产占用情况说明</w:t>
      </w:r>
      <w:bookmarkEnd w:id="27"/>
      <w:bookmarkEnd w:id="28"/>
    </w:p>
    <w:p w:rsidR="00FE622B" w:rsidRDefault="00D4405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1,121.21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1,976.67</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921.73</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7</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90.04</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7</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w:t>
      </w:r>
      <w:r w:rsidR="00B41D87">
        <w:rPr>
          <w:rFonts w:ascii="仿宋_GB2312" w:eastAsia="仿宋_GB2312" w:hAnsi="仿宋_GB2312" w:cs="仿宋_GB2312" w:hint="eastAsia"/>
          <w:sz w:val="32"/>
          <w:szCs w:val="32"/>
          <w:lang w:val="zh-CN"/>
        </w:rPr>
        <w:t>本年单位无其他车辆</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FE622B" w:rsidRDefault="00D44059">
      <w:pPr>
        <w:ind w:firstLineChars="200" w:firstLine="640"/>
        <w:jc w:val="left"/>
        <w:outlineLvl w:val="1"/>
        <w:rPr>
          <w:rFonts w:ascii="黑体" w:eastAsia="黑体" w:hAnsi="黑体" w:cs="宋体"/>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rsidR="00FE622B" w:rsidRDefault="00D44059">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A097B" w:rsidRPr="00DA097B">
        <w:rPr>
          <w:rFonts w:ascii="仿宋_GB2312" w:eastAsia="仿宋_GB2312"/>
          <w:sz w:val="32"/>
          <w:szCs w:val="32"/>
        </w:rPr>
        <w:t>518.96</w:t>
      </w:r>
      <w:r>
        <w:rPr>
          <w:rFonts w:ascii="仿宋_GB2312" w:eastAsia="仿宋_GB2312" w:hint="eastAsia"/>
          <w:sz w:val="32"/>
          <w:szCs w:val="32"/>
        </w:rPr>
        <w:t>万元，</w:t>
      </w:r>
      <w:r>
        <w:rPr>
          <w:rFonts w:ascii="仿宋_GB2312" w:eastAsia="仿宋_GB2312" w:hint="eastAsia"/>
          <w:sz w:val="32"/>
          <w:szCs w:val="32"/>
        </w:rPr>
        <w:lastRenderedPageBreak/>
        <w:t>实际执行总额</w:t>
      </w:r>
      <w:r w:rsidR="00DA097B" w:rsidRPr="00DA097B">
        <w:rPr>
          <w:rFonts w:ascii="仿宋_GB2312" w:eastAsia="仿宋_GB2312"/>
          <w:sz w:val="32"/>
          <w:szCs w:val="32"/>
        </w:rPr>
        <w:t>518.96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B6670">
        <w:rPr>
          <w:rFonts w:ascii="仿宋_GB2312" w:eastAsia="仿宋_GB2312" w:hint="eastAsia"/>
          <w:sz w:val="32"/>
          <w:szCs w:val="32"/>
        </w:rPr>
        <w:t>5</w:t>
      </w:r>
      <w:r>
        <w:rPr>
          <w:rFonts w:ascii="仿宋_GB2312" w:eastAsia="仿宋_GB2312" w:hint="eastAsia"/>
          <w:sz w:val="32"/>
          <w:szCs w:val="32"/>
        </w:rPr>
        <w:t>个，全年预算数</w:t>
      </w:r>
      <w:r w:rsidR="00FB6670" w:rsidRPr="00FB6670">
        <w:rPr>
          <w:rFonts w:ascii="仿宋_GB2312" w:eastAsia="仿宋_GB2312"/>
          <w:sz w:val="32"/>
          <w:szCs w:val="32"/>
        </w:rPr>
        <w:t>34.74</w:t>
      </w:r>
      <w:r>
        <w:rPr>
          <w:rFonts w:ascii="仿宋_GB2312" w:eastAsia="仿宋_GB2312" w:hint="eastAsia"/>
          <w:sz w:val="32"/>
          <w:szCs w:val="32"/>
        </w:rPr>
        <w:t>万元，全年执行数</w:t>
      </w:r>
      <w:r w:rsidR="00FB6670" w:rsidRPr="00FB6670">
        <w:rPr>
          <w:rFonts w:ascii="仿宋_GB2312" w:eastAsia="仿宋_GB2312"/>
          <w:sz w:val="32"/>
          <w:szCs w:val="32"/>
        </w:rPr>
        <w:t>34.74</w:t>
      </w:r>
      <w:r>
        <w:rPr>
          <w:rFonts w:ascii="仿宋_GB2312" w:eastAsia="仿宋_GB2312" w:hint="eastAsia"/>
          <w:sz w:val="32"/>
          <w:szCs w:val="32"/>
        </w:rPr>
        <w:t>万元。预算绩效管理取得的成效：一是</w:t>
      </w:r>
      <w:r w:rsidR="00B41D87" w:rsidRPr="00B41D87">
        <w:rPr>
          <w:rFonts w:ascii="仿宋_GB2312" w:eastAsia="仿宋_GB2312" w:hint="eastAsia"/>
          <w:sz w:val="32"/>
          <w:szCs w:val="32"/>
        </w:rPr>
        <w:t>强化我院的公益性质，为群众提供更加安全、有效、方便、经济的医疗服务，确保公益性质的正确方向</w:t>
      </w:r>
      <w:r>
        <w:rPr>
          <w:rFonts w:ascii="仿宋_GB2312" w:eastAsia="仿宋_GB2312" w:hint="eastAsia"/>
          <w:sz w:val="32"/>
          <w:szCs w:val="32"/>
        </w:rPr>
        <w:t>；二是</w:t>
      </w:r>
      <w:r w:rsidR="00B41D87" w:rsidRPr="00B41D87">
        <w:rPr>
          <w:rFonts w:ascii="仿宋_GB2312" w:eastAsia="仿宋_GB2312" w:hint="eastAsia"/>
          <w:sz w:val="32"/>
          <w:szCs w:val="32"/>
        </w:rPr>
        <w:t>充分发挥我院在提供基本医疗服务、急危重等方面的作用</w:t>
      </w:r>
      <w:r>
        <w:rPr>
          <w:rFonts w:ascii="仿宋_GB2312" w:eastAsia="仿宋_GB2312" w:hint="eastAsia"/>
          <w:sz w:val="32"/>
          <w:szCs w:val="32"/>
        </w:rPr>
        <w:t>。发现的问题及原因：一是</w:t>
      </w:r>
      <w:r w:rsidR="00B41D87" w:rsidRPr="00B41D87">
        <w:rPr>
          <w:rFonts w:ascii="仿宋_GB2312" w:eastAsia="仿宋_GB2312" w:hint="eastAsia"/>
          <w:sz w:val="32"/>
          <w:szCs w:val="32"/>
        </w:rPr>
        <w:t>内控制度需进一步完善</w:t>
      </w:r>
      <w:r w:rsidR="00B41D87">
        <w:rPr>
          <w:rFonts w:ascii="仿宋_GB2312" w:eastAsia="仿宋_GB2312" w:hint="eastAsia"/>
          <w:sz w:val="32"/>
          <w:szCs w:val="32"/>
        </w:rPr>
        <w:t>，</w:t>
      </w:r>
      <w:r w:rsidR="00B41D87" w:rsidRPr="00B41D87">
        <w:rPr>
          <w:rFonts w:ascii="仿宋_GB2312" w:eastAsia="仿宋_GB2312" w:hint="eastAsia"/>
          <w:sz w:val="32"/>
          <w:szCs w:val="32"/>
        </w:rPr>
        <w:t>对绩效目标指标的设置考虑不够充分</w:t>
      </w:r>
      <w:r>
        <w:rPr>
          <w:rFonts w:ascii="仿宋_GB2312" w:eastAsia="仿宋_GB2312" w:hint="eastAsia"/>
          <w:sz w:val="32"/>
          <w:szCs w:val="32"/>
        </w:rPr>
        <w:t>；二是</w:t>
      </w:r>
      <w:r w:rsidR="00B41D87" w:rsidRPr="00B41D87">
        <w:rPr>
          <w:rFonts w:ascii="仿宋_GB2312" w:eastAsia="仿宋_GB2312" w:hint="eastAsia"/>
          <w:sz w:val="32"/>
          <w:szCs w:val="32"/>
        </w:rPr>
        <w:t>绩效项目指标的设置、绩效项目监控与自评与项目负责人之间的沟通需要持续加强</w:t>
      </w:r>
      <w:r>
        <w:rPr>
          <w:rFonts w:ascii="仿宋_GB2312" w:eastAsia="仿宋_GB2312" w:hint="eastAsia"/>
          <w:sz w:val="32"/>
          <w:szCs w:val="32"/>
        </w:rPr>
        <w:t>。下一步改进</w:t>
      </w:r>
      <w:r>
        <w:rPr>
          <w:rFonts w:ascii="仿宋_GB2312" w:eastAsia="仿宋_GB2312" w:hint="eastAsia"/>
          <w:sz w:val="32"/>
          <w:szCs w:val="32"/>
        </w:rPr>
        <w:t>措施：一是</w:t>
      </w:r>
      <w:r w:rsidR="00B41D87" w:rsidRPr="00B41D87">
        <w:rPr>
          <w:rFonts w:ascii="仿宋_GB2312" w:eastAsia="仿宋_GB2312" w:hint="eastAsia"/>
          <w:sz w:val="32"/>
          <w:szCs w:val="32"/>
        </w:rPr>
        <w:t>采取集中学习、讲座、专题会议等方式，加大预算绩效管理培训力度，将如何制定绩效目标作为培训的中心内容，贯彻落实相关制度及办法</w:t>
      </w:r>
      <w:r>
        <w:rPr>
          <w:rFonts w:ascii="仿宋_GB2312" w:eastAsia="仿宋_GB2312" w:hint="eastAsia"/>
          <w:sz w:val="32"/>
          <w:szCs w:val="32"/>
        </w:rPr>
        <w:t>；二是</w:t>
      </w:r>
      <w:r w:rsidR="00B41D87" w:rsidRPr="00B41D87">
        <w:rPr>
          <w:rFonts w:ascii="仿宋_GB2312" w:eastAsia="仿宋_GB2312" w:hint="eastAsia"/>
          <w:sz w:val="32"/>
          <w:szCs w:val="32"/>
        </w:rPr>
        <w:t>进一步加强财务管理制度，严格财务审核</w:t>
      </w:r>
      <w:r>
        <w:rPr>
          <w:rFonts w:ascii="仿宋_GB2312" w:eastAsia="仿宋_GB2312" w:hint="eastAsia"/>
          <w:sz w:val="32"/>
          <w:szCs w:val="32"/>
        </w:rPr>
        <w:t>。具体项目自评情况附绩效自评表及自评报告。</w:t>
      </w:r>
    </w:p>
    <w:tbl>
      <w:tblPr>
        <w:tblW w:w="5000" w:type="pct"/>
        <w:jc w:val="center"/>
        <w:tblLook w:val="04A0"/>
      </w:tblPr>
      <w:tblGrid>
        <w:gridCol w:w="1545"/>
        <w:gridCol w:w="1190"/>
        <w:gridCol w:w="1163"/>
        <w:gridCol w:w="1016"/>
        <w:gridCol w:w="994"/>
        <w:gridCol w:w="788"/>
        <w:gridCol w:w="916"/>
        <w:gridCol w:w="910"/>
      </w:tblGrid>
      <w:tr w:rsidR="00B41D87" w:rsidRPr="00B41D87" w:rsidTr="00B41D8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41D87" w:rsidRPr="00EB5234" w:rsidRDefault="00B41D87" w:rsidP="00B41D87">
            <w:pPr>
              <w:widowControl/>
              <w:jc w:val="center"/>
              <w:rPr>
                <w:rFonts w:ascii="宋体" w:hAnsi="宋体" w:cs="宋体"/>
                <w:b/>
                <w:bCs/>
                <w:color w:val="000000"/>
                <w:kern w:val="0"/>
                <w:sz w:val="20"/>
                <w:szCs w:val="20"/>
              </w:rPr>
            </w:pPr>
            <w:r w:rsidRPr="00EB5234">
              <w:rPr>
                <w:rFonts w:ascii="宋体" w:hAnsi="宋体" w:cs="宋体" w:hint="eastAsia"/>
                <w:b/>
                <w:bCs/>
                <w:color w:val="000000"/>
                <w:kern w:val="0"/>
                <w:sz w:val="20"/>
                <w:szCs w:val="20"/>
              </w:rPr>
              <w:t>部门（单位）整体支出绩效目标自评表</w:t>
            </w:r>
          </w:p>
        </w:tc>
      </w:tr>
      <w:tr w:rsidR="00B41D87" w:rsidRPr="00B41D87" w:rsidTr="00B41D8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（2023年度）</w:t>
            </w:r>
          </w:p>
        </w:tc>
      </w:tr>
      <w:tr w:rsidR="00B41D87" w:rsidRPr="00B41D87" w:rsidTr="00B41D87">
        <w:trPr>
          <w:trHeight w:val="66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部门（单位）名称</w:t>
            </w:r>
          </w:p>
        </w:tc>
        <w:tc>
          <w:tcPr>
            <w:tcW w:w="6976"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昌吉市卫生计生综合监督执法局</w:t>
            </w:r>
          </w:p>
        </w:tc>
      </w:tr>
      <w:tr w:rsidR="00B41D87" w:rsidRPr="00B41D87" w:rsidTr="00B41D87">
        <w:trPr>
          <w:trHeight w:val="57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部门资金（万元）</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资金来源</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年初预算数</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全年预算数</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全年执行数</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分值权重</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执行率</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得分</w:t>
            </w:r>
          </w:p>
        </w:tc>
      </w:tr>
      <w:tr w:rsidR="00B41D87" w:rsidRPr="00B41D87" w:rsidTr="00B41D8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中央安排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w:t>
            </w:r>
          </w:p>
        </w:tc>
      </w:tr>
      <w:tr w:rsidR="00B41D87" w:rsidRPr="00B41D87" w:rsidTr="00B41D8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自治区安排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r>
      <w:tr w:rsidR="00B41D87" w:rsidRPr="00B41D87" w:rsidTr="00B41D8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地（州、市）安排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r>
      <w:tr w:rsidR="00B41D87" w:rsidRPr="00B41D87" w:rsidTr="00B41D8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县（市、区）安排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441.47</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518.96</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518.96</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r>
      <w:tr w:rsidR="00B41D87" w:rsidRPr="00B41D87" w:rsidTr="00B41D8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其他资金</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Default="00B41D87" w:rsidP="00B41D87">
            <w:pPr>
              <w:jc w:val="center"/>
            </w:pPr>
            <w:r w:rsidRPr="00B41D87">
              <w:rPr>
                <w:rFonts w:ascii="宋体" w:hAnsi="宋体" w:cs="宋体" w:hint="eastAsia"/>
                <w:color w:val="000000"/>
                <w:kern w:val="0"/>
                <w:sz w:val="20"/>
                <w:szCs w:val="20"/>
              </w:rPr>
              <w:t>0</w:t>
            </w:r>
            <w:r w:rsidRPr="00D96F91">
              <w:rPr>
                <w:rFonts w:ascii="宋体" w:hAnsi="宋体" w:cs="宋体" w:hint="eastAsia"/>
                <w:color w:val="000000"/>
                <w:kern w:val="0"/>
                <w:sz w:val="20"/>
                <w:szCs w:val="20"/>
              </w:rPr>
              <w:t>.00</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r>
      <w:tr w:rsidR="00B41D87" w:rsidRPr="00B41D87" w:rsidTr="00B41D8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合计</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441.47</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518.96</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518.96</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w:t>
            </w:r>
          </w:p>
        </w:tc>
      </w:tr>
      <w:tr w:rsidR="00B41D87" w:rsidRPr="00B41D87" w:rsidTr="00B41D87">
        <w:trPr>
          <w:trHeight w:val="705"/>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年度总体目标</w:t>
            </w:r>
          </w:p>
        </w:tc>
        <w:tc>
          <w:tcPr>
            <w:tcW w:w="33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预期目标</w:t>
            </w: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实际完成情况</w:t>
            </w:r>
          </w:p>
        </w:tc>
      </w:tr>
      <w:tr w:rsidR="00B41D87" w:rsidRPr="00B41D87" w:rsidTr="00B41D87">
        <w:trPr>
          <w:trHeight w:val="200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336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保障部门单位人员33人，发放工资福利408.24万元，运转支出分为商品服务支出与三公经费支出，其中办公经费33.23万元业务经费0万元（主要用于保障2023年在编职工33位的工资、津贴的按时发放，保障社保、医保、住房公积金的缴纳。单位运转保障33.23万元，其中主要用于保障办公人员的办公经费、人均运转经费数13.38万元、公务用车2辆，运行成本5.2万元、公用取暖费、办公用水电暖等的正常运转），通过2023年预算资金的使用，保障单位正常运转，实现监督员对昌吉市医疗卫生机构、公共卫生场的监督检查达到全覆盖，负责受理对违法行为的投诉、举报工作，承担卫生法律法规宣传教育和卫生监督员的培训、核实、上报工作，负责完成卫健委和上级业务部门交办的其他卫生监督事项，使业务保障能力有效提升。</w:t>
            </w: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2023年保障部门单位人员34人，其中：正式在编人员28人，协管人员6人，2023年人员经费支出461.99万元，公用经费22.23万元，项目支出34.74万元（主要用于保障2023年在编职工34人的工资、津贴的按时发放，保障社保、医保、住房公积金的缴纳。单位运转保障22.23万元，其中主要用于保障办公人员的办公经费、公务用车2辆，运行成本5.2万元、公用取暖费、办公用水电暖等的正常运转），通过2023年预算资金的使用，保障单位正常运转，实现监督员对昌吉市医疗卫生机构、公共卫生场的监督检查达到全覆盖，负责受理对违法行为的投诉、举报工作，承担卫生法律法规宣传教育和卫生监督员的培训、核实、上报工作，负责完成卫健委和上级业务部门交办的其他卫生监督事项，使业务保障能力有效提升。</w:t>
            </w:r>
          </w:p>
        </w:tc>
      </w:tr>
      <w:tr w:rsidR="00B41D87" w:rsidRPr="00B41D87" w:rsidTr="00B41D87">
        <w:trPr>
          <w:trHeight w:val="58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一级指标</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二级指标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三级指标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预期指标值</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指标值设定依据</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分值权重</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实际完成指标值</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得分</w:t>
            </w:r>
          </w:p>
        </w:tc>
      </w:tr>
      <w:tr w:rsidR="00B41D87" w:rsidRPr="00B41D87" w:rsidTr="00B41D87">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运行成本</w:t>
            </w:r>
          </w:p>
        </w:tc>
        <w:tc>
          <w:tcPr>
            <w:tcW w:w="11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保障办公人员数量</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&gt;=33人</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工资发放表</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34人</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r>
      <w:tr w:rsidR="00B41D87" w:rsidRPr="00B41D87" w:rsidTr="00B41D8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公务保障用车数量</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=2辆</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2023年预算公开说明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2辆</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r>
      <w:tr w:rsidR="00B41D87" w:rsidRPr="00B41D87" w:rsidTr="00B41D8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房屋建筑物供暖面积</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=1960.32平方米</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供暖合同、测绘报告</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1960.32平方米</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r>
      <w:tr w:rsidR="00B41D87" w:rsidRPr="00B41D87" w:rsidTr="00B41D8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时效指标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公用经费支付及时率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资金管理办法</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r>
      <w:tr w:rsidR="00B41D87" w:rsidRPr="00B41D87" w:rsidTr="00B41D87">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lastRenderedPageBreak/>
              <w:t>管理效率</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资金使用合规率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资金管理办法</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r>
      <w:tr w:rsidR="00B41D87" w:rsidRPr="00B41D87" w:rsidTr="00B41D8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B41D87" w:rsidRPr="00B41D87" w:rsidRDefault="00B41D87" w:rsidP="00B41D87">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时效指标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年度工作任务按时完成率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年度工作计划</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11</w:t>
            </w:r>
          </w:p>
        </w:tc>
      </w:tr>
      <w:tr w:rsidR="00B41D87" w:rsidRPr="00B41D87" w:rsidTr="00B41D8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履职效能</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对全市医疗机构、公共卫生场所进行监督检查覆盖率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年度工作计划</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12</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12</w:t>
            </w:r>
          </w:p>
        </w:tc>
      </w:tr>
      <w:tr w:rsidR="00B41D87" w:rsidRPr="00B41D87" w:rsidTr="00B41D8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社会效益</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r>
      <w:tr w:rsidR="00B41D87" w:rsidRPr="00B41D87" w:rsidTr="00B41D8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可持续发展能力</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eastAsia="Times New Roman"/>
                <w:kern w:val="0"/>
                <w:sz w:val="20"/>
                <w:szCs w:val="20"/>
              </w:rPr>
            </w:pPr>
          </w:p>
        </w:tc>
      </w:tr>
      <w:tr w:rsidR="00B41D87" w:rsidRPr="00B41D87" w:rsidTr="00B41D8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服务对象满意度</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群众对我局监管服务满意度</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&gt;=95%</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年度工作计划</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12</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100%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1D87" w:rsidRPr="00B41D87" w:rsidRDefault="00B41D87" w:rsidP="00B41D87">
            <w:pPr>
              <w:widowControl/>
              <w:jc w:val="center"/>
              <w:rPr>
                <w:rFonts w:ascii="宋体" w:hAnsi="宋体" w:cs="宋体"/>
                <w:color w:val="000000"/>
                <w:kern w:val="0"/>
                <w:sz w:val="20"/>
                <w:szCs w:val="20"/>
              </w:rPr>
            </w:pPr>
            <w:r w:rsidRPr="00B41D87">
              <w:rPr>
                <w:rFonts w:ascii="宋体" w:hAnsi="宋体" w:cs="宋体" w:hint="eastAsia"/>
                <w:color w:val="000000"/>
                <w:kern w:val="0"/>
                <w:sz w:val="20"/>
                <w:szCs w:val="20"/>
              </w:rPr>
              <w:t>12</w:t>
            </w:r>
          </w:p>
        </w:tc>
      </w:tr>
    </w:tbl>
    <w:p w:rsidR="00FE622B" w:rsidRDefault="00FE622B">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685"/>
        <w:gridCol w:w="1209"/>
        <w:gridCol w:w="66"/>
        <w:gridCol w:w="1217"/>
        <w:gridCol w:w="663"/>
        <w:gridCol w:w="916"/>
        <w:gridCol w:w="816"/>
        <w:gridCol w:w="151"/>
        <w:gridCol w:w="380"/>
        <w:gridCol w:w="146"/>
        <w:gridCol w:w="557"/>
        <w:gridCol w:w="362"/>
        <w:gridCol w:w="716"/>
        <w:gridCol w:w="222"/>
      </w:tblGrid>
      <w:tr w:rsidR="00DA097B" w:rsidRPr="00DA097B" w:rsidTr="00DA097B">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b/>
                <w:bCs/>
                <w:color w:val="000000"/>
                <w:kern w:val="0"/>
                <w:sz w:val="20"/>
                <w:szCs w:val="20"/>
              </w:rPr>
            </w:pPr>
            <w:r w:rsidRPr="00DA097B">
              <w:rPr>
                <w:rFonts w:ascii="宋体" w:hAnsi="宋体" w:cs="宋体" w:hint="eastAsia"/>
                <w:b/>
                <w:bCs/>
                <w:color w:val="000000"/>
                <w:kern w:val="0"/>
                <w:sz w:val="20"/>
                <w:szCs w:val="20"/>
              </w:rPr>
              <w:t>项目支出绩效自评表</w:t>
            </w:r>
          </w:p>
        </w:tc>
      </w:tr>
      <w:tr w:rsidR="00DA097B" w:rsidRPr="00DA097B" w:rsidTr="00DA097B">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(2023年度)</w:t>
            </w:r>
          </w:p>
        </w:tc>
      </w:tr>
      <w:tr w:rsidR="00DA097B" w:rsidRPr="00DA097B" w:rsidTr="00DA097B">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2022年中央重大传染病防控经费（第二批）</w:t>
            </w:r>
          </w:p>
        </w:tc>
      </w:tr>
      <w:tr w:rsidR="00DA097B" w:rsidRPr="00DA097B" w:rsidTr="00DA097B">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主管部门</w:t>
            </w:r>
          </w:p>
        </w:tc>
        <w:tc>
          <w:tcPr>
            <w:tcW w:w="40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c>
          <w:tcPr>
            <w:tcW w:w="9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实施单位</w:t>
            </w:r>
          </w:p>
        </w:tc>
        <w:tc>
          <w:tcPr>
            <w:tcW w:w="21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r>
      <w:tr w:rsidR="00DA097B" w:rsidRPr="00DA097B" w:rsidTr="00DA097B">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项目资金</w:t>
            </w:r>
            <w:r w:rsidRPr="00DA097B">
              <w:rPr>
                <w:rFonts w:ascii="宋体" w:hAnsi="宋体" w:cs="宋体" w:hint="eastAsia"/>
                <w:color w:val="000000"/>
                <w:kern w:val="0"/>
                <w:sz w:val="20"/>
                <w:szCs w:val="20"/>
              </w:rPr>
              <w:br/>
              <w:t>（万元）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年初预算数</w:t>
            </w:r>
          </w:p>
        </w:tc>
        <w:tc>
          <w:tcPr>
            <w:tcW w:w="1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全年预算数</w:t>
            </w:r>
          </w:p>
        </w:tc>
        <w:tc>
          <w:tcPr>
            <w:tcW w:w="9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全年执行数</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r>
      <w:tr w:rsidR="00DA097B" w:rsidRPr="00DA097B" w:rsidTr="00DA097B">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年度资金总额</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3.85</w:t>
            </w:r>
          </w:p>
        </w:tc>
        <w:tc>
          <w:tcPr>
            <w:tcW w:w="1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3.85</w:t>
            </w:r>
          </w:p>
        </w:tc>
        <w:tc>
          <w:tcPr>
            <w:tcW w:w="9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3.85</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w:t>
            </w:r>
          </w:p>
        </w:tc>
      </w:tr>
      <w:tr w:rsidR="00DA097B" w:rsidRPr="00DA097B" w:rsidTr="00DA097B">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其中：当年财政拨款</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3.85</w:t>
            </w:r>
          </w:p>
        </w:tc>
        <w:tc>
          <w:tcPr>
            <w:tcW w:w="1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3.85</w:t>
            </w:r>
          </w:p>
        </w:tc>
        <w:tc>
          <w:tcPr>
            <w:tcW w:w="9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3.85</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其他资金</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年度总体目标</w:t>
            </w:r>
          </w:p>
        </w:tc>
        <w:tc>
          <w:tcPr>
            <w:tcW w:w="4756"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预期目标</w:t>
            </w:r>
          </w:p>
        </w:tc>
        <w:tc>
          <w:tcPr>
            <w:tcW w:w="31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实际完成情况</w:t>
            </w:r>
          </w:p>
        </w:tc>
      </w:tr>
      <w:tr w:rsidR="00DA097B" w:rsidRPr="00DA097B" w:rsidTr="00DA097B">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4756"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DA097B" w:rsidRPr="00DA097B" w:rsidRDefault="00DA097B" w:rsidP="00D4221D">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项目资金3.8519万元，主要用于开展非法医疗美容违法行为专项整治，规范医疗卫生行为，营造良好的卫生健康秩序；强化职业健康监管执法，重点行业用人单位职业病危害项目申报率达到95%以上，提高监管效率；加强放射诊疗机构监管，确保医用辐射安全；落实行政执法制度，规定全面推进卫生健康行政执法规范化；强化执法办案，不断提升综合监督执法队伍能力和水平，创新监管方式，做好监督抽查及各项监督检查任务。</w:t>
            </w:r>
          </w:p>
        </w:tc>
        <w:tc>
          <w:tcPr>
            <w:tcW w:w="3128"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2022年中央重大传染病防控经费（第二批）项目资金3.8519万元，主要用于2023年对非法医疗美容违法行为专项整治，规范医疗卫生行为，营造良好的卫生健康秩序；强化职业健康监管执法，重点行业用人单位职业病危害项目申报率达到了95%以上，提高了监管效率；加强放射诊疗机构监管，确保</w:t>
            </w:r>
            <w:r w:rsidRPr="00DA097B">
              <w:rPr>
                <w:rFonts w:ascii="宋体" w:hAnsi="宋体" w:cs="宋体" w:hint="eastAsia"/>
                <w:color w:val="000000"/>
                <w:kern w:val="0"/>
                <w:sz w:val="20"/>
                <w:szCs w:val="20"/>
              </w:rPr>
              <w:lastRenderedPageBreak/>
              <w:t>医用辐射安全；落实行政执法制度，规定全面推进卫生健康行政执法规范化；强化执法办案，不断提升了综合监督执法队伍能力和水平，创新监管方式，做好监督抽查及各项监督检查任务。</w:t>
            </w:r>
          </w:p>
        </w:tc>
      </w:tr>
      <w:tr w:rsidR="00DA097B" w:rsidRPr="00DA097B" w:rsidTr="00DA097B">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一级指标</w:t>
            </w:r>
          </w:p>
        </w:tc>
        <w:tc>
          <w:tcPr>
            <w:tcW w:w="12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二级指标</w:t>
            </w:r>
          </w:p>
        </w:tc>
        <w:tc>
          <w:tcPr>
            <w:tcW w:w="194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实际完成值</w:t>
            </w:r>
          </w:p>
        </w:tc>
        <w:tc>
          <w:tcPr>
            <w:tcW w:w="5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7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c>
          <w:tcPr>
            <w:tcW w:w="10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偏差原因分析及改进措施</w:t>
            </w:r>
          </w:p>
        </w:tc>
      </w:tr>
      <w:tr w:rsidR="00DA097B" w:rsidRPr="00DA097B" w:rsidTr="00DA097B">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946" w:type="dxa"/>
            <w:gridSpan w:val="3"/>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531"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703"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078"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产出指标</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重点行业用人单位职业病危害项目申报户数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&gt;=25家</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=65家</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监督抽查公共卫生场所户数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=10家</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=10家</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医疗美容机构监督检查户数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=6家</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=6家</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质量指标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职业病危害项目申报率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=98%</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质量指标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被抽检场所检测指标全格率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=95%</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质量指标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医疗美容机构监督检查覆盖率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时效指标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项目整体完成时限</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2023年12月31日</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=2023年12月31日</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成本指标</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监督抽查检测成本总额</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&lt;=16000元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=16000元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开展监督检查保障经费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&lt;=22519元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=23090元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生态环境成本指标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效益指标</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经济效益指标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向社会公示检测结果准确率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社会效益指标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基本公共卫生服务水平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不断缩小</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达成</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生态效益指标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监督服务对象满意度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288"/>
          <w:jc w:val="center"/>
        </w:trPr>
        <w:tc>
          <w:tcPr>
            <w:tcW w:w="5988"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总分</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100分</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bl>
    <w:p w:rsidR="00DA097B" w:rsidRDefault="00DA097B">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826"/>
        <w:gridCol w:w="1418"/>
        <w:gridCol w:w="72"/>
        <w:gridCol w:w="1114"/>
        <w:gridCol w:w="655"/>
        <w:gridCol w:w="716"/>
        <w:gridCol w:w="716"/>
        <w:gridCol w:w="211"/>
        <w:gridCol w:w="325"/>
        <w:gridCol w:w="199"/>
        <w:gridCol w:w="543"/>
        <w:gridCol w:w="373"/>
        <w:gridCol w:w="716"/>
        <w:gridCol w:w="222"/>
      </w:tblGrid>
      <w:tr w:rsidR="00DA097B" w:rsidRPr="00DA097B" w:rsidTr="00DA097B">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b/>
                <w:bCs/>
                <w:color w:val="000000"/>
                <w:kern w:val="0"/>
                <w:sz w:val="20"/>
                <w:szCs w:val="20"/>
              </w:rPr>
            </w:pPr>
            <w:r w:rsidRPr="00DA097B">
              <w:rPr>
                <w:rFonts w:ascii="宋体" w:hAnsi="宋体" w:cs="宋体" w:hint="eastAsia"/>
                <w:b/>
                <w:bCs/>
                <w:color w:val="000000"/>
                <w:kern w:val="0"/>
                <w:sz w:val="20"/>
                <w:szCs w:val="20"/>
              </w:rPr>
              <w:t>项目支出绩效自评表</w:t>
            </w:r>
          </w:p>
        </w:tc>
      </w:tr>
      <w:tr w:rsidR="00DA097B" w:rsidRPr="00DA097B" w:rsidTr="00DA097B">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(2023年度)</w:t>
            </w:r>
          </w:p>
        </w:tc>
      </w:tr>
      <w:tr w:rsidR="00DA097B" w:rsidRPr="00DA097B" w:rsidTr="00DA097B">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2023年“为民办实事”驻村（社区）工作经费</w:t>
            </w:r>
          </w:p>
        </w:tc>
      </w:tr>
      <w:tr w:rsidR="00DA097B" w:rsidRPr="00DA097B" w:rsidTr="00DA097B">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主管部门</w:t>
            </w:r>
          </w:p>
        </w:tc>
        <w:tc>
          <w:tcPr>
            <w:tcW w:w="39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实施单位</w:t>
            </w:r>
          </w:p>
        </w:tc>
        <w:tc>
          <w:tcPr>
            <w:tcW w:w="215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r>
      <w:tr w:rsidR="00DA097B" w:rsidRPr="00DA097B" w:rsidTr="00DA097B">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项目资金</w:t>
            </w:r>
            <w:r w:rsidRPr="00DA097B">
              <w:rPr>
                <w:rFonts w:ascii="宋体" w:hAnsi="宋体" w:cs="宋体" w:hint="eastAsia"/>
                <w:color w:val="000000"/>
                <w:kern w:val="0"/>
                <w:sz w:val="20"/>
                <w:szCs w:val="20"/>
              </w:rPr>
              <w:br/>
              <w:t>（万元）</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11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年初预算数</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全年预算数</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全年执行数</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r>
      <w:tr w:rsidR="00DA097B" w:rsidRPr="00DA097B" w:rsidTr="00DA097B">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年度资金总额</w:t>
            </w:r>
          </w:p>
        </w:tc>
        <w:tc>
          <w:tcPr>
            <w:tcW w:w="11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13.00</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2.97</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2.97</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w:t>
            </w:r>
          </w:p>
        </w:tc>
      </w:tr>
      <w:tr w:rsidR="00DA097B" w:rsidRPr="00DA097B" w:rsidTr="00DA097B">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其中：当年财政拨款</w:t>
            </w:r>
          </w:p>
        </w:tc>
        <w:tc>
          <w:tcPr>
            <w:tcW w:w="11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13.00</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2.97</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2.97</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 xml:space="preserve">  其他资金</w:t>
            </w:r>
          </w:p>
        </w:tc>
        <w:tc>
          <w:tcPr>
            <w:tcW w:w="11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年度总体目标</w:t>
            </w:r>
          </w:p>
        </w:tc>
        <w:tc>
          <w:tcPr>
            <w:tcW w:w="480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预期目标</w:t>
            </w:r>
          </w:p>
        </w:tc>
        <w:tc>
          <w:tcPr>
            <w:tcW w:w="3083"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实际完成情况</w:t>
            </w:r>
          </w:p>
        </w:tc>
      </w:tr>
      <w:tr w:rsidR="00DA097B" w:rsidRPr="00DA097B" w:rsidTr="00DA097B">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4801"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严格按照2023年“访惠聚”工作队的计划任务，确定为民办实事好事经费2.47万元，工作队办公经费0.5万元的使用要求，完成改善居民居住环境，对老旧小区基础设施进行维修、维护，丰富居民日常文化生活、加大疫情防控、安全生产、电信诈骗等知识的宣传，帮助困难家庭学生、节日期间走访困难群众、残疾人等慰问活动，使居民居住环境、生活环境得到改善，使居民满意。</w:t>
            </w:r>
          </w:p>
        </w:tc>
        <w:tc>
          <w:tcPr>
            <w:tcW w:w="3083"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严格按照2023年“访惠聚”工作队的计划任务，利用为民办实事好事经费2.47万元，工作队办公经费0.5万元的项目资金，改善北庭新村居民居住环境，丰富居民日常文化生活、加大疫情防控、安全生产、电信诈骗等知识的宣传，帮助困难家庭学生、节日期间走访困难群众、残疾人等慰问活动，使居民居住环境、生活环境得到改善，使居民满意。</w:t>
            </w:r>
          </w:p>
        </w:tc>
      </w:tr>
      <w:tr w:rsidR="00DA097B" w:rsidRPr="00DA097B" w:rsidTr="00DA097B">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一级指标</w:t>
            </w:r>
          </w:p>
        </w:tc>
        <w:tc>
          <w:tcPr>
            <w:tcW w:w="14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二级指标</w:t>
            </w:r>
          </w:p>
        </w:tc>
        <w:tc>
          <w:tcPr>
            <w:tcW w:w="1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实际完成值</w:t>
            </w:r>
          </w:p>
        </w:tc>
        <w:tc>
          <w:tcPr>
            <w:tcW w:w="5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7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偏差原因分析及改进措施</w:t>
            </w:r>
          </w:p>
        </w:tc>
      </w:tr>
      <w:tr w:rsidR="00DA097B" w:rsidRPr="00DA097B" w:rsidTr="00DA097B">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90"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769"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536"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742"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产出指标</w:t>
            </w: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工作队数量</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=1个</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=1个</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15</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质量指标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工作队为群众办实事工作完成率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15</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时效指标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项目完成及时率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=90%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成本指标</w:t>
            </w: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经济成本指标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工作队为民办实事好事经费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=2.47万元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=2.47万元</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经济成本指标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工作队经费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=0.5万元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=0.5万元</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社会成本指标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生态环境成本指标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效益指标</w:t>
            </w: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经济效益指标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社会效益指标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提高社区居民的满足感、幸福感、</w:t>
            </w:r>
            <w:r w:rsidRPr="00DA097B">
              <w:rPr>
                <w:rFonts w:ascii="宋体" w:hAnsi="宋体" w:cs="宋体" w:hint="eastAsia"/>
                <w:color w:val="000000"/>
                <w:kern w:val="0"/>
                <w:sz w:val="20"/>
                <w:szCs w:val="20"/>
              </w:rPr>
              <w:lastRenderedPageBreak/>
              <w:t>获得感</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lastRenderedPageBreak/>
              <w:t>逐步提升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达成</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生态效益指标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服务对象满意度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=95%</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288"/>
          <w:jc w:val="center"/>
        </w:trPr>
        <w:tc>
          <w:tcPr>
            <w:tcW w:w="5933"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总分</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100分</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bl>
    <w:p w:rsidR="00DA097B" w:rsidRDefault="00DA097B">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90"/>
        <w:gridCol w:w="894"/>
        <w:gridCol w:w="1177"/>
        <w:gridCol w:w="1375"/>
        <w:gridCol w:w="97"/>
        <w:gridCol w:w="887"/>
        <w:gridCol w:w="780"/>
        <w:gridCol w:w="242"/>
        <w:gridCol w:w="403"/>
        <w:gridCol w:w="253"/>
        <w:gridCol w:w="553"/>
        <w:gridCol w:w="399"/>
        <w:gridCol w:w="750"/>
        <w:gridCol w:w="222"/>
      </w:tblGrid>
      <w:tr w:rsidR="00DA097B" w:rsidRPr="00DA097B" w:rsidTr="00DA097B">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b/>
                <w:bCs/>
                <w:color w:val="000000"/>
                <w:kern w:val="0"/>
                <w:sz w:val="20"/>
                <w:szCs w:val="20"/>
              </w:rPr>
            </w:pPr>
            <w:r w:rsidRPr="00DA097B">
              <w:rPr>
                <w:rFonts w:ascii="宋体" w:hAnsi="宋体" w:cs="宋体" w:hint="eastAsia"/>
                <w:b/>
                <w:bCs/>
                <w:color w:val="000000"/>
                <w:kern w:val="0"/>
                <w:sz w:val="20"/>
                <w:szCs w:val="20"/>
              </w:rPr>
              <w:t>项目支出绩效自评表</w:t>
            </w:r>
          </w:p>
        </w:tc>
      </w:tr>
      <w:tr w:rsidR="00DA097B" w:rsidRPr="00DA097B" w:rsidTr="00DA097B">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(2023年度)</w:t>
            </w:r>
          </w:p>
        </w:tc>
      </w:tr>
      <w:tr w:rsidR="00DA097B" w:rsidRPr="00DA097B" w:rsidTr="00DA097B">
        <w:trPr>
          <w:gridAfter w:val="1"/>
          <w:wAfter w:w="222" w:type="dxa"/>
          <w:trHeight w:val="288"/>
          <w:jc w:val="center"/>
        </w:trPr>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项目名称</w:t>
            </w:r>
          </w:p>
        </w:tc>
        <w:tc>
          <w:tcPr>
            <w:tcW w:w="691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2023年第一批中小企业欠款化解资金（2021年双随机一公开检测项目）</w:t>
            </w:r>
          </w:p>
        </w:tc>
      </w:tr>
      <w:tr w:rsidR="00DA097B" w:rsidRPr="00DA097B" w:rsidTr="00DA097B">
        <w:trPr>
          <w:gridAfter w:val="1"/>
          <w:wAfter w:w="222" w:type="dxa"/>
          <w:trHeight w:val="288"/>
          <w:jc w:val="center"/>
        </w:trPr>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主管部门</w:t>
            </w:r>
          </w:p>
        </w:tc>
        <w:tc>
          <w:tcPr>
            <w:tcW w:w="35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实施单位</w:t>
            </w:r>
          </w:p>
        </w:tc>
        <w:tc>
          <w:tcPr>
            <w:tcW w:w="23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r>
      <w:tr w:rsidR="00DA097B" w:rsidRPr="00DA097B" w:rsidTr="00DA097B">
        <w:trPr>
          <w:gridAfter w:val="1"/>
          <w:wAfter w:w="222" w:type="dxa"/>
          <w:trHeight w:val="480"/>
          <w:jc w:val="center"/>
        </w:trPr>
        <w:tc>
          <w:tcPr>
            <w:tcW w:w="13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项目资金</w:t>
            </w:r>
            <w:r w:rsidRPr="00DA097B">
              <w:rPr>
                <w:rFonts w:ascii="宋体" w:hAnsi="宋体" w:cs="宋体" w:hint="eastAsia"/>
                <w:color w:val="000000"/>
                <w:kern w:val="0"/>
                <w:sz w:val="20"/>
                <w:szCs w:val="20"/>
              </w:rPr>
              <w:br/>
              <w:t>（万元）</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年初预算数</w:t>
            </w:r>
          </w:p>
        </w:tc>
        <w:tc>
          <w:tcPr>
            <w:tcW w:w="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全年预算数</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r>
      <w:tr w:rsidR="00DA097B" w:rsidRPr="00DA097B" w:rsidTr="00DA097B">
        <w:trPr>
          <w:gridAfter w:val="1"/>
          <w:wAfter w:w="222" w:type="dxa"/>
          <w:trHeight w:val="440"/>
          <w:jc w:val="center"/>
        </w:trPr>
        <w:tc>
          <w:tcPr>
            <w:tcW w:w="1384"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年度资金总额</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4.92</w:t>
            </w:r>
          </w:p>
        </w:tc>
        <w:tc>
          <w:tcPr>
            <w:tcW w:w="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4.92</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4.92</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w:t>
            </w:r>
          </w:p>
        </w:tc>
      </w:tr>
      <w:tr w:rsidR="00DA097B" w:rsidRPr="00DA097B" w:rsidTr="00DA097B">
        <w:trPr>
          <w:gridAfter w:val="1"/>
          <w:wAfter w:w="222" w:type="dxa"/>
          <w:trHeight w:val="440"/>
          <w:jc w:val="center"/>
        </w:trPr>
        <w:tc>
          <w:tcPr>
            <w:tcW w:w="1384"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其中：当年财政拨款</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4.92</w:t>
            </w:r>
          </w:p>
        </w:tc>
        <w:tc>
          <w:tcPr>
            <w:tcW w:w="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4.92</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4.92</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gridAfter w:val="1"/>
          <w:wAfter w:w="222" w:type="dxa"/>
          <w:trHeight w:val="440"/>
          <w:jc w:val="center"/>
        </w:trPr>
        <w:tc>
          <w:tcPr>
            <w:tcW w:w="1384"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其他资金</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年度总体目标</w:t>
            </w:r>
          </w:p>
        </w:tc>
        <w:tc>
          <w:tcPr>
            <w:tcW w:w="443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预期目标</w:t>
            </w:r>
          </w:p>
        </w:tc>
        <w:tc>
          <w:tcPr>
            <w:tcW w:w="33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实际完成情况</w:t>
            </w:r>
          </w:p>
        </w:tc>
      </w:tr>
      <w:tr w:rsidR="00DA097B" w:rsidRPr="00DA097B" w:rsidTr="00DA097B">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4430"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“双随机 一公开”项目拟投资4.92万元，按照“依法监管、公正高效、公开透明”原则，昌吉市卫监局对昌吉市公共卫生场所包括：学校卫生7家、生活饮用水1处等项目进行检测，要求每年12月底前完成检测任务，被抽检场所检测指标合格率达到95%以上，检测结果按时向社会公示，使群众满意度达到95%以上。</w:t>
            </w:r>
          </w:p>
        </w:tc>
        <w:tc>
          <w:tcPr>
            <w:tcW w:w="3380"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2023年12月财政拔入4.92万元，支付2021年“双随机 一公开”项目新疆国泰民康职业环境检测评价有限责任公司所欠4.92万元，按照“依法监管、公正高效、公开透明”原则，2021年已按国家“双随机一公开”要求，昌吉市卫监局对昌吉市公共卫生场所包括：学校卫生7家、生活饮用水1处等项目进行检测，12月底前完成检测任务，被抽检场所检测指标合格率达到95%以上，检测结果按时向社会公示，使群众满意度达到95%以上。</w:t>
            </w:r>
          </w:p>
        </w:tc>
      </w:tr>
      <w:tr w:rsidR="00DA097B" w:rsidRPr="00DA097B" w:rsidTr="00DA097B">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一级指标</w:t>
            </w:r>
          </w:p>
        </w:tc>
        <w:tc>
          <w:tcPr>
            <w:tcW w:w="11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二级指标</w:t>
            </w:r>
          </w:p>
        </w:tc>
        <w:tc>
          <w:tcPr>
            <w:tcW w:w="14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年度指标值</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8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偏差原因分析及改进措施</w:t>
            </w:r>
          </w:p>
        </w:tc>
      </w:tr>
      <w:tr w:rsidR="00DA097B" w:rsidRPr="00DA097B" w:rsidTr="00DA097B">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472"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78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06"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年度绩效指标</w:t>
            </w:r>
            <w:r w:rsidRPr="00DA097B">
              <w:rPr>
                <w:rFonts w:ascii="宋体" w:hAnsi="宋体" w:cs="宋体" w:hint="eastAsia"/>
                <w:color w:val="000000"/>
                <w:kern w:val="0"/>
                <w:sz w:val="20"/>
                <w:szCs w:val="20"/>
              </w:rPr>
              <w:lastRenderedPageBreak/>
              <w:t>完成情况</w:t>
            </w: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lastRenderedPageBreak/>
              <w:t>产出指标</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抽检公共场所卫生户数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=36户</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=36户</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抽检学校卫生户数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=7所</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=7所</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抽检生活饮用水卫生户数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=1家</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=1家</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质量指标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被抽检场所检测指标合格率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=98%</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时效指标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双随机抽检任务完成时限</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2023年12月31日</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=2023年12月31日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成本指标</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双随机抽检平均成本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&lt;=0.12万元</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=0.12万元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生态环境成本指标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效益指标</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检测结果社会公示率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服务对象满意度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=95%</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288"/>
          <w:jc w:val="center"/>
        </w:trPr>
        <w:tc>
          <w:tcPr>
            <w:tcW w:w="57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bl>
    <w:p w:rsidR="00DA097B" w:rsidRDefault="00DA097B">
      <w:pPr>
        <w:ind w:firstLineChars="200" w:firstLine="640"/>
        <w:jc w:val="left"/>
        <w:rPr>
          <w:rFonts w:ascii="仿宋_GB2312" w:eastAsia="仿宋_GB2312" w:hAnsi="仿宋_GB2312" w:cs="仿宋_GB2312"/>
          <w:kern w:val="0"/>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621"/>
        <w:gridCol w:w="1035"/>
        <w:gridCol w:w="233"/>
        <w:gridCol w:w="1281"/>
        <w:gridCol w:w="653"/>
        <w:gridCol w:w="916"/>
        <w:gridCol w:w="1033"/>
        <w:gridCol w:w="216"/>
        <w:gridCol w:w="299"/>
        <w:gridCol w:w="187"/>
        <w:gridCol w:w="539"/>
        <w:gridCol w:w="377"/>
        <w:gridCol w:w="716"/>
      </w:tblGrid>
      <w:tr w:rsidR="00DA097B" w:rsidRPr="00DA097B" w:rsidTr="00DA097B">
        <w:trPr>
          <w:trHeight w:val="288"/>
          <w:jc w:val="center"/>
        </w:trPr>
        <w:tc>
          <w:tcPr>
            <w:tcW w:w="8522" w:type="dxa"/>
            <w:gridSpan w:val="14"/>
            <w:shd w:val="clear" w:color="auto" w:fill="auto"/>
            <w:vAlign w:val="center"/>
            <w:hideMark/>
          </w:tcPr>
          <w:p w:rsidR="00DA097B" w:rsidRPr="00DA097B" w:rsidRDefault="00DA097B" w:rsidP="00DA097B">
            <w:pPr>
              <w:widowControl/>
              <w:jc w:val="center"/>
              <w:rPr>
                <w:rFonts w:ascii="宋体" w:hAnsi="宋体" w:cs="宋体"/>
                <w:b/>
                <w:bCs/>
                <w:color w:val="000000"/>
                <w:kern w:val="0"/>
                <w:sz w:val="20"/>
                <w:szCs w:val="20"/>
              </w:rPr>
            </w:pPr>
            <w:r w:rsidRPr="00DA097B">
              <w:rPr>
                <w:rFonts w:ascii="宋体" w:hAnsi="宋体" w:cs="宋体" w:hint="eastAsia"/>
                <w:b/>
                <w:bCs/>
                <w:color w:val="000000"/>
                <w:kern w:val="0"/>
                <w:sz w:val="20"/>
                <w:szCs w:val="20"/>
              </w:rPr>
              <w:t>项目支出绩效自评表</w:t>
            </w:r>
          </w:p>
        </w:tc>
      </w:tr>
      <w:tr w:rsidR="00DA097B" w:rsidRPr="00DA097B" w:rsidTr="00DA097B">
        <w:trPr>
          <w:trHeight w:val="288"/>
          <w:jc w:val="center"/>
        </w:trPr>
        <w:tc>
          <w:tcPr>
            <w:tcW w:w="8522" w:type="dxa"/>
            <w:gridSpan w:val="14"/>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(2023年度)</w:t>
            </w:r>
          </w:p>
        </w:tc>
      </w:tr>
      <w:tr w:rsidR="00DA097B" w:rsidRPr="00DA097B" w:rsidTr="00DA097B">
        <w:trPr>
          <w:trHeight w:val="288"/>
          <w:jc w:val="center"/>
        </w:trPr>
        <w:tc>
          <w:tcPr>
            <w:tcW w:w="1101"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项目名称</w:t>
            </w:r>
          </w:p>
        </w:tc>
        <w:tc>
          <w:tcPr>
            <w:tcW w:w="7421" w:type="dxa"/>
            <w:gridSpan w:val="1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2023年自治区基本公共卫生服务补助资金（第二批）</w:t>
            </w:r>
          </w:p>
        </w:tc>
      </w:tr>
      <w:tr w:rsidR="00DA097B" w:rsidRPr="00DA097B" w:rsidTr="00DA097B">
        <w:trPr>
          <w:trHeight w:val="288"/>
          <w:jc w:val="center"/>
        </w:trPr>
        <w:tc>
          <w:tcPr>
            <w:tcW w:w="1101"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主管部门</w:t>
            </w:r>
          </w:p>
        </w:tc>
        <w:tc>
          <w:tcPr>
            <w:tcW w:w="3969" w:type="dxa"/>
            <w:gridSpan w:val="5"/>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c>
          <w:tcPr>
            <w:tcW w:w="13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实施单位</w:t>
            </w:r>
          </w:p>
        </w:tc>
        <w:tc>
          <w:tcPr>
            <w:tcW w:w="2137" w:type="dxa"/>
            <w:gridSpan w:val="5"/>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r>
      <w:tr w:rsidR="00DA097B" w:rsidRPr="00DA097B" w:rsidTr="00DA097B">
        <w:trPr>
          <w:trHeight w:val="480"/>
          <w:jc w:val="center"/>
        </w:trPr>
        <w:tc>
          <w:tcPr>
            <w:tcW w:w="1101" w:type="dxa"/>
            <w:gridSpan w:val="2"/>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项目资金</w:t>
            </w:r>
            <w:r w:rsidRPr="00DA097B">
              <w:rPr>
                <w:rFonts w:ascii="宋体" w:hAnsi="宋体" w:cs="宋体" w:hint="eastAsia"/>
                <w:color w:val="000000"/>
                <w:kern w:val="0"/>
                <w:sz w:val="20"/>
                <w:szCs w:val="20"/>
              </w:rPr>
              <w:br/>
              <w:t>（万元）</w:t>
            </w:r>
          </w:p>
        </w:tc>
        <w:tc>
          <w:tcPr>
            <w:tcW w:w="1402"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1281"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年初预算数</w:t>
            </w:r>
          </w:p>
        </w:tc>
        <w:tc>
          <w:tcPr>
            <w:tcW w:w="1286"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全年预算数</w:t>
            </w:r>
          </w:p>
        </w:tc>
        <w:tc>
          <w:tcPr>
            <w:tcW w:w="13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全年执行数</w:t>
            </w:r>
          </w:p>
        </w:tc>
        <w:tc>
          <w:tcPr>
            <w:tcW w:w="50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916"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执行率</w:t>
            </w:r>
          </w:p>
        </w:tc>
        <w:tc>
          <w:tcPr>
            <w:tcW w:w="716"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r>
      <w:tr w:rsidR="00DA097B" w:rsidRPr="00DA097B" w:rsidTr="00DA097B">
        <w:trPr>
          <w:trHeight w:val="440"/>
          <w:jc w:val="center"/>
        </w:trPr>
        <w:tc>
          <w:tcPr>
            <w:tcW w:w="1101" w:type="dxa"/>
            <w:gridSpan w:val="2"/>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402"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年度资金总额</w:t>
            </w:r>
          </w:p>
        </w:tc>
        <w:tc>
          <w:tcPr>
            <w:tcW w:w="1281"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3.00</w:t>
            </w:r>
          </w:p>
        </w:tc>
        <w:tc>
          <w:tcPr>
            <w:tcW w:w="1286"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3.00</w:t>
            </w:r>
          </w:p>
        </w:tc>
        <w:tc>
          <w:tcPr>
            <w:tcW w:w="13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3.00</w:t>
            </w:r>
          </w:p>
        </w:tc>
        <w:tc>
          <w:tcPr>
            <w:tcW w:w="50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916"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100.00%</w:t>
            </w:r>
          </w:p>
        </w:tc>
        <w:tc>
          <w:tcPr>
            <w:tcW w:w="716"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w:t>
            </w:r>
          </w:p>
        </w:tc>
      </w:tr>
      <w:tr w:rsidR="00DA097B" w:rsidRPr="00DA097B" w:rsidTr="00DA097B">
        <w:trPr>
          <w:trHeight w:val="440"/>
          <w:jc w:val="center"/>
        </w:trPr>
        <w:tc>
          <w:tcPr>
            <w:tcW w:w="1101" w:type="dxa"/>
            <w:gridSpan w:val="2"/>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402"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其中：当年财政拨款</w:t>
            </w:r>
          </w:p>
        </w:tc>
        <w:tc>
          <w:tcPr>
            <w:tcW w:w="1281"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3.00</w:t>
            </w:r>
          </w:p>
        </w:tc>
        <w:tc>
          <w:tcPr>
            <w:tcW w:w="1286"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3.00</w:t>
            </w:r>
          </w:p>
        </w:tc>
        <w:tc>
          <w:tcPr>
            <w:tcW w:w="13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3.00</w:t>
            </w:r>
          </w:p>
        </w:tc>
        <w:tc>
          <w:tcPr>
            <w:tcW w:w="50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16"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16"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trHeight w:val="440"/>
          <w:jc w:val="center"/>
        </w:trPr>
        <w:tc>
          <w:tcPr>
            <w:tcW w:w="1101" w:type="dxa"/>
            <w:gridSpan w:val="2"/>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402"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 xml:space="preserve">  其他资金</w:t>
            </w:r>
          </w:p>
        </w:tc>
        <w:tc>
          <w:tcPr>
            <w:tcW w:w="1281"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86"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3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0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16"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16"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trHeight w:val="288"/>
          <w:jc w:val="center"/>
        </w:trPr>
        <w:tc>
          <w:tcPr>
            <w:tcW w:w="416" w:type="dxa"/>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年度总体目标</w:t>
            </w:r>
          </w:p>
        </w:tc>
        <w:tc>
          <w:tcPr>
            <w:tcW w:w="4654" w:type="dxa"/>
            <w:gridSpan w:val="6"/>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预期目标</w:t>
            </w:r>
          </w:p>
        </w:tc>
        <w:tc>
          <w:tcPr>
            <w:tcW w:w="3452" w:type="dxa"/>
            <w:gridSpan w:val="7"/>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实际完成情况</w:t>
            </w:r>
          </w:p>
        </w:tc>
      </w:tr>
      <w:tr w:rsidR="00DA097B" w:rsidRPr="00DA097B" w:rsidTr="00DA097B">
        <w:trPr>
          <w:trHeight w:val="54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4654" w:type="dxa"/>
            <w:gridSpan w:val="6"/>
            <w:shd w:val="clear" w:color="auto" w:fill="auto"/>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2023年项目资金3万元，按照上级下达的“双随机 一公开”工作检测任务，主要用于完成昌吉市公共卫生场所监督抽查及各项监督检查任务。不断创新监管方式，提升综合监督执法队伍能力和水平，加强推进信息化建设。</w:t>
            </w:r>
          </w:p>
        </w:tc>
        <w:tc>
          <w:tcPr>
            <w:tcW w:w="3452" w:type="dxa"/>
            <w:gridSpan w:val="7"/>
            <w:shd w:val="clear" w:color="auto" w:fill="auto"/>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2023年项目资金3万元，按照上级下达的“双随机 一公开”工作检测任务，主要用于完成昌吉市公共卫生场所监督抽查及各项监督检查任务。不断创新监管方式，提升综合监督执法队伍能力和水平，加强推进信息化建设。</w:t>
            </w:r>
          </w:p>
        </w:tc>
      </w:tr>
      <w:tr w:rsidR="00DA097B" w:rsidRPr="00DA097B" w:rsidTr="00DA097B">
        <w:trPr>
          <w:trHeight w:val="312"/>
          <w:jc w:val="center"/>
        </w:trPr>
        <w:tc>
          <w:tcPr>
            <w:tcW w:w="416" w:type="dxa"/>
            <w:vMerge w:val="restart"/>
            <w:shd w:val="clear" w:color="auto" w:fill="auto"/>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一级指标</w:t>
            </w:r>
          </w:p>
        </w:tc>
        <w:tc>
          <w:tcPr>
            <w:tcW w:w="1169" w:type="dxa"/>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二级指标</w:t>
            </w:r>
          </w:p>
        </w:tc>
        <w:tc>
          <w:tcPr>
            <w:tcW w:w="2167" w:type="dxa"/>
            <w:gridSpan w:val="3"/>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三级指标</w:t>
            </w:r>
          </w:p>
        </w:tc>
        <w:tc>
          <w:tcPr>
            <w:tcW w:w="633" w:type="dxa"/>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年度指标值</w:t>
            </w:r>
          </w:p>
        </w:tc>
        <w:tc>
          <w:tcPr>
            <w:tcW w:w="1099" w:type="dxa"/>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实际完成值</w:t>
            </w:r>
          </w:p>
        </w:tc>
        <w:tc>
          <w:tcPr>
            <w:tcW w:w="515" w:type="dxa"/>
            <w:gridSpan w:val="2"/>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745" w:type="dxa"/>
            <w:gridSpan w:val="2"/>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c>
          <w:tcPr>
            <w:tcW w:w="1093" w:type="dxa"/>
            <w:gridSpan w:val="2"/>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偏差原因分析及改进措施</w:t>
            </w:r>
          </w:p>
        </w:tc>
      </w:tr>
      <w:tr w:rsidR="00DA097B" w:rsidRPr="00DA097B" w:rsidTr="00DA097B">
        <w:trPr>
          <w:trHeight w:val="312"/>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2167" w:type="dxa"/>
            <w:gridSpan w:val="3"/>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33"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099"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515" w:type="dxa"/>
            <w:gridSpan w:val="2"/>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745" w:type="dxa"/>
            <w:gridSpan w:val="2"/>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093" w:type="dxa"/>
            <w:gridSpan w:val="2"/>
            <w:vMerge/>
            <w:vAlign w:val="center"/>
            <w:hideMark/>
          </w:tcPr>
          <w:p w:rsidR="00DA097B" w:rsidRPr="00DA097B" w:rsidRDefault="00DA097B" w:rsidP="00DA097B">
            <w:pPr>
              <w:widowControl/>
              <w:jc w:val="left"/>
              <w:rPr>
                <w:rFonts w:ascii="宋体" w:hAnsi="宋体" w:cs="宋体"/>
                <w:color w:val="000000"/>
                <w:kern w:val="0"/>
                <w:sz w:val="20"/>
                <w:szCs w:val="20"/>
              </w:rPr>
            </w:pPr>
          </w:p>
        </w:tc>
      </w:tr>
      <w:tr w:rsidR="00DA097B" w:rsidRPr="00DA097B" w:rsidTr="00DA097B">
        <w:trPr>
          <w:trHeight w:val="400"/>
          <w:jc w:val="center"/>
        </w:trPr>
        <w:tc>
          <w:tcPr>
            <w:tcW w:w="416" w:type="dxa"/>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年度绩效指标完成情况</w:t>
            </w:r>
          </w:p>
        </w:tc>
        <w:tc>
          <w:tcPr>
            <w:tcW w:w="685" w:type="dxa"/>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产出指标</w:t>
            </w: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抽检住宿场所数</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=12家</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=10家</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抽检公共卫生场所数</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=23家</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=23家</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抽检文化娱乐场所数</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=2家</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=2家</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抽检生活饮用水场所数</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=2家</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=2家</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6</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质量指标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双随机监督抽查完成率</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&gt;=80%</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=80%</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时效指标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双随机监督抽查任务完成时限</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2023年11月30日</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=2023年11月30日</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8</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成本指标</w:t>
            </w: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经济成本指标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检测棉制品、杯具项目</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&lt;=24000元</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=24000元</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4</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4</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经济成本指标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检测游泳池水、出厂水、沐浴用水项目</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&lt;=2700元</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=2700元</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经济成本指标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检测公共场所空气、用具项目</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&lt;=3300元</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=3300元</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3</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社会成本指标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向社会公示检测结果准确率</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&gt;=90%</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=90%</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生态环境成本指标</w:t>
            </w:r>
          </w:p>
        </w:tc>
        <w:tc>
          <w:tcPr>
            <w:tcW w:w="2167" w:type="dxa"/>
            <w:gridSpan w:val="3"/>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633" w:type="dxa"/>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1099" w:type="dxa"/>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15" w:type="dxa"/>
            <w:gridSpan w:val="2"/>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45" w:type="dxa"/>
            <w:gridSpan w:val="2"/>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93" w:type="dxa"/>
            <w:gridSpan w:val="2"/>
            <w:shd w:val="clear" w:color="auto" w:fill="auto"/>
            <w:vAlign w:val="center"/>
            <w:hideMark/>
          </w:tcPr>
          <w:p w:rsidR="00DA097B" w:rsidRPr="00DA097B" w:rsidRDefault="00DA097B" w:rsidP="00DA097B">
            <w:pPr>
              <w:widowControl/>
              <w:jc w:val="center"/>
              <w:rPr>
                <w:rFonts w:eastAsia="Times New Roman"/>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restart"/>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效益指标</w:t>
            </w: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经济效益指标</w:t>
            </w:r>
          </w:p>
        </w:tc>
        <w:tc>
          <w:tcPr>
            <w:tcW w:w="2167" w:type="dxa"/>
            <w:gridSpan w:val="3"/>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633" w:type="dxa"/>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1099" w:type="dxa"/>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15" w:type="dxa"/>
            <w:gridSpan w:val="2"/>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45" w:type="dxa"/>
            <w:gridSpan w:val="2"/>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93" w:type="dxa"/>
            <w:gridSpan w:val="2"/>
            <w:shd w:val="clear" w:color="auto" w:fill="auto"/>
            <w:vAlign w:val="center"/>
            <w:hideMark/>
          </w:tcPr>
          <w:p w:rsidR="00DA097B" w:rsidRPr="00DA097B" w:rsidRDefault="00DA097B" w:rsidP="00DA097B">
            <w:pPr>
              <w:widowControl/>
              <w:jc w:val="center"/>
              <w:rPr>
                <w:rFonts w:eastAsia="Times New Roman"/>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社会效益指标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基本公共卫生服务水平</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不断缩小</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达成</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生态效益指标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将检测结果作为硬性指标，达到行业自律</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逐步提高</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达成</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ign w:val="center"/>
            <w:hideMark/>
          </w:tcPr>
          <w:p w:rsidR="00DA097B" w:rsidRPr="00DA097B" w:rsidRDefault="00DA097B" w:rsidP="00DA097B">
            <w:pPr>
              <w:widowControl/>
              <w:jc w:val="left"/>
              <w:rPr>
                <w:rFonts w:ascii="宋体" w:hAnsi="宋体" w:cs="宋体"/>
                <w:color w:val="000000"/>
                <w:kern w:val="0"/>
                <w:sz w:val="20"/>
                <w:szCs w:val="20"/>
              </w:rPr>
            </w:pPr>
          </w:p>
        </w:tc>
        <w:tc>
          <w:tcPr>
            <w:tcW w:w="685"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116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2167" w:type="dxa"/>
            <w:gridSpan w:val="3"/>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监督服务对象满意度</w:t>
            </w:r>
          </w:p>
        </w:tc>
        <w:tc>
          <w:tcPr>
            <w:tcW w:w="633"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1099" w:type="dxa"/>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288"/>
          <w:jc w:val="center"/>
        </w:trPr>
        <w:tc>
          <w:tcPr>
            <w:tcW w:w="6169" w:type="dxa"/>
            <w:gridSpan w:val="8"/>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总分</w:t>
            </w:r>
          </w:p>
        </w:tc>
        <w:tc>
          <w:tcPr>
            <w:tcW w:w="51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745"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100分</w:t>
            </w:r>
          </w:p>
        </w:tc>
        <w:tc>
          <w:tcPr>
            <w:tcW w:w="1093" w:type="dxa"/>
            <w:gridSpan w:val="2"/>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r>
    </w:tbl>
    <w:p w:rsidR="00DA097B" w:rsidRDefault="00DA097B">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826"/>
        <w:gridCol w:w="925"/>
        <w:gridCol w:w="209"/>
        <w:gridCol w:w="1220"/>
        <w:gridCol w:w="853"/>
        <w:gridCol w:w="816"/>
        <w:gridCol w:w="716"/>
        <w:gridCol w:w="212"/>
        <w:gridCol w:w="305"/>
        <w:gridCol w:w="170"/>
        <w:gridCol w:w="536"/>
        <w:gridCol w:w="380"/>
        <w:gridCol w:w="716"/>
        <w:gridCol w:w="222"/>
      </w:tblGrid>
      <w:tr w:rsidR="00DA097B" w:rsidRPr="00DA097B" w:rsidTr="00DA097B">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b/>
                <w:bCs/>
                <w:color w:val="000000"/>
                <w:kern w:val="0"/>
                <w:sz w:val="20"/>
                <w:szCs w:val="20"/>
              </w:rPr>
            </w:pPr>
            <w:r w:rsidRPr="00DA097B">
              <w:rPr>
                <w:rFonts w:ascii="宋体" w:hAnsi="宋体" w:cs="宋体" w:hint="eastAsia"/>
                <w:b/>
                <w:bCs/>
                <w:color w:val="000000"/>
                <w:kern w:val="0"/>
                <w:sz w:val="20"/>
                <w:szCs w:val="20"/>
              </w:rPr>
              <w:t>项目支出绩效自评表</w:t>
            </w:r>
          </w:p>
        </w:tc>
      </w:tr>
      <w:tr w:rsidR="00DA097B" w:rsidRPr="00DA097B" w:rsidTr="00DA097B">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(2023年度)</w:t>
            </w:r>
          </w:p>
        </w:tc>
      </w:tr>
      <w:tr w:rsidR="00DA097B" w:rsidRPr="00DA097B" w:rsidTr="00DA097B">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提前下达2023年中央重大传染病补助资金</w:t>
            </w:r>
          </w:p>
        </w:tc>
      </w:tr>
      <w:tr w:rsidR="00DA097B" w:rsidRPr="00DA097B" w:rsidTr="00DA097B">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主管部门</w:t>
            </w:r>
          </w:p>
        </w:tc>
        <w:tc>
          <w:tcPr>
            <w:tcW w:w="40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实施单位</w:t>
            </w:r>
          </w:p>
        </w:tc>
        <w:tc>
          <w:tcPr>
            <w:tcW w:w="210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昌吉市卫生计生综合监督执法局</w:t>
            </w:r>
          </w:p>
        </w:tc>
      </w:tr>
      <w:tr w:rsidR="00DA097B" w:rsidRPr="00DA097B" w:rsidTr="00DA097B">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项目资金</w:t>
            </w:r>
            <w:r w:rsidRPr="00DA097B">
              <w:rPr>
                <w:rFonts w:ascii="宋体" w:hAnsi="宋体" w:cs="宋体" w:hint="eastAsia"/>
                <w:color w:val="000000"/>
                <w:kern w:val="0"/>
                <w:sz w:val="20"/>
                <w:szCs w:val="20"/>
              </w:rPr>
              <w:br/>
              <w:t>（万元）</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年初预算数</w:t>
            </w:r>
          </w:p>
        </w:tc>
        <w:tc>
          <w:tcPr>
            <w:tcW w:w="1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全年预算数</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全年执行数</w:t>
            </w:r>
          </w:p>
        </w:tc>
        <w:tc>
          <w:tcPr>
            <w:tcW w:w="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r>
      <w:tr w:rsidR="00DA097B" w:rsidRPr="00DA097B" w:rsidTr="00DA097B">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年度资金总额</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20.00</w:t>
            </w:r>
          </w:p>
        </w:tc>
        <w:tc>
          <w:tcPr>
            <w:tcW w:w="1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20.00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20.00</w:t>
            </w:r>
          </w:p>
        </w:tc>
        <w:tc>
          <w:tcPr>
            <w:tcW w:w="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10.00</w:t>
            </w:r>
          </w:p>
        </w:tc>
      </w:tr>
      <w:tr w:rsidR="00DA097B" w:rsidRPr="00DA097B" w:rsidTr="00DA097B">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其中：当年财政拨款</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20.00</w:t>
            </w:r>
          </w:p>
        </w:tc>
        <w:tc>
          <w:tcPr>
            <w:tcW w:w="1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20.00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20.00</w:t>
            </w:r>
          </w:p>
        </w:tc>
        <w:tc>
          <w:tcPr>
            <w:tcW w:w="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其他资金</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0.00</w:t>
            </w:r>
          </w:p>
        </w:tc>
        <w:tc>
          <w:tcPr>
            <w:tcW w:w="1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0.00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0.00</w:t>
            </w:r>
          </w:p>
        </w:tc>
        <w:tc>
          <w:tcPr>
            <w:tcW w:w="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w:t>
            </w:r>
          </w:p>
        </w:tc>
      </w:tr>
      <w:tr w:rsidR="00DA097B" w:rsidRPr="00DA097B" w:rsidTr="00DA097B">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年度总体目标</w:t>
            </w:r>
          </w:p>
        </w:tc>
        <w:tc>
          <w:tcPr>
            <w:tcW w:w="48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预期目标</w:t>
            </w:r>
          </w:p>
        </w:tc>
        <w:tc>
          <w:tcPr>
            <w:tcW w:w="3035"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实际完成情况</w:t>
            </w:r>
          </w:p>
        </w:tc>
      </w:tr>
      <w:tr w:rsidR="00DA097B" w:rsidRPr="00DA097B" w:rsidTr="00DA097B">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4849"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通过提前下达2023年中央重大传染病补助资金的使用，实现监督员对昌吉市医疗卫生机构、公共卫生场所的监督检查达到全覆盖，对昌吉市18家公共卫生场所、10家医疗机构进行检测，开展卫生法律法规宣传教育、卫生监督员、健康管理人员重点传染病和健康危害培训12场次，逐步提升被监督对象的健康意识，努力提高重点传染病危害防控水平，筑牢健康安全屏障。及时处置违法行为的投诉、举报工作。同时，规范医疗卫生行为，营造良好的卫生健康秩序；强化职业健康监管执法，提高监管效率；加强放射诊疗机构监管，确保医用辐射安全；落实行政执法制度，规定全面推进卫生健康行政执法规范化；强化执法办案，提升监督队伍执法能力，不断推动卫生计生综合监督执法工作高质量发展。</w:t>
            </w:r>
          </w:p>
        </w:tc>
        <w:tc>
          <w:tcPr>
            <w:tcW w:w="3035"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提前下达2023年中央重大传染病补助资金项目20万元，该项目截止2023年底共支付20万元，主要用于对昌吉市18家公共卫生场所、10家医疗机构进行卫生检测任务；实现监督员对昌吉市医疗卫生机构、公共卫生场所的监督检查达到全覆盖；开展卫生法律法规宣传教育、卫生监督员、健康管理人员重点传染病和健康危害培训20场次，逐步提升被监督对象的健康意识，努力提高重点传染病危害防控水平，筑牢健康安全屏障。</w:t>
            </w:r>
          </w:p>
        </w:tc>
      </w:tr>
      <w:tr w:rsidR="00DA097B" w:rsidRPr="00DA097B" w:rsidTr="00DA097B">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一级指标</w:t>
            </w:r>
          </w:p>
        </w:tc>
        <w:tc>
          <w:tcPr>
            <w:tcW w:w="9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二级指标</w:t>
            </w:r>
          </w:p>
        </w:tc>
        <w:tc>
          <w:tcPr>
            <w:tcW w:w="228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实际完成值</w:t>
            </w:r>
          </w:p>
        </w:tc>
        <w:tc>
          <w:tcPr>
            <w:tcW w:w="5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分值</w:t>
            </w:r>
          </w:p>
        </w:tc>
        <w:tc>
          <w:tcPr>
            <w:tcW w:w="7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得分</w:t>
            </w:r>
          </w:p>
        </w:tc>
        <w:tc>
          <w:tcPr>
            <w:tcW w:w="10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偏差原因分析及改进措施</w:t>
            </w:r>
          </w:p>
        </w:tc>
      </w:tr>
      <w:tr w:rsidR="00DA097B" w:rsidRPr="00DA097B" w:rsidTr="00DA097B">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2282" w:type="dxa"/>
            <w:gridSpan w:val="3"/>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517"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706"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1096" w:type="dxa"/>
            <w:gridSpan w:val="2"/>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r>
      <w:tr w:rsidR="00DA097B" w:rsidRPr="00DA097B" w:rsidTr="00DA097B">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产出指标</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开展监管人员、健康管理人员和重点传染病危害业务培训次数（次）</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&gt;=12次</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=20次</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监督检查全市医疗机构、公共卫生场所、职业卫生工作场所户数（家）</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&gt;=1320家</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=1489家</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数量指标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完成监督检查抽查户数（家）</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&gt;=28家</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=28家</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质量指标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卫生监督检查覆盖率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质量指标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被抽检场所检测指标合格率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=90%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质量指标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业务培训任务完成率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时效指标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整体工作完成时间</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2023年12月31日</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=2023年12月31日</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成本指</w:t>
            </w:r>
            <w:r w:rsidRPr="00DA097B">
              <w:rPr>
                <w:rFonts w:ascii="宋体" w:hAnsi="宋体" w:cs="宋体" w:hint="eastAsia"/>
                <w:color w:val="000000"/>
                <w:kern w:val="0"/>
                <w:sz w:val="20"/>
                <w:szCs w:val="20"/>
              </w:rPr>
              <w:lastRenderedPageBreak/>
              <w:t>标</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lastRenderedPageBreak/>
              <w:t>经济成</w:t>
            </w:r>
            <w:r w:rsidRPr="00DA097B">
              <w:rPr>
                <w:rFonts w:ascii="宋体" w:hAnsi="宋体" w:cs="宋体" w:hint="eastAsia"/>
                <w:color w:val="000000"/>
                <w:kern w:val="0"/>
                <w:sz w:val="20"/>
                <w:szCs w:val="20"/>
              </w:rPr>
              <w:lastRenderedPageBreak/>
              <w:t>本指标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lastRenderedPageBreak/>
              <w:t>医疗卫生、公共卫生监</w:t>
            </w:r>
            <w:r w:rsidRPr="00DA097B">
              <w:rPr>
                <w:rFonts w:ascii="宋体" w:hAnsi="宋体" w:cs="宋体" w:hint="eastAsia"/>
                <w:color w:val="000000"/>
                <w:kern w:val="0"/>
                <w:sz w:val="20"/>
                <w:szCs w:val="20"/>
              </w:rPr>
              <w:lastRenderedPageBreak/>
              <w:t>督检查、抽查运行经费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lastRenderedPageBreak/>
              <w:t>&lt;=10</w:t>
            </w:r>
            <w:r w:rsidRPr="00DA097B">
              <w:rPr>
                <w:rFonts w:ascii="宋体" w:hAnsi="宋体" w:cs="宋体" w:hint="eastAsia"/>
                <w:color w:val="000000"/>
                <w:kern w:val="0"/>
                <w:sz w:val="20"/>
                <w:szCs w:val="20"/>
              </w:rPr>
              <w:lastRenderedPageBreak/>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lastRenderedPageBreak/>
              <w:t>=10</w:t>
            </w:r>
            <w:r w:rsidRPr="00DA097B">
              <w:rPr>
                <w:rFonts w:ascii="宋体" w:hAnsi="宋体" w:cs="宋体" w:hint="eastAsia"/>
                <w:color w:val="000000"/>
                <w:kern w:val="0"/>
                <w:sz w:val="20"/>
                <w:szCs w:val="20"/>
              </w:rPr>
              <w:lastRenderedPageBreak/>
              <w:t>万元</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lastRenderedPageBreak/>
              <w:t>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经济成本指标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重点传染病防控和健康危害监督运行保障经费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&lt;=10万元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=10万元</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5</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社会成本指标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不断提高我局监督队伍执法能力和卫生安全意识</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达成</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生态环境成本指标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效益指标</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经济效益指标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社会效益指标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规范医疗、公共、职业卫生行为，营造良好的卫生健康秩序，执法能力有效提升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达成</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20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生态效益指标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eastAsia="Times New Roman"/>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DA097B" w:rsidRPr="00DA097B" w:rsidRDefault="00DA097B" w:rsidP="00DA097B">
            <w:pPr>
              <w:widowControl/>
              <w:jc w:val="left"/>
              <w:rPr>
                <w:rFonts w:ascii="宋体" w:hAnsi="宋体" w:cs="宋体"/>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满意度指标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A097B" w:rsidRPr="00DA097B" w:rsidRDefault="00DA097B" w:rsidP="00DA097B">
            <w:pPr>
              <w:widowControl/>
              <w:jc w:val="left"/>
              <w:rPr>
                <w:rFonts w:ascii="宋体" w:hAnsi="宋体" w:cs="宋体"/>
                <w:color w:val="000000"/>
                <w:kern w:val="0"/>
                <w:sz w:val="20"/>
                <w:szCs w:val="20"/>
              </w:rPr>
            </w:pPr>
            <w:r w:rsidRPr="00DA097B">
              <w:rPr>
                <w:rFonts w:ascii="宋体" w:hAnsi="宋体" w:cs="宋体" w:hint="eastAsia"/>
                <w:color w:val="000000"/>
                <w:kern w:val="0"/>
                <w:sz w:val="20"/>
                <w:szCs w:val="20"/>
              </w:rPr>
              <w:t>卫生监督服务对象满意度（%）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=95%</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r w:rsidR="00DA097B" w:rsidRPr="00DA097B" w:rsidTr="00DA097B">
        <w:trPr>
          <w:trHeight w:val="288"/>
          <w:jc w:val="center"/>
        </w:trPr>
        <w:tc>
          <w:tcPr>
            <w:tcW w:w="5981"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总分</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r w:rsidRPr="00DA097B">
              <w:rPr>
                <w:rFonts w:ascii="宋体" w:hAnsi="宋体" w:cs="宋体" w:hint="eastAsia"/>
                <w:color w:val="000000"/>
                <w:kern w:val="0"/>
                <w:sz w:val="20"/>
                <w:szCs w:val="20"/>
              </w:rPr>
              <w:t>100分</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97B" w:rsidRPr="00DA097B" w:rsidRDefault="00DA097B" w:rsidP="00DA097B">
            <w:pPr>
              <w:widowControl/>
              <w:jc w:val="center"/>
              <w:rPr>
                <w:rFonts w:ascii="宋体" w:hAnsi="宋体" w:cs="宋体"/>
                <w:color w:val="000000"/>
                <w:kern w:val="0"/>
                <w:sz w:val="20"/>
                <w:szCs w:val="20"/>
              </w:rPr>
            </w:pPr>
          </w:p>
        </w:tc>
        <w:tc>
          <w:tcPr>
            <w:tcW w:w="222" w:type="dxa"/>
            <w:vAlign w:val="center"/>
            <w:hideMark/>
          </w:tcPr>
          <w:p w:rsidR="00DA097B" w:rsidRPr="00DA097B" w:rsidRDefault="00DA097B" w:rsidP="00DA097B">
            <w:pPr>
              <w:widowControl/>
              <w:jc w:val="left"/>
              <w:rPr>
                <w:rFonts w:eastAsia="Times New Roman"/>
                <w:kern w:val="0"/>
                <w:sz w:val="20"/>
                <w:szCs w:val="20"/>
              </w:rPr>
            </w:pPr>
          </w:p>
        </w:tc>
      </w:tr>
    </w:tbl>
    <w:p w:rsidR="00DA097B" w:rsidRDefault="00DA097B">
      <w:pPr>
        <w:ind w:firstLineChars="200" w:firstLine="640"/>
        <w:jc w:val="left"/>
        <w:rPr>
          <w:rFonts w:ascii="仿宋_GB2312" w:eastAsia="仿宋_GB2312" w:hAnsi="仿宋_GB2312" w:cs="仿宋_GB2312"/>
          <w:kern w:val="0"/>
          <w:sz w:val="32"/>
          <w:szCs w:val="32"/>
        </w:rPr>
      </w:pPr>
    </w:p>
    <w:p w:rsidR="00FE622B" w:rsidRDefault="00D44059">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FE622B" w:rsidRDefault="00D44059" w:rsidP="003114A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3114A1">
        <w:rPr>
          <w:rFonts w:ascii="仿宋_GB2312" w:eastAsia="仿宋_GB2312" w:hAnsi="仿宋_GB2312" w:cs="仿宋_GB2312" w:hint="eastAsia"/>
          <w:kern w:val="0"/>
          <w:sz w:val="32"/>
          <w:szCs w:val="32"/>
        </w:rPr>
        <w:t>。</w:t>
      </w:r>
    </w:p>
    <w:p w:rsidR="00FE622B" w:rsidRDefault="00D44059">
      <w:pPr>
        <w:jc w:val="center"/>
        <w:outlineLvl w:val="0"/>
        <w:rPr>
          <w:rFonts w:ascii="黑体" w:eastAsia="黑体" w:hAnsi="黑体"/>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w:t>
      </w:r>
      <w:r>
        <w:rPr>
          <w:rFonts w:ascii="仿宋_GB2312" w:eastAsia="仿宋_GB2312" w:hint="eastAsia"/>
          <w:sz w:val="32"/>
          <w:szCs w:val="32"/>
        </w:rPr>
        <w:t>客观条件变化未执行完毕、结转到本年度按有关规定继续使用的资金，既包括财政拨款结转和结余，也包括事业收入、经营收入、其他收入的结转和结余。</w:t>
      </w:r>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FE622B" w:rsidRDefault="00D4405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FE622B" w:rsidRDefault="00D4405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FE622B" w:rsidRDefault="00D4405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FE622B" w:rsidRDefault="00D4405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w:t>
      </w:r>
      <w:r>
        <w:rPr>
          <w:rFonts w:ascii="仿宋_GB2312" w:eastAsia="仿宋_GB2312" w:hint="eastAsia"/>
          <w:sz w:val="32"/>
          <w:szCs w:val="32"/>
        </w:rPr>
        <w:t>险费、安全奖励费用等支出；公务接待费反映单位按规定开支的各类公务接待（含外宾接待）费用。</w:t>
      </w:r>
    </w:p>
    <w:p w:rsidR="00FE622B" w:rsidRDefault="00D44059">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FE622B" w:rsidRDefault="00D44059">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FE622B" w:rsidRDefault="00D44059">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FE622B" w:rsidRDefault="00D44059">
      <w:pPr>
        <w:ind w:firstLineChars="200" w:firstLine="640"/>
        <w:outlineLvl w:val="1"/>
        <w:rPr>
          <w:rFonts w:ascii="黑体" w:eastAsia="仿宋_GB2312" w:hAnsi="黑体" w:cs="宋体"/>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rsidR="00FE622B" w:rsidRDefault="00D44059">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FE622B" w:rsidRDefault="00D44059">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FE622B" w:rsidRDefault="00D44059">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FE622B" w:rsidRDefault="00D44059">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FE622B" w:rsidRDefault="00D44059">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rsidR="00FE622B" w:rsidRDefault="00D44059">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FE622B" w:rsidRDefault="00D44059">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FE622B" w:rsidRDefault="00FE622B">
      <w:pPr>
        <w:ind w:firstLineChars="200" w:firstLine="640"/>
        <w:rPr>
          <w:rFonts w:ascii="仿宋_GB2312" w:eastAsia="仿宋_GB2312"/>
          <w:sz w:val="32"/>
          <w:szCs w:val="32"/>
        </w:rPr>
      </w:pPr>
    </w:p>
    <w:p w:rsidR="00FE622B" w:rsidRDefault="00FE622B">
      <w:pPr>
        <w:ind w:firstLineChars="200" w:firstLine="640"/>
        <w:outlineLvl w:val="1"/>
        <w:rPr>
          <w:rFonts w:ascii="黑体" w:eastAsia="黑体" w:hAnsi="黑体" w:cs="宋体"/>
          <w:bCs/>
          <w:kern w:val="0"/>
          <w:sz w:val="32"/>
          <w:szCs w:val="32"/>
        </w:rPr>
      </w:pPr>
    </w:p>
    <w:sectPr w:rsidR="00FE622B" w:rsidSect="00177B5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059" w:rsidRDefault="00D44059">
      <w:r>
        <w:separator/>
      </w:r>
    </w:p>
  </w:endnote>
  <w:endnote w:type="continuationSeparator" w:id="1">
    <w:p w:rsidR="00D44059" w:rsidRDefault="00D44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22B" w:rsidRDefault="00177B58">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FE622B" w:rsidRDefault="00177B58">
                <w:pPr>
                  <w:pStyle w:val="a4"/>
                </w:pPr>
                <w:r>
                  <w:rPr>
                    <w:rFonts w:hint="eastAsia"/>
                  </w:rPr>
                  <w:fldChar w:fldCharType="begin"/>
                </w:r>
                <w:r w:rsidR="00D44059">
                  <w:rPr>
                    <w:rFonts w:hint="eastAsia"/>
                  </w:rPr>
                  <w:instrText xml:space="preserve"> PAGE  \* MERGEFORMAT </w:instrText>
                </w:r>
                <w:r>
                  <w:rPr>
                    <w:rFonts w:hint="eastAsia"/>
                  </w:rPr>
                  <w:fldChar w:fldCharType="separate"/>
                </w:r>
                <w:r w:rsidR="00D4221D">
                  <w:rPr>
                    <w:noProof/>
                  </w:rPr>
                  <w:t>16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059" w:rsidRDefault="00D44059">
      <w:r>
        <w:separator/>
      </w:r>
    </w:p>
  </w:footnote>
  <w:footnote w:type="continuationSeparator" w:id="1">
    <w:p w:rsidR="00D44059" w:rsidRDefault="00D440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FE622B"/>
    <w:rsid w:val="000146F3"/>
    <w:rsid w:val="00177B58"/>
    <w:rsid w:val="00213C59"/>
    <w:rsid w:val="003114A1"/>
    <w:rsid w:val="003210CE"/>
    <w:rsid w:val="006F7892"/>
    <w:rsid w:val="007A2B73"/>
    <w:rsid w:val="00B41D87"/>
    <w:rsid w:val="00B70D59"/>
    <w:rsid w:val="00B916EA"/>
    <w:rsid w:val="00BA5EFB"/>
    <w:rsid w:val="00C87FBA"/>
    <w:rsid w:val="00CA59B9"/>
    <w:rsid w:val="00D4221D"/>
    <w:rsid w:val="00D43D52"/>
    <w:rsid w:val="00D44059"/>
    <w:rsid w:val="00DA097B"/>
    <w:rsid w:val="00DB6D55"/>
    <w:rsid w:val="00E1197E"/>
    <w:rsid w:val="00EB5234"/>
    <w:rsid w:val="00F52A8D"/>
    <w:rsid w:val="00F94964"/>
    <w:rsid w:val="00FB6670"/>
    <w:rsid w:val="00FC2B74"/>
    <w:rsid w:val="00FD0598"/>
    <w:rsid w:val="00FE20CB"/>
    <w:rsid w:val="00FE622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7B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77B58"/>
    <w:pPr>
      <w:jc w:val="left"/>
    </w:pPr>
  </w:style>
  <w:style w:type="paragraph" w:styleId="3">
    <w:name w:val="toc 3"/>
    <w:basedOn w:val="a"/>
    <w:next w:val="a"/>
    <w:qFormat/>
    <w:rsid w:val="00177B58"/>
    <w:pPr>
      <w:ind w:leftChars="400" w:left="840"/>
    </w:pPr>
  </w:style>
  <w:style w:type="paragraph" w:styleId="a4">
    <w:name w:val="footer"/>
    <w:basedOn w:val="a"/>
    <w:qFormat/>
    <w:rsid w:val="00177B58"/>
    <w:pPr>
      <w:tabs>
        <w:tab w:val="center" w:pos="4153"/>
        <w:tab w:val="right" w:pos="8306"/>
      </w:tabs>
      <w:snapToGrid w:val="0"/>
      <w:jc w:val="left"/>
    </w:pPr>
    <w:rPr>
      <w:sz w:val="18"/>
    </w:rPr>
  </w:style>
  <w:style w:type="paragraph" w:styleId="a5">
    <w:name w:val="header"/>
    <w:basedOn w:val="a"/>
    <w:qFormat/>
    <w:rsid w:val="00177B5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177B58"/>
  </w:style>
  <w:style w:type="paragraph" w:styleId="2">
    <w:name w:val="toc 2"/>
    <w:basedOn w:val="a"/>
    <w:next w:val="a"/>
    <w:qFormat/>
    <w:rsid w:val="00177B58"/>
    <w:pPr>
      <w:ind w:leftChars="200" w:left="420"/>
    </w:pPr>
  </w:style>
  <w:style w:type="paragraph" w:styleId="a6">
    <w:name w:val="Normal (Web)"/>
    <w:basedOn w:val="a"/>
    <w:qFormat/>
    <w:rsid w:val="00177B58"/>
    <w:pPr>
      <w:spacing w:before="100" w:beforeAutospacing="1" w:after="100" w:afterAutospacing="1"/>
      <w:jc w:val="left"/>
    </w:pPr>
    <w:rPr>
      <w:kern w:val="0"/>
      <w:sz w:val="24"/>
    </w:rPr>
  </w:style>
  <w:style w:type="character" w:styleId="a7">
    <w:name w:val="Strong"/>
    <w:basedOn w:val="a0"/>
    <w:qFormat/>
    <w:rsid w:val="00177B58"/>
    <w:rPr>
      <w:b/>
    </w:rPr>
  </w:style>
  <w:style w:type="paragraph" w:customStyle="1" w:styleId="WPSOffice3">
    <w:name w:val="WPSOffice手动目录 3"/>
    <w:qFormat/>
    <w:rsid w:val="00177B58"/>
    <w:pPr>
      <w:ind w:leftChars="400" w:left="400"/>
    </w:pPr>
  </w:style>
  <w:style w:type="paragraph" w:customStyle="1" w:styleId="WPSOffice2">
    <w:name w:val="WPSOffice手动目录 2"/>
    <w:qFormat/>
    <w:rsid w:val="00177B58"/>
    <w:pPr>
      <w:ind w:leftChars="200" w:left="200"/>
    </w:pPr>
  </w:style>
  <w:style w:type="paragraph" w:customStyle="1" w:styleId="WPSOffice1">
    <w:name w:val="WPSOffice手动目录 1"/>
    <w:qFormat/>
    <w:rsid w:val="00177B58"/>
  </w:style>
</w:styles>
</file>

<file path=word/webSettings.xml><?xml version="1.0" encoding="utf-8"?>
<w:webSettings xmlns:r="http://schemas.openxmlformats.org/officeDocument/2006/relationships" xmlns:w="http://schemas.openxmlformats.org/wordprocessingml/2006/main">
  <w:divs>
    <w:div w:id="158809409">
      <w:bodyDiv w:val="1"/>
      <w:marLeft w:val="0"/>
      <w:marRight w:val="0"/>
      <w:marTop w:val="0"/>
      <w:marBottom w:val="0"/>
      <w:divBdr>
        <w:top w:val="none" w:sz="0" w:space="0" w:color="auto"/>
        <w:left w:val="none" w:sz="0" w:space="0" w:color="auto"/>
        <w:bottom w:val="none" w:sz="0" w:space="0" w:color="auto"/>
        <w:right w:val="none" w:sz="0" w:space="0" w:color="auto"/>
      </w:divBdr>
    </w:div>
    <w:div w:id="177283366">
      <w:bodyDiv w:val="1"/>
      <w:marLeft w:val="0"/>
      <w:marRight w:val="0"/>
      <w:marTop w:val="0"/>
      <w:marBottom w:val="0"/>
      <w:divBdr>
        <w:top w:val="none" w:sz="0" w:space="0" w:color="auto"/>
        <w:left w:val="none" w:sz="0" w:space="0" w:color="auto"/>
        <w:bottom w:val="none" w:sz="0" w:space="0" w:color="auto"/>
        <w:right w:val="none" w:sz="0" w:space="0" w:color="auto"/>
      </w:divBdr>
    </w:div>
    <w:div w:id="625742588">
      <w:bodyDiv w:val="1"/>
      <w:marLeft w:val="0"/>
      <w:marRight w:val="0"/>
      <w:marTop w:val="0"/>
      <w:marBottom w:val="0"/>
      <w:divBdr>
        <w:top w:val="none" w:sz="0" w:space="0" w:color="auto"/>
        <w:left w:val="none" w:sz="0" w:space="0" w:color="auto"/>
        <w:bottom w:val="none" w:sz="0" w:space="0" w:color="auto"/>
        <w:right w:val="none" w:sz="0" w:space="0" w:color="auto"/>
      </w:divBdr>
    </w:div>
    <w:div w:id="824005088">
      <w:bodyDiv w:val="1"/>
      <w:marLeft w:val="0"/>
      <w:marRight w:val="0"/>
      <w:marTop w:val="0"/>
      <w:marBottom w:val="0"/>
      <w:divBdr>
        <w:top w:val="none" w:sz="0" w:space="0" w:color="auto"/>
        <w:left w:val="none" w:sz="0" w:space="0" w:color="auto"/>
        <w:bottom w:val="none" w:sz="0" w:space="0" w:color="auto"/>
        <w:right w:val="none" w:sz="0" w:space="0" w:color="auto"/>
      </w:divBdr>
    </w:div>
    <w:div w:id="1152284712">
      <w:bodyDiv w:val="1"/>
      <w:marLeft w:val="0"/>
      <w:marRight w:val="0"/>
      <w:marTop w:val="0"/>
      <w:marBottom w:val="0"/>
      <w:divBdr>
        <w:top w:val="none" w:sz="0" w:space="0" w:color="auto"/>
        <w:left w:val="none" w:sz="0" w:space="0" w:color="auto"/>
        <w:bottom w:val="none" w:sz="0" w:space="0" w:color="auto"/>
        <w:right w:val="none" w:sz="0" w:space="0" w:color="auto"/>
      </w:divBdr>
    </w:div>
    <w:div w:id="1299610585">
      <w:bodyDiv w:val="1"/>
      <w:marLeft w:val="0"/>
      <w:marRight w:val="0"/>
      <w:marTop w:val="0"/>
      <w:marBottom w:val="0"/>
      <w:divBdr>
        <w:top w:val="none" w:sz="0" w:space="0" w:color="auto"/>
        <w:left w:val="none" w:sz="0" w:space="0" w:color="auto"/>
        <w:bottom w:val="none" w:sz="0" w:space="0" w:color="auto"/>
        <w:right w:val="none" w:sz="0" w:space="0" w:color="auto"/>
      </w:divBdr>
    </w:div>
    <w:div w:id="1420641346">
      <w:bodyDiv w:val="1"/>
      <w:marLeft w:val="0"/>
      <w:marRight w:val="0"/>
      <w:marTop w:val="0"/>
      <w:marBottom w:val="0"/>
      <w:divBdr>
        <w:top w:val="none" w:sz="0" w:space="0" w:color="auto"/>
        <w:left w:val="none" w:sz="0" w:space="0" w:color="auto"/>
        <w:bottom w:val="none" w:sz="0" w:space="0" w:color="auto"/>
        <w:right w:val="none" w:sz="0" w:space="0" w:color="auto"/>
      </w:divBdr>
    </w:div>
    <w:div w:id="1941058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2206</Words>
  <Characters>12580</Characters>
  <Application>Microsoft Office Word</Application>
  <DocSecurity>0</DocSecurity>
  <Lines>104</Lines>
  <Paragraphs>29</Paragraphs>
  <ScaleCrop>false</ScaleCrop>
  <Company/>
  <LinksUpToDate>false</LinksUpToDate>
  <CharactersWithSpaces>14757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12</cp:revision>
  <dcterms:created xsi:type="dcterms:W3CDTF">2014-10-29T12:08:00Z</dcterms:created>
  <dcterms:modified xsi:type="dcterms:W3CDTF">2025-02-24T08:50:00Z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