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FC4F51">
      <w:pPr>
        <w:spacing w:line="540" w:lineRule="exact"/>
        <w:jc w:val="left"/>
        <w:rPr>
          <w:rFonts w:ascii="仿宋" w:hAnsi="仿宋" w:eastAsia="仿宋" w:cs="宋体"/>
          <w:color w:val="000000" w:themeColor="text1"/>
          <w:kern w:val="0"/>
          <w:sz w:val="32"/>
          <w:szCs w:val="32"/>
          <w14:textFill>
            <w14:solidFill>
              <w14:schemeClr w14:val="tx1"/>
            </w14:solidFill>
          </w14:textFill>
        </w:rPr>
      </w:pPr>
      <w:r>
        <w:rPr>
          <w:rFonts w:hint="eastAsia" w:ascii="仿宋" w:hAnsi="仿宋" w:eastAsia="仿宋" w:cs="宋体"/>
          <w:color w:val="000000" w:themeColor="text1"/>
          <w:kern w:val="0"/>
          <w:sz w:val="32"/>
          <w:szCs w:val="32"/>
          <w14:textFill>
            <w14:solidFill>
              <w14:schemeClr w14:val="tx1"/>
            </w14:solidFill>
          </w14:textFill>
        </w:rPr>
        <w:t>附件2：</w:t>
      </w:r>
    </w:p>
    <w:p w14:paraId="0C9841A4">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00E5780D">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4B2C99E2">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bookmarkStart w:id="0" w:name="_GoBack"/>
      <w:bookmarkEnd w:id="0"/>
    </w:p>
    <w:p w14:paraId="7F554E22">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7AB740E1">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12394630">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2683BCFE">
      <w:pPr>
        <w:spacing w:line="540" w:lineRule="exact"/>
        <w:jc w:val="center"/>
        <w:rPr>
          <w:rFonts w:ascii="方正小标宋_GBK" w:hAnsi="华文中宋" w:eastAsia="方正小标宋_GBK" w:cs="宋体"/>
          <w:b/>
          <w:color w:val="000000" w:themeColor="text1"/>
          <w:kern w:val="0"/>
          <w:sz w:val="48"/>
          <w:szCs w:val="48"/>
          <w14:textFill>
            <w14:solidFill>
              <w14:schemeClr w14:val="tx1"/>
            </w14:solidFill>
          </w14:textFill>
        </w:rPr>
      </w:pPr>
      <w:r>
        <w:rPr>
          <w:rFonts w:hint="eastAsia" w:ascii="方正小标宋_GBK" w:hAnsi="华文中宋" w:eastAsia="方正小标宋_GBK" w:cs="宋体"/>
          <w:b/>
          <w:color w:val="000000" w:themeColor="text1"/>
          <w:kern w:val="0"/>
          <w:sz w:val="48"/>
          <w:szCs w:val="48"/>
          <w14:textFill>
            <w14:solidFill>
              <w14:schemeClr w14:val="tx1"/>
            </w14:solidFill>
          </w14:textFill>
        </w:rPr>
        <w:t>项目支出绩效自评报告</w:t>
      </w:r>
    </w:p>
    <w:p w14:paraId="7EF6DE37">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611E0802">
      <w:pPr>
        <w:spacing w:line="540" w:lineRule="exact"/>
        <w:jc w:val="center"/>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r>
        <w:rPr>
          <w:rStyle w:val="18"/>
          <w:rFonts w:hint="eastAsia" w:ascii="楷体" w:hAnsi="楷体" w:eastAsia="楷体"/>
          <w:color w:val="000000" w:themeColor="text1"/>
          <w:spacing w:val="-4"/>
          <w:sz w:val="32"/>
          <w:szCs w:val="32"/>
          <w14:textFill>
            <w14:solidFill>
              <w14:schemeClr w14:val="tx1"/>
            </w14:solidFill>
          </w14:textFill>
        </w:rPr>
        <w:t>2023</w:t>
      </w:r>
      <w:r>
        <w:rPr>
          <w:rFonts w:hint="eastAsia" w:hAnsi="宋体" w:eastAsia="仿宋_GB2312" w:cs="宋体"/>
          <w:color w:val="000000" w:themeColor="text1"/>
          <w:kern w:val="0"/>
          <w:sz w:val="36"/>
          <w:szCs w:val="36"/>
          <w14:textFill>
            <w14:solidFill>
              <w14:schemeClr w14:val="tx1"/>
            </w14:solidFill>
          </w14:textFill>
        </w:rPr>
        <w:t xml:space="preserve">  年度）</w:t>
      </w:r>
    </w:p>
    <w:p w14:paraId="08F9DCC5">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30DE0206">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76CFD215">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0CE60CB8">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27CFA87A">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2378E4BF">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6FF9E827">
      <w:pPr>
        <w:spacing w:line="540" w:lineRule="exact"/>
        <w:rPr>
          <w:rFonts w:hAnsi="宋体" w:eastAsia="仿宋_GB2312" w:cs="宋体"/>
          <w:color w:val="000000" w:themeColor="text1"/>
          <w:kern w:val="0"/>
          <w:sz w:val="30"/>
          <w:szCs w:val="30"/>
          <w14:textFill>
            <w14:solidFill>
              <w14:schemeClr w14:val="tx1"/>
            </w14:solidFill>
          </w14:textFill>
        </w:rPr>
      </w:pPr>
    </w:p>
    <w:p w14:paraId="22A62AE7">
      <w:pPr>
        <w:spacing w:line="700" w:lineRule="exact"/>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p>
    <w:p w14:paraId="66979898">
      <w:pPr>
        <w:spacing w:line="700" w:lineRule="exact"/>
        <w:ind w:firstLine="900" w:firstLineChars="250"/>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项目名称：</w:t>
      </w:r>
      <w:r>
        <w:rPr>
          <w:rStyle w:val="18"/>
          <w:rFonts w:hint="eastAsia" w:ascii="楷体" w:hAnsi="楷体" w:eastAsia="楷体"/>
          <w:color w:val="000000" w:themeColor="text1"/>
          <w:spacing w:val="-4"/>
          <w:sz w:val="32"/>
          <w:szCs w:val="32"/>
          <w14:textFill>
            <w14:solidFill>
              <w14:schemeClr w14:val="tx1"/>
            </w14:solidFill>
          </w14:textFill>
        </w:rPr>
        <w:t>昌吉市档案馆监控、消防系统、门厅改造、新建展馆陈列室</w:t>
      </w:r>
    </w:p>
    <w:p w14:paraId="3FBABE94">
      <w:pPr>
        <w:spacing w:line="540" w:lineRule="exact"/>
        <w:ind w:firstLine="567"/>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实施单位（公章）：</w:t>
      </w:r>
      <w:r>
        <w:rPr>
          <w:rStyle w:val="18"/>
          <w:rFonts w:hint="eastAsia" w:ascii="楷体" w:hAnsi="楷体" w:eastAsia="楷体"/>
          <w:color w:val="000000" w:themeColor="text1"/>
          <w:spacing w:val="-4"/>
          <w:sz w:val="28"/>
          <w:szCs w:val="28"/>
          <w14:textFill>
            <w14:solidFill>
              <w14:schemeClr w14:val="tx1"/>
            </w14:solidFill>
          </w14:textFill>
        </w:rPr>
        <w:t>中国共产党昌吉市委员会办公室</w:t>
      </w:r>
    </w:p>
    <w:p w14:paraId="75ADF9C4">
      <w:pPr>
        <w:spacing w:line="540" w:lineRule="exact"/>
        <w:ind w:firstLine="900" w:firstLineChars="250"/>
        <w:rPr>
          <w:rFonts w:ascii="楷体" w:hAnsi="楷体" w:eastAsia="楷体"/>
          <w:b/>
          <w:bCs/>
          <w:color w:val="000000" w:themeColor="text1"/>
          <w:spacing w:val="-4"/>
          <w:sz w:val="28"/>
          <w:szCs w:val="28"/>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主管部门（公章）：</w:t>
      </w:r>
      <w:r>
        <w:rPr>
          <w:rStyle w:val="18"/>
          <w:rFonts w:hint="eastAsia" w:ascii="楷体" w:hAnsi="楷体" w:eastAsia="楷体"/>
          <w:color w:val="000000" w:themeColor="text1"/>
          <w:spacing w:val="-4"/>
          <w:sz w:val="28"/>
          <w:szCs w:val="28"/>
          <w14:textFill>
            <w14:solidFill>
              <w14:schemeClr w14:val="tx1"/>
            </w14:solidFill>
          </w14:textFill>
        </w:rPr>
        <w:t>中国共产党昌吉市委员会办公室</w:t>
      </w:r>
    </w:p>
    <w:p w14:paraId="5051380A">
      <w:pPr>
        <w:spacing w:line="540" w:lineRule="exact"/>
        <w:ind w:firstLine="900" w:firstLineChars="250"/>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项目负责人（签章）：</w:t>
      </w:r>
      <w:r>
        <w:rPr>
          <w:rStyle w:val="18"/>
          <w:rFonts w:hint="eastAsia" w:ascii="楷体" w:hAnsi="楷体" w:eastAsia="楷体"/>
          <w:color w:val="000000" w:themeColor="text1"/>
          <w:spacing w:val="-4"/>
          <w:sz w:val="32"/>
          <w:szCs w:val="32"/>
          <w14:textFill>
            <w14:solidFill>
              <w14:schemeClr w14:val="tx1"/>
            </w14:solidFill>
          </w14:textFill>
        </w:rPr>
        <w:t>陆海春</w:t>
      </w:r>
    </w:p>
    <w:p w14:paraId="760A6F89">
      <w:pPr>
        <w:spacing w:line="540" w:lineRule="exact"/>
        <w:ind w:left="273" w:firstLine="567"/>
        <w:rPr>
          <w:rStyle w:val="18"/>
          <w:rFonts w:ascii="楷体" w:hAnsi="楷体" w:eastAsia="楷体"/>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填报时间：</w:t>
      </w:r>
      <w:r>
        <w:rPr>
          <w:rStyle w:val="18"/>
          <w:rFonts w:hint="eastAsia" w:ascii="楷体" w:hAnsi="楷体" w:eastAsia="楷体"/>
          <w:color w:val="000000" w:themeColor="text1"/>
          <w:spacing w:val="-4"/>
          <w:sz w:val="32"/>
          <w:szCs w:val="32"/>
          <w14:textFill>
            <w14:solidFill>
              <w14:schemeClr w14:val="tx1"/>
            </w14:solidFill>
          </w14:textFill>
        </w:rPr>
        <w:t>2024年04月17日</w:t>
      </w:r>
    </w:p>
    <w:p w14:paraId="476B5D28">
      <w:pPr>
        <w:spacing w:line="700" w:lineRule="exact"/>
        <w:ind w:firstLine="708" w:firstLineChars="236"/>
        <w:jc w:val="left"/>
        <w:rPr>
          <w:rFonts w:hAnsi="宋体" w:eastAsia="仿宋_GB2312" w:cs="宋体"/>
          <w:color w:val="000000" w:themeColor="text1"/>
          <w:kern w:val="0"/>
          <w:sz w:val="30"/>
          <w:szCs w:val="30"/>
          <w14:textFill>
            <w14:solidFill>
              <w14:schemeClr w14:val="tx1"/>
            </w14:solidFill>
          </w14:textFill>
        </w:rPr>
      </w:pPr>
    </w:p>
    <w:p w14:paraId="0E52E906">
      <w:pPr>
        <w:spacing w:line="540" w:lineRule="exact"/>
        <w:rPr>
          <w:rStyle w:val="18"/>
          <w:rFonts w:ascii="黑体" w:hAnsi="黑体" w:eastAsia="黑体"/>
          <w:b w:val="0"/>
          <w:color w:val="000000" w:themeColor="text1"/>
          <w:spacing w:val="-4"/>
          <w:sz w:val="32"/>
          <w:szCs w:val="32"/>
          <w14:textFill>
            <w14:solidFill>
              <w14:schemeClr w14:val="tx1"/>
            </w14:solidFill>
          </w14:textFill>
        </w:rPr>
      </w:pPr>
    </w:p>
    <w:p w14:paraId="117906E9">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一、基本情况</w:t>
      </w:r>
    </w:p>
    <w:p w14:paraId="462167FE">
      <w:pPr>
        <w:spacing w:line="540" w:lineRule="exact"/>
        <w:ind w:firstLine="567"/>
        <w:rPr>
          <w:rStyle w:val="18"/>
          <w:rFonts w:hint="default" w:ascii="楷体" w:hAnsi="楷体" w:eastAsia="楷体"/>
          <w:color w:val="000000" w:themeColor="text1"/>
          <w:spacing w:val="-4"/>
          <w:sz w:val="32"/>
          <w:szCs w:val="32"/>
          <w:lang w:val="en-US" w:eastAsia="zh-CN"/>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（一）项目概况</w:t>
      </w:r>
      <w:r>
        <w:rPr>
          <w:rStyle w:val="18"/>
          <w:rFonts w:hint="eastAsia" w:ascii="楷体" w:hAnsi="楷体" w:eastAsia="楷体"/>
          <w:color w:val="000000" w:themeColor="text1"/>
          <w:spacing w:val="-4"/>
          <w:sz w:val="32"/>
          <w:szCs w:val="32"/>
          <w:lang w:eastAsia="zh-CN"/>
          <w14:textFill>
            <w14:solidFill>
              <w14:schemeClr w14:val="tx1"/>
            </w14:solidFill>
          </w14:textFill>
        </w:rPr>
        <w:t>。</w:t>
      </w:r>
    </w:p>
    <w:p w14:paraId="200101C2">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1.项目背景</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新疆维吾尔自治区地县级综合档案馆业务建设评价办法》&lt;《“十四五”新疆维吾尔自治区档案事业发展规划》实施情况评估办法&gt;》、中共昌吉回族自治州委员会办公室《关于组织开展“十四五”档案事业发展规划实施情况中期评估工作的通知》的要求，保护档案安全，提高档案利用率，实施该项目。昌吉市档案馆负责集中统一管理全市立档单位的重要档案资料，对馆藏档案需进行科学管理，维护档案完整，做好开发利用，向社会开放档案，确保档案资料信息安全；接收、征集、整理市党政机关、企事业单位和其他组织的档案、资料，提高档案信息化管理水平，做好档案编研出版工作，提供档案服务。综上所述我单位申报实施了昌吉市档案馆监控、消防系统、门厅改造、新建展馆陈列室项目。同时，为了确保该项目的顺利实施，我单位于2023年修订了《中国共产党昌吉市委员会办公室项目资金管理办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2.项目主要内容及实施情况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主要内容为：1、重建视频监控设备1项；2、消防设备改造工程1项；3、门厅改造工程1项；4、新建展馆陈列室1项。本项目于2023年1月开始实施，截止2023年12月，重建视频监控设备、消防设备改造工程、门厅改造工程已完成验收，通过本项目的实施，将保证档案消防、监控系统的正常运转，确保馆藏档案的安全，为我市的经济发展及各项事业的开展提供坚强的保证。</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3.项目实施主体</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2023年昌吉市档案馆监控、消防系统、门厅改造、新建展馆陈列室项目的实施主体为中国共产党昌吉市委员会办公室，该单位纳入2023年部门决算编制范围的有8个科室、5个下属事业单位、2个下属局，分别是：督查科、行政管理科、文书科、信息科、综合一科、综合二科、政策研究科、档案监督科、昌吉市决策信息中心、中共昌吉市委员会信息化管理办公室、昌吉市党委专用通信局、昌吉市委国家安全委员会办公室情报信息中心、昌吉市经济协作中心、中共昌吉市委员会机要保密局、昌吉市档案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编制人数为85人，其中：行政人员编制30人、工勤8人、参公13人、事业编制34人。实有在职人数64人，其中：行政在职23人、工勤6人、参公9人、事业在职26人。离退休人员28人，其中：行政退休人员28人、事业退休0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4.资金投入和使用情况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（1）项目资金安排落实、总投入情况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关于拨付昌吉市档案馆监控、消防系统、门厅改造、新建展馆陈列室项目资金的通知》（昌市财预〔2023〕570号）文件，昌吉市档案馆监控、消防系统、门厅改造、新建展馆陈列室项目预算安排资金总额43.65万元，其中财政资金43.65万元、其他资金0万元，2023年实际收到预算资金43.65万元，预算资金到位率为100.0%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（2）项目资金实际使用情况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截至2023年12月31日，本项目实际支付资金37.66万元，预算执行率86.3%（项目中新建展馆陈列室指标未实施）。项目资金主要用于支付：1、重建视频监控设备工程费用6.72万元；2、消防设备改造工程费用9.65万元；3、门厅改造工程费用21.29万元。</w:t>
      </w:r>
    </w:p>
    <w:p w14:paraId="022B0F5F">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（二）项目绩效目标</w:t>
      </w:r>
    </w:p>
    <w:p w14:paraId="72E96FEE">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1.总体目标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昌吉市档案馆负责集中统一管理全市立档单位的重要档案资料，对馆藏档案进行科学管理，维护档案完整，做好开发利用，向社会开放档案，确保档案资料信息安全；接收、征集、整理市党政机关、企事业单位和其他组织的档案、资料，提高档案信息化管理水平，做好档案编研出版工作，提供档案服务。根据昌市党财领〔2023〕4号文件开展此项目。本项目预计使用资金43.65万元，项目的内容有：1、重建视频监控设备1项6.72万元；2、消防设备改造工程1项9.65万元；3、门厅改造工程1项22.59万元；4、新建展馆陈列室1项4.69万元。项目的实施将保证档案消防、监控系统的正常运转，确保馆藏档案安全，为我市的经济发展及各项事业的开展提供坚强的保证。</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2.阶段性目标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中国共产党昌吉市委员会办公室的规章制度以及财务相关资料，评价小组对项目绩效目标进行了进一步的完善，完善后绩效目标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（1）项目产出目标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①数量指标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“重建视频监控设备工程”指标，预期指标值为“&gt;=1项”；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“消防设备改造工程”指标，预期指标值为“&gt;=1项”；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“门厅改造工程”指标，预期指标值为“&gt;=1项”。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“新建展馆陈列室”指标，预期指标值为“&gt;=1项”。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②质量指标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“项目资金的合规率”指标，预期指标值为“&gt;=100%”；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③时效指标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“项目资金支付的及时率”指标，预期指标值为“&gt;=100%”；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（2）项目成本目标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①经济成本指标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“重建视频监控设备工程成本”指标，预期指标值为“&lt;=6.72万元”；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“消防设备改造工程成本”指标，预期指标值为“&lt;=9.65万元”。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“门厅改造工程成本”指标，预期指标值为“&lt;=22.59万元”。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“新建展馆陈列室成本”指标，预期指标值为“&lt;=4.69万元万元”。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（3）项目效益目标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①经济效益指标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“确保馆藏档案安全”指标，预期指标值为“确保”；</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“为我市的经济发展及各项事业的开展提供坚强的保证。”指标，预期指标值为“提供”。</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③生态效益指标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④可持续影响指标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（4）相关满意度目标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p>
    <w:p w14:paraId="2EFB98ED">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二、绩效评价工作开展情况</w:t>
      </w:r>
    </w:p>
    <w:p w14:paraId="6D0D5763">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（一）绩效评价目的、对象和范围</w:t>
      </w:r>
    </w:p>
    <w:p w14:paraId="79A7ECE7">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1.绩效评价的目的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2.绩效评价的对象和范围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绩效评价遵循财政部《关于印发&lt;项目支出绩效评价管理办法&gt;的通知》（财预〔2020〕10号）以及自治区财政厅《自治区财政支出绩效评价管理暂行办法》（新财预〔2018〕189号）等文件规定，对2023年度我单位实施的昌吉市档案馆监控、消防系统、门厅改造、新建展馆陈列室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5407C1AE">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（二）绩效评价原则、评价指标体系、评价方法、评价标准</w:t>
      </w:r>
    </w:p>
    <w:p w14:paraId="48DA967F">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1.绩效评价原则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昌吉市档案馆监控、消防系统、门厅改造、新建展馆陈列室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根据以上原则，绩效评价遵循如下具体要求：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（1）在数据采集时，采取客观数据主管部门审查、社会中介组织复查与问卷调查相结合的形式，以保证各项指标的真实性。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（2）保证评价结果的真实性、公正性，提高评价报告的公信力。</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（3）绩效评价报告简明扼要，除对绩效评价的过程、结果描述外，还总结经验、指出问题，并就共性问题提出可操作性改进建议。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2.绩效评价指标体系及绩效评价标准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一级指标为：决策、过程、产出、效益。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二级指标为：项目立项、绩效目标、资金投入、资金管理、组织实施、产出数量、产出质量、产出时效、产出成本、项目效益。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3.评价方法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6CEAB85C">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（三）绩效评价工作过程</w:t>
      </w:r>
    </w:p>
    <w:p w14:paraId="3FADFAED">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第一阶段：前期准备。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俞晶任评价组组长，绩效评价工作职责为检查项目绩效指标完成情况、审定项目支出绩效评价结果及项目支出绩效评价报告。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侯基元任评价组副组长，绩效评价工作职责为组织和协调项目工作人员采取实地调查、资料检查等方式，核实项目绩效指标完成情况；组织受益对象对项目工作进行评价等。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杨生春任评价组成员，绩效评价工作职责为做好项目支出绩效评价工作的沟通协调工作，对项目实施情况进行实地调查，编写项目支出绩效评价报告。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第二阶段：组织实施。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经评价组通过实地调研、查阅资料等方式，采用综合分析法对项目的决策、管理、绩效进行的综合评价分析。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第三阶段：分析评价。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第四阶段：撰写与提交评价报告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项目撰写绩效评价报告，按照财政单位大平台绩效系统中统一格式和文本框架撰写绩效评价报告。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第五阶段：归集档案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建立和落实档案管理制度，将项目相关资料存档，包括但不限于：评价项目基本情况和相关文件、评价实施方案、项目支付资料等相关档案。</w:t>
      </w:r>
    </w:p>
    <w:p w14:paraId="3AC54D0A">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三、综合评价情况及评价结论</w:t>
      </w:r>
    </w:p>
    <w:p w14:paraId="45CE9B86">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（一）综合评价情况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通过昌吉市档案馆监控、消防系统、门厅改造、新建展馆陈列室项目的实施，解决了市档案馆消防、监控系统的不能正常运转的问题，确保了馆藏档案的安全，提高档案信息化管理水平，提高档案利用率。为我市的经济发展及各项事业的开展提供坚强的保证。该项目预算执行率达86.3%，项目预期绩效目标及各项具体指标除数量指标“新建展馆陈列室”指标，成本指标“新建展馆陈列室成本”指标未完成其余均已完成。未完成的原因是此指标未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（二）综合评价结论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评价采取定量与定性评价相结合的方式，对昌吉市档案馆监控、消防系统、门厅改造、新建展馆陈列室项目的绩效目标和各项具体绩效指标实现情况进行了客观评价，最终评分为95.32分。绩效评级为“优”，具体得分情况为：项目决策20.00分、项目过程19.32分、项目产出26.00分、项目效益30.00分。</w:t>
      </w:r>
    </w:p>
    <w:p w14:paraId="503592E6">
      <w:pPr>
        <w:spacing w:line="540" w:lineRule="exact"/>
        <w:ind w:firstLine="640"/>
        <w:rPr>
          <w:rStyle w:val="18"/>
          <w:rFonts w:ascii="黑体" w:hAnsi="黑体" w:eastAsia="黑体"/>
          <w:color w:val="000000" w:themeColor="text1"/>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四、绩效评价指标分析</w:t>
      </w:r>
      <w:r>
        <w:rPr>
          <w:rStyle w:val="18"/>
          <w:rFonts w:hint="eastAsia" w:ascii="黑体" w:hAnsi="黑体" w:eastAsia="黑体"/>
          <w:color w:val="000000" w:themeColor="text1"/>
          <w14:textFill>
            <w14:solidFill>
              <w14:schemeClr w14:val="tx1"/>
            </w14:solidFill>
          </w14:textFill>
        </w:rPr>
        <w:t xml:space="preserve"> </w:t>
      </w:r>
    </w:p>
    <w:p w14:paraId="6FAF5F42">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（一）</w:t>
      </w:r>
      <w:r>
        <w:rPr>
          <w:rStyle w:val="18"/>
          <w:rFonts w:hint="eastAsia" w:ascii="楷体" w:hAnsi="楷体" w:eastAsia="楷体"/>
          <w:color w:val="000000" w:themeColor="text1"/>
          <w:spacing w:val="-4"/>
          <w:sz w:val="32"/>
          <w:szCs w:val="32"/>
          <w14:textFill>
            <w14:solidFill>
              <w14:schemeClr w14:val="tx1"/>
            </w14:solidFill>
          </w14:textFill>
        </w:rPr>
        <w:t>项目决策情况</w:t>
      </w:r>
    </w:p>
    <w:p w14:paraId="143EC3FC">
      <w:pPr>
        <w:tabs>
          <w:tab w:val="center" w:pos="4295"/>
        </w:tabs>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项目决策类指标从项目立项、绩效目标和资金投入三个方面评价项目前期准备工作，权重分值为20分，本项目实际得分20.00分，得分率为100.0%。具体各项指标得分如下：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立项依据充分性：本项目是由中国共产党昌吉市委员会办公室提出申报，于2023年5月批复设立，2023年我单位根据昌市党财【2023】4号文件要求组织实施该项目。项目立项符合国家法律法规、自治区和地区行业发展规划和政策要求，属于本部门履职所需。根据评分标准，该指标3分，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2.立项程序规范性：根据决策依据编制工作计划和经费预算，经过与办公室主要领导进行沟通，筛选确定经费预算计划，上领导班子会研究确定最终预算方案。根据评分标准，该指标2分，得2分。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5.预算编制科学性：预算编制经过科学论证，内容与项目内容匹配，项目投资额与工作任务相匹配，根据评分标准，该指标5分，得5分。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6.资金分配合理性：本项目资金分配依据充分，资金分配额度合理，与项目所在地实际相适应。根据评分标准，该指标5分，得5分。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tab/>
      </w:r>
    </w:p>
    <w:p w14:paraId="05951175">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（二）</w:t>
      </w:r>
      <w:r>
        <w:rPr>
          <w:rStyle w:val="18"/>
          <w:rFonts w:hint="eastAsia" w:ascii="楷体" w:hAnsi="楷体" w:eastAsia="楷体"/>
          <w:color w:val="000000" w:themeColor="text1"/>
          <w:spacing w:val="-4"/>
          <w:sz w:val="32"/>
          <w:szCs w:val="32"/>
          <w14:textFill>
            <w14:solidFill>
              <w14:schemeClr w14:val="tx1"/>
            </w14:solidFill>
          </w14:textFill>
        </w:rPr>
        <w:t>项目过程情况</w:t>
      </w:r>
    </w:p>
    <w:p w14:paraId="7FC96601">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项目过程类指标包括资金管理和组织实施两方面的内容，由5个三级指标构成，权重分值为 20 分，本项目实际得分19.32分，得分率为96.6%。具体各项指标得分如下：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1.资金到位率：该项目所需财政资金能够足额拨付到位，牵头单位能够及时足额按照合同约定将专项资金拨付给单位，根据评分标准，该指标5分，得5分。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预算执行率：本项目预算编制较为详细，预算资金43.65万元，实际执行37.66万元，预算执行率为86.3%，项目资金支出总体能够按照预算执行，但“新建展馆陈列室”指标未实施，根据评分标准，该指标5分，得4.32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3.资金使用合规性：项目任务下达后，我单位修订了《中国共产党昌吉市委员会办公室财务管理办法》。制度和管理规定对经费使用进行规范管理，财务制度健全、执行严格，根据评分标准，该指标5分，得5分。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4.管理制度健全性：我单位修订了《中国共产党昌吉市委员会办公室项目资金管理办法》等相关项目管理办法，同时对财政专项资金进行严格管理，基本做到了专款专用，根据评分标准，该指标2分，得2分。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制度执行有效性：由部门提出经费预算支出可行性方案，经过与办公室主要领导沟通后，报办公室班子会议研究执行，财务对资金的使用合法合规性进行监督，年底对资金使用效果进行自评，根据评分标准，该指标3分，得3分。</w:t>
      </w:r>
    </w:p>
    <w:p w14:paraId="39BE20EE">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（三）</w:t>
      </w:r>
      <w:r>
        <w:rPr>
          <w:rStyle w:val="18"/>
          <w:rFonts w:hint="eastAsia" w:ascii="楷体" w:hAnsi="楷体" w:eastAsia="楷体"/>
          <w:color w:val="000000" w:themeColor="text1"/>
          <w:spacing w:val="-4"/>
          <w:sz w:val="32"/>
          <w:szCs w:val="32"/>
          <w14:textFill>
            <w14:solidFill>
              <w14:schemeClr w14:val="tx1"/>
            </w14:solidFill>
          </w14:textFill>
        </w:rPr>
        <w:t>项目产出情况</w:t>
      </w:r>
    </w:p>
    <w:p w14:paraId="38C7F34E">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项目产出类指标包括产出数量、产出质量、产出时效、产出成本共四方面的内容，由10个三级指标构成，权重分为30分，本项目实际得分26分，得分率为86.7%。具体各项指标得分如下：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1.产出数量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“重建视频监控设备工程”指标，预期指标值为“&gt;=1项”，根据工程竣工验收报告可知，实际完成重建视频监控设备工程为1项，与预期目标一致，根据评分标准，该指标3分，得3分。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“消防设备改造工程”指标，预期指标值为“&gt;=1项”，根据工程竣工验收报告可知，实际完成消防设备改造工程为1项，与预期目标一致，根据评分标准，该指标3分，得3分。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“门厅改造工程”指标，预期指标值为“&gt;=1项”，根据工程竣工验收报告可知，实际完成门厅改造工程为1项，与预期目标一致，根据评分标准，该指标3分，得3分。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新建展馆陈列室”指标，预期指标值为“&gt;=1项”，根据工程竣工验收报告可知，实际完成新建展馆陈列室为0项，指标完成率为0.0%，偏差率为100.0%，造成偏差原因为：“新建展馆陈列室未实施”。根据评分标准，该指标扣2分，得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综上所述，产出数量指标合计得9分。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2.产出质量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资金的合规率”指标，预期指标值为“&gt;=100%”，根据《关于拨付昌吉市档案馆监控、消防系统、门厅改造、新建展馆陈列室项目资金的通知》（昌市财预〔2023〕570号）文件可知，昌吉市档案馆监控、消防系统、门厅改造、新建展馆陈列室项目资金合规率达100%，与预期目标一致，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3.产出时效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资金支付的及时率”指标，预期指标值为“&gt;=100%”；根据资金支付凭证显示，该项目于2023年10月完成竣工结算审核，2023年11月、12月分两笔完成全部资金的支付。与预期目标指标一致，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4.产出成本</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重建视频监控设备工程成本”指标，预期指标值为“&lt;=6.72万元”，根据项目合同和资金支付凭证显示，本项目2023年共计支付重建视频监控设备工程6.72万元，经费支出能够控制在绩效目标范围内，根据评分标准，该指标3分，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消防设备改造工程成本”指标，预期指标值为“&lt;=9.65元”，根据项目合同和资金支付凭证显示，本项目2023年共计支付消防设备改造工程成本9.65万元，经费支出能够控制在绩效目标范围内，根据评分标准，该指标3分，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门厅改造工程成本”指标，预期指标值为“&lt;=22.59万元”，根据项目合同和资金支付凭证显示，本项目2023年共计支付门厅改造工程成本21.29万元，经费支出能够控制在绩效目标范围内，根据评分标准，该指标3分，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“新建展馆陈列室成本”指标，预期指标值为“&lt;=4.69万元”，根据项目合同和资金支付凭证显示，本项目2023年共计支付重建视频监控设备工程0万元，此指标未实施，根据评分标准，该指标2分，得0分。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综上所述，产出成本指标合计得9分。</w:t>
      </w:r>
    </w:p>
    <w:p w14:paraId="34A7B2F2">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（四）</w:t>
      </w:r>
      <w:r>
        <w:rPr>
          <w:rStyle w:val="18"/>
          <w:rFonts w:hint="eastAsia" w:ascii="楷体" w:hAnsi="楷体" w:eastAsia="楷体"/>
          <w:color w:val="000000" w:themeColor="text1"/>
          <w:spacing w:val="-4"/>
          <w:sz w:val="32"/>
          <w:szCs w:val="32"/>
          <w14:textFill>
            <w14:solidFill>
              <w14:schemeClr w14:val="tx1"/>
            </w14:solidFill>
          </w14:textFill>
        </w:rPr>
        <w:t>项目效益情况</w:t>
      </w:r>
    </w:p>
    <w:p w14:paraId="21E52E4E">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项目效益类指标由1个二级指标和2个三级指标构成，权重分为30分，本项目实际得分30分，得分率为100.0%。具体各项指标得分如下：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1.实施效益指标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确保馆藏档案安全”指标，预期指标值为“确保”，根据昌吉市档案馆监控、消防系统、门厅改造、新建展馆陈列室项目的验收情况可知，项目的实施进一步完善了档案馆的基础设施，保障了档案馆的正常运转，实际完成值为“确保”，根据评分标准，该指标15分，得15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为我市的经济发展及各项事业的开展提供坚强的保证。”指标，预期指标值为“提供”，根据昌吉市档案馆监控、消防系统、门厅改造、新建展馆陈列室项目的验收情况可知，项目的实施进一步完善了档案馆的基础设施，保障了档案馆的正常运转，满足了全市各市直部门及各族群众查档、存档、阅档的各类需求，实际完成值为“已达成”，根据评分标准，该指标15分，得15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综上所述，社会效益指标合计得30.00分。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（2）可持续影响指标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（3）经济效益指标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（4）生态效益指标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p>
    <w:p w14:paraId="6DFE222F">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p>
    <w:p w14:paraId="5D201FD4">
      <w:pPr>
        <w:numPr>
          <w:ilvl w:val="0"/>
          <w:numId w:val="1"/>
        </w:numPr>
        <w:spacing w:line="540" w:lineRule="exact"/>
        <w:ind w:firstLine="640"/>
        <w:rPr>
          <w:rStyle w:val="18"/>
          <w:rFonts w:hint="eastAsia"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预算执行进度与绩效指标偏差</w:t>
      </w:r>
    </w:p>
    <w:p w14:paraId="18827F31">
      <w:pPr>
        <w:spacing w:line="540" w:lineRule="exact"/>
        <w:ind w:firstLine="567"/>
        <w:rPr>
          <w:rStyle w:val="18"/>
          <w:rFonts w:hint="default" w:ascii="黑体" w:hAnsi="黑体" w:eastAsia="黑体"/>
          <w:b w:val="0"/>
          <w:color w:val="000000" w:themeColor="text1"/>
          <w:spacing w:val="-4"/>
          <w:sz w:val="32"/>
          <w:szCs w:val="32"/>
          <w:lang w:val="en-US" w:eastAsia="zh-CN"/>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（一）预算执行进度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昌吉市档案馆监控、消防系统、门厅改造、新建展馆陈列室项目预算金额43.65万元，实际到位43.65万元，实际支出37.66万元，预算执行率为86.3%，项目绩效指标总体完成率为95.83%，偏差率为4.17%,偏差原因是新建展馆陈列室指标未实施，拟采取的措施是待完成所有审批程序再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（二）绩效指标偏差情况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2023年本单位负责实施的昌吉市档案馆监控、消防系统、门厅改造、新建展馆陈列室项目当中，“新建展馆陈列室”指标和“新建展馆陈列室成本”指标的实际完成情况未能达到预算指标值，存在偏差的原因如下：新建展馆陈列室由于审批程序未完成未实施，偏差率为13.7%。</w:t>
      </w:r>
    </w:p>
    <w:p w14:paraId="1DD0B3F1">
      <w:pPr>
        <w:numPr>
          <w:ilvl w:val="0"/>
          <w:numId w:val="1"/>
        </w:numPr>
        <w:spacing w:line="540" w:lineRule="exact"/>
        <w:ind w:firstLine="640"/>
        <w:rPr>
          <w:rStyle w:val="18"/>
          <w:rFonts w:hint="eastAsia"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主要经验及做法、存在的问题及原因分析</w:t>
      </w:r>
    </w:p>
    <w:p w14:paraId="5E3BFC2A">
      <w:pPr>
        <w:spacing w:line="540" w:lineRule="exact"/>
        <w:ind w:firstLine="567"/>
        <w:rPr>
          <w:rFonts w:ascii="仿宋_GB2312" w:eastAsia="仿宋_GB2312"/>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（一）主要经验及做法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1.聚焦重点任务，推动项目工作落地落实</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2.坚持问题导向，加强执行监控，提高资金效益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3.强化绩效目标刚性约束，及时对项目进行跟踪问效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（二）存在问题及原因分析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1.绩效预算认识不够充分，绩效理念有待进一步强化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2.绩效档案归档工作有待提高</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3.项目支出绩效评价存在单位局限性，客观性有待加强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支出绩效评价工作还存在自我审定的单位局限性，项目支出绩效工作有较大弹性，评价报告多单位限于描述项目实施情况，对问题避重就轻，对项目的打分松紧不一，会影响评价质量，在客观性和公正性上说服力不强。</w:t>
      </w:r>
    </w:p>
    <w:p w14:paraId="1C3C7AB2">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七</w:t>
      </w:r>
      <w:r>
        <w:rPr>
          <w:rStyle w:val="18"/>
          <w:rFonts w:hint="eastAsia" w:ascii="黑体" w:hAnsi="黑体" w:eastAsia="黑体"/>
          <w:b w:val="0"/>
          <w:color w:val="000000" w:themeColor="text1"/>
          <w:spacing w:val="-4"/>
          <w:sz w:val="32"/>
          <w:szCs w:val="32"/>
          <w14:textFill>
            <w14:solidFill>
              <w14:schemeClr w14:val="tx1"/>
            </w14:solidFill>
          </w14:textFill>
        </w:rPr>
        <w:t>、有关建议</w:t>
      </w:r>
    </w:p>
    <w:p w14:paraId="1274D1A6">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1.加强培训，提高相关人员工作水平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2.扎实推进档案规范化建设，提升档案管理水平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3.高度重视，加强领导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7874463C">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八</w:t>
      </w:r>
      <w:r>
        <w:rPr>
          <w:rStyle w:val="18"/>
          <w:rFonts w:hint="eastAsia" w:ascii="黑体" w:hAnsi="黑体" w:eastAsia="黑体"/>
          <w:b w:val="0"/>
          <w:color w:val="000000" w:themeColor="text1"/>
          <w:spacing w:val="-4"/>
          <w:sz w:val="32"/>
          <w:szCs w:val="32"/>
          <w14:textFill>
            <w14:solidFill>
              <w14:schemeClr w14:val="tx1"/>
            </w14:solidFill>
          </w14:textFill>
        </w:rPr>
        <w:t>、其他需要说明的问题</w:t>
      </w:r>
    </w:p>
    <w:p w14:paraId="0632490E">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“无其他说明内容”。</w:t>
      </w:r>
    </w:p>
    <w:p w14:paraId="3DBAB0B8">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3464F226">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3B1A52CD">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2E4EE510">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49BD5F07">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417BB98">
        <w:pPr>
          <w:pStyle w:val="12"/>
          <w:jc w:val="center"/>
        </w:pPr>
        <w:r>
          <w:fldChar w:fldCharType="begin"/>
        </w:r>
        <w:r>
          <w:instrText xml:space="preserve">PAGE   \* MERGEFORMAT</w:instrText>
        </w:r>
        <w:r>
          <w:fldChar w:fldCharType="separate"/>
        </w:r>
        <w:r>
          <w:rPr>
            <w:lang w:val="zh-CN"/>
          </w:rPr>
          <w:t>2</w:t>
        </w:r>
        <w:r>
          <w:fldChar w:fldCharType="end"/>
        </w:r>
      </w:p>
    </w:sdtContent>
  </w:sdt>
  <w:p w14:paraId="7AF2739F">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14F76F3"/>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8950</Words>
  <Characters>9381</Characters>
  <Lines>4</Lines>
  <Paragraphs>1</Paragraphs>
  <TotalTime>2</TotalTime>
  <ScaleCrop>false</ScaleCrop>
  <LinksUpToDate>false</LinksUpToDate>
  <CharactersWithSpaces>9398</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2024-09-25T08:44:45Z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