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AFBAA6">
      <w:pPr>
        <w:spacing w:line="540" w:lineRule="exact"/>
        <w:jc w:val="left"/>
        <w:rPr>
          <w:rFonts w:ascii="仿宋" w:hAnsi="仿宋" w:eastAsia="仿宋" w:cs="宋体"/>
          <w:color w:val="000000" w:themeColor="text1"/>
          <w:kern w:val="0"/>
          <w:sz w:val="32"/>
          <w:szCs w:val="32"/>
          <w14:textFill>
            <w14:solidFill>
              <w14:schemeClr w14:val="tx1"/>
            </w14:solidFill>
          </w14:textFill>
        </w:rPr>
      </w:pPr>
      <w:r>
        <w:rPr>
          <w:rFonts w:hint="eastAsia" w:ascii="仿宋" w:hAnsi="仿宋" w:eastAsia="仿宋" w:cs="宋体"/>
          <w:color w:val="000000" w:themeColor="text1"/>
          <w:kern w:val="0"/>
          <w:sz w:val="32"/>
          <w:szCs w:val="32"/>
          <w14:textFill>
            <w14:solidFill>
              <w14:schemeClr w14:val="tx1"/>
            </w14:solidFill>
          </w14:textFill>
        </w:rPr>
        <w:t>附件2：</w:t>
      </w:r>
      <w:bookmarkStart w:id="0" w:name="_GoBack"/>
      <w:bookmarkEnd w:id="0"/>
    </w:p>
    <w:p w14:paraId="28A5DE98">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09897452">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0CDEAC2F">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75732F81">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514B79A4">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1255FCF3">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700C6DE0">
      <w:pPr>
        <w:spacing w:line="540" w:lineRule="exact"/>
        <w:jc w:val="center"/>
        <w:rPr>
          <w:rFonts w:ascii="方正小标宋_GBK" w:hAnsi="华文中宋" w:eastAsia="方正小标宋_GBK" w:cs="宋体"/>
          <w:b/>
          <w:color w:val="000000" w:themeColor="text1"/>
          <w:kern w:val="0"/>
          <w:sz w:val="48"/>
          <w:szCs w:val="48"/>
          <w14:textFill>
            <w14:solidFill>
              <w14:schemeClr w14:val="tx1"/>
            </w14:solidFill>
          </w14:textFill>
        </w:rPr>
      </w:pPr>
      <w:r>
        <w:rPr>
          <w:rFonts w:hint="eastAsia" w:ascii="方正小标宋_GBK" w:hAnsi="华文中宋" w:eastAsia="方正小标宋_GBK" w:cs="宋体"/>
          <w:b/>
          <w:color w:val="000000" w:themeColor="text1"/>
          <w:kern w:val="0"/>
          <w:sz w:val="48"/>
          <w:szCs w:val="48"/>
          <w14:textFill>
            <w14:solidFill>
              <w14:schemeClr w14:val="tx1"/>
            </w14:solidFill>
          </w14:textFill>
        </w:rPr>
        <w:t>项目支出绩效自评报告</w:t>
      </w:r>
    </w:p>
    <w:p w14:paraId="1E53DF6B">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070F4D82">
      <w:pPr>
        <w:spacing w:line="540" w:lineRule="exact"/>
        <w:jc w:val="center"/>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r>
        <w:rPr>
          <w:rStyle w:val="18"/>
          <w:rFonts w:hint="eastAsia" w:ascii="楷体" w:hAnsi="楷体" w:eastAsia="楷体"/>
          <w:color w:val="000000" w:themeColor="text1"/>
          <w:spacing w:val="-4"/>
          <w:sz w:val="32"/>
          <w:szCs w:val="32"/>
          <w14:textFill>
            <w14:solidFill>
              <w14:schemeClr w14:val="tx1"/>
            </w14:solidFill>
          </w14:textFill>
        </w:rPr>
        <w:t>2023</w:t>
      </w:r>
      <w:r>
        <w:rPr>
          <w:rFonts w:hint="eastAsia" w:hAnsi="宋体" w:eastAsia="仿宋_GB2312" w:cs="宋体"/>
          <w:color w:val="000000" w:themeColor="text1"/>
          <w:kern w:val="0"/>
          <w:sz w:val="36"/>
          <w:szCs w:val="36"/>
          <w14:textFill>
            <w14:solidFill>
              <w14:schemeClr w14:val="tx1"/>
            </w14:solidFill>
          </w14:textFill>
        </w:rPr>
        <w:t xml:space="preserve">  年度）</w:t>
      </w:r>
    </w:p>
    <w:p w14:paraId="3F999D88">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566F7C78">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09768E82">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3AD78504">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07DA7288">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2DC5A7A8">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7B5292A5">
      <w:pPr>
        <w:spacing w:line="540" w:lineRule="exact"/>
        <w:rPr>
          <w:rFonts w:hAnsi="宋体" w:eastAsia="仿宋_GB2312" w:cs="宋体"/>
          <w:color w:val="000000" w:themeColor="text1"/>
          <w:kern w:val="0"/>
          <w:sz w:val="30"/>
          <w:szCs w:val="30"/>
          <w14:textFill>
            <w14:solidFill>
              <w14:schemeClr w14:val="tx1"/>
            </w14:solidFill>
          </w14:textFill>
        </w:rPr>
      </w:pPr>
    </w:p>
    <w:p w14:paraId="502045AA">
      <w:pPr>
        <w:spacing w:line="700" w:lineRule="exact"/>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p>
    <w:p w14:paraId="35DC0667">
      <w:pPr>
        <w:spacing w:line="700" w:lineRule="exact"/>
        <w:ind w:firstLine="900" w:firstLineChars="250"/>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项目名称：</w:t>
      </w:r>
      <w:r>
        <w:rPr>
          <w:rStyle w:val="18"/>
          <w:rFonts w:hint="eastAsia" w:ascii="楷体" w:hAnsi="楷体" w:eastAsia="楷体"/>
          <w:color w:val="000000" w:themeColor="text1"/>
          <w:spacing w:val="-4"/>
          <w:sz w:val="32"/>
          <w:szCs w:val="32"/>
          <w14:textFill>
            <w14:solidFill>
              <w14:schemeClr w14:val="tx1"/>
            </w14:solidFill>
          </w14:textFill>
        </w:rPr>
        <w:t>2018年至今各类审计费用</w:t>
      </w:r>
    </w:p>
    <w:p w14:paraId="06F3995C">
      <w:pPr>
        <w:spacing w:line="540" w:lineRule="exact"/>
        <w:ind w:firstLine="567"/>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实施单位（公章）：</w:t>
      </w:r>
      <w:r>
        <w:rPr>
          <w:rStyle w:val="18"/>
          <w:rFonts w:hint="eastAsia" w:ascii="楷体" w:hAnsi="楷体" w:eastAsia="楷体"/>
          <w:color w:val="000000" w:themeColor="text1"/>
          <w:spacing w:val="-4"/>
          <w:sz w:val="28"/>
          <w:szCs w:val="28"/>
          <w14:textFill>
            <w14:solidFill>
              <w14:schemeClr w14:val="tx1"/>
            </w14:solidFill>
          </w14:textFill>
        </w:rPr>
        <w:t>昌吉市审计局</w:t>
      </w:r>
    </w:p>
    <w:p w14:paraId="7BF85415">
      <w:pPr>
        <w:spacing w:line="540" w:lineRule="exact"/>
        <w:ind w:firstLine="900" w:firstLineChars="250"/>
        <w:rPr>
          <w:rFonts w:ascii="楷体" w:hAnsi="楷体" w:eastAsia="楷体"/>
          <w:b/>
          <w:bCs/>
          <w:color w:val="000000" w:themeColor="text1"/>
          <w:spacing w:val="-4"/>
          <w:sz w:val="28"/>
          <w:szCs w:val="28"/>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主管部门（公章）：</w:t>
      </w:r>
      <w:r>
        <w:rPr>
          <w:rStyle w:val="18"/>
          <w:rFonts w:hint="eastAsia" w:ascii="楷体" w:hAnsi="楷体" w:eastAsia="楷体"/>
          <w:color w:val="000000" w:themeColor="text1"/>
          <w:spacing w:val="-4"/>
          <w:sz w:val="28"/>
          <w:szCs w:val="28"/>
          <w14:textFill>
            <w14:solidFill>
              <w14:schemeClr w14:val="tx1"/>
            </w14:solidFill>
          </w14:textFill>
        </w:rPr>
        <w:t>昌吉市审计局</w:t>
      </w:r>
    </w:p>
    <w:p w14:paraId="34BCDAF9">
      <w:pPr>
        <w:spacing w:line="540" w:lineRule="exact"/>
        <w:ind w:firstLine="900" w:firstLineChars="250"/>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项目负责人（签章）：</w:t>
      </w:r>
      <w:r>
        <w:rPr>
          <w:rStyle w:val="18"/>
          <w:rFonts w:hint="eastAsia" w:ascii="楷体" w:hAnsi="楷体" w:eastAsia="楷体"/>
          <w:color w:val="000000" w:themeColor="text1"/>
          <w:spacing w:val="-4"/>
          <w:sz w:val="32"/>
          <w:szCs w:val="32"/>
          <w14:textFill>
            <w14:solidFill>
              <w14:schemeClr w14:val="tx1"/>
            </w14:solidFill>
          </w14:textFill>
        </w:rPr>
        <w:t>张玉荣</w:t>
      </w:r>
    </w:p>
    <w:p w14:paraId="20B215AF">
      <w:pPr>
        <w:spacing w:line="540" w:lineRule="exact"/>
        <w:ind w:left="273" w:firstLine="567"/>
        <w:rPr>
          <w:rStyle w:val="18"/>
          <w:rFonts w:ascii="楷体" w:hAnsi="楷体" w:eastAsia="楷体"/>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填报时间：</w:t>
      </w:r>
      <w:r>
        <w:rPr>
          <w:rStyle w:val="18"/>
          <w:rFonts w:hint="eastAsia" w:ascii="楷体" w:hAnsi="楷体" w:eastAsia="楷体"/>
          <w:color w:val="000000" w:themeColor="text1"/>
          <w:spacing w:val="-4"/>
          <w:sz w:val="32"/>
          <w:szCs w:val="32"/>
          <w14:textFill>
            <w14:solidFill>
              <w14:schemeClr w14:val="tx1"/>
            </w14:solidFill>
          </w14:textFill>
        </w:rPr>
        <w:t>2024年04月24日</w:t>
      </w:r>
    </w:p>
    <w:p w14:paraId="43FFD288">
      <w:pPr>
        <w:spacing w:line="700" w:lineRule="exact"/>
        <w:ind w:firstLine="708" w:firstLineChars="236"/>
        <w:jc w:val="left"/>
        <w:rPr>
          <w:rFonts w:hAnsi="宋体" w:eastAsia="仿宋_GB2312" w:cs="宋体"/>
          <w:color w:val="000000" w:themeColor="text1"/>
          <w:kern w:val="0"/>
          <w:sz w:val="30"/>
          <w:szCs w:val="30"/>
          <w14:textFill>
            <w14:solidFill>
              <w14:schemeClr w14:val="tx1"/>
            </w14:solidFill>
          </w14:textFill>
        </w:rPr>
      </w:pPr>
    </w:p>
    <w:p w14:paraId="21C7F2B0">
      <w:pPr>
        <w:spacing w:line="540" w:lineRule="exact"/>
        <w:rPr>
          <w:rStyle w:val="18"/>
          <w:rFonts w:ascii="黑体" w:hAnsi="黑体" w:eastAsia="黑体"/>
          <w:b w:val="0"/>
          <w:color w:val="000000" w:themeColor="text1"/>
          <w:spacing w:val="-4"/>
          <w:sz w:val="32"/>
          <w:szCs w:val="32"/>
          <w14:textFill>
            <w14:solidFill>
              <w14:schemeClr w14:val="tx1"/>
            </w14:solidFill>
          </w14:textFill>
        </w:rPr>
      </w:pPr>
    </w:p>
    <w:p w14:paraId="4CDD25A1">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一、基本情况</w:t>
      </w:r>
    </w:p>
    <w:p w14:paraId="327B859A">
      <w:pPr>
        <w:spacing w:line="540" w:lineRule="exact"/>
        <w:ind w:firstLine="567"/>
        <w:rPr>
          <w:rStyle w:val="18"/>
          <w:rFonts w:hint="default" w:ascii="楷体" w:hAnsi="楷体" w:eastAsia="楷体"/>
          <w:color w:val="000000" w:themeColor="text1"/>
          <w:spacing w:val="-4"/>
          <w:sz w:val="32"/>
          <w:szCs w:val="32"/>
          <w:lang w:val="en-US" w:eastAsia="zh-CN"/>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（一）项目概况</w:t>
      </w:r>
      <w:r>
        <w:rPr>
          <w:rStyle w:val="18"/>
          <w:rFonts w:hint="eastAsia" w:ascii="楷体" w:hAnsi="楷体" w:eastAsia="楷体"/>
          <w:color w:val="000000" w:themeColor="text1"/>
          <w:spacing w:val="-4"/>
          <w:sz w:val="32"/>
          <w:szCs w:val="32"/>
          <w:lang w:eastAsia="zh-CN"/>
          <w14:textFill>
            <w14:solidFill>
              <w14:schemeClr w14:val="tx1"/>
            </w14:solidFill>
          </w14:textFill>
        </w:rPr>
        <w:t>。</w:t>
      </w:r>
    </w:p>
    <w:p w14:paraId="4DE5D3CC">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根据昌吉市人民政府工作中心及全市经济社会发展大局，为了持续加强政府投资项目审计监督，不断完善和规范投资审计工作,抓住工程招投标、资金管理、工程质量管理等关键环节，严格控制政府投资规模，防止超概算现象，提高财政资金使用效益。规范社会中介服务水平，进一步强化审计质量控制，防范审计风险。我单位申报实施了2018年至今各类审计费用项目。同时，为了确保该项目的顺利实施，我单位于2019年制定印发了《昌吉市审计局委托社会中介机构审计政府投资项目管理及考核办法》和《政府投资项目复核工程结算审计复核定案管理办法》管理办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2.项目主要内容及实施情况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于2023年1月开始实施，截止2023年12月已全部完成，通过本项目的实施，累计节约财政资金115.5万元，审计核减金额115.5万元，核减率4.5%。对投资项目分配委托管理、合同、考核、考核回避、审计计费等各环节予以明确，更具有实操性，确保全程监督投资审计权力运行，使委托投资项目管理科学化、规范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3.项目实施主体</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2023年昌吉市2018年至今各类审计费用项目的实施主体为昌吉市审计局，昌吉市审计局无下属预算单位。该单位纳入2023年部门决算编制范围的有5个科室，分别是：党政办公室、财政审计科、经济责任审计科、审理督察科、政府投资审计中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编制人数为28人，其中：行政人员编制13人、工勤1人、事业编制14人。实有在职人数26人，其中：行政在职11人、工勤1人、事业在职14人。离退休人员16人，其中：行政退休人员13人、事业退休3人。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资金投入和使用情况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（1）项目资金安排落实、总投入情况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昌吉市审计局资金申请请示，昌吉市财政局安排100万元用于支付中介机构审计费，2018年至今各类审计费用项目预算安排资金总额100万元，其中财政资金100万元，2023年实际收到预算资金100万元，预算资金到位率为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（2）项目资金实际使用情况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截至2023年12月31日，本项目实际支付资金100万元，预算执行率100%。项目资金主要用于支付2018年至今各类审计费用100万元。</w:t>
      </w:r>
    </w:p>
    <w:p w14:paraId="09B72CE4">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（二）项目绩效目标</w:t>
      </w:r>
    </w:p>
    <w:p w14:paraId="7646971C">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1.总体目标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依法独立行使审计监督权，不得参与工程项目建设决策和审批、概预算编制及调整和工程结算等系列管理活动。不得超越审计权限，以审代结（算），代替建设单位承担工程控制价、结算审核等工作。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2.阶段性目标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审计局的规章制度以及财务相关资料，评价小组对项目绩效目标进行了进一步的完善，完善后绩效目标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（1）项目产出目标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①数量指标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“完成委托竣工结算决算审计项目”指标，预期指标值为“&gt;=25个”；</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“支付审计中介机构数”指标，预期指标值为“&gt;=15家”；</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“2018年至今审计项目和复核拆迁项目户数”指标，预期指标值为“&gt;=80户”；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“审计参与人数”指标，预期指标值为“&gt;=3名”。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②质量指标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“累计节约财政资金”指标，预期指标值为“&gt;=100万元”。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③时效指标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“各类审计费支付完成时限”指标，预期指标值为“2023年12月31日”。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（2）项目成本目标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①经济成本指标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“2018年至今委托审计费及拆迁复核月费用”指标，预期指标值为“=8.33万元”。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（2）项目效益目标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①经济效益指标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“审计核减金额”指标，预期指标值为“&gt;=100万元”；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“核减率”指标，预期指标值为“&gt;=5%”。</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“提高审计质量，防范审计风险”指标，预期指标值为“持续提高”；</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“加强政府投资项目审计监督”指标，预期指标值为“有效提高”。</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③生态效益指标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④可持续影响指标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（3）相关满意度目标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“服务对象满意度”指标，预期指标值为“&gt;=90%”。</w:t>
      </w:r>
    </w:p>
    <w:p w14:paraId="0BC0CE55">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二、绩效评价工作开展情况</w:t>
      </w:r>
    </w:p>
    <w:p w14:paraId="413802E3">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（一）绩效评价目的、对象和范围</w:t>
      </w:r>
    </w:p>
    <w:p w14:paraId="59449CA7">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1.绩效评价的目的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2.绩效评价的对象和范围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绩效评价遵循财政部《关于印发&lt;项目支出绩效评价管理办法&gt;的通知》（财预〔2020〕10号）以及自治区财政厅《自治区财政支出绩效评价管理暂行办法》（新财预〔2018〕189号）等文件规定，对2023年度我单位实施的2018年至今各类审计费用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383195A4">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（二）绩效评价原则、评价指标体系、评价方法、评价标准</w:t>
      </w:r>
    </w:p>
    <w:p w14:paraId="50E300D6">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1.绩效评价原则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2018年至今各类审计费用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根据以上原则，绩效评价遵循如下具体要求：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（1）在数据采集时，采取客观数据主管部门审查、社会中介组织复查与问卷调查相结合的形式，以保证各项指标的真实性。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（2）保证评价结果的真实性、公正性，提高评价报告的公信力。</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（3）绩效评价报告简明扼要，除对绩效评价的过程、结果描述外，还总结经验、指出问题，并就共性问题提出可操作性改进建议。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2.绩效评价指标体系及绩效评价标准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一级指标为：决策、过程、产出、效益。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二级指标为：项目立项、绩效目标、资金投入、资金管理、组织实施、产出数量、产出质量、产出时效、产出成本、项目效益。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3.评价方法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55C93D40">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（三）绩效评价工作过程</w:t>
      </w:r>
    </w:p>
    <w:p w14:paraId="19393590">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第一阶段：前期准备。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张玉荣任评价组组长，绩效评价工作职责为检查项目绩效指标完成情况、审定项目支出绩效评价结果及项目支出绩效评价报告。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侯银娟任评价组副组长，绩效评价工作职责为组织和协调项目工作人员采取实地调查、资料检查等方式，核实项目绩效指标完成情况；组织受益对象对项目工作进行评价等。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张晓春任评价组成员，绩效评价工作职责为做好项目支出绩效评价工作的沟通协调工作，对项目实施情况进行实地调查，编写项目支出绩效评价报告。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第二阶段：组织实施。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经评价组通过实地调研、查阅资料等方式，采用综合分析法对项目的决策、管理、绩效进行的综合评价分析。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第三阶段：分析评价。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第四阶段：撰写与提交评价报告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项目撰写绩效评价报告，按照财政单位大平台绩效系统中统一格式和文本框架撰写绩效评价报告。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第五阶段：归集档案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建立和落实档案管理制度，将项目相关资料存档，包括但不限于：评价项目基本情况和相关文件、评价实施方案、项目支付资料等相关档案。</w:t>
      </w:r>
    </w:p>
    <w:p w14:paraId="1EA1E110">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三、综合评价情况及评价结论</w:t>
      </w:r>
    </w:p>
    <w:p w14:paraId="672436E0">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（一）综合评价情况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通过2018年至今各类审计费用项目的实施，提高投资审计质量,进一步规范社会中介机构参与政府投资建设项目的审计行为，对投资项目分配委托管理、合同、考核、考核回避、审计计费等各环节予以明确，更具有实操性，确保全程监督投资审计权力运行，使委托投资项目管理科学化、规范化。该项目预算执行率达100%，项目预期绩效目标及各项具体指标均已全部达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（二）综合评价结论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评价采取定量与定性评价相结合的方式，对2018年至今各类审计费用项目的绩效目标和各项具体绩效指标实现情况进行了客观评价，最终评分为100分。绩效评级为“优”，具体得分情况为：项目决策20分、项目过程20分、项目产出30分、项目效益30分。</w:t>
      </w:r>
    </w:p>
    <w:p w14:paraId="61DB2CEA">
      <w:pPr>
        <w:spacing w:line="540" w:lineRule="exact"/>
        <w:ind w:firstLine="640"/>
        <w:rPr>
          <w:rStyle w:val="18"/>
          <w:rFonts w:ascii="黑体" w:hAnsi="黑体" w:eastAsia="黑体"/>
          <w:color w:val="000000" w:themeColor="text1"/>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四、绩效评价指标分析</w:t>
      </w:r>
      <w:r>
        <w:rPr>
          <w:rStyle w:val="18"/>
          <w:rFonts w:hint="eastAsia" w:ascii="黑体" w:hAnsi="黑体" w:eastAsia="黑体"/>
          <w:color w:val="000000" w:themeColor="text1"/>
          <w14:textFill>
            <w14:solidFill>
              <w14:schemeClr w14:val="tx1"/>
            </w14:solidFill>
          </w14:textFill>
        </w:rPr>
        <w:t xml:space="preserve"> </w:t>
      </w:r>
    </w:p>
    <w:p w14:paraId="06CE5338">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（一）</w:t>
      </w:r>
      <w:r>
        <w:rPr>
          <w:rStyle w:val="18"/>
          <w:rFonts w:hint="eastAsia" w:ascii="楷体" w:hAnsi="楷体" w:eastAsia="楷体"/>
          <w:color w:val="000000" w:themeColor="text1"/>
          <w:spacing w:val="-4"/>
          <w:sz w:val="32"/>
          <w:szCs w:val="32"/>
          <w14:textFill>
            <w14:solidFill>
              <w14:schemeClr w14:val="tx1"/>
            </w14:solidFill>
          </w14:textFill>
        </w:rPr>
        <w:t>项目决策情况</w:t>
      </w:r>
    </w:p>
    <w:p w14:paraId="207DC715">
      <w:pPr>
        <w:tabs>
          <w:tab w:val="center" w:pos="4295"/>
        </w:tabs>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（一）项目决策情况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项目决策类指标从项目立项、绩效目标和资金投入三个方面评价项目前期准备工作，权重分值为 20 分，本项目实际得分20分，得分率为100%。具体各项指标得分如下：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立项依据充分性：本项目是由昌吉市审计局提出申报，于2023年8月批复设立，2023年我单位根据昌吉市财政局拨付资金组织实施该项目。项目立项符合国家法律法规、自治区和地区行业发展规划和政策要求，属于本部门履职所需。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2.立项程序规范性：根据决策依据编制工作计划和经费预算，经过与部门市政府分管领导进行沟通、筛选确定经费预算计划，上党委会研究确定最终预算方案。根据评分标准，该指标3分，得3分。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5.预算编制科学性：预算编制经过科学论证，内容与项目内容匹配，项目投资额与工作任务相匹配，根据评分标准，该指标5分，得5分。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6.资金分配合理性：本项目资金分配依据充分，资金分配额度合理，与项目地方实际相适应。根据评分标准，该指标2分，得2分。</w:t>
      </w:r>
      <w:r>
        <w:rPr>
          <w:rStyle w:val="18"/>
          <w:rFonts w:hint="eastAsia" w:ascii="楷体" w:hAnsi="楷体" w:eastAsia="楷体"/>
          <w:b w:val="0"/>
          <w:bCs w:val="0"/>
          <w:color w:val="000000" w:themeColor="text1"/>
          <w:spacing w:val="-4"/>
          <w:sz w:val="32"/>
          <w:szCs w:val="32"/>
          <w14:textFill>
            <w14:solidFill>
              <w14:schemeClr w14:val="tx1"/>
            </w14:solidFill>
          </w14:textFill>
        </w:rPr>
        <w:tab/>
      </w:r>
    </w:p>
    <w:p w14:paraId="430013B2">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（二）</w:t>
      </w:r>
      <w:r>
        <w:rPr>
          <w:rStyle w:val="18"/>
          <w:rFonts w:hint="eastAsia" w:ascii="楷体" w:hAnsi="楷体" w:eastAsia="楷体"/>
          <w:color w:val="000000" w:themeColor="text1"/>
          <w:spacing w:val="-4"/>
          <w:sz w:val="32"/>
          <w:szCs w:val="32"/>
          <w14:textFill>
            <w14:solidFill>
              <w14:schemeClr w14:val="tx1"/>
            </w14:solidFill>
          </w14:textFill>
        </w:rPr>
        <w:t>项目过程情况</w:t>
      </w:r>
    </w:p>
    <w:p w14:paraId="4683D476">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（二）项目过程情况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项目过程类指标包括资金管理和组织实施两方面的内容，由 5个三级指标构成，权重分值为 20 分，本项目实际得分20分，得分率为100%。具体各项指标得分如下：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2.预算执行率：本项目预算编制较为详细，预算资金100万元，实际执行100万元，预算执行率为100%，项目资金支出总体能够按照预算执行，根据评分标准，该指标5分，得5分。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3.资金使用合规性：项目任务下达后，我单位严格按照项目经费管理办法对经费使用进行规范管理，符合项目预算批复或合同规定的用途，不存在截留、挤占、挪用、虚列支出等情况，财务制度健全、执行严格，根据评分标准，该指标5分，得5分。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管理制度健全性：我单位制定了《昌吉市审计局委托社会中介机构审计政府投资项目管理及考核办法》等相关项目管理办法，同时对财政专项资金进行严格管理，基本做到了专款专用，根据评分标准，该指标4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14:paraId="054AD9B6">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（三）</w:t>
      </w:r>
      <w:r>
        <w:rPr>
          <w:rStyle w:val="18"/>
          <w:rFonts w:hint="eastAsia" w:ascii="楷体" w:hAnsi="楷体" w:eastAsia="楷体"/>
          <w:color w:val="000000" w:themeColor="text1"/>
          <w:spacing w:val="-4"/>
          <w:sz w:val="32"/>
          <w:szCs w:val="32"/>
          <w14:textFill>
            <w14:solidFill>
              <w14:schemeClr w14:val="tx1"/>
            </w14:solidFill>
          </w14:textFill>
        </w:rPr>
        <w:t>项目产出情况</w:t>
      </w:r>
    </w:p>
    <w:p w14:paraId="05918E2F">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（三）项目产出情况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项目产出类指标包括产出数量、产出质量、产出时效、产出成本共四方面的内容，由6个三级指标构成，权重分为30分，本项目实际得分30分，得分率为100%。具体各项指标得分如下：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产出数量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完成委托竣工结算决算审计项目”指标，预期指标值为“≥&gt;=25个”，根据昌吉市审计局2018年至今各类审计费用项目情况说明可知，实际完成委托竣工结算决算审计项目30个，能够控制在绩效目标范围内，根据评分标准，该指标2分，得2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“支付审计中介机构数”指标，预期指标值为“&gt;=15家”，根据昌吉市审计局国库集中支付凭证可知，实际完成支付审计中介机构数19家个，指标完成率为126.7%。根据评分标准，该指标2分，得2分。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2018年至今审计项目和复核拆迁项目户数”指标，预期指标值为“&gt;=80户”，根据昌吉市审计局2018年至今各类审计费用项目情况说明可知，实际完成2018年至今审计项目和复核拆迁项目户数95户，能够控制在绩效目标范围内，根据评分标准，该指标2分，得2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“审计参与人数”指标，预期指标值为“&gt;=3名”，根据昌吉市审计局2018年至今各类审计费用项目情况说明可知，实际完成审计参与人数3人，能够控制在绩效目标范围内，根据评分标准，该指标2分，得2分。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综上所述，产出数量指标合计得8分。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2.产出质量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累计节约财政资金”指标，预期指标值为“&gt;=100万元”，根据昌吉市审计局2018年至今各类审计费用项目情况说明可知，实际累计节约财政资金115.5万元，能够控制在绩效目标范围内，根据评分标准，该指标8分，得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3.产出时效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“各类审计费支付完成时限”指标，预期指标值为“2023-12-31”；根据资金支付凭证显示，资金已于2023年12月31日全部支付完毕，与预期目标指标一致，根据评分标准，该指标6分，得6分。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4.产出成本</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2018年至今委托审计费及拆迁复核月费用”指标，预期指标值为“=8.33万元”，根据项目合同和资金支付凭证显示，本项目2023年共计支付工程款100万元，月支付费用8.33万元，经费支出能够控制在绩效目标范围内，根据评分标准，该指标8分，得8分。</w:t>
      </w:r>
    </w:p>
    <w:p w14:paraId="19D43B2F">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（四）</w:t>
      </w:r>
      <w:r>
        <w:rPr>
          <w:rStyle w:val="18"/>
          <w:rFonts w:hint="eastAsia" w:ascii="楷体" w:hAnsi="楷体" w:eastAsia="楷体"/>
          <w:color w:val="000000" w:themeColor="text1"/>
          <w:spacing w:val="-4"/>
          <w:sz w:val="32"/>
          <w:szCs w:val="32"/>
          <w14:textFill>
            <w14:solidFill>
              <w14:schemeClr w14:val="tx1"/>
            </w14:solidFill>
          </w14:textFill>
        </w:rPr>
        <w:t>项目效益情况</w:t>
      </w:r>
    </w:p>
    <w:p w14:paraId="65E41908">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（四）项目效益情况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项目效益类指标由2个二级指标和4个三级指标构成，权重分为20分，本项目实际得分20分，得分率为100%。具体各项指标得分如下：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1.实施效益指标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“提高审计质量，防范审计风险”指标，预期指标值为“持续提高”，根据昌吉市审计局2018年至今各类审计费用项目情况说明可知，实际完成值为“持续提高”，根据评分标准，该指标5分，得5分。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“加强政府投资项目审计监督”指标，预期指标值为“有效提高”，根据昌吉市审计局2018年至今各类审计费用项目情况说明可知，实际完成值为“有效提高”，根据评分标准，该指标5分，得5分。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综上所述，社会效益指标合计得10分。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（2）可持续影响指标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（3）经济效益指标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“审计核减金额”指标，预期指标值为“&gt;=100万元”，根据昌吉市审计局2018年至今各类审计费用项目情况说明，该项目审计核减金额115.5万元，能够控制在绩效目标范围内，根据评分标准，该指标5分，得5分。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“核减率”指标，预期指标值为“&gt;=5%”，根据昌吉市审计局2018年至今各类审计费用项目情况说明，该项目核减率5%，与预期目标指标一致，根据评分标准，该指标5分，得5分。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综上所述，经济效益指标合计得10分。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（4）生态效益指标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“服务对象满意度”指标，预期指标值为“&gt;=90%”，根据对被审计单位进行满意度问卷调查的结果可知，学生满意度达95%，根据评分标准，该指标10分,得10分。</w:t>
      </w:r>
    </w:p>
    <w:p w14:paraId="406EFBD3">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p>
    <w:p w14:paraId="5199E707">
      <w:pPr>
        <w:numPr>
          <w:ilvl w:val="0"/>
          <w:numId w:val="1"/>
        </w:numPr>
        <w:spacing w:line="540" w:lineRule="exact"/>
        <w:ind w:firstLine="640"/>
        <w:rPr>
          <w:rStyle w:val="18"/>
          <w:rFonts w:hint="eastAsia"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预算执行进度与绩效指标偏差</w:t>
      </w:r>
    </w:p>
    <w:p w14:paraId="56BE5427">
      <w:pPr>
        <w:spacing w:line="540" w:lineRule="exact"/>
        <w:ind w:firstLine="567"/>
        <w:rPr>
          <w:rStyle w:val="18"/>
          <w:rFonts w:hint="default" w:ascii="黑体" w:hAnsi="黑体" w:eastAsia="黑体"/>
          <w:b w:val="0"/>
          <w:color w:val="000000" w:themeColor="text1"/>
          <w:spacing w:val="-4"/>
          <w:sz w:val="32"/>
          <w:szCs w:val="32"/>
          <w:lang w:val="en-US" w:eastAsia="zh-CN"/>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（一）预算执行进度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2018年至今各类审计费用项目预算金额100万元，实际到位100万元，实际支出100万元，预算执行率为100%。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（二）绩效指标偏差情况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2023年本单位负责实施的2018年至今各类审计费用项目的绩效目标及指标已经全部达成，不存在偏差情况。</w:t>
      </w:r>
    </w:p>
    <w:p w14:paraId="43E23724">
      <w:pPr>
        <w:numPr>
          <w:ilvl w:val="0"/>
          <w:numId w:val="1"/>
        </w:numPr>
        <w:spacing w:line="540" w:lineRule="exact"/>
        <w:ind w:firstLine="640"/>
        <w:rPr>
          <w:rStyle w:val="18"/>
          <w:rFonts w:hint="eastAsia"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主要经验及做法、存在的问题及原因分析</w:t>
      </w:r>
    </w:p>
    <w:p w14:paraId="4974658B">
      <w:pPr>
        <w:spacing w:line="540" w:lineRule="exact"/>
        <w:ind w:firstLine="567"/>
        <w:rPr>
          <w:rFonts w:ascii="仿宋_GB2312" w:eastAsia="仿宋_GB2312"/>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（一）主要经验及做法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1.聚焦重点任务，推动项目工作落地落实</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2.坚持问题导向，加强执行监控，提高资金效益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3.强化绩效目标刚性约束，及时对项目进行跟踪问效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（二）存在问题及原因分析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1.绩效预算认识不够充分，绩效理念有待进一步强化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2.绩效档案归档工作有待提高</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3.项目支出绩效评价存在单位限性，客观性有待加强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14:paraId="30879119">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七</w:t>
      </w:r>
      <w:r>
        <w:rPr>
          <w:rStyle w:val="18"/>
          <w:rFonts w:hint="eastAsia" w:ascii="黑体" w:hAnsi="黑体" w:eastAsia="黑体"/>
          <w:b w:val="0"/>
          <w:color w:val="000000" w:themeColor="text1"/>
          <w:spacing w:val="-4"/>
          <w:sz w:val="32"/>
          <w:szCs w:val="32"/>
          <w14:textFill>
            <w14:solidFill>
              <w14:schemeClr w14:val="tx1"/>
            </w14:solidFill>
          </w14:textFill>
        </w:rPr>
        <w:t>、有关建议</w:t>
      </w:r>
    </w:p>
    <w:p w14:paraId="05A04DF2">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1.加强培训，提高相关人员工作水平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2.扎实推进档案规范化建设，提升档案管理水平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高度重视，加强领导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32897C15">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八</w:t>
      </w:r>
      <w:r>
        <w:rPr>
          <w:rStyle w:val="18"/>
          <w:rFonts w:hint="eastAsia" w:ascii="黑体" w:hAnsi="黑体" w:eastAsia="黑体"/>
          <w:b w:val="0"/>
          <w:color w:val="000000" w:themeColor="text1"/>
          <w:spacing w:val="-4"/>
          <w:sz w:val="32"/>
          <w:szCs w:val="32"/>
          <w14:textFill>
            <w14:solidFill>
              <w14:schemeClr w14:val="tx1"/>
            </w14:solidFill>
          </w14:textFill>
        </w:rPr>
        <w:t>、其他需要说明的问题</w:t>
      </w:r>
    </w:p>
    <w:p w14:paraId="4E701852">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p>
    <w:p w14:paraId="27432B88">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2372EF98">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67901C12">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07D1B0FE">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3F01F95C">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ED0005C">
        <w:pPr>
          <w:pStyle w:val="12"/>
          <w:jc w:val="center"/>
        </w:pPr>
        <w:r>
          <w:fldChar w:fldCharType="begin"/>
        </w:r>
        <w:r>
          <w:instrText xml:space="preserve">PAGE   \* MERGEFORMAT</w:instrText>
        </w:r>
        <w:r>
          <w:fldChar w:fldCharType="separate"/>
        </w:r>
        <w:r>
          <w:rPr>
            <w:lang w:val="zh-CN"/>
          </w:rPr>
          <w:t>2</w:t>
        </w:r>
        <w:r>
          <w:fldChar w:fldCharType="end"/>
        </w:r>
      </w:p>
    </w:sdtContent>
  </w:sdt>
  <w:p w14:paraId="4B50695A">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8662CD9"/>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7938</Words>
  <Characters>8325</Characters>
  <Lines>4</Lines>
  <Paragraphs>1</Paragraphs>
  <TotalTime>2</TotalTime>
  <ScaleCrop>false</ScaleCrop>
  <LinksUpToDate>false</LinksUpToDate>
  <CharactersWithSpaces>8355</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2024-09-25T08:42:20Z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