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0"/>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rPr>
        <w:t>昌吉市供销合作社联合社部门单位整体支出绩效自评报告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（2022年度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部门单位名称（公章）：昌吉市供销合作社联合社</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填报时间：2023  年 2月15日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3"/>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昌吉市供销合作社联合社系独立核算单位，适用事业单位会计制度，财政全额预算管理，法人为郑吉成，下设两个科室：办公室、综合业务科。</w:t>
      </w:r>
    </w:p>
    <w:p>
      <w:pPr>
        <w:ind w:firstLine="640"/>
        <w:rPr>
          <w:color w:val="auto"/>
          <w:sz w:val="32"/>
          <w:highlight w:val="none"/>
        </w:rPr>
      </w:pPr>
      <w:r>
        <w:rPr>
          <w:rFonts w:hint="eastAsia" w:ascii="仿宋_GB2312" w:eastAsia="仿宋_GB2312"/>
          <w:color w:val="auto"/>
          <w:sz w:val="32"/>
          <w:szCs w:val="32"/>
          <w:highlight w:val="none"/>
        </w:rPr>
        <w:t>人员情况。2020年核定编制为7人，全部为事业编制。实际在职6人，全部为事业编制。退休4人。</w:t>
      </w:r>
    </w:p>
    <w:p>
      <w:pPr>
        <w:numPr>
          <w:ilvl w:val="0"/>
          <w:numId w:val="1"/>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ind w:firstLine="640"/>
        <w:rPr>
          <w:color w:val="auto"/>
          <w:sz w:val="32"/>
          <w:highlight w:val="none"/>
        </w:rPr>
      </w:pPr>
      <w:r>
        <w:rPr>
          <w:rFonts w:hint="eastAsia" w:ascii="仿宋_GB2312" w:eastAsia="仿宋_GB2312"/>
          <w:color w:val="auto"/>
          <w:sz w:val="32"/>
          <w:szCs w:val="32"/>
          <w:highlight w:val="none"/>
        </w:rPr>
        <w:t>我单位认真履行“三定”方案职责：（1）负责研究制定昌吉市供销系统的发展战略和发展规划并组织实施，监督指导基层供销社的改革发展和业务活动。（2）发展和完善有关农村农业生产资料和消费品市场体系建设，指导推进农村流通现代化及连锁经营、物流配送、电子商务等现代流通方式，负责全市现代农村流通网络建设工作。（3）行使市级社有资产出资人代表职能，监督社有资产保值增值。对控股和参股企业进行监督。(4)负责对基层供销社的经营活动进行协调服务和监督管理；负责供销系统农村经济合作协会、专业合作社的指导、协调、管理工作；提供产、供、销信息，构建农产品外销平台。(5)负责供销社系统干部和职工的教育与培训工作。(6)完成市委、市人民政府交办的其他工作。</w:t>
      </w:r>
    </w:p>
    <w:p>
      <w:pPr>
        <w:numPr>
          <w:ilvl w:val="0"/>
          <w:numId w:val="1"/>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年度重点工作计划</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（1）全面完成阶段性改革任务。</w:t>
      </w:r>
      <w:r>
        <w:rPr>
          <w:rFonts w:hint="eastAsia" w:ascii="仿宋_GB2312" w:hAnsi="仿宋_GB2312" w:eastAsia="仿宋_GB2312" w:cs="仿宋_GB2312"/>
          <w:color w:val="auto"/>
          <w:sz w:val="32"/>
          <w:szCs w:val="32"/>
          <w:highlight w:val="none"/>
        </w:rPr>
        <w:t>农业社会化服务覆盖农业生产经营全过程。农村现代流通网络提质增效，城乡消费市场进一步拓展；布局合理、便捷高效的农产品市场体系基本形成；农村合作经济组织规范发展，组织带动能力增强；农村社区综合服务中心建设快速推进。</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（2）提质扩面，逐步健全基层组织体系。</w:t>
      </w:r>
      <w:r>
        <w:rPr>
          <w:rFonts w:hint="eastAsia" w:ascii="仿宋_GB2312" w:hAnsi="仿宋_GB2312" w:eastAsia="仿宋_GB2312" w:cs="仿宋_GB2312"/>
          <w:color w:val="auto"/>
          <w:sz w:val="32"/>
          <w:szCs w:val="32"/>
          <w:highlight w:val="none"/>
        </w:rPr>
        <w:t>一是改造提升乡镇基层社。努力把基层供销社办成为农服务的载体、自主经营的实体和合作经济联合体“三位一体”的合作经济组织。广泛吸收农民专业合作社、农产品协会、经纪人协会、社区服务社和各种为农服务组织加入基层供销社，实现基层供销社产权多元化和经营服务的规模化。通过采取盘活现有资产、社社联合、村社联合、社属企业经营网点联盟等模式。二是拓展建设村级综合服务社。昌吉市供销社加强对农村综合服务社的监管，提高综合服务社的经营管理水平和服务水平，拓展服务领域，增强服务功能，将农村综合服务社建设与党的基层组织建设、村集体经济发展有机结合，实现共建、共享、共赢，昌吉市供销社联合新疆农易宝公司在乡镇建立电子商务服务中心、新增村级综合服务社（中心）。三是规范发展专业合作社（联合社）。坚持发展与规范并举、数量与质量并重，采取供销社领办、引导农民自办、农村能人领办、与龙头企业合办等多种方式，大力领办扶持各种形式的农民专业合作社发展，引领农民参与农村产业融合发展，分享产业链收益，领办和规范农民专业合作社（联合社）1家。</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(3)持续推进农产品“两张网”建设。</w:t>
      </w:r>
      <w:r>
        <w:rPr>
          <w:rFonts w:hint="eastAsia" w:ascii="仿宋_GB2312" w:hAnsi="仿宋_GB2312" w:eastAsia="仿宋_GB2312" w:cs="仿宋_GB2312"/>
          <w:color w:val="auto"/>
          <w:sz w:val="32"/>
          <w:szCs w:val="32"/>
          <w:highlight w:val="none"/>
        </w:rPr>
        <w:t>充分发挥我市种业产业联盟、农产品产销联盟、农资联盟三大服务平台作用，不断创新经营模式，努力让农产品购得进来、销得出去。整合系统资源，推进产业融合，着力打造区域性农产品龙卖企业和“昌吉农品” 品牌。到2022年，农产品外销网点达50家以上，打通农村电商最后一公里和农产品进城最初-公里。搭建产销对接平台，继续办好新春年货会，积极参与各类农产品展治会和新媒体网络直播活动等。继续做好消费扶贫和援克对口帮扶工作。</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(4)加快建立现代治理体系。</w:t>
      </w:r>
      <w:r>
        <w:rPr>
          <w:rFonts w:hint="eastAsia" w:ascii="仿宋_GB2312" w:hAnsi="仿宋_GB2312" w:eastAsia="仿宋_GB2312" w:cs="仿宋_GB2312"/>
          <w:color w:val="auto"/>
          <w:sz w:val="32"/>
          <w:szCs w:val="32"/>
          <w:highlight w:val="none"/>
        </w:rPr>
        <w:t>加快推进联合社自身改革，进一步理顺社企关系，支持社有企业相互参股、并购重组，加强产权合作，业务联结，提高社有资产运营能力。以《供销合作社条例》出台为契机，研究制定昌吉市供销合作社组织体系管理办法，在鼓励开放办社的同时，保障供销社组织体系、财产权益和社有资产完整，社有资产所有权与经营管理权相统一。</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（5）全面实施供销合作社培育壮大工程。</w:t>
      </w:r>
      <w:r>
        <w:rPr>
          <w:rFonts w:hint="eastAsia" w:ascii="仿宋_GB2312" w:hAnsi="仿宋_GB2312" w:eastAsia="仿宋_GB2312" w:cs="仿宋_GB2312"/>
          <w:color w:val="auto"/>
          <w:sz w:val="32"/>
          <w:szCs w:val="32"/>
          <w:highlight w:val="none"/>
        </w:rPr>
        <w:t>到2022年，供销合作社基层基础全面夯实，基层社数量质量和社有企业的市场竞争能力、为农服务实力明显提升，双线运行机制更加健全，成为服务乡村振兴的重要力量，成为党和政府“三农”工作的重要力量。一是与农民利益联结更紧密。全市供销合作社系统基层社发展质量、数量、服务能力全面提升，新增乡镇基层社1个，新增村级基层社2个，实现乡镇全覆盖，新增农民社员1500人(户);新增农村综合服务社5个。二是为农服务功能更完备。综合性、规模化、可持续的为农服务体系基本形成，新增农业生产托管等社会化服务面积达到9万亩以上，新增庄稼医院7个;新建连锁经营网点9个，服务优势进一步发挥;供销合作社为农服务品牌广泛推广，社会形象和影响力不断提升。三是市场运作更有效。各级联合社治理效能更加高效，初步形成内容科学、程序严密、配套完备、有效管用的全面从严治社制度体系，基本建成社企分开、上下贯通、整体协调运转的双线运行机制;社有企业改革发展取得实质性进展，社有资本配置和运行效率明显提升，培育打造一批社有龙头企业和行业骨干企业。</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(6)大力实施项目兴社战略。</w:t>
      </w:r>
      <w:r>
        <w:rPr>
          <w:rFonts w:hint="eastAsia" w:ascii="仿宋_GB2312" w:hAnsi="仿宋_GB2312" w:eastAsia="仿宋_GB2312" w:cs="仿宋_GB2312"/>
          <w:color w:val="auto"/>
          <w:sz w:val="32"/>
          <w:szCs w:val="32"/>
          <w:highlight w:val="none"/>
        </w:rPr>
        <w:t>分发挥供销社在服务乡村振兴战略中的独特优势和重要作用，拟实施以下三个重点项目：一是在滨湖镇建设了特色农产品收购仓储生产加工销售展示配送中心，于2023年建设完工。二是在榆树沟镇建设农资和农副产品储备库建设项目，于2023年建设完工，建成后可储备农资3000余吨，可满足榆树沟镇、二六工镇广大农户的农资保障供应。三是昌吉市青湖蔬菜种植专业合作社蔬菜加工厂房及配套基础设施建设项目。建成年加工5000吨新鲜蔬菜加工厂房及设备、可储藏500吨新鲜蔬菜储藏室。可储藏蔬菜2000吨蔬菜冷链储藏及设备。项目建成后，将提高我市的蔬菜储备能力，将大大提高该合作社的生产能力。</w:t>
      </w:r>
    </w:p>
    <w:p>
      <w:pPr>
        <w:pBdr>
          <w:top w:val="none" w:color="000000" w:sz="0" w:space="1"/>
          <w:left w:val="none" w:color="000000" w:sz="0" w:space="15"/>
          <w:bottom w:val="none" w:color="000000" w:sz="0" w:space="24"/>
          <w:right w:val="none" w:color="000000" w:sz="0" w:space="0"/>
        </w:pBdr>
        <w:adjustRightInd w:val="0"/>
        <w:snapToGrid w:val="0"/>
        <w:ind w:firstLine="643"/>
        <w:jc w:val="left"/>
        <w:textAlignment w:val="top"/>
        <w:outlineLvl w:val="0"/>
        <w:rPr>
          <w:rFonts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（7）不断加强供销合作社自身设。</w:t>
      </w:r>
      <w:r>
        <w:rPr>
          <w:rFonts w:hint="eastAsia" w:ascii="仿宋_GB2312" w:hAnsi="仿宋_GB2312" w:eastAsia="仿宋_GB2312" w:cs="仿宋_GB2312"/>
          <w:color w:val="auto"/>
          <w:sz w:val="32"/>
          <w:szCs w:val="32"/>
          <w:highlight w:val="none"/>
        </w:rPr>
        <w:t>加强党的领导，切实发挥基层党组织战斗堡垒作用，严格落实全面从严治党各项要求。强化责任担当，凝聚发展合力，狠抓工作落实，讲好供销故事，让改革成果惠及更多农民群众，为打赢脱贫攻坚战，全面实现小康，助力乡村振兴作出新的更大的贡献。</w:t>
      </w:r>
    </w:p>
    <w:p>
      <w:pPr>
        <w:pStyle w:val="4"/>
        <w:tabs>
          <w:tab w:val="left" w:pos="6195"/>
        </w:tabs>
        <w:ind w:firstLine="643"/>
        <w:jc w:val="left"/>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ascii="仿宋_GB2312" w:eastAsia="仿宋_GB2312"/>
          <w:b/>
          <w:bCs/>
          <w:color w:val="auto"/>
          <w:sz w:val="32"/>
          <w:szCs w:val="32"/>
          <w:highlight w:val="none"/>
        </w:rPr>
      </w:pPr>
      <w:r>
        <w:rPr>
          <w:rFonts w:hint="eastAsia" w:ascii="仿宋_GB2312" w:eastAsia="仿宋_GB2312"/>
          <w:color w:val="auto"/>
          <w:sz w:val="32"/>
          <w:szCs w:val="32"/>
          <w:highlight w:val="none"/>
        </w:rPr>
        <w:t>我单位决策机制根据行政事业单位内部控制体系建设相关要求，逐步完善《昌吉市供销合作社联合社党组会议》、《三重一大会议制度》，根据制度规定“详述本单位决策制度规范具体内容”进行单位事项决策。</w:t>
      </w:r>
    </w:p>
    <w:p>
      <w:pPr>
        <w:pStyle w:val="4"/>
        <w:numPr>
          <w:ilvl w:val="0"/>
          <w:numId w:val="2"/>
        </w:numPr>
        <w:ind w:firstLine="643"/>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3"/>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3"/>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w:t>
      </w:r>
      <w:r>
        <w:rPr>
          <w:rFonts w:hint="eastAsia" w:ascii="仿宋_GB2312" w:eastAsia="仿宋_GB2312"/>
          <w:bCs/>
          <w:color w:val="auto"/>
          <w:sz w:val="32"/>
          <w:szCs w:val="32"/>
          <w:highlight w:val="none"/>
        </w:rPr>
        <w:t>昌吉市供销合作社联合社</w:t>
      </w:r>
      <w:r>
        <w:rPr>
          <w:rFonts w:hint="eastAsia" w:ascii="仿宋_GB2312" w:eastAsia="仿宋_GB2312" w:cs="仿宋"/>
          <w:color w:val="auto"/>
          <w:sz w:val="32"/>
          <w:szCs w:val="32"/>
          <w:highlight w:val="none"/>
        </w:rPr>
        <w:t>预算安排的重点项目0个，预算安排的重点项目支出金额为0.00万元，部门项目总支出金额为0.00元，则重点项目支出占项目总支出的比率为0.0%。</w:t>
      </w:r>
    </w:p>
    <w:p>
      <w:pPr>
        <w:pStyle w:val="4"/>
        <w:numPr>
          <w:ilvl w:val="0"/>
          <w:numId w:val="2"/>
        </w:numPr>
        <w:ind w:firstLine="643"/>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2022年度，</w:t>
      </w:r>
      <w:r>
        <w:rPr>
          <w:rFonts w:hint="eastAsia" w:ascii="仿宋_GB2312" w:eastAsia="仿宋_GB2312"/>
          <w:bCs/>
          <w:color w:val="auto"/>
          <w:sz w:val="32"/>
          <w:szCs w:val="32"/>
          <w:highlight w:val="none"/>
        </w:rPr>
        <w:t>昌吉市供销合作社联合社部门单位整体支出年初预算金额为</w:t>
      </w:r>
      <w:r>
        <w:rPr>
          <w:rFonts w:hint="eastAsia" w:ascii="仿宋_GB2312" w:eastAsia="仿宋_GB2312"/>
          <w:color w:val="auto"/>
          <w:sz w:val="32"/>
          <w:szCs w:val="32"/>
          <w:highlight w:val="none"/>
        </w:rPr>
        <w:t>85.45万元，其中工资福利支出73.98万元，商品服务支出7.71万元。退休费3.76万元，支出金额为85.45万元，执行率为100.0%，其中：政府采购年初预算金额为1.80万元，支出金额为1.99万元，执行率为105.6%。年终调整预算金额为调增12.85万元，预算调整率为15.04%。综上，我单位全年预算总额为98.30万元，支出总额为98.30万元，预算总执行率为100.0%。</w:t>
      </w:r>
    </w:p>
    <w:p>
      <w:pPr>
        <w:pStyle w:val="2"/>
        <w:ind w:firstLine="643"/>
        <w:rPr>
          <w:color w:val="auto"/>
          <w:sz w:val="32"/>
          <w:highlight w:val="none"/>
        </w:rPr>
      </w:pPr>
      <w:r>
        <w:rPr>
          <w:rFonts w:hint="eastAsia"/>
          <w:color w:val="auto"/>
          <w:sz w:val="32"/>
          <w:highlight w:val="none"/>
        </w:rPr>
        <w:t>2.部门单位整体支出自评使用方法、主要内容、涉及范围</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3"/>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物资采购管理办法和财经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2022年，昌吉市供销合作社联合社基本支出年初预算金额为85.45万元，支出金额为85.45万元，执行率为100.0%，年中调整预算金额为12.85万元。综上，我单位基本支出预算总额为98.30万元，支出总额为98.30万元，预算总执行率为100.0%，其中人员经费94.77万元，公用经费3.53万元。</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2022年“三公”经费预算数为2.60万元，其中：因公出国（境）费0.00万元，公务用车购置及运行费2.60万元（其中公务用车购置为0.00万元），公务接待费0.00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2022年，全年“三公”经费决算支出0.00万元，其中：因公出国（境）费用0.00万元、公务用车购置及运行费0.00万元（其中公务用车购置为0.00万元）、公务接待费0.00万元。较上年“三公”经费决算支出0.00万元，增加0.00万元，增长0.0%。</w:t>
      </w:r>
    </w:p>
    <w:p>
      <w:pPr>
        <w:pStyle w:val="4"/>
        <w:ind w:firstLine="643"/>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6"/>
        <w:ind w:firstLine="640"/>
        <w:rPr>
          <w:rFonts w:eastAsia="仿宋_GB2312"/>
          <w:color w:val="auto"/>
          <w:highlight w:val="none"/>
        </w:rPr>
      </w:pPr>
      <w:r>
        <w:rPr>
          <w:rFonts w:ascii="仿宋_GB2312" w:eastAsia="仿宋_GB2312"/>
          <w:color w:val="auto"/>
          <w:sz w:val="32"/>
          <w:szCs w:val="32"/>
          <w:highlight w:val="none"/>
        </w:rPr>
        <w:t>2022</w:t>
      </w:r>
      <w:r>
        <w:rPr>
          <w:rFonts w:hint="eastAsia" w:ascii="仿宋_GB2312" w:eastAsia="仿宋_GB2312"/>
          <w:color w:val="auto"/>
          <w:sz w:val="32"/>
          <w:szCs w:val="32"/>
          <w:highlight w:val="none"/>
        </w:rPr>
        <w:t>年本单位全年未安排中央、自治区项目支出预算。</w:t>
      </w:r>
    </w:p>
    <w:p>
      <w:pPr>
        <w:numPr>
          <w:ilvl w:val="0"/>
          <w:numId w:val="3"/>
        </w:numPr>
        <w:ind w:firstLine="643"/>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pStyle w:val="6"/>
        <w:ind w:firstLine="640"/>
        <w:rPr>
          <w:rFonts w:eastAsia="仿宋_GB2312"/>
          <w:color w:val="auto"/>
          <w:highlight w:val="none"/>
        </w:rPr>
      </w:pPr>
      <w:r>
        <w:rPr>
          <w:rFonts w:hint="eastAsia" w:ascii="仿宋_GB2312" w:eastAsia="仿宋_GB2312"/>
          <w:color w:val="auto"/>
          <w:sz w:val="32"/>
          <w:szCs w:val="32"/>
          <w:highlight w:val="none"/>
        </w:rPr>
        <w:t>2022年本单位全年未安排中央、自治区项目支出预算。</w:t>
      </w:r>
    </w:p>
    <w:p>
      <w:pPr>
        <w:pStyle w:val="3"/>
        <w:numPr>
          <w:ilvl w:val="0"/>
          <w:numId w:val="5"/>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部门单位专项组织实施情况</w:t>
      </w:r>
    </w:p>
    <w:p>
      <w:pPr>
        <w:ind w:firstLine="640"/>
        <w:rPr>
          <w:color w:val="auto"/>
          <w:highlight w:val="none"/>
        </w:rPr>
      </w:pPr>
      <w:r>
        <w:rPr>
          <w:rFonts w:hint="eastAsia" w:ascii="仿宋_GB2312" w:eastAsia="仿宋_GB2312"/>
          <w:color w:val="auto"/>
          <w:sz w:val="32"/>
          <w:szCs w:val="32"/>
          <w:highlight w:val="none"/>
        </w:rPr>
        <w:t>2022年本单位全年未安排中央及自治区专项资金支出项目。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3"/>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截止2023年12月31日，我单位资产账面总额为21.71万元，较年初资产总额增加0万元。</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2022年初，流动资产总额为0.00万元，年末总额为0.00万元，较年初流动资产减少0.00万元，减少0.00%，主要变动原因是：加快支付速度，年末应返还额度为0.00万元。</w:t>
      </w:r>
    </w:p>
    <w:p>
      <w:pPr>
        <w:ind w:firstLine="198" w:firstLineChars="62"/>
        <w:rPr>
          <w:rFonts w:ascii="仿宋_GB2312" w:eastAsia="仿宋_GB2312"/>
          <w:color w:val="auto"/>
          <w:sz w:val="32"/>
          <w:szCs w:val="32"/>
          <w:highlight w:val="none"/>
        </w:rPr>
      </w:pPr>
    </w:p>
    <w:p>
      <w:pPr>
        <w:pStyle w:val="4"/>
        <w:numPr>
          <w:ilvl w:val="0"/>
          <w:numId w:val="6"/>
        </w:numPr>
        <w:ind w:firstLine="643"/>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3"/>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11"/>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3"/>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11"/>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rPr>
        <w:t>2022年度，</w:t>
      </w:r>
      <w:r>
        <w:rPr>
          <w:rFonts w:hint="eastAsia" w:ascii="仿宋_GB2312" w:eastAsia="仿宋_GB2312"/>
          <w:color w:val="auto"/>
          <w:sz w:val="32"/>
          <w:szCs w:val="32"/>
          <w:highlight w:val="none"/>
        </w:rPr>
        <w:t>昌吉市供销合作社联合社</w:t>
      </w:r>
      <w:r>
        <w:rPr>
          <w:rFonts w:hint="eastAsia" w:ascii="仿宋_GB2312" w:eastAsia="仿宋_GB2312"/>
          <w:bCs/>
          <w:color w:val="auto"/>
          <w:spacing w:val="-4"/>
          <w:sz w:val="32"/>
          <w:szCs w:val="32"/>
          <w:highlight w:val="none"/>
        </w:rPr>
        <w:t>部门单位整体支出绩效目标共设置一级指标3个，二级指标9个，三级指标10个，其中：已完成三级指标10个，指标完成率为100.0%。</w:t>
      </w:r>
    </w:p>
    <w:p>
      <w:pPr>
        <w:pStyle w:val="2"/>
        <w:ind w:firstLine="643"/>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保障办公人员数量</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.00</w:t>
      </w:r>
      <w:r>
        <w:rPr>
          <w:rFonts w:hint="eastAsia" w:ascii="仿宋_GB2312" w:eastAsia="仿宋_GB2312"/>
          <w:color w:val="auto"/>
          <w:sz w:val="32"/>
          <w:szCs w:val="32"/>
          <w:highlight w:val="none"/>
          <w:lang w:eastAsia="zh-CN"/>
        </w:rPr>
        <w:t>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6人</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完成财务代理工作</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.00个”，实际完成指标值为“</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个”，指标完成率为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指导乡镇基层社个数</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.00个”，实际完成指标值为“</w:t>
      </w:r>
      <w:r>
        <w:rPr>
          <w:rFonts w:hint="eastAsia" w:ascii="仿宋_GB2312" w:eastAsia="仿宋_GB2312"/>
          <w:color w:val="auto"/>
          <w:sz w:val="32"/>
          <w:szCs w:val="32"/>
          <w:highlight w:val="none"/>
          <w:lang w:val="en-US" w:eastAsia="zh-CN"/>
        </w:rPr>
        <w:t>8</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质量指标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“财务代理工作及指导基层供销社完成率”指标：预期指标值为“100.00%”，实际完成指标值为“=100.00%”，指标完成率为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numPr>
          <w:ilvl w:val="0"/>
          <w:numId w:val="0"/>
        </w:numPr>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“工资发放准确”指标：预期指标值“=100%”，实际完成指标值“100%”</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“完成财务代理工作工作时间及指导基层供销社完成时间”指标：预期指标值为“2022年12月”，实际完成指标值为“2022年12月”，指标完成率为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numPr>
          <w:ilvl w:val="0"/>
          <w:numId w:val="0"/>
        </w:numPr>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 xml:space="preserve">    “公用经费支付及时率”指标：预期指标值“&gt;=90%”，实际完成指标“100%”。</w:t>
      </w:r>
    </w:p>
    <w:p>
      <w:pPr>
        <w:numPr>
          <w:ilvl w:val="0"/>
          <w:numId w:val="0"/>
        </w:numPr>
        <w:ind w:firstLine="960" w:firstLineChars="30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人员保障经费数</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&lt;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77.74</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94.77</w:t>
      </w:r>
      <w:r>
        <w:rPr>
          <w:rFonts w:hint="eastAsia" w:ascii="仿宋_GB2312" w:eastAsia="仿宋_GB2312"/>
          <w:color w:val="auto"/>
          <w:sz w:val="32"/>
          <w:szCs w:val="32"/>
          <w:highlight w:val="none"/>
        </w:rPr>
        <w:t>万元”，指标完成率为</w:t>
      </w:r>
      <w:r>
        <w:rPr>
          <w:rFonts w:hint="eastAsia" w:ascii="仿宋_GB2312" w:eastAsia="仿宋_GB2312"/>
          <w:bCs/>
          <w:color w:val="auto"/>
          <w:spacing w:val="-4"/>
          <w:sz w:val="32"/>
          <w:szCs w:val="32"/>
          <w:highlight w:val="none"/>
        </w:rPr>
        <w:t>1</w:t>
      </w:r>
      <w:r>
        <w:rPr>
          <w:rFonts w:hint="eastAsia" w:ascii="仿宋_GB2312" w:eastAsia="仿宋_GB2312"/>
          <w:bCs/>
          <w:color w:val="auto"/>
          <w:spacing w:val="-4"/>
          <w:sz w:val="32"/>
          <w:szCs w:val="32"/>
          <w:highlight w:val="none"/>
          <w:lang w:val="en-US" w:eastAsia="zh-CN"/>
        </w:rPr>
        <w:t>21.91</w:t>
      </w:r>
      <w:r>
        <w:rPr>
          <w:rFonts w:hint="eastAsia" w:ascii="仿宋_GB2312" w:eastAsia="仿宋_GB2312"/>
          <w:bCs/>
          <w:color w:val="auto"/>
          <w:spacing w:val="-4"/>
          <w:sz w:val="32"/>
          <w:szCs w:val="32"/>
          <w:highlight w:val="none"/>
        </w:rPr>
        <w:t>.0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 xml:space="preserve"> </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eastAsia="zh-CN"/>
        </w:rPr>
        <w:t>运转保障经费数”指标：预期指标值为“</w:t>
      </w:r>
      <w:r>
        <w:rPr>
          <w:rFonts w:hint="eastAsia" w:ascii="仿宋_GB2312" w:eastAsia="仿宋_GB2312"/>
          <w:color w:val="auto"/>
          <w:sz w:val="32"/>
          <w:szCs w:val="32"/>
          <w:highlight w:val="none"/>
          <w:lang w:val="en-US" w:eastAsia="zh-CN"/>
        </w:rPr>
        <w:t>&lt;=7.71万元</w:t>
      </w:r>
      <w:r>
        <w:rPr>
          <w:rFonts w:hint="eastAsia" w:ascii="仿宋_GB2312" w:eastAsia="仿宋_GB2312"/>
          <w:color w:val="auto"/>
          <w:sz w:val="32"/>
          <w:szCs w:val="32"/>
          <w:highlight w:val="none"/>
          <w:lang w:eastAsia="zh-CN"/>
        </w:rPr>
        <w:t>”，实际完成值为“</w:t>
      </w:r>
      <w:r>
        <w:rPr>
          <w:rFonts w:hint="eastAsia" w:ascii="仿宋_GB2312" w:eastAsia="仿宋_GB2312"/>
          <w:color w:val="auto"/>
          <w:sz w:val="32"/>
          <w:szCs w:val="32"/>
          <w:highlight w:val="none"/>
          <w:lang w:val="en-US" w:eastAsia="zh-CN"/>
        </w:rPr>
        <w:t>3.53万元</w:t>
      </w:r>
      <w:r>
        <w:rPr>
          <w:rFonts w:hint="eastAsia" w:ascii="仿宋_GB2312" w:eastAsia="仿宋_GB2312"/>
          <w:color w:val="auto"/>
          <w:sz w:val="32"/>
          <w:szCs w:val="32"/>
          <w:highlight w:val="none"/>
          <w:lang w:eastAsia="zh-CN"/>
        </w:rPr>
        <w:t>”指标完成率</w:t>
      </w:r>
      <w:r>
        <w:rPr>
          <w:rFonts w:hint="eastAsia" w:ascii="仿宋_GB2312" w:eastAsia="仿宋_GB2312"/>
          <w:color w:val="auto"/>
          <w:sz w:val="32"/>
          <w:szCs w:val="32"/>
          <w:highlight w:val="none"/>
          <w:lang w:val="en-US" w:eastAsia="zh-CN"/>
        </w:rPr>
        <w:t>45.78%。</w:t>
      </w:r>
    </w:p>
    <w:p>
      <w:pPr>
        <w:pStyle w:val="2"/>
        <w:ind w:firstLine="643"/>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“提升为农社会化服务水平”指标：预期指标值为“有效提升”，实际完成指标值为“有效提升”，指标完成率为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“长期大力开拓线上线下农村市场”指标：预期指标值为“长期”，实际完成指标值为“长期”，指标完成率为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pStyle w:val="2"/>
        <w:ind w:firstLine="643"/>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“农民满意度”指标：预期指标值为“&gt;=90.00%”，实际完成指标值为“90.00%”，指标完成率为</w:t>
      </w:r>
      <w:r>
        <w:rPr>
          <w:rFonts w:hint="eastAsia" w:ascii="仿宋_GB2312" w:eastAsia="仿宋_GB2312"/>
          <w:bCs/>
          <w:color w:val="auto"/>
          <w:spacing w:val="-4"/>
          <w:sz w:val="32"/>
          <w:szCs w:val="32"/>
          <w:highlight w:val="none"/>
        </w:rPr>
        <w:t>100.0</w:t>
      </w:r>
      <w:r>
        <w:rPr>
          <w:rFonts w:hint="eastAsia" w:ascii="仿宋_GB2312" w:eastAsia="仿宋_GB2312"/>
          <w:color w:val="auto"/>
          <w:sz w:val="32"/>
          <w:szCs w:val="32"/>
          <w:highlight w:val="none"/>
        </w:rPr>
        <w:t>%;</w:t>
      </w:r>
    </w:p>
    <w:p>
      <w:pPr>
        <w:pStyle w:val="3"/>
        <w:ind w:firstLine="640"/>
        <w:rPr>
          <w:rFonts w:hint="default" w:ascii="黑体" w:hAnsi="黑体" w:eastAsia="黑体"/>
          <w:b w:val="0"/>
          <w:color w:val="auto"/>
          <w:sz w:val="32"/>
          <w:szCs w:val="32"/>
          <w:highlight w:val="none"/>
          <w:lang w:val="en-US" w:eastAsia="zh-CN"/>
        </w:rPr>
      </w:pPr>
      <w:r>
        <w:rPr>
          <w:rFonts w:hint="eastAsia" w:ascii="黑体" w:hAnsi="黑体"/>
          <w:b w:val="0"/>
          <w:color w:val="auto"/>
          <w:sz w:val="32"/>
          <w:szCs w:val="32"/>
          <w:highlight w:val="none"/>
          <w:lang w:eastAsia="zh-CN"/>
        </w:rPr>
        <w:t>“职工满意度”指标：预期指标值为“</w:t>
      </w:r>
      <w:r>
        <w:rPr>
          <w:rFonts w:hint="eastAsia" w:ascii="黑体" w:hAnsi="黑体"/>
          <w:b w:val="0"/>
          <w:color w:val="auto"/>
          <w:sz w:val="32"/>
          <w:szCs w:val="32"/>
          <w:highlight w:val="none"/>
          <w:lang w:val="en-US" w:eastAsia="zh-CN"/>
        </w:rPr>
        <w:t>&gt;=90.00%</w:t>
      </w:r>
      <w:r>
        <w:rPr>
          <w:rFonts w:hint="eastAsia" w:ascii="黑体" w:hAnsi="黑体"/>
          <w:b w:val="0"/>
          <w:color w:val="auto"/>
          <w:sz w:val="32"/>
          <w:szCs w:val="32"/>
          <w:highlight w:val="none"/>
          <w:lang w:eastAsia="zh-CN"/>
        </w:rPr>
        <w:t>”</w:t>
      </w:r>
      <w:r>
        <w:rPr>
          <w:rFonts w:hint="eastAsia" w:ascii="黑体" w:hAnsi="黑体"/>
          <w:b w:val="0"/>
          <w:color w:val="auto"/>
          <w:sz w:val="32"/>
          <w:szCs w:val="32"/>
          <w:highlight w:val="none"/>
          <w:lang w:val="en-US" w:eastAsia="zh-CN"/>
        </w:rPr>
        <w:t>,实际完成指标值为“90%”，指标完成率为100%。</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adjustRightInd w:val="0"/>
        <w:snapToGrid w:val="0"/>
        <w:ind w:firstLine="624"/>
        <w:rPr>
          <w:rFonts w:ascii="仿宋_GB2312" w:eastAsia="仿宋_GB2312"/>
          <w:color w:val="auto"/>
          <w:spacing w:val="-4"/>
          <w:sz w:val="32"/>
          <w:szCs w:val="32"/>
          <w:highlight w:val="none"/>
        </w:rPr>
      </w:pPr>
      <w:r>
        <w:rPr>
          <w:rFonts w:hint="eastAsia" w:ascii="仿宋_GB2312" w:eastAsia="仿宋_GB2312"/>
          <w:color w:val="auto"/>
          <w:spacing w:val="-4"/>
          <w:sz w:val="32"/>
          <w:szCs w:val="32"/>
          <w:highlight w:val="none"/>
        </w:rPr>
        <w:t>202</w:t>
      </w:r>
      <w:r>
        <w:rPr>
          <w:rFonts w:ascii="仿宋_GB2312" w:eastAsia="仿宋_GB2312"/>
          <w:color w:val="auto"/>
          <w:spacing w:val="-4"/>
          <w:sz w:val="32"/>
          <w:szCs w:val="32"/>
          <w:highlight w:val="none"/>
        </w:rPr>
        <w:t>2</w:t>
      </w:r>
      <w:r>
        <w:rPr>
          <w:rFonts w:hint="eastAsia" w:ascii="仿宋_GB2312" w:eastAsia="仿宋_GB2312"/>
          <w:color w:val="auto"/>
          <w:spacing w:val="-4"/>
          <w:sz w:val="32"/>
          <w:szCs w:val="32"/>
          <w:highlight w:val="none"/>
        </w:rPr>
        <w:t>年本单位整体支出绩效目标全部达成，不存在未完成原因分析。</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adjustRightInd w:val="0"/>
        <w:snapToGrid w:val="0"/>
        <w:ind w:firstLine="624"/>
        <w:rPr>
          <w:color w:val="auto"/>
          <w:highlight w:val="none"/>
        </w:rPr>
      </w:pPr>
      <w:r>
        <w:rPr>
          <w:rFonts w:hint="eastAsia" w:ascii="仿宋_GB2312" w:eastAsia="仿宋_GB2312"/>
          <w:bCs/>
          <w:color w:val="auto"/>
          <w:spacing w:val="-4"/>
          <w:sz w:val="32"/>
          <w:szCs w:val="32"/>
          <w:highlight w:val="none"/>
        </w:rPr>
        <w:t>建议加大预算管</w:t>
      </w:r>
      <w:bookmarkStart w:id="0" w:name="_GoBack"/>
      <w:bookmarkEnd w:id="0"/>
      <w:r>
        <w:rPr>
          <w:rFonts w:hint="eastAsia" w:ascii="仿宋_GB2312" w:eastAsia="仿宋_GB2312"/>
          <w:bCs/>
          <w:color w:val="auto"/>
          <w:spacing w:val="-4"/>
          <w:sz w:val="32"/>
          <w:szCs w:val="32"/>
          <w:highlight w:val="none"/>
        </w:rPr>
        <w:t>理理论及实际操作培训力度，加强人才储备，一要加大理论研究力度。对预算绩效管理进行系统性研究，形成好的意见和建议，为预算绩效管理提供理论上的支持。二要加大宣传力度，积极引导舆论，使预算绩效管理理念深入人心。三要加强预算绩效管理理论和实际操作培训，分批次对从事预算绩效管理人员进行知识和技能的普及工作，培养一批专业从事预算绩效管理的队伍，为预算绩效管理提供人才保障和储备。</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3"/>
        <w:tblW w:w="0" w:type="auto"/>
        <w:tblInd w:w="0" w:type="dxa"/>
        <w:tblLayout w:type="autofit"/>
        <w:tblCellMar>
          <w:top w:w="0" w:type="dxa"/>
          <w:left w:w="108" w:type="dxa"/>
          <w:bottom w:w="0" w:type="dxa"/>
          <w:right w:w="108" w:type="dxa"/>
        </w:tblCellMar>
      </w:tblPr>
      <w:tblGrid>
        <w:gridCol w:w="471"/>
        <w:gridCol w:w="618"/>
        <w:gridCol w:w="696"/>
        <w:gridCol w:w="1296"/>
        <w:gridCol w:w="687"/>
        <w:gridCol w:w="888"/>
        <w:gridCol w:w="717"/>
        <w:gridCol w:w="1458"/>
        <w:gridCol w:w="888"/>
        <w:gridCol w:w="803"/>
      </w:tblGrid>
      <w:tr>
        <w:tblPrEx>
          <w:tblCellMar>
            <w:top w:w="0" w:type="dxa"/>
            <w:left w:w="108" w:type="dxa"/>
            <w:bottom w:w="0" w:type="dxa"/>
            <w:right w:w="108" w:type="dxa"/>
          </w:tblCellMar>
        </w:tblPrEx>
        <w:trPr>
          <w:trHeight w:val="800" w:hRule="atLeast"/>
        </w:trPr>
        <w:tc>
          <w:tcPr>
            <w:tcW w:w="0" w:type="auto"/>
            <w:gridSpan w:val="10"/>
            <w:tcBorders>
              <w:top w:val="nil"/>
              <w:left w:val="nil"/>
              <w:bottom w:val="nil"/>
              <w:right w:val="nil"/>
            </w:tcBorders>
            <w:shd w:val="clear" w:color="auto" w:fill="auto"/>
            <w:vAlign w:val="center"/>
          </w:tcPr>
          <w:p>
            <w:pPr>
              <w:widowControl/>
              <w:spacing w:line="240" w:lineRule="auto"/>
              <w:ind w:firstLine="0" w:firstLineChars="0"/>
              <w:jc w:val="center"/>
              <w:textAlignment w:val="center"/>
              <w:rPr>
                <w:rFonts w:ascii="方正小标宋简体" w:hAnsi="方正小标宋简体" w:eastAsia="方正小标宋简体" w:cs="方正小标宋简体"/>
                <w:color w:val="auto"/>
                <w:szCs w:val="28"/>
                <w:highlight w:val="none"/>
              </w:rPr>
            </w:pPr>
            <w:r>
              <w:rPr>
                <w:rFonts w:ascii="方正小标宋简体" w:hAnsi="方正小标宋简体" w:eastAsia="方正小标宋简体" w:cs="方正小标宋简体"/>
                <w:color w:val="auto"/>
                <w:kern w:val="0"/>
                <w:szCs w:val="28"/>
                <w:highlight w:val="none"/>
              </w:rPr>
              <w:t>部门整体支出绩效目标自评表</w:t>
            </w:r>
          </w:p>
        </w:tc>
      </w:tr>
      <w:tr>
        <w:tblPrEx>
          <w:tblCellMar>
            <w:top w:w="0" w:type="dxa"/>
            <w:left w:w="108" w:type="dxa"/>
            <w:bottom w:w="0" w:type="dxa"/>
            <w:right w:w="108" w:type="dxa"/>
          </w:tblCellMar>
        </w:tblPrEx>
        <w:trPr>
          <w:trHeight w:val="680" w:hRule="atLeast"/>
        </w:trPr>
        <w:tc>
          <w:tcPr>
            <w:tcW w:w="0" w:type="auto"/>
            <w:gridSpan w:val="10"/>
            <w:tcBorders>
              <w:top w:val="nil"/>
              <w:left w:val="nil"/>
              <w:bottom w:val="single" w:color="000000" w:sz="4" w:space="0"/>
              <w:right w:val="nil"/>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（2022年度）</w:t>
            </w:r>
          </w:p>
        </w:tc>
      </w:tr>
      <w:tr>
        <w:tblPrEx>
          <w:tblCellMar>
            <w:top w:w="0" w:type="dxa"/>
            <w:left w:w="108" w:type="dxa"/>
            <w:bottom w:w="0" w:type="dxa"/>
            <w:right w:w="108"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昌吉市供销合作社联合社</w:t>
            </w:r>
          </w:p>
        </w:tc>
      </w:tr>
      <w:tr>
        <w:tblPrEx>
          <w:tblCellMar>
            <w:top w:w="0" w:type="dxa"/>
            <w:left w:w="108" w:type="dxa"/>
            <w:bottom w:w="0" w:type="dxa"/>
            <w:right w:w="108"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主要内容</w:t>
            </w:r>
          </w:p>
        </w:tc>
        <w:tc>
          <w:tcPr>
            <w:tcW w:w="0" w:type="auto"/>
            <w:gridSpan w:val="3"/>
            <w:tcBorders>
              <w:top w:val="single" w:color="000000" w:sz="4" w:space="0"/>
              <w:left w:val="nil"/>
              <w:bottom w:val="nil"/>
              <w:right w:val="nil"/>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实际执行（万元）</w:t>
            </w:r>
          </w:p>
        </w:tc>
      </w:tr>
      <w:tr>
        <w:tblPrEx>
          <w:tblCellMar>
            <w:top w:w="0" w:type="dxa"/>
            <w:left w:w="108" w:type="dxa"/>
            <w:bottom w:w="0" w:type="dxa"/>
            <w:right w:w="108"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其他资金</w:t>
            </w:r>
          </w:p>
        </w:tc>
      </w:tr>
      <w:tr>
        <w:tblPrEx>
          <w:tblCellMar>
            <w:top w:w="0" w:type="dxa"/>
            <w:left w:w="108" w:type="dxa"/>
            <w:bottom w:w="0" w:type="dxa"/>
            <w:right w:w="108" w:type="dxa"/>
          </w:tblCellMar>
        </w:tblPrEx>
        <w:trPr>
          <w:trHeight w:val="1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负责对昌吉市供销社系统行业管理工作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负责对昌吉市供销社系统行业管理工作负责对全市供销社系统指导、协调等行业管理工作,对基层供销社进行财务代理。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85.45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85.45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98.30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98.30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0</w:t>
            </w:r>
          </w:p>
        </w:tc>
      </w:tr>
      <w:tr>
        <w:tblPrEx>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2"/>
            <w:tcBorders>
              <w:top w:val="single" w:color="000000" w:sz="4" w:space="0"/>
              <w:left w:val="single" w:color="000000" w:sz="4" w:space="0"/>
              <w:bottom w:val="single" w:color="000000" w:sz="4" w:space="0"/>
              <w:right w:val="nil"/>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行使社有资产出资人代表职能，监督社有资产，监管控股参股企业，提升为农服务能力。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指导乡镇基层社工作</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0</w:t>
            </w:r>
          </w:p>
        </w:tc>
      </w:tr>
      <w:tr>
        <w:tblPrEx>
          <w:tblCellMar>
            <w:top w:w="0" w:type="dxa"/>
            <w:left w:w="108" w:type="dxa"/>
            <w:bottom w:w="0" w:type="dxa"/>
            <w:right w:w="108"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85.45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85.45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98.30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98.30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0.0</w:t>
            </w:r>
          </w:p>
        </w:tc>
      </w:tr>
      <w:tr>
        <w:tblPrEx>
          <w:tblCellMar>
            <w:top w:w="0" w:type="dxa"/>
            <w:left w:w="108" w:type="dxa"/>
            <w:bottom w:w="0" w:type="dxa"/>
            <w:right w:w="108"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预期目标</w:t>
            </w:r>
          </w:p>
        </w:tc>
        <w:tc>
          <w:tcPr>
            <w:tcW w:w="0" w:type="auto"/>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实际完成目标</w:t>
            </w:r>
          </w:p>
        </w:tc>
      </w:tr>
      <w:tr>
        <w:tblPrEx>
          <w:tblCellMar>
            <w:top w:w="0" w:type="dxa"/>
            <w:left w:w="108" w:type="dxa"/>
            <w:bottom w:w="0" w:type="dxa"/>
            <w:right w:w="108" w:type="dxa"/>
          </w:tblCellMar>
        </w:tblPrEx>
        <w:trPr>
          <w:trHeight w:val="17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昌吉市供销</w:t>
            </w:r>
            <w:r>
              <w:rPr>
                <w:rFonts w:hint="eastAsia" w:ascii="宋体" w:hAnsi="宋体" w:eastAsia="宋体" w:cs="宋体"/>
                <w:color w:val="auto"/>
                <w:kern w:val="0"/>
                <w:sz w:val="18"/>
                <w:szCs w:val="18"/>
                <w:highlight w:val="none"/>
                <w:lang w:val="en-US" w:eastAsia="zh-CN"/>
              </w:rPr>
              <w:t>合作</w:t>
            </w:r>
            <w:r>
              <w:rPr>
                <w:rFonts w:hint="eastAsia" w:ascii="宋体" w:hAnsi="宋体" w:eastAsia="宋体" w:cs="宋体"/>
                <w:color w:val="auto"/>
                <w:kern w:val="0"/>
                <w:sz w:val="18"/>
                <w:szCs w:val="18"/>
                <w:highlight w:val="none"/>
              </w:rPr>
              <w:t>社</w:t>
            </w:r>
            <w:r>
              <w:rPr>
                <w:rFonts w:hint="eastAsia" w:ascii="宋体" w:hAnsi="宋体" w:eastAsia="宋体" w:cs="宋体"/>
                <w:color w:val="auto"/>
                <w:kern w:val="0"/>
                <w:sz w:val="18"/>
                <w:szCs w:val="18"/>
                <w:highlight w:val="none"/>
                <w:lang w:eastAsia="zh-CN"/>
              </w:rPr>
              <w:t>联合社</w:t>
            </w:r>
            <w:r>
              <w:rPr>
                <w:rFonts w:hint="eastAsia" w:ascii="宋体" w:hAnsi="宋体" w:eastAsia="宋体" w:cs="宋体"/>
                <w:color w:val="auto"/>
                <w:kern w:val="0"/>
                <w:sz w:val="18"/>
                <w:szCs w:val="18"/>
                <w:highlight w:val="none"/>
                <w:lang w:val="en-US" w:eastAsia="zh-CN"/>
              </w:rPr>
              <w:t>2022年度计划投入85.45万元；其中人员保障77.74万元，运转保障7.71万元。通过资金使用，完成财务代理工作4个，指导乡镇基层社4个，保障办公人员数量6人，提升为农社会化服务水平。对全市供销系统指导、协调等行业管理工作；行使社有资产出资人代表职能，监督社有资产，监管控股参股企业，对基层供销社进行财务代理。</w:t>
            </w:r>
            <w:r>
              <w:rPr>
                <w:rFonts w:hint="eastAsia" w:ascii="宋体" w:hAnsi="宋体" w:eastAsia="宋体" w:cs="宋体"/>
                <w:color w:val="auto"/>
                <w:kern w:val="0"/>
                <w:sz w:val="18"/>
                <w:szCs w:val="18"/>
                <w:highlight w:val="none"/>
              </w:rPr>
              <w:br w:type="textWrapping"/>
            </w:r>
          </w:p>
        </w:tc>
        <w:tc>
          <w:tcPr>
            <w:tcW w:w="0" w:type="auto"/>
            <w:gridSpan w:val="5"/>
            <w:tcBorders>
              <w:top w:val="single" w:color="000000" w:sz="4" w:space="0"/>
              <w:left w:val="nil"/>
              <w:bottom w:val="single" w:color="000000" w:sz="4" w:space="0"/>
              <w:right w:val="single" w:color="000000" w:sz="4" w:space="0"/>
            </w:tcBorders>
            <w:shd w:val="clear" w:color="auto" w:fill="auto"/>
            <w:vAlign w:val="center"/>
          </w:tcPr>
          <w:p>
            <w:pPr>
              <w:widowControl/>
              <w:spacing w:line="240" w:lineRule="auto"/>
              <w:ind w:firstLine="0" w:firstLineChars="0"/>
              <w:jc w:val="left"/>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昌吉市供销</w:t>
            </w:r>
            <w:r>
              <w:rPr>
                <w:rFonts w:hint="eastAsia" w:ascii="宋体" w:hAnsi="宋体" w:eastAsia="宋体" w:cs="宋体"/>
                <w:color w:val="auto"/>
                <w:kern w:val="0"/>
                <w:sz w:val="18"/>
                <w:szCs w:val="18"/>
                <w:highlight w:val="none"/>
                <w:lang w:val="en-US" w:eastAsia="zh-CN"/>
              </w:rPr>
              <w:t>合作</w:t>
            </w:r>
            <w:r>
              <w:rPr>
                <w:rFonts w:hint="eastAsia" w:ascii="宋体" w:hAnsi="宋体" w:eastAsia="宋体" w:cs="宋体"/>
                <w:color w:val="auto"/>
                <w:kern w:val="0"/>
                <w:sz w:val="18"/>
                <w:szCs w:val="18"/>
                <w:highlight w:val="none"/>
              </w:rPr>
              <w:t>社</w:t>
            </w:r>
            <w:r>
              <w:rPr>
                <w:rFonts w:hint="eastAsia" w:ascii="宋体" w:hAnsi="宋体" w:eastAsia="宋体" w:cs="宋体"/>
                <w:color w:val="auto"/>
                <w:kern w:val="0"/>
                <w:sz w:val="18"/>
                <w:szCs w:val="18"/>
                <w:highlight w:val="none"/>
                <w:lang w:eastAsia="zh-CN"/>
              </w:rPr>
              <w:t>联合社</w:t>
            </w:r>
            <w:r>
              <w:rPr>
                <w:rFonts w:hint="eastAsia" w:ascii="宋体" w:hAnsi="宋体" w:eastAsia="宋体" w:cs="宋体"/>
                <w:color w:val="auto"/>
                <w:kern w:val="0"/>
                <w:sz w:val="18"/>
                <w:szCs w:val="18"/>
                <w:highlight w:val="none"/>
                <w:lang w:val="en-US" w:eastAsia="zh-CN"/>
              </w:rPr>
              <w:t>2022年度实际执行98.30万元；其中人员保障94.77万元，运转保障3.53万元。通过资金使用，完成财务代理工作4个，指导乡镇基层社8个，保障办公人员数量6人，提升为农社会化服务水平。对全市供销系统指导、协调等行业管理工作；行使社有资产出资人代表职能，监督社有资产，监管控股参股企业，对基层供销社进行财务代理。在福建省建立农产品外销平台8个，建立为农社会化服务中心，设立庄稼院，为农牧民提供化肥、农药、种子等生产和生活物资，服务于广大农牧民群众，提升为农社会化服务水平。</w:t>
            </w:r>
            <w:r>
              <w:rPr>
                <w:rFonts w:hint="eastAsia" w:ascii="宋体" w:hAnsi="宋体" w:eastAsia="宋体" w:cs="宋体"/>
                <w:color w:val="auto"/>
                <w:kern w:val="0"/>
                <w:sz w:val="18"/>
                <w:szCs w:val="18"/>
                <w:highlight w:val="none"/>
              </w:rPr>
              <w:br w:type="textWrapping"/>
            </w:r>
          </w:p>
        </w:tc>
      </w:tr>
      <w:tr>
        <w:tblPrEx>
          <w:tblCellMar>
            <w:top w:w="0" w:type="dxa"/>
            <w:left w:w="108" w:type="dxa"/>
            <w:bottom w:w="0" w:type="dxa"/>
            <w:right w:w="108"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绩效目标值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指标分值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得分</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保障办公人员数量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=6.00个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完成财务代理工作</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=4.00个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指导乡镇基层社个数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=8.00个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财务代理工作及指导基层供销社完成率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36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工资发放准确率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完成财务代理工作工作时间及指导基层供销社完成时间</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2022年12月31日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2022年12月31日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公用经费支付及时率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r>
      <w:tr>
        <w:tblPrEx>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人员保障经费数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＜=77.74万元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94.77万元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10</w:t>
            </w:r>
          </w:p>
        </w:tc>
      </w:tr>
      <w:tr>
        <w:tblPrEx>
          <w:tblCellMar>
            <w:top w:w="0" w:type="dxa"/>
            <w:left w:w="108" w:type="dxa"/>
            <w:bottom w:w="0" w:type="dxa"/>
            <w:right w:w="108" w:type="dxa"/>
          </w:tblCellMar>
        </w:tblPrEx>
        <w:trPr>
          <w:trHeight w:val="96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运转保障经费数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＜＝7.71万元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3.53万元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4.58</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项目效益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提升为农社会化服务水平</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有效提升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长期大力开拓线上线下农村市场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长期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长期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15</w:t>
            </w:r>
          </w:p>
        </w:tc>
      </w:tr>
      <w:tr>
        <w:tblPrEx>
          <w:tblCellMar>
            <w:top w:w="0" w:type="dxa"/>
            <w:left w:w="108" w:type="dxa"/>
            <w:bottom w:w="0" w:type="dxa"/>
            <w:right w:w="108"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满意度指标</w:t>
            </w:r>
          </w:p>
        </w:tc>
        <w:tc>
          <w:tcPr>
            <w:tcW w:w="0" w:type="auto"/>
            <w:vMerge w:val="restart"/>
            <w:tcBorders>
              <w:top w:val="single" w:color="000000" w:sz="4" w:space="0"/>
              <w:left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农民满意度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&gt;=90.00%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360"/>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ascii="宋体" w:hAnsi="宋体" w:eastAsia="宋体" w:cs="宋体"/>
                <w:color w:val="auto"/>
                <w:sz w:val="18"/>
                <w:szCs w:val="18"/>
                <w:highlight w:val="none"/>
              </w:rPr>
            </w:pPr>
            <w:r>
              <w:rPr>
                <w:rFonts w:hint="eastAsia" w:ascii="宋体" w:hAnsi="宋体" w:eastAsia="宋体" w:cs="宋体"/>
                <w:color w:val="auto"/>
                <w:kern w:val="0"/>
                <w:sz w:val="18"/>
                <w:szCs w:val="18"/>
                <w:highlight w:val="none"/>
              </w:rPr>
              <w:t>5</w:t>
            </w:r>
          </w:p>
        </w:tc>
      </w:tr>
      <w:tr>
        <w:tblPrEx>
          <w:tblCellMar>
            <w:top w:w="0" w:type="dxa"/>
            <w:left w:w="108" w:type="dxa"/>
            <w:bottom w:w="0" w:type="dxa"/>
            <w:right w:w="108"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rPr>
                <w:rFonts w:ascii="宋体" w:hAnsi="宋体" w:eastAsia="宋体" w:cs="宋体"/>
                <w:color w:val="auto"/>
                <w:sz w:val="18"/>
                <w:szCs w:val="18"/>
                <w:highlight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p>
        </w:tc>
        <w:tc>
          <w:tcPr>
            <w:tcW w:w="0" w:type="auto"/>
            <w:vMerge w:val="continue"/>
            <w:tcBorders>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﹥＝90.00%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90</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auto"/>
              <w:ind w:firstLine="0" w:firstLine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r>
    </w:tbl>
    <w:p>
      <w:pPr>
        <w:pStyle w:val="6"/>
        <w:ind w:firstLine="0" w:firstLineChars="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640"/>
        <w:rPr>
          <w:rFonts w:ascii="仿宋_GB2312" w:eastAsia="仿宋_GB2312"/>
          <w:color w:val="auto"/>
          <w:sz w:val="32"/>
          <w:szCs w:val="32"/>
          <w:highlight w:val="none"/>
        </w:rPr>
      </w:pPr>
    </w:p>
    <w:p>
      <w:pPr>
        <w:pStyle w:val="6"/>
        <w:ind w:firstLine="0" w:firstLineChars="0"/>
        <w:rPr>
          <w:rFonts w:ascii="仿宋_GB2312" w:eastAsia="仿宋_GB2312"/>
          <w:color w:val="auto"/>
          <w:sz w:val="32"/>
          <w:szCs w:val="32"/>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方正粗黑宋简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粗黑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9"/>
          <w:ind w:firstLine="360"/>
          <w:jc w:val="right"/>
        </w:pPr>
        <w:r>
          <w:rPr>
            <w:lang w:val="zh-CN"/>
          </w:rPr>
          <w:fldChar w:fldCharType="begin"/>
        </w:r>
        <w:r>
          <w:rPr>
            <w:lang w:val="zh-CN"/>
          </w:rPr>
          <w:instrText xml:space="preserve"> PAGE   \* MERGEFORMAT </w:instrText>
        </w:r>
        <w:r>
          <w:rPr>
            <w:lang w:val="zh-CN"/>
          </w:rPr>
          <w:fldChar w:fldCharType="separate"/>
        </w:r>
        <w:r>
          <w:rPr>
            <w:lang w:val="zh-CN"/>
          </w:rPr>
          <w:t>17</w:t>
        </w:r>
        <w:r>
          <w:rPr>
            <w:lang w:val="zh-CN"/>
          </w:rPr>
          <w:fldChar w:fldCharType="end"/>
        </w:r>
      </w:p>
    </w:sdtContent>
  </w:sdt>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B7AFB3F"/>
    <w:multiLevelType w:val="singleLevel"/>
    <w:tmpl w:val="FB7AFB3F"/>
    <w:lvl w:ilvl="0" w:tentative="0">
      <w:start w:val="2"/>
      <w:numFmt w:val="decimal"/>
      <w:suff w:val="nothing"/>
      <w:lvlText w:val="%1."/>
      <w:lvlJc w:val="left"/>
    </w:lvl>
  </w:abstractNum>
  <w:abstractNum w:abstractNumId="3">
    <w:nsid w:val="225C8922"/>
    <w:multiLevelType w:val="singleLevel"/>
    <w:tmpl w:val="225C8922"/>
    <w:lvl w:ilvl="0" w:tentative="0">
      <w:start w:val="1"/>
      <w:numFmt w:val="decimal"/>
      <w:suff w:val="space"/>
      <w:lvlText w:val="%1."/>
      <w:lvlJc w:val="left"/>
    </w:lvl>
  </w:abstractNum>
  <w:abstractNum w:abstractNumId="4">
    <w:nsid w:val="282FBCCD"/>
    <w:multiLevelType w:val="singleLevel"/>
    <w:tmpl w:val="282FBCCD"/>
    <w:lvl w:ilvl="0" w:tentative="0">
      <w:start w:val="3"/>
      <w:numFmt w:val="chineseCounting"/>
      <w:suff w:val="nothing"/>
      <w:lvlText w:val="（%1）"/>
      <w:lvlJc w:val="left"/>
      <w:rPr>
        <w:rFonts w:hint="eastAsia"/>
      </w:rPr>
    </w:lvl>
  </w:abstractNum>
  <w:abstractNum w:abstractNumId="5">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6">
    <w:nsid w:val="3C8E8D65"/>
    <w:multiLevelType w:val="singleLevel"/>
    <w:tmpl w:val="3C8E8D65"/>
    <w:lvl w:ilvl="0" w:tentative="0">
      <w:start w:val="3"/>
      <w:numFmt w:val="chineseCounting"/>
      <w:suff w:val="nothing"/>
      <w:lvlText w:val="%1、"/>
      <w:lvlJc w:val="left"/>
      <w:rPr>
        <w:rFonts w:hint="eastAsia"/>
      </w:rPr>
    </w:lvl>
  </w:abstractNum>
  <w:num w:numId="1">
    <w:abstractNumId w:val="2"/>
  </w:num>
  <w:num w:numId="2">
    <w:abstractNumId w:val="4"/>
  </w:num>
  <w:num w:numId="3">
    <w:abstractNumId w:val="3"/>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zI5OWNlOGNkY2Y1NjJmY2ZkOGFiNjQ3N2NiYTEzNzMifQ=="/>
  </w:docVars>
  <w:rsids>
    <w:rsidRoot w:val="00172A27"/>
    <w:rsid w:val="00012408"/>
    <w:rsid w:val="000127F0"/>
    <w:rsid w:val="00012F5F"/>
    <w:rsid w:val="00031DC9"/>
    <w:rsid w:val="000D60A8"/>
    <w:rsid w:val="00101AE1"/>
    <w:rsid w:val="00172A27"/>
    <w:rsid w:val="00201A4A"/>
    <w:rsid w:val="002153DD"/>
    <w:rsid w:val="002640E4"/>
    <w:rsid w:val="00266868"/>
    <w:rsid w:val="00332809"/>
    <w:rsid w:val="00372031"/>
    <w:rsid w:val="003B184C"/>
    <w:rsid w:val="003F473D"/>
    <w:rsid w:val="00413159"/>
    <w:rsid w:val="00422353"/>
    <w:rsid w:val="00455E2F"/>
    <w:rsid w:val="00485980"/>
    <w:rsid w:val="004A1678"/>
    <w:rsid w:val="004D4927"/>
    <w:rsid w:val="004E4CA7"/>
    <w:rsid w:val="004F5DC9"/>
    <w:rsid w:val="005736CA"/>
    <w:rsid w:val="005A124E"/>
    <w:rsid w:val="005D3F17"/>
    <w:rsid w:val="005D41CF"/>
    <w:rsid w:val="005E5D6E"/>
    <w:rsid w:val="005F7A93"/>
    <w:rsid w:val="00601640"/>
    <w:rsid w:val="00617C63"/>
    <w:rsid w:val="00722410"/>
    <w:rsid w:val="0077571A"/>
    <w:rsid w:val="007A1B0F"/>
    <w:rsid w:val="007B6305"/>
    <w:rsid w:val="007C156C"/>
    <w:rsid w:val="007F1A59"/>
    <w:rsid w:val="008A09A7"/>
    <w:rsid w:val="008A1C5E"/>
    <w:rsid w:val="008D5E7B"/>
    <w:rsid w:val="0090615A"/>
    <w:rsid w:val="00931A42"/>
    <w:rsid w:val="009443DA"/>
    <w:rsid w:val="00961F8B"/>
    <w:rsid w:val="009D6347"/>
    <w:rsid w:val="009E68A2"/>
    <w:rsid w:val="00A0055F"/>
    <w:rsid w:val="00A57E05"/>
    <w:rsid w:val="00A7110C"/>
    <w:rsid w:val="00A720BD"/>
    <w:rsid w:val="00A85EC6"/>
    <w:rsid w:val="00A87301"/>
    <w:rsid w:val="00A95478"/>
    <w:rsid w:val="00AE0359"/>
    <w:rsid w:val="00B00384"/>
    <w:rsid w:val="00B15846"/>
    <w:rsid w:val="00B40102"/>
    <w:rsid w:val="00BC7E1D"/>
    <w:rsid w:val="00BE296F"/>
    <w:rsid w:val="00C11C70"/>
    <w:rsid w:val="00C15E92"/>
    <w:rsid w:val="00C5454F"/>
    <w:rsid w:val="00C5695F"/>
    <w:rsid w:val="00CA0283"/>
    <w:rsid w:val="00CD147B"/>
    <w:rsid w:val="00CF33EA"/>
    <w:rsid w:val="00D2747D"/>
    <w:rsid w:val="00D34758"/>
    <w:rsid w:val="00D81057"/>
    <w:rsid w:val="00D816FD"/>
    <w:rsid w:val="00D8792A"/>
    <w:rsid w:val="00DB3723"/>
    <w:rsid w:val="00DC6100"/>
    <w:rsid w:val="00DC7874"/>
    <w:rsid w:val="00E122EB"/>
    <w:rsid w:val="00E15CF6"/>
    <w:rsid w:val="00E65EF1"/>
    <w:rsid w:val="00E76F6F"/>
    <w:rsid w:val="00EA0F2D"/>
    <w:rsid w:val="00EA1F1A"/>
    <w:rsid w:val="00F62D56"/>
    <w:rsid w:val="00FA2D69"/>
    <w:rsid w:val="00FB6671"/>
    <w:rsid w:val="012D3D63"/>
    <w:rsid w:val="01330A6C"/>
    <w:rsid w:val="01487A18"/>
    <w:rsid w:val="01720865"/>
    <w:rsid w:val="0189003F"/>
    <w:rsid w:val="01C42D66"/>
    <w:rsid w:val="02C15BF6"/>
    <w:rsid w:val="03673532"/>
    <w:rsid w:val="0379691F"/>
    <w:rsid w:val="03BE7262"/>
    <w:rsid w:val="03C85036"/>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7A0447"/>
    <w:rsid w:val="08881A41"/>
    <w:rsid w:val="08E604A1"/>
    <w:rsid w:val="08EF03CC"/>
    <w:rsid w:val="092D6339"/>
    <w:rsid w:val="097203EA"/>
    <w:rsid w:val="097A0CA3"/>
    <w:rsid w:val="09DA2AA5"/>
    <w:rsid w:val="09E518F1"/>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B17BB"/>
    <w:rsid w:val="0D7C06D5"/>
    <w:rsid w:val="0D7C2CF2"/>
    <w:rsid w:val="0D821B4C"/>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732B9B"/>
    <w:rsid w:val="13A27094"/>
    <w:rsid w:val="13B42D72"/>
    <w:rsid w:val="13D06674"/>
    <w:rsid w:val="13D44D7F"/>
    <w:rsid w:val="14120FE1"/>
    <w:rsid w:val="142C48EB"/>
    <w:rsid w:val="143E5526"/>
    <w:rsid w:val="14703A03"/>
    <w:rsid w:val="1493153C"/>
    <w:rsid w:val="14B33F8F"/>
    <w:rsid w:val="14F81E1D"/>
    <w:rsid w:val="152928FE"/>
    <w:rsid w:val="15343BE6"/>
    <w:rsid w:val="15357338"/>
    <w:rsid w:val="153612FD"/>
    <w:rsid w:val="154136C6"/>
    <w:rsid w:val="15432A1F"/>
    <w:rsid w:val="15530DDD"/>
    <w:rsid w:val="156F1B1C"/>
    <w:rsid w:val="16050D98"/>
    <w:rsid w:val="164D645C"/>
    <w:rsid w:val="167B52F3"/>
    <w:rsid w:val="16811A70"/>
    <w:rsid w:val="16D97F04"/>
    <w:rsid w:val="16DC79A8"/>
    <w:rsid w:val="16F4505A"/>
    <w:rsid w:val="17136C0E"/>
    <w:rsid w:val="17383D5F"/>
    <w:rsid w:val="177D3D5F"/>
    <w:rsid w:val="17C573FD"/>
    <w:rsid w:val="18142FD5"/>
    <w:rsid w:val="184A4B8E"/>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3D74BA"/>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3379D2"/>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9C1E8B"/>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D21A6"/>
    <w:rsid w:val="343E7569"/>
    <w:rsid w:val="34496D65"/>
    <w:rsid w:val="345459E1"/>
    <w:rsid w:val="346976B5"/>
    <w:rsid w:val="346B7F37"/>
    <w:rsid w:val="34850421"/>
    <w:rsid w:val="34A94CBA"/>
    <w:rsid w:val="34B92F28"/>
    <w:rsid w:val="34F36D08"/>
    <w:rsid w:val="35031EB5"/>
    <w:rsid w:val="358212BB"/>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1D15F5"/>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04C87"/>
    <w:rsid w:val="410A06F9"/>
    <w:rsid w:val="4125037B"/>
    <w:rsid w:val="413357D7"/>
    <w:rsid w:val="41447D45"/>
    <w:rsid w:val="41977304"/>
    <w:rsid w:val="41CD393D"/>
    <w:rsid w:val="41F949FB"/>
    <w:rsid w:val="421630C6"/>
    <w:rsid w:val="422B5E31"/>
    <w:rsid w:val="424B51C7"/>
    <w:rsid w:val="4252595A"/>
    <w:rsid w:val="43453439"/>
    <w:rsid w:val="436F6C42"/>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294CA1"/>
    <w:rsid w:val="51525315"/>
    <w:rsid w:val="515C17D5"/>
    <w:rsid w:val="519223A8"/>
    <w:rsid w:val="51B45CF8"/>
    <w:rsid w:val="51CB5559"/>
    <w:rsid w:val="51E43809"/>
    <w:rsid w:val="520F3713"/>
    <w:rsid w:val="52CF7054"/>
    <w:rsid w:val="52EA6EF6"/>
    <w:rsid w:val="52FD6971"/>
    <w:rsid w:val="53223E56"/>
    <w:rsid w:val="53275AB8"/>
    <w:rsid w:val="537D5DC6"/>
    <w:rsid w:val="5388089F"/>
    <w:rsid w:val="53B05A8D"/>
    <w:rsid w:val="53D745FA"/>
    <w:rsid w:val="53E40714"/>
    <w:rsid w:val="53FD29C3"/>
    <w:rsid w:val="540B1E3B"/>
    <w:rsid w:val="541E7FBF"/>
    <w:rsid w:val="541F5ED8"/>
    <w:rsid w:val="54467244"/>
    <w:rsid w:val="54511C79"/>
    <w:rsid w:val="54520573"/>
    <w:rsid w:val="547D34B8"/>
    <w:rsid w:val="548D7C01"/>
    <w:rsid w:val="54942775"/>
    <w:rsid w:val="549C23F0"/>
    <w:rsid w:val="54B8713B"/>
    <w:rsid w:val="55132799"/>
    <w:rsid w:val="55A768F4"/>
    <w:rsid w:val="55B62452"/>
    <w:rsid w:val="55FE78A0"/>
    <w:rsid w:val="560D0EF7"/>
    <w:rsid w:val="56253786"/>
    <w:rsid w:val="562D3283"/>
    <w:rsid w:val="565D002E"/>
    <w:rsid w:val="566C0CF7"/>
    <w:rsid w:val="569156EC"/>
    <w:rsid w:val="56A71E5E"/>
    <w:rsid w:val="56CE2C6C"/>
    <w:rsid w:val="56E95104"/>
    <w:rsid w:val="571924B2"/>
    <w:rsid w:val="572109E0"/>
    <w:rsid w:val="5747400E"/>
    <w:rsid w:val="575751FD"/>
    <w:rsid w:val="578A3F51"/>
    <w:rsid w:val="57CC6BA1"/>
    <w:rsid w:val="57CE3E29"/>
    <w:rsid w:val="581B6FA6"/>
    <w:rsid w:val="58F37117"/>
    <w:rsid w:val="5922449F"/>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DE37229"/>
    <w:rsid w:val="5E2A4BFC"/>
    <w:rsid w:val="5EAC236D"/>
    <w:rsid w:val="5EDB0D8B"/>
    <w:rsid w:val="5F3732A8"/>
    <w:rsid w:val="5FA9794D"/>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179D9"/>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0C6EA1"/>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8643B7"/>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926E0A"/>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1A1C0E"/>
    <w:rsid w:val="7A2E1812"/>
    <w:rsid w:val="7A7029D6"/>
    <w:rsid w:val="7A751437"/>
    <w:rsid w:val="7AB2209C"/>
    <w:rsid w:val="7ACB6E73"/>
    <w:rsid w:val="7B033D7C"/>
    <w:rsid w:val="7B233171"/>
    <w:rsid w:val="7B3943CF"/>
    <w:rsid w:val="7B634CE1"/>
    <w:rsid w:val="7B9C2512"/>
    <w:rsid w:val="7BFB110F"/>
    <w:rsid w:val="7C09409A"/>
    <w:rsid w:val="7C287D7E"/>
    <w:rsid w:val="7C3825FA"/>
    <w:rsid w:val="7CD9468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 w:val="7FF614E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ody Text Indent"/>
    <w:basedOn w:val="1"/>
    <w:qFormat/>
    <w:uiPriority w:val="0"/>
    <w:pPr>
      <w:ind w:firstLine="622"/>
    </w:pPr>
    <w:rPr>
      <w:rFonts w:eastAsia="仿宋_GB2312"/>
      <w:sz w:val="32"/>
      <w:szCs w:val="20"/>
    </w:rPr>
  </w:style>
  <w:style w:type="paragraph" w:styleId="8">
    <w:name w:val="Balloon Text"/>
    <w:basedOn w:val="1"/>
    <w:link w:val="24"/>
    <w:semiHidden/>
    <w:unhideWhenUsed/>
    <w:qFormat/>
    <w:uiPriority w:val="0"/>
    <w:pPr>
      <w:spacing w:line="240" w:lineRule="auto"/>
    </w:pPr>
    <w:rPr>
      <w:sz w:val="18"/>
      <w:szCs w:val="18"/>
    </w:rPr>
  </w:style>
  <w:style w:type="paragraph" w:styleId="9">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10">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spacing w:before="100" w:beforeAutospacing="1" w:after="100" w:afterAutospacing="1"/>
      <w:jc w:val="left"/>
    </w:pPr>
    <w:rPr>
      <w:sz w:val="24"/>
    </w:rPr>
  </w:style>
  <w:style w:type="paragraph" w:styleId="12">
    <w:name w:val="Body Text First Indent 2"/>
    <w:basedOn w:val="7"/>
    <w:qFormat/>
    <w:uiPriority w:val="0"/>
    <w:pPr>
      <w:ind w:firstLine="420"/>
    </w:pPr>
    <w:rPr>
      <w:rFonts w:ascii="Calibri" w:hAnsi="Calibri" w:eastAsia="宋体"/>
    </w:rPr>
  </w:style>
  <w:style w:type="character" w:styleId="15">
    <w:name w:val="Strong"/>
    <w:basedOn w:val="14"/>
    <w:qFormat/>
    <w:uiPriority w:val="0"/>
    <w:rPr>
      <w:b/>
      <w:bCs/>
    </w:r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10"/>
    <w:link w:val="22"/>
    <w:qFormat/>
    <w:uiPriority w:val="0"/>
    <w:pPr>
      <w:pBdr>
        <w:bottom w:val="none" w:color="auto" w:sz="0" w:space="0"/>
      </w:pBdr>
      <w:ind w:firstLine="360"/>
    </w:pPr>
  </w:style>
  <w:style w:type="character" w:customStyle="1" w:styleId="20">
    <w:name w:val="样式1 Char"/>
    <w:basedOn w:val="14"/>
    <w:link w:val="18"/>
    <w:qFormat/>
    <w:uiPriority w:val="0"/>
    <w:rPr>
      <w:rFonts w:ascii="仿宋" w:hAnsi="仿宋" w:eastAsia="仿宋"/>
      <w:kern w:val="2"/>
      <w:sz w:val="28"/>
      <w:szCs w:val="24"/>
    </w:rPr>
  </w:style>
  <w:style w:type="character" w:customStyle="1" w:styleId="21">
    <w:name w:val="页眉 Char"/>
    <w:basedOn w:val="14"/>
    <w:link w:val="10"/>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Char"/>
    <w:basedOn w:val="14"/>
    <w:link w:val="9"/>
    <w:qFormat/>
    <w:uiPriority w:val="99"/>
    <w:rPr>
      <w:rFonts w:eastAsia="仿宋"/>
      <w:kern w:val="2"/>
      <w:sz w:val="18"/>
      <w:szCs w:val="24"/>
    </w:rPr>
  </w:style>
  <w:style w:type="character" w:customStyle="1" w:styleId="24">
    <w:name w:val="批注框文本 Char"/>
    <w:basedOn w:val="14"/>
    <w:link w:val="8"/>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1DCB246-167B-44E3-B894-6AFA22782A3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17</Pages>
  <Words>6880</Words>
  <Characters>7481</Characters>
  <Lines>7</Lines>
  <Paragraphs>15</Paragraphs>
  <TotalTime>56</TotalTime>
  <ScaleCrop>false</ScaleCrop>
  <LinksUpToDate>false</LinksUpToDate>
  <CharactersWithSpaces>7498</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YZZ</cp:lastModifiedBy>
  <dcterms:modified xsi:type="dcterms:W3CDTF">2023-02-22T03:37:24Z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94C6867C69114EDA89EB08577548FFEC</vt:lpwstr>
  </property>
</Properties>
</file>