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hint="eastAsia" w:ascii="华文中宋" w:hAnsi="华文中宋" w:eastAsia="华文中宋" w:cs="宋体"/>
          <w:b/>
          <w:color w:val="auto"/>
          <w:kern w:val="0"/>
          <w:sz w:val="52"/>
          <w:szCs w:val="52"/>
          <w:highlight w:val="none"/>
          <w:lang w:eastAsia="zh-CN"/>
        </w:rPr>
      </w:pPr>
    </w:p>
    <w:p>
      <w:pPr>
        <w:pStyle w:val="2"/>
        <w:rPr>
          <w:rFonts w:hint="eastAsia"/>
          <w:color w:val="auto"/>
          <w:highlight w:val="none"/>
          <w:lang w:eastAsia="zh-CN"/>
        </w:rPr>
      </w:pP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昌吉市人民政府办公室整体支出绩效</w:t>
      </w: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填报时间： 202</w:t>
      </w:r>
      <w:r>
        <w:rPr>
          <w:rFonts w:hint="eastAsia" w:ascii="黑体" w:hAnsi="黑体" w:eastAsia="黑体" w:cs="黑体"/>
          <w:bCs/>
          <w:color w:val="auto"/>
          <w:sz w:val="36"/>
          <w:szCs w:val="36"/>
          <w:highlight w:val="none"/>
          <w:lang w:val="en-US" w:eastAsia="zh-CN"/>
        </w:rPr>
        <w:t>3</w:t>
      </w:r>
      <w:r>
        <w:rPr>
          <w:rFonts w:hint="eastAsia" w:ascii="黑体" w:hAnsi="黑体" w:eastAsia="黑体" w:cs="黑体"/>
          <w:bCs/>
          <w:color w:val="auto"/>
          <w:sz w:val="36"/>
          <w:szCs w:val="36"/>
          <w:highlight w:val="none"/>
        </w:rPr>
        <w:t>年2月</w:t>
      </w:r>
      <w:r>
        <w:rPr>
          <w:rFonts w:hint="eastAsia" w:ascii="黑体" w:hAnsi="黑体" w:eastAsia="黑体" w:cs="黑体"/>
          <w:bCs/>
          <w:color w:val="auto"/>
          <w:sz w:val="36"/>
          <w:szCs w:val="36"/>
          <w:highlight w:val="none"/>
          <w:lang w:val="en-US" w:eastAsia="zh-CN"/>
        </w:rPr>
        <w:t>15</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3"/>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ind w:firstLine="640"/>
        <w:rPr>
          <w:rFonts w:hint="default" w:ascii="仿宋_GB2312" w:eastAsia="仿宋_GB2312" w:cs="宋体" w:hAnsiTheme="minorEastAsia"/>
          <w:color w:val="auto"/>
          <w:sz w:val="32"/>
          <w:szCs w:val="32"/>
          <w:highlight w:val="none"/>
          <w:lang w:val="en-US" w:eastAsia="zh-CN"/>
        </w:rPr>
      </w:pPr>
      <w:r>
        <w:rPr>
          <w:rFonts w:hint="eastAsia" w:cs="宋体" w:hAnsiTheme="minorEastAsia"/>
          <w:color w:val="auto"/>
          <w:sz w:val="32"/>
          <w:szCs w:val="32"/>
          <w:highlight w:val="none"/>
        </w:rPr>
        <w:t>昌吉市人民政府</w:t>
      </w:r>
      <w:r>
        <w:rPr>
          <w:rFonts w:hint="eastAsia" w:ascii="仿宋_GB2312" w:eastAsia="仿宋_GB2312" w:cs="宋体" w:hAnsiTheme="minorEastAsia"/>
          <w:color w:val="auto"/>
          <w:sz w:val="32"/>
          <w:szCs w:val="32"/>
          <w:highlight w:val="none"/>
        </w:rPr>
        <w:t>办公室下属</w:t>
      </w:r>
      <w:r>
        <w:rPr>
          <w:rFonts w:hint="eastAsia" w:cs="宋体" w:hAnsiTheme="minorEastAsia"/>
          <w:color w:val="auto"/>
          <w:sz w:val="32"/>
          <w:szCs w:val="32"/>
          <w:highlight w:val="none"/>
        </w:rPr>
        <w:t>2</w:t>
      </w:r>
      <w:r>
        <w:rPr>
          <w:rFonts w:hint="eastAsia" w:ascii="仿宋_GB2312" w:eastAsia="仿宋_GB2312" w:cs="宋体" w:hAnsiTheme="minorEastAsia"/>
          <w:color w:val="auto"/>
          <w:sz w:val="32"/>
          <w:szCs w:val="32"/>
          <w:highlight w:val="none"/>
        </w:rPr>
        <w:t>个全额拨款的事业单位，分别为昌吉市人民政府电子政务办公室、昌吉市</w:t>
      </w:r>
      <w:r>
        <w:rPr>
          <w:rFonts w:hint="eastAsia" w:cs="宋体" w:hAnsiTheme="minorEastAsia"/>
          <w:color w:val="auto"/>
          <w:sz w:val="32"/>
          <w:szCs w:val="32"/>
          <w:highlight w:val="none"/>
        </w:rPr>
        <w:t>信访投诉受理</w:t>
      </w:r>
      <w:r>
        <w:rPr>
          <w:rFonts w:hint="eastAsia" w:ascii="仿宋_GB2312" w:eastAsia="仿宋_GB2312" w:cs="宋体" w:hAnsiTheme="minorEastAsia"/>
          <w:color w:val="auto"/>
          <w:sz w:val="32"/>
          <w:szCs w:val="32"/>
          <w:highlight w:val="none"/>
        </w:rPr>
        <w:t>服务中心。市政办内设6个职能科（室），分为文书科，秘书科，综合科，信息督查科，督查外事侨务科、信访科。全额拨款行政单位，行政编制</w:t>
      </w:r>
      <w:r>
        <w:rPr>
          <w:rFonts w:hint="eastAsia" w:cs="宋体" w:hAnsiTheme="minorEastAsia"/>
          <w:color w:val="auto"/>
          <w:sz w:val="32"/>
          <w:szCs w:val="32"/>
          <w:highlight w:val="none"/>
        </w:rPr>
        <w:t>2</w:t>
      </w:r>
      <w:r>
        <w:rPr>
          <w:rFonts w:hint="eastAsia" w:cs="宋体" w:hAnsiTheme="minorEastAsia"/>
          <w:color w:val="auto"/>
          <w:sz w:val="32"/>
          <w:szCs w:val="32"/>
          <w:highlight w:val="none"/>
          <w:lang w:val="en-US" w:eastAsia="zh-CN"/>
        </w:rPr>
        <w:t>7</w:t>
      </w:r>
      <w:r>
        <w:rPr>
          <w:rFonts w:hint="eastAsia" w:ascii="仿宋_GB2312" w:eastAsia="仿宋_GB2312" w:cs="宋体" w:hAnsiTheme="minorEastAsia"/>
          <w:color w:val="auto"/>
          <w:sz w:val="32"/>
          <w:szCs w:val="32"/>
          <w:highlight w:val="none"/>
        </w:rPr>
        <w:t>人，其中工勤编制1</w:t>
      </w:r>
      <w:r>
        <w:rPr>
          <w:rFonts w:hint="eastAsia" w:cs="宋体" w:hAnsiTheme="minorEastAsia"/>
          <w:color w:val="auto"/>
          <w:sz w:val="32"/>
          <w:szCs w:val="32"/>
          <w:highlight w:val="none"/>
        </w:rPr>
        <w:t>3</w:t>
      </w:r>
      <w:r>
        <w:rPr>
          <w:rFonts w:hint="eastAsia" w:ascii="仿宋_GB2312" w:eastAsia="仿宋_GB2312" w:cs="宋体" w:hAnsiTheme="minorEastAsia"/>
          <w:color w:val="auto"/>
          <w:sz w:val="32"/>
          <w:szCs w:val="32"/>
          <w:highlight w:val="none"/>
        </w:rPr>
        <w:t>人，事业编制</w:t>
      </w:r>
      <w:r>
        <w:rPr>
          <w:rFonts w:hint="eastAsia" w:cs="宋体" w:hAnsiTheme="minorEastAsia"/>
          <w:color w:val="auto"/>
          <w:sz w:val="32"/>
          <w:szCs w:val="32"/>
          <w:highlight w:val="none"/>
        </w:rPr>
        <w:t>28</w:t>
      </w:r>
      <w:r>
        <w:rPr>
          <w:rFonts w:hint="eastAsia" w:ascii="仿宋_GB2312" w:eastAsia="仿宋_GB2312" w:cs="宋体" w:hAnsiTheme="minorEastAsia"/>
          <w:color w:val="auto"/>
          <w:sz w:val="32"/>
          <w:szCs w:val="32"/>
          <w:highlight w:val="none"/>
        </w:rPr>
        <w:t>人。年末实有</w:t>
      </w:r>
      <w:r>
        <w:rPr>
          <w:rFonts w:hint="eastAsia" w:ascii="仿宋_GB2312" w:eastAsia="仿宋_GB2312" w:cs="宋体" w:hAnsiTheme="minorEastAsia"/>
          <w:color w:val="auto"/>
          <w:sz w:val="32"/>
          <w:szCs w:val="32"/>
          <w:highlight w:val="none"/>
          <w:lang w:eastAsia="zh-CN"/>
        </w:rPr>
        <w:t>在编</w:t>
      </w:r>
      <w:r>
        <w:rPr>
          <w:rFonts w:hint="eastAsia" w:ascii="仿宋_GB2312" w:eastAsia="仿宋_GB2312" w:cs="宋体" w:hAnsiTheme="minorEastAsia"/>
          <w:color w:val="auto"/>
          <w:sz w:val="32"/>
          <w:szCs w:val="32"/>
          <w:highlight w:val="none"/>
        </w:rPr>
        <w:t>人数</w:t>
      </w:r>
      <w:r>
        <w:rPr>
          <w:rFonts w:hint="eastAsia" w:ascii="仿宋_GB2312" w:eastAsia="仿宋_GB2312" w:cs="宋体" w:hAnsiTheme="minorEastAsia"/>
          <w:color w:val="auto"/>
          <w:sz w:val="32"/>
          <w:szCs w:val="32"/>
          <w:highlight w:val="none"/>
          <w:lang w:val="en-US" w:eastAsia="zh-CN"/>
        </w:rPr>
        <w:t>76</w:t>
      </w:r>
      <w:r>
        <w:rPr>
          <w:rFonts w:hint="eastAsia" w:ascii="仿宋_GB2312" w:eastAsia="仿宋_GB2312" w:cs="宋体" w:hAnsiTheme="minorEastAsia"/>
          <w:color w:val="auto"/>
          <w:sz w:val="32"/>
          <w:szCs w:val="32"/>
          <w:highlight w:val="none"/>
        </w:rPr>
        <w:t>人，行政在职23人，其中工勤在职1</w:t>
      </w:r>
      <w:r>
        <w:rPr>
          <w:rFonts w:hint="eastAsia" w:cs="宋体" w:hAnsiTheme="minorEastAsia"/>
          <w:color w:val="auto"/>
          <w:sz w:val="32"/>
          <w:szCs w:val="32"/>
          <w:highlight w:val="none"/>
        </w:rPr>
        <w:t>3</w:t>
      </w:r>
      <w:r>
        <w:rPr>
          <w:rFonts w:hint="eastAsia" w:ascii="仿宋_GB2312" w:eastAsia="仿宋_GB2312" w:cs="宋体" w:hAnsiTheme="minorEastAsia"/>
          <w:color w:val="auto"/>
          <w:sz w:val="32"/>
          <w:szCs w:val="32"/>
          <w:highlight w:val="none"/>
        </w:rPr>
        <w:t>人，退休1</w:t>
      </w:r>
      <w:r>
        <w:rPr>
          <w:rFonts w:hint="eastAsia" w:cs="宋体" w:hAnsiTheme="minorEastAsia"/>
          <w:color w:val="auto"/>
          <w:sz w:val="32"/>
          <w:szCs w:val="32"/>
          <w:highlight w:val="none"/>
        </w:rPr>
        <w:t>5</w:t>
      </w:r>
      <w:r>
        <w:rPr>
          <w:rFonts w:hint="eastAsia" w:ascii="仿宋_GB2312" w:eastAsia="仿宋_GB2312" w:cs="宋体" w:hAnsiTheme="minorEastAsia"/>
          <w:color w:val="auto"/>
          <w:sz w:val="32"/>
          <w:szCs w:val="32"/>
          <w:highlight w:val="none"/>
        </w:rPr>
        <w:t>人，事业在职</w:t>
      </w:r>
      <w:r>
        <w:rPr>
          <w:rFonts w:hint="eastAsia" w:cs="宋体" w:hAnsiTheme="minorEastAsia"/>
          <w:color w:val="auto"/>
          <w:sz w:val="32"/>
          <w:szCs w:val="32"/>
          <w:highlight w:val="none"/>
        </w:rPr>
        <w:t>27</w:t>
      </w:r>
      <w:r>
        <w:rPr>
          <w:rFonts w:hint="eastAsia" w:ascii="仿宋_GB2312" w:eastAsia="仿宋_GB2312" w:cs="宋体" w:hAnsiTheme="minorEastAsia"/>
          <w:color w:val="auto"/>
          <w:sz w:val="32"/>
          <w:szCs w:val="32"/>
          <w:highlight w:val="none"/>
        </w:rPr>
        <w:t>人，离休2人</w:t>
      </w:r>
      <w:r>
        <w:rPr>
          <w:rFonts w:hint="eastAsia" w:ascii="仿宋_GB2312" w:eastAsia="仿宋_GB2312" w:cs="宋体" w:hAnsiTheme="minorEastAsia"/>
          <w:color w:val="auto"/>
          <w:sz w:val="32"/>
          <w:szCs w:val="32"/>
          <w:highlight w:val="none"/>
          <w:lang w:eastAsia="zh-CN"/>
        </w:rPr>
        <w:t>，聘用临时工</w:t>
      </w:r>
      <w:r>
        <w:rPr>
          <w:rFonts w:hint="eastAsia" w:ascii="仿宋_GB2312" w:eastAsia="仿宋_GB2312" w:cs="宋体" w:hAnsiTheme="minorEastAsia"/>
          <w:color w:val="auto"/>
          <w:sz w:val="32"/>
          <w:szCs w:val="32"/>
          <w:highlight w:val="none"/>
          <w:lang w:val="en-US" w:eastAsia="zh-CN"/>
        </w:rPr>
        <w:t>2人，政府购买人员8人，聘用保安3人。</w:t>
      </w:r>
    </w:p>
    <w:p>
      <w:pPr>
        <w:ind w:firstLine="64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主要职能：</w:t>
      </w:r>
    </w:p>
    <w:p>
      <w:pPr>
        <w:numPr>
          <w:ilvl w:val="0"/>
          <w:numId w:val="1"/>
        </w:numPr>
        <w:ind w:firstLine="640"/>
        <w:rPr>
          <w:rFonts w:hint="eastAsia"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负责昌吉市人民政府会议的准备工作，并做好会议记录，整理会议纪要，协助市人民政府领导组织会议事项的实施；负责政府领导参加重大活动的协调和安排工作。</w:t>
      </w:r>
    </w:p>
    <w:p>
      <w:pPr>
        <w:numPr>
          <w:ilvl w:val="0"/>
          <w:numId w:val="0"/>
        </w:numPr>
        <w:ind w:firstLine="640" w:firstLineChars="20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2.协助昌吉市人民政府领导同志组织起草或审核以昌吉市人民政府和昌吉市人民政府办公室名义发布的公文。</w:t>
      </w:r>
    </w:p>
    <w:p>
      <w:pPr>
        <w:ind w:firstLine="64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3.研究昌吉市人民政府各部门和各乡镇人民政府、街道办事处请示市人民政府的事项，提出审核意见，报市人民政府审定。</w:t>
      </w:r>
    </w:p>
    <w:p>
      <w:pPr>
        <w:ind w:firstLine="64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4.督促检查昌吉市人民政府公文、会议决定事项及市人民政府领导同志有关指示的执行落实情况并跟踪调研，及时向市人民政府领导同志报告；负责市人民政府领导亲自进行督促检查的服务工作和组织协调工作。</w:t>
      </w:r>
    </w:p>
    <w:p>
      <w:pPr>
        <w:ind w:firstLine="64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5.根据市人民政府领导的指示，组织专题调查研究，及时反映情况，提出建议；搜集整理政务信息，为领导提供信息服务。</w:t>
      </w:r>
    </w:p>
    <w:p>
      <w:pPr>
        <w:ind w:firstLine="64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6.协助市人民政府领导同志组织处理需要由市人民政府处理的应急事件和重大事故，负责市人民政府应急管理日常工作。</w:t>
      </w:r>
    </w:p>
    <w:p>
      <w:pPr>
        <w:ind w:firstLine="64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7.负责国家、自治区、自治州及市人大代表建议、批评、意见和政协委员提案的办理和答复工作。</w:t>
      </w:r>
    </w:p>
    <w:p>
      <w:pPr>
        <w:ind w:firstLine="64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8.负责政府的信息调研工作和推进、指导、协调昌吉市人民政府系统电子政务工作。</w:t>
      </w:r>
    </w:p>
    <w:p>
      <w:pPr>
        <w:ind w:firstLine="64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9.负责指导、监督昌吉市政务公开及政府信息公开工作。</w:t>
      </w:r>
    </w:p>
    <w:p>
      <w:pPr>
        <w:ind w:firstLine="640"/>
        <w:rPr>
          <w:rFonts w:ascii="仿宋_GB2312" w:eastAsia="仿宋_GB2312" w:cs="宋体" w:hAnsiTheme="minorEastAsia"/>
          <w:color w:val="auto"/>
          <w:sz w:val="32"/>
          <w:szCs w:val="32"/>
          <w:highlight w:val="none"/>
        </w:rPr>
      </w:pPr>
      <w:r>
        <w:rPr>
          <w:rFonts w:hint="eastAsia" w:ascii="仿宋_GB2312" w:eastAsia="仿宋_GB2312" w:cs="宋体" w:hAnsiTheme="minorEastAsia"/>
          <w:color w:val="auto"/>
          <w:sz w:val="32"/>
          <w:szCs w:val="32"/>
          <w:highlight w:val="none"/>
        </w:rPr>
        <w:t>10.承担扶贫开发办公室日常工作。</w:t>
      </w:r>
    </w:p>
    <w:p>
      <w:pPr>
        <w:tabs>
          <w:tab w:val="left" w:pos="8100"/>
          <w:tab w:val="left" w:pos="8640"/>
        </w:tabs>
        <w:adjustRightInd w:val="0"/>
        <w:snapToGrid w:val="0"/>
        <w:spacing w:line="540" w:lineRule="exact"/>
        <w:ind w:firstLine="643" w:firstLineChars="200"/>
        <w:rPr>
          <w:rFonts w:ascii="楷体_GB2312" w:eastAsia="楷体_GB2312"/>
          <w:b/>
          <w:color w:val="auto"/>
          <w:sz w:val="32"/>
          <w:szCs w:val="32"/>
          <w:highlight w:val="none"/>
        </w:rPr>
      </w:pP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CN"/>
        </w:rPr>
        <w:t>1</w:t>
      </w:r>
      <w:r>
        <w:rPr>
          <w:rFonts w:hint="eastAsia" w:ascii="楷体_GB2312" w:eastAsia="楷体_GB2312"/>
          <w:b/>
          <w:color w:val="auto"/>
          <w:sz w:val="32"/>
          <w:szCs w:val="32"/>
          <w:highlight w:val="none"/>
        </w:rPr>
        <w:t>）政务服务职能有效发挥。</w:t>
      </w:r>
      <w:r>
        <w:rPr>
          <w:rFonts w:hint="eastAsia" w:ascii="仿宋_GB2312" w:eastAsia="仿宋_GB2312"/>
          <w:b/>
          <w:bCs/>
          <w:color w:val="auto"/>
          <w:sz w:val="32"/>
          <w:szCs w:val="32"/>
          <w:highlight w:val="none"/>
        </w:rPr>
        <w:t>一是增强调研针对性、实效性。</w:t>
      </w:r>
      <w:r>
        <w:rPr>
          <w:rFonts w:hint="eastAsia" w:ascii="仿宋_GB2312" w:eastAsia="仿宋_GB2312"/>
          <w:color w:val="auto"/>
          <w:sz w:val="32"/>
          <w:szCs w:val="32"/>
          <w:highlight w:val="none"/>
        </w:rPr>
        <w:t>围绕推动经济高质量发展、安全生产、常态化疫情防控等重点工作以及事关经济社会发展中的突出问题、社会普遍关注的热点问题和民生工程，扎实做好市领导一线调研活动安排，直面问题，解难题、办实事，打通服务“最后一公里”，市领导全年深入基层调研次数在1500次以上。</w:t>
      </w:r>
      <w:r>
        <w:rPr>
          <w:rFonts w:hint="eastAsia" w:ascii="仿宋_GB2312" w:eastAsia="仿宋_GB2312"/>
          <w:b/>
          <w:bCs/>
          <w:color w:val="auto"/>
          <w:sz w:val="32"/>
          <w:szCs w:val="32"/>
          <w:highlight w:val="none"/>
        </w:rPr>
        <w:t>二是严把文稿起草、修改、完善、审核关。</w:t>
      </w:r>
      <w:r>
        <w:rPr>
          <w:rFonts w:hint="eastAsia" w:ascii="仿宋_GB2312" w:eastAsia="仿宋_GB2312"/>
          <w:color w:val="auto"/>
          <w:sz w:val="32"/>
          <w:szCs w:val="32"/>
          <w:highlight w:val="none"/>
        </w:rPr>
        <w:t>准确把握国家、区、州新形势、新任务、新要求，时刻关注全市全局性、普遍性、倾向性问题，认真起草《政府工作报告》、大型会议讲话和政府文件等综合性文稿，力求精炼、管用，较好地体现领导意图，为协助市领导推动全市各项工作发挥了积极作用。</w:t>
      </w:r>
      <w:r>
        <w:rPr>
          <w:rFonts w:hint="eastAsia" w:ascii="仿宋_GB2312" w:eastAsia="仿宋_GB2312"/>
          <w:b/>
          <w:bCs/>
          <w:color w:val="auto"/>
          <w:sz w:val="32"/>
          <w:szCs w:val="32"/>
          <w:highlight w:val="none"/>
        </w:rPr>
        <w:t>三是政务公开工作整体水平不断提升。</w:t>
      </w:r>
      <w:r>
        <w:rPr>
          <w:rFonts w:hint="eastAsia" w:ascii="仿宋_GB2312" w:hAnsi="仿宋" w:eastAsia="仿宋_GB2312" w:cs="仿宋"/>
          <w:color w:val="auto"/>
          <w:sz w:val="32"/>
          <w:szCs w:val="32"/>
          <w:highlight w:val="none"/>
        </w:rPr>
        <w:t>主动公开信息3000余条，积极推进自治区政务服务一体化平台建设,完成37个电子政务外网应用单位的网络建设工作。</w:t>
      </w:r>
      <w:r>
        <w:rPr>
          <w:rFonts w:hint="eastAsia" w:ascii="仿宋_GB2312" w:eastAsia="仿宋_GB2312"/>
          <w:b/>
          <w:bCs/>
          <w:color w:val="auto"/>
          <w:sz w:val="32"/>
          <w:szCs w:val="32"/>
          <w:highlight w:val="none"/>
        </w:rPr>
        <w:t>四是持续抓好基层减负工作。</w:t>
      </w:r>
      <w:r>
        <w:rPr>
          <w:rFonts w:hint="eastAsia" w:eastAsia="仿宋_GB2312"/>
          <w:color w:val="auto"/>
          <w:sz w:val="32"/>
          <w:szCs w:val="32"/>
          <w:highlight w:val="none"/>
        </w:rPr>
        <w:t>按照基层减负目标任务，制定全年计划，实行政府系统发文、会议全口径事前核准报备制度，严格对政府系统会议、发文进行审核把关。截至目前，累计审核下发文件725份，印发重点精简类文件16份，不纳入重点精简类文件709份，共核准召开会议42场次，召开重点精简类会议5场次。</w:t>
      </w:r>
      <w:r>
        <w:rPr>
          <w:rFonts w:hint="eastAsia" w:eastAsia="仿宋_GB2312"/>
          <w:b/>
          <w:bCs/>
          <w:color w:val="auto"/>
          <w:sz w:val="32"/>
          <w:szCs w:val="32"/>
          <w:highlight w:val="none"/>
        </w:rPr>
        <w:t>五是</w:t>
      </w:r>
      <w:r>
        <w:rPr>
          <w:rFonts w:hint="eastAsia" w:ascii="仿宋_GB2312" w:eastAsia="仿宋_GB2312"/>
          <w:b/>
          <w:bCs/>
          <w:color w:val="auto"/>
          <w:sz w:val="32"/>
          <w:szCs w:val="32"/>
          <w:highlight w:val="none"/>
        </w:rPr>
        <w:t>政务信息有亮度。</w:t>
      </w:r>
      <w:r>
        <w:rPr>
          <w:rFonts w:hint="eastAsia" w:ascii="仿宋_GB2312" w:eastAsia="仿宋_GB2312"/>
          <w:color w:val="auto"/>
          <w:sz w:val="32"/>
          <w:szCs w:val="32"/>
          <w:highlight w:val="none"/>
        </w:rPr>
        <w:t>采取定题、定向、定期等形式下发约稿通知，对信息滞后单位的信息员开展跟班轮训，实行“面对面”帮带。向各部门（单位）约稿290余篇，下发通报3期，编发《政务信息内刊》211期630余条，《政务信息普刊》26期160余条，</w:t>
      </w:r>
      <w:r>
        <w:rPr>
          <w:rFonts w:hint="eastAsia" w:ascii="仿宋_GB2312" w:hAnsi="仿宋_GB2312" w:eastAsia="仿宋_GB2312" w:cs="仿宋_GB2312"/>
          <w:color w:val="auto"/>
          <w:sz w:val="32"/>
          <w:szCs w:val="32"/>
          <w:highlight w:val="none"/>
        </w:rPr>
        <w:t>培训基层信息员10人次</w:t>
      </w:r>
      <w:r>
        <w:rPr>
          <w:rFonts w:hint="eastAsia" w:ascii="仿宋_GB2312" w:eastAsia="仿宋_GB2312"/>
          <w:color w:val="auto"/>
          <w:sz w:val="32"/>
          <w:szCs w:val="32"/>
          <w:highlight w:val="none"/>
        </w:rPr>
        <w:t>。</w:t>
      </w:r>
    </w:p>
    <w:p>
      <w:pPr>
        <w:adjustRightInd w:val="0"/>
        <w:snapToGrid w:val="0"/>
        <w:spacing w:line="540" w:lineRule="exact"/>
        <w:ind w:firstLine="643" w:firstLineChars="200"/>
        <w:rPr>
          <w:rFonts w:ascii="仿宋_GB2312" w:eastAsia="仿宋_GB2312"/>
          <w:color w:val="auto"/>
          <w:sz w:val="32"/>
          <w:szCs w:val="32"/>
          <w:highlight w:val="none"/>
        </w:rPr>
      </w:pP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CN"/>
        </w:rPr>
        <w:t>2</w:t>
      </w:r>
      <w:r>
        <w:rPr>
          <w:rFonts w:hint="eastAsia" w:ascii="楷体_GB2312" w:eastAsia="楷体_GB2312"/>
          <w:b/>
          <w:color w:val="auto"/>
          <w:sz w:val="32"/>
          <w:szCs w:val="32"/>
          <w:highlight w:val="none"/>
        </w:rPr>
        <w:t>）督查外事工作严谨规范。</w:t>
      </w:r>
      <w:r>
        <w:rPr>
          <w:rFonts w:hint="eastAsia" w:ascii="仿宋_GB2312" w:eastAsia="仿宋_GB2312"/>
          <w:color w:val="auto"/>
          <w:sz w:val="32"/>
          <w:szCs w:val="32"/>
          <w:highlight w:val="none"/>
        </w:rPr>
        <w:t>充分发挥政务督查职能，加强督办落实力度，促进各项重点工作全面落实，开展中央环保督察问题整改“回头看”、重点项目、乡村振兴、疫情防控等专项督查4次。强化领导批示件督办工作流程，及时登记、限时办理、定时催结，完成督办市领导批示件355件，督办州领导批示件8件，上报督查报告22期。切实提高州、市人大建议、政协提案办理质量，按照部门职责认真分解任务，召开专题交办会议，及时协调督办，200余件人大建议、政协提案如期推进。</w:t>
      </w:r>
    </w:p>
    <w:p>
      <w:pPr>
        <w:adjustRightInd w:val="0"/>
        <w:snapToGrid w:val="0"/>
        <w:spacing w:line="540" w:lineRule="exact"/>
        <w:ind w:firstLine="643" w:firstLineChars="200"/>
        <w:textAlignment w:val="baseline"/>
        <w:rPr>
          <w:rFonts w:ascii="楷体_GB2312" w:eastAsia="楷体_GB2312"/>
          <w:b/>
          <w:color w:val="auto"/>
          <w:sz w:val="32"/>
          <w:szCs w:val="32"/>
          <w:highlight w:val="none"/>
        </w:rPr>
      </w:pP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CN"/>
        </w:rPr>
        <w:t>3</w:t>
      </w:r>
      <w:r>
        <w:rPr>
          <w:rFonts w:hint="eastAsia" w:ascii="楷体_GB2312" w:eastAsia="楷体_GB2312"/>
          <w:b/>
          <w:color w:val="auto"/>
          <w:sz w:val="32"/>
          <w:szCs w:val="32"/>
          <w:highlight w:val="none"/>
        </w:rPr>
        <w:t>）政务值班值守工作严格落实。</w:t>
      </w:r>
      <w:r>
        <w:rPr>
          <w:rFonts w:hint="eastAsia" w:ascii="仿宋_GB2312" w:hAnsi="仿宋_GB2312" w:eastAsia="仿宋_GB2312" w:cs="仿宋_GB2312"/>
          <w:b/>
          <w:bCs/>
          <w:color w:val="auto"/>
          <w:sz w:val="32"/>
          <w:szCs w:val="32"/>
          <w:highlight w:val="none"/>
        </w:rPr>
        <w:t>一是</w:t>
      </w:r>
      <w:r>
        <w:rPr>
          <w:rFonts w:hint="eastAsia" w:ascii="仿宋_GB2312" w:hAnsi="仿宋_GB2312" w:eastAsia="仿宋_GB2312" w:cs="仿宋_GB2312"/>
          <w:color w:val="auto"/>
          <w:sz w:val="32"/>
          <w:szCs w:val="32"/>
          <w:highlight w:val="none"/>
        </w:rPr>
        <w:t>制定《昌吉市政府系统政务值班工作规范》，落实责任主体和督查制度，指导全市16个乡镇街道均设置24小时政务值班值守电话、建立队伍，政务值班值守工作规范有序进行。</w:t>
      </w:r>
      <w:r>
        <w:rPr>
          <w:rFonts w:hint="eastAsia" w:ascii="仿宋_GB2312" w:hAnsi="仿宋_GB2312" w:eastAsia="仿宋_GB2312" w:cs="仿宋_GB2312"/>
          <w:b/>
          <w:bCs/>
          <w:color w:val="auto"/>
          <w:sz w:val="32"/>
          <w:szCs w:val="32"/>
          <w:highlight w:val="none"/>
        </w:rPr>
        <w:t>二是</w:t>
      </w:r>
      <w:r>
        <w:rPr>
          <w:rFonts w:hint="eastAsia" w:ascii="仿宋_GB2312" w:hAnsi="仿宋_GB2312" w:eastAsia="仿宋_GB2312" w:cs="仿宋_GB2312"/>
          <w:color w:val="auto"/>
          <w:sz w:val="32"/>
          <w:szCs w:val="32"/>
          <w:highlight w:val="none"/>
        </w:rPr>
        <w:t>建立市本级政务值班值守工作制度，重大节假日期间采取“政府市领导—办公室领导—值班干部”三级值班模式，保障政务值班及重大紧急信息报送工作无缝对接、高效运行。</w:t>
      </w:r>
      <w:r>
        <w:rPr>
          <w:rFonts w:hint="eastAsia" w:ascii="仿宋_GB2312" w:hAnsi="仿宋_GB2312" w:eastAsia="仿宋_GB2312" w:cs="仿宋_GB2312"/>
          <w:b/>
          <w:bCs/>
          <w:color w:val="auto"/>
          <w:sz w:val="32"/>
          <w:szCs w:val="32"/>
          <w:highlight w:val="none"/>
        </w:rPr>
        <w:t>三是</w:t>
      </w:r>
      <w:r>
        <w:rPr>
          <w:rFonts w:hint="eastAsia" w:ascii="仿宋_GB2312" w:hAnsi="仿宋_GB2312" w:eastAsia="仿宋_GB2312" w:cs="仿宋_GB2312"/>
          <w:color w:val="auto"/>
          <w:sz w:val="32"/>
          <w:szCs w:val="32"/>
          <w:highlight w:val="none"/>
        </w:rPr>
        <w:t>督查指导促提升。每日对各乡镇、街道进行督查，已全覆盖式督查300余次，节假日抽查100余次，政务值班值守人员的业务能力和工作质量实现双提升。</w:t>
      </w:r>
    </w:p>
    <w:p>
      <w:pPr>
        <w:adjustRightInd w:val="0"/>
        <w:snapToGrid w:val="0"/>
        <w:spacing w:line="540" w:lineRule="exact"/>
        <w:ind w:firstLine="643" w:firstLineChars="200"/>
        <w:textAlignment w:val="baseline"/>
        <w:rPr>
          <w:rFonts w:ascii="仿宋_GB2312" w:hAnsi="仿宋_GB2312" w:eastAsia="仿宋_GB2312" w:cs="仿宋_GB2312"/>
          <w:color w:val="auto"/>
          <w:sz w:val="32"/>
          <w:szCs w:val="32"/>
          <w:highlight w:val="none"/>
        </w:rPr>
      </w:pP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CN"/>
        </w:rPr>
        <w:t>4</w:t>
      </w:r>
      <w:r>
        <w:rPr>
          <w:rFonts w:hint="eastAsia" w:ascii="楷体_GB2312" w:eastAsia="楷体_GB2312"/>
          <w:b/>
          <w:color w:val="auto"/>
          <w:sz w:val="32"/>
          <w:szCs w:val="32"/>
          <w:highlight w:val="none"/>
        </w:rPr>
        <w:t>）信访化解工作取得明显成效。</w:t>
      </w:r>
      <w:r>
        <w:rPr>
          <w:rFonts w:hint="eastAsia" w:ascii="仿宋_GB2312" w:hAnsi="仿宋_GB2312" w:eastAsia="仿宋_GB2312" w:cs="仿宋_GB2312"/>
          <w:b/>
          <w:color w:val="auto"/>
          <w:sz w:val="32"/>
          <w:szCs w:val="32"/>
          <w:highlight w:val="none"/>
        </w:rPr>
        <w:t>一是</w:t>
      </w:r>
      <w:r>
        <w:rPr>
          <w:rFonts w:hint="eastAsia" w:ascii="仿宋_GB2312" w:hAnsi="仿宋_GB2312" w:eastAsia="仿宋_GB2312" w:cs="仿宋_GB2312"/>
          <w:color w:val="auto"/>
          <w:sz w:val="32"/>
          <w:szCs w:val="32"/>
          <w:highlight w:val="none"/>
        </w:rPr>
        <w:t>信访攻坚持续发力，累计召开信访联席会、推进会、协调会65场次，信访及时受理率、按期办结率、地方级群众参评率和满意率均为100%。</w:t>
      </w:r>
      <w:r>
        <w:rPr>
          <w:rFonts w:hint="eastAsia" w:ascii="仿宋_GB2312" w:hAnsi="仿宋_GB2312" w:eastAsia="仿宋_GB2312" w:cs="仿宋_GB2312"/>
          <w:b/>
          <w:color w:val="auto"/>
          <w:sz w:val="32"/>
          <w:szCs w:val="32"/>
          <w:highlight w:val="none"/>
        </w:rPr>
        <w:t>二是</w:t>
      </w:r>
      <w:r>
        <w:rPr>
          <w:rFonts w:hint="eastAsia" w:ascii="仿宋_GB2312" w:hAnsi="仿宋_GB2312" w:eastAsia="仿宋_GB2312" w:cs="仿宋_GB2312"/>
          <w:color w:val="auto"/>
          <w:sz w:val="32"/>
          <w:szCs w:val="32"/>
          <w:highlight w:val="none"/>
        </w:rPr>
        <w:t>市领导接访持续开展。制定下发《昌吉市2022年度信访保障工作实施方案》等，各市领导定期参加“</w:t>
      </w:r>
      <w:r>
        <w:rPr>
          <w:rFonts w:hint="eastAsia" w:ascii="仿宋_GB2312" w:hAnsi="仿宋_GB2312" w:eastAsia="仿宋_GB2312" w:cs="仿宋_GB2312"/>
          <w:color w:val="auto"/>
          <w:sz w:val="32"/>
          <w:szCs w:val="32"/>
          <w:highlight w:val="none"/>
          <w:lang w:val="zh-CN"/>
        </w:rPr>
        <w:t>市委书记大接访”</w:t>
      </w:r>
      <w:r>
        <w:rPr>
          <w:rFonts w:hint="eastAsia" w:ascii="仿宋_GB2312" w:hAnsi="仿宋_GB2312" w:eastAsia="仿宋_GB2312" w:cs="仿宋_GB2312"/>
          <w:color w:val="auto"/>
          <w:sz w:val="32"/>
          <w:szCs w:val="32"/>
          <w:highlight w:val="none"/>
        </w:rPr>
        <w:t>活动</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rPr>
        <w:t>一批复杂疑难信访案件有效化解。</w:t>
      </w:r>
      <w:r>
        <w:rPr>
          <w:rFonts w:hint="eastAsia" w:ascii="仿宋_GB2312" w:hAnsi="仿宋_GB2312" w:eastAsia="仿宋_GB2312" w:cs="仿宋_GB2312"/>
          <w:b/>
          <w:bCs/>
          <w:color w:val="auto"/>
          <w:sz w:val="32"/>
          <w:szCs w:val="32"/>
          <w:highlight w:val="none"/>
        </w:rPr>
        <w:t>三是</w:t>
      </w:r>
      <w:r>
        <w:rPr>
          <w:rFonts w:hint="eastAsia" w:ascii="仿宋_GB2312" w:hAnsi="仿宋_GB2312" w:eastAsia="仿宋_GB2312" w:cs="仿宋_GB2312"/>
          <w:color w:val="auto"/>
          <w:sz w:val="32"/>
          <w:szCs w:val="32"/>
          <w:highlight w:val="none"/>
          <w:lang w:val="zh-CN"/>
        </w:rPr>
        <w:t>信访工作协商联动机制持续强化，</w:t>
      </w:r>
      <w:r>
        <w:rPr>
          <w:rFonts w:hint="eastAsia" w:ascii="仿宋_GB2312" w:hAnsi="仿宋_GB2312" w:eastAsia="仿宋_GB2312" w:cs="仿宋_GB2312"/>
          <w:snapToGrid w:val="0"/>
          <w:color w:val="auto"/>
          <w:kern w:val="0"/>
          <w:sz w:val="32"/>
          <w:szCs w:val="32"/>
          <w:highlight w:val="none"/>
        </w:rPr>
        <w:t>选派业务骨干赴北京、乌鲁木齐等地进行值守，实现了</w:t>
      </w:r>
      <w:r>
        <w:rPr>
          <w:rFonts w:hint="eastAsia" w:ascii="仿宋_GB2312" w:hAnsi="仿宋_GB2312" w:eastAsia="仿宋_GB2312" w:cs="仿宋_GB2312"/>
          <w:color w:val="auto"/>
          <w:sz w:val="32"/>
          <w:szCs w:val="32"/>
          <w:highlight w:val="none"/>
        </w:rPr>
        <w:t>重大活动和敏感节点进京访“零发生”。</w:t>
      </w:r>
      <w:r>
        <w:rPr>
          <w:rFonts w:hint="eastAsia" w:ascii="仿宋_GB2312" w:hAnsi="仿宋_GB2312" w:eastAsia="仿宋_GB2312" w:cs="仿宋_GB2312"/>
          <w:b/>
          <w:bCs/>
          <w:color w:val="auto"/>
          <w:sz w:val="32"/>
          <w:szCs w:val="32"/>
          <w:highlight w:val="none"/>
        </w:rPr>
        <w:t>四是</w:t>
      </w:r>
      <w:r>
        <w:rPr>
          <w:rFonts w:hint="eastAsia" w:ascii="仿宋_GB2312" w:hAnsi="仿宋_GB2312" w:eastAsia="仿宋_GB2312" w:cs="仿宋_GB2312"/>
          <w:color w:val="auto"/>
          <w:sz w:val="32"/>
          <w:szCs w:val="32"/>
          <w:highlight w:val="none"/>
        </w:rPr>
        <w:t>信访窗口建设质量持续提升，加大“两微一端”等宣传力度，</w:t>
      </w:r>
      <w:r>
        <w:rPr>
          <w:rFonts w:hint="eastAsia" w:ascii="仿宋_GB2312" w:hAnsi="仿宋_GB2312" w:eastAsia="仿宋_GB2312" w:cs="仿宋_GB2312"/>
          <w:color w:val="auto"/>
          <w:sz w:val="32"/>
          <w:szCs w:val="32"/>
          <w:highlight w:val="none"/>
        </w:rPr>
        <w:t>州长、市长信箱群众来信办结率达</w:t>
      </w:r>
      <w:r>
        <w:rPr>
          <w:rFonts w:hint="eastAsia" w:ascii="仿宋_GB2312" w:hAnsi="仿宋_GB2312" w:eastAsia="仿宋_GB2312" w:cs="仿宋_GB2312"/>
          <w:color w:val="auto"/>
          <w:sz w:val="32"/>
          <w:szCs w:val="32"/>
          <w:highlight w:val="none"/>
        </w:rPr>
        <w:t>97.23%。</w:t>
      </w:r>
    </w:p>
    <w:p>
      <w:pPr>
        <w:tabs>
          <w:tab w:val="left" w:pos="180"/>
        </w:tabs>
        <w:adjustRightInd w:val="0"/>
        <w:snapToGrid w:val="0"/>
        <w:spacing w:line="540" w:lineRule="exact"/>
        <w:ind w:firstLine="643" w:firstLineChars="200"/>
        <w:rPr>
          <w:rFonts w:ascii="仿宋_GB2312" w:hAnsi="宋体" w:eastAsia="仿宋_GB2312"/>
          <w:color w:val="auto"/>
          <w:sz w:val="32"/>
          <w:szCs w:val="32"/>
          <w:highlight w:val="none"/>
        </w:rPr>
      </w:pP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CN"/>
        </w:rPr>
        <w:t>5</w:t>
      </w:r>
      <w:r>
        <w:rPr>
          <w:rFonts w:hint="eastAsia" w:ascii="楷体_GB2312" w:eastAsia="楷体_GB2312"/>
          <w:b/>
          <w:color w:val="auto"/>
          <w:sz w:val="32"/>
          <w:szCs w:val="32"/>
          <w:highlight w:val="none"/>
        </w:rPr>
        <w:t>）机关服务管理优质高效。</w:t>
      </w:r>
      <w:r>
        <w:rPr>
          <w:rFonts w:hint="eastAsia" w:ascii="仿宋_GB2312" w:hAnsi="仿宋_GB2312" w:eastAsia="仿宋_GB2312" w:cs="仿宋_GB2312"/>
          <w:b/>
          <w:bCs/>
          <w:color w:val="auto"/>
          <w:sz w:val="32"/>
          <w:szCs w:val="32"/>
          <w:highlight w:val="none"/>
        </w:rPr>
        <w:t>一是</w:t>
      </w:r>
      <w:r>
        <w:rPr>
          <w:rFonts w:hint="eastAsia" w:ascii="仿宋_GB2312" w:hAnsi="仿宋_GB2312" w:eastAsia="仿宋_GB2312" w:cs="仿宋_GB2312"/>
          <w:color w:val="auto"/>
          <w:sz w:val="32"/>
          <w:szCs w:val="32"/>
          <w:highlight w:val="none"/>
        </w:rPr>
        <w:t>牢固树立过紧日子思想，严格控制“三公”经费，严格执行财务管理和差旅费报销制度。</w:t>
      </w:r>
      <w:r>
        <w:rPr>
          <w:rFonts w:hint="eastAsia" w:ascii="仿宋_GB2312" w:hAnsi="仿宋_GB2312" w:eastAsia="仿宋_GB2312" w:cs="仿宋_GB2312"/>
          <w:b/>
          <w:bCs/>
          <w:color w:val="auto"/>
          <w:sz w:val="32"/>
          <w:szCs w:val="32"/>
          <w:highlight w:val="none"/>
        </w:rPr>
        <w:t>二是</w:t>
      </w:r>
      <w:r>
        <w:rPr>
          <w:rFonts w:hint="eastAsia" w:ascii="仿宋_GB2312" w:hAnsi="仿宋_GB2312" w:eastAsia="仿宋_GB2312" w:cs="仿宋_GB2312"/>
          <w:color w:val="auto"/>
          <w:sz w:val="32"/>
          <w:szCs w:val="32"/>
          <w:highlight w:val="none"/>
        </w:rPr>
        <w:t>对全市办公用房和公务用车进行专项检查，优化整合办公用房，全市各类办公用房全部符合规定标准。</w:t>
      </w:r>
      <w:r>
        <w:rPr>
          <w:rFonts w:hint="eastAsia" w:ascii="仿宋_GB2312" w:hAnsi="仿宋_GB2312" w:eastAsia="仿宋_GB2312" w:cs="仿宋_GB2312"/>
          <w:b/>
          <w:bCs/>
          <w:color w:val="auto"/>
          <w:sz w:val="32"/>
          <w:szCs w:val="32"/>
          <w:highlight w:val="none"/>
        </w:rPr>
        <w:t>三是</w:t>
      </w:r>
      <w:r>
        <w:rPr>
          <w:rFonts w:hint="eastAsia" w:ascii="仿宋_GB2312" w:hAnsi="仿宋_GB2312" w:eastAsia="仿宋_GB2312" w:cs="仿宋_GB2312"/>
          <w:color w:val="auto"/>
          <w:sz w:val="32"/>
          <w:szCs w:val="32"/>
          <w:highlight w:val="none"/>
        </w:rPr>
        <w:t>实地检查督导26家公共机构开展垃圾分类，2家国家级节能示范单位完成验收，指导12家单位成功创建节约型机关。</w:t>
      </w:r>
    </w:p>
    <w:p>
      <w:pPr>
        <w:adjustRightInd w:val="0"/>
        <w:snapToGrid w:val="0"/>
        <w:spacing w:line="540" w:lineRule="exact"/>
        <w:ind w:firstLine="643" w:firstLineChars="200"/>
        <w:textAlignment w:val="baseline"/>
        <w:rPr>
          <w:rFonts w:hint="eastAsia" w:ascii="仿宋_GB2312" w:hAnsi="仿宋_GB2312" w:eastAsia="仿宋_GB2312" w:cs="仿宋_GB2312"/>
          <w:color w:val="auto"/>
          <w:sz w:val="32"/>
          <w:szCs w:val="32"/>
          <w:highlight w:val="none"/>
        </w:rPr>
      </w:pPr>
      <w:r>
        <w:rPr>
          <w:rFonts w:hint="eastAsia" w:ascii="楷体_GB2312" w:eastAsia="楷体_GB2312"/>
          <w:b/>
          <w:color w:val="auto"/>
          <w:sz w:val="32"/>
          <w:szCs w:val="32"/>
          <w:highlight w:val="none"/>
        </w:rPr>
        <w:t>（</w:t>
      </w:r>
      <w:r>
        <w:rPr>
          <w:rFonts w:hint="eastAsia" w:ascii="楷体_GB2312" w:eastAsia="楷体_GB2312"/>
          <w:b/>
          <w:color w:val="auto"/>
          <w:sz w:val="32"/>
          <w:szCs w:val="32"/>
          <w:highlight w:val="none"/>
          <w:lang w:val="en-US" w:eastAsia="zh-CN"/>
        </w:rPr>
        <w:t>6</w:t>
      </w:r>
      <w:r>
        <w:rPr>
          <w:rFonts w:hint="eastAsia" w:ascii="楷体_GB2312" w:eastAsia="楷体_GB2312"/>
          <w:b/>
          <w:color w:val="auto"/>
          <w:sz w:val="32"/>
          <w:szCs w:val="32"/>
          <w:highlight w:val="none"/>
        </w:rPr>
        <w:t>）“访惠聚”工作有序开展。</w:t>
      </w:r>
      <w:r>
        <w:rPr>
          <w:rStyle w:val="24"/>
          <w:rFonts w:hint="eastAsia" w:ascii="仿宋_GB2312" w:hAnsi="仿宋_GB2312" w:eastAsia="仿宋_GB2312" w:cs="仿宋_GB2312"/>
          <w:b/>
          <w:bCs/>
          <w:color w:val="auto"/>
          <w:sz w:val="32"/>
          <w:szCs w:val="32"/>
          <w:highlight w:val="none"/>
        </w:rPr>
        <w:t>一是慎终如始抓好疫情防控。</w:t>
      </w:r>
      <w:r>
        <w:rPr>
          <w:rFonts w:hint="eastAsia" w:ascii="仿宋_GB2312" w:hAnsi="仿宋_GB2312" w:eastAsia="仿宋_GB2312" w:cs="仿宋_GB2312"/>
          <w:color w:val="auto"/>
          <w:sz w:val="32"/>
          <w:szCs w:val="32"/>
          <w:highlight w:val="none"/>
        </w:rPr>
        <w:t>驻村、社区的两个“访惠聚”工作队利用大喇叭广播、LED电子屏、微信等多种方式，累计悬挂宣传横幅10余条，发放宣传单1000余份，大力宣传新冠肺炎疫情防控知识。向村（居）民赠送防疫物资应急包110个，赠送口罩2000余只，督促排查企业疫情防控工作60次，助力常态化防疫措施全面落实落细。</w:t>
      </w:r>
      <w:r>
        <w:rPr>
          <w:rStyle w:val="24"/>
          <w:rFonts w:hint="eastAsia" w:ascii="仿宋_GB2312" w:hAnsi="仿宋_GB2312" w:eastAsia="仿宋_GB2312" w:cs="仿宋_GB2312"/>
          <w:b/>
          <w:bCs/>
          <w:color w:val="auto"/>
          <w:sz w:val="32"/>
          <w:szCs w:val="32"/>
          <w:highlight w:val="none"/>
        </w:rPr>
        <w:t>二是紧盯维稳不放松</w:t>
      </w:r>
      <w:r>
        <w:rPr>
          <w:rFonts w:hint="eastAsia" w:ascii="仿宋_GB2312" w:hAnsi="仿宋_GB2312" w:eastAsia="仿宋_GB2312" w:cs="仿宋_GB2312"/>
          <w:b/>
          <w:color w:val="auto"/>
          <w:sz w:val="32"/>
          <w:szCs w:val="32"/>
          <w:highlight w:val="none"/>
        </w:rPr>
        <w:t>。</w:t>
      </w:r>
      <w:r>
        <w:rPr>
          <w:rFonts w:hint="eastAsia" w:ascii="仿宋_GB2312" w:hAnsi="仿宋_GB2312" w:eastAsia="仿宋_GB2312" w:cs="仿宋_GB2312"/>
          <w:color w:val="auto"/>
          <w:sz w:val="32"/>
          <w:szCs w:val="32"/>
          <w:highlight w:val="none"/>
        </w:rPr>
        <w:t>全面落实维护社会稳定、办理群众诉求等日常工作，参加应急演练、安全生产检查、流动人口摸排检查、车巡步巡等480余次，全员宣传教育75余次。累计开展入户走访4420人次，处理解决邻里矛盾、物业服务不到位等各类纠纷30余件，排查消防设施设置、燃气使用、信访矛盾等安全隐患56件，办好人好事20余件。</w:t>
      </w:r>
      <w:r>
        <w:rPr>
          <w:rStyle w:val="24"/>
          <w:rFonts w:hint="eastAsia" w:ascii="仿宋_GB2312" w:hAnsi="仿宋_GB2312" w:eastAsia="仿宋_GB2312" w:cs="仿宋_GB2312"/>
          <w:b/>
          <w:bCs/>
          <w:color w:val="auto"/>
          <w:sz w:val="32"/>
          <w:szCs w:val="32"/>
          <w:highlight w:val="none"/>
        </w:rPr>
        <w:t>三是多点发力助力乡村振兴。</w:t>
      </w:r>
      <w:r>
        <w:rPr>
          <w:rFonts w:hint="eastAsia" w:ascii="仿宋_GB2312" w:hAnsi="仿宋_GB2312" w:eastAsia="仿宋_GB2312" w:cs="仿宋_GB2312"/>
          <w:color w:val="auto"/>
          <w:sz w:val="32"/>
          <w:szCs w:val="32"/>
          <w:highlight w:val="none"/>
        </w:rPr>
        <w:t>针对派驻村实际情况，发展壮大特色产业。充分发挥自然资源、地理位置、文化旅游、待发掘潜能等优势，通过实地调研，理论分析，多方研判，将特色产业与时代、科技和市场接轨，结合派驻村实际，大力发展温室大棚种植、特色乡村旅游等产业，不断增强群众发展的信心和决心。</w:t>
      </w:r>
    </w:p>
    <w:p>
      <w:pPr>
        <w:pStyle w:val="4"/>
        <w:tabs>
          <w:tab w:val="left" w:pos="6195"/>
        </w:tabs>
        <w:ind w:firstLine="643"/>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adjustRightInd w:val="0"/>
        <w:snapToGrid w:val="0"/>
        <w:ind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决策机制根据行政事业单位内部控制体系建设相关要求，逐步完善《昌吉市人民政府办公室“三重一大”事项会议制度》，《昌吉市人民政府办公室贯彻落实“三重一大”决策制度实施办法》，《昌吉市人民政府办公室党政正职“四个不直接分管”和末位表态制度》，重新修订了《昌吉市人民政府办公室财务管理制度》；《昌吉市人民政府办公室固定资产核算管理办法》。</w:t>
      </w:r>
    </w:p>
    <w:p>
      <w:pPr>
        <w:ind w:firstLine="640"/>
        <w:rPr>
          <w:rFonts w:ascii="仿宋_GB2312" w:eastAsia="仿宋_GB2312"/>
          <w:b/>
          <w:bCs/>
          <w:color w:val="auto"/>
          <w:sz w:val="32"/>
          <w:szCs w:val="32"/>
          <w:highlight w:val="none"/>
        </w:rPr>
      </w:pPr>
      <w:r>
        <w:rPr>
          <w:rFonts w:hint="eastAsia" w:eastAsia="仿宋_GB2312"/>
          <w:color w:val="auto"/>
          <w:sz w:val="32"/>
          <w:szCs w:val="32"/>
          <w:highlight w:val="none"/>
        </w:rPr>
        <w:t>昌吉市人民政府办公室坚持民主集中制。凡属职责范围内“三重一大”事项，坚持民主集中制，按照集体领导、民主集中、个别酝酿、会议决定的原则议事决策。遵循议事决策规则。要严格按照制定的工作流程和决策程序组织实施，做到规范化、制度化、程序化，保证决策过程的科学民主，决策结果的公正合理。凡属“三重一大”事项，除遇重大突发事件和紧急情况外，必须以会议形式集体讨论决定，不得以文件传阅、口头通知或个别征求意见等方式代替集体决策。会议决策“三重一大”事项的形式是党支部会议。不得以其他会议替代党支部会议决策“三重一大”事项。</w:t>
      </w:r>
    </w:p>
    <w:p>
      <w:pPr>
        <w:pStyle w:val="4"/>
        <w:numPr>
          <w:ilvl w:val="0"/>
          <w:numId w:val="2"/>
        </w:numPr>
        <w:ind w:firstLine="643"/>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ind w:firstLine="640"/>
        <w:rPr>
          <w:rFonts w:eastAsia="仿宋_GB2312"/>
          <w:color w:val="auto"/>
          <w:sz w:val="32"/>
          <w:szCs w:val="32"/>
          <w:highlight w:val="none"/>
        </w:rPr>
      </w:pPr>
      <w:r>
        <w:rPr>
          <w:rFonts w:hint="eastAsia" w:eastAsia="仿宋_GB2312"/>
          <w:color w:val="auto"/>
          <w:sz w:val="32"/>
          <w:szCs w:val="32"/>
          <w:highlight w:val="none"/>
        </w:rPr>
        <w:t>分配依据及结果。基本支出根据单位人员编制、实有人数、资产情况等要素进行预算编制；项目支出根据单位工作职能，年度计划等要素进行预算编制。预算批复后，严格按照财政部门批复的预算和绩效目标执行。</w:t>
      </w:r>
    </w:p>
    <w:p>
      <w:pPr>
        <w:ind w:firstLine="640"/>
        <w:rPr>
          <w:rFonts w:eastAsia="仿宋_GB2312"/>
          <w:color w:val="auto"/>
          <w:sz w:val="32"/>
          <w:szCs w:val="32"/>
          <w:highlight w:val="none"/>
        </w:rPr>
      </w:pPr>
      <w:r>
        <w:rPr>
          <w:rFonts w:hint="eastAsia" w:eastAsia="仿宋_GB2312"/>
          <w:color w:val="auto"/>
          <w:sz w:val="32"/>
          <w:szCs w:val="32"/>
          <w:highlight w:val="none"/>
        </w:rPr>
        <w:t>2.重点支出保障情况。本年度本单位预算安排的重点项目</w:t>
      </w:r>
      <w:r>
        <w:rPr>
          <w:rFonts w:hint="eastAsia" w:eastAsia="仿宋_GB2312"/>
          <w:color w:val="auto"/>
          <w:sz w:val="32"/>
          <w:szCs w:val="32"/>
          <w:highlight w:val="none"/>
          <w:lang w:val="en-US" w:eastAsia="zh-CN"/>
        </w:rPr>
        <w:t>13</w:t>
      </w:r>
      <w:r>
        <w:rPr>
          <w:rFonts w:hint="eastAsia" w:eastAsia="仿宋_GB2312"/>
          <w:color w:val="auto"/>
          <w:sz w:val="32"/>
          <w:szCs w:val="32"/>
          <w:highlight w:val="none"/>
        </w:rPr>
        <w:t>个，预算安排的重点项目支出金额为</w:t>
      </w:r>
      <w:r>
        <w:rPr>
          <w:rFonts w:hint="eastAsia" w:eastAsia="仿宋_GB2312"/>
          <w:color w:val="auto"/>
          <w:sz w:val="32"/>
          <w:szCs w:val="32"/>
          <w:highlight w:val="none"/>
          <w:lang w:val="en-US" w:eastAsia="zh-CN"/>
        </w:rPr>
        <w:t>321.36</w:t>
      </w:r>
      <w:r>
        <w:rPr>
          <w:rFonts w:hint="eastAsia" w:eastAsia="仿宋_GB2312"/>
          <w:color w:val="auto"/>
          <w:sz w:val="32"/>
          <w:szCs w:val="32"/>
          <w:highlight w:val="none"/>
        </w:rPr>
        <w:t>万元，部门项目总支出金额为</w:t>
      </w:r>
      <w:r>
        <w:rPr>
          <w:rFonts w:hint="eastAsia" w:eastAsia="仿宋_GB2312"/>
          <w:color w:val="auto"/>
          <w:sz w:val="32"/>
          <w:szCs w:val="32"/>
          <w:highlight w:val="none"/>
          <w:lang w:val="en-US" w:eastAsia="zh-CN"/>
        </w:rPr>
        <w:t>321.36</w:t>
      </w:r>
      <w:r>
        <w:rPr>
          <w:rFonts w:hint="eastAsia" w:eastAsia="仿宋_GB2312"/>
          <w:color w:val="auto"/>
          <w:sz w:val="32"/>
          <w:szCs w:val="32"/>
          <w:highlight w:val="none"/>
        </w:rPr>
        <w:t>万元，则重点项目支出占项目总支出的比率为0%。（注：口径为年初部门预算）</w:t>
      </w:r>
    </w:p>
    <w:p>
      <w:pPr>
        <w:pStyle w:val="4"/>
        <w:numPr>
          <w:ilvl w:val="0"/>
          <w:numId w:val="2"/>
        </w:numPr>
        <w:ind w:firstLine="643"/>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rPr>
        <w:t>度，</w:t>
      </w:r>
      <w:r>
        <w:rPr>
          <w:rFonts w:hint="eastAsia" w:ascii="仿宋_GB2312" w:eastAsia="仿宋_GB2312"/>
          <w:bCs/>
          <w:color w:val="auto"/>
          <w:sz w:val="32"/>
          <w:szCs w:val="32"/>
          <w:highlight w:val="none"/>
        </w:rPr>
        <w:t>昌吉市人民政府办公室整体支出年初预算金额为</w:t>
      </w:r>
      <w:r>
        <w:rPr>
          <w:rFonts w:hint="eastAsia" w:ascii="仿宋_GB2312" w:eastAsia="仿宋_GB2312"/>
          <w:color w:val="auto"/>
          <w:sz w:val="32"/>
          <w:szCs w:val="32"/>
          <w:highlight w:val="none"/>
          <w:lang w:val="en-US" w:eastAsia="zh-CN"/>
        </w:rPr>
        <w:t>1101.47</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1101.47</w:t>
      </w:r>
      <w:r>
        <w:rPr>
          <w:rFonts w:hint="eastAsia" w:ascii="仿宋_GB2312" w:eastAsia="仿宋_GB2312"/>
          <w:color w:val="auto"/>
          <w:sz w:val="32"/>
          <w:szCs w:val="32"/>
          <w:highlight w:val="none"/>
        </w:rPr>
        <w:t>万元，执行率为100%，其中：政府采购年初预</w:t>
      </w:r>
      <w:r>
        <w:rPr>
          <w:rFonts w:hint="eastAsia" w:ascii="仿宋_GB2312" w:eastAsia="仿宋_GB2312"/>
          <w:color w:val="auto"/>
          <w:sz w:val="32"/>
          <w:szCs w:val="32"/>
          <w:highlight w:val="none"/>
        </w:rPr>
        <w:t>算金额为</w:t>
      </w:r>
      <w:r>
        <w:rPr>
          <w:rFonts w:hint="eastAsia" w:ascii="仿宋_GB2312" w:eastAsia="仿宋_GB2312"/>
          <w:color w:val="auto"/>
          <w:sz w:val="32"/>
          <w:szCs w:val="32"/>
          <w:highlight w:val="none"/>
          <w:lang w:val="en-US" w:eastAsia="zh-CN"/>
        </w:rPr>
        <w:t>48.4</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48.4</w:t>
      </w:r>
      <w:r>
        <w:rPr>
          <w:rFonts w:hint="eastAsia" w:ascii="仿宋_GB2312" w:eastAsia="仿宋_GB2312"/>
          <w:color w:val="auto"/>
          <w:sz w:val="32"/>
          <w:szCs w:val="32"/>
          <w:highlight w:val="none"/>
        </w:rPr>
        <w:t>万元，执行率为100%。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419.93</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val="en-US" w:eastAsia="zh-CN"/>
        </w:rPr>
        <w:t>8.12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1521.4</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1521.4</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rPr>
        <w:t>100%</w:t>
      </w:r>
      <w:r>
        <w:rPr>
          <w:rFonts w:hint="eastAsia" w:ascii="仿宋_GB2312" w:eastAsia="仿宋_GB2312"/>
          <w:color w:val="auto"/>
          <w:sz w:val="32"/>
          <w:szCs w:val="32"/>
          <w:highlight w:val="none"/>
        </w:rPr>
        <w:t>。</w:t>
      </w:r>
    </w:p>
    <w:p>
      <w:pPr>
        <w:pStyle w:val="5"/>
        <w:ind w:firstLine="643"/>
        <w:rPr>
          <w:color w:val="auto"/>
          <w:sz w:val="32"/>
          <w:highlight w:val="none"/>
        </w:rPr>
      </w:pPr>
      <w:r>
        <w:rPr>
          <w:rFonts w:hint="eastAsia"/>
          <w:color w:val="auto"/>
          <w:sz w:val="32"/>
          <w:highlight w:val="none"/>
        </w:rPr>
        <w:t>2.部门单位整体支出自评使用方法、主要内容、涉及范围</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3"/>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w:t>
      </w:r>
      <w:bookmarkStart w:id="0" w:name="_GoBack"/>
      <w:bookmarkEnd w:id="0"/>
      <w:r>
        <w:rPr>
          <w:rFonts w:hint="eastAsia" w:ascii="仿宋_GB2312" w:eastAsia="仿宋_GB2312"/>
          <w:color w:val="auto"/>
          <w:sz w:val="32"/>
          <w:szCs w:val="32"/>
          <w:highlight w:val="none"/>
        </w:rPr>
        <w:t>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adjustRightInd w:val="0"/>
        <w:snapToGrid w:val="0"/>
        <w:ind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为加强预算管理、规范财务行为、加强内部控制体系建设，完善了《昌吉市人民政府办公室“三重一大”事项会议制度》，《昌吉市人民政府办公室贯彻落实“三重一大”决策制度实施办法》，《昌吉市人民政府办公室党政正职“四个不直接分管”和末位表态制度》，新成立了昌吉市人民政府办公室财经工作领导小组、昌吉市人民政府办公室人事工作领导小组，重新修订了《昌吉市人民政府办公室财务管理制度》，《昌吉市人民政府办公室固定资产核算管理办法》，并严格按照以上各项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年，昌吉市人民政府办公室基本支出年初预算金额为</w:t>
      </w:r>
      <w:r>
        <w:rPr>
          <w:rFonts w:hint="eastAsia" w:ascii="仿宋_GB2312" w:eastAsia="仿宋_GB2312"/>
          <w:color w:val="auto"/>
          <w:sz w:val="32"/>
          <w:szCs w:val="32"/>
          <w:highlight w:val="none"/>
          <w:lang w:val="en-US" w:eastAsia="zh-CN"/>
        </w:rPr>
        <w:t>1071.47</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1071.47</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rPr>
        <w:t>100%，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1200.09</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1200.09</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1200.09</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rPr>
        <w:t>100%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1076.01</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124.08</w:t>
      </w:r>
      <w:r>
        <w:rPr>
          <w:rFonts w:hint="eastAsia" w:ascii="仿宋_GB2312" w:eastAsia="仿宋_GB2312"/>
          <w:color w:val="auto"/>
          <w:sz w:val="32"/>
          <w:szCs w:val="32"/>
          <w:highlight w:val="none"/>
        </w:rPr>
        <w:t>万元。</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我单位认真贯彻落实中央关于厉行节约的有关规定，严格执行《党政机关厉行节约反对浪费条例》，202</w:t>
      </w:r>
      <w:r>
        <w:rPr>
          <w:rFonts w:hint="eastAsia" w:ascii="仿宋_GB2312" w:eastAsia="仿宋_GB2312" w:cs="宋体"/>
          <w:color w:val="auto"/>
          <w:sz w:val="32"/>
          <w:szCs w:val="32"/>
          <w:highlight w:val="none"/>
          <w:lang w:val="en-US" w:eastAsia="zh-CN"/>
        </w:rPr>
        <w:t>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rPr>
        <w:t>6</w:t>
      </w:r>
      <w:r>
        <w:rPr>
          <w:rFonts w:hint="eastAsia" w:ascii="仿宋_GB2312" w:eastAsia="仿宋_GB2312" w:cs="宋体"/>
          <w:color w:val="auto"/>
          <w:sz w:val="32"/>
          <w:szCs w:val="32"/>
          <w:highlight w:val="none"/>
          <w:lang w:val="en-US" w:eastAsia="zh-CN"/>
        </w:rPr>
        <w:t>2</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rPr>
        <w:t>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51.47</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rPr>
        <w:t>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rPr>
        <w:t>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202</w:t>
      </w:r>
      <w:r>
        <w:rPr>
          <w:rFonts w:hint="eastAsia" w:ascii="仿宋_GB2312" w:eastAsia="仿宋_GB2312" w:cs="宋体"/>
          <w:color w:val="auto"/>
          <w:sz w:val="32"/>
          <w:szCs w:val="32"/>
          <w:highlight w:val="none"/>
          <w:lang w:val="en-US" w:eastAsia="zh-CN"/>
        </w:rPr>
        <w:t>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51.47</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rPr>
        <w:t>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rPr>
        <w:t>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rPr>
        <w:t>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rPr>
        <w:t>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rPr>
        <w:t>49.06</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eastAsia="zh-CN"/>
        </w:rPr>
        <w:t>增加</w:t>
      </w:r>
      <w:r>
        <w:rPr>
          <w:rFonts w:hint="eastAsia" w:ascii="仿宋_GB2312" w:eastAsia="仿宋_GB2312" w:cs="宋体"/>
          <w:color w:val="auto"/>
          <w:sz w:val="32"/>
          <w:szCs w:val="32"/>
          <w:highlight w:val="none"/>
          <w:lang w:val="en-US" w:eastAsia="zh-CN"/>
        </w:rPr>
        <w:t>2.41</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eastAsia="zh-CN"/>
        </w:rPr>
        <w:t>增加</w:t>
      </w:r>
      <w:r>
        <w:rPr>
          <w:rFonts w:hint="eastAsia" w:ascii="仿宋_GB2312" w:eastAsia="仿宋_GB2312" w:cs="宋体"/>
          <w:color w:val="auto"/>
          <w:sz w:val="32"/>
          <w:szCs w:val="32"/>
          <w:highlight w:val="none"/>
          <w:lang w:val="en-US" w:eastAsia="zh-CN"/>
        </w:rPr>
        <w:t>4</w:t>
      </w:r>
      <w:r>
        <w:rPr>
          <w:rFonts w:hint="eastAsia" w:ascii="仿宋_GB2312" w:eastAsia="仿宋_GB2312" w:cs="宋体"/>
          <w:color w:val="auto"/>
          <w:sz w:val="32"/>
          <w:szCs w:val="32"/>
          <w:highlight w:val="none"/>
        </w:rPr>
        <w:t>.</w:t>
      </w:r>
      <w:r>
        <w:rPr>
          <w:rFonts w:hint="eastAsia" w:ascii="仿宋_GB2312" w:eastAsia="仿宋_GB2312" w:cs="宋体"/>
          <w:color w:val="auto"/>
          <w:sz w:val="32"/>
          <w:szCs w:val="32"/>
          <w:highlight w:val="none"/>
          <w:lang w:val="en-US" w:eastAsia="zh-CN"/>
        </w:rPr>
        <w:t>91</w:t>
      </w:r>
      <w:r>
        <w:rPr>
          <w:rFonts w:hint="eastAsia" w:ascii="仿宋_GB2312" w:eastAsia="仿宋_GB2312" w:cs="宋体"/>
          <w:color w:val="auto"/>
          <w:sz w:val="32"/>
          <w:szCs w:val="32"/>
          <w:highlight w:val="none"/>
        </w:rPr>
        <w:t>%</w:t>
      </w:r>
      <w:r>
        <w:rPr>
          <w:rFonts w:hint="eastAsia" w:ascii="仿宋_GB2312" w:eastAsia="仿宋_GB2312" w:cs="宋体"/>
          <w:color w:val="auto"/>
          <w:sz w:val="32"/>
          <w:szCs w:val="32"/>
          <w:highlight w:val="none"/>
        </w:rPr>
        <w:t>。</w:t>
      </w:r>
    </w:p>
    <w:p>
      <w:pPr>
        <w:pStyle w:val="4"/>
        <w:ind w:firstLine="643"/>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5"/>
        <w:ind w:firstLine="640"/>
        <w:rPr>
          <w:b w:val="0"/>
          <w:bCs w:val="0"/>
          <w:color w:val="auto"/>
          <w:sz w:val="32"/>
          <w:highlight w:val="none"/>
        </w:rPr>
      </w:pPr>
      <w:r>
        <w:rPr>
          <w:rFonts w:hint="eastAsia"/>
          <w:b w:val="0"/>
          <w:bCs w:val="0"/>
          <w:color w:val="auto"/>
          <w:sz w:val="32"/>
          <w:highlight w:val="none"/>
        </w:rPr>
        <w:t>202</w:t>
      </w:r>
      <w:r>
        <w:rPr>
          <w:rFonts w:hint="eastAsia"/>
          <w:b w:val="0"/>
          <w:bCs w:val="0"/>
          <w:color w:val="auto"/>
          <w:sz w:val="32"/>
          <w:highlight w:val="none"/>
          <w:lang w:val="en-US" w:eastAsia="zh-CN"/>
        </w:rPr>
        <w:t>2</w:t>
      </w:r>
      <w:r>
        <w:rPr>
          <w:rFonts w:hint="eastAsia"/>
          <w:b w:val="0"/>
          <w:bCs w:val="0"/>
          <w:color w:val="auto"/>
          <w:sz w:val="32"/>
          <w:highlight w:val="none"/>
        </w:rPr>
        <w:t>年，</w:t>
      </w:r>
      <w:r>
        <w:rPr>
          <w:rFonts w:hint="eastAsia"/>
          <w:b w:val="0"/>
          <w:bCs w:val="0"/>
          <w:color w:val="auto"/>
          <w:sz w:val="32"/>
          <w:highlight w:val="none"/>
        </w:rPr>
        <w:t>昌吉市人民政府办公室</w:t>
      </w:r>
      <w:r>
        <w:rPr>
          <w:rFonts w:hint="eastAsia"/>
          <w:b w:val="0"/>
          <w:bCs w:val="0"/>
          <w:color w:val="auto"/>
          <w:sz w:val="32"/>
          <w:highlight w:val="none"/>
        </w:rPr>
        <w:t>项目支出年初预算金额</w:t>
      </w:r>
      <w:r>
        <w:rPr>
          <w:rFonts w:hint="eastAsia" w:cs="Times New Roman"/>
          <w:b w:val="0"/>
          <w:bCs w:val="0"/>
          <w:color w:val="auto"/>
          <w:sz w:val="32"/>
          <w:highlight w:val="none"/>
        </w:rPr>
        <w:t>为</w:t>
      </w:r>
      <w:r>
        <w:rPr>
          <w:rFonts w:hint="eastAsia" w:cs="Times New Roman"/>
          <w:b w:val="0"/>
          <w:bCs w:val="0"/>
          <w:color w:val="auto"/>
          <w:sz w:val="32"/>
          <w:highlight w:val="none"/>
          <w:lang w:val="en-US" w:eastAsia="zh-CN"/>
        </w:rPr>
        <w:t>30</w:t>
      </w:r>
      <w:r>
        <w:rPr>
          <w:rFonts w:hint="eastAsia" w:cs="Times New Roman"/>
          <w:b w:val="0"/>
          <w:bCs w:val="0"/>
          <w:color w:val="auto"/>
          <w:sz w:val="32"/>
          <w:highlight w:val="none"/>
        </w:rPr>
        <w:t>万元，支出金额为</w:t>
      </w:r>
      <w:r>
        <w:rPr>
          <w:rFonts w:hint="eastAsia" w:cs="Times New Roman"/>
          <w:b w:val="0"/>
          <w:bCs w:val="0"/>
          <w:color w:val="auto"/>
          <w:sz w:val="32"/>
          <w:highlight w:val="none"/>
          <w:lang w:val="en-US" w:eastAsia="zh-CN"/>
        </w:rPr>
        <w:t>30</w:t>
      </w:r>
      <w:r>
        <w:rPr>
          <w:rFonts w:hint="eastAsia" w:cs="Times New Roman"/>
          <w:b w:val="0"/>
          <w:bCs w:val="0"/>
          <w:color w:val="auto"/>
          <w:sz w:val="32"/>
          <w:highlight w:val="none"/>
        </w:rPr>
        <w:t>万元</w:t>
      </w:r>
      <w:r>
        <w:rPr>
          <w:rFonts w:hint="eastAsia"/>
          <w:b w:val="0"/>
          <w:bCs w:val="0"/>
          <w:color w:val="auto"/>
          <w:sz w:val="32"/>
          <w:highlight w:val="none"/>
        </w:rPr>
        <w:t>，执行率为</w:t>
      </w:r>
      <w:r>
        <w:rPr>
          <w:rFonts w:hint="eastAsia"/>
          <w:b w:val="0"/>
          <w:bCs w:val="0"/>
          <w:color w:val="auto"/>
          <w:sz w:val="32"/>
          <w:highlight w:val="none"/>
          <w:lang w:val="en-US" w:eastAsia="zh-CN"/>
        </w:rPr>
        <w:t>10</w:t>
      </w:r>
      <w:r>
        <w:rPr>
          <w:rFonts w:hint="eastAsia"/>
          <w:b w:val="0"/>
          <w:bCs w:val="0"/>
          <w:color w:val="auto"/>
          <w:sz w:val="32"/>
          <w:highlight w:val="none"/>
        </w:rPr>
        <w:t>0%，</w:t>
      </w:r>
      <w:r>
        <w:rPr>
          <w:rFonts w:hint="eastAsia"/>
          <w:b w:val="0"/>
          <w:bCs w:val="0"/>
          <w:color w:val="auto"/>
          <w:sz w:val="32"/>
          <w:highlight w:val="none"/>
        </w:rPr>
        <w:t>年中调整预算金额为</w:t>
      </w:r>
      <w:r>
        <w:rPr>
          <w:rFonts w:hint="eastAsia"/>
          <w:b w:val="0"/>
          <w:bCs w:val="0"/>
          <w:color w:val="auto"/>
          <w:sz w:val="32"/>
          <w:highlight w:val="none"/>
          <w:lang w:val="en-US" w:eastAsia="zh-CN"/>
        </w:rPr>
        <w:t>291.36</w:t>
      </w:r>
      <w:r>
        <w:rPr>
          <w:rFonts w:hint="eastAsia"/>
          <w:b w:val="0"/>
          <w:bCs w:val="0"/>
          <w:color w:val="auto"/>
          <w:sz w:val="32"/>
          <w:highlight w:val="none"/>
        </w:rPr>
        <w:t>万元。综上，我单位项目支出预算总额为</w:t>
      </w:r>
      <w:r>
        <w:rPr>
          <w:rFonts w:hint="eastAsia" w:cs="Times New Roman"/>
          <w:b w:val="0"/>
          <w:bCs w:val="0"/>
          <w:color w:val="auto"/>
          <w:sz w:val="32"/>
          <w:highlight w:val="none"/>
          <w:lang w:val="en-US" w:eastAsia="zh-CN"/>
        </w:rPr>
        <w:t>321.36</w:t>
      </w:r>
      <w:r>
        <w:rPr>
          <w:rFonts w:hint="eastAsia"/>
          <w:b w:val="0"/>
          <w:bCs w:val="0"/>
          <w:color w:val="auto"/>
          <w:sz w:val="32"/>
          <w:highlight w:val="none"/>
        </w:rPr>
        <w:t>万元，支出总额为</w:t>
      </w:r>
      <w:r>
        <w:rPr>
          <w:rFonts w:hint="eastAsia" w:cs="Times New Roman"/>
          <w:b w:val="0"/>
          <w:bCs w:val="0"/>
          <w:color w:val="auto"/>
          <w:sz w:val="32"/>
          <w:highlight w:val="none"/>
          <w:lang w:val="en-US" w:eastAsia="zh-CN"/>
        </w:rPr>
        <w:t>321.36</w:t>
      </w:r>
      <w:r>
        <w:rPr>
          <w:rFonts w:hint="eastAsia"/>
          <w:b w:val="0"/>
          <w:bCs w:val="0"/>
          <w:color w:val="auto"/>
          <w:sz w:val="32"/>
          <w:highlight w:val="none"/>
        </w:rPr>
        <w:t>万元，预算总执行率为</w:t>
      </w:r>
      <w:r>
        <w:rPr>
          <w:rFonts w:hint="eastAsia"/>
          <w:b w:val="0"/>
          <w:bCs w:val="0"/>
          <w:color w:val="auto"/>
          <w:sz w:val="32"/>
          <w:highlight w:val="none"/>
          <w:lang w:val="en-US" w:eastAsia="zh-CN"/>
        </w:rPr>
        <w:t>100</w:t>
      </w:r>
      <w:r>
        <w:rPr>
          <w:rFonts w:hint="eastAsia"/>
          <w:b w:val="0"/>
          <w:bCs w:val="0"/>
          <w:color w:val="auto"/>
          <w:sz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rPr>
        <w:t>昌吉市任政府办公室</w:t>
      </w:r>
      <w:r>
        <w:rPr>
          <w:rFonts w:hint="eastAsia" w:ascii="仿宋_GB2312" w:eastAsia="仿宋_GB2312"/>
          <w:color w:val="auto"/>
          <w:sz w:val="32"/>
          <w:szCs w:val="32"/>
          <w:highlight w:val="none"/>
        </w:rPr>
        <w:t>共有</w:t>
      </w:r>
      <w:r>
        <w:rPr>
          <w:rFonts w:hint="eastAsia" w:ascii="仿宋_GB2312" w:eastAsia="仿宋_GB2312"/>
          <w:color w:val="auto"/>
          <w:sz w:val="32"/>
          <w:szCs w:val="32"/>
          <w:highlight w:val="none"/>
        </w:rPr>
        <w:t>0</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个。202</w:t>
      </w:r>
      <w:r>
        <w:rPr>
          <w:rFonts w:ascii="仿宋_GB2312" w:eastAsia="仿宋_GB2312"/>
          <w:color w:val="auto"/>
          <w:sz w:val="32"/>
          <w:szCs w:val="32"/>
          <w:highlight w:val="none"/>
        </w:rPr>
        <w:t>1</w:t>
      </w:r>
      <w:r>
        <w:rPr>
          <w:rFonts w:hint="eastAsia" w:ascii="仿宋_GB2312" w:eastAsia="仿宋_GB2312"/>
          <w:color w:val="auto"/>
          <w:sz w:val="32"/>
          <w:szCs w:val="32"/>
          <w:highlight w:val="none"/>
        </w:rPr>
        <w:t>年度中央、自治区、地区、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p>
    <w:p>
      <w:pPr>
        <w:pStyle w:val="2"/>
        <w:ind w:firstLine="560"/>
        <w:rPr>
          <w:color w:val="auto"/>
          <w:highlight w:val="none"/>
        </w:rPr>
      </w:pPr>
    </w:p>
    <w:p>
      <w:pPr>
        <w:ind w:firstLine="420"/>
        <w:jc w:val="right"/>
        <w:rPr>
          <w:color w:val="auto"/>
          <w:sz w:val="21"/>
          <w:szCs w:val="21"/>
          <w:highlight w:val="none"/>
        </w:rPr>
      </w:pPr>
      <w:r>
        <w:rPr>
          <w:rFonts w:hint="eastAsia"/>
          <w:color w:val="auto"/>
          <w:sz w:val="21"/>
          <w:szCs w:val="21"/>
          <w:highlight w:val="none"/>
        </w:rPr>
        <w:t>单位：万元</w:t>
      </w:r>
    </w:p>
    <w:tbl>
      <w:tblPr>
        <w:tblStyle w:val="12"/>
        <w:tblW w:w="8522" w:type="dxa"/>
        <w:tblInd w:w="0" w:type="dxa"/>
        <w:tblLayout w:type="fixed"/>
        <w:tblCellMar>
          <w:top w:w="0" w:type="dxa"/>
          <w:left w:w="108" w:type="dxa"/>
          <w:bottom w:w="0" w:type="dxa"/>
          <w:right w:w="108" w:type="dxa"/>
        </w:tblCellMar>
      </w:tblPr>
      <w:tblGrid>
        <w:gridCol w:w="3121"/>
        <w:gridCol w:w="1338"/>
        <w:gridCol w:w="1103"/>
        <w:gridCol w:w="1074"/>
        <w:gridCol w:w="1485"/>
        <w:gridCol w:w="401"/>
      </w:tblGrid>
      <w:tr>
        <w:tblPrEx>
          <w:tblCellMar>
            <w:top w:w="0" w:type="dxa"/>
            <w:left w:w="108" w:type="dxa"/>
            <w:bottom w:w="0" w:type="dxa"/>
            <w:right w:w="108" w:type="dxa"/>
          </w:tblCellMar>
        </w:tblPrEx>
        <w:trPr>
          <w:trHeight w:val="397" w:hRule="atLeast"/>
          <w:tblHeader/>
        </w:trPr>
        <w:tc>
          <w:tcPr>
            <w:tcW w:w="312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项目名称</w:t>
            </w:r>
          </w:p>
        </w:tc>
        <w:tc>
          <w:tcPr>
            <w:tcW w:w="133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预算金额</w:t>
            </w:r>
          </w:p>
        </w:tc>
        <w:tc>
          <w:tcPr>
            <w:tcW w:w="1103"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执行金额</w:t>
            </w:r>
          </w:p>
        </w:tc>
        <w:tc>
          <w:tcPr>
            <w:tcW w:w="1074"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执行率</w:t>
            </w:r>
          </w:p>
        </w:tc>
        <w:tc>
          <w:tcPr>
            <w:tcW w:w="1485"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项目是否完成</w:t>
            </w:r>
          </w:p>
        </w:tc>
        <w:tc>
          <w:tcPr>
            <w:tcW w:w="401"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12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电子政务网络设备维护</w:t>
            </w:r>
          </w:p>
        </w:tc>
        <w:tc>
          <w:tcPr>
            <w:tcW w:w="133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hint="default" w:ascii="仿宋_GB2312" w:hAnsi="宋体" w:eastAsia="仿宋_GB2312" w:cs="宋体"/>
                <w:color w:val="auto"/>
                <w:kern w:val="0"/>
                <w:sz w:val="21"/>
                <w:szCs w:val="21"/>
                <w:highlight w:val="none"/>
                <w:lang w:val="en-US" w:eastAsia="zh-CN"/>
              </w:rPr>
            </w:pPr>
            <w:r>
              <w:rPr>
                <w:rFonts w:hint="eastAsia" w:ascii="宋体" w:hAnsi="宋体" w:eastAsia="宋体" w:cs="宋体"/>
                <w:color w:val="auto"/>
                <w:kern w:val="0"/>
                <w:sz w:val="22"/>
                <w:szCs w:val="22"/>
                <w:highlight w:val="none"/>
                <w:lang w:val="en-US" w:eastAsia="zh-CN"/>
              </w:rPr>
              <w:t>30</w:t>
            </w:r>
          </w:p>
        </w:tc>
        <w:tc>
          <w:tcPr>
            <w:tcW w:w="11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color w:val="auto"/>
                <w:kern w:val="0"/>
                <w:sz w:val="22"/>
                <w:szCs w:val="22"/>
                <w:highlight w:val="none"/>
                <w:lang w:val="en-US" w:eastAsia="zh-CN"/>
              </w:rPr>
              <w:t>3</w:t>
            </w:r>
            <w:r>
              <w:rPr>
                <w:rFonts w:hint="eastAsia" w:ascii="宋体" w:hAnsi="宋体" w:eastAsia="宋体" w:cs="宋体"/>
                <w:color w:val="auto"/>
                <w:kern w:val="0"/>
                <w:sz w:val="22"/>
                <w:szCs w:val="22"/>
                <w:highlight w:val="none"/>
              </w:rPr>
              <w:t>0</w:t>
            </w:r>
          </w:p>
        </w:tc>
        <w:tc>
          <w:tcPr>
            <w:tcW w:w="107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color w:val="auto"/>
                <w:kern w:val="0"/>
                <w:sz w:val="22"/>
                <w:szCs w:val="22"/>
                <w:highlight w:val="none"/>
              </w:rPr>
              <w:t>100</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是</w:t>
            </w:r>
          </w:p>
        </w:tc>
        <w:tc>
          <w:tcPr>
            <w:tcW w:w="40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p>
        </w:tc>
      </w:tr>
      <w:tr>
        <w:tblPrEx>
          <w:tblCellMar>
            <w:top w:w="0" w:type="dxa"/>
            <w:left w:w="108" w:type="dxa"/>
            <w:bottom w:w="0" w:type="dxa"/>
            <w:right w:w="108" w:type="dxa"/>
          </w:tblCellMar>
        </w:tblPrEx>
        <w:trPr>
          <w:trHeight w:val="397" w:hRule="atLeast"/>
        </w:trPr>
        <w:tc>
          <w:tcPr>
            <w:tcW w:w="312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驻京、自治区工作组差费及办公费</w:t>
            </w:r>
          </w:p>
        </w:tc>
        <w:tc>
          <w:tcPr>
            <w:tcW w:w="133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30.76</w:t>
            </w:r>
          </w:p>
        </w:tc>
        <w:tc>
          <w:tcPr>
            <w:tcW w:w="11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30.76</w:t>
            </w:r>
          </w:p>
        </w:tc>
        <w:tc>
          <w:tcPr>
            <w:tcW w:w="107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color w:val="auto"/>
                <w:kern w:val="0"/>
                <w:sz w:val="22"/>
                <w:szCs w:val="22"/>
                <w:highlight w:val="none"/>
              </w:rPr>
              <w:t>100</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是</w:t>
            </w:r>
          </w:p>
        </w:tc>
        <w:tc>
          <w:tcPr>
            <w:tcW w:w="40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p>
        </w:tc>
      </w:tr>
      <w:tr>
        <w:tblPrEx>
          <w:tblCellMar>
            <w:top w:w="0" w:type="dxa"/>
            <w:left w:w="108" w:type="dxa"/>
            <w:bottom w:w="0" w:type="dxa"/>
            <w:right w:w="108" w:type="dxa"/>
          </w:tblCellMar>
        </w:tblPrEx>
        <w:trPr>
          <w:trHeight w:val="90" w:hRule="atLeast"/>
        </w:trPr>
        <w:tc>
          <w:tcPr>
            <w:tcW w:w="312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2022年常态化派驻北京信访工作组经费</w:t>
            </w:r>
          </w:p>
        </w:tc>
        <w:tc>
          <w:tcPr>
            <w:tcW w:w="133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40</w:t>
            </w:r>
          </w:p>
        </w:tc>
        <w:tc>
          <w:tcPr>
            <w:tcW w:w="11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40</w:t>
            </w:r>
          </w:p>
        </w:tc>
        <w:tc>
          <w:tcPr>
            <w:tcW w:w="107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color w:val="auto"/>
                <w:kern w:val="0"/>
                <w:sz w:val="22"/>
                <w:szCs w:val="22"/>
                <w:highlight w:val="none"/>
              </w:rPr>
              <w:t>100</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是</w:t>
            </w:r>
          </w:p>
        </w:tc>
        <w:tc>
          <w:tcPr>
            <w:tcW w:w="40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eastAsia="仿宋_GB2312" w:cs="Calibri"/>
                <w:color w:val="auto"/>
                <w:kern w:val="0"/>
                <w:sz w:val="21"/>
                <w:szCs w:val="21"/>
                <w:highlight w:val="none"/>
              </w:rPr>
            </w:pPr>
          </w:p>
        </w:tc>
      </w:tr>
      <w:tr>
        <w:tblPrEx>
          <w:tblCellMar>
            <w:top w:w="0" w:type="dxa"/>
            <w:left w:w="108" w:type="dxa"/>
            <w:bottom w:w="0" w:type="dxa"/>
            <w:right w:w="108" w:type="dxa"/>
          </w:tblCellMar>
        </w:tblPrEx>
        <w:trPr>
          <w:trHeight w:val="90" w:hRule="atLeast"/>
        </w:trPr>
        <w:tc>
          <w:tcPr>
            <w:tcW w:w="312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sz w:val="20"/>
                <w:szCs w:val="20"/>
                <w:highlight w:val="none"/>
              </w:rPr>
            </w:pPr>
            <w:r>
              <w:rPr>
                <w:rFonts w:hint="eastAsia" w:ascii="宋体" w:hAnsi="宋体" w:eastAsia="宋体" w:cs="宋体"/>
                <w:i w:val="0"/>
                <w:iCs w:val="0"/>
                <w:color w:val="auto"/>
                <w:kern w:val="0"/>
                <w:sz w:val="22"/>
                <w:szCs w:val="22"/>
                <w:highlight w:val="none"/>
                <w:u w:val="none"/>
                <w:lang w:val="en-US" w:eastAsia="zh-CN" w:bidi="ar"/>
              </w:rPr>
              <w:t>2022年解决特殊疑难信访问题资金预算</w:t>
            </w:r>
          </w:p>
        </w:tc>
        <w:tc>
          <w:tcPr>
            <w:tcW w:w="133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22"/>
                <w:szCs w:val="22"/>
                <w:highlight w:val="none"/>
                <w:u w:val="none"/>
                <w:lang w:val="en-US" w:eastAsia="zh-CN" w:bidi="ar"/>
              </w:rPr>
              <w:t>24.34</w:t>
            </w:r>
          </w:p>
        </w:tc>
        <w:tc>
          <w:tcPr>
            <w:tcW w:w="11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22"/>
                <w:szCs w:val="22"/>
                <w:highlight w:val="none"/>
                <w:u w:val="none"/>
                <w:lang w:val="en-US" w:eastAsia="zh-CN" w:bidi="ar"/>
              </w:rPr>
              <w:t>24.34</w:t>
            </w:r>
          </w:p>
        </w:tc>
        <w:tc>
          <w:tcPr>
            <w:tcW w:w="107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lang w:val="en-US" w:eastAsia="zh-CN"/>
              </w:rPr>
              <w:t>10</w:t>
            </w:r>
            <w:r>
              <w:rPr>
                <w:rFonts w:hint="eastAsia" w:ascii="宋体" w:hAnsi="宋体" w:eastAsia="宋体" w:cs="宋体"/>
                <w:color w:val="auto"/>
                <w:kern w:val="0"/>
                <w:sz w:val="22"/>
                <w:szCs w:val="22"/>
                <w:highlight w:val="none"/>
              </w:rPr>
              <w:t>0</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是</w:t>
            </w:r>
          </w:p>
        </w:tc>
        <w:tc>
          <w:tcPr>
            <w:tcW w:w="40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eastAsia="仿宋_GB2312" w:cs="Calibri"/>
                <w:color w:val="auto"/>
                <w:kern w:val="0"/>
                <w:sz w:val="21"/>
                <w:szCs w:val="21"/>
                <w:highlight w:val="none"/>
              </w:rPr>
            </w:pPr>
          </w:p>
        </w:tc>
      </w:tr>
      <w:tr>
        <w:tblPrEx>
          <w:tblCellMar>
            <w:top w:w="0" w:type="dxa"/>
            <w:left w:w="108" w:type="dxa"/>
            <w:bottom w:w="0" w:type="dxa"/>
            <w:right w:w="108" w:type="dxa"/>
          </w:tblCellMar>
        </w:tblPrEx>
        <w:trPr>
          <w:trHeight w:val="397" w:hRule="atLeast"/>
        </w:trPr>
        <w:tc>
          <w:tcPr>
            <w:tcW w:w="312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0"/>
                <w:szCs w:val="20"/>
                <w:highlight w:val="none"/>
              </w:rPr>
            </w:pPr>
            <w:r>
              <w:rPr>
                <w:rFonts w:hint="eastAsia" w:ascii="宋体" w:hAnsi="宋体" w:eastAsia="宋体" w:cs="宋体"/>
                <w:i w:val="0"/>
                <w:iCs w:val="0"/>
                <w:color w:val="auto"/>
                <w:kern w:val="0"/>
                <w:sz w:val="22"/>
                <w:szCs w:val="22"/>
                <w:highlight w:val="none"/>
                <w:u w:val="none"/>
                <w:lang w:val="en-US" w:eastAsia="zh-CN" w:bidi="ar"/>
              </w:rPr>
              <w:t>“元旦”“春节”期间慰问经费</w:t>
            </w:r>
          </w:p>
        </w:tc>
        <w:tc>
          <w:tcPr>
            <w:tcW w:w="133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22"/>
                <w:szCs w:val="22"/>
                <w:highlight w:val="none"/>
                <w:u w:val="none"/>
                <w:lang w:val="en-US" w:eastAsia="zh-CN" w:bidi="ar"/>
              </w:rPr>
              <w:t>12.72</w:t>
            </w:r>
          </w:p>
        </w:tc>
        <w:tc>
          <w:tcPr>
            <w:tcW w:w="11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22"/>
                <w:szCs w:val="22"/>
                <w:highlight w:val="none"/>
                <w:u w:val="none"/>
                <w:lang w:val="en-US" w:eastAsia="zh-CN" w:bidi="ar"/>
              </w:rPr>
              <w:t>12.72</w:t>
            </w:r>
          </w:p>
        </w:tc>
        <w:tc>
          <w:tcPr>
            <w:tcW w:w="107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100</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是</w:t>
            </w:r>
          </w:p>
        </w:tc>
        <w:tc>
          <w:tcPr>
            <w:tcW w:w="40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p>
        </w:tc>
      </w:tr>
      <w:tr>
        <w:tblPrEx>
          <w:tblCellMar>
            <w:top w:w="0" w:type="dxa"/>
            <w:left w:w="108" w:type="dxa"/>
            <w:bottom w:w="0" w:type="dxa"/>
            <w:right w:w="108" w:type="dxa"/>
          </w:tblCellMar>
        </w:tblPrEx>
        <w:trPr>
          <w:trHeight w:val="397" w:hRule="atLeast"/>
        </w:trPr>
        <w:tc>
          <w:tcPr>
            <w:tcW w:w="312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业务经费及2021年聘用人员工资</w:t>
            </w:r>
          </w:p>
        </w:tc>
        <w:tc>
          <w:tcPr>
            <w:tcW w:w="133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11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i w:val="0"/>
                <w:iCs w:val="0"/>
                <w:color w:val="auto"/>
                <w:kern w:val="0"/>
                <w:sz w:val="22"/>
                <w:szCs w:val="22"/>
                <w:highlight w:val="none"/>
                <w:u w:val="none"/>
                <w:lang w:val="en-US" w:eastAsia="zh-CN" w:bidi="ar"/>
              </w:rPr>
              <w:t>25</w:t>
            </w:r>
          </w:p>
        </w:tc>
        <w:tc>
          <w:tcPr>
            <w:tcW w:w="107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center"/>
              <w:textAlignment w:val="center"/>
              <w:rPr>
                <w:rFonts w:ascii="仿宋_GB2312" w:hAnsi="宋体" w:eastAsia="仿宋_GB2312" w:cs="宋体"/>
                <w:color w:val="auto"/>
                <w:kern w:val="0"/>
                <w:sz w:val="21"/>
                <w:szCs w:val="21"/>
                <w:highlight w:val="none"/>
              </w:rPr>
            </w:pPr>
            <w:r>
              <w:rPr>
                <w:rFonts w:hint="eastAsia" w:ascii="宋体" w:hAnsi="宋体" w:eastAsia="宋体" w:cs="宋体"/>
                <w:color w:val="auto"/>
                <w:kern w:val="0"/>
                <w:sz w:val="22"/>
                <w:szCs w:val="22"/>
                <w:highlight w:val="none"/>
                <w:lang w:val="en-US" w:eastAsia="zh-CN"/>
              </w:rPr>
              <w:t>10</w:t>
            </w:r>
            <w:r>
              <w:rPr>
                <w:rFonts w:hint="eastAsia" w:ascii="宋体" w:hAnsi="宋体" w:eastAsia="宋体" w:cs="宋体"/>
                <w:color w:val="auto"/>
                <w:kern w:val="0"/>
                <w:sz w:val="22"/>
                <w:szCs w:val="22"/>
                <w:highlight w:val="none"/>
              </w:rPr>
              <w:t>0</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是</w:t>
            </w:r>
          </w:p>
        </w:tc>
        <w:tc>
          <w:tcPr>
            <w:tcW w:w="40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p>
        </w:tc>
      </w:tr>
      <w:tr>
        <w:tblPrEx>
          <w:tblCellMar>
            <w:top w:w="0" w:type="dxa"/>
            <w:left w:w="108" w:type="dxa"/>
            <w:bottom w:w="0" w:type="dxa"/>
            <w:right w:w="108" w:type="dxa"/>
          </w:tblCellMar>
        </w:tblPrEx>
        <w:trPr>
          <w:trHeight w:val="397" w:hRule="atLeast"/>
        </w:trPr>
        <w:tc>
          <w:tcPr>
            <w:tcW w:w="312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0"/>
                <w:szCs w:val="20"/>
                <w:highlight w:val="none"/>
              </w:rPr>
            </w:pPr>
            <w:r>
              <w:rPr>
                <w:rFonts w:hint="eastAsia" w:ascii="宋体" w:hAnsi="宋体" w:eastAsia="宋体" w:cs="宋体"/>
                <w:i w:val="0"/>
                <w:iCs w:val="0"/>
                <w:color w:val="auto"/>
                <w:kern w:val="0"/>
                <w:sz w:val="22"/>
                <w:szCs w:val="22"/>
                <w:highlight w:val="none"/>
                <w:u w:val="none"/>
                <w:lang w:val="en-US" w:eastAsia="zh-CN" w:bidi="ar"/>
              </w:rPr>
              <w:t>2022年自治区“访惠聚”驻村工作专项经费</w:t>
            </w:r>
          </w:p>
        </w:tc>
        <w:tc>
          <w:tcPr>
            <w:tcW w:w="133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1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107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hint="default" w:eastAsia="仿宋" w:cs="仿宋"/>
                <w:color w:val="auto"/>
                <w:sz w:val="24"/>
                <w:highlight w:val="none"/>
                <w:lang w:val="en-US" w:eastAsia="zh-CN"/>
              </w:rPr>
            </w:pPr>
            <w:r>
              <w:rPr>
                <w:rFonts w:hint="eastAsia" w:cs="仿宋"/>
                <w:color w:val="auto"/>
                <w:sz w:val="24"/>
                <w:highlight w:val="none"/>
                <w:lang w:val="en-US" w:eastAsia="zh-CN"/>
              </w:rPr>
              <w:t>68</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否</w:t>
            </w:r>
          </w:p>
        </w:tc>
        <w:tc>
          <w:tcPr>
            <w:tcW w:w="40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rPr>
          <w:trHeight w:val="397" w:hRule="atLeast"/>
        </w:trPr>
        <w:tc>
          <w:tcPr>
            <w:tcW w:w="312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0"/>
                <w:szCs w:val="20"/>
                <w:highlight w:val="none"/>
              </w:rPr>
            </w:pPr>
            <w:r>
              <w:rPr>
                <w:rFonts w:hint="eastAsia" w:ascii="宋体" w:hAnsi="宋体" w:eastAsia="宋体" w:cs="宋体"/>
                <w:i w:val="0"/>
                <w:iCs w:val="0"/>
                <w:color w:val="auto"/>
                <w:kern w:val="0"/>
                <w:sz w:val="22"/>
                <w:szCs w:val="22"/>
                <w:highlight w:val="none"/>
                <w:u w:val="none"/>
                <w:lang w:val="en-US" w:eastAsia="zh-CN" w:bidi="ar"/>
              </w:rPr>
              <w:t>2022年“访惠聚”驻村（社区）工作经费</w:t>
            </w:r>
          </w:p>
        </w:tc>
        <w:tc>
          <w:tcPr>
            <w:tcW w:w="133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1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ind w:firstLine="0" w:firstLineChars="0"/>
              <w:jc w:val="center"/>
              <w:textAlignment w:val="center"/>
              <w:rPr>
                <w:rFonts w:ascii="宋体" w:hAnsi="宋体" w:eastAsia="宋体" w:cs="宋体"/>
                <w:color w:val="auto"/>
                <w:kern w:val="0"/>
                <w:sz w:val="22"/>
                <w:szCs w:val="22"/>
                <w:highlight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107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textAlignment w:val="center"/>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40</w:t>
            </w:r>
          </w:p>
        </w:tc>
        <w:tc>
          <w:tcPr>
            <w:tcW w:w="1485"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ind w:firstLine="0" w:firstLineChars="0"/>
              <w:jc w:val="left"/>
              <w:textAlignment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否</w:t>
            </w:r>
          </w:p>
        </w:tc>
        <w:tc>
          <w:tcPr>
            <w:tcW w:w="40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p>
        </w:tc>
      </w:tr>
    </w:tbl>
    <w:p>
      <w:pPr>
        <w:numPr>
          <w:ilvl w:val="0"/>
          <w:numId w:val="3"/>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pStyle w:val="10"/>
        <w:widowControl/>
        <w:spacing w:before="40" w:beforeAutospacing="0" w:after="0" w:afterAutospacing="0"/>
        <w:ind w:firstLine="640"/>
        <w:jc w:val="both"/>
        <w:rPr>
          <w:rFonts w:ascii="仿宋_GB2312" w:eastAsia="仿宋_GB2312" w:cs="仿宋"/>
          <w:color w:val="auto"/>
          <w:sz w:val="32"/>
          <w:szCs w:val="32"/>
          <w:highlight w:val="none"/>
        </w:rPr>
      </w:pPr>
      <w:r>
        <w:rPr>
          <w:rFonts w:hint="eastAsia" w:ascii="仿宋_GB2312" w:eastAsia="仿宋_GB2312" w:cs="仿宋"/>
          <w:color w:val="auto"/>
          <w:sz w:val="32"/>
          <w:szCs w:val="32"/>
          <w:highlight w:val="none"/>
        </w:rPr>
        <w:t>202</w:t>
      </w:r>
      <w:r>
        <w:rPr>
          <w:rFonts w:hint="eastAsia" w:ascii="仿宋_GB2312" w:eastAsia="仿宋_GB2312" w:cs="仿宋"/>
          <w:color w:val="auto"/>
          <w:sz w:val="32"/>
          <w:szCs w:val="32"/>
          <w:highlight w:val="none"/>
          <w:lang w:val="en-US" w:eastAsia="zh-CN"/>
        </w:rPr>
        <w:t>2</w:t>
      </w:r>
      <w:r>
        <w:rPr>
          <w:rFonts w:hint="eastAsia" w:ascii="仿宋_GB2312" w:eastAsia="仿宋_GB2312" w:cs="仿宋"/>
          <w:color w:val="auto"/>
          <w:sz w:val="32"/>
          <w:szCs w:val="32"/>
          <w:highlight w:val="none"/>
        </w:rPr>
        <w:t>年，预算安排专项资金</w:t>
      </w:r>
      <w:r>
        <w:rPr>
          <w:rFonts w:hint="eastAsia" w:ascii="仿宋_GB2312" w:eastAsia="仿宋_GB2312" w:cs="仿宋"/>
          <w:color w:val="auto"/>
          <w:sz w:val="32"/>
          <w:szCs w:val="32"/>
          <w:highlight w:val="none"/>
          <w:lang w:val="en-US" w:eastAsia="zh-CN"/>
        </w:rPr>
        <w:t>30</w:t>
      </w:r>
      <w:r>
        <w:rPr>
          <w:rFonts w:hint="eastAsia" w:ascii="仿宋_GB2312" w:eastAsia="仿宋_GB2312" w:cs="仿宋"/>
          <w:color w:val="auto"/>
          <w:sz w:val="32"/>
          <w:szCs w:val="32"/>
          <w:highlight w:val="none"/>
        </w:rPr>
        <w:t>万元，实际使用</w:t>
      </w:r>
      <w:r>
        <w:rPr>
          <w:rFonts w:hint="eastAsia" w:ascii="仿宋_GB2312" w:eastAsia="仿宋_GB2312" w:cs="仿宋"/>
          <w:color w:val="auto"/>
          <w:sz w:val="32"/>
          <w:szCs w:val="32"/>
          <w:highlight w:val="none"/>
          <w:lang w:val="en-US" w:eastAsia="zh-CN"/>
        </w:rPr>
        <w:t>3</w:t>
      </w:r>
      <w:r>
        <w:rPr>
          <w:rFonts w:hint="eastAsia" w:ascii="仿宋_GB2312" w:eastAsia="仿宋_GB2312" w:cs="仿宋"/>
          <w:color w:val="auto"/>
          <w:sz w:val="32"/>
          <w:szCs w:val="32"/>
          <w:highlight w:val="none"/>
        </w:rPr>
        <w:t>0</w:t>
      </w:r>
      <w:r>
        <w:rPr>
          <w:rFonts w:hint="eastAsia" w:ascii="仿宋_GB2312" w:eastAsia="仿宋_GB2312" w:cs="仿宋"/>
          <w:color w:val="auto"/>
          <w:sz w:val="32"/>
          <w:szCs w:val="32"/>
          <w:highlight w:val="none"/>
        </w:rPr>
        <w:t>万元,结转</w:t>
      </w:r>
      <w:r>
        <w:rPr>
          <w:rFonts w:hint="eastAsia" w:ascii="仿宋_GB2312" w:eastAsia="仿宋_GB2312" w:cs="仿宋"/>
          <w:color w:val="auto"/>
          <w:sz w:val="32"/>
          <w:szCs w:val="32"/>
          <w:highlight w:val="none"/>
        </w:rPr>
        <w:t>0</w:t>
      </w:r>
      <w:r>
        <w:rPr>
          <w:rFonts w:hint="eastAsia" w:ascii="仿宋_GB2312" w:eastAsia="仿宋_GB2312" w:cs="仿宋"/>
          <w:color w:val="auto"/>
          <w:sz w:val="32"/>
          <w:szCs w:val="32"/>
          <w:highlight w:val="none"/>
        </w:rPr>
        <w:t>万元。</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3"/>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3"/>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梳理20</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4"/>
        <w:numPr>
          <w:ilvl w:val="0"/>
          <w:numId w:val="5"/>
        </w:numPr>
        <w:ind w:firstLine="643"/>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年本单位全年未安排中央及自治区专项资金支出项目。</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1.项目资金情况分析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我单位专项资金严格按照昌吉市财政局及相关专项资金管理办法要求实行专款专用，在本年度各级审计和财政监督检查中未发现资金使用合规性问题。</w:t>
      </w:r>
    </w:p>
    <w:p>
      <w:pPr>
        <w:numPr>
          <w:ilvl w:val="0"/>
          <w:numId w:val="3"/>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项目实施情况分析</w:t>
      </w:r>
    </w:p>
    <w:p>
      <w:pPr>
        <w:pStyle w:val="2"/>
        <w:ind w:left="560" w:leftChars="200" w:firstLine="0" w:firstLineChars="0"/>
        <w:rPr>
          <w:color w:val="auto"/>
          <w:highlight w:val="none"/>
        </w:rPr>
      </w:pPr>
      <w:r>
        <w:rPr>
          <w:rFonts w:hint="eastAsia"/>
          <w:color w:val="auto"/>
          <w:highlight w:val="none"/>
        </w:rPr>
        <w:t>无</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3.项目绩效情况分析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本单位所涉及专项项目均已纳入绩效管理，</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个专项项目实际绩效情况如下：</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（1）成本控制：</w:t>
      </w:r>
      <w:r>
        <w:rPr>
          <w:rFonts w:hint="eastAsia" w:ascii="仿宋_GB2312" w:eastAsia="仿宋_GB2312"/>
          <w:color w:val="auto"/>
          <w:sz w:val="32"/>
          <w:szCs w:val="32"/>
          <w:highlight w:val="none"/>
        </w:rPr>
        <w:t>昌吉市人民政府办公室在其职能范围内，明确项目职责分工和成本控制要求，对各种影响成本的因素和条件采取了一系列预防和调节措施，科学地组织实施成本控制。</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（2）成本节约：</w:t>
      </w:r>
      <w:r>
        <w:rPr>
          <w:rFonts w:hint="eastAsia" w:ascii="仿宋_GB2312" w:eastAsia="仿宋_GB2312"/>
          <w:color w:val="auto"/>
          <w:sz w:val="32"/>
          <w:szCs w:val="32"/>
          <w:highlight w:val="none"/>
        </w:rPr>
        <w:t>昌吉市人民政府办公室在实施专项项目过程中，无相关成本节约情况。）</w:t>
      </w:r>
    </w:p>
    <w:p>
      <w:pPr>
        <w:ind w:firstLine="643"/>
        <w:rPr>
          <w:rFonts w:hint="eastAsia" w:ascii="仿宋_GB2312" w:eastAsia="仿宋_GB2312"/>
          <w:b/>
          <w:bCs/>
          <w:color w:val="auto"/>
          <w:sz w:val="32"/>
          <w:szCs w:val="32"/>
          <w:highlight w:val="none"/>
        </w:rPr>
      </w:pPr>
      <w:r>
        <w:rPr>
          <w:rFonts w:hint="eastAsia" w:ascii="仿宋_GB2312" w:eastAsia="仿宋_GB2312"/>
          <w:b/>
          <w:bCs/>
          <w:color w:val="auto"/>
          <w:sz w:val="32"/>
          <w:szCs w:val="32"/>
          <w:highlight w:val="none"/>
        </w:rPr>
        <w:t>4.项目效率性分析（实施进度、完成质量）</w:t>
      </w:r>
    </w:p>
    <w:p>
      <w:pPr>
        <w:ind w:left="0" w:leftChars="0" w:firstLine="320" w:firstLineChars="100"/>
        <w:rPr>
          <w:rFonts w:hint="eastAsia" w:cs="仿宋"/>
          <w:b w:val="0"/>
          <w:bCs w:val="0"/>
          <w:color w:val="auto"/>
          <w:sz w:val="32"/>
          <w:highlight w:val="none"/>
          <w:lang w:eastAsia="zh-CN"/>
        </w:rPr>
      </w:pPr>
      <w:r>
        <w:rPr>
          <w:rFonts w:hint="eastAsia" w:hAnsi="仿宋" w:cs="仿宋"/>
          <w:b w:val="0"/>
          <w:bCs w:val="0"/>
          <w:color w:val="auto"/>
          <w:sz w:val="32"/>
          <w:highlight w:val="none"/>
        </w:rPr>
        <w:t>（1）昌吉市人民政府办公室“电子政务网络设备维护</w:t>
      </w:r>
      <w:r>
        <w:rPr>
          <w:rFonts w:hint="eastAsia" w:hAnsi="仿宋" w:cs="仿宋"/>
          <w:b w:val="0"/>
          <w:bCs w:val="0"/>
          <w:color w:val="auto"/>
          <w:sz w:val="32"/>
          <w:highlight w:val="none"/>
          <w:lang w:val="en-US" w:eastAsia="zh-CN"/>
        </w:rPr>
        <w:t>30万元</w:t>
      </w:r>
      <w:r>
        <w:rPr>
          <w:rFonts w:hint="eastAsia" w:hAnsi="仿宋" w:cs="仿宋"/>
          <w:b w:val="0"/>
          <w:bCs w:val="0"/>
          <w:color w:val="auto"/>
          <w:sz w:val="32"/>
          <w:highlight w:val="none"/>
          <w:lang w:eastAsia="zh-CN"/>
        </w:rPr>
        <w:t>”</w:t>
      </w:r>
      <w:r>
        <w:rPr>
          <w:rFonts w:hint="eastAsia" w:hAnsi="仿宋" w:cs="仿宋"/>
          <w:b w:val="0"/>
          <w:bCs w:val="0"/>
          <w:color w:val="auto"/>
          <w:sz w:val="32"/>
          <w:highlight w:val="none"/>
        </w:rPr>
        <w:t>已支出</w:t>
      </w:r>
      <w:r>
        <w:rPr>
          <w:rFonts w:hint="eastAsia" w:hAnsi="仿宋" w:cs="仿宋"/>
          <w:b w:val="0"/>
          <w:bCs w:val="0"/>
          <w:color w:val="auto"/>
          <w:sz w:val="32"/>
          <w:highlight w:val="none"/>
          <w:lang w:val="en-US" w:eastAsia="zh-CN"/>
        </w:rPr>
        <w:t>30</w:t>
      </w:r>
      <w:r>
        <w:rPr>
          <w:rFonts w:hint="eastAsia" w:hAnsi="仿宋" w:cs="仿宋"/>
          <w:b w:val="0"/>
          <w:bCs w:val="0"/>
          <w:color w:val="auto"/>
          <w:sz w:val="32"/>
          <w:highlight w:val="none"/>
        </w:rPr>
        <w:t>万元项目已完成，实施进度为100%，达到预期完成质量要求</w:t>
      </w:r>
      <w:r>
        <w:rPr>
          <w:rFonts w:hint="eastAsia" w:cs="仿宋"/>
          <w:b w:val="0"/>
          <w:bCs w:val="0"/>
          <w:color w:val="auto"/>
          <w:sz w:val="32"/>
          <w:highlight w:val="none"/>
          <w:lang w:eastAsia="zh-CN"/>
        </w:rPr>
        <w:t>。</w:t>
      </w:r>
    </w:p>
    <w:p>
      <w:pPr>
        <w:ind w:left="0" w:leftChars="0" w:firstLine="320" w:firstLineChars="100"/>
        <w:rPr>
          <w:rFonts w:hint="eastAsia" w:hAnsi="仿宋" w:cs="仿宋"/>
          <w:b w:val="0"/>
          <w:bCs w:val="0"/>
          <w:color w:val="auto"/>
          <w:sz w:val="32"/>
          <w:highlight w:val="none"/>
        </w:rPr>
      </w:pPr>
      <w:r>
        <w:rPr>
          <w:rFonts w:hint="eastAsia" w:ascii="仿宋_GB2312" w:eastAsia="仿宋_GB2312" w:cs="仿宋"/>
          <w:color w:val="auto"/>
          <w:sz w:val="32"/>
          <w:szCs w:val="32"/>
          <w:highlight w:val="none"/>
        </w:rPr>
        <w:t>（2）</w:t>
      </w:r>
      <w:r>
        <w:rPr>
          <w:rFonts w:hint="eastAsia" w:cs="仿宋"/>
          <w:color w:val="auto"/>
          <w:sz w:val="32"/>
          <w:highlight w:val="none"/>
        </w:rPr>
        <w:t>“</w:t>
      </w:r>
      <w:r>
        <w:rPr>
          <w:rFonts w:hint="eastAsia" w:hAnsi="仿宋" w:cs="仿宋"/>
          <w:b w:val="0"/>
          <w:bCs w:val="0"/>
          <w:color w:val="auto"/>
          <w:sz w:val="32"/>
          <w:highlight w:val="none"/>
        </w:rPr>
        <w:t>驻京、自治区工作组差费及办公费</w:t>
      </w:r>
      <w:r>
        <w:rPr>
          <w:rFonts w:hint="eastAsia" w:hAnsi="仿宋" w:cs="仿宋"/>
          <w:b w:val="0"/>
          <w:bCs w:val="0"/>
          <w:color w:val="auto"/>
          <w:sz w:val="32"/>
          <w:highlight w:val="none"/>
          <w:lang w:val="en-US" w:eastAsia="zh-CN"/>
        </w:rPr>
        <w:t>30.76万元</w:t>
      </w:r>
      <w:r>
        <w:rPr>
          <w:rFonts w:hint="eastAsia" w:hAnsi="仿宋" w:cs="仿宋"/>
          <w:b w:val="0"/>
          <w:bCs w:val="0"/>
          <w:color w:val="auto"/>
          <w:sz w:val="32"/>
          <w:highlight w:val="none"/>
        </w:rPr>
        <w:t>”项目</w:t>
      </w:r>
      <w:r>
        <w:rPr>
          <w:rFonts w:hint="eastAsia" w:hAnsi="仿宋" w:cs="仿宋"/>
          <w:b w:val="0"/>
          <w:bCs w:val="0"/>
          <w:color w:val="auto"/>
          <w:sz w:val="32"/>
          <w:highlight w:val="none"/>
          <w:lang w:eastAsia="zh-CN"/>
        </w:rPr>
        <w:t>已</w:t>
      </w:r>
      <w:r>
        <w:rPr>
          <w:rFonts w:hint="eastAsia" w:hAnsi="仿宋" w:cs="仿宋"/>
          <w:b w:val="0"/>
          <w:bCs w:val="0"/>
          <w:color w:val="auto"/>
          <w:sz w:val="32"/>
          <w:highlight w:val="none"/>
        </w:rPr>
        <w:t>完成</w:t>
      </w:r>
      <w:r>
        <w:rPr>
          <w:rFonts w:hint="eastAsia" w:hAnsi="仿宋" w:cs="仿宋"/>
          <w:b w:val="0"/>
          <w:bCs w:val="0"/>
          <w:color w:val="auto"/>
          <w:sz w:val="32"/>
          <w:highlight w:val="none"/>
          <w:lang w:eastAsia="zh-CN"/>
        </w:rPr>
        <w:t>，</w:t>
      </w:r>
      <w:r>
        <w:rPr>
          <w:rFonts w:hint="eastAsia" w:hAnsi="仿宋" w:cs="仿宋"/>
          <w:b w:val="0"/>
          <w:bCs w:val="0"/>
          <w:color w:val="auto"/>
          <w:sz w:val="32"/>
          <w:highlight w:val="none"/>
        </w:rPr>
        <w:t>进度为</w:t>
      </w:r>
      <w:r>
        <w:rPr>
          <w:rFonts w:hint="eastAsia" w:hAnsi="仿宋" w:cs="仿宋"/>
          <w:b w:val="0"/>
          <w:bCs w:val="0"/>
          <w:color w:val="auto"/>
          <w:sz w:val="32"/>
          <w:highlight w:val="none"/>
          <w:lang w:val="en-US" w:eastAsia="zh-CN"/>
        </w:rPr>
        <w:t>100</w:t>
      </w:r>
      <w:r>
        <w:rPr>
          <w:rFonts w:hint="eastAsia" w:hAnsi="仿宋" w:cs="仿宋"/>
          <w:b w:val="0"/>
          <w:bCs w:val="0"/>
          <w:color w:val="auto"/>
          <w:sz w:val="32"/>
          <w:highlight w:val="none"/>
        </w:rPr>
        <w:t>%，已支出</w:t>
      </w:r>
      <w:r>
        <w:rPr>
          <w:rFonts w:hint="eastAsia" w:hAnsi="仿宋" w:cs="仿宋"/>
          <w:b w:val="0"/>
          <w:bCs w:val="0"/>
          <w:color w:val="auto"/>
          <w:sz w:val="32"/>
          <w:highlight w:val="none"/>
          <w:lang w:val="en-US" w:eastAsia="zh-CN"/>
        </w:rPr>
        <w:t>30.76</w:t>
      </w:r>
      <w:r>
        <w:rPr>
          <w:rFonts w:hint="eastAsia" w:hAnsi="仿宋" w:cs="仿宋"/>
          <w:b w:val="0"/>
          <w:bCs w:val="0"/>
          <w:color w:val="auto"/>
          <w:sz w:val="32"/>
          <w:highlight w:val="none"/>
        </w:rPr>
        <w:t>万元，预算执行率为</w:t>
      </w:r>
      <w:r>
        <w:rPr>
          <w:rFonts w:hint="eastAsia" w:hAnsi="仿宋" w:cs="仿宋"/>
          <w:b w:val="0"/>
          <w:bCs w:val="0"/>
          <w:color w:val="auto"/>
          <w:sz w:val="32"/>
          <w:highlight w:val="none"/>
          <w:lang w:val="en-US" w:eastAsia="zh-CN"/>
        </w:rPr>
        <w:t>100</w:t>
      </w:r>
      <w:r>
        <w:rPr>
          <w:rFonts w:hint="eastAsia" w:hAnsi="仿宋" w:cs="仿宋"/>
          <w:b w:val="0"/>
          <w:bCs w:val="0"/>
          <w:color w:val="auto"/>
          <w:sz w:val="32"/>
          <w:highlight w:val="none"/>
        </w:rPr>
        <w:t>%，达到预期完成质量要求；</w:t>
      </w:r>
    </w:p>
    <w:p>
      <w:pPr>
        <w:pStyle w:val="5"/>
        <w:ind w:firstLine="640"/>
        <w:rPr>
          <w:rFonts w:ascii="仿宋_GB2312" w:eastAsia="仿宋_GB2312" w:cs="仿宋"/>
          <w:color w:val="auto"/>
          <w:sz w:val="32"/>
          <w:szCs w:val="32"/>
          <w:highlight w:val="none"/>
        </w:rPr>
      </w:pPr>
      <w:r>
        <w:rPr>
          <w:rFonts w:hint="eastAsia" w:ascii="仿宋_GB2312" w:eastAsia="仿宋_GB2312" w:cs="仿宋"/>
          <w:color w:val="auto"/>
          <w:sz w:val="32"/>
          <w:szCs w:val="32"/>
          <w:highlight w:val="none"/>
        </w:rPr>
        <w:t>（3）</w:t>
      </w:r>
      <w:r>
        <w:rPr>
          <w:rFonts w:hint="eastAsia" w:cs="仿宋"/>
          <w:color w:val="auto"/>
          <w:sz w:val="32"/>
          <w:highlight w:val="none"/>
        </w:rPr>
        <w:t>“</w:t>
      </w:r>
      <w:r>
        <w:rPr>
          <w:rFonts w:hint="eastAsia" w:hAnsi="仿宋" w:cs="仿宋"/>
          <w:b w:val="0"/>
          <w:bCs w:val="0"/>
          <w:color w:val="auto"/>
          <w:sz w:val="32"/>
          <w:highlight w:val="none"/>
        </w:rPr>
        <w:t>2022年常态化派驻北京信访工作组经费</w:t>
      </w:r>
      <w:r>
        <w:rPr>
          <w:rFonts w:hint="eastAsia" w:cs="仿宋"/>
          <w:b w:val="0"/>
          <w:bCs w:val="0"/>
          <w:color w:val="auto"/>
          <w:sz w:val="32"/>
          <w:highlight w:val="none"/>
          <w:lang w:val="en-US" w:eastAsia="zh-CN"/>
        </w:rPr>
        <w:t>40</w:t>
      </w:r>
      <w:r>
        <w:rPr>
          <w:rFonts w:hint="eastAsia" w:hAnsi="仿宋" w:cs="仿宋"/>
          <w:b w:val="0"/>
          <w:bCs w:val="0"/>
          <w:color w:val="auto"/>
          <w:sz w:val="32"/>
          <w:highlight w:val="none"/>
          <w:lang w:val="en-US" w:eastAsia="zh-CN"/>
        </w:rPr>
        <w:t>万元</w:t>
      </w:r>
      <w:r>
        <w:rPr>
          <w:rFonts w:hint="eastAsia" w:cs="仿宋"/>
          <w:color w:val="auto"/>
          <w:sz w:val="32"/>
          <w:highlight w:val="none"/>
        </w:rPr>
        <w:t>”</w:t>
      </w:r>
      <w:r>
        <w:rPr>
          <w:rFonts w:hint="eastAsia" w:ascii="仿宋_GB2312" w:eastAsia="仿宋_GB2312" w:cs="仿宋"/>
          <w:color w:val="auto"/>
          <w:sz w:val="32"/>
          <w:szCs w:val="32"/>
          <w:highlight w:val="none"/>
        </w:rPr>
        <w:t>项目完成进度为</w:t>
      </w:r>
      <w:r>
        <w:rPr>
          <w:rFonts w:hint="eastAsia" w:ascii="仿宋_GB2312" w:eastAsia="仿宋_GB2312" w:cs="仿宋"/>
          <w:color w:val="auto"/>
          <w:sz w:val="32"/>
          <w:szCs w:val="32"/>
          <w:highlight w:val="none"/>
          <w:lang w:val="en-US" w:eastAsia="zh-CN"/>
        </w:rPr>
        <w:t>100</w:t>
      </w:r>
      <w:r>
        <w:rPr>
          <w:rFonts w:hint="eastAsia" w:ascii="仿宋_GB2312" w:eastAsia="仿宋_GB2312" w:cs="仿宋"/>
          <w:color w:val="auto"/>
          <w:sz w:val="32"/>
          <w:szCs w:val="32"/>
          <w:highlight w:val="none"/>
        </w:rPr>
        <w:t>%，已支出</w:t>
      </w:r>
      <w:r>
        <w:rPr>
          <w:rFonts w:hint="eastAsia" w:cs="仿宋"/>
          <w:color w:val="auto"/>
          <w:sz w:val="32"/>
          <w:szCs w:val="32"/>
          <w:highlight w:val="none"/>
          <w:lang w:val="en-US" w:eastAsia="zh-CN"/>
        </w:rPr>
        <w:t>40</w:t>
      </w:r>
      <w:r>
        <w:rPr>
          <w:rFonts w:hint="eastAsia" w:ascii="仿宋_GB2312" w:eastAsia="仿宋_GB2312" w:cs="仿宋"/>
          <w:color w:val="auto"/>
          <w:sz w:val="32"/>
          <w:szCs w:val="32"/>
          <w:highlight w:val="none"/>
        </w:rPr>
        <w:t>万元，预算执行率为</w:t>
      </w:r>
      <w:r>
        <w:rPr>
          <w:rFonts w:hint="eastAsia" w:ascii="仿宋_GB2312" w:eastAsia="仿宋_GB2312" w:cs="仿宋"/>
          <w:color w:val="auto"/>
          <w:sz w:val="32"/>
          <w:szCs w:val="32"/>
          <w:highlight w:val="none"/>
          <w:lang w:val="en-US" w:eastAsia="zh-CN"/>
        </w:rPr>
        <w:t>10</w:t>
      </w:r>
      <w:r>
        <w:rPr>
          <w:rFonts w:hint="eastAsia" w:ascii="仿宋_GB2312" w:eastAsia="仿宋_GB2312" w:cs="仿宋"/>
          <w:color w:val="auto"/>
          <w:sz w:val="32"/>
          <w:szCs w:val="32"/>
          <w:highlight w:val="none"/>
        </w:rPr>
        <w:t>0%，</w:t>
      </w:r>
      <w:r>
        <w:rPr>
          <w:rFonts w:hint="eastAsia" w:hAnsi="仿宋" w:cs="仿宋"/>
          <w:b w:val="0"/>
          <w:bCs w:val="0"/>
          <w:color w:val="auto"/>
          <w:sz w:val="32"/>
          <w:highlight w:val="none"/>
        </w:rPr>
        <w:t>达到预期完成质量要求；</w:t>
      </w:r>
    </w:p>
    <w:p>
      <w:pPr>
        <w:pStyle w:val="5"/>
        <w:ind w:firstLine="640"/>
        <w:rPr>
          <w:rFonts w:ascii="仿宋_GB2312" w:eastAsia="仿宋_GB2312" w:cs="仿宋"/>
          <w:color w:val="auto"/>
          <w:sz w:val="32"/>
          <w:szCs w:val="32"/>
          <w:highlight w:val="none"/>
        </w:rPr>
      </w:pPr>
      <w:r>
        <w:rPr>
          <w:rFonts w:hint="eastAsia" w:ascii="仿宋_GB2312" w:eastAsia="仿宋_GB2312" w:cs="仿宋"/>
          <w:color w:val="auto"/>
          <w:sz w:val="32"/>
          <w:szCs w:val="32"/>
          <w:highlight w:val="none"/>
        </w:rPr>
        <w:t>（</w:t>
      </w:r>
      <w:r>
        <w:rPr>
          <w:rFonts w:hint="eastAsia" w:ascii="仿宋_GB2312" w:hAnsi="Times New Roman" w:eastAsia="仿宋_GB2312" w:cs="仿宋"/>
          <w:b w:val="0"/>
          <w:bCs w:val="0"/>
          <w:color w:val="auto"/>
          <w:kern w:val="2"/>
          <w:sz w:val="32"/>
          <w:szCs w:val="32"/>
          <w:highlight w:val="none"/>
          <w:lang w:val="en-US" w:eastAsia="zh-CN" w:bidi="ar-SA"/>
        </w:rPr>
        <w:t>4）“2022年解决特殊疑难信访问题资金预算</w:t>
      </w:r>
      <w:r>
        <w:rPr>
          <w:rFonts w:hint="eastAsia" w:hAnsi="Times New Roman" w:cs="仿宋"/>
          <w:b w:val="0"/>
          <w:bCs w:val="0"/>
          <w:color w:val="auto"/>
          <w:kern w:val="2"/>
          <w:sz w:val="32"/>
          <w:szCs w:val="32"/>
          <w:highlight w:val="none"/>
          <w:lang w:val="en-US" w:eastAsia="zh-CN" w:bidi="ar-SA"/>
        </w:rPr>
        <w:t>24.34</w:t>
      </w:r>
      <w:r>
        <w:rPr>
          <w:rFonts w:hint="eastAsia" w:ascii="仿宋_GB2312" w:hAnsi="Times New Roman" w:eastAsia="仿宋_GB2312" w:cs="仿宋"/>
          <w:b w:val="0"/>
          <w:bCs w:val="0"/>
          <w:color w:val="auto"/>
          <w:kern w:val="2"/>
          <w:sz w:val="32"/>
          <w:szCs w:val="32"/>
          <w:highlight w:val="none"/>
          <w:lang w:val="en-US" w:eastAsia="zh-CN" w:bidi="ar-SA"/>
        </w:rPr>
        <w:t>万元”项目完成进度为100%，已支出</w:t>
      </w:r>
      <w:r>
        <w:rPr>
          <w:rFonts w:hint="eastAsia" w:hAnsi="Times New Roman" w:cs="仿宋"/>
          <w:b w:val="0"/>
          <w:bCs w:val="0"/>
          <w:color w:val="auto"/>
          <w:kern w:val="2"/>
          <w:sz w:val="32"/>
          <w:szCs w:val="32"/>
          <w:highlight w:val="none"/>
          <w:lang w:val="en-US" w:eastAsia="zh-CN" w:bidi="ar-SA"/>
        </w:rPr>
        <w:t>24.34</w:t>
      </w:r>
      <w:r>
        <w:rPr>
          <w:rFonts w:hint="eastAsia" w:ascii="仿宋_GB2312" w:hAnsi="Times New Roman" w:eastAsia="仿宋_GB2312" w:cs="仿宋"/>
          <w:b w:val="0"/>
          <w:bCs w:val="0"/>
          <w:color w:val="auto"/>
          <w:kern w:val="2"/>
          <w:sz w:val="32"/>
          <w:szCs w:val="32"/>
          <w:highlight w:val="none"/>
          <w:lang w:val="en-US" w:eastAsia="zh-CN" w:bidi="ar-SA"/>
        </w:rPr>
        <w:t>万元，预算执行率为100%，达到预期完成质量要求</w:t>
      </w:r>
      <w:r>
        <w:rPr>
          <w:rFonts w:hint="eastAsia" w:hAnsi="仿宋" w:cs="仿宋"/>
          <w:b w:val="0"/>
          <w:bCs w:val="0"/>
          <w:color w:val="auto"/>
          <w:sz w:val="32"/>
          <w:highlight w:val="none"/>
        </w:rPr>
        <w:t>；</w:t>
      </w:r>
    </w:p>
    <w:p>
      <w:pPr>
        <w:pStyle w:val="5"/>
        <w:ind w:firstLine="640"/>
        <w:rPr>
          <w:rFonts w:hint="eastAsia" w:ascii="仿宋_GB2312" w:hAnsi="Times New Roman" w:eastAsia="仿宋_GB2312" w:cs="仿宋"/>
          <w:b w:val="0"/>
          <w:bCs w:val="0"/>
          <w:color w:val="auto"/>
          <w:kern w:val="2"/>
          <w:sz w:val="32"/>
          <w:szCs w:val="32"/>
          <w:highlight w:val="none"/>
          <w:lang w:val="en-US" w:eastAsia="zh-CN" w:bidi="ar-SA"/>
        </w:rPr>
      </w:pPr>
      <w:r>
        <w:rPr>
          <w:rFonts w:hint="eastAsia" w:ascii="仿宋_GB2312" w:hAnsi="Times New Roman" w:eastAsia="仿宋_GB2312" w:cs="仿宋"/>
          <w:b w:val="0"/>
          <w:bCs w:val="0"/>
          <w:color w:val="auto"/>
          <w:kern w:val="2"/>
          <w:sz w:val="32"/>
          <w:szCs w:val="32"/>
          <w:highlight w:val="none"/>
          <w:lang w:val="en-US" w:eastAsia="zh-CN" w:bidi="ar-SA"/>
        </w:rPr>
        <w:t>（5）““元旦”“春节”期间慰问经费</w:t>
      </w:r>
      <w:r>
        <w:rPr>
          <w:rFonts w:hint="eastAsia" w:hAnsi="Times New Roman" w:cs="仿宋"/>
          <w:b w:val="0"/>
          <w:bCs w:val="0"/>
          <w:color w:val="auto"/>
          <w:kern w:val="2"/>
          <w:sz w:val="32"/>
          <w:szCs w:val="32"/>
          <w:highlight w:val="none"/>
          <w:lang w:val="en-US" w:eastAsia="zh-CN" w:bidi="ar-SA"/>
        </w:rPr>
        <w:t>12.72万元</w:t>
      </w:r>
      <w:r>
        <w:rPr>
          <w:rFonts w:hint="eastAsia" w:ascii="仿宋_GB2312" w:hAnsi="Times New Roman" w:eastAsia="仿宋_GB2312" w:cs="仿宋"/>
          <w:b w:val="0"/>
          <w:bCs w:val="0"/>
          <w:color w:val="auto"/>
          <w:kern w:val="2"/>
          <w:sz w:val="32"/>
          <w:szCs w:val="32"/>
          <w:highlight w:val="none"/>
          <w:lang w:val="en-US" w:eastAsia="zh-CN" w:bidi="ar-SA"/>
        </w:rPr>
        <w:t>”项目完成进度为100%，已支出</w:t>
      </w:r>
      <w:r>
        <w:rPr>
          <w:rFonts w:hint="eastAsia" w:hAnsi="Times New Roman" w:cs="仿宋"/>
          <w:b w:val="0"/>
          <w:bCs w:val="0"/>
          <w:color w:val="auto"/>
          <w:kern w:val="2"/>
          <w:sz w:val="32"/>
          <w:szCs w:val="32"/>
          <w:highlight w:val="none"/>
          <w:lang w:val="en-US" w:eastAsia="zh-CN" w:bidi="ar-SA"/>
        </w:rPr>
        <w:t>12.72</w:t>
      </w:r>
      <w:r>
        <w:rPr>
          <w:rFonts w:hint="eastAsia" w:ascii="仿宋_GB2312" w:hAnsi="Times New Roman" w:eastAsia="仿宋_GB2312" w:cs="仿宋"/>
          <w:b w:val="0"/>
          <w:bCs w:val="0"/>
          <w:color w:val="auto"/>
          <w:kern w:val="2"/>
          <w:sz w:val="32"/>
          <w:szCs w:val="32"/>
          <w:highlight w:val="none"/>
          <w:lang w:val="en-US" w:eastAsia="zh-CN" w:bidi="ar-SA"/>
        </w:rPr>
        <w:t>万元，预算执行率为100%，达到预期完成质量要求；</w:t>
      </w:r>
    </w:p>
    <w:p>
      <w:pPr>
        <w:pStyle w:val="5"/>
        <w:ind w:firstLine="640"/>
        <w:rPr>
          <w:rFonts w:hint="eastAsia" w:ascii="仿宋_GB2312" w:hAnsi="Times New Roman" w:eastAsia="仿宋_GB2312" w:cs="仿宋"/>
          <w:b w:val="0"/>
          <w:bCs w:val="0"/>
          <w:color w:val="auto"/>
          <w:kern w:val="2"/>
          <w:sz w:val="32"/>
          <w:szCs w:val="32"/>
          <w:highlight w:val="none"/>
          <w:lang w:val="en-US" w:eastAsia="zh-CN" w:bidi="ar-SA"/>
        </w:rPr>
      </w:pPr>
      <w:r>
        <w:rPr>
          <w:rFonts w:hint="eastAsia" w:ascii="仿宋_GB2312" w:hAnsi="Times New Roman" w:eastAsia="仿宋_GB2312" w:cs="仿宋"/>
          <w:b w:val="0"/>
          <w:bCs w:val="0"/>
          <w:color w:val="auto"/>
          <w:kern w:val="2"/>
          <w:sz w:val="32"/>
          <w:szCs w:val="32"/>
          <w:highlight w:val="none"/>
          <w:lang w:val="en-US" w:eastAsia="zh-CN" w:bidi="ar-SA"/>
        </w:rPr>
        <w:t>（6）“业务经费及2021年聘用人员工资</w:t>
      </w:r>
      <w:r>
        <w:rPr>
          <w:rFonts w:hint="eastAsia" w:hAnsi="Times New Roman" w:cs="仿宋"/>
          <w:b w:val="0"/>
          <w:bCs w:val="0"/>
          <w:color w:val="auto"/>
          <w:kern w:val="2"/>
          <w:sz w:val="32"/>
          <w:szCs w:val="32"/>
          <w:highlight w:val="none"/>
          <w:lang w:val="en-US" w:eastAsia="zh-CN" w:bidi="ar-SA"/>
        </w:rPr>
        <w:t>25万元</w:t>
      </w:r>
      <w:r>
        <w:rPr>
          <w:rFonts w:hint="eastAsia" w:ascii="仿宋_GB2312" w:hAnsi="Times New Roman" w:eastAsia="仿宋_GB2312" w:cs="仿宋"/>
          <w:b w:val="0"/>
          <w:bCs w:val="0"/>
          <w:color w:val="auto"/>
          <w:kern w:val="2"/>
          <w:sz w:val="32"/>
          <w:szCs w:val="32"/>
          <w:highlight w:val="none"/>
          <w:lang w:val="en-US" w:eastAsia="zh-CN" w:bidi="ar-SA"/>
        </w:rPr>
        <w:t>”项目完成进度为100%，已支出</w:t>
      </w:r>
      <w:r>
        <w:rPr>
          <w:rFonts w:hint="eastAsia" w:hAnsi="Times New Roman" w:cs="仿宋"/>
          <w:b w:val="0"/>
          <w:bCs w:val="0"/>
          <w:color w:val="auto"/>
          <w:kern w:val="2"/>
          <w:sz w:val="32"/>
          <w:szCs w:val="32"/>
          <w:highlight w:val="none"/>
          <w:lang w:val="en-US" w:eastAsia="zh-CN" w:bidi="ar-SA"/>
        </w:rPr>
        <w:t>25</w:t>
      </w:r>
      <w:r>
        <w:rPr>
          <w:rFonts w:hint="eastAsia" w:ascii="仿宋_GB2312" w:hAnsi="Times New Roman" w:eastAsia="仿宋_GB2312" w:cs="仿宋"/>
          <w:b w:val="0"/>
          <w:bCs w:val="0"/>
          <w:color w:val="auto"/>
          <w:kern w:val="2"/>
          <w:sz w:val="32"/>
          <w:szCs w:val="32"/>
          <w:highlight w:val="none"/>
          <w:lang w:val="en-US" w:eastAsia="zh-CN" w:bidi="ar-SA"/>
        </w:rPr>
        <w:t>万元，预算执行率为100%，达到预期完成质量要求；</w:t>
      </w:r>
    </w:p>
    <w:p>
      <w:pPr>
        <w:pStyle w:val="5"/>
        <w:ind w:firstLine="640"/>
        <w:rPr>
          <w:rFonts w:ascii="仿宋_GB2312" w:eastAsia="仿宋_GB2312" w:cs="仿宋"/>
          <w:color w:val="auto"/>
          <w:sz w:val="32"/>
          <w:szCs w:val="32"/>
          <w:highlight w:val="none"/>
        </w:rPr>
      </w:pPr>
      <w:r>
        <w:rPr>
          <w:rFonts w:hint="eastAsia" w:ascii="仿宋_GB2312" w:hAnsi="Times New Roman" w:eastAsia="仿宋_GB2312" w:cs="仿宋"/>
          <w:b w:val="0"/>
          <w:bCs w:val="0"/>
          <w:color w:val="auto"/>
          <w:kern w:val="2"/>
          <w:sz w:val="32"/>
          <w:szCs w:val="32"/>
          <w:highlight w:val="none"/>
          <w:lang w:val="en-US" w:eastAsia="zh-CN" w:bidi="ar-SA"/>
        </w:rPr>
        <w:t>（7）“2022年自治区“访惠聚”驻村工作专项经费</w:t>
      </w:r>
      <w:r>
        <w:rPr>
          <w:rFonts w:hint="eastAsia" w:hAnsi="Times New Roman" w:cs="仿宋"/>
          <w:b w:val="0"/>
          <w:bCs w:val="0"/>
          <w:color w:val="auto"/>
          <w:kern w:val="2"/>
          <w:sz w:val="32"/>
          <w:szCs w:val="32"/>
          <w:highlight w:val="none"/>
          <w:lang w:val="en-US" w:eastAsia="zh-CN" w:bidi="ar-SA"/>
        </w:rPr>
        <w:t>5万元</w:t>
      </w:r>
      <w:r>
        <w:rPr>
          <w:rFonts w:hint="eastAsia" w:ascii="仿宋_GB2312" w:hAnsi="Times New Roman" w:eastAsia="仿宋_GB2312" w:cs="仿宋"/>
          <w:b w:val="0"/>
          <w:bCs w:val="0"/>
          <w:color w:val="auto"/>
          <w:kern w:val="2"/>
          <w:sz w:val="32"/>
          <w:szCs w:val="32"/>
          <w:highlight w:val="none"/>
          <w:lang w:val="en-US" w:eastAsia="zh-CN" w:bidi="ar-SA"/>
        </w:rPr>
        <w:t>”项目完成进度为100%，已支出</w:t>
      </w:r>
      <w:r>
        <w:rPr>
          <w:rFonts w:hint="eastAsia" w:hAnsi="Times New Roman" w:cs="仿宋"/>
          <w:b w:val="0"/>
          <w:bCs w:val="0"/>
          <w:color w:val="auto"/>
          <w:kern w:val="2"/>
          <w:sz w:val="32"/>
          <w:szCs w:val="32"/>
          <w:highlight w:val="none"/>
          <w:lang w:val="en-US" w:eastAsia="zh-CN" w:bidi="ar-SA"/>
        </w:rPr>
        <w:t>3.4</w:t>
      </w:r>
      <w:r>
        <w:rPr>
          <w:rFonts w:hint="eastAsia" w:ascii="仿宋_GB2312" w:hAnsi="Times New Roman" w:eastAsia="仿宋_GB2312" w:cs="仿宋"/>
          <w:b w:val="0"/>
          <w:bCs w:val="0"/>
          <w:color w:val="auto"/>
          <w:kern w:val="2"/>
          <w:sz w:val="32"/>
          <w:szCs w:val="32"/>
          <w:highlight w:val="none"/>
          <w:lang w:val="en-US" w:eastAsia="zh-CN" w:bidi="ar-SA"/>
        </w:rPr>
        <w:t>万元，预算执行率为</w:t>
      </w:r>
      <w:r>
        <w:rPr>
          <w:rFonts w:hint="eastAsia" w:hAnsi="Times New Roman" w:cs="仿宋"/>
          <w:b w:val="0"/>
          <w:bCs w:val="0"/>
          <w:color w:val="auto"/>
          <w:kern w:val="2"/>
          <w:sz w:val="32"/>
          <w:szCs w:val="32"/>
          <w:highlight w:val="none"/>
          <w:lang w:val="en-US" w:eastAsia="zh-CN" w:bidi="ar-SA"/>
        </w:rPr>
        <w:t>68</w:t>
      </w:r>
      <w:r>
        <w:rPr>
          <w:rFonts w:hint="eastAsia" w:ascii="仿宋_GB2312" w:hAnsi="Times New Roman" w:eastAsia="仿宋_GB2312" w:cs="仿宋"/>
          <w:b w:val="0"/>
          <w:bCs w:val="0"/>
          <w:color w:val="auto"/>
          <w:kern w:val="2"/>
          <w:sz w:val="32"/>
          <w:szCs w:val="32"/>
          <w:highlight w:val="none"/>
          <w:lang w:val="en-US" w:eastAsia="zh-CN" w:bidi="ar-SA"/>
        </w:rPr>
        <w:t>%，</w:t>
      </w:r>
      <w:r>
        <w:rPr>
          <w:rFonts w:hint="eastAsia" w:hAnsi="Times New Roman" w:cs="仿宋"/>
          <w:b w:val="0"/>
          <w:bCs w:val="0"/>
          <w:color w:val="auto"/>
          <w:kern w:val="2"/>
          <w:sz w:val="32"/>
          <w:szCs w:val="32"/>
          <w:highlight w:val="none"/>
          <w:lang w:val="en-US" w:eastAsia="zh-CN" w:bidi="ar-SA"/>
        </w:rPr>
        <w:t>主要原因是疫情期间部分工作未能开展</w:t>
      </w:r>
      <w:r>
        <w:rPr>
          <w:rFonts w:hint="eastAsia" w:ascii="仿宋_GB2312" w:hAnsi="Times New Roman" w:eastAsia="仿宋_GB2312" w:cs="仿宋"/>
          <w:b w:val="0"/>
          <w:bCs w:val="0"/>
          <w:color w:val="auto"/>
          <w:kern w:val="2"/>
          <w:sz w:val="32"/>
          <w:szCs w:val="32"/>
          <w:highlight w:val="none"/>
          <w:lang w:val="en-US" w:eastAsia="zh-CN" w:bidi="ar-SA"/>
        </w:rPr>
        <w:t>；</w:t>
      </w:r>
    </w:p>
    <w:p>
      <w:pPr>
        <w:pStyle w:val="5"/>
        <w:ind w:firstLine="640"/>
        <w:rPr>
          <w:rFonts w:ascii="仿宋_GB2312" w:eastAsia="仿宋_GB2312" w:cs="仿宋"/>
          <w:color w:val="auto"/>
          <w:sz w:val="32"/>
          <w:szCs w:val="32"/>
          <w:highlight w:val="none"/>
        </w:rPr>
      </w:pPr>
      <w:r>
        <w:rPr>
          <w:rFonts w:hint="eastAsia" w:ascii="仿宋_GB2312" w:hAnsi="Times New Roman" w:eastAsia="仿宋_GB2312" w:cs="仿宋"/>
          <w:b w:val="0"/>
          <w:bCs w:val="0"/>
          <w:color w:val="auto"/>
          <w:kern w:val="2"/>
          <w:sz w:val="32"/>
          <w:szCs w:val="32"/>
          <w:highlight w:val="none"/>
          <w:lang w:val="en-US" w:eastAsia="zh-CN" w:bidi="ar-SA"/>
        </w:rPr>
        <w:t>（8）“2022年“访惠聚”驻村（社区）工作经费</w:t>
      </w:r>
      <w:r>
        <w:rPr>
          <w:rFonts w:hint="eastAsia" w:hAnsi="Times New Roman" w:cs="仿宋"/>
          <w:b w:val="0"/>
          <w:bCs w:val="0"/>
          <w:color w:val="auto"/>
          <w:kern w:val="2"/>
          <w:sz w:val="32"/>
          <w:szCs w:val="32"/>
          <w:highlight w:val="none"/>
          <w:lang w:val="en-US" w:eastAsia="zh-CN" w:bidi="ar-SA"/>
        </w:rPr>
        <w:t>3万元</w:t>
      </w:r>
      <w:r>
        <w:rPr>
          <w:rFonts w:hint="eastAsia" w:ascii="仿宋_GB2312" w:hAnsi="Times New Roman" w:eastAsia="仿宋_GB2312" w:cs="仿宋"/>
          <w:b w:val="0"/>
          <w:bCs w:val="0"/>
          <w:color w:val="auto"/>
          <w:kern w:val="2"/>
          <w:sz w:val="32"/>
          <w:szCs w:val="32"/>
          <w:highlight w:val="none"/>
          <w:lang w:val="en-US" w:eastAsia="zh-CN" w:bidi="ar-SA"/>
        </w:rPr>
        <w:t>”项目完成进度为100%，已支出</w:t>
      </w:r>
      <w:r>
        <w:rPr>
          <w:rFonts w:hint="eastAsia" w:hAnsi="Times New Roman" w:cs="仿宋"/>
          <w:b w:val="0"/>
          <w:bCs w:val="0"/>
          <w:color w:val="auto"/>
          <w:kern w:val="2"/>
          <w:sz w:val="32"/>
          <w:szCs w:val="32"/>
          <w:highlight w:val="none"/>
          <w:lang w:val="en-US" w:eastAsia="zh-CN" w:bidi="ar-SA"/>
        </w:rPr>
        <w:t>1.2</w:t>
      </w:r>
      <w:r>
        <w:rPr>
          <w:rFonts w:hint="eastAsia" w:ascii="仿宋_GB2312" w:hAnsi="Times New Roman" w:eastAsia="仿宋_GB2312" w:cs="仿宋"/>
          <w:b w:val="0"/>
          <w:bCs w:val="0"/>
          <w:color w:val="auto"/>
          <w:kern w:val="2"/>
          <w:sz w:val="32"/>
          <w:szCs w:val="32"/>
          <w:highlight w:val="none"/>
          <w:lang w:val="en-US" w:eastAsia="zh-CN" w:bidi="ar-SA"/>
        </w:rPr>
        <w:t>万元，预算执行率为</w:t>
      </w:r>
      <w:r>
        <w:rPr>
          <w:rFonts w:hint="eastAsia" w:hAnsi="Times New Roman" w:cs="仿宋"/>
          <w:b w:val="0"/>
          <w:bCs w:val="0"/>
          <w:color w:val="auto"/>
          <w:kern w:val="2"/>
          <w:sz w:val="32"/>
          <w:szCs w:val="32"/>
          <w:highlight w:val="none"/>
          <w:lang w:val="en-US" w:eastAsia="zh-CN" w:bidi="ar-SA"/>
        </w:rPr>
        <w:t>40</w:t>
      </w:r>
      <w:r>
        <w:rPr>
          <w:rFonts w:hint="eastAsia" w:ascii="仿宋_GB2312" w:hAnsi="Times New Roman" w:eastAsia="仿宋_GB2312" w:cs="仿宋"/>
          <w:b w:val="0"/>
          <w:bCs w:val="0"/>
          <w:color w:val="auto"/>
          <w:kern w:val="2"/>
          <w:sz w:val="32"/>
          <w:szCs w:val="32"/>
          <w:highlight w:val="none"/>
          <w:lang w:val="en-US" w:eastAsia="zh-CN" w:bidi="ar-SA"/>
        </w:rPr>
        <w:t>%，</w:t>
      </w:r>
      <w:r>
        <w:rPr>
          <w:rFonts w:hint="eastAsia" w:hAnsi="Times New Roman" w:cs="仿宋"/>
          <w:b w:val="0"/>
          <w:bCs w:val="0"/>
          <w:color w:val="auto"/>
          <w:kern w:val="2"/>
          <w:sz w:val="32"/>
          <w:szCs w:val="32"/>
          <w:highlight w:val="none"/>
          <w:lang w:val="en-US" w:eastAsia="zh-CN" w:bidi="ar-SA"/>
        </w:rPr>
        <w:t>主要原因是疫情期间部分工作未能开展</w:t>
      </w:r>
      <w:r>
        <w:rPr>
          <w:rFonts w:hint="eastAsia" w:ascii="仿宋_GB2312" w:hAnsi="Times New Roman" w:eastAsia="仿宋_GB2312" w:cs="仿宋"/>
          <w:b w:val="0"/>
          <w:bCs w:val="0"/>
          <w:color w:val="auto"/>
          <w:kern w:val="2"/>
          <w:sz w:val="32"/>
          <w:szCs w:val="32"/>
          <w:highlight w:val="none"/>
          <w:lang w:val="en-US" w:eastAsia="zh-CN" w:bidi="ar-SA"/>
        </w:rPr>
        <w:t>；</w:t>
      </w:r>
    </w:p>
    <w:p>
      <w:pPr>
        <w:ind w:firstLine="321" w:firstLineChars="100"/>
        <w:rPr>
          <w:rFonts w:ascii="仿宋_GB2312" w:eastAsia="仿宋_GB2312" w:cs="仿宋"/>
          <w:color w:val="auto"/>
          <w:sz w:val="32"/>
          <w:szCs w:val="32"/>
          <w:highlight w:val="none"/>
        </w:rPr>
      </w:pPr>
      <w:r>
        <w:rPr>
          <w:rFonts w:hint="eastAsia" w:ascii="仿宋_GB2312" w:eastAsia="仿宋_GB2312"/>
          <w:b/>
          <w:bCs/>
          <w:color w:val="auto"/>
          <w:sz w:val="32"/>
          <w:szCs w:val="32"/>
          <w:highlight w:val="none"/>
        </w:rPr>
        <w:t>5.项目效益性分析（预期目标完成程度、实施对经济和社会的影响）</w:t>
      </w:r>
    </w:p>
    <w:p>
      <w:pPr>
        <w:ind w:firstLine="640"/>
        <w:rPr>
          <w:rFonts w:ascii="仿宋_GB2312" w:eastAsia="仿宋_GB2312" w:cs="仿宋"/>
          <w:b/>
          <w:bCs/>
          <w:color w:val="auto"/>
          <w:sz w:val="32"/>
          <w:szCs w:val="32"/>
          <w:highlight w:val="none"/>
        </w:rPr>
      </w:pPr>
      <w:r>
        <w:rPr>
          <w:rFonts w:hint="eastAsia" w:ascii="仿宋_GB2312" w:eastAsia="仿宋_GB2312" w:cs="仿宋"/>
          <w:color w:val="auto"/>
          <w:sz w:val="32"/>
          <w:szCs w:val="32"/>
          <w:highlight w:val="none"/>
        </w:rPr>
        <w:t>202</w:t>
      </w:r>
      <w:r>
        <w:rPr>
          <w:rFonts w:hint="eastAsia" w:ascii="仿宋_GB2312" w:eastAsia="仿宋_GB2312" w:cs="仿宋"/>
          <w:color w:val="auto"/>
          <w:sz w:val="32"/>
          <w:szCs w:val="32"/>
          <w:highlight w:val="none"/>
          <w:lang w:val="en-US" w:eastAsia="zh-CN"/>
        </w:rPr>
        <w:t>2</w:t>
      </w:r>
      <w:r>
        <w:rPr>
          <w:rFonts w:hint="eastAsia" w:ascii="仿宋_GB2312" w:eastAsia="仿宋_GB2312" w:cs="仿宋"/>
          <w:color w:val="auto"/>
          <w:sz w:val="32"/>
          <w:szCs w:val="32"/>
          <w:highlight w:val="none"/>
        </w:rPr>
        <w:t>年，我单位以高效为核心价值，积极开展了</w:t>
      </w:r>
      <w:r>
        <w:rPr>
          <w:rFonts w:hint="eastAsia" w:ascii="仿宋_GB2312" w:eastAsia="仿宋_GB2312" w:cs="仿宋"/>
          <w:color w:val="auto"/>
          <w:sz w:val="32"/>
          <w:szCs w:val="32"/>
          <w:highlight w:val="none"/>
          <w:lang w:val="en-US" w:eastAsia="zh-CN"/>
        </w:rPr>
        <w:t>化解</w:t>
      </w:r>
      <w:r>
        <w:rPr>
          <w:rFonts w:hint="eastAsia" w:ascii="仿宋_GB2312" w:eastAsia="仿宋_GB2312" w:cs="仿宋"/>
          <w:color w:val="auto"/>
          <w:sz w:val="32"/>
          <w:szCs w:val="32"/>
          <w:highlight w:val="none"/>
          <w:lang w:eastAsia="zh-CN"/>
        </w:rPr>
        <w:t>信访疑难案件工作，</w:t>
      </w:r>
      <w:r>
        <w:rPr>
          <w:rFonts w:hint="eastAsia" w:ascii="仿宋_GB2312" w:eastAsia="仿宋_GB2312" w:cs="仿宋"/>
          <w:color w:val="auto"/>
          <w:sz w:val="32"/>
          <w:szCs w:val="32"/>
          <w:highlight w:val="none"/>
          <w:lang w:val="en-US" w:eastAsia="zh-CN"/>
        </w:rPr>
        <w:t>使用项目资金157.34</w:t>
      </w:r>
      <w:r>
        <w:rPr>
          <w:rFonts w:hint="eastAsia" w:ascii="仿宋_GB2312" w:eastAsia="仿宋_GB2312" w:cs="仿宋"/>
          <w:color w:val="auto"/>
          <w:sz w:val="32"/>
          <w:szCs w:val="32"/>
          <w:highlight w:val="none"/>
        </w:rPr>
        <w:t>万元，获得了较好的社会效益；</w:t>
      </w:r>
      <w:r>
        <w:rPr>
          <w:rFonts w:hint="eastAsia" w:ascii="仿宋_GB2312" w:eastAsia="仿宋_GB2312" w:cs="仿宋"/>
          <w:color w:val="auto"/>
          <w:sz w:val="32"/>
          <w:szCs w:val="32"/>
          <w:highlight w:val="none"/>
          <w:lang w:eastAsia="zh-CN"/>
        </w:rPr>
        <w:t>化解了多年未解决的信访案件，</w:t>
      </w:r>
      <w:r>
        <w:rPr>
          <w:rFonts w:hint="eastAsia" w:ascii="仿宋_GB2312" w:eastAsia="仿宋_GB2312" w:cs="仿宋"/>
          <w:color w:val="auto"/>
          <w:sz w:val="32"/>
          <w:szCs w:val="32"/>
          <w:highlight w:val="none"/>
        </w:rPr>
        <w:t>基层群众满意度达到90%。</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6"/>
        </w:numPr>
        <w:ind w:firstLine="643"/>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截止202</w:t>
      </w:r>
      <w:r>
        <w:rPr>
          <w:rFonts w:ascii="仿宋_GB2312" w:eastAsia="仿宋_GB2312"/>
          <w:color w:val="auto"/>
          <w:sz w:val="32"/>
          <w:szCs w:val="32"/>
          <w:highlight w:val="none"/>
        </w:rPr>
        <w:t>1</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980.3万元</w:t>
      </w:r>
      <w:r>
        <w:rPr>
          <w:rFonts w:hint="eastAsia" w:ascii="仿宋_GB2312" w:eastAsia="仿宋_GB2312"/>
          <w:color w:val="auto"/>
          <w:sz w:val="32"/>
          <w:szCs w:val="32"/>
          <w:highlight w:val="none"/>
        </w:rPr>
        <w:t>，较年初资产总额</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196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16.66</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其中：202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155.75</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148.42</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7.33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71</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，主要变动原因是：其他应付款项</w:t>
      </w:r>
      <w:r>
        <w:rPr>
          <w:rFonts w:hint="eastAsia" w:ascii="仿宋_GB2312" w:eastAsia="仿宋_GB2312"/>
          <w:color w:val="auto"/>
          <w:sz w:val="32"/>
          <w:szCs w:val="32"/>
          <w:highlight w:val="none"/>
          <w:lang w:eastAsia="zh-CN"/>
        </w:rPr>
        <w:t>逐步减少</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rPr>
        <w:t>1176.96</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rPr>
        <w:t>1</w:t>
      </w:r>
      <w:r>
        <w:rPr>
          <w:rFonts w:hint="eastAsia" w:ascii="仿宋_GB2312" w:eastAsia="仿宋_GB2312"/>
          <w:color w:val="auto"/>
          <w:sz w:val="32"/>
          <w:szCs w:val="32"/>
          <w:highlight w:val="none"/>
          <w:lang w:val="en-US" w:eastAsia="zh-CN"/>
        </w:rPr>
        <w:t>031.11</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145.85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12.39</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，主要变动原因是：调拨部分资产和</w:t>
      </w:r>
      <w:r>
        <w:rPr>
          <w:rFonts w:hint="eastAsia" w:ascii="仿宋_GB2312" w:eastAsia="仿宋_GB2312"/>
          <w:color w:val="auto"/>
          <w:sz w:val="32"/>
          <w:szCs w:val="32"/>
          <w:highlight w:val="none"/>
          <w:lang w:eastAsia="zh-CN"/>
        </w:rPr>
        <w:t>核减</w:t>
      </w:r>
      <w:r>
        <w:rPr>
          <w:rFonts w:hint="eastAsia" w:ascii="仿宋_GB2312" w:eastAsia="仿宋_GB2312"/>
          <w:color w:val="auto"/>
          <w:sz w:val="32"/>
          <w:szCs w:val="32"/>
          <w:highlight w:val="none"/>
          <w:lang w:val="en-US" w:eastAsia="zh-CN"/>
        </w:rPr>
        <w:t>4辆公务用车。</w:t>
      </w:r>
    </w:p>
    <w:p>
      <w:pPr>
        <w:pStyle w:val="4"/>
        <w:numPr>
          <w:ilvl w:val="0"/>
          <w:numId w:val="6"/>
        </w:numPr>
        <w:ind w:firstLine="643"/>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3"/>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hAnsi="宋体" w:eastAsia="仿宋_GB2312" w:cs="宋体"/>
          <w:color w:val="auto"/>
          <w:kern w:val="0"/>
          <w:sz w:val="32"/>
          <w:szCs w:val="32"/>
          <w:highlight w:val="none"/>
        </w:rPr>
      </w:pPr>
      <w:r>
        <w:rPr>
          <w:rFonts w:ascii="仿宋_GB2312" w:hAnsi="宋体" w:eastAsia="仿宋_GB2312" w:cs="宋体"/>
          <w:color w:val="auto"/>
          <w:kern w:val="0"/>
          <w:sz w:val="32"/>
          <w:szCs w:val="32"/>
          <w:highlight w:val="none"/>
        </w:rPr>
        <w:t>为了加强资产管理,增强单位管理资产意识以及相关</w:t>
      </w:r>
      <w:r>
        <w:rPr>
          <w:color w:val="auto"/>
          <w:highlight w:val="none"/>
        </w:rPr>
        <w:fldChar w:fldCharType="begin"/>
      </w:r>
      <w:r>
        <w:rPr>
          <w:color w:val="auto"/>
          <w:highlight w:val="none"/>
        </w:rPr>
        <w:instrText xml:space="preserve"> HYPERLINK "http://www.so.com/s?q=管理人员&amp;ie=utf-8&amp;src=internal_wenda_recommend_textn" </w:instrText>
      </w:r>
      <w:r>
        <w:rPr>
          <w:color w:val="auto"/>
          <w:highlight w:val="none"/>
        </w:rPr>
        <w:fldChar w:fldCharType="separate"/>
      </w:r>
      <w:r>
        <w:rPr>
          <w:rFonts w:ascii="仿宋_GB2312" w:hAnsi="宋体" w:eastAsia="仿宋_GB2312" w:cs="宋体"/>
          <w:color w:val="auto"/>
          <w:kern w:val="0"/>
          <w:sz w:val="32"/>
          <w:szCs w:val="32"/>
          <w:highlight w:val="none"/>
        </w:rPr>
        <w:t>管理人员</w:t>
      </w:r>
      <w:r>
        <w:rPr>
          <w:rFonts w:ascii="仿宋_GB2312" w:hAnsi="宋体" w:eastAsia="仿宋_GB2312" w:cs="宋体"/>
          <w:color w:val="auto"/>
          <w:kern w:val="0"/>
          <w:sz w:val="32"/>
          <w:szCs w:val="32"/>
          <w:highlight w:val="none"/>
        </w:rPr>
        <w:fldChar w:fldCharType="end"/>
      </w:r>
      <w:r>
        <w:rPr>
          <w:rFonts w:ascii="仿宋_GB2312" w:hAnsi="宋体" w:eastAsia="仿宋_GB2312" w:cs="宋体"/>
          <w:color w:val="auto"/>
          <w:kern w:val="0"/>
          <w:sz w:val="32"/>
          <w:szCs w:val="32"/>
          <w:highlight w:val="none"/>
        </w:rPr>
        <w:t>责任心,经</w:t>
      </w:r>
      <w:r>
        <w:rPr>
          <w:rFonts w:hint="eastAsia" w:ascii="仿宋_GB2312" w:hAnsi="宋体" w:eastAsia="仿宋_GB2312" w:cs="宋体"/>
          <w:color w:val="auto"/>
          <w:kern w:val="0"/>
          <w:sz w:val="32"/>
          <w:szCs w:val="32"/>
          <w:highlight w:val="none"/>
        </w:rPr>
        <w:t>单位领导</w:t>
      </w:r>
      <w:r>
        <w:rPr>
          <w:rFonts w:ascii="仿宋_GB2312" w:hAnsi="宋体" w:eastAsia="仿宋_GB2312" w:cs="宋体"/>
          <w:color w:val="auto"/>
          <w:kern w:val="0"/>
          <w:sz w:val="32"/>
          <w:szCs w:val="32"/>
          <w:highlight w:val="none"/>
        </w:rPr>
        <w:t>同意,成立了由</w:t>
      </w:r>
      <w:r>
        <w:rPr>
          <w:rFonts w:hint="eastAsia" w:ascii="仿宋_GB2312" w:hAnsi="宋体" w:eastAsia="仿宋_GB2312" w:cs="宋体"/>
          <w:color w:val="auto"/>
          <w:kern w:val="0"/>
          <w:sz w:val="32"/>
          <w:szCs w:val="32"/>
          <w:highlight w:val="none"/>
        </w:rPr>
        <w:t>潘多强副主任</w:t>
      </w:r>
      <w:r>
        <w:rPr>
          <w:rFonts w:ascii="仿宋_GB2312" w:hAnsi="宋体" w:eastAsia="仿宋_GB2312" w:cs="宋体"/>
          <w:color w:val="auto"/>
          <w:kern w:val="0"/>
          <w:sz w:val="32"/>
          <w:szCs w:val="32"/>
          <w:highlight w:val="none"/>
        </w:rPr>
        <w:t>任组长</w:t>
      </w:r>
      <w:r>
        <w:rPr>
          <w:rFonts w:hint="eastAsia" w:ascii="仿宋_GB2312" w:hAnsi="宋体" w:eastAsia="仿宋_GB2312" w:cs="宋体"/>
          <w:color w:val="auto"/>
          <w:kern w:val="0"/>
          <w:sz w:val="32"/>
          <w:szCs w:val="32"/>
          <w:highlight w:val="none"/>
        </w:rPr>
        <w:t>，张保红副主任任副组长的</w:t>
      </w:r>
      <w:r>
        <w:rPr>
          <w:rFonts w:ascii="仿宋_GB2312" w:hAnsi="宋体" w:eastAsia="仿宋_GB2312" w:cs="宋体"/>
          <w:color w:val="auto"/>
          <w:kern w:val="0"/>
          <w:sz w:val="32"/>
          <w:szCs w:val="32"/>
          <w:highlight w:val="none"/>
        </w:rPr>
        <w:t>的资产管理领导小组，</w:t>
      </w:r>
      <w:r>
        <w:rPr>
          <w:rFonts w:hint="eastAsia" w:ascii="仿宋_GB2312" w:hAnsi="宋体" w:eastAsia="仿宋_GB2312" w:cs="宋体"/>
          <w:color w:val="auto"/>
          <w:kern w:val="0"/>
          <w:sz w:val="32"/>
          <w:szCs w:val="32"/>
          <w:highlight w:val="none"/>
        </w:rPr>
        <w:t>领导下组下设办公室，成员由各科室负责人组成。</w:t>
      </w:r>
      <w:r>
        <w:rPr>
          <w:rFonts w:ascii="仿宋_GB2312" w:hAnsi="宋体" w:eastAsia="仿宋_GB2312" w:cs="宋体"/>
          <w:color w:val="auto"/>
          <w:kern w:val="0"/>
          <w:sz w:val="32"/>
          <w:szCs w:val="32"/>
          <w:highlight w:val="none"/>
        </w:rPr>
        <w:t>设立兼职</w:t>
      </w:r>
      <w:r>
        <w:rPr>
          <w:color w:val="auto"/>
          <w:highlight w:val="none"/>
        </w:rPr>
        <w:fldChar w:fldCharType="begin"/>
      </w:r>
      <w:r>
        <w:rPr>
          <w:color w:val="auto"/>
          <w:highlight w:val="none"/>
        </w:rPr>
        <w:instrText xml:space="preserve"> HYPERLINK "http://www.so.com/s?q=资产管理员&amp;ie=utf-8&amp;src=internal_wenda_recommend_textn" </w:instrText>
      </w:r>
      <w:r>
        <w:rPr>
          <w:color w:val="auto"/>
          <w:highlight w:val="none"/>
        </w:rPr>
        <w:fldChar w:fldCharType="separate"/>
      </w:r>
      <w:r>
        <w:rPr>
          <w:rFonts w:ascii="仿宋_GB2312" w:hAnsi="宋体" w:eastAsia="仿宋_GB2312" w:cs="宋体"/>
          <w:color w:val="auto"/>
          <w:kern w:val="0"/>
          <w:sz w:val="32"/>
          <w:szCs w:val="32"/>
          <w:highlight w:val="none"/>
        </w:rPr>
        <w:t>资产管理员</w:t>
      </w:r>
      <w:r>
        <w:rPr>
          <w:rFonts w:ascii="仿宋_GB2312" w:hAnsi="宋体" w:eastAsia="仿宋_GB2312" w:cs="宋体"/>
          <w:color w:val="auto"/>
          <w:kern w:val="0"/>
          <w:sz w:val="32"/>
          <w:szCs w:val="32"/>
          <w:highlight w:val="none"/>
        </w:rPr>
        <w:fldChar w:fldCharType="end"/>
      </w:r>
      <w:r>
        <w:rPr>
          <w:rFonts w:hint="eastAsia" w:ascii="仿宋_GB2312" w:hAnsi="宋体" w:eastAsia="仿宋_GB2312" w:cs="宋体"/>
          <w:color w:val="auto"/>
          <w:kern w:val="0"/>
          <w:sz w:val="32"/>
          <w:szCs w:val="32"/>
          <w:highlight w:val="none"/>
        </w:rPr>
        <w:t>一名，</w:t>
      </w:r>
      <w:r>
        <w:rPr>
          <w:rFonts w:ascii="仿宋_GB2312" w:hAnsi="宋体" w:eastAsia="仿宋_GB2312" w:cs="宋体"/>
          <w:color w:val="auto"/>
          <w:kern w:val="0"/>
          <w:sz w:val="32"/>
          <w:szCs w:val="32"/>
          <w:highlight w:val="none"/>
        </w:rPr>
        <w:t>并进一步明确了资产管理员的职责</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保证了资产管理信息畅通</w:t>
      </w:r>
      <w:r>
        <w:rPr>
          <w:rFonts w:hint="eastAsia" w:ascii="仿宋_GB2312" w:hAnsi="宋体" w:eastAsia="仿宋_GB2312" w:cs="宋体"/>
          <w:color w:val="auto"/>
          <w:kern w:val="0"/>
          <w:sz w:val="32"/>
          <w:szCs w:val="32"/>
          <w:highlight w:val="none"/>
        </w:rPr>
        <w:t>，</w:t>
      </w:r>
      <w:r>
        <w:rPr>
          <w:rFonts w:ascii="仿宋_GB2312" w:hAnsi="宋体" w:eastAsia="仿宋_GB2312" w:cs="宋体"/>
          <w:color w:val="auto"/>
          <w:kern w:val="0"/>
          <w:sz w:val="32"/>
          <w:szCs w:val="32"/>
          <w:highlight w:val="none"/>
        </w:rPr>
        <w:t>方便了</w:t>
      </w:r>
      <w:r>
        <w:rPr>
          <w:color w:val="auto"/>
          <w:highlight w:val="none"/>
        </w:rPr>
        <w:fldChar w:fldCharType="begin"/>
      </w:r>
      <w:r>
        <w:rPr>
          <w:color w:val="auto"/>
          <w:highlight w:val="none"/>
        </w:rPr>
        <w:instrText xml:space="preserve"> HYPERLINK "http://www.so.com/s?q=资产管理&amp;ie=utf-8&amp;src=internal_wenda_recommend_textn" </w:instrText>
      </w:r>
      <w:r>
        <w:rPr>
          <w:color w:val="auto"/>
          <w:highlight w:val="none"/>
        </w:rPr>
        <w:fldChar w:fldCharType="separate"/>
      </w:r>
      <w:r>
        <w:rPr>
          <w:rFonts w:ascii="仿宋_GB2312" w:hAnsi="宋体" w:eastAsia="仿宋_GB2312" w:cs="宋体"/>
          <w:color w:val="auto"/>
          <w:kern w:val="0"/>
          <w:sz w:val="32"/>
          <w:szCs w:val="32"/>
          <w:highlight w:val="none"/>
        </w:rPr>
        <w:t>资产管理</w:t>
      </w:r>
      <w:r>
        <w:rPr>
          <w:rFonts w:ascii="仿宋_GB2312" w:hAnsi="宋体" w:eastAsia="仿宋_GB2312" w:cs="宋体"/>
          <w:color w:val="auto"/>
          <w:kern w:val="0"/>
          <w:sz w:val="32"/>
          <w:szCs w:val="32"/>
          <w:highlight w:val="none"/>
        </w:rPr>
        <w:fldChar w:fldCharType="end"/>
      </w:r>
      <w:r>
        <w:rPr>
          <w:color w:val="auto"/>
          <w:highlight w:val="none"/>
        </w:rPr>
        <w:fldChar w:fldCharType="begin"/>
      </w:r>
      <w:r>
        <w:rPr>
          <w:color w:val="auto"/>
          <w:highlight w:val="none"/>
        </w:rPr>
        <w:instrText xml:space="preserve"> HYPERLINK "http://www.so.com/s?q=上下&amp;ie=utf-8&amp;src=internal_wenda_recommend_textn" </w:instrText>
      </w:r>
      <w:r>
        <w:rPr>
          <w:color w:val="auto"/>
          <w:highlight w:val="none"/>
        </w:rPr>
        <w:fldChar w:fldCharType="separate"/>
      </w:r>
      <w:r>
        <w:rPr>
          <w:rFonts w:ascii="仿宋_GB2312" w:hAnsi="宋体" w:eastAsia="仿宋_GB2312" w:cs="宋体"/>
          <w:color w:val="auto"/>
          <w:kern w:val="0"/>
          <w:sz w:val="32"/>
          <w:szCs w:val="32"/>
          <w:highlight w:val="none"/>
        </w:rPr>
        <w:t>上下</w:t>
      </w:r>
      <w:r>
        <w:rPr>
          <w:rFonts w:ascii="仿宋_GB2312" w:hAnsi="宋体" w:eastAsia="仿宋_GB2312" w:cs="宋体"/>
          <w:color w:val="auto"/>
          <w:kern w:val="0"/>
          <w:sz w:val="32"/>
          <w:szCs w:val="32"/>
          <w:highlight w:val="none"/>
        </w:rPr>
        <w:fldChar w:fldCharType="end"/>
      </w:r>
      <w:r>
        <w:rPr>
          <w:rFonts w:ascii="仿宋_GB2312" w:hAnsi="宋体" w:eastAsia="仿宋_GB2312" w:cs="宋体"/>
          <w:color w:val="auto"/>
          <w:kern w:val="0"/>
          <w:sz w:val="32"/>
          <w:szCs w:val="32"/>
          <w:highlight w:val="none"/>
        </w:rPr>
        <w:t>沟通与衔接</w:t>
      </w:r>
      <w:r>
        <w:rPr>
          <w:rFonts w:hint="eastAsia" w:ascii="仿宋_GB2312" w:hAnsi="宋体" w:eastAsia="仿宋_GB2312" w:cs="宋体"/>
          <w:color w:val="auto"/>
          <w:kern w:val="0"/>
          <w:sz w:val="32"/>
          <w:szCs w:val="32"/>
          <w:highlight w:val="none"/>
        </w:rPr>
        <w:t>，对单位</w:t>
      </w:r>
      <w:r>
        <w:rPr>
          <w:rFonts w:ascii="仿宋_GB2312" w:hAnsi="宋体" w:eastAsia="仿宋_GB2312" w:cs="宋体"/>
          <w:color w:val="auto"/>
          <w:kern w:val="0"/>
          <w:sz w:val="32"/>
          <w:szCs w:val="32"/>
          <w:highlight w:val="none"/>
        </w:rPr>
        <w:t>资产的</w:t>
      </w:r>
      <w:r>
        <w:rPr>
          <w:rFonts w:hint="eastAsia" w:ascii="仿宋_GB2312" w:hAnsi="宋体" w:eastAsia="仿宋_GB2312" w:cs="宋体"/>
          <w:color w:val="auto"/>
          <w:kern w:val="0"/>
          <w:sz w:val="32"/>
          <w:szCs w:val="32"/>
          <w:highlight w:val="none"/>
        </w:rPr>
        <w:t>管理更加合规、使用更加高效。进一步完善了</w:t>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昌吉市人民政府办公室</w:t>
      </w:r>
      <w:r>
        <w:rPr>
          <w:color w:val="auto"/>
          <w:highlight w:val="none"/>
        </w:rPr>
        <w:fldChar w:fldCharType="begin"/>
      </w:r>
      <w:r>
        <w:rPr>
          <w:color w:val="auto"/>
          <w:highlight w:val="none"/>
        </w:rPr>
        <w:instrText xml:space="preserve"> HYPERLINK "http://www.so.com/s?q=固定资产管理制度&amp;ie=utf-8&amp;src=internal_wenda_recommend_textn" </w:instrText>
      </w:r>
      <w:r>
        <w:rPr>
          <w:color w:val="auto"/>
          <w:highlight w:val="none"/>
        </w:rPr>
        <w:fldChar w:fldCharType="separate"/>
      </w:r>
      <w:r>
        <w:rPr>
          <w:rFonts w:ascii="仿宋_GB2312" w:hAnsi="宋体" w:eastAsia="仿宋_GB2312" w:cs="宋体"/>
          <w:color w:val="auto"/>
          <w:kern w:val="0"/>
          <w:sz w:val="32"/>
          <w:szCs w:val="32"/>
          <w:highlight w:val="none"/>
        </w:rPr>
        <w:t>固定资产管理制度</w:t>
      </w:r>
      <w:r>
        <w:rPr>
          <w:rFonts w:ascii="仿宋_GB2312" w:hAnsi="宋体" w:eastAsia="仿宋_GB2312" w:cs="宋体"/>
          <w:color w:val="auto"/>
          <w:kern w:val="0"/>
          <w:sz w:val="32"/>
          <w:szCs w:val="32"/>
          <w:highlight w:val="none"/>
        </w:rPr>
        <w:fldChar w:fldCharType="end"/>
      </w:r>
      <w:r>
        <w:rPr>
          <w:rFonts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rPr>
        <w:t>中国共产党昌吉市委员会办公室资产清查制度》、《</w:t>
      </w:r>
      <w:r>
        <w:rPr>
          <w:rFonts w:ascii="仿宋_GB2312" w:hAnsi="宋体" w:eastAsia="仿宋_GB2312" w:cs="宋体"/>
          <w:color w:val="auto"/>
          <w:kern w:val="0"/>
          <w:sz w:val="32"/>
          <w:szCs w:val="32"/>
          <w:highlight w:val="none"/>
        </w:rPr>
        <w:t>固定资产管理人员工作职责》。</w:t>
      </w:r>
      <w:r>
        <w:rPr>
          <w:rFonts w:hint="eastAsia" w:ascii="仿宋_GB2312" w:hAnsi="宋体" w:eastAsia="仿宋_GB2312" w:cs="宋体"/>
          <w:color w:val="auto"/>
          <w:kern w:val="0"/>
          <w:sz w:val="32"/>
          <w:szCs w:val="32"/>
          <w:highlight w:val="none"/>
        </w:rPr>
        <w:t>建立健全资产管理制度，合理配备并节约、有效使用资产，提高资产使用效率，保障资产的安全和完整。管理和使用坚持统一政策、统一领导、分级管理、职责到人、物尽其用的原则。行管科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81" w:firstLineChars="213"/>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numPr>
          <w:ilvl w:val="0"/>
          <w:numId w:val="3"/>
        </w:numPr>
        <w:ind w:left="0" w:leftChars="0" w:firstLine="643" w:firstLineChars="200"/>
        <w:jc w:val="left"/>
        <w:rPr>
          <w:rFonts w:hint="eastAsia"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流动资产的管理</w:t>
      </w:r>
    </w:p>
    <w:p>
      <w:pPr>
        <w:numPr>
          <w:ilvl w:val="0"/>
          <w:numId w:val="0"/>
        </w:numPr>
        <w:ind w:leftChars="200" w:firstLine="640" w:firstLineChars="20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流动资产严格按照我单位内控体系要求进行管理，无备用金，单位货币资金管理账务室每月与国库支付中心进行对账。</w:t>
      </w:r>
    </w:p>
    <w:p>
      <w:pPr>
        <w:ind w:firstLine="643"/>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10"/>
        <w:widowControl/>
        <w:spacing w:before="40" w:beforeAutospacing="0" w:after="0" w:afterAutospacing="0"/>
        <w:ind w:firstLine="640"/>
        <w:jc w:val="both"/>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hAnsi="宋体" w:eastAsia="仿宋_GB2312" w:cs="宋体"/>
          <w:color w:val="auto"/>
          <w:kern w:val="0"/>
          <w:sz w:val="32"/>
          <w:szCs w:val="32"/>
          <w:highlight w:val="none"/>
        </w:rPr>
      </w:pPr>
      <w:r>
        <w:rPr>
          <w:rFonts w:hint="eastAsia" w:ascii="仿宋_GB2312" w:eastAsia="仿宋_GB2312"/>
          <w:bCs/>
          <w:color w:val="auto"/>
          <w:spacing w:val="-4"/>
          <w:sz w:val="32"/>
          <w:szCs w:val="32"/>
          <w:highlight w:val="none"/>
        </w:rPr>
        <w:t>202</w:t>
      </w:r>
      <w:r>
        <w:rPr>
          <w:rFonts w:hint="eastAsia" w:ascii="仿宋_GB2312" w:eastAsia="仿宋_GB2312"/>
          <w:bCs/>
          <w:color w:val="auto"/>
          <w:spacing w:val="-4"/>
          <w:sz w:val="32"/>
          <w:szCs w:val="32"/>
          <w:highlight w:val="none"/>
          <w:lang w:val="en-US" w:eastAsia="zh-CN"/>
        </w:rPr>
        <w:t>2</w:t>
      </w:r>
      <w:r>
        <w:rPr>
          <w:rFonts w:hint="eastAsia" w:ascii="仿宋_GB2312" w:eastAsia="仿宋_GB2312"/>
          <w:bCs/>
          <w:color w:val="auto"/>
          <w:spacing w:val="-4"/>
          <w:sz w:val="32"/>
          <w:szCs w:val="32"/>
          <w:highlight w:val="none"/>
        </w:rPr>
        <w:t>年度，</w:t>
      </w:r>
      <w:r>
        <w:rPr>
          <w:rFonts w:hint="eastAsia" w:ascii="仿宋_GB2312" w:eastAsia="仿宋_GB2312"/>
          <w:bCs/>
          <w:color w:val="auto"/>
          <w:spacing w:val="-4"/>
          <w:sz w:val="32"/>
          <w:szCs w:val="32"/>
          <w:highlight w:val="none"/>
          <w:lang w:eastAsia="zh-CN"/>
        </w:rPr>
        <w:t>昌吉市人民政府</w:t>
      </w:r>
      <w:r>
        <w:rPr>
          <w:rFonts w:hint="eastAsia" w:ascii="仿宋_GB2312" w:hAnsi="宋体" w:eastAsia="仿宋_GB2312" w:cs="宋体"/>
          <w:color w:val="auto"/>
          <w:kern w:val="0"/>
          <w:sz w:val="32"/>
          <w:szCs w:val="32"/>
          <w:highlight w:val="none"/>
        </w:rPr>
        <w:t>办公室</w:t>
      </w:r>
      <w:r>
        <w:rPr>
          <w:rFonts w:hint="eastAsia" w:ascii="仿宋_GB2312" w:eastAsia="仿宋_GB2312"/>
          <w:bCs/>
          <w:color w:val="auto"/>
          <w:spacing w:val="-4"/>
          <w:sz w:val="32"/>
          <w:szCs w:val="32"/>
          <w:highlight w:val="none"/>
        </w:rPr>
        <w:t>部门单位整体支出绩效目标共设置一级指标3个，二级</w:t>
      </w:r>
      <w:r>
        <w:rPr>
          <w:rFonts w:hint="eastAsia" w:ascii="仿宋_GB2312" w:hAnsi="宋体" w:eastAsia="仿宋_GB2312" w:cs="宋体"/>
          <w:color w:val="auto"/>
          <w:kern w:val="0"/>
          <w:sz w:val="32"/>
          <w:szCs w:val="32"/>
          <w:highlight w:val="none"/>
        </w:rPr>
        <w:t>指标7个，三级指标1</w:t>
      </w:r>
      <w:r>
        <w:rPr>
          <w:rFonts w:hint="eastAsia" w:ascii="仿宋_GB2312" w:hAnsi="宋体" w:eastAsia="仿宋_GB2312" w:cs="宋体"/>
          <w:color w:val="auto"/>
          <w:kern w:val="0"/>
          <w:sz w:val="32"/>
          <w:szCs w:val="32"/>
          <w:highlight w:val="none"/>
          <w:lang w:val="en-US" w:eastAsia="zh-CN"/>
        </w:rPr>
        <w:t>1</w:t>
      </w:r>
      <w:r>
        <w:rPr>
          <w:rFonts w:hint="eastAsia" w:ascii="仿宋_GB2312" w:hAnsi="宋体" w:eastAsia="仿宋_GB2312" w:cs="宋体"/>
          <w:color w:val="auto"/>
          <w:kern w:val="0"/>
          <w:sz w:val="32"/>
          <w:szCs w:val="32"/>
          <w:highlight w:val="none"/>
        </w:rPr>
        <w:t>个，其中：已完成三级指标10个，指标完成率为100%。</w:t>
      </w:r>
    </w:p>
    <w:p>
      <w:pPr>
        <w:pStyle w:val="5"/>
        <w:ind w:firstLine="643"/>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“公务保障用车数量”指标：预期指标值为“</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“保障办公人员数量”指标：预期指标值为“</w:t>
      </w:r>
      <w:r>
        <w:rPr>
          <w:rFonts w:hint="eastAsia" w:ascii="仿宋_GB2312" w:eastAsia="仿宋_GB2312"/>
          <w:color w:val="auto"/>
          <w:sz w:val="32"/>
          <w:szCs w:val="32"/>
          <w:highlight w:val="none"/>
          <w:lang w:val="en-US" w:eastAsia="zh-CN"/>
        </w:rPr>
        <w:t>76</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76</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“公用经费支出及时率”指标：预期指标值为“</w:t>
      </w:r>
      <w:r>
        <w:rPr>
          <w:rFonts w:hint="eastAsia" w:ascii="仿宋_GB2312" w:eastAsia="仿宋_GB2312"/>
          <w:color w:val="auto"/>
          <w:sz w:val="32"/>
          <w:szCs w:val="32"/>
          <w:highlight w:val="none"/>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rPr>
        <w: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rPr>
        <w:t>100%</w:t>
      </w:r>
      <w:r>
        <w:rPr>
          <w:rFonts w:hint="eastAsia" w:ascii="仿宋_GB2312" w:eastAsia="仿宋_GB2312"/>
          <w:color w:val="auto"/>
          <w:sz w:val="32"/>
          <w:szCs w:val="32"/>
          <w:highlight w:val="none"/>
        </w:rPr>
        <w:t>%;</w:t>
      </w:r>
    </w:p>
    <w:p>
      <w:pPr>
        <w:ind w:firstLine="560"/>
        <w:rPr>
          <w:color w:val="auto"/>
          <w:highlight w:val="none"/>
        </w:rPr>
      </w:pPr>
      <w:r>
        <w:rPr>
          <w:rFonts w:hint="eastAsia"/>
          <w:color w:val="auto"/>
          <w:highlight w:val="none"/>
        </w:rPr>
        <w:t>“完成时限</w:t>
      </w:r>
      <w:r>
        <w:rPr>
          <w:rFonts w:hint="eastAsia" w:ascii="仿宋_GB2312" w:eastAsia="仿宋_GB2312"/>
          <w:color w:val="auto"/>
          <w:sz w:val="32"/>
          <w:szCs w:val="32"/>
          <w:highlight w:val="none"/>
        </w:rPr>
        <w:t>”指标</w:t>
      </w:r>
      <w:r>
        <w:rPr>
          <w:rFonts w:hint="eastAsia" w:ascii="仿宋_GB2312" w:eastAsia="仿宋_GB2312"/>
          <w:color w:val="auto"/>
          <w:sz w:val="32"/>
          <w:szCs w:val="32"/>
          <w:highlight w:val="none"/>
        </w:rPr>
        <w:t>：预期指标值为“</w:t>
      </w:r>
      <w:r>
        <w:rPr>
          <w:rFonts w:hint="eastAsia" w:ascii="仿宋_GB2312" w:eastAsia="仿宋_GB2312"/>
          <w:color w:val="auto"/>
          <w:sz w:val="32"/>
          <w:szCs w:val="32"/>
          <w:highlight w:val="none"/>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rPr>
        <w: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完成时间</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“人均运转经费数”指标：预期指标值为“</w:t>
      </w:r>
      <w:r>
        <w:rPr>
          <w:rFonts w:hint="eastAsia" w:ascii="仿宋_GB2312" w:eastAsia="仿宋_GB2312"/>
          <w:color w:val="auto"/>
          <w:sz w:val="32"/>
          <w:szCs w:val="32"/>
          <w:highlight w:val="none"/>
          <w:lang w:val="en-US" w:eastAsia="zh-CN"/>
        </w:rPr>
        <w:t>1.65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1.65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“人员经费”指标：预期指标值为“</w:t>
      </w:r>
      <w:r>
        <w:rPr>
          <w:rFonts w:hint="eastAsia" w:ascii="仿宋_GB2312" w:eastAsia="仿宋_GB2312"/>
          <w:color w:val="auto"/>
          <w:sz w:val="32"/>
          <w:szCs w:val="32"/>
          <w:highlight w:val="none"/>
          <w:lang w:val="en-US" w:eastAsia="zh-CN"/>
        </w:rPr>
        <w:t>12.44</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12.44</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w:t>
      </w:r>
      <w:r>
        <w:rPr>
          <w:rFonts w:hint="eastAsia" w:ascii="仿宋_GB2312" w:eastAsia="仿宋_GB2312"/>
          <w:color w:val="auto"/>
          <w:sz w:val="32"/>
          <w:szCs w:val="32"/>
          <w:highlight w:val="none"/>
        </w:rPr>
        <w:t>%;</w:t>
      </w:r>
    </w:p>
    <w:p>
      <w:pPr>
        <w:pStyle w:val="5"/>
        <w:ind w:firstLine="643"/>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“促进保障昌吉市中心工作和中心任务完成”指标：预期指标值为“</w:t>
      </w:r>
      <w:r>
        <w:rPr>
          <w:rFonts w:hint="eastAsia" w:ascii="仿宋_GB2312" w:eastAsia="仿宋_GB2312"/>
          <w:color w:val="auto"/>
          <w:sz w:val="32"/>
          <w:szCs w:val="32"/>
          <w:highlight w:val="none"/>
          <w:lang w:val="en-US" w:eastAsia="zh-CN"/>
        </w:rPr>
        <w:t>得到</w:t>
      </w:r>
      <w:r>
        <w:rPr>
          <w:rFonts w:hint="eastAsia" w:ascii="仿宋_GB2312" w:eastAsia="仿宋_GB2312"/>
          <w:color w:val="auto"/>
          <w:sz w:val="32"/>
          <w:szCs w:val="32"/>
          <w:highlight w:val="none"/>
        </w:rPr>
        <w:t>保障</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得到</w:t>
      </w:r>
      <w:r>
        <w:rPr>
          <w:rFonts w:hint="eastAsia" w:ascii="仿宋_GB2312" w:eastAsia="仿宋_GB2312"/>
          <w:color w:val="auto"/>
          <w:sz w:val="32"/>
          <w:szCs w:val="32"/>
          <w:highlight w:val="none"/>
        </w:rPr>
        <w:t>保障</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“更好的服务全市人民群众，推动昌吉市的发展”指标：预期指标值为“</w:t>
      </w:r>
      <w:r>
        <w:rPr>
          <w:rFonts w:hint="eastAsia" w:ascii="仿宋_GB2312" w:eastAsia="仿宋_GB2312"/>
          <w:color w:val="auto"/>
          <w:sz w:val="32"/>
          <w:szCs w:val="32"/>
          <w:highlight w:val="none"/>
          <w:lang w:val="en-US" w:eastAsia="zh-CN"/>
        </w:rPr>
        <w:t>逐步推动</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得到</w:t>
      </w:r>
      <w:r>
        <w:rPr>
          <w:rFonts w:hint="eastAsia" w:ascii="仿宋_GB2312" w:eastAsia="仿宋_GB2312"/>
          <w:color w:val="auto"/>
          <w:sz w:val="32"/>
          <w:szCs w:val="32"/>
          <w:highlight w:val="none"/>
        </w:rPr>
        <w:t>保障</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w:t>
      </w:r>
      <w:r>
        <w:rPr>
          <w:rFonts w:hint="eastAsia" w:ascii="仿宋_GB2312" w:eastAsia="仿宋_GB2312"/>
          <w:color w:val="auto"/>
          <w:sz w:val="32"/>
          <w:szCs w:val="32"/>
          <w:highlight w:val="none"/>
        </w:rPr>
        <w:t>%;</w:t>
      </w:r>
    </w:p>
    <w:p>
      <w:pPr>
        <w:pStyle w:val="5"/>
        <w:ind w:firstLine="643"/>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“管理的行政事业单位满意度”指标：预期指标值为“</w:t>
      </w:r>
      <w:r>
        <w:rPr>
          <w:rFonts w:hint="eastAsia" w:ascii="仿宋_GB2312" w:eastAsia="仿宋_GB2312"/>
          <w:color w:val="auto"/>
          <w:sz w:val="32"/>
          <w:szCs w:val="32"/>
          <w:highlight w:val="none"/>
        </w:rPr>
        <w:t>9</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rPr>
        <w:t>9</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w:t>
      </w:r>
      <w:r>
        <w:rPr>
          <w:rFonts w:hint="eastAsia" w:ascii="仿宋_GB2312" w:eastAsia="仿宋_GB2312"/>
          <w:color w:val="auto"/>
          <w:sz w:val="32"/>
          <w:szCs w:val="32"/>
          <w:highlight w:val="none"/>
        </w:rPr>
        <w:t>%;</w:t>
      </w:r>
    </w:p>
    <w:p>
      <w:pPr>
        <w:ind w:firstLine="640"/>
        <w:rPr>
          <w:color w:val="auto"/>
          <w:highlight w:val="none"/>
        </w:rPr>
      </w:pPr>
      <w:r>
        <w:rPr>
          <w:rFonts w:hint="eastAsia" w:ascii="仿宋_GB2312" w:eastAsia="仿宋_GB2312"/>
          <w:color w:val="auto"/>
          <w:sz w:val="32"/>
          <w:szCs w:val="32"/>
          <w:highlight w:val="none"/>
        </w:rPr>
        <w:t>“职工满意度”指标：预期指标值为“</w:t>
      </w:r>
      <w:r>
        <w:rPr>
          <w:rFonts w:hint="eastAsia" w:ascii="仿宋_GB2312" w:eastAsia="仿宋_GB2312"/>
          <w:color w:val="auto"/>
          <w:sz w:val="32"/>
          <w:szCs w:val="32"/>
          <w:highlight w:val="none"/>
        </w:rPr>
        <w:t>9</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rPr>
        <w:t>9</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w:t>
      </w:r>
      <w:r>
        <w:rPr>
          <w:rFonts w:hint="eastAsia" w:ascii="仿宋_GB2312" w:eastAsia="仿宋_GB2312"/>
          <w:color w:val="auto"/>
          <w:sz w:val="32"/>
          <w:szCs w:val="32"/>
          <w:highlight w:val="none"/>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ind w:firstLine="640"/>
        <w:jc w:val="left"/>
        <w:rPr>
          <w:rFonts w:hint="default"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年本单位整体支出绩效目标</w:t>
      </w:r>
      <w:r>
        <w:rPr>
          <w:rFonts w:hint="eastAsia" w:ascii="仿宋_GB2312" w:hAnsi="宋体" w:eastAsia="仿宋_GB2312" w:cs="宋体"/>
          <w:color w:val="auto"/>
          <w:kern w:val="0"/>
          <w:sz w:val="32"/>
          <w:szCs w:val="32"/>
          <w:highlight w:val="none"/>
          <w:lang w:val="en-US" w:eastAsia="zh-CN"/>
        </w:rPr>
        <w:t>部分未</w:t>
      </w:r>
      <w:r>
        <w:rPr>
          <w:rFonts w:hint="eastAsia" w:ascii="仿宋_GB2312" w:hAnsi="宋体" w:eastAsia="仿宋_GB2312" w:cs="宋体"/>
          <w:color w:val="auto"/>
          <w:kern w:val="0"/>
          <w:sz w:val="32"/>
          <w:szCs w:val="32"/>
          <w:highlight w:val="none"/>
        </w:rPr>
        <w:t>达成，</w:t>
      </w:r>
      <w:r>
        <w:rPr>
          <w:rFonts w:hint="eastAsia" w:ascii="仿宋_GB2312" w:hAnsi="宋体" w:eastAsia="仿宋_GB2312" w:cs="宋体"/>
          <w:color w:val="auto"/>
          <w:kern w:val="0"/>
          <w:sz w:val="32"/>
          <w:szCs w:val="32"/>
          <w:highlight w:val="none"/>
          <w:lang w:val="en-US" w:eastAsia="zh-CN"/>
        </w:rPr>
        <w:t>主要原因是疫情原因导致部分项目无法正常开展。</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 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 进一步加强单位内部各科室的预算管理意识及全局意识，单位组织学习预算绩效管理的相关内容，提高对绩效管理工作的重视程度，使各科室间能相互配合，严格按照预算编制相关制度、要求，科学合理的进行绩效目标申请表的编制。</w:t>
      </w:r>
    </w:p>
    <w:p>
      <w:pPr>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 不定期进行绩效过程监控，及时发现问题及时调整。</w:t>
      </w:r>
    </w:p>
    <w:p>
      <w:pPr>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4. 在实际操作中，不断总结经验，向上级部门和统计部门学习，掌握丰富的工作经验，加以完善。</w:t>
      </w:r>
    </w:p>
    <w:p>
      <w:pPr>
        <w:pStyle w:val="3"/>
        <w:ind w:firstLine="640"/>
        <w:rPr>
          <w:rFonts w:hint="eastAsia" w:ascii="黑体" w:hAnsi="黑体"/>
          <w:b w:val="0"/>
          <w:color w:val="auto"/>
          <w:sz w:val="32"/>
          <w:szCs w:val="32"/>
          <w:highlight w:val="none"/>
        </w:rPr>
      </w:pPr>
    </w:p>
    <w:p>
      <w:pPr>
        <w:pStyle w:val="3"/>
        <w:ind w:firstLine="640"/>
        <w:rPr>
          <w:rFonts w:hint="eastAsia" w:ascii="黑体" w:hAnsi="黑体"/>
          <w:b w:val="0"/>
          <w:color w:val="auto"/>
          <w:sz w:val="32"/>
          <w:szCs w:val="32"/>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W w:w="0" w:type="auto"/>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84"/>
        <w:gridCol w:w="515"/>
        <w:gridCol w:w="544"/>
        <w:gridCol w:w="1132"/>
        <w:gridCol w:w="1029"/>
        <w:gridCol w:w="1105"/>
        <w:gridCol w:w="676"/>
        <w:gridCol w:w="1156"/>
        <w:gridCol w:w="1105"/>
        <w:gridCol w:w="6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0" w:type="auto"/>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auto"/>
                <w:sz w:val="40"/>
                <w:szCs w:val="40"/>
                <w:highlight w:val="none"/>
                <w:u w:val="none"/>
              </w:rPr>
            </w:pPr>
            <w:r>
              <w:rPr>
                <w:rFonts w:hint="default" w:ascii="方正小标宋简体" w:hAnsi="方正小标宋简体" w:eastAsia="方正小标宋简体" w:cs="方正小标宋简体"/>
                <w:i w:val="0"/>
                <w:iCs w:val="0"/>
                <w:color w:val="auto"/>
                <w:kern w:val="0"/>
                <w:sz w:val="40"/>
                <w:szCs w:val="40"/>
                <w:highlight w:val="none"/>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0" w:type="auto"/>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昌吉市人民政府办公室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年度主要任务</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任务名称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主要内容</w:t>
            </w:r>
          </w:p>
        </w:tc>
        <w:tc>
          <w:tcPr>
            <w:tcW w:w="0" w:type="auto"/>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预算金额（万元）</w:t>
            </w: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公用经费</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主要用于保障办公费和公务用车支出。</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155.85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155.85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124.08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124.08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人员经费</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主要用于64名在职人员和12名临时工工资、社保、公积金、津贴发放。</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945.62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945.62</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1076</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合　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1101.47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1101.47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1200.08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1200.08</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预期目标</w:t>
            </w:r>
          </w:p>
        </w:tc>
        <w:tc>
          <w:tcPr>
            <w:tcW w:w="0" w:type="auto"/>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本年度计划投入1101.47万元。主要用于保障政府办公室及下属单位办公正常运转155.85万元。其次保障15辆公务用车运转62万元。保障64名在职职工、12名聘用人员工资和社保发放945.62万元。办公费开支63.85万元。保障全市68名信访工作人员信访津贴正常发放。职能：负责昌吉市人民政府会议的筹备工作，并做好会议记录，整理会议记录，协助市人民政府领导组织会议实现的实运转施，负责政府领导参加重大活动的协调和安排工作，负责指导、监督昌吉市政务公开及政府信息公开工作。</w:t>
            </w:r>
          </w:p>
        </w:tc>
        <w:tc>
          <w:tcPr>
            <w:tcW w:w="0" w:type="auto"/>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本年度计划投入1101.47万元。保障了政府办公室及下属单位的正常运行，共计支出155.85万元。其次保障15辆公务用车运转支出51.47万元。保障了64名在职职工、12名聘用人员工资和社保的缴纳和发放共计1076万元。办公费开支124.08万元。保障了全市68名信访工作人员信访津贴的正常发放。保障了昌吉市人民政府会议的工常开展，协助市人民政府领导组织会议的实运转施，保障了市政府领导参加重大活动的协调指导、监督昌吉市政务公开及政府信息公开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年度绩效指标完成情况</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二级指标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三级指标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绩效目标值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指标分值</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项目完成</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公务保障用车数量</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=15.00辆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保障办公人员数量</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&lt;=76.00个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&lt;=76个</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办公室正常运行率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公用经费支出及时率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完成时限</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2022年12月31日</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人均运转经费数</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&lt;=1.65万元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&lt;=1.65万元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人员经费</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&lt;=12.44万元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&lt;=12.44万元</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项目效益</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经济效益指标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促进保障昌吉市中心工作和中心任务完成</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保障</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生态效益指标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可持续影响指标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更好的服务全市人民群众，推动昌吉市的发展</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逐步推动</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满意度指标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管理的行政事业单位满意度</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职工满意度</w:t>
            </w:r>
          </w:p>
        </w:tc>
        <w:tc>
          <w:tcPr>
            <w:tcW w:w="0" w:type="auto"/>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r>
    </w:tbl>
    <w:p>
      <w:pPr>
        <w:ind w:firstLine="640"/>
        <w:rPr>
          <w:rFonts w:ascii="仿宋_GB2312" w:eastAsia="仿宋_GB2312"/>
          <w:color w:val="auto"/>
          <w:sz w:val="32"/>
          <w:szCs w:val="32"/>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7</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7">
    <w:nsid w:val="6B25BBCA"/>
    <w:multiLevelType w:val="singleLevel"/>
    <w:tmpl w:val="6B25BBCA"/>
    <w:lvl w:ilvl="0" w:tentative="0">
      <w:start w:val="1"/>
      <w:numFmt w:val="decimal"/>
      <w:lvlText w:val="%1."/>
      <w:lvlJc w:val="left"/>
      <w:pPr>
        <w:tabs>
          <w:tab w:val="left" w:pos="312"/>
        </w:tabs>
      </w:pPr>
    </w:lvl>
  </w:abstractNum>
  <w:num w:numId="1">
    <w:abstractNumId w:val="7"/>
  </w:num>
  <w:num w:numId="2">
    <w:abstractNumId w:val="5"/>
  </w:num>
  <w:num w:numId="3">
    <w:abstractNumId w:val="4"/>
  </w:num>
  <w:num w:numId="4">
    <w:abstractNumId w:val="6"/>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g1ZGZhM2IyYWRkMzA0MDQ5MWUwYzQwZDY5MmE4ZWEifQ=="/>
  </w:docVars>
  <w:rsids>
    <w:rsidRoot w:val="005736CA"/>
    <w:rsid w:val="00012408"/>
    <w:rsid w:val="000127F0"/>
    <w:rsid w:val="00012F5F"/>
    <w:rsid w:val="00201A4A"/>
    <w:rsid w:val="002153DD"/>
    <w:rsid w:val="002640E4"/>
    <w:rsid w:val="00266868"/>
    <w:rsid w:val="002E4F28"/>
    <w:rsid w:val="003912D9"/>
    <w:rsid w:val="003B184C"/>
    <w:rsid w:val="003F473D"/>
    <w:rsid w:val="00455E2F"/>
    <w:rsid w:val="00485980"/>
    <w:rsid w:val="004D4927"/>
    <w:rsid w:val="004E4CA7"/>
    <w:rsid w:val="005736CA"/>
    <w:rsid w:val="005A124E"/>
    <w:rsid w:val="005D3F17"/>
    <w:rsid w:val="005E5D6E"/>
    <w:rsid w:val="005F7A93"/>
    <w:rsid w:val="00601640"/>
    <w:rsid w:val="00617C63"/>
    <w:rsid w:val="006F0881"/>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2F1310"/>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602DA"/>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4164A"/>
    <w:rsid w:val="195864BB"/>
    <w:rsid w:val="19B05D52"/>
    <w:rsid w:val="19BC21F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EB82F04"/>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9C44C5"/>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B50E5B"/>
    <w:rsid w:val="41CD393D"/>
    <w:rsid w:val="41F949FB"/>
    <w:rsid w:val="421630C6"/>
    <w:rsid w:val="422B5E31"/>
    <w:rsid w:val="4252595A"/>
    <w:rsid w:val="42836415"/>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D77979"/>
    <w:rsid w:val="4AE70AB8"/>
    <w:rsid w:val="4B533BF5"/>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717A0"/>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50645F"/>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6BF4BAA"/>
    <w:rsid w:val="67024FEA"/>
    <w:rsid w:val="671073D1"/>
    <w:rsid w:val="678E06CE"/>
    <w:rsid w:val="679A602D"/>
    <w:rsid w:val="67E028BC"/>
    <w:rsid w:val="68537B47"/>
    <w:rsid w:val="68620DC9"/>
    <w:rsid w:val="689537E7"/>
    <w:rsid w:val="68976884"/>
    <w:rsid w:val="68A9552D"/>
    <w:rsid w:val="68AD05C4"/>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DDC393F"/>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196A8E"/>
    <w:rsid w:val="7883377A"/>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B80F79"/>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Balloon Text"/>
    <w:basedOn w:val="1"/>
    <w:link w:val="25"/>
    <w:semiHidden/>
    <w:unhideWhenUsed/>
    <w:uiPriority w:val="0"/>
    <w:pPr>
      <w:spacing w:line="240" w:lineRule="auto"/>
    </w:pPr>
    <w:rPr>
      <w:sz w:val="18"/>
      <w:szCs w:val="18"/>
    </w:rPr>
  </w:style>
  <w:style w:type="paragraph" w:styleId="8">
    <w:name w:val="footer"/>
    <w:basedOn w:val="1"/>
    <w:link w:val="22"/>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paragraph" w:styleId="11">
    <w:name w:val="Title"/>
    <w:basedOn w:val="1"/>
    <w:next w:val="1"/>
    <w:qFormat/>
    <w:uiPriority w:val="0"/>
    <w:pPr>
      <w:jc w:val="left"/>
      <w:outlineLvl w:val="0"/>
    </w:pPr>
    <w:rPr>
      <w:rFonts w:ascii="MS Sans Serif" w:hAnsi="MS Sans Serif" w:eastAsia="宋体" w:cs="MS Sans Serif"/>
      <w:b/>
      <w:bCs/>
      <w:sz w:val="24"/>
      <w:szCs w:val="32"/>
    </w:rPr>
  </w:style>
  <w:style w:type="character" w:styleId="14">
    <w:name w:val="Strong"/>
    <w:basedOn w:val="13"/>
    <w:qFormat/>
    <w:uiPriority w:val="0"/>
    <w:rPr>
      <w:b/>
      <w:bCs/>
    </w:r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6">
    <w:name w:val="List Paragraph"/>
    <w:basedOn w:val="1"/>
    <w:unhideWhenUsed/>
    <w:qFormat/>
    <w:uiPriority w:val="99"/>
    <w:pPr>
      <w:ind w:firstLine="420"/>
    </w:pPr>
  </w:style>
  <w:style w:type="paragraph" w:customStyle="1" w:styleId="17">
    <w:name w:val="样式1"/>
    <w:basedOn w:val="1"/>
    <w:link w:val="19"/>
    <w:qFormat/>
    <w:uiPriority w:val="0"/>
    <w:pPr>
      <w:ind w:firstLine="560"/>
    </w:pPr>
  </w:style>
  <w:style w:type="paragraph" w:customStyle="1" w:styleId="18">
    <w:name w:val="样式2"/>
    <w:basedOn w:val="9"/>
    <w:link w:val="21"/>
    <w:qFormat/>
    <w:uiPriority w:val="0"/>
    <w:pPr>
      <w:pBdr>
        <w:bottom w:val="none" w:color="auto" w:sz="0" w:space="0"/>
      </w:pBdr>
      <w:ind w:firstLine="360"/>
    </w:pPr>
  </w:style>
  <w:style w:type="character" w:customStyle="1" w:styleId="19">
    <w:name w:val="样式1 Char"/>
    <w:basedOn w:val="13"/>
    <w:link w:val="17"/>
    <w:qFormat/>
    <w:uiPriority w:val="0"/>
    <w:rPr>
      <w:rFonts w:ascii="仿宋" w:hAnsi="仿宋" w:eastAsia="仿宋"/>
      <w:kern w:val="2"/>
      <w:sz w:val="28"/>
      <w:szCs w:val="24"/>
    </w:rPr>
  </w:style>
  <w:style w:type="character" w:customStyle="1" w:styleId="20">
    <w:name w:val="页眉 Char"/>
    <w:basedOn w:val="13"/>
    <w:link w:val="9"/>
    <w:qFormat/>
    <w:uiPriority w:val="99"/>
    <w:rPr>
      <w:rFonts w:ascii="仿宋" w:hAnsi="仿宋" w:eastAsia="仿宋"/>
      <w:kern w:val="2"/>
      <w:sz w:val="18"/>
      <w:szCs w:val="18"/>
    </w:rPr>
  </w:style>
  <w:style w:type="character" w:customStyle="1" w:styleId="21">
    <w:name w:val="样式2 Char"/>
    <w:basedOn w:val="20"/>
    <w:link w:val="18"/>
    <w:qFormat/>
    <w:uiPriority w:val="0"/>
    <w:rPr>
      <w:rFonts w:ascii="仿宋" w:hAnsi="仿宋" w:eastAsia="仿宋"/>
      <w:kern w:val="2"/>
      <w:sz w:val="18"/>
      <w:szCs w:val="18"/>
    </w:rPr>
  </w:style>
  <w:style w:type="character" w:customStyle="1" w:styleId="22">
    <w:name w:val="页脚 Char"/>
    <w:basedOn w:val="13"/>
    <w:link w:val="8"/>
    <w:qFormat/>
    <w:uiPriority w:val="99"/>
    <w:rPr>
      <w:rFonts w:eastAsia="仿宋"/>
      <w:kern w:val="2"/>
      <w:sz w:val="18"/>
      <w:szCs w:val="24"/>
    </w:rPr>
  </w:style>
  <w:style w:type="paragraph" w:customStyle="1" w:styleId="23">
    <w:name w:val="Char"/>
    <w:basedOn w:val="1"/>
    <w:qFormat/>
    <w:uiPriority w:val="0"/>
    <w:pPr>
      <w:widowControl/>
      <w:spacing w:after="160" w:line="240" w:lineRule="exact"/>
      <w:jc w:val="left"/>
    </w:pPr>
  </w:style>
  <w:style w:type="character" w:customStyle="1" w:styleId="24">
    <w:name w:val="NormalCharacter"/>
    <w:qFormat/>
    <w:uiPriority w:val="0"/>
  </w:style>
  <w:style w:type="character" w:customStyle="1" w:styleId="25">
    <w:name w:val="批注框文本 Char"/>
    <w:basedOn w:val="13"/>
    <w:link w:val="7"/>
    <w:semiHidden/>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25</Pages>
  <Words>9648</Words>
  <Characters>10524</Characters>
  <Lines>79</Lines>
  <Paragraphs>22</Paragraphs>
  <TotalTime>36</TotalTime>
  <ScaleCrop>false</ScaleCrop>
  <LinksUpToDate>false</LinksUpToDate>
  <CharactersWithSpaces>10533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2023-02-14T05:13:00Z</dcterms:created>
  <dc:creator>Administrator</dc:creator>
  <cp:lastModifiedBy>Lenovo</cp:lastModifiedBy>
  <cp:lastPrinted>2023-02-16T11:17:00Z</cp:lastPrinted>
  <dcterms:modified xsi:type="dcterms:W3CDTF">2023-02-17T02:22:00Z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017A41DF37784B21ACC0ECEC8F04430E</vt:lpwstr>
  </property>
</Properties>
</file>