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0D9" w:rsidRDefault="0002202B">
      <w:pPr>
        <w:spacing w:line="540" w:lineRule="exact"/>
        <w:ind w:firstLine="560"/>
        <w:rPr>
          <w:rFonts w:ascii="华文中宋" w:eastAsia="华文中宋" w:hAnsi="华文中宋" w:cs="宋体"/>
          <w:b/>
          <w:color w:val="000000" w:themeColor="text1"/>
          <w:kern w:val="0"/>
          <w:sz w:val="52"/>
          <w:szCs w:val="52"/>
        </w:rPr>
      </w:pPr>
      <w:r>
        <w:rPr>
          <w:rFonts w:hint="eastAsia"/>
          <w:color w:val="000000" w:themeColor="text1"/>
        </w:rPr>
        <w:br/>
      </w:r>
    </w:p>
    <w:p w:rsidR="00C370D9" w:rsidRDefault="00C370D9">
      <w:pPr>
        <w:ind w:firstLine="1041"/>
        <w:rPr>
          <w:rFonts w:ascii="华文中宋" w:eastAsia="华文中宋" w:hAnsi="华文中宋" w:cs="宋体"/>
          <w:b/>
          <w:color w:val="000000" w:themeColor="text1"/>
          <w:kern w:val="0"/>
          <w:sz w:val="52"/>
          <w:szCs w:val="52"/>
        </w:rPr>
      </w:pPr>
    </w:p>
    <w:p w:rsidR="00C370D9" w:rsidRDefault="00C370D9">
      <w:pPr>
        <w:ind w:firstLineChars="0" w:firstLine="0"/>
        <w:jc w:val="center"/>
        <w:rPr>
          <w:rFonts w:ascii="华文中宋" w:eastAsia="华文中宋" w:hAnsi="华文中宋" w:cs="宋体"/>
          <w:b/>
          <w:color w:val="000000" w:themeColor="text1"/>
          <w:kern w:val="0"/>
          <w:sz w:val="52"/>
          <w:szCs w:val="52"/>
        </w:rPr>
      </w:pPr>
    </w:p>
    <w:p w:rsidR="00C370D9" w:rsidRDefault="0002202B">
      <w:pPr>
        <w:pStyle w:val="aa"/>
        <w:spacing w:line="600" w:lineRule="exact"/>
        <w:ind w:left="360" w:firstLineChars="0" w:firstLine="0"/>
        <w:jc w:val="center"/>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昌吉市阿什里乡中学学校单位整体支出绩效自评报告</w:t>
      </w:r>
    </w:p>
    <w:p w:rsidR="00C370D9" w:rsidRDefault="00C370D9">
      <w:pPr>
        <w:ind w:firstLineChars="0" w:firstLine="0"/>
        <w:jc w:val="center"/>
        <w:rPr>
          <w:rFonts w:ascii="华文中宋" w:eastAsia="华文中宋" w:hAnsi="华文中宋" w:cs="宋体"/>
          <w:b/>
          <w:color w:val="000000" w:themeColor="text1"/>
          <w:kern w:val="0"/>
          <w:sz w:val="52"/>
          <w:szCs w:val="52"/>
        </w:rPr>
      </w:pPr>
    </w:p>
    <w:p w:rsidR="00C370D9" w:rsidRDefault="0002202B">
      <w:pPr>
        <w:ind w:firstLineChars="0" w:firstLine="0"/>
        <w:jc w:val="center"/>
        <w:rPr>
          <w:rFonts w:ascii="仿宋_GB2312" w:eastAsia="仿宋_GB2312" w:hAnsi="宋体" w:cs="宋体"/>
          <w:color w:val="000000" w:themeColor="text1"/>
          <w:kern w:val="0"/>
          <w:sz w:val="36"/>
          <w:szCs w:val="36"/>
        </w:rPr>
      </w:pPr>
      <w:r>
        <w:rPr>
          <w:rFonts w:ascii="仿宋_GB2312" w:eastAsia="仿宋_GB2312" w:hAnsi="宋体" w:cs="宋体" w:hint="eastAsia"/>
          <w:color w:val="000000" w:themeColor="text1"/>
          <w:kern w:val="0"/>
          <w:sz w:val="36"/>
          <w:szCs w:val="36"/>
        </w:rPr>
        <w:t>（2022年度</w:t>
      </w:r>
      <w:r>
        <w:rPr>
          <w:rFonts w:ascii="仿宋_GB2312" w:eastAsia="仿宋_GB2312" w:hAnsi="Malgun Gothic Semilight" w:cs="Malgun Gothic Semilight" w:hint="eastAsia"/>
          <w:color w:val="000000" w:themeColor="text1"/>
          <w:kern w:val="0"/>
          <w:sz w:val="36"/>
          <w:szCs w:val="36"/>
        </w:rPr>
        <w:t>）</w:t>
      </w:r>
    </w:p>
    <w:p w:rsidR="00C370D9" w:rsidRDefault="00C370D9">
      <w:pPr>
        <w:ind w:firstLine="600"/>
        <w:jc w:val="center"/>
        <w:rPr>
          <w:rFonts w:eastAsia="仿宋_GB2312" w:hAnsi="宋体" w:cs="宋体"/>
          <w:color w:val="000000" w:themeColor="text1"/>
          <w:kern w:val="0"/>
          <w:sz w:val="30"/>
          <w:szCs w:val="30"/>
        </w:rPr>
      </w:pPr>
    </w:p>
    <w:p w:rsidR="00C370D9" w:rsidRDefault="00C370D9">
      <w:pPr>
        <w:spacing w:line="540" w:lineRule="exact"/>
        <w:ind w:firstLine="600"/>
        <w:jc w:val="center"/>
        <w:rPr>
          <w:rFonts w:eastAsia="仿宋_GB2312" w:hAnsi="宋体" w:cs="宋体"/>
          <w:color w:val="000000" w:themeColor="text1"/>
          <w:kern w:val="0"/>
          <w:sz w:val="30"/>
          <w:szCs w:val="30"/>
        </w:rPr>
      </w:pPr>
    </w:p>
    <w:p w:rsidR="00C370D9" w:rsidRDefault="00C370D9">
      <w:pPr>
        <w:spacing w:line="540" w:lineRule="exact"/>
        <w:ind w:firstLine="720"/>
        <w:jc w:val="center"/>
        <w:rPr>
          <w:rFonts w:ascii="方正小标宋_GBK" w:eastAsia="方正小标宋_GBK" w:hAnsi="宋体" w:cs="宋体"/>
          <w:color w:val="000000" w:themeColor="text1"/>
          <w:kern w:val="0"/>
          <w:sz w:val="36"/>
          <w:szCs w:val="36"/>
        </w:rPr>
      </w:pPr>
    </w:p>
    <w:p w:rsidR="00C370D9" w:rsidRDefault="00C370D9">
      <w:pPr>
        <w:spacing w:line="540" w:lineRule="exact"/>
        <w:ind w:firstLine="720"/>
        <w:jc w:val="center"/>
        <w:rPr>
          <w:rFonts w:ascii="方正小标宋_GBK" w:eastAsia="方正小标宋_GBK" w:hAnsi="宋体" w:cs="宋体"/>
          <w:color w:val="000000" w:themeColor="text1"/>
          <w:kern w:val="0"/>
          <w:sz w:val="36"/>
          <w:szCs w:val="36"/>
        </w:rPr>
      </w:pPr>
    </w:p>
    <w:p w:rsidR="00C370D9" w:rsidRDefault="00C370D9">
      <w:pPr>
        <w:spacing w:line="540" w:lineRule="exact"/>
        <w:ind w:firstLine="600"/>
        <w:jc w:val="center"/>
        <w:rPr>
          <w:rFonts w:eastAsia="仿宋_GB2312" w:hAnsi="宋体" w:cs="宋体"/>
          <w:color w:val="000000" w:themeColor="text1"/>
          <w:kern w:val="0"/>
          <w:sz w:val="30"/>
          <w:szCs w:val="30"/>
        </w:rPr>
      </w:pPr>
    </w:p>
    <w:p w:rsidR="00C370D9" w:rsidRDefault="00C370D9">
      <w:pPr>
        <w:spacing w:line="540" w:lineRule="exact"/>
        <w:ind w:firstLine="600"/>
        <w:jc w:val="center"/>
        <w:rPr>
          <w:rFonts w:eastAsia="仿宋_GB2312" w:hAnsi="宋体" w:cs="宋体"/>
          <w:color w:val="000000" w:themeColor="text1"/>
          <w:kern w:val="0"/>
          <w:sz w:val="30"/>
          <w:szCs w:val="30"/>
        </w:rPr>
      </w:pPr>
    </w:p>
    <w:p w:rsidR="00C370D9" w:rsidRDefault="00C370D9">
      <w:pPr>
        <w:spacing w:line="540" w:lineRule="exact"/>
        <w:ind w:firstLine="600"/>
        <w:rPr>
          <w:rFonts w:eastAsia="仿宋_GB2312" w:hAnsi="宋体" w:cs="宋体"/>
          <w:color w:val="000000" w:themeColor="text1"/>
          <w:kern w:val="0"/>
          <w:sz w:val="30"/>
          <w:szCs w:val="30"/>
        </w:rPr>
      </w:pPr>
    </w:p>
    <w:p w:rsidR="00C370D9" w:rsidRDefault="00C370D9">
      <w:pPr>
        <w:spacing w:line="700" w:lineRule="exact"/>
        <w:ind w:firstLine="720"/>
        <w:jc w:val="left"/>
        <w:rPr>
          <w:rFonts w:eastAsia="仿宋_GB2312" w:hAnsi="宋体" w:cs="宋体"/>
          <w:color w:val="000000" w:themeColor="text1"/>
          <w:kern w:val="0"/>
          <w:sz w:val="36"/>
          <w:szCs w:val="36"/>
        </w:rPr>
      </w:pPr>
    </w:p>
    <w:p w:rsidR="00C370D9" w:rsidRDefault="0002202B">
      <w:pPr>
        <w:spacing w:line="600" w:lineRule="exact"/>
        <w:ind w:firstLine="720"/>
        <w:rPr>
          <w:rFonts w:ascii="黑体" w:eastAsia="黑体" w:hAnsi="黑体" w:cs="黑体"/>
          <w:bCs/>
          <w:color w:val="000000" w:themeColor="text1"/>
          <w:sz w:val="36"/>
          <w:szCs w:val="36"/>
        </w:rPr>
      </w:pPr>
      <w:r>
        <w:rPr>
          <w:rFonts w:ascii="黑体" w:eastAsia="黑体" w:hAnsi="黑体" w:cs="黑体" w:hint="eastAsia"/>
          <w:bCs/>
          <w:color w:val="000000" w:themeColor="text1"/>
          <w:sz w:val="36"/>
          <w:szCs w:val="36"/>
        </w:rPr>
        <w:t>部门单位名称（公章）：昌吉市阿什里乡中学学校</w:t>
      </w:r>
    </w:p>
    <w:p w:rsidR="00C370D9" w:rsidRDefault="0002202B">
      <w:pPr>
        <w:spacing w:line="600" w:lineRule="exact"/>
        <w:ind w:firstLine="720"/>
        <w:rPr>
          <w:rFonts w:ascii="黑体" w:eastAsia="黑体" w:hAnsi="黑体" w:cs="黑体"/>
          <w:bCs/>
          <w:color w:val="000000" w:themeColor="text1"/>
          <w:sz w:val="36"/>
          <w:szCs w:val="36"/>
        </w:rPr>
      </w:pPr>
      <w:r>
        <w:rPr>
          <w:rFonts w:ascii="黑体" w:eastAsia="黑体" w:hAnsi="黑体" w:cs="黑体" w:hint="eastAsia"/>
          <w:bCs/>
          <w:color w:val="000000" w:themeColor="text1"/>
          <w:sz w:val="36"/>
          <w:szCs w:val="36"/>
        </w:rPr>
        <w:t xml:space="preserve">填报时间： </w:t>
      </w:r>
      <w:r>
        <w:rPr>
          <w:rFonts w:ascii="黑体" w:eastAsia="黑体" w:hAnsi="黑体" w:cs="黑体"/>
          <w:bCs/>
          <w:color w:val="000000" w:themeColor="text1"/>
          <w:sz w:val="36"/>
          <w:szCs w:val="36"/>
        </w:rPr>
        <w:t>202</w:t>
      </w:r>
      <w:r>
        <w:rPr>
          <w:rFonts w:ascii="黑体" w:eastAsia="黑体" w:hAnsi="黑体" w:cs="黑体" w:hint="eastAsia"/>
          <w:bCs/>
          <w:color w:val="000000" w:themeColor="text1"/>
          <w:sz w:val="36"/>
          <w:szCs w:val="36"/>
        </w:rPr>
        <w:t>3年 2 月 19 日</w:t>
      </w:r>
    </w:p>
    <w:p w:rsidR="00C370D9" w:rsidRDefault="00C370D9" w:rsidP="009555C4">
      <w:pPr>
        <w:spacing w:line="700" w:lineRule="exact"/>
        <w:ind w:firstLineChars="236" w:firstLine="850"/>
        <w:jc w:val="left"/>
        <w:rPr>
          <w:rFonts w:eastAsia="仿宋_GB2312" w:hAnsi="宋体" w:cs="宋体"/>
          <w:color w:val="000000" w:themeColor="text1"/>
          <w:kern w:val="0"/>
          <w:sz w:val="36"/>
          <w:szCs w:val="36"/>
        </w:rPr>
      </w:pPr>
    </w:p>
    <w:p w:rsidR="00C370D9" w:rsidRDefault="00C370D9">
      <w:pPr>
        <w:ind w:firstLine="560"/>
        <w:rPr>
          <w:color w:val="000000" w:themeColor="text1"/>
        </w:rPr>
      </w:pPr>
    </w:p>
    <w:p w:rsidR="00C370D9" w:rsidRDefault="0002202B">
      <w:pPr>
        <w:ind w:firstLine="560"/>
        <w:rPr>
          <w:color w:val="000000" w:themeColor="text1"/>
        </w:rPr>
      </w:pPr>
      <w:r>
        <w:rPr>
          <w:rFonts w:hint="eastAsia"/>
          <w:color w:val="000000" w:themeColor="text1"/>
        </w:rPr>
        <w:br w:type="page"/>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lastRenderedPageBreak/>
        <w:t>一、基本概况</w:t>
      </w:r>
    </w:p>
    <w:p w:rsidR="00C370D9" w:rsidRDefault="0002202B" w:rsidP="009555C4">
      <w:pPr>
        <w:pStyle w:val="2"/>
        <w:ind w:firstLine="643"/>
        <w:rPr>
          <w:rFonts w:ascii="楷体_GB2312" w:eastAsia="楷体_GB2312"/>
          <w:color w:val="000000" w:themeColor="text1"/>
          <w:szCs w:val="32"/>
        </w:rPr>
      </w:pPr>
      <w:r>
        <w:rPr>
          <w:rFonts w:ascii="楷体_GB2312" w:eastAsia="楷体_GB2312" w:hint="eastAsia"/>
          <w:color w:val="000000" w:themeColor="text1"/>
          <w:szCs w:val="32"/>
        </w:rPr>
        <w:t>（一）单位基本情况</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1.机构设置及人员情况</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昌吉市阿什里乡中学校编制数</w:t>
      </w:r>
      <w:r>
        <w:rPr>
          <w:rFonts w:hAnsi="仿宋"/>
          <w:b w:val="0"/>
          <w:bCs w:val="0"/>
          <w:color w:val="000000" w:themeColor="text1"/>
          <w:sz w:val="32"/>
        </w:rPr>
        <w:t>32</w:t>
      </w:r>
      <w:r>
        <w:rPr>
          <w:rFonts w:hAnsi="仿宋" w:hint="eastAsia"/>
          <w:b w:val="0"/>
          <w:bCs w:val="0"/>
          <w:color w:val="000000" w:themeColor="text1"/>
          <w:sz w:val="32"/>
        </w:rPr>
        <w:t>，实有人数</w:t>
      </w:r>
      <w:r>
        <w:rPr>
          <w:rFonts w:hAnsi="仿宋"/>
          <w:b w:val="0"/>
          <w:bCs w:val="0"/>
          <w:color w:val="000000" w:themeColor="text1"/>
          <w:sz w:val="32"/>
        </w:rPr>
        <w:t>9</w:t>
      </w:r>
      <w:r>
        <w:rPr>
          <w:rFonts w:hAnsi="仿宋" w:hint="eastAsia"/>
          <w:b w:val="0"/>
          <w:bCs w:val="0"/>
          <w:color w:val="000000" w:themeColor="text1"/>
          <w:sz w:val="32"/>
        </w:rPr>
        <w:t>6人，下设5个处室，分别是：行政办公室、德育处，教务处、后勤保障处，工会。现有学生人数</w:t>
      </w:r>
      <w:r>
        <w:rPr>
          <w:rFonts w:hAnsi="仿宋"/>
          <w:b w:val="0"/>
          <w:bCs w:val="0"/>
          <w:color w:val="000000" w:themeColor="text1"/>
          <w:sz w:val="32"/>
        </w:rPr>
        <w:t>7</w:t>
      </w:r>
      <w:r>
        <w:rPr>
          <w:rFonts w:hAnsi="仿宋" w:hint="eastAsia"/>
          <w:b w:val="0"/>
          <w:bCs w:val="0"/>
          <w:color w:val="000000" w:themeColor="text1"/>
          <w:sz w:val="32"/>
        </w:rPr>
        <w:t>14人（截至2022年12月31日）。</w:t>
      </w:r>
    </w:p>
    <w:p w:rsidR="00C370D9" w:rsidRDefault="0002202B" w:rsidP="009555C4">
      <w:pPr>
        <w:pStyle w:val="3"/>
        <w:ind w:firstLine="643"/>
        <w:rPr>
          <w:b w:val="0"/>
          <w:bCs w:val="0"/>
          <w:color w:val="000000" w:themeColor="text1"/>
          <w:sz w:val="32"/>
        </w:rPr>
      </w:pPr>
      <w:r>
        <w:rPr>
          <w:rFonts w:hint="eastAsia"/>
          <w:color w:val="000000" w:themeColor="text1"/>
          <w:sz w:val="32"/>
        </w:rPr>
        <w:t>主要职能</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实施小学义务教育，促进基础教育发展。小学学历教育（相当社会服务）</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负责组织实施普通小学教育，依法治教，巩固提高普及九年义务教育工作成果；</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负责制定和实施本校教育发展规划教育教学计划；加强学校教师、干部队伍建设；</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负责办理市教育局交办的其他工作。</w:t>
      </w:r>
    </w:p>
    <w:p w:rsidR="00C370D9" w:rsidRDefault="0002202B" w:rsidP="009555C4">
      <w:pPr>
        <w:numPr>
          <w:ilvl w:val="0"/>
          <w:numId w:val="1"/>
        </w:num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年度重点工作计划</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（1）坚持党对教育事业的全面领导</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2022年，我校以习近平新时代中国特色社会主义思想为指导,深入学习宣传贯彻党的十九大精神、两会精神，以</w:t>
      </w:r>
      <w:r w:rsidR="009555C4">
        <w:rPr>
          <w:rFonts w:ascii="仿宋_GB2312" w:eastAsia="仿宋_GB2312" w:hint="eastAsia"/>
          <w:color w:val="000000" w:themeColor="text1"/>
          <w:sz w:val="32"/>
          <w:szCs w:val="32"/>
        </w:rPr>
        <w:t>习近平</w:t>
      </w:r>
      <w:r>
        <w:rPr>
          <w:rFonts w:ascii="仿宋_GB2312" w:eastAsia="仿宋_GB2312" w:hint="eastAsia"/>
          <w:color w:val="000000" w:themeColor="text1"/>
          <w:sz w:val="32"/>
          <w:szCs w:val="32"/>
        </w:rPr>
        <w:t>新时代中国特色社会主义思想为指导，紧紧围绕学校教育教学中心工作，继续开展“两学一做”</w:t>
      </w:r>
      <w:r w:rsidR="00CC37D5">
        <w:rPr>
          <w:rFonts w:ascii="仿宋_GB2312" w:eastAsia="仿宋_GB2312" w:hint="eastAsia"/>
          <w:color w:val="000000" w:themeColor="text1"/>
          <w:sz w:val="32"/>
          <w:szCs w:val="32"/>
        </w:rPr>
        <w:t>学习</w:t>
      </w:r>
      <w:r>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四小校风，充分发挥党组织战斗堡垒作用和党员先锋模范作用，凸显四小特色党建品牌工程，争创特色，奋力开创我校党建工作的新局面。</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（2）坚持聚焦总目标，全力确保学校安全稳定。</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（3）坚持立德树人，全力推进素质教育实施，促进学生健康成长。</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w:t>
      </w:r>
      <w:r>
        <w:rPr>
          <w:rFonts w:ascii="仿宋_GB2312" w:eastAsia="仿宋_GB2312" w:hint="eastAsia"/>
          <w:color w:val="000000" w:themeColor="text1"/>
          <w:sz w:val="32"/>
          <w:szCs w:val="32"/>
        </w:rPr>
        <w:lastRenderedPageBreak/>
        <w:t>性和针对性，不断丰富道德实践活动载体，进一步开展和谐家庭教育和德育课题研究，提高班主任的德育科研和实践能力，不断巩固和提高学校德育工作的整体水平。</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（4）坚持质量立教，全面提高教育教学质量。</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（5）坚持科研引领，全面深化课堂改革。</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根据自治区教育厅《关于精准有序做好自治区各级各类学校2022年春季学期开学的通知》（新教传〔2022〕24号）、《关于做好自治区小学、初中、高中和中职学校2020年春季学期开学的通知》（新教传〔2022〕26号）以及州教育局《关于做好自治州各级各类学校疫情防控和2022年春季学期开学工作的通知》（昌州教办传〔2020〕2号）文件精神，《昌吉市中小学2022年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w:t>
      </w:r>
      <w:r>
        <w:rPr>
          <w:rFonts w:ascii="仿宋_GB2312" w:eastAsia="仿宋_GB2312" w:hint="eastAsia"/>
          <w:color w:val="000000" w:themeColor="text1"/>
          <w:sz w:val="32"/>
          <w:szCs w:val="32"/>
        </w:rPr>
        <w:lastRenderedPageBreak/>
        <w:t>内功，提升教师自身研究能力及团队整体素养，促进学校教学管理水平和教学质量的提高。</w:t>
      </w:r>
    </w:p>
    <w:p w:rsidR="00C370D9" w:rsidRDefault="0002202B" w:rsidP="009555C4">
      <w:pPr>
        <w:pStyle w:val="2"/>
        <w:tabs>
          <w:tab w:val="left" w:pos="6195"/>
        </w:tabs>
        <w:ind w:firstLine="643"/>
        <w:rPr>
          <w:rFonts w:ascii="楷体_GB2312" w:eastAsia="楷体_GB2312"/>
          <w:color w:val="000000" w:themeColor="text1"/>
          <w:szCs w:val="32"/>
        </w:rPr>
      </w:pPr>
      <w:r>
        <w:rPr>
          <w:rFonts w:ascii="楷体_GB2312" w:eastAsia="楷体_GB2312" w:hint="eastAsia"/>
          <w:color w:val="000000" w:themeColor="text1"/>
          <w:szCs w:val="32"/>
        </w:rPr>
        <w:t>（二）单位决策机制</w:t>
      </w:r>
    </w:p>
    <w:p w:rsidR="00C370D9" w:rsidRDefault="0002202B">
      <w:pPr>
        <w:ind w:firstLine="643"/>
        <w:rPr>
          <w:rFonts w:ascii="仿宋_GB2312" w:eastAsia="仿宋_GB2312"/>
          <w:color w:val="000000" w:themeColor="text1"/>
          <w:sz w:val="32"/>
          <w:szCs w:val="32"/>
        </w:rPr>
      </w:pPr>
      <w:r>
        <w:rPr>
          <w:rFonts w:hint="eastAsia"/>
          <w:b/>
          <w:bCs/>
          <w:color w:val="000000" w:themeColor="text1"/>
          <w:sz w:val="32"/>
        </w:rPr>
        <w:t>1</w:t>
      </w:r>
      <w:r>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w:t>
      </w:r>
      <w:r>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w:t>
      </w:r>
      <w:r>
        <w:rPr>
          <w:rFonts w:ascii="仿宋_GB2312" w:eastAsia="仿宋_GB2312"/>
          <w:color w:val="000000" w:themeColor="text1"/>
          <w:sz w:val="32"/>
          <w:szCs w:val="32"/>
        </w:rPr>
        <w:t>.议事决策内容：单位执行</w:t>
      </w:r>
      <w:r>
        <w:rPr>
          <w:rFonts w:ascii="仿宋_GB2312" w:eastAsia="仿宋_GB2312"/>
          <w:color w:val="000000" w:themeColor="text1"/>
          <w:sz w:val="32"/>
          <w:szCs w:val="32"/>
        </w:rPr>
        <w:t>“</w:t>
      </w:r>
      <w:r>
        <w:rPr>
          <w:rFonts w:ascii="仿宋_GB2312" w:eastAsia="仿宋_GB2312"/>
          <w:color w:val="000000" w:themeColor="text1"/>
          <w:sz w:val="32"/>
          <w:szCs w:val="32"/>
        </w:rPr>
        <w:t>三重一大</w:t>
      </w:r>
      <w:r>
        <w:rPr>
          <w:rFonts w:ascii="仿宋_GB2312" w:eastAsia="仿宋_GB2312"/>
          <w:color w:val="000000" w:themeColor="text1"/>
          <w:sz w:val="32"/>
          <w:szCs w:val="32"/>
        </w:rPr>
        <w:t>”</w:t>
      </w:r>
      <w:r>
        <w:rPr>
          <w:rFonts w:ascii="仿宋_GB2312" w:eastAsia="仿宋_GB2312"/>
          <w:color w:val="000000" w:themeColor="text1"/>
          <w:sz w:val="32"/>
          <w:szCs w:val="32"/>
        </w:rPr>
        <w:t>事项集体决策机制，为加强科学决策、民主决策的要求，切实把执行</w:t>
      </w:r>
      <w:r>
        <w:rPr>
          <w:rFonts w:ascii="仿宋_GB2312" w:eastAsia="仿宋_GB2312"/>
          <w:color w:val="000000" w:themeColor="text1"/>
          <w:sz w:val="32"/>
          <w:szCs w:val="32"/>
        </w:rPr>
        <w:t>“</w:t>
      </w:r>
      <w:r>
        <w:rPr>
          <w:rFonts w:ascii="仿宋_GB2312" w:eastAsia="仿宋_GB2312"/>
          <w:color w:val="000000" w:themeColor="text1"/>
          <w:sz w:val="32"/>
          <w:szCs w:val="32"/>
        </w:rPr>
        <w:t>三重一大</w:t>
      </w:r>
      <w:r>
        <w:rPr>
          <w:rFonts w:ascii="仿宋_GB2312" w:eastAsia="仿宋_GB2312"/>
          <w:color w:val="000000" w:themeColor="text1"/>
          <w:sz w:val="32"/>
          <w:szCs w:val="32"/>
        </w:rPr>
        <w:t>”</w:t>
      </w:r>
      <w:r>
        <w:rPr>
          <w:rFonts w:ascii="仿宋_GB2312" w:eastAsia="仿宋_GB2312"/>
          <w:color w:val="000000" w:themeColor="text1"/>
          <w:sz w:val="32"/>
          <w:szCs w:val="32"/>
        </w:rPr>
        <w:t>事项集体决策制度作为贯彻民主集中制</w:t>
      </w:r>
      <w:r>
        <w:rPr>
          <w:rFonts w:ascii="仿宋_GB2312" w:eastAsia="仿宋_GB2312" w:hint="eastAsia"/>
          <w:color w:val="000000" w:themeColor="text1"/>
          <w:sz w:val="32"/>
          <w:szCs w:val="32"/>
        </w:rPr>
        <w:t>防止个人或少数人决策的重要措施，推进集体决策的制度化、规范化和程序化。</w:t>
      </w:r>
      <w:r>
        <w:rPr>
          <w:rFonts w:ascii="仿宋_GB2312" w:eastAsia="仿宋_GB2312"/>
          <w:color w:val="000000" w:themeColor="text1"/>
          <w:sz w:val="32"/>
          <w:szCs w:val="32"/>
        </w:rPr>
        <w:t xml:space="preserve"> </w:t>
      </w:r>
      <w:r>
        <w:rPr>
          <w:rFonts w:ascii="仿宋_GB2312" w:eastAsia="仿宋_GB2312"/>
          <w:color w:val="000000" w:themeColor="text1"/>
          <w:sz w:val="32"/>
          <w:szCs w:val="32"/>
        </w:rPr>
        <w:t>“</w:t>
      </w:r>
      <w:r>
        <w:rPr>
          <w:rFonts w:ascii="仿宋_GB2312" w:eastAsia="仿宋_GB2312"/>
          <w:color w:val="000000" w:themeColor="text1"/>
          <w:sz w:val="32"/>
          <w:szCs w:val="32"/>
        </w:rPr>
        <w:t>三重一大</w:t>
      </w:r>
      <w:r>
        <w:rPr>
          <w:rFonts w:ascii="仿宋_GB2312" w:eastAsia="仿宋_GB2312"/>
          <w:color w:val="000000" w:themeColor="text1"/>
          <w:sz w:val="32"/>
          <w:szCs w:val="32"/>
        </w:rPr>
        <w:t>”</w:t>
      </w:r>
      <w:r>
        <w:rPr>
          <w:rFonts w:ascii="仿宋_GB2312" w:eastAsia="仿宋_GB2312"/>
          <w:color w:val="000000" w:themeColor="text1"/>
          <w:sz w:val="32"/>
          <w:szCs w:val="32"/>
        </w:rPr>
        <w:t>事项集体决策机制：即重大事项决策、重要干部任免、重要项目安排、大额资金使用 。</w:t>
      </w:r>
      <w:r>
        <w:rPr>
          <w:rFonts w:ascii="仿宋_GB2312" w:eastAsia="仿宋_GB2312"/>
          <w:color w:val="000000" w:themeColor="text1"/>
          <w:sz w:val="32"/>
          <w:szCs w:val="32"/>
        </w:rPr>
        <w:t>“</w:t>
      </w:r>
      <w:r>
        <w:rPr>
          <w:rFonts w:ascii="仿宋_GB2312" w:eastAsia="仿宋_GB2312"/>
          <w:color w:val="000000" w:themeColor="text1"/>
          <w:sz w:val="32"/>
          <w:szCs w:val="32"/>
        </w:rPr>
        <w:t>三重一大</w:t>
      </w:r>
      <w:r>
        <w:rPr>
          <w:rFonts w:ascii="仿宋_GB2312" w:eastAsia="仿宋_GB2312"/>
          <w:color w:val="000000" w:themeColor="text1"/>
          <w:sz w:val="32"/>
          <w:szCs w:val="32"/>
        </w:rPr>
        <w:t>”</w:t>
      </w:r>
      <w:r>
        <w:rPr>
          <w:rFonts w:ascii="仿宋_GB2312" w:eastAsia="仿宋_GB2312"/>
          <w:color w:val="000000" w:themeColor="text1"/>
          <w:sz w:val="32"/>
          <w:szCs w:val="32"/>
        </w:rPr>
        <w:t xml:space="preserve">的具体标准由单位党总支会议确定。 </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w:t>
      </w:r>
      <w:r>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Pr>
          <w:rFonts w:ascii="仿宋_GB2312" w:eastAsia="仿宋_GB2312"/>
          <w:color w:val="000000" w:themeColor="text1"/>
          <w:sz w:val="32"/>
          <w:szCs w:val="32"/>
        </w:rPr>
        <w:t>“</w:t>
      </w:r>
      <w:r>
        <w:rPr>
          <w:rFonts w:ascii="仿宋_GB2312" w:eastAsia="仿宋_GB2312"/>
          <w:color w:val="000000" w:themeColor="text1"/>
          <w:sz w:val="32"/>
          <w:szCs w:val="32"/>
        </w:rPr>
        <w:t>三重一大</w:t>
      </w:r>
      <w:r>
        <w:rPr>
          <w:rFonts w:ascii="仿宋_GB2312" w:eastAsia="仿宋_GB2312"/>
          <w:color w:val="000000" w:themeColor="text1"/>
          <w:sz w:val="32"/>
          <w:szCs w:val="32"/>
        </w:rPr>
        <w:t>”</w:t>
      </w:r>
      <w:r>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Pr>
          <w:rFonts w:ascii="仿宋_GB2312" w:eastAsia="仿宋_GB2312" w:hint="eastAsia"/>
          <w:color w:val="000000" w:themeColor="text1"/>
          <w:sz w:val="32"/>
          <w:szCs w:val="32"/>
        </w:rPr>
        <w:t>定，并进一步调查研究，交换意见，下次再进行表决。决策“三重</w:t>
      </w:r>
      <w:r>
        <w:rPr>
          <w:rFonts w:ascii="仿宋_GB2312" w:eastAsia="仿宋_GB2312" w:hint="eastAsia"/>
          <w:color w:val="000000" w:themeColor="text1"/>
          <w:sz w:val="32"/>
          <w:szCs w:val="32"/>
        </w:rPr>
        <w:lastRenderedPageBreak/>
        <w:t>一大”事项时，应完整地做好会议纪录，必要时并印发会议纪要，会议记录、纪要应明确记载会议时间、地点、参会人员、讨论具体事项、决策过程和决策结论。会议文件、记录等资料存档。</w:t>
      </w:r>
    </w:p>
    <w:p w:rsidR="00C370D9" w:rsidRDefault="0002202B" w:rsidP="009555C4">
      <w:pPr>
        <w:pStyle w:val="2"/>
        <w:tabs>
          <w:tab w:val="left" w:pos="6195"/>
        </w:tabs>
        <w:ind w:firstLine="643"/>
        <w:rPr>
          <w:rFonts w:ascii="楷体_GB2312" w:eastAsia="楷体_GB2312"/>
          <w:color w:val="000000" w:themeColor="text1"/>
          <w:szCs w:val="32"/>
        </w:rPr>
      </w:pPr>
      <w:r>
        <w:rPr>
          <w:rFonts w:ascii="楷体_GB2312" w:eastAsia="楷体_GB2312" w:hint="eastAsia"/>
          <w:color w:val="000000" w:themeColor="text1"/>
          <w:szCs w:val="32"/>
        </w:rPr>
        <w:t>（三）单位资金分配情况</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本年度单位预算为</w:t>
      </w:r>
      <w:r>
        <w:rPr>
          <w:rFonts w:hAnsi="仿宋"/>
          <w:b w:val="0"/>
          <w:bCs w:val="0"/>
          <w:color w:val="000000" w:themeColor="text1"/>
          <w:sz w:val="32"/>
        </w:rPr>
        <w:t>15</w:t>
      </w:r>
      <w:r>
        <w:rPr>
          <w:rFonts w:hAnsi="仿宋" w:hint="eastAsia"/>
          <w:b w:val="0"/>
          <w:bCs w:val="0"/>
          <w:color w:val="000000" w:themeColor="text1"/>
          <w:sz w:val="32"/>
        </w:rPr>
        <w:t>48</w:t>
      </w:r>
      <w:r>
        <w:rPr>
          <w:rFonts w:hAnsi="仿宋"/>
          <w:b w:val="0"/>
          <w:bCs w:val="0"/>
          <w:color w:val="000000" w:themeColor="text1"/>
          <w:sz w:val="32"/>
        </w:rPr>
        <w:t>.</w:t>
      </w:r>
      <w:r>
        <w:rPr>
          <w:rFonts w:hAnsi="仿宋" w:hint="eastAsia"/>
          <w:b w:val="0"/>
          <w:bCs w:val="0"/>
          <w:color w:val="000000" w:themeColor="text1"/>
          <w:sz w:val="32"/>
        </w:rPr>
        <w:t>77万元，严格按照三定方案进行编制，主要支出分为人员经费支出及商品服务支出，人员经费按照相应文件标准进行发放，商品服务支出主要以提高学校教学能力、工作效率为目标，按年初计划及工作实际进行分配，基本与整体绩效目标一致。</w:t>
      </w:r>
    </w:p>
    <w:p w:rsidR="00C370D9" w:rsidRDefault="0002202B" w:rsidP="009555C4">
      <w:pPr>
        <w:pStyle w:val="3"/>
        <w:ind w:firstLine="643"/>
        <w:rPr>
          <w:rFonts w:cs="仿宋"/>
          <w:color w:val="000000" w:themeColor="text1"/>
          <w:sz w:val="32"/>
        </w:rPr>
      </w:pPr>
      <w:r>
        <w:rPr>
          <w:rFonts w:cs="仿宋" w:hint="eastAsia"/>
          <w:color w:val="000000" w:themeColor="text1"/>
          <w:sz w:val="32"/>
        </w:rPr>
        <w:t>1</w:t>
      </w:r>
      <w:r>
        <w:rPr>
          <w:rFonts w:cs="仿宋"/>
          <w:color w:val="000000" w:themeColor="text1"/>
          <w:sz w:val="32"/>
        </w:rPr>
        <w:t>.</w:t>
      </w:r>
      <w:r>
        <w:rPr>
          <w:rFonts w:cs="仿宋" w:hint="eastAsia"/>
          <w:color w:val="000000" w:themeColor="text1"/>
          <w:sz w:val="32"/>
        </w:rPr>
        <w:t>分配依据及结果。</w:t>
      </w:r>
    </w:p>
    <w:p w:rsidR="00C370D9" w:rsidRDefault="0002202B">
      <w:pPr>
        <w:pStyle w:val="3"/>
        <w:ind w:firstLine="640"/>
        <w:rPr>
          <w:rFonts w:hAnsi="仿宋"/>
          <w:b w:val="0"/>
          <w:bCs w:val="0"/>
          <w:color w:val="000000" w:themeColor="text1"/>
          <w:sz w:val="32"/>
        </w:rPr>
      </w:pPr>
      <w:r>
        <w:rPr>
          <w:rFonts w:hAnsi="仿宋" w:hint="eastAsia"/>
          <w:b w:val="0"/>
          <w:bCs w:val="0"/>
          <w:color w:val="000000" w:themeColor="text1"/>
          <w:sz w:val="32"/>
        </w:rPr>
        <w:t>基本支出根据单位人员编制、实有人数、资产情况等要素进行预算编制；项目支出根据单位工作职能，年度计划等要素进行预算编制。预算批复后，严格按照财政部门批复的预算和绩效目标执行。</w:t>
      </w:r>
    </w:p>
    <w:p w:rsidR="00C370D9" w:rsidRDefault="0002202B" w:rsidP="009555C4">
      <w:pPr>
        <w:pStyle w:val="2"/>
        <w:tabs>
          <w:tab w:val="left" w:pos="6195"/>
        </w:tabs>
        <w:ind w:firstLine="643"/>
        <w:rPr>
          <w:rFonts w:ascii="楷体_GB2312" w:eastAsia="楷体_GB2312"/>
          <w:color w:val="000000" w:themeColor="text1"/>
          <w:szCs w:val="32"/>
        </w:rPr>
      </w:pPr>
      <w:r>
        <w:rPr>
          <w:rFonts w:ascii="楷体_GB2312" w:eastAsia="楷体_GB2312" w:hint="eastAsia"/>
          <w:color w:val="000000" w:themeColor="text1"/>
          <w:szCs w:val="32"/>
        </w:rPr>
        <w:t>（四）部门单位整体支出规模、使用方法和主要内容、涉及范围</w:t>
      </w:r>
    </w:p>
    <w:p w:rsidR="00C370D9" w:rsidRDefault="0002202B" w:rsidP="009555C4">
      <w:pPr>
        <w:pStyle w:val="2"/>
        <w:tabs>
          <w:tab w:val="left" w:pos="6195"/>
        </w:tabs>
        <w:ind w:firstLine="643"/>
        <w:rPr>
          <w:rFonts w:ascii="楷体_GB2312" w:eastAsia="楷体_GB2312"/>
          <w:color w:val="000000" w:themeColor="text1"/>
          <w:szCs w:val="32"/>
        </w:rPr>
      </w:pPr>
      <w:r>
        <w:rPr>
          <w:rFonts w:ascii="楷体_GB2312" w:eastAsia="楷体_GB2312" w:hint="eastAsia"/>
          <w:color w:val="000000" w:themeColor="text1"/>
          <w:szCs w:val="32"/>
        </w:rPr>
        <w:t>1</w:t>
      </w:r>
      <w:r>
        <w:rPr>
          <w:rFonts w:ascii="楷体_GB2312" w:eastAsia="楷体_GB2312"/>
          <w:color w:val="000000" w:themeColor="text1"/>
          <w:szCs w:val="32"/>
        </w:rPr>
        <w:t>.</w:t>
      </w:r>
      <w:r>
        <w:rPr>
          <w:rFonts w:ascii="楷体_GB2312" w:eastAsia="楷体_GB2312" w:hint="eastAsia"/>
          <w:color w:val="000000" w:themeColor="text1"/>
          <w:szCs w:val="32"/>
        </w:rPr>
        <w:t>部门单位整体支出规模</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2022年度，</w:t>
      </w:r>
      <w:r>
        <w:rPr>
          <w:rFonts w:ascii="仿宋_GB2312" w:eastAsia="仿宋_GB2312" w:hint="eastAsia"/>
          <w:bCs/>
          <w:color w:val="000000" w:themeColor="text1"/>
          <w:sz w:val="32"/>
          <w:szCs w:val="32"/>
        </w:rPr>
        <w:t>昌吉市阿什里乡中学学校部门单位整体支出年初预算金额为</w:t>
      </w:r>
      <w:r>
        <w:rPr>
          <w:color w:val="000000" w:themeColor="text1"/>
          <w:sz w:val="32"/>
        </w:rPr>
        <w:t>15</w:t>
      </w:r>
      <w:r>
        <w:rPr>
          <w:rFonts w:hint="eastAsia"/>
          <w:color w:val="000000" w:themeColor="text1"/>
          <w:sz w:val="32"/>
        </w:rPr>
        <w:t>48</w:t>
      </w:r>
      <w:r>
        <w:rPr>
          <w:color w:val="000000" w:themeColor="text1"/>
          <w:sz w:val="32"/>
        </w:rPr>
        <w:t>.</w:t>
      </w:r>
      <w:r>
        <w:rPr>
          <w:rFonts w:hint="eastAsia"/>
          <w:color w:val="000000" w:themeColor="text1"/>
          <w:sz w:val="32"/>
        </w:rPr>
        <w:t>77</w:t>
      </w:r>
      <w:r>
        <w:rPr>
          <w:rFonts w:ascii="仿宋_GB2312" w:eastAsia="仿宋_GB2312" w:hint="eastAsia"/>
          <w:color w:val="000000" w:themeColor="text1"/>
          <w:sz w:val="32"/>
          <w:szCs w:val="32"/>
        </w:rPr>
        <w:t>万元，支出金额为1902.60万元，执行率为122.8%，其中：政府采购年初预算金额为</w:t>
      </w:r>
      <w:r>
        <w:rPr>
          <w:rFonts w:eastAsia="仿宋_GB2312" w:hint="eastAsia"/>
          <w:color w:val="000000" w:themeColor="text1"/>
          <w:sz w:val="32"/>
        </w:rPr>
        <w:t>0.00</w:t>
      </w:r>
      <w:r>
        <w:rPr>
          <w:rFonts w:ascii="仿宋_GB2312" w:eastAsia="仿宋_GB2312" w:hint="eastAsia"/>
          <w:color w:val="000000" w:themeColor="text1"/>
          <w:sz w:val="32"/>
          <w:szCs w:val="32"/>
        </w:rPr>
        <w:t>万元，支出金额为0.00万元，执行率为0.0%。年中调整预算追加金额为390.12万元，预算调整率为20.5%。综上，我单位部门单位整体预算总额为</w:t>
      </w:r>
      <w:r>
        <w:rPr>
          <w:color w:val="000000" w:themeColor="text1"/>
          <w:sz w:val="32"/>
        </w:rPr>
        <w:t>15</w:t>
      </w:r>
      <w:r>
        <w:rPr>
          <w:rFonts w:hint="eastAsia"/>
          <w:color w:val="000000" w:themeColor="text1"/>
          <w:sz w:val="32"/>
        </w:rPr>
        <w:t>48</w:t>
      </w:r>
      <w:r>
        <w:rPr>
          <w:color w:val="000000" w:themeColor="text1"/>
          <w:sz w:val="32"/>
        </w:rPr>
        <w:t>.</w:t>
      </w:r>
      <w:r>
        <w:rPr>
          <w:rFonts w:hint="eastAsia"/>
          <w:color w:val="000000" w:themeColor="text1"/>
          <w:sz w:val="32"/>
        </w:rPr>
        <w:t>77</w:t>
      </w:r>
      <w:r>
        <w:rPr>
          <w:rFonts w:ascii="仿宋_GB2312" w:eastAsia="仿宋_GB2312" w:hint="eastAsia"/>
          <w:color w:val="000000" w:themeColor="text1"/>
          <w:sz w:val="32"/>
          <w:szCs w:val="32"/>
        </w:rPr>
        <w:t>万元，支出总额为</w:t>
      </w:r>
      <w:r>
        <w:rPr>
          <w:rFonts w:ascii="仿宋_GB2312" w:eastAsia="仿宋_GB2312" w:hint="eastAsia"/>
          <w:color w:val="000000" w:themeColor="text1"/>
          <w:sz w:val="32"/>
          <w:szCs w:val="32"/>
        </w:rPr>
        <w:lastRenderedPageBreak/>
        <w:t>1902.60万元，预算总执行率为122.8%。</w:t>
      </w:r>
    </w:p>
    <w:p w:rsidR="00C370D9" w:rsidRDefault="0002202B" w:rsidP="009555C4">
      <w:pPr>
        <w:pStyle w:val="3"/>
        <w:ind w:firstLine="643"/>
        <w:rPr>
          <w:color w:val="000000" w:themeColor="text1"/>
          <w:sz w:val="32"/>
        </w:rPr>
      </w:pPr>
      <w:r>
        <w:rPr>
          <w:rFonts w:hint="eastAsia"/>
          <w:color w:val="000000" w:themeColor="text1"/>
          <w:sz w:val="32"/>
        </w:rPr>
        <w:t>2.部门单位整体支出自评使用方法、主要内容、涉及范围</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（1）自评使用方法</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370D9" w:rsidRDefault="0002202B" w:rsidP="009555C4">
      <w:pPr>
        <w:pStyle w:val="3"/>
        <w:ind w:firstLine="643"/>
        <w:rPr>
          <w:color w:val="000000" w:themeColor="text1"/>
          <w:sz w:val="32"/>
        </w:rPr>
      </w:pPr>
      <w:r>
        <w:rPr>
          <w:rFonts w:hint="eastAsia"/>
          <w:color w:val="000000" w:themeColor="text1"/>
          <w:sz w:val="32"/>
        </w:rPr>
        <w:t>（2）评价的主要内容和涉及范围</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此次我单位根据</w:t>
      </w:r>
      <w:r>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color w:val="000000" w:themeColor="text1"/>
          <w:sz w:val="32"/>
          <w:szCs w:val="32"/>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color w:val="000000" w:themeColor="text1"/>
          <w:sz w:val="32"/>
          <w:szCs w:val="32"/>
        </w:rPr>
        <w:lastRenderedPageBreak/>
        <w:t>体涉及资产管理规范性和固定资产利用率；四是部门单位整体支出绩效情况，具体涉及部门单位整体支出绩效目标的实现程度，包括是否达到预定产出、效果和效益效率等方面进行评价。</w:t>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二、部门单位整体支出管理及使用情况</w:t>
      </w:r>
    </w:p>
    <w:p w:rsidR="00C370D9" w:rsidRDefault="0002202B">
      <w:pPr>
        <w:pStyle w:val="2"/>
        <w:numPr>
          <w:ilvl w:val="0"/>
          <w:numId w:val="2"/>
        </w:numPr>
        <w:ind w:firstLineChars="0"/>
        <w:rPr>
          <w:rFonts w:ascii="楷体_GB2312" w:eastAsia="楷体_GB2312"/>
          <w:color w:val="000000" w:themeColor="text1"/>
          <w:szCs w:val="32"/>
        </w:rPr>
      </w:pPr>
      <w:r>
        <w:rPr>
          <w:rFonts w:ascii="楷体_GB2312" w:eastAsia="楷体_GB2312" w:hint="eastAsia"/>
          <w:bCs/>
          <w:color w:val="000000" w:themeColor="text1"/>
          <w:szCs w:val="32"/>
        </w:rPr>
        <w:t>预算管理情况</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为加强预算管理、规范财务行为、加强内部控制体系建设，制定了财务制度和固定资产管理办法（制度），并严格按照此管理办法（制度）管理使用预算资金，严格按照政府信息公开有关规定及财政部门要求公开相关预决算信息。</w:t>
      </w:r>
    </w:p>
    <w:p w:rsidR="00C370D9" w:rsidRDefault="0002202B">
      <w:pPr>
        <w:pStyle w:val="2"/>
        <w:numPr>
          <w:ilvl w:val="0"/>
          <w:numId w:val="2"/>
        </w:numPr>
        <w:ind w:firstLineChars="0"/>
        <w:rPr>
          <w:rFonts w:ascii="楷体_GB2312" w:eastAsia="楷体_GB2312"/>
          <w:bCs/>
          <w:color w:val="000000" w:themeColor="text1"/>
          <w:szCs w:val="32"/>
        </w:rPr>
      </w:pPr>
      <w:r>
        <w:rPr>
          <w:rFonts w:ascii="楷体_GB2312" w:eastAsia="楷体_GB2312" w:hint="eastAsia"/>
          <w:bCs/>
          <w:color w:val="000000" w:themeColor="text1"/>
          <w:szCs w:val="32"/>
        </w:rPr>
        <w:t>基本支出预算安排及支出情况</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1.基本支出情况</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2022年，昌吉市阿什里乡中学学校基本支出年</w:t>
      </w:r>
      <w:r>
        <w:rPr>
          <w:rFonts w:ascii="仿宋_GB2312" w:eastAsia="仿宋_GB2312" w:hint="eastAsia"/>
          <w:bCs/>
          <w:color w:val="000000" w:themeColor="text1"/>
          <w:sz w:val="32"/>
          <w:szCs w:val="32"/>
        </w:rPr>
        <w:t>初预算金额为</w:t>
      </w:r>
      <w:r>
        <w:rPr>
          <w:rFonts w:ascii="仿宋_GB2312" w:eastAsia="仿宋_GB2312" w:hint="eastAsia"/>
          <w:color w:val="000000" w:themeColor="text1"/>
          <w:sz w:val="32"/>
          <w:szCs w:val="32"/>
        </w:rPr>
        <w:t>1548.77</w:t>
      </w:r>
      <w:r>
        <w:rPr>
          <w:rFonts w:ascii="仿宋_GB2312" w:eastAsia="仿宋_GB2312"/>
          <w:color w:val="000000" w:themeColor="text1"/>
          <w:sz w:val="32"/>
          <w:szCs w:val="32"/>
        </w:rPr>
        <w:tab/>
      </w:r>
      <w:r>
        <w:rPr>
          <w:rFonts w:ascii="仿宋_GB2312" w:eastAsia="仿宋_GB2312" w:hint="eastAsia"/>
          <w:color w:val="000000" w:themeColor="text1"/>
          <w:sz w:val="32"/>
          <w:szCs w:val="32"/>
        </w:rPr>
        <w:t>万元，支出金额为1902.60万元，执行率为122.8%，年中追减预算金额为390.12万元，预算调整率为20.5%。综上，我单位部门单位整体预算总额为1902.60万元，支出总额为1902.60万元，预算总执行率为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%。其中人员经费1795.34万元，公用经费107.26万元。</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2.“三公”经费情况</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本年度无“三公”经费。</w:t>
      </w:r>
    </w:p>
    <w:p w:rsidR="00C370D9" w:rsidRDefault="0002202B" w:rsidP="009555C4">
      <w:pPr>
        <w:pStyle w:val="2"/>
        <w:ind w:firstLine="643"/>
        <w:rPr>
          <w:rFonts w:ascii="楷体_GB2312" w:eastAsia="楷体_GB2312"/>
          <w:color w:val="000000" w:themeColor="text1"/>
          <w:szCs w:val="32"/>
        </w:rPr>
      </w:pPr>
      <w:r>
        <w:rPr>
          <w:rFonts w:ascii="楷体_GB2312" w:eastAsia="楷体_GB2312" w:hint="eastAsia"/>
          <w:color w:val="000000" w:themeColor="text1"/>
          <w:szCs w:val="32"/>
        </w:rPr>
        <w:t>（三）项目支出</w:t>
      </w:r>
      <w:r>
        <w:rPr>
          <w:rFonts w:ascii="楷体_GB2312" w:eastAsia="楷体_GB2312" w:hAnsi="Cambria" w:hint="eastAsia"/>
          <w:color w:val="000000" w:themeColor="text1"/>
          <w:szCs w:val="32"/>
        </w:rPr>
        <w:t>预算安排及支出情况</w:t>
      </w:r>
    </w:p>
    <w:p w:rsidR="00C370D9" w:rsidRDefault="0002202B" w:rsidP="009555C4">
      <w:pPr>
        <w:ind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1.项目支出情况：</w:t>
      </w:r>
      <w:r>
        <w:rPr>
          <w:rFonts w:ascii="仿宋_GB2312" w:eastAsia="仿宋_GB2312" w:hint="eastAsia"/>
          <w:color w:val="000000" w:themeColor="text1"/>
          <w:sz w:val="32"/>
          <w:szCs w:val="32"/>
        </w:rPr>
        <w:t>2022年本单位全年未安排中央、自治区、地区、县本级项目支出预算。</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lastRenderedPageBreak/>
        <w:t>2</w:t>
      </w:r>
      <w:r>
        <w:rPr>
          <w:rFonts w:ascii="仿宋_GB2312" w:eastAsia="仿宋_GB2312"/>
          <w:b/>
          <w:bCs/>
          <w:color w:val="000000" w:themeColor="text1"/>
          <w:sz w:val="32"/>
          <w:szCs w:val="32"/>
        </w:rPr>
        <w:t>.</w:t>
      </w:r>
      <w:r>
        <w:rPr>
          <w:rFonts w:ascii="仿宋_GB2312" w:eastAsia="仿宋_GB2312" w:hint="eastAsia"/>
          <w:b/>
          <w:bCs/>
          <w:color w:val="000000" w:themeColor="text1"/>
          <w:sz w:val="32"/>
          <w:szCs w:val="32"/>
        </w:rPr>
        <w:t>专项资金总投入及实际使用情况分析</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2022年本单位全年未安排中央、自治区、地区、县本级专项资金支出预算。</w:t>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三、部门单位专项组织实施情况</w:t>
      </w:r>
    </w:p>
    <w:p w:rsidR="00C370D9" w:rsidRDefault="0002202B" w:rsidP="009555C4">
      <w:pPr>
        <w:pStyle w:val="2"/>
        <w:ind w:firstLine="643"/>
        <w:rPr>
          <w:rFonts w:ascii="楷体_GB2312" w:eastAsia="楷体_GB2312"/>
          <w:color w:val="000000" w:themeColor="text1"/>
          <w:szCs w:val="32"/>
        </w:rPr>
      </w:pPr>
      <w:r>
        <w:rPr>
          <w:rFonts w:ascii="楷体_GB2312" w:eastAsia="楷体_GB2312" w:hint="eastAsia"/>
          <w:color w:val="000000" w:themeColor="text1"/>
          <w:szCs w:val="32"/>
        </w:rPr>
        <w:t>（一）专项组织情况分析</w:t>
      </w:r>
    </w:p>
    <w:p w:rsidR="00C370D9" w:rsidRDefault="0002202B" w:rsidP="009555C4">
      <w:pPr>
        <w:ind w:firstLine="643"/>
        <w:rPr>
          <w:rFonts w:ascii="仿宋_GB2312" w:eastAsia="仿宋_GB2312"/>
          <w:color w:val="000000" w:themeColor="text1"/>
          <w:sz w:val="32"/>
          <w:szCs w:val="32"/>
        </w:rPr>
      </w:pPr>
      <w:r>
        <w:rPr>
          <w:rFonts w:ascii="仿宋_GB2312" w:eastAsia="仿宋_GB2312" w:hint="eastAsia"/>
          <w:b/>
          <w:bCs/>
          <w:color w:val="000000" w:themeColor="text1"/>
          <w:sz w:val="32"/>
          <w:szCs w:val="32"/>
        </w:rPr>
        <w:t>1.前期准备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2.组织实施</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C370D9" w:rsidRDefault="0002202B">
      <w:pPr>
        <w:ind w:firstLine="640"/>
        <w:rPr>
          <w:rFonts w:ascii="仿宋_GB2312" w:eastAsia="仿宋_GB2312"/>
          <w:color w:val="000000" w:themeColor="text1"/>
          <w:sz w:val="32"/>
          <w:szCs w:val="32"/>
          <w:lang w:val="zh-TW" w:eastAsia="zh-TW"/>
        </w:rPr>
      </w:pPr>
      <w:r>
        <w:rPr>
          <w:rFonts w:ascii="仿宋_GB2312" w:eastAsia="仿宋_GB2312" w:hint="eastAsia"/>
          <w:color w:val="000000" w:themeColor="text1"/>
          <w:sz w:val="32"/>
          <w:szCs w:val="32"/>
          <w:lang w:val="zh-TW" w:eastAsia="zh-TW"/>
        </w:rPr>
        <w:t>对</w:t>
      </w:r>
      <w:r>
        <w:rPr>
          <w:rFonts w:ascii="仿宋_GB2312" w:eastAsia="仿宋_GB2312" w:hint="eastAsia"/>
          <w:color w:val="000000" w:themeColor="text1"/>
          <w:sz w:val="32"/>
          <w:szCs w:val="32"/>
        </w:rPr>
        <w:t>专项</w:t>
      </w:r>
      <w:r>
        <w:rPr>
          <w:rFonts w:ascii="仿宋_GB2312" w:eastAsia="仿宋_GB2312" w:hint="eastAsia"/>
          <w:color w:val="000000" w:themeColor="text1"/>
          <w:sz w:val="32"/>
          <w:szCs w:val="32"/>
          <w:lang w:val="zh-TW"/>
        </w:rPr>
        <w:t>项目预算执行情况进行分析，</w:t>
      </w:r>
      <w:r>
        <w:rPr>
          <w:rFonts w:ascii="仿宋_GB2312" w:eastAsia="仿宋_GB2312" w:hint="eastAsia"/>
          <w:color w:val="000000" w:themeColor="text1"/>
          <w:sz w:val="32"/>
          <w:szCs w:val="32"/>
        </w:rPr>
        <w:t>分析</w:t>
      </w:r>
      <w:r>
        <w:rPr>
          <w:rFonts w:ascii="仿宋_GB2312" w:eastAsia="仿宋_GB2312" w:hint="eastAsia"/>
          <w:color w:val="000000" w:themeColor="text1"/>
          <w:sz w:val="32"/>
          <w:szCs w:val="32"/>
          <w:lang w:val="zh-TW"/>
        </w:rPr>
        <w:t>专项项目产出、项目目标的实现程度和管理有效性，从而总结项目取得的业绩和经验，发现项目存在的不足之处</w:t>
      </w:r>
      <w:r>
        <w:rPr>
          <w:rFonts w:ascii="仿宋_GB2312" w:eastAsia="仿宋_GB2312" w:hint="eastAsia"/>
          <w:color w:val="000000" w:themeColor="text1"/>
          <w:sz w:val="32"/>
          <w:szCs w:val="32"/>
          <w:lang w:val="zh-TW" w:eastAsia="zh-TW"/>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lang w:val="zh-TW"/>
        </w:rPr>
        <w:t>对财政资金使用合规性进行评价，</w:t>
      </w:r>
      <w:r>
        <w:rPr>
          <w:rFonts w:ascii="仿宋_GB2312" w:eastAsia="仿宋_GB2312" w:hint="eastAsia"/>
          <w:color w:val="000000" w:themeColor="text1"/>
          <w:sz w:val="32"/>
          <w:szCs w:val="32"/>
        </w:rPr>
        <w:t>主要评价：①</w:t>
      </w:r>
      <w:r>
        <w:rPr>
          <w:rFonts w:ascii="仿宋_GB2312" w:eastAsia="仿宋_GB2312" w:hint="eastAsia"/>
          <w:color w:val="000000" w:themeColor="text1"/>
          <w:sz w:val="32"/>
          <w:szCs w:val="32"/>
          <w:lang w:val="zh-TW"/>
        </w:rPr>
        <w:t>专项资</w:t>
      </w:r>
      <w:r>
        <w:rPr>
          <w:rFonts w:ascii="仿宋_GB2312" w:eastAsia="仿宋_GB2312" w:hint="eastAsia"/>
          <w:color w:val="000000" w:themeColor="text1"/>
          <w:sz w:val="32"/>
          <w:szCs w:val="32"/>
          <w:lang w:val="zh-TW"/>
        </w:rPr>
        <w:lastRenderedPageBreak/>
        <w:t>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color w:val="000000" w:themeColor="text1"/>
          <w:sz w:val="32"/>
          <w:szCs w:val="32"/>
        </w:rPr>
        <w:t>通过评价</w:t>
      </w:r>
      <w:r>
        <w:rPr>
          <w:rFonts w:ascii="仿宋_GB2312" w:eastAsia="仿宋_GB2312" w:hint="eastAsia"/>
          <w:color w:val="000000" w:themeColor="text1"/>
          <w:sz w:val="32"/>
          <w:szCs w:val="32"/>
          <w:lang w:val="zh-TW"/>
        </w:rPr>
        <w:t>发现财政资金使用中存在的合规性问题，总结财务内控中存在的不足之处。</w:t>
      </w:r>
    </w:p>
    <w:p w:rsidR="00C370D9" w:rsidRDefault="0002202B" w:rsidP="009555C4">
      <w:pPr>
        <w:pStyle w:val="2"/>
        <w:numPr>
          <w:ilvl w:val="0"/>
          <w:numId w:val="3"/>
        </w:numPr>
        <w:ind w:firstLine="643"/>
        <w:rPr>
          <w:rFonts w:ascii="楷体_GB2312" w:eastAsia="楷体_GB2312"/>
          <w:color w:val="000000" w:themeColor="text1"/>
          <w:szCs w:val="32"/>
        </w:rPr>
      </w:pPr>
      <w:r>
        <w:rPr>
          <w:rFonts w:ascii="楷体_GB2312" w:eastAsia="楷体_GB2312" w:hint="eastAsia"/>
          <w:color w:val="000000" w:themeColor="text1"/>
          <w:szCs w:val="32"/>
        </w:rPr>
        <w:t>专项管理情况分析</w:t>
      </w:r>
    </w:p>
    <w:p w:rsidR="00C370D9" w:rsidRDefault="0002202B" w:rsidP="009555C4">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1.项目资金情况分析</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（1）2022年本单位全年未安排中央、自治区、地区、县本级专项资金支出预算。</w:t>
      </w:r>
    </w:p>
    <w:p w:rsidR="00C370D9" w:rsidRDefault="0002202B">
      <w:pPr>
        <w:ind w:firstLine="640"/>
        <w:outlineLvl w:val="0"/>
        <w:rPr>
          <w:rFonts w:ascii="黑体" w:eastAsia="黑体" w:hAnsi="黑体" w:cs="黑体"/>
          <w:color w:val="000000" w:themeColor="text1"/>
          <w:sz w:val="32"/>
          <w:szCs w:val="32"/>
        </w:rPr>
      </w:pPr>
      <w:r>
        <w:rPr>
          <w:rFonts w:ascii="黑体" w:eastAsia="黑体" w:hAnsi="黑体" w:cs="黑体" w:hint="eastAsia"/>
          <w:color w:val="000000" w:themeColor="text1"/>
          <w:sz w:val="32"/>
          <w:szCs w:val="32"/>
        </w:rPr>
        <w:t>四、资产管理情况</w:t>
      </w:r>
    </w:p>
    <w:p w:rsidR="00C370D9" w:rsidRDefault="0002202B" w:rsidP="009555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（一）资产情况及固定资产利用情况</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截止2022年12月31日，我单位资产账面总额为</w:t>
      </w:r>
      <w:r>
        <w:rPr>
          <w:rFonts w:ascii="仿宋_GB2312" w:eastAsia="仿宋_GB2312"/>
          <w:color w:val="000000" w:themeColor="text1"/>
          <w:sz w:val="32"/>
          <w:szCs w:val="32"/>
        </w:rPr>
        <w:t>755.96</w:t>
      </w:r>
      <w:r>
        <w:rPr>
          <w:rFonts w:ascii="仿宋_GB2312" w:eastAsia="仿宋_GB2312" w:hint="eastAsia"/>
          <w:color w:val="000000" w:themeColor="text1"/>
          <w:sz w:val="32"/>
          <w:szCs w:val="32"/>
        </w:rPr>
        <w:t>万元，较年初资产总额增加</w:t>
      </w:r>
      <w:r>
        <w:rPr>
          <w:rFonts w:ascii="仿宋_GB2312" w:eastAsia="仿宋_GB2312"/>
          <w:color w:val="000000" w:themeColor="text1"/>
          <w:sz w:val="32"/>
          <w:szCs w:val="32"/>
        </w:rPr>
        <w:t>515.59</w:t>
      </w:r>
      <w:r>
        <w:rPr>
          <w:rFonts w:ascii="仿宋_GB2312" w:eastAsia="仿宋_GB2312" w:hint="eastAsia"/>
          <w:color w:val="000000" w:themeColor="text1"/>
          <w:sz w:val="32"/>
          <w:szCs w:val="32"/>
        </w:rPr>
        <w:t>万元，上涨</w:t>
      </w:r>
      <w:r>
        <w:rPr>
          <w:rFonts w:ascii="仿宋_GB2312" w:eastAsia="仿宋_GB2312"/>
          <w:color w:val="000000" w:themeColor="text1"/>
          <w:sz w:val="32"/>
          <w:szCs w:val="32"/>
        </w:rPr>
        <w:t>68.2</w:t>
      </w:r>
      <w:r>
        <w:rPr>
          <w:rFonts w:ascii="仿宋_GB2312" w:eastAsia="仿宋_GB2312" w:hint="eastAsia"/>
          <w:color w:val="000000" w:themeColor="text1"/>
          <w:sz w:val="32"/>
          <w:szCs w:val="32"/>
        </w:rPr>
        <w:t>%，其中：</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2022年初流动资产总额为23.34万元，年末总额为62.53万元，较年初流动资产增加39.20万元，增加167.9%，主要变动原因是：多拨社保未退完给财政，对口援疆资助建足球场钱。</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2022年初固定资产总额为</w:t>
      </w:r>
      <w:r>
        <w:rPr>
          <w:rFonts w:ascii="仿宋_GB2312" w:eastAsia="仿宋_GB2312"/>
          <w:color w:val="000000" w:themeColor="text1"/>
          <w:sz w:val="32"/>
          <w:szCs w:val="32"/>
        </w:rPr>
        <w:t>716.87</w:t>
      </w:r>
      <w:r>
        <w:rPr>
          <w:rFonts w:ascii="仿宋_GB2312" w:eastAsia="仿宋_GB2312" w:hint="eastAsia"/>
          <w:color w:val="000000" w:themeColor="text1"/>
          <w:sz w:val="32"/>
          <w:szCs w:val="32"/>
        </w:rPr>
        <w:t>万元，年末总额为</w:t>
      </w:r>
      <w:r>
        <w:rPr>
          <w:rFonts w:ascii="仿宋_GB2312" w:eastAsia="仿宋_GB2312"/>
          <w:color w:val="000000" w:themeColor="text1"/>
          <w:sz w:val="32"/>
          <w:szCs w:val="32"/>
        </w:rPr>
        <w:t>1248.21</w:t>
      </w:r>
      <w:r>
        <w:rPr>
          <w:rFonts w:ascii="仿宋_GB2312" w:eastAsia="仿宋_GB2312" w:hint="eastAsia"/>
          <w:color w:val="000000" w:themeColor="text1"/>
          <w:sz w:val="32"/>
          <w:szCs w:val="32"/>
        </w:rPr>
        <w:t>万元，较年初固定资产增加</w:t>
      </w:r>
      <w:r>
        <w:rPr>
          <w:rFonts w:ascii="仿宋_GB2312" w:eastAsia="仿宋_GB2312"/>
          <w:color w:val="000000" w:themeColor="text1"/>
          <w:sz w:val="32"/>
          <w:szCs w:val="32"/>
        </w:rPr>
        <w:t>531.34</w:t>
      </w:r>
      <w:r>
        <w:rPr>
          <w:rFonts w:ascii="仿宋_GB2312" w:eastAsia="仿宋_GB2312" w:hint="eastAsia"/>
          <w:color w:val="000000" w:themeColor="text1"/>
          <w:sz w:val="32"/>
          <w:szCs w:val="32"/>
        </w:rPr>
        <w:t>万元，增加</w:t>
      </w:r>
      <w:r>
        <w:rPr>
          <w:rFonts w:ascii="仿宋_GB2312" w:eastAsia="仿宋_GB2312"/>
          <w:color w:val="000000" w:themeColor="text1"/>
          <w:sz w:val="32"/>
          <w:szCs w:val="32"/>
        </w:rPr>
        <w:t>74.2</w:t>
      </w:r>
      <w:r>
        <w:rPr>
          <w:rFonts w:ascii="仿宋_GB2312" w:eastAsia="仿宋_GB2312" w:hint="eastAsia"/>
          <w:color w:val="000000" w:themeColor="text1"/>
          <w:sz w:val="32"/>
          <w:szCs w:val="32"/>
        </w:rPr>
        <w:t>%，主要变动原因是：固定资增加，购买教育教学用具及设备。</w:t>
      </w:r>
    </w:p>
    <w:p w:rsidR="00C370D9" w:rsidRDefault="0002202B" w:rsidP="009555C4">
      <w:pPr>
        <w:pStyle w:val="2"/>
        <w:numPr>
          <w:ilvl w:val="0"/>
          <w:numId w:val="4"/>
        </w:numPr>
        <w:ind w:firstLine="643"/>
        <w:rPr>
          <w:rFonts w:ascii="楷体_GB2312" w:eastAsia="楷体_GB2312"/>
          <w:color w:val="000000" w:themeColor="text1"/>
          <w:szCs w:val="32"/>
        </w:rPr>
      </w:pPr>
      <w:r>
        <w:rPr>
          <w:rFonts w:ascii="楷体_GB2312" w:eastAsia="楷体_GB2312" w:hint="eastAsia"/>
          <w:color w:val="000000" w:themeColor="text1"/>
          <w:szCs w:val="32"/>
        </w:rPr>
        <w:t>资产管理规范性分析</w:t>
      </w:r>
    </w:p>
    <w:p w:rsidR="00C370D9" w:rsidRDefault="0002202B" w:rsidP="009555C4">
      <w:pPr>
        <w:ind w:firstLine="643"/>
        <w:jc w:val="left"/>
        <w:rPr>
          <w:rFonts w:ascii="仿宋_GB2312" w:eastAsia="仿宋_GB2312" w:cs="仿宋_GB2312"/>
          <w:color w:val="000000" w:themeColor="text1"/>
          <w:kern w:val="1"/>
          <w:sz w:val="32"/>
          <w:szCs w:val="32"/>
        </w:rPr>
      </w:pPr>
      <w:r>
        <w:rPr>
          <w:rFonts w:ascii="仿宋_GB2312" w:eastAsia="仿宋_GB2312" w:cs="仿宋_GB2312" w:hint="eastAsia"/>
          <w:b/>
          <w:color w:val="000000" w:themeColor="text1"/>
          <w:kern w:val="1"/>
          <w:sz w:val="32"/>
          <w:szCs w:val="32"/>
        </w:rPr>
        <w:t>1.资产管理体制和制度建设方面</w:t>
      </w:r>
    </w:p>
    <w:p w:rsidR="00C370D9" w:rsidRDefault="0002202B" w:rsidP="009555C4">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建立健全资产管理制度，合理配备并节约、有效使用资</w:t>
      </w:r>
      <w:r>
        <w:rPr>
          <w:rFonts w:ascii="仿宋_GB2312" w:eastAsia="仿宋_GB2312" w:hint="eastAsia"/>
          <w:color w:val="000000" w:themeColor="text1"/>
          <w:sz w:val="32"/>
          <w:szCs w:val="32"/>
        </w:rPr>
        <w:lastRenderedPageBreak/>
        <w:t>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370D9" w:rsidRDefault="0002202B" w:rsidP="009555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2.运行机制和管理方式</w:t>
      </w:r>
    </w:p>
    <w:p w:rsidR="00C370D9" w:rsidRDefault="0002202B" w:rsidP="009555C4">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C370D9" w:rsidRDefault="0002202B" w:rsidP="009555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3.信息化建设方面</w:t>
      </w:r>
    </w:p>
    <w:p w:rsidR="00C370D9" w:rsidRDefault="0002202B" w:rsidP="009555C4">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370D9" w:rsidRDefault="0002202B" w:rsidP="009555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4.流动资产的管理</w:t>
      </w:r>
    </w:p>
    <w:p w:rsidR="00C370D9" w:rsidRDefault="0002202B" w:rsidP="009555C4">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w:t>
      </w:r>
      <w:r>
        <w:rPr>
          <w:rFonts w:ascii="仿宋_GB2312" w:eastAsia="仿宋_GB2312" w:hint="eastAsia"/>
          <w:color w:val="000000" w:themeColor="text1"/>
          <w:sz w:val="32"/>
          <w:szCs w:val="32"/>
        </w:rPr>
        <w:lastRenderedPageBreak/>
        <w:t>对账。</w:t>
      </w:r>
    </w:p>
    <w:p w:rsidR="00C370D9" w:rsidRDefault="0002202B" w:rsidP="009555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t>5.固定资产的管理</w:t>
      </w:r>
    </w:p>
    <w:p w:rsidR="00C370D9" w:rsidRDefault="0002202B" w:rsidP="009555C4">
      <w:pPr>
        <w:ind w:firstLineChars="213" w:firstLine="682"/>
        <w:jc w:val="left"/>
        <w:rPr>
          <w:rFonts w:ascii="仿宋_GB2312" w:eastAsia="仿宋_GB2312"/>
          <w:color w:val="000000" w:themeColor="text1"/>
          <w:sz w:val="32"/>
          <w:szCs w:val="32"/>
        </w:rPr>
      </w:pPr>
      <w:r>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370D9" w:rsidRDefault="0002202B">
      <w:pPr>
        <w:pStyle w:val="1"/>
        <w:numPr>
          <w:ilvl w:val="0"/>
          <w:numId w:val="5"/>
        </w:numPr>
        <w:ind w:firstLine="640"/>
        <w:rPr>
          <w:rFonts w:ascii="黑体" w:hAnsi="黑体"/>
          <w:b w:val="0"/>
          <w:color w:val="000000" w:themeColor="text1"/>
          <w:sz w:val="32"/>
          <w:szCs w:val="32"/>
        </w:rPr>
      </w:pPr>
      <w:r>
        <w:rPr>
          <w:rFonts w:ascii="黑体" w:hAnsi="黑体" w:hint="eastAsia"/>
          <w:b w:val="0"/>
          <w:color w:val="000000" w:themeColor="text1"/>
          <w:sz w:val="32"/>
          <w:szCs w:val="32"/>
        </w:rPr>
        <w:t>部门单位整体支出绩效情况</w:t>
      </w:r>
    </w:p>
    <w:p w:rsidR="00C370D9" w:rsidRDefault="0002202B">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2022年度，</w:t>
      </w:r>
      <w:r>
        <w:rPr>
          <w:rFonts w:ascii="仿宋_GB2312" w:eastAsia="仿宋_GB2312" w:hint="eastAsia"/>
          <w:color w:val="000000" w:themeColor="text1"/>
          <w:sz w:val="32"/>
          <w:szCs w:val="32"/>
        </w:rPr>
        <w:t>我</w:t>
      </w:r>
      <w:r>
        <w:rPr>
          <w:rFonts w:ascii="仿宋_GB2312" w:eastAsia="仿宋_GB2312" w:hint="eastAsia"/>
          <w:bCs/>
          <w:color w:val="000000" w:themeColor="text1"/>
          <w:spacing w:val="-4"/>
          <w:sz w:val="32"/>
          <w:szCs w:val="32"/>
        </w:rPr>
        <w:t>单位整体支出绩效目标共设置一级指标3个，二级指标</w:t>
      </w:r>
      <w:r>
        <w:rPr>
          <w:rFonts w:ascii="仿宋_GB2312" w:eastAsia="仿宋_GB2312"/>
          <w:bCs/>
          <w:color w:val="000000" w:themeColor="text1"/>
          <w:spacing w:val="-4"/>
          <w:sz w:val="32"/>
          <w:szCs w:val="32"/>
        </w:rPr>
        <w:t>9</w:t>
      </w:r>
      <w:r>
        <w:rPr>
          <w:rFonts w:ascii="仿宋_GB2312" w:eastAsia="仿宋_GB2312" w:hint="eastAsia"/>
          <w:bCs/>
          <w:color w:val="000000" w:themeColor="text1"/>
          <w:spacing w:val="-4"/>
          <w:sz w:val="32"/>
          <w:szCs w:val="32"/>
        </w:rPr>
        <w:t>个，三级指标15个，其中：已完成三级指标15个，指标完成率为</w:t>
      </w:r>
      <w:r>
        <w:rPr>
          <w:rFonts w:ascii="仿宋_GB2312" w:eastAsia="仿宋_GB2312"/>
          <w:bCs/>
          <w:color w:val="000000" w:themeColor="text1"/>
          <w:spacing w:val="-4"/>
          <w:sz w:val="32"/>
          <w:szCs w:val="32"/>
        </w:rPr>
        <w:t>100.0</w:t>
      </w:r>
      <w:r>
        <w:rPr>
          <w:rFonts w:ascii="仿宋_GB2312" w:eastAsia="仿宋_GB2312" w:hint="eastAsia"/>
          <w:bCs/>
          <w:color w:val="000000" w:themeColor="text1"/>
          <w:spacing w:val="-4"/>
          <w:sz w:val="32"/>
          <w:szCs w:val="32"/>
        </w:rPr>
        <w:t>%。</w:t>
      </w:r>
    </w:p>
    <w:p w:rsidR="00C370D9" w:rsidRDefault="0002202B" w:rsidP="009555C4">
      <w:pPr>
        <w:pStyle w:val="3"/>
        <w:ind w:firstLine="643"/>
        <w:rPr>
          <w:color w:val="000000" w:themeColor="text1"/>
          <w:sz w:val="32"/>
        </w:rPr>
      </w:pPr>
      <w:r>
        <w:rPr>
          <w:rFonts w:hint="eastAsia"/>
          <w:color w:val="000000" w:themeColor="text1"/>
          <w:sz w:val="32"/>
        </w:rPr>
        <w:t>1.产出指标完成情况分析</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（1）数量指标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“房屋建筑物供暖面积”指标：预期指标值为“＝7634.58平方米”，实际完成指标值为“7634.58”，指标完成率为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“公务保障用车数量”指标：预期指标值为“＝1辆”，实际完成指标值为“1”，指标完成率为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“保障办公人员数量”指标：预期指标值为“＝103</w:t>
      </w:r>
      <w:r>
        <w:rPr>
          <w:rFonts w:ascii="仿宋_GB2312" w:eastAsia="仿宋_GB2312"/>
          <w:color w:val="000000" w:themeColor="text1"/>
          <w:sz w:val="32"/>
          <w:szCs w:val="32"/>
        </w:rPr>
        <w:t>人</w:t>
      </w:r>
      <w:r>
        <w:rPr>
          <w:rFonts w:ascii="仿宋_GB2312" w:eastAsia="仿宋_GB2312" w:hint="eastAsia"/>
          <w:color w:val="000000" w:themeColor="text1"/>
          <w:sz w:val="32"/>
          <w:szCs w:val="32"/>
        </w:rPr>
        <w:t>”，实际完成指标值为“96”，指标完成率为93</w:t>
      </w:r>
      <w:r>
        <w:rPr>
          <w:rFonts w:ascii="仿宋_GB2312" w:eastAsia="仿宋_GB2312"/>
          <w:bCs/>
          <w:color w:val="000000" w:themeColor="text1"/>
          <w:spacing w:val="-4"/>
          <w:sz w:val="32"/>
          <w:szCs w:val="32"/>
        </w:rPr>
        <w:t>.</w:t>
      </w:r>
      <w:r>
        <w:rPr>
          <w:rFonts w:ascii="仿宋_GB2312" w:eastAsia="仿宋_GB2312" w:hint="eastAsia"/>
          <w:bCs/>
          <w:color w:val="000000" w:themeColor="text1"/>
          <w:spacing w:val="-4"/>
          <w:sz w:val="32"/>
          <w:szCs w:val="32"/>
        </w:rPr>
        <w:t>2</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“保障学生人数”指标：预期指标值为“＝755</w:t>
      </w:r>
      <w:r>
        <w:rPr>
          <w:rFonts w:ascii="仿宋_GB2312" w:eastAsia="仿宋_GB2312"/>
          <w:color w:val="000000" w:themeColor="text1"/>
          <w:sz w:val="32"/>
          <w:szCs w:val="32"/>
        </w:rPr>
        <w:t>人</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7</w:t>
      </w:r>
      <w:r>
        <w:rPr>
          <w:rFonts w:ascii="仿宋_GB2312" w:eastAsia="仿宋_GB2312" w:hint="eastAsia"/>
          <w:color w:val="000000" w:themeColor="text1"/>
          <w:sz w:val="32"/>
          <w:szCs w:val="32"/>
        </w:rPr>
        <w:t>14”，指标完成率为94</w:t>
      </w:r>
      <w:r>
        <w:rPr>
          <w:rFonts w:ascii="仿宋_GB2312" w:eastAsia="仿宋_GB2312"/>
          <w:bCs/>
          <w:color w:val="000000" w:themeColor="text1"/>
          <w:spacing w:val="-4"/>
          <w:sz w:val="32"/>
          <w:szCs w:val="32"/>
        </w:rPr>
        <w:t>.</w:t>
      </w:r>
      <w:r>
        <w:rPr>
          <w:rFonts w:ascii="仿宋_GB2312" w:eastAsia="仿宋_GB2312" w:hint="eastAsia"/>
          <w:bCs/>
          <w:color w:val="000000" w:themeColor="text1"/>
          <w:spacing w:val="-4"/>
          <w:sz w:val="32"/>
          <w:szCs w:val="32"/>
        </w:rPr>
        <w:t>6</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“组织教师集中教研培训次数”指标：预期指标值为“＝3次”，实际完成指标值为“3”，指标完成率为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pPr>
      <w:r>
        <w:rPr>
          <w:rFonts w:ascii="仿宋_GB2312" w:eastAsia="仿宋_GB2312" w:hint="eastAsia"/>
          <w:color w:val="000000" w:themeColor="text1"/>
          <w:sz w:val="32"/>
          <w:szCs w:val="32"/>
        </w:rPr>
        <w:t>“每年安全大检查次数”指标：预期指标值为“＝2</w:t>
      </w:r>
      <w:r>
        <w:rPr>
          <w:rFonts w:ascii="仿宋_GB2312" w:eastAsia="仿宋_GB2312"/>
          <w:color w:val="000000" w:themeColor="text1"/>
          <w:sz w:val="32"/>
          <w:szCs w:val="32"/>
        </w:rPr>
        <w:t>人</w:t>
      </w:r>
      <w:r>
        <w:rPr>
          <w:rFonts w:ascii="仿宋_GB2312" w:eastAsia="仿宋_GB2312" w:hint="eastAsia"/>
          <w:color w:val="000000" w:themeColor="text1"/>
          <w:sz w:val="32"/>
          <w:szCs w:val="32"/>
        </w:rPr>
        <w:t>”，实际完成指标值为“2”，指标完成率为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numPr>
          <w:ilvl w:val="0"/>
          <w:numId w:val="6"/>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质量指标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“公用经费使用合规率”指标：预期指标值为“＝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“商品及服务类验收合格率”指标：预期指标值为“＝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numPr>
          <w:ilvl w:val="0"/>
          <w:numId w:val="6"/>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时效指标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“公用经费支付及时率”指标：预期指标值为““＝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pPr>
      <w:r>
        <w:rPr>
          <w:rFonts w:ascii="仿宋_GB2312" w:eastAsia="仿宋_GB2312" w:hint="eastAsia"/>
          <w:color w:val="000000" w:themeColor="text1"/>
          <w:sz w:val="32"/>
          <w:szCs w:val="32"/>
        </w:rPr>
        <w:t>“人员经费支付及时率”指标：预期指标值为““＝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100.0</w:t>
      </w:r>
      <w:r>
        <w:rPr>
          <w:rFonts w:ascii="仿宋_GB2312" w:eastAsia="仿宋_GB2312" w:hint="eastAsia"/>
          <w:color w:val="000000" w:themeColor="text1"/>
          <w:sz w:val="32"/>
          <w:szCs w:val="32"/>
        </w:rPr>
        <w:t>%”，指标完成率为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numPr>
          <w:ilvl w:val="0"/>
          <w:numId w:val="6"/>
        </w:num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成本指标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“人员经费支出”指标：预期指标值为“＝1488.90</w:t>
      </w:r>
      <w:r>
        <w:rPr>
          <w:rFonts w:ascii="仿宋_GB2312" w:eastAsia="仿宋_GB2312"/>
          <w:color w:val="000000" w:themeColor="text1"/>
          <w:sz w:val="32"/>
          <w:szCs w:val="32"/>
        </w:rPr>
        <w:t>万元</w:t>
      </w:r>
      <w:r>
        <w:rPr>
          <w:rFonts w:ascii="仿宋_GB2312" w:eastAsia="仿宋_GB2312" w:hint="eastAsia"/>
          <w:color w:val="000000" w:themeColor="text1"/>
          <w:sz w:val="32"/>
          <w:szCs w:val="32"/>
        </w:rPr>
        <w:t>”，实际完成指标值为“1795.34</w:t>
      </w:r>
      <w:r>
        <w:rPr>
          <w:rFonts w:ascii="仿宋_GB2312" w:eastAsia="仿宋_GB2312"/>
          <w:color w:val="000000" w:themeColor="text1"/>
          <w:sz w:val="32"/>
          <w:szCs w:val="32"/>
        </w:rPr>
        <w:t>万元</w:t>
      </w:r>
      <w:r>
        <w:rPr>
          <w:rFonts w:ascii="仿宋_GB2312" w:eastAsia="仿宋_GB2312" w:hint="eastAsia"/>
          <w:color w:val="000000" w:themeColor="text1"/>
          <w:sz w:val="32"/>
          <w:szCs w:val="32"/>
        </w:rPr>
        <w:t>”，指标完成率为120.6%;</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“办公经费支出”指标：预期指标值为“＝</w:t>
      </w:r>
      <w:r>
        <w:rPr>
          <w:rFonts w:ascii="仿宋_GB2312" w:eastAsia="仿宋_GB2312"/>
          <w:color w:val="000000" w:themeColor="text1"/>
          <w:sz w:val="32"/>
          <w:szCs w:val="32"/>
        </w:rPr>
        <w:t>5</w:t>
      </w:r>
      <w:r>
        <w:rPr>
          <w:rFonts w:ascii="仿宋_GB2312" w:eastAsia="仿宋_GB2312" w:hint="eastAsia"/>
          <w:color w:val="000000" w:themeColor="text1"/>
          <w:sz w:val="32"/>
          <w:szCs w:val="32"/>
        </w:rPr>
        <w:t>9.87</w:t>
      </w:r>
      <w:r>
        <w:rPr>
          <w:rFonts w:ascii="仿宋_GB2312" w:eastAsia="仿宋_GB2312"/>
          <w:color w:val="000000" w:themeColor="text1"/>
          <w:sz w:val="32"/>
          <w:szCs w:val="32"/>
        </w:rPr>
        <w:t>万元</w:t>
      </w:r>
      <w:r>
        <w:rPr>
          <w:rFonts w:ascii="仿宋_GB2312" w:eastAsia="仿宋_GB2312" w:hint="eastAsia"/>
          <w:color w:val="000000" w:themeColor="text1"/>
          <w:sz w:val="32"/>
          <w:szCs w:val="32"/>
        </w:rPr>
        <w:t>”，实际完成指标值为“107.26”，指标完成率为179</w:t>
      </w:r>
      <w:r>
        <w:rPr>
          <w:rFonts w:ascii="仿宋_GB2312" w:eastAsia="仿宋_GB2312"/>
          <w:bCs/>
          <w:color w:val="000000" w:themeColor="text1"/>
          <w:spacing w:val="-4"/>
          <w:sz w:val="32"/>
          <w:szCs w:val="32"/>
        </w:rPr>
        <w:t>.</w:t>
      </w:r>
      <w:r>
        <w:rPr>
          <w:rFonts w:ascii="仿宋_GB2312" w:eastAsia="仿宋_GB2312" w:hint="eastAsia"/>
          <w:bCs/>
          <w:color w:val="000000" w:themeColor="text1"/>
          <w:spacing w:val="-4"/>
          <w:sz w:val="32"/>
          <w:szCs w:val="32"/>
        </w:rPr>
        <w:t>2</w:t>
      </w:r>
      <w:r>
        <w:rPr>
          <w:rFonts w:ascii="仿宋_GB2312" w:eastAsia="仿宋_GB2312" w:hint="eastAsia"/>
          <w:color w:val="000000" w:themeColor="text1"/>
          <w:sz w:val="32"/>
          <w:szCs w:val="32"/>
        </w:rPr>
        <w:t>%;</w:t>
      </w:r>
    </w:p>
    <w:p w:rsidR="00C370D9" w:rsidRDefault="0002202B" w:rsidP="009555C4">
      <w:pPr>
        <w:pStyle w:val="3"/>
        <w:ind w:firstLine="643"/>
        <w:rPr>
          <w:color w:val="000000" w:themeColor="text1"/>
          <w:sz w:val="32"/>
        </w:rPr>
      </w:pPr>
      <w:r>
        <w:rPr>
          <w:rFonts w:hint="eastAsia"/>
          <w:color w:val="000000" w:themeColor="text1"/>
          <w:sz w:val="32"/>
        </w:rPr>
        <w:lastRenderedPageBreak/>
        <w:t>2.效益指标完成情况分析</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（1）经济效益</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（2）社会效益</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“完成教育教学活动”指标：预期指标值为“有效完成”，实际完成指标值为“持续提高”，指标完成率为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（3）生态效益</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无此项指标</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（4）可持续影响</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“提升教育教学能力”指标：预期指标值为“有效提升”，实际完成指标值为“持续提高”，指标完成率为</w:t>
      </w:r>
      <w:r>
        <w:rPr>
          <w:rFonts w:ascii="仿宋_GB2312" w:eastAsia="仿宋_GB2312"/>
          <w:bCs/>
          <w:color w:val="000000" w:themeColor="text1"/>
          <w:spacing w:val="-4"/>
          <w:sz w:val="32"/>
          <w:szCs w:val="32"/>
        </w:rPr>
        <w:t>100.0%</w:t>
      </w:r>
      <w:r>
        <w:rPr>
          <w:rFonts w:ascii="仿宋_GB2312" w:eastAsia="仿宋_GB2312" w:hint="eastAsia"/>
          <w:color w:val="000000" w:themeColor="text1"/>
          <w:sz w:val="32"/>
          <w:szCs w:val="32"/>
        </w:rPr>
        <w:t>;</w:t>
      </w:r>
    </w:p>
    <w:p w:rsidR="00C370D9" w:rsidRDefault="0002202B" w:rsidP="009555C4">
      <w:pPr>
        <w:pStyle w:val="3"/>
        <w:ind w:firstLine="643"/>
        <w:rPr>
          <w:color w:val="000000" w:themeColor="text1"/>
          <w:sz w:val="32"/>
        </w:rPr>
      </w:pPr>
      <w:r>
        <w:rPr>
          <w:rFonts w:hint="eastAsia"/>
          <w:color w:val="000000" w:themeColor="text1"/>
          <w:sz w:val="32"/>
        </w:rPr>
        <w:t>3.满意度指标完成情况分析</w:t>
      </w:r>
    </w:p>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“教职工满意度”指标：预期指标值为“</w:t>
      </w:r>
      <w:r>
        <w:rPr>
          <w:rFonts w:ascii="仿宋_GB2312" w:eastAsia="仿宋_GB2312"/>
          <w:color w:val="000000" w:themeColor="text1"/>
          <w:sz w:val="32"/>
          <w:szCs w:val="32"/>
        </w:rPr>
        <w:t>&gt;=9</w:t>
      </w:r>
      <w:r>
        <w:rPr>
          <w:rFonts w:ascii="仿宋_GB2312" w:eastAsia="仿宋_GB2312" w:hint="eastAsia"/>
          <w:color w:val="000000" w:themeColor="text1"/>
          <w:sz w:val="32"/>
          <w:szCs w:val="32"/>
        </w:rPr>
        <w:t>0</w:t>
      </w:r>
      <w:r>
        <w:rPr>
          <w:rFonts w:ascii="仿宋_GB2312" w:eastAsia="仿宋_GB2312"/>
          <w:color w:val="000000" w:themeColor="text1"/>
          <w:sz w:val="32"/>
          <w:szCs w:val="32"/>
        </w:rPr>
        <w:t>.00%</w:t>
      </w:r>
      <w:r>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95.0</w:t>
      </w:r>
      <w:r>
        <w:rPr>
          <w:rFonts w:ascii="仿宋_GB2312" w:eastAsia="仿宋_GB2312" w:hint="eastAsia"/>
          <w:color w:val="000000" w:themeColor="text1"/>
          <w:sz w:val="32"/>
          <w:szCs w:val="32"/>
        </w:rPr>
        <w:t>0</w:t>
      </w:r>
      <w:r>
        <w:rPr>
          <w:rFonts w:ascii="仿宋_GB2312" w:eastAsia="仿宋_GB2312"/>
          <w:color w:val="000000" w:themeColor="text1"/>
          <w:sz w:val="32"/>
          <w:szCs w:val="32"/>
        </w:rPr>
        <w:t>%</w:t>
      </w:r>
      <w:r>
        <w:rPr>
          <w:rFonts w:ascii="仿宋_GB2312" w:eastAsia="仿宋_GB2312" w:hint="eastAsia"/>
          <w:color w:val="000000" w:themeColor="text1"/>
          <w:sz w:val="32"/>
          <w:szCs w:val="32"/>
        </w:rPr>
        <w:t>”，指标完成率为</w:t>
      </w:r>
      <w:r>
        <w:rPr>
          <w:rFonts w:ascii="仿宋_GB2312" w:eastAsia="仿宋_GB2312"/>
          <w:bCs/>
          <w:color w:val="000000" w:themeColor="text1"/>
          <w:spacing w:val="-4"/>
          <w:sz w:val="32"/>
          <w:szCs w:val="32"/>
        </w:rPr>
        <w:t>10</w:t>
      </w:r>
      <w:r>
        <w:rPr>
          <w:rFonts w:ascii="仿宋_GB2312" w:eastAsia="仿宋_GB2312" w:hint="eastAsia"/>
          <w:bCs/>
          <w:color w:val="000000" w:themeColor="text1"/>
          <w:spacing w:val="-4"/>
          <w:sz w:val="32"/>
          <w:szCs w:val="32"/>
        </w:rPr>
        <w:t>5</w:t>
      </w:r>
      <w:r>
        <w:rPr>
          <w:rFonts w:ascii="仿宋_GB2312" w:eastAsia="仿宋_GB2312"/>
          <w:bCs/>
          <w:color w:val="000000" w:themeColor="text1"/>
          <w:spacing w:val="-4"/>
          <w:sz w:val="32"/>
          <w:szCs w:val="32"/>
        </w:rPr>
        <w:t>.</w:t>
      </w:r>
      <w:r>
        <w:rPr>
          <w:rFonts w:ascii="仿宋_GB2312" w:eastAsia="仿宋_GB2312" w:hint="eastAsia"/>
          <w:bCs/>
          <w:color w:val="000000" w:themeColor="text1"/>
          <w:spacing w:val="-4"/>
          <w:sz w:val="32"/>
          <w:szCs w:val="32"/>
        </w:rPr>
        <w:t>6</w:t>
      </w:r>
      <w:r>
        <w:rPr>
          <w:rFonts w:ascii="仿宋_GB2312" w:eastAsia="仿宋_GB2312"/>
          <w:bCs/>
          <w:color w:val="000000" w:themeColor="text1"/>
          <w:spacing w:val="-4"/>
          <w:sz w:val="32"/>
          <w:szCs w:val="32"/>
        </w:rPr>
        <w:t>%</w:t>
      </w:r>
      <w:r>
        <w:rPr>
          <w:rFonts w:ascii="仿宋_GB2312" w:eastAsia="仿宋_GB2312" w:hint="eastAsia"/>
          <w:color w:val="000000" w:themeColor="text1"/>
          <w:sz w:val="32"/>
          <w:szCs w:val="32"/>
        </w:rPr>
        <w:t>;</w:t>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六、存在的主要问题</w:t>
      </w:r>
    </w:p>
    <w:p w:rsidR="00C370D9" w:rsidRDefault="0002202B">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%，2022年本单位整体支出绩效目标全部达成，不存在未完成原因分析。</w:t>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t>七、改进措施和建议</w:t>
      </w:r>
    </w:p>
    <w:p w:rsidR="00C370D9" w:rsidRDefault="0002202B">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将绩效目标作为年度开展相关工作的前置条件，严格按照相应目标落实相关工作内容，严格制定工作实施方案，将绩效目标进一步细化分解，作为可量化衡量的依据；绩效目标设置应进一步加强重点工作的结合。</w:t>
      </w:r>
    </w:p>
    <w:p w:rsidR="00C370D9" w:rsidRDefault="0002202B">
      <w:pPr>
        <w:pStyle w:val="1"/>
        <w:ind w:firstLine="640"/>
        <w:rPr>
          <w:rFonts w:ascii="黑体" w:hAnsi="黑体"/>
          <w:b w:val="0"/>
          <w:color w:val="000000" w:themeColor="text1"/>
          <w:sz w:val="32"/>
          <w:szCs w:val="32"/>
        </w:rPr>
      </w:pPr>
      <w:r>
        <w:rPr>
          <w:rFonts w:ascii="黑体" w:hAnsi="黑体" w:hint="eastAsia"/>
          <w:b w:val="0"/>
          <w:color w:val="000000" w:themeColor="text1"/>
          <w:sz w:val="32"/>
          <w:szCs w:val="32"/>
        </w:rPr>
        <w:lastRenderedPageBreak/>
        <w:t>八、附表</w:t>
      </w:r>
    </w:p>
    <w:tbl>
      <w:tblPr>
        <w:tblpPr w:leftFromText="180" w:rightFromText="180" w:vertAnchor="text" w:horzAnchor="page" w:tblpX="715" w:tblpY="559"/>
        <w:tblOverlap w:val="never"/>
        <w:tblW w:w="10812" w:type="dxa"/>
        <w:tblLayout w:type="fixed"/>
        <w:tblLook w:val="04A0"/>
      </w:tblPr>
      <w:tblGrid>
        <w:gridCol w:w="1697"/>
        <w:gridCol w:w="838"/>
        <w:gridCol w:w="683"/>
        <w:gridCol w:w="683"/>
        <w:gridCol w:w="1546"/>
        <w:gridCol w:w="1011"/>
        <w:gridCol w:w="749"/>
        <w:gridCol w:w="1551"/>
        <w:gridCol w:w="1050"/>
        <w:gridCol w:w="1004"/>
      </w:tblGrid>
      <w:tr w:rsidR="00C370D9">
        <w:trPr>
          <w:trHeight w:val="800"/>
        </w:trPr>
        <w:tc>
          <w:tcPr>
            <w:tcW w:w="10812" w:type="dxa"/>
            <w:gridSpan w:val="10"/>
            <w:tcBorders>
              <w:top w:val="nil"/>
              <w:left w:val="nil"/>
              <w:bottom w:val="nil"/>
              <w:right w:val="nil"/>
            </w:tcBorders>
            <w:shd w:val="clear" w:color="auto" w:fill="auto"/>
            <w:vAlign w:val="center"/>
          </w:tcPr>
          <w:p w:rsidR="00C370D9" w:rsidRDefault="0002202B">
            <w:pPr>
              <w:widowControl/>
              <w:spacing w:line="240" w:lineRule="auto"/>
              <w:ind w:firstLineChars="0" w:firstLine="0"/>
              <w:jc w:val="left"/>
              <w:textAlignment w:val="center"/>
              <w:rPr>
                <w:rFonts w:ascii="方正小标宋简体" w:eastAsia="方正小标宋简体" w:hAnsi="方正小标宋简体" w:cs="方正小标宋简体"/>
                <w:color w:val="000000"/>
                <w:sz w:val="40"/>
                <w:szCs w:val="40"/>
              </w:rPr>
            </w:pPr>
            <w:bookmarkStart w:id="0" w:name="_GoBack"/>
            <w:r>
              <w:rPr>
                <w:rFonts w:ascii="方正小标宋简体" w:eastAsia="方正小标宋简体" w:hAnsi="方正小标宋简体" w:cs="方正小标宋简体"/>
                <w:color w:val="000000"/>
                <w:kern w:val="0"/>
                <w:sz w:val="40"/>
                <w:szCs w:val="40"/>
              </w:rPr>
              <w:t>部门整体支出绩效目标自评表</w:t>
            </w:r>
          </w:p>
        </w:tc>
      </w:tr>
      <w:tr w:rsidR="00C370D9">
        <w:trPr>
          <w:trHeight w:val="680"/>
        </w:trPr>
        <w:tc>
          <w:tcPr>
            <w:tcW w:w="10812" w:type="dxa"/>
            <w:gridSpan w:val="10"/>
            <w:tcBorders>
              <w:top w:val="nil"/>
              <w:left w:val="nil"/>
              <w:bottom w:val="single" w:sz="4" w:space="0" w:color="000000"/>
              <w:right w:val="nil"/>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（2022年度）</w:t>
            </w:r>
          </w:p>
        </w:tc>
      </w:tr>
      <w:tr w:rsidR="00C370D9">
        <w:trPr>
          <w:trHeight w:val="540"/>
        </w:trPr>
        <w:tc>
          <w:tcPr>
            <w:tcW w:w="3218"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部门（单位）名称</w:t>
            </w:r>
          </w:p>
        </w:tc>
        <w:tc>
          <w:tcPr>
            <w:tcW w:w="759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昌吉市阿什里乡中心学校</w:t>
            </w:r>
          </w:p>
        </w:tc>
      </w:tr>
      <w:tr w:rsidR="00C370D9">
        <w:trPr>
          <w:trHeight w:val="560"/>
        </w:trPr>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年度主要任务</w:t>
            </w:r>
          </w:p>
        </w:tc>
        <w:tc>
          <w:tcPr>
            <w:tcW w:w="152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任务名称</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主要内容</w:t>
            </w:r>
          </w:p>
        </w:tc>
        <w:tc>
          <w:tcPr>
            <w:tcW w:w="3306" w:type="dxa"/>
            <w:gridSpan w:val="3"/>
            <w:tcBorders>
              <w:top w:val="single" w:sz="4" w:space="0" w:color="000000"/>
              <w:left w:val="nil"/>
              <w:bottom w:val="nil"/>
              <w:right w:val="nil"/>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预算金额（万元）</w:t>
            </w:r>
          </w:p>
        </w:tc>
        <w:tc>
          <w:tcPr>
            <w:tcW w:w="36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实际执行（万元）</w:t>
            </w:r>
          </w:p>
        </w:tc>
      </w:tr>
      <w:tr w:rsidR="00C370D9">
        <w:trPr>
          <w:trHeight w:val="84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152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总额</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其他资金</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总额</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财政拨款</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其他资金</w:t>
            </w:r>
          </w:p>
        </w:tc>
      </w:tr>
      <w:tr w:rsidR="00C370D9">
        <w:trPr>
          <w:trHeight w:val="70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1521" w:type="dxa"/>
            <w:gridSpan w:val="2"/>
            <w:tcBorders>
              <w:top w:val="single" w:sz="4" w:space="0" w:color="000000"/>
              <w:left w:val="single" w:sz="4" w:space="0" w:color="000000"/>
              <w:bottom w:val="single" w:sz="4" w:space="0" w:color="000000"/>
              <w:right w:val="nil"/>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保障机构正常运转</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保障各项工作顺利进行，精细化管理</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1488.9</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1488.9</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1795.34</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1795.34</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C370D9">
        <w:trPr>
          <w:trHeight w:val="54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1521" w:type="dxa"/>
            <w:gridSpan w:val="2"/>
            <w:tcBorders>
              <w:top w:val="single" w:sz="4" w:space="0" w:color="000000"/>
              <w:left w:val="single" w:sz="4" w:space="0" w:color="000000"/>
              <w:bottom w:val="single" w:sz="4" w:space="0" w:color="000000"/>
              <w:right w:val="nil"/>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提升履职能力</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商品服务类支出</w:t>
            </w:r>
          </w:p>
        </w:tc>
        <w:tc>
          <w:tcPr>
            <w:tcW w:w="15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59.87</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59.87</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107.26</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107.26</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w:t>
            </w:r>
          </w:p>
        </w:tc>
      </w:tr>
      <w:tr w:rsidR="00C370D9">
        <w:trPr>
          <w:trHeight w:val="54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合　计</w:t>
            </w:r>
          </w:p>
        </w:tc>
        <w:tc>
          <w:tcPr>
            <w:tcW w:w="15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1548.77</w:t>
            </w:r>
          </w:p>
        </w:tc>
        <w:tc>
          <w:tcPr>
            <w:tcW w:w="10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1548.77</w:t>
            </w: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1902.60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1902.6</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0.0</w:t>
            </w:r>
          </w:p>
        </w:tc>
      </w:tr>
      <w:tr w:rsidR="00C370D9">
        <w:trPr>
          <w:trHeight w:val="465"/>
        </w:trPr>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年度总体目标</w:t>
            </w:r>
          </w:p>
        </w:tc>
        <w:tc>
          <w:tcPr>
            <w:tcW w:w="37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预期目标</w:t>
            </w:r>
          </w:p>
        </w:tc>
        <w:tc>
          <w:tcPr>
            <w:tcW w:w="5365" w:type="dxa"/>
            <w:gridSpan w:val="5"/>
            <w:tcBorders>
              <w:top w:val="single" w:sz="4" w:space="0" w:color="000000"/>
              <w:left w:val="nil"/>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实际完成目标</w:t>
            </w:r>
          </w:p>
        </w:tc>
      </w:tr>
      <w:tr w:rsidR="00C370D9">
        <w:trPr>
          <w:trHeight w:val="174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37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昌吉市阿什里乡中心学校为昌吉市教育局下属的事业单位，担负教育教学职能，规范教学常规管理，细化管理措施。2022年度预算1548.77万元，经费主要支出方向为人员经费1488.9万元及商品服务类支出59.87万元，保障办公人员103人，保障学生人数755人，房屋建筑物供暖面积</w:t>
            </w:r>
            <w:r>
              <w:rPr>
                <w:rFonts w:ascii="宋体" w:eastAsia="宋体" w:hAnsi="宋体" w:cs="宋体" w:hint="eastAsia"/>
                <w:color w:val="000000"/>
                <w:kern w:val="0"/>
                <w:sz w:val="22"/>
                <w:szCs w:val="22"/>
              </w:rPr>
              <w:lastRenderedPageBreak/>
              <w:t>7634.58平方米，以此确保机构正常运转，完成正常的教育教学活动。精准施策，全面提升教学质量，维护校园安全稳定，同时能够建设一支既有专业知识又能教书育人的高质量教师队伍。</w:t>
            </w:r>
          </w:p>
        </w:tc>
        <w:tc>
          <w:tcPr>
            <w:tcW w:w="5365" w:type="dxa"/>
            <w:gridSpan w:val="5"/>
            <w:tcBorders>
              <w:top w:val="single" w:sz="4" w:space="0" w:color="000000"/>
              <w:left w:val="nil"/>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 xml:space="preserve">昌吉市阿什里乡中心学校本年执行人员经费1847.15万，保障教职工人数人， 执行办公经费107.26万元,保障幼儿人数714人。                     </w:t>
            </w:r>
            <w:r>
              <w:rPr>
                <w:rFonts w:ascii="宋体" w:eastAsia="宋体" w:hAnsi="宋体" w:cs="宋体" w:hint="eastAsia"/>
                <w:color w:val="000000"/>
                <w:kern w:val="0"/>
                <w:sz w:val="22"/>
                <w:szCs w:val="22"/>
              </w:rPr>
              <w:br/>
              <w:t>资金执行完成时间2022年12月31日，使教职工及幼儿家长满意达到了95%，有效保障了学校正常运转完成教学活动，提高了教育水平。</w:t>
            </w:r>
          </w:p>
        </w:tc>
      </w:tr>
      <w:tr w:rsidR="00C370D9">
        <w:trPr>
          <w:trHeight w:val="780"/>
        </w:trPr>
        <w:tc>
          <w:tcPr>
            <w:tcW w:w="16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lastRenderedPageBreak/>
              <w:t>年度绩效指标完成情况</w:t>
            </w:r>
          </w:p>
        </w:tc>
        <w:tc>
          <w:tcPr>
            <w:tcW w:w="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一级指标</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二级指标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三级指标</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绩效目标值</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实际完成值</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指标分值</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得分</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项目完成</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数量指标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房屋建筑物供暖面积</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=7634.58平方米</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=7634.58平方米</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公务保障用车数量</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=1.00辆</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=1辆</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保障办公人员数量</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=103.00人</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=96人</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6.52</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保障学生人数</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=755.00人</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=714人</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8</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7.57</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组织教师集中教研培训次数</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=3.00次</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=3次</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3</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每年安全大检查次数</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=2.00次</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=2次</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4</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质量指标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公用经费使用合规率</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商品及服务类验收合格率</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11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时效指标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公用经费支付及时率</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人员经费支付及时率</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成本指标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人员经费支出</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&lt;=1488.90万元</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&lt;=1795.34万元</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办公经费支出</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&lt;=59.87万元</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&lt;=107.26万元</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项目效益</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经济效益指标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社会效益指标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完成教育教学活动</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有效完成</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持续提高</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生态效益指标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可持续影响指标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提升教育教学能力</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有效提升</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持续提高</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15</w:t>
            </w:r>
          </w:p>
        </w:tc>
      </w:tr>
      <w:tr w:rsidR="00C370D9">
        <w:trPr>
          <w:trHeight w:val="880"/>
        </w:trPr>
        <w:tc>
          <w:tcPr>
            <w:tcW w:w="16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C370D9">
            <w:pPr>
              <w:spacing w:line="240" w:lineRule="auto"/>
              <w:ind w:firstLineChars="0" w:firstLine="0"/>
              <w:jc w:val="left"/>
              <w:rPr>
                <w:rFonts w:ascii="宋体" w:eastAsia="宋体" w:hAnsi="宋体" w:cs="宋体"/>
                <w:color w:val="000000"/>
                <w:sz w:val="22"/>
                <w:szCs w:val="22"/>
              </w:rPr>
            </w:pPr>
          </w:p>
        </w:tc>
        <w:tc>
          <w:tcPr>
            <w:tcW w:w="8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6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满意度指标</w:t>
            </w:r>
          </w:p>
        </w:tc>
        <w:tc>
          <w:tcPr>
            <w:tcW w:w="22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教职工满意度</w:t>
            </w:r>
          </w:p>
        </w:tc>
        <w:tc>
          <w:tcPr>
            <w:tcW w:w="17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&gt;=90.00%</w:t>
            </w:r>
          </w:p>
        </w:tc>
        <w:tc>
          <w:tcPr>
            <w:tcW w:w="15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&gt;=95%</w:t>
            </w:r>
          </w:p>
        </w:tc>
        <w:tc>
          <w:tcPr>
            <w:tcW w:w="10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c>
          <w:tcPr>
            <w:tcW w:w="10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0D9" w:rsidRDefault="0002202B">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10</w:t>
            </w:r>
          </w:p>
        </w:tc>
      </w:tr>
    </w:tbl>
    <w:bookmarkEnd w:id="0"/>
    <w:p w:rsidR="00C370D9" w:rsidRDefault="0002202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《部门整体支出绩效目标自评表》</w:t>
      </w:r>
    </w:p>
    <w:p w:rsidR="00C370D9" w:rsidRDefault="00C370D9" w:rsidP="00C370D9">
      <w:pPr>
        <w:pStyle w:val="3"/>
        <w:ind w:firstLine="562"/>
      </w:pPr>
    </w:p>
    <w:sectPr w:rsidR="00C370D9" w:rsidSect="00C370D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7684" w:rsidRDefault="009E7684">
      <w:pPr>
        <w:spacing w:line="240" w:lineRule="auto"/>
        <w:ind w:firstLine="560"/>
      </w:pPr>
      <w:r>
        <w:separator/>
      </w:r>
    </w:p>
  </w:endnote>
  <w:endnote w:type="continuationSeparator" w:id="1">
    <w:p w:rsidR="009E7684" w:rsidRDefault="009E7684">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6"/>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7684" w:rsidRDefault="009E7684">
      <w:pPr>
        <w:spacing w:line="240" w:lineRule="auto"/>
        <w:ind w:firstLine="560"/>
      </w:pPr>
      <w:r>
        <w:separator/>
      </w:r>
    </w:p>
  </w:footnote>
  <w:footnote w:type="continuationSeparator" w:id="1">
    <w:p w:rsidR="009E7684" w:rsidRDefault="009E7684">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D9" w:rsidRDefault="00C370D9">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5"/>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zI5OWNlOGNkY2Y1NjJmY2ZkOGFiNjQ3N2NiYTEzNzMifQ=="/>
  </w:docVars>
  <w:rsids>
    <w:rsidRoot w:val="005736CA"/>
    <w:rsid w:val="00012408"/>
    <w:rsid w:val="000127F0"/>
    <w:rsid w:val="00012F5F"/>
    <w:rsid w:val="0002202B"/>
    <w:rsid w:val="000318A3"/>
    <w:rsid w:val="00067E64"/>
    <w:rsid w:val="0007278D"/>
    <w:rsid w:val="0008605C"/>
    <w:rsid w:val="000B6ECB"/>
    <w:rsid w:val="000E039F"/>
    <w:rsid w:val="000E6C82"/>
    <w:rsid w:val="000E6FAF"/>
    <w:rsid w:val="000E7E50"/>
    <w:rsid w:val="0013670F"/>
    <w:rsid w:val="00171BA6"/>
    <w:rsid w:val="001736E0"/>
    <w:rsid w:val="00201A4A"/>
    <w:rsid w:val="00213C29"/>
    <w:rsid w:val="002153DD"/>
    <w:rsid w:val="00240E30"/>
    <w:rsid w:val="0025380D"/>
    <w:rsid w:val="002640E4"/>
    <w:rsid w:val="00266868"/>
    <w:rsid w:val="00267128"/>
    <w:rsid w:val="002E0329"/>
    <w:rsid w:val="003215E5"/>
    <w:rsid w:val="00336A24"/>
    <w:rsid w:val="00372D96"/>
    <w:rsid w:val="003A0471"/>
    <w:rsid w:val="003B184C"/>
    <w:rsid w:val="003F473D"/>
    <w:rsid w:val="003F4BF6"/>
    <w:rsid w:val="003F5776"/>
    <w:rsid w:val="00454FA0"/>
    <w:rsid w:val="00455E2F"/>
    <w:rsid w:val="004751A0"/>
    <w:rsid w:val="00485980"/>
    <w:rsid w:val="0049261B"/>
    <w:rsid w:val="004C0E69"/>
    <w:rsid w:val="004D4927"/>
    <w:rsid w:val="004E4CA7"/>
    <w:rsid w:val="0050041C"/>
    <w:rsid w:val="00504B17"/>
    <w:rsid w:val="00515041"/>
    <w:rsid w:val="00536BDF"/>
    <w:rsid w:val="00560281"/>
    <w:rsid w:val="005736CA"/>
    <w:rsid w:val="005747D9"/>
    <w:rsid w:val="00585195"/>
    <w:rsid w:val="005A124E"/>
    <w:rsid w:val="005A7299"/>
    <w:rsid w:val="005D3F17"/>
    <w:rsid w:val="005E5D6E"/>
    <w:rsid w:val="005F7A89"/>
    <w:rsid w:val="005F7A93"/>
    <w:rsid w:val="00601640"/>
    <w:rsid w:val="00617C63"/>
    <w:rsid w:val="00662DF7"/>
    <w:rsid w:val="00696B9D"/>
    <w:rsid w:val="006F49EF"/>
    <w:rsid w:val="00720EB6"/>
    <w:rsid w:val="00722410"/>
    <w:rsid w:val="0073421E"/>
    <w:rsid w:val="00740049"/>
    <w:rsid w:val="00742A9A"/>
    <w:rsid w:val="00751F8E"/>
    <w:rsid w:val="00766E26"/>
    <w:rsid w:val="0077571A"/>
    <w:rsid w:val="007903C5"/>
    <w:rsid w:val="007A1B0F"/>
    <w:rsid w:val="007B6305"/>
    <w:rsid w:val="007D575E"/>
    <w:rsid w:val="0084155E"/>
    <w:rsid w:val="00853C58"/>
    <w:rsid w:val="008749A8"/>
    <w:rsid w:val="008A06D5"/>
    <w:rsid w:val="008A09A7"/>
    <w:rsid w:val="008A1C5E"/>
    <w:rsid w:val="008D5E7B"/>
    <w:rsid w:val="008D6E7F"/>
    <w:rsid w:val="008F6FFC"/>
    <w:rsid w:val="0090615A"/>
    <w:rsid w:val="00931A42"/>
    <w:rsid w:val="00942448"/>
    <w:rsid w:val="009443DA"/>
    <w:rsid w:val="00950C31"/>
    <w:rsid w:val="009555C4"/>
    <w:rsid w:val="00956819"/>
    <w:rsid w:val="00961F8B"/>
    <w:rsid w:val="0096328D"/>
    <w:rsid w:val="00980AEF"/>
    <w:rsid w:val="00983FD4"/>
    <w:rsid w:val="009D6347"/>
    <w:rsid w:val="009E68A2"/>
    <w:rsid w:val="009E7684"/>
    <w:rsid w:val="009F1045"/>
    <w:rsid w:val="00A14FBC"/>
    <w:rsid w:val="00A3469A"/>
    <w:rsid w:val="00A4000D"/>
    <w:rsid w:val="00A7110C"/>
    <w:rsid w:val="00A720BD"/>
    <w:rsid w:val="00A85EC6"/>
    <w:rsid w:val="00A87301"/>
    <w:rsid w:val="00A95478"/>
    <w:rsid w:val="00A97339"/>
    <w:rsid w:val="00AB380B"/>
    <w:rsid w:val="00AD6228"/>
    <w:rsid w:val="00AD7587"/>
    <w:rsid w:val="00AE0359"/>
    <w:rsid w:val="00AF1C64"/>
    <w:rsid w:val="00B00384"/>
    <w:rsid w:val="00B137A2"/>
    <w:rsid w:val="00B40102"/>
    <w:rsid w:val="00B50E51"/>
    <w:rsid w:val="00B84A7A"/>
    <w:rsid w:val="00B86879"/>
    <w:rsid w:val="00B93F8E"/>
    <w:rsid w:val="00BA569D"/>
    <w:rsid w:val="00BC7E1D"/>
    <w:rsid w:val="00BE35FA"/>
    <w:rsid w:val="00C02FF2"/>
    <w:rsid w:val="00C069F3"/>
    <w:rsid w:val="00C11C70"/>
    <w:rsid w:val="00C370D9"/>
    <w:rsid w:val="00C5695F"/>
    <w:rsid w:val="00C6605B"/>
    <w:rsid w:val="00C73D01"/>
    <w:rsid w:val="00CA0283"/>
    <w:rsid w:val="00CA1447"/>
    <w:rsid w:val="00CC37D5"/>
    <w:rsid w:val="00CC6327"/>
    <w:rsid w:val="00CD147B"/>
    <w:rsid w:val="00CE7A69"/>
    <w:rsid w:val="00CF5551"/>
    <w:rsid w:val="00D01472"/>
    <w:rsid w:val="00D23582"/>
    <w:rsid w:val="00D2747D"/>
    <w:rsid w:val="00D33523"/>
    <w:rsid w:val="00D34758"/>
    <w:rsid w:val="00D81057"/>
    <w:rsid w:val="00D816FD"/>
    <w:rsid w:val="00D8792A"/>
    <w:rsid w:val="00DA5BC3"/>
    <w:rsid w:val="00DB02E7"/>
    <w:rsid w:val="00DB3723"/>
    <w:rsid w:val="00DC7874"/>
    <w:rsid w:val="00DE5C7F"/>
    <w:rsid w:val="00DE64D1"/>
    <w:rsid w:val="00E04B09"/>
    <w:rsid w:val="00E122EB"/>
    <w:rsid w:val="00E65EF1"/>
    <w:rsid w:val="00E76F6F"/>
    <w:rsid w:val="00E9202E"/>
    <w:rsid w:val="00EA0F2D"/>
    <w:rsid w:val="00EB62E6"/>
    <w:rsid w:val="00ED011B"/>
    <w:rsid w:val="00EF0D4A"/>
    <w:rsid w:val="00EF3EF1"/>
    <w:rsid w:val="00F62F25"/>
    <w:rsid w:val="00F87CC2"/>
    <w:rsid w:val="00FE2461"/>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59063CC"/>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C12235"/>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5E10FB"/>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A17A40"/>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8D1F5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BD38B5"/>
    <w:rsid w:val="38C05FA5"/>
    <w:rsid w:val="38CD3EED"/>
    <w:rsid w:val="38DF1F43"/>
    <w:rsid w:val="390339EB"/>
    <w:rsid w:val="39D66640"/>
    <w:rsid w:val="3A3453FF"/>
    <w:rsid w:val="3A4A73CA"/>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9D24D5"/>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997DDB"/>
    <w:rsid w:val="4FBC77EB"/>
    <w:rsid w:val="4FBD4AFA"/>
    <w:rsid w:val="50206576"/>
    <w:rsid w:val="50303A7C"/>
    <w:rsid w:val="50453781"/>
    <w:rsid w:val="5099174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654CD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1F559B"/>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6265F"/>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B014AF"/>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7711FB"/>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370D9"/>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370D9"/>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370D9"/>
    <w:pPr>
      <w:keepNext/>
      <w:keepLines/>
      <w:outlineLvl w:val="1"/>
    </w:pPr>
    <w:rPr>
      <w:rFonts w:ascii="Arial" w:eastAsia="楷体" w:hAnsi="Arial"/>
      <w:b/>
      <w:sz w:val="32"/>
    </w:rPr>
  </w:style>
  <w:style w:type="paragraph" w:styleId="3">
    <w:name w:val="heading 3"/>
    <w:basedOn w:val="a"/>
    <w:next w:val="a"/>
    <w:qFormat/>
    <w:rsid w:val="00C370D9"/>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370D9"/>
    <w:pPr>
      <w:jc w:val="left"/>
    </w:pPr>
  </w:style>
  <w:style w:type="paragraph" w:styleId="a4">
    <w:name w:val="Body Text"/>
    <w:basedOn w:val="a"/>
    <w:uiPriority w:val="99"/>
    <w:qFormat/>
    <w:rsid w:val="00C370D9"/>
    <w:pPr>
      <w:spacing w:after="120"/>
    </w:pPr>
    <w:rPr>
      <w:rFonts w:ascii="Times New Roman" w:eastAsia="宋体" w:hAnsi="Times New Roman"/>
    </w:rPr>
  </w:style>
  <w:style w:type="paragraph" w:styleId="a5">
    <w:name w:val="footer"/>
    <w:basedOn w:val="a"/>
    <w:link w:val="Char"/>
    <w:uiPriority w:val="99"/>
    <w:qFormat/>
    <w:rsid w:val="00C370D9"/>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370D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370D9"/>
    <w:pPr>
      <w:spacing w:before="100" w:beforeAutospacing="1" w:after="100" w:afterAutospacing="1"/>
      <w:jc w:val="left"/>
    </w:pPr>
    <w:rPr>
      <w:sz w:val="24"/>
    </w:rPr>
  </w:style>
  <w:style w:type="character" w:styleId="a8">
    <w:name w:val="Strong"/>
    <w:basedOn w:val="a0"/>
    <w:qFormat/>
    <w:rsid w:val="00C370D9"/>
    <w:rPr>
      <w:b/>
      <w:bCs/>
    </w:rPr>
  </w:style>
  <w:style w:type="paragraph" w:customStyle="1" w:styleId="A9">
    <w:name w:val="正文A"/>
    <w:basedOn w:val="a"/>
    <w:uiPriority w:val="4"/>
    <w:qFormat/>
    <w:rsid w:val="00C370D9"/>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370D9"/>
    <w:pPr>
      <w:ind w:firstLine="420"/>
    </w:pPr>
  </w:style>
  <w:style w:type="paragraph" w:customStyle="1" w:styleId="10">
    <w:name w:val="样式1"/>
    <w:basedOn w:val="a"/>
    <w:link w:val="1Char"/>
    <w:qFormat/>
    <w:rsid w:val="00C370D9"/>
    <w:pPr>
      <w:ind w:firstLine="560"/>
    </w:pPr>
  </w:style>
  <w:style w:type="paragraph" w:customStyle="1" w:styleId="20">
    <w:name w:val="样式2"/>
    <w:basedOn w:val="a6"/>
    <w:link w:val="2Char"/>
    <w:qFormat/>
    <w:rsid w:val="00C370D9"/>
    <w:pPr>
      <w:pBdr>
        <w:bottom w:val="none" w:sz="0" w:space="0" w:color="auto"/>
      </w:pBdr>
      <w:ind w:firstLine="360"/>
    </w:pPr>
  </w:style>
  <w:style w:type="character" w:customStyle="1" w:styleId="1Char">
    <w:name w:val="样式1 Char"/>
    <w:basedOn w:val="a0"/>
    <w:link w:val="10"/>
    <w:rsid w:val="00C370D9"/>
    <w:rPr>
      <w:rFonts w:ascii="仿宋" w:eastAsia="仿宋" w:hAnsi="仿宋"/>
      <w:kern w:val="2"/>
      <w:sz w:val="28"/>
      <w:szCs w:val="24"/>
    </w:rPr>
  </w:style>
  <w:style w:type="character" w:customStyle="1" w:styleId="Char0">
    <w:name w:val="页眉 Char"/>
    <w:basedOn w:val="a0"/>
    <w:link w:val="a6"/>
    <w:uiPriority w:val="99"/>
    <w:rsid w:val="00C370D9"/>
    <w:rPr>
      <w:rFonts w:ascii="仿宋" w:eastAsia="仿宋" w:hAnsi="仿宋"/>
      <w:kern w:val="2"/>
      <w:sz w:val="18"/>
      <w:szCs w:val="18"/>
    </w:rPr>
  </w:style>
  <w:style w:type="character" w:customStyle="1" w:styleId="2Char">
    <w:name w:val="样式2 Char"/>
    <w:basedOn w:val="Char0"/>
    <w:link w:val="20"/>
    <w:rsid w:val="00C370D9"/>
    <w:rPr>
      <w:rFonts w:ascii="仿宋" w:eastAsia="仿宋" w:hAnsi="仿宋"/>
      <w:kern w:val="2"/>
      <w:sz w:val="18"/>
      <w:szCs w:val="18"/>
    </w:rPr>
  </w:style>
  <w:style w:type="character" w:customStyle="1" w:styleId="Char">
    <w:name w:val="页脚 Char"/>
    <w:basedOn w:val="a0"/>
    <w:link w:val="a5"/>
    <w:uiPriority w:val="99"/>
    <w:rsid w:val="00C370D9"/>
    <w:rPr>
      <w:rFonts w:eastAsia="仿宋"/>
      <w:kern w:val="2"/>
      <w:sz w:val="18"/>
      <w:szCs w:val="24"/>
    </w:rPr>
  </w:style>
  <w:style w:type="paragraph" w:customStyle="1" w:styleId="p0">
    <w:name w:val="p0"/>
    <w:basedOn w:val="a"/>
    <w:qFormat/>
    <w:rsid w:val="00C370D9"/>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1222</Words>
  <Characters>6967</Characters>
  <Application>Microsoft Office Word</Application>
  <DocSecurity>0</DocSecurity>
  <Lines>58</Lines>
  <Paragraphs>16</Paragraphs>
  <ScaleCrop>false</ScaleCrop>
  <Company>china</Company>
  <LinksUpToDate>false</LinksUpToDate>
  <CharactersWithSpaces>8173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40</cp:revision>
  <dcterms:created xsi:type="dcterms:W3CDTF">2022-03-09T05:25:00Z</dcterms:created>
  <dcterms:modified xsi:type="dcterms:W3CDTF">2024-07-04T09:28:00Z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88983A8EAFB1432ABBF62ACAD3E14C2F</vt:lpwstr>
  </property>
</Properties>
</file>