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left="-560" w:leftChars="-200" w:firstLine="560" w:firstLineChars="200"/>
        <w:rPr>
          <w:rFonts w:ascii="华文中宋" w:hAnsi="华文中宋" w:eastAsia="华文中宋" w:cs="宋体"/>
          <w:b/>
          <w:kern w:val="0"/>
          <w:sz w:val="52"/>
          <w:szCs w:val="52"/>
        </w:rPr>
      </w:pPr>
      <w:r>
        <w:rPr>
          <w:rFonts w:hint="eastAsia"/>
        </w:rPr>
        <w:br w:type="textWrapping"/>
      </w:r>
    </w:p>
    <w:p>
      <w:pPr>
        <w:ind w:left="-560" w:leftChars="-200" w:firstLine="1044" w:firstLineChars="200"/>
        <w:rPr>
          <w:rFonts w:ascii="华文中宋" w:hAnsi="华文中宋" w:eastAsia="华文中宋" w:cs="宋体"/>
          <w:b/>
          <w:kern w:val="0"/>
          <w:sz w:val="52"/>
          <w:szCs w:val="52"/>
        </w:rPr>
      </w:pPr>
    </w:p>
    <w:p>
      <w:pPr>
        <w:spacing w:line="600" w:lineRule="exact"/>
        <w:ind w:left="-560" w:leftChars="-200" w:firstLine="960" w:firstLineChars="20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昌吉市部门单位整体支出绩效</w:t>
      </w:r>
    </w:p>
    <w:p>
      <w:pPr>
        <w:spacing w:line="600" w:lineRule="exact"/>
        <w:ind w:left="-560" w:leftChars="-200" w:firstLine="960" w:firstLineChars="20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left="-560" w:leftChars="-200" w:firstLine="1044" w:firstLineChars="200"/>
        <w:jc w:val="center"/>
        <w:rPr>
          <w:rFonts w:ascii="华文中宋" w:hAnsi="华文中宋" w:eastAsia="华文中宋" w:cs="宋体"/>
          <w:b/>
          <w:kern w:val="0"/>
          <w:sz w:val="52"/>
          <w:szCs w:val="52"/>
        </w:rPr>
      </w:pPr>
    </w:p>
    <w:p>
      <w:pPr>
        <w:ind w:left="-560" w:leftChars="-200" w:firstLine="720" w:firstLineChars="20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hint="eastAsia" w:ascii="仿宋_GB2312" w:hAnsi="宋体" w:eastAsia="仿宋_GB2312" w:cs="宋体"/>
          <w:kern w:val="0"/>
          <w:sz w:val="36"/>
          <w:szCs w:val="36"/>
          <w:lang w:eastAsia="zh-CN"/>
        </w:rPr>
        <w:t>2022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left="-560" w:leftChars="-200" w:firstLine="600" w:firstLineChars="200"/>
        <w:jc w:val="center"/>
        <w:rPr>
          <w:rFonts w:hAnsi="宋体" w:eastAsia="仿宋_GB2312" w:cs="宋体"/>
          <w:kern w:val="0"/>
          <w:sz w:val="30"/>
          <w:szCs w:val="30"/>
        </w:rPr>
      </w:pPr>
    </w:p>
    <w:p>
      <w:pPr>
        <w:spacing w:line="540" w:lineRule="exact"/>
        <w:ind w:left="-560" w:leftChars="-200" w:firstLine="600" w:firstLineChars="200"/>
        <w:jc w:val="center"/>
        <w:rPr>
          <w:rFonts w:hAnsi="宋体" w:eastAsia="仿宋_GB2312" w:cs="宋体"/>
          <w:kern w:val="0"/>
          <w:sz w:val="30"/>
          <w:szCs w:val="30"/>
        </w:rPr>
      </w:pPr>
    </w:p>
    <w:p>
      <w:pPr>
        <w:spacing w:line="540" w:lineRule="exact"/>
        <w:ind w:left="-560" w:leftChars="-200" w:firstLine="720" w:firstLineChars="200"/>
        <w:jc w:val="center"/>
        <w:rPr>
          <w:rFonts w:ascii="方正小标宋_GBK" w:hAnsi="宋体" w:eastAsia="方正小标宋_GBK" w:cs="宋体"/>
          <w:kern w:val="0"/>
          <w:sz w:val="36"/>
          <w:szCs w:val="36"/>
        </w:rPr>
      </w:pPr>
    </w:p>
    <w:p>
      <w:pPr>
        <w:spacing w:line="540" w:lineRule="exact"/>
        <w:ind w:left="-560" w:leftChars="-200" w:firstLine="720" w:firstLineChars="200"/>
        <w:jc w:val="center"/>
        <w:rPr>
          <w:rFonts w:ascii="方正小标宋_GBK" w:hAnsi="宋体" w:eastAsia="方正小标宋_GBK" w:cs="宋体"/>
          <w:kern w:val="0"/>
          <w:sz w:val="36"/>
          <w:szCs w:val="36"/>
        </w:rPr>
      </w:pPr>
    </w:p>
    <w:p>
      <w:pPr>
        <w:spacing w:line="540" w:lineRule="exact"/>
        <w:ind w:left="-560" w:leftChars="-200" w:firstLine="600" w:firstLineChars="200"/>
        <w:jc w:val="center"/>
        <w:rPr>
          <w:rFonts w:hAnsi="宋体" w:eastAsia="仿宋_GB2312" w:cs="宋体"/>
          <w:kern w:val="0"/>
          <w:sz w:val="30"/>
          <w:szCs w:val="30"/>
        </w:rPr>
      </w:pPr>
    </w:p>
    <w:p>
      <w:pPr>
        <w:spacing w:line="540" w:lineRule="exact"/>
        <w:ind w:left="-560" w:leftChars="-200" w:firstLine="600" w:firstLineChars="200"/>
        <w:jc w:val="center"/>
        <w:rPr>
          <w:rFonts w:hAnsi="宋体" w:eastAsia="仿宋_GB2312" w:cs="宋体"/>
          <w:kern w:val="0"/>
          <w:sz w:val="30"/>
          <w:szCs w:val="30"/>
        </w:rPr>
      </w:pPr>
    </w:p>
    <w:p>
      <w:pPr>
        <w:spacing w:line="540" w:lineRule="exact"/>
        <w:ind w:left="-560" w:leftChars="-200" w:firstLine="600" w:firstLineChars="200"/>
        <w:rPr>
          <w:rFonts w:hAnsi="宋体" w:eastAsia="仿宋_GB2312" w:cs="宋体"/>
          <w:kern w:val="0"/>
          <w:sz w:val="30"/>
          <w:szCs w:val="30"/>
        </w:rPr>
      </w:pPr>
    </w:p>
    <w:p>
      <w:pPr>
        <w:spacing w:line="600" w:lineRule="exact"/>
        <w:ind w:left="-560" w:leftChars="-200" w:firstLine="720" w:firstLineChars="200"/>
        <w:rPr>
          <w:rFonts w:ascii="黑体" w:hAnsi="黑体" w:eastAsia="黑体" w:cs="黑体"/>
          <w:bCs/>
          <w:sz w:val="32"/>
          <w:szCs w:val="32"/>
        </w:rPr>
      </w:pPr>
      <w:r>
        <w:rPr>
          <w:rFonts w:hint="eastAsia" w:ascii="黑体" w:hAnsi="黑体" w:eastAsia="黑体" w:cs="黑体"/>
          <w:bCs/>
          <w:sz w:val="36"/>
          <w:szCs w:val="36"/>
        </w:rPr>
        <w:t>部门单位名称（公章）</w:t>
      </w:r>
      <w:r>
        <w:rPr>
          <w:rFonts w:hint="eastAsia" w:ascii="黑体" w:hAnsi="黑体" w:eastAsia="黑体" w:cs="黑体"/>
          <w:bCs/>
          <w:sz w:val="32"/>
          <w:szCs w:val="32"/>
        </w:rPr>
        <w:t>：昌吉市三工镇中心幼儿园</w:t>
      </w:r>
    </w:p>
    <w:p>
      <w:pPr>
        <w:spacing w:line="600" w:lineRule="exact"/>
        <w:ind w:left="-560" w:leftChars="-200" w:firstLine="720" w:firstLineChars="200"/>
        <w:rPr>
          <w:rFonts w:ascii="黑体" w:hAnsi="黑体" w:eastAsia="黑体" w:cs="黑体"/>
          <w:bCs/>
          <w:sz w:val="36"/>
          <w:szCs w:val="36"/>
        </w:rPr>
      </w:pPr>
      <w:r>
        <w:rPr>
          <w:rFonts w:hint="eastAsia" w:ascii="黑体" w:hAnsi="黑体" w:eastAsia="黑体" w:cs="黑体"/>
          <w:bCs/>
          <w:sz w:val="36"/>
          <w:szCs w:val="36"/>
        </w:rPr>
        <w:t>填报时间： 202</w:t>
      </w:r>
      <w:r>
        <w:rPr>
          <w:rFonts w:hint="eastAsia" w:ascii="黑体" w:hAnsi="黑体" w:eastAsia="黑体" w:cs="黑体"/>
          <w:bCs/>
          <w:sz w:val="36"/>
          <w:szCs w:val="36"/>
          <w:lang w:val="en-US" w:eastAsia="zh-CN"/>
        </w:rPr>
        <w:t>3</w:t>
      </w:r>
      <w:r>
        <w:rPr>
          <w:rFonts w:hint="eastAsia" w:ascii="黑体" w:hAnsi="黑体" w:eastAsia="黑体" w:cs="黑体"/>
          <w:bCs/>
          <w:sz w:val="36"/>
          <w:szCs w:val="36"/>
        </w:rPr>
        <w:t xml:space="preserve">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1</w:t>
      </w:r>
      <w:r>
        <w:rPr>
          <w:rFonts w:hint="eastAsia" w:ascii="黑体" w:hAnsi="黑体" w:eastAsia="黑体" w:cs="黑体"/>
          <w:bCs/>
          <w:sz w:val="36"/>
          <w:szCs w:val="36"/>
          <w:lang w:val="en-US" w:eastAsia="zh-CN"/>
        </w:rPr>
        <w:t>7</w:t>
      </w:r>
      <w:r>
        <w:rPr>
          <w:rFonts w:hint="eastAsia" w:ascii="黑体" w:hAnsi="黑体" w:eastAsia="黑体" w:cs="黑体"/>
          <w:bCs/>
          <w:sz w:val="36"/>
          <w:szCs w:val="36"/>
        </w:rPr>
        <w:t xml:space="preserve"> 日</w:t>
      </w:r>
    </w:p>
    <w:p>
      <w:pPr>
        <w:spacing w:line="700" w:lineRule="exact"/>
        <w:ind w:left="-560" w:leftChars="-200" w:firstLine="720" w:firstLineChars="200"/>
        <w:jc w:val="left"/>
        <w:rPr>
          <w:rFonts w:hAnsi="宋体" w:eastAsia="仿宋_GB2312" w:cs="宋体"/>
          <w:kern w:val="0"/>
          <w:sz w:val="36"/>
          <w:szCs w:val="36"/>
        </w:rPr>
      </w:pPr>
    </w:p>
    <w:p>
      <w:pPr>
        <w:ind w:left="-560" w:leftChars="-200" w:firstLine="560" w:firstLineChars="200"/>
      </w:pPr>
    </w:p>
    <w:p>
      <w:pPr>
        <w:ind w:left="-560" w:leftChars="-200" w:firstLine="560" w:firstLineChars="200"/>
      </w:pPr>
      <w:r>
        <w:rPr>
          <w:rFonts w:hint="eastAsia"/>
        </w:rPr>
        <w:br w:type="page"/>
      </w:r>
    </w:p>
    <w:p>
      <w:pPr>
        <w:pStyle w:val="3"/>
        <w:ind w:left="-560" w:leftChars="-200" w:firstLine="640" w:firstLineChars="200"/>
        <w:rPr>
          <w:rFonts w:ascii="黑体" w:hAnsi="黑体"/>
          <w:b w:val="0"/>
          <w:sz w:val="32"/>
          <w:szCs w:val="32"/>
        </w:rPr>
      </w:pPr>
      <w:r>
        <w:rPr>
          <w:rFonts w:hint="eastAsia" w:ascii="黑体" w:hAnsi="黑体"/>
          <w:b w:val="0"/>
          <w:sz w:val="32"/>
          <w:szCs w:val="32"/>
        </w:rPr>
        <w:t>一、基本概况</w:t>
      </w:r>
    </w:p>
    <w:p>
      <w:pPr>
        <w:pStyle w:val="4"/>
        <w:ind w:left="-560" w:leftChars="-200" w:firstLine="643" w:firstLineChars="200"/>
        <w:rPr>
          <w:rFonts w:ascii="楷体_GB2312" w:eastAsia="楷体_GB2312"/>
          <w:szCs w:val="32"/>
        </w:rPr>
      </w:pPr>
      <w:r>
        <w:rPr>
          <w:rFonts w:hint="eastAsia" w:ascii="楷体_GB2312" w:eastAsia="楷体_GB2312"/>
          <w:szCs w:val="32"/>
        </w:rPr>
        <w:t>（一）单位基本情况</w:t>
      </w:r>
    </w:p>
    <w:p>
      <w:pPr>
        <w:ind w:left="-560" w:leftChars="-200" w:firstLine="643" w:firstLineChars="200"/>
        <w:rPr>
          <w:rFonts w:ascii="仿宋_GB2312" w:eastAsia="仿宋_GB2312"/>
          <w:b/>
          <w:bCs/>
          <w:sz w:val="32"/>
          <w:szCs w:val="32"/>
        </w:rPr>
      </w:pPr>
      <w:r>
        <w:rPr>
          <w:rFonts w:hint="eastAsia" w:ascii="仿宋_GB2312" w:eastAsia="仿宋_GB2312"/>
          <w:b/>
          <w:bCs/>
          <w:sz w:val="32"/>
          <w:szCs w:val="32"/>
        </w:rPr>
        <w:t>1.机构设置及人员情况</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highlight w:val="none"/>
        </w:rPr>
        <w:t>昌吉市三工镇中</w:t>
      </w:r>
      <w:r>
        <w:rPr>
          <w:rFonts w:hint="eastAsia" w:ascii="仿宋_GB2312" w:eastAsia="仿宋_GB2312" w:cs="宋体" w:hAnsiTheme="minorEastAsia"/>
          <w:color w:val="333333"/>
          <w:kern w:val="0"/>
          <w:sz w:val="32"/>
          <w:szCs w:val="32"/>
        </w:rPr>
        <w:t>心幼儿园位于昌吉市三工镇中心学校院内，是一所乡镇公办幼儿园，于2012年立项，2013年完工，2014年3月正式投入使用，2014年3月开园。昌吉市三工镇中心幼儿园无下属预算单位，单位下设2个科室，分别是：教务处、后勤处。昌吉市三工镇中心幼儿园属全额拨款事业单位，现有在编教职工17人，其中专业技术17人，离退休人0人，编外人员14人，其中政府</w:t>
      </w:r>
      <w:r>
        <w:rPr>
          <w:rFonts w:hint="eastAsia" w:ascii="仿宋_GB2312" w:eastAsia="仿宋_GB2312" w:cs="宋体" w:hAnsiTheme="minorEastAsia"/>
          <w:color w:val="333333"/>
          <w:kern w:val="0"/>
          <w:sz w:val="32"/>
          <w:szCs w:val="32"/>
          <w:lang w:eastAsia="zh-CN"/>
        </w:rPr>
        <w:t>聘用</w:t>
      </w:r>
      <w:r>
        <w:rPr>
          <w:rFonts w:hint="eastAsia" w:ascii="仿宋_GB2312" w:eastAsia="仿宋_GB2312" w:cs="宋体" w:hAnsiTheme="minorEastAsia"/>
          <w:color w:val="333333"/>
          <w:kern w:val="0"/>
          <w:sz w:val="32"/>
          <w:szCs w:val="32"/>
        </w:rPr>
        <w:t>14人。</w:t>
      </w:r>
    </w:p>
    <w:p>
      <w:pPr>
        <w:numPr>
          <w:ilvl w:val="0"/>
          <w:numId w:val="1"/>
        </w:numPr>
        <w:ind w:left="-560" w:leftChars="-200" w:firstLine="643" w:firstLineChars="200"/>
        <w:rPr>
          <w:rFonts w:ascii="仿宋_GB2312" w:eastAsia="仿宋_GB2312"/>
          <w:b/>
          <w:bCs/>
          <w:sz w:val="32"/>
          <w:szCs w:val="32"/>
        </w:rPr>
      </w:pPr>
      <w:r>
        <w:rPr>
          <w:rFonts w:hint="eastAsia" w:ascii="仿宋_GB2312" w:eastAsia="仿宋_GB2312"/>
          <w:b/>
          <w:bCs/>
          <w:sz w:val="32"/>
          <w:szCs w:val="32"/>
        </w:rPr>
        <w:t>主要职能</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1</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认真学习党的教育方针和国家的有关法律、法规、政策，全面贯彻《幼儿园工作条例》和《幼儿园工作规程》。主持制定全园工作计划和各项规章制度，确立分级管理目标，建立结构合理、协调灵活、反馈及时的科学管理机制。定期召开园务会，深入第一线检查各项工作实施情况。</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2</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及时了解幼儿教育动态，研究幼儿教育新成果，关注幼儿教育发展的新动向。</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3</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全面了解教育、教研、卫生保健及膳食管理情况，并根据实际情况及时调整，尽量减少工作中的失误。充分发挥党团组织的作用，发扬民主，尊重人格，加强“爱心、和谐、团结、向上”的园风建设。</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4</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全面掌握教职员工的思想动态，开展经常性的政治和业务学习，提高修养。关心教职工的生活，改善生活环境，维护合法权益，增强向心力，提高凝聚力。</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5</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负责办理市教育局和辖区乡党委、政府交办的其他工作。</w:t>
      </w:r>
    </w:p>
    <w:p>
      <w:pPr>
        <w:numPr>
          <w:ilvl w:val="0"/>
          <w:numId w:val="1"/>
        </w:numPr>
        <w:ind w:left="-560" w:leftChars="-200" w:firstLine="643" w:firstLineChars="200"/>
        <w:rPr>
          <w:rFonts w:ascii="仿宋_GB2312" w:eastAsia="仿宋_GB2312"/>
          <w:b/>
          <w:bCs/>
          <w:sz w:val="32"/>
          <w:szCs w:val="32"/>
        </w:rPr>
      </w:pPr>
      <w:r>
        <w:rPr>
          <w:rFonts w:hint="eastAsia" w:ascii="仿宋_GB2312" w:eastAsia="仿宋_GB2312"/>
          <w:b/>
          <w:bCs/>
          <w:sz w:val="32"/>
          <w:szCs w:val="32"/>
        </w:rPr>
        <w:t>年度重点工作计划</w:t>
      </w:r>
    </w:p>
    <w:p>
      <w:pPr>
        <w:ind w:left="-560" w:leftChars="-200" w:firstLine="640" w:firstLineChars="200"/>
        <w:rPr>
          <w:rFonts w:ascii="仿宋_GB2312" w:eastAsia="仿宋_GB2312"/>
          <w:b/>
          <w:bCs/>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1</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规范管理。增强教职员工对幼儿园发展前景的信心。创新幼儿园管理机制，规范办园行为。</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2</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强化队伍。完善师资队伍培养机制，加强骨干教师队伍与新教师的管理与培养,全体教师参与评价课程实践，加强教研、加强保育员业务培训，并进行年度考核。</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3</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突出特色。以保教并重为前提，在丰富幼儿一日活动内容，强化幼儿日常行为规范上下功夫，在组织幼儿游戏活动上有所进步与突破。</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4</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优质服务。进一步树立服务思想，落实安全责任与措施。</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lang w:val="en-US" w:eastAsia="zh-CN"/>
        </w:rPr>
        <w:t>5</w:t>
      </w:r>
      <w:r>
        <w:rPr>
          <w:rFonts w:hint="eastAsia" w:ascii="仿宋_GB2312" w:eastAsia="仿宋_GB2312" w:cs="宋体" w:hAnsiTheme="minorEastAsia"/>
          <w:color w:val="333333"/>
          <w:kern w:val="0"/>
          <w:sz w:val="32"/>
          <w:szCs w:val="32"/>
          <w:lang w:eastAsia="zh-CN"/>
        </w:rPr>
        <w:t>）</w:t>
      </w:r>
      <w:r>
        <w:rPr>
          <w:rFonts w:hint="eastAsia" w:ascii="仿宋_GB2312" w:eastAsia="仿宋_GB2312" w:cs="宋体" w:hAnsiTheme="minorEastAsia"/>
          <w:color w:val="333333"/>
          <w:kern w:val="0"/>
          <w:sz w:val="32"/>
          <w:szCs w:val="32"/>
        </w:rPr>
        <w:t>家园共育。每学期组织召开至少两次家长会，继续家访和家长开放日活动的开展。</w:t>
      </w:r>
    </w:p>
    <w:p>
      <w:pPr>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（二）单位决策机制</w:t>
      </w:r>
      <w:r>
        <w:rPr>
          <w:rFonts w:hint="eastAsia" w:ascii="仿宋_GB2312" w:eastAsia="仿宋_GB2312" w:cs="宋体" w:hAnsiTheme="minorEastAsia"/>
          <w:color w:val="333333"/>
          <w:kern w:val="0"/>
          <w:sz w:val="32"/>
          <w:szCs w:val="32"/>
        </w:rPr>
        <w:tab/>
      </w:r>
    </w:p>
    <w:p>
      <w:pPr>
        <w:keepNext w:val="0"/>
        <w:keepLines w:val="0"/>
        <w:pageBreakBefore w:val="0"/>
        <w:widowControl w:val="0"/>
        <w:kinsoku/>
        <w:wordWrap/>
        <w:overflowPunct/>
        <w:topLinePunct w:val="0"/>
        <w:autoSpaceDE/>
        <w:autoSpaceDN/>
        <w:bidi w:val="0"/>
        <w:adjustRightInd/>
        <w:snapToGrid/>
        <w:ind w:left="-560" w:leftChars="-200" w:firstLine="640" w:firstLineChars="200"/>
        <w:textAlignment w:val="auto"/>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 xml:space="preserve"> 我单位决策机制根据行政事业单位内部控制体系建设相关要求，逐步完善《昌吉市三工镇中心幼儿园规则》、《三重一大集体决策制度》，根据制度规定幼儿园任何重大决策事项，均必须经园委会集体酝酿提出，经园领导班子研究讨论，在广泛征求党员意见的基础上，交教职工代表大会票决通过方可执行；幼儿园重要干部的任免，须经学校党支部、园委员酝酿提出相关名单，交领导班子讨论，才可报上级主管部门审批。被批准的干部任免名单需在学校公示栏内公示三天后方可执行；定期将资金使用情况，包括使用过程中的进展情况，资金使用之后收到的效益等向全体教职工宣讲，并在公示栏内公示，使大额度资金使用情况人人知晓；“三重一大”事项决策的情况，包括决策人、决策事项、决策过程、决策结论等，都要以会议通知、会议记录、会议决定等形式留下文字资料，并存档备查。</w:t>
      </w:r>
    </w:p>
    <w:p>
      <w:pPr>
        <w:pStyle w:val="4"/>
        <w:numPr>
          <w:ilvl w:val="0"/>
          <w:numId w:val="2"/>
        </w:numPr>
        <w:ind w:left="-560" w:leftChars="-200" w:firstLine="643" w:firstLineChars="200"/>
        <w:rPr>
          <w:rFonts w:ascii="楷体_GB2312" w:eastAsia="楷体_GB2312"/>
          <w:szCs w:val="32"/>
        </w:rPr>
      </w:pPr>
      <w:r>
        <w:rPr>
          <w:rFonts w:hint="eastAsia" w:ascii="楷体_GB2312" w:eastAsia="楷体_GB2312"/>
          <w:szCs w:val="32"/>
        </w:rPr>
        <w:t>单位资金分配情况</w:t>
      </w:r>
    </w:p>
    <w:p>
      <w:pPr>
        <w:widowControl/>
        <w:ind w:left="-560" w:leftChars="-200" w:firstLine="643" w:firstLineChars="200"/>
        <w:jc w:val="left"/>
        <w:rPr>
          <w:rFonts w:ascii="仿宋_GB2312" w:eastAsia="仿宋_GB2312" w:cs="仿宋"/>
          <w:b/>
          <w:sz w:val="32"/>
          <w:szCs w:val="32"/>
        </w:rPr>
      </w:pPr>
      <w:r>
        <w:rPr>
          <w:rFonts w:hint="eastAsia" w:ascii="仿宋_GB2312" w:eastAsia="仿宋_GB2312" w:cs="仿宋"/>
          <w:b/>
          <w:sz w:val="32"/>
          <w:szCs w:val="32"/>
        </w:rPr>
        <w:t>1.分配依据及结果:</w:t>
      </w:r>
      <w:r>
        <w:rPr>
          <w:rFonts w:hint="eastAsia" w:ascii="仿宋_GB2312" w:hAnsi="宋体" w:eastAsia="仿宋_GB2312" w:cs="宋体"/>
          <w:kern w:val="0"/>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left="-560" w:leftChars="-200" w:firstLine="643" w:firstLineChars="200"/>
        <w:jc w:val="left"/>
        <w:rPr>
          <w:rFonts w:ascii="仿宋_GB2312" w:hAnsi="宋体" w:eastAsia="仿宋_GB2312" w:cs="宋体"/>
          <w:color w:val="333333"/>
          <w:kern w:val="0"/>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宋体" w:eastAsia="仿宋_GB2312" w:cs="宋体"/>
          <w:color w:val="333333"/>
          <w:kern w:val="0"/>
          <w:sz w:val="32"/>
          <w:szCs w:val="32"/>
        </w:rPr>
        <w:t>本年度本单位预算安排的重点项目0个，预算安排的重点项目支出金额为0</w:t>
      </w:r>
      <w:r>
        <w:rPr>
          <w:rFonts w:hint="eastAsia" w:ascii="仿宋_GB2312" w:hAnsi="宋体" w:eastAsia="仿宋_GB2312" w:cs="宋体"/>
          <w:color w:val="333333"/>
          <w:kern w:val="0"/>
          <w:sz w:val="32"/>
          <w:szCs w:val="32"/>
          <w:lang w:val="en-US" w:eastAsia="zh-CN"/>
        </w:rPr>
        <w:t>.00</w:t>
      </w:r>
      <w:r>
        <w:rPr>
          <w:rFonts w:hint="eastAsia" w:ascii="仿宋_GB2312" w:hAnsi="宋体" w:eastAsia="仿宋_GB2312" w:cs="宋体"/>
          <w:color w:val="333333"/>
          <w:kern w:val="0"/>
          <w:sz w:val="32"/>
          <w:szCs w:val="32"/>
        </w:rPr>
        <w:t>万元，部门项目总支出金额为0</w:t>
      </w:r>
      <w:r>
        <w:rPr>
          <w:rFonts w:hint="eastAsia" w:ascii="仿宋_GB2312" w:hAnsi="宋体" w:eastAsia="仿宋_GB2312" w:cs="宋体"/>
          <w:color w:val="333333"/>
          <w:kern w:val="0"/>
          <w:sz w:val="32"/>
          <w:szCs w:val="32"/>
          <w:lang w:val="en-US" w:eastAsia="zh-CN"/>
        </w:rPr>
        <w:t>.00</w:t>
      </w:r>
      <w:r>
        <w:rPr>
          <w:rFonts w:hint="eastAsia" w:ascii="仿宋_GB2312" w:hAnsi="宋体" w:eastAsia="仿宋_GB2312" w:cs="宋体"/>
          <w:color w:val="333333"/>
          <w:kern w:val="0"/>
          <w:sz w:val="32"/>
          <w:szCs w:val="32"/>
        </w:rPr>
        <w:t>万元，则重点项目支出占项目总支出的比率为0</w:t>
      </w:r>
      <w:r>
        <w:rPr>
          <w:rFonts w:hint="eastAsia" w:ascii="仿宋_GB2312" w:hAnsi="宋体" w:eastAsia="仿宋_GB2312" w:cs="宋体"/>
          <w:color w:val="333333"/>
          <w:kern w:val="0"/>
          <w:sz w:val="32"/>
          <w:szCs w:val="32"/>
          <w:lang w:val="en-US" w:eastAsia="zh-CN"/>
        </w:rPr>
        <w:t>.0</w:t>
      </w:r>
      <w:r>
        <w:rPr>
          <w:rFonts w:hint="eastAsia" w:ascii="仿宋_GB2312" w:hAnsi="宋体" w:eastAsia="仿宋_GB2312" w:cs="宋体"/>
          <w:color w:val="333333"/>
          <w:kern w:val="0"/>
          <w:sz w:val="32"/>
          <w:szCs w:val="32"/>
        </w:rPr>
        <w:t>%。</w:t>
      </w:r>
    </w:p>
    <w:p>
      <w:pPr>
        <w:pStyle w:val="4"/>
        <w:numPr>
          <w:ilvl w:val="0"/>
          <w:numId w:val="2"/>
        </w:numPr>
        <w:ind w:left="-560" w:leftChars="-200" w:firstLine="643" w:firstLineChars="20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left="-560" w:leftChars="-200" w:firstLine="643" w:firstLineChars="200"/>
        <w:rPr>
          <w:rFonts w:ascii="仿宋_GB2312" w:eastAsia="仿宋_GB2312"/>
          <w:b/>
          <w:bCs/>
          <w:sz w:val="32"/>
          <w:szCs w:val="32"/>
        </w:rPr>
      </w:pPr>
      <w:r>
        <w:rPr>
          <w:rFonts w:hint="eastAsia" w:ascii="仿宋_GB2312" w:eastAsia="仿宋_GB2312"/>
          <w:b/>
          <w:bCs/>
          <w:sz w:val="32"/>
          <w:szCs w:val="32"/>
        </w:rPr>
        <w:t>部门单位整体支出规模</w:t>
      </w:r>
    </w:p>
    <w:p>
      <w:pPr>
        <w:ind w:left="-560" w:leftChars="-200" w:firstLine="643" w:firstLineChars="200"/>
        <w:jc w:val="left"/>
        <w:rPr>
          <w:rFonts w:hint="eastAsia" w:ascii="仿宋_GB2312" w:eastAsia="仿宋_GB2312"/>
          <w:sz w:val="32"/>
          <w:szCs w:val="32"/>
        </w:rPr>
      </w:pPr>
      <w:r>
        <w:rPr>
          <w:rFonts w:hint="eastAsia" w:ascii="仿宋_GB2312" w:eastAsia="仿宋_GB2312"/>
          <w:b/>
          <w:bCs/>
          <w:sz w:val="32"/>
          <w:szCs w:val="32"/>
        </w:rPr>
        <w:t xml:space="preserve"> </w:t>
      </w:r>
      <w:r>
        <w:rPr>
          <w:rFonts w:hint="eastAsia" w:ascii="仿宋_GB2312" w:eastAsia="仿宋_GB2312"/>
          <w:sz w:val="32"/>
          <w:szCs w:val="32"/>
          <w:lang w:eastAsia="zh-CN"/>
        </w:rPr>
        <w:t>2022</w:t>
      </w:r>
      <w:r>
        <w:rPr>
          <w:rFonts w:hint="eastAsia" w:ascii="仿宋_GB2312" w:eastAsia="仿宋_GB2312"/>
          <w:sz w:val="32"/>
          <w:szCs w:val="32"/>
        </w:rPr>
        <w:t>年度，昌吉市三工镇中心</w:t>
      </w:r>
      <w:r>
        <w:rPr>
          <w:rFonts w:hint="eastAsia"/>
          <w:sz w:val="32"/>
        </w:rPr>
        <w:t>幼儿园</w:t>
      </w:r>
      <w:r>
        <w:rPr>
          <w:rFonts w:hint="eastAsia" w:ascii="仿宋_GB2312" w:eastAsia="仿宋_GB2312"/>
          <w:sz w:val="32"/>
          <w:szCs w:val="32"/>
        </w:rPr>
        <w:t>部</w:t>
      </w:r>
      <w:r>
        <w:rPr>
          <w:rFonts w:hint="eastAsia" w:ascii="仿宋_GB2312" w:eastAsia="仿宋_GB2312"/>
          <w:bCs/>
          <w:sz w:val="32"/>
          <w:szCs w:val="32"/>
        </w:rPr>
        <w:t>门单位整体支出年初预算金额为317.2</w:t>
      </w:r>
      <w:r>
        <w:rPr>
          <w:rFonts w:hint="eastAsia" w:ascii="仿宋_GB2312" w:eastAsia="仿宋_GB2312"/>
          <w:bCs/>
          <w:sz w:val="32"/>
          <w:szCs w:val="32"/>
          <w:lang w:val="en-US" w:eastAsia="zh-CN"/>
        </w:rPr>
        <w:t>3</w:t>
      </w:r>
      <w:r>
        <w:rPr>
          <w:rFonts w:hint="eastAsia" w:ascii="仿宋_GB2312" w:eastAsia="仿宋_GB2312"/>
          <w:sz w:val="32"/>
          <w:szCs w:val="32"/>
        </w:rPr>
        <w:t>万元，支出金额为317.23万元，执行率为100.0%，其中：政府采购年初预算金额为0</w:t>
      </w:r>
      <w:r>
        <w:rPr>
          <w:rFonts w:hint="eastAsia" w:ascii="仿宋_GB2312" w:eastAsia="仿宋_GB2312"/>
          <w:sz w:val="32"/>
          <w:szCs w:val="32"/>
          <w:lang w:val="en-US" w:eastAsia="zh-CN"/>
        </w:rPr>
        <w:t>.00</w:t>
      </w:r>
      <w:r>
        <w:rPr>
          <w:rFonts w:hint="eastAsia" w:ascii="仿宋_GB2312" w:eastAsia="仿宋_GB2312"/>
          <w:sz w:val="32"/>
          <w:szCs w:val="32"/>
        </w:rPr>
        <w:t>万元，支出金额为0</w:t>
      </w:r>
      <w:r>
        <w:rPr>
          <w:rFonts w:hint="eastAsia" w:ascii="仿宋_GB2312" w:eastAsia="仿宋_GB2312"/>
          <w:sz w:val="32"/>
          <w:szCs w:val="32"/>
          <w:lang w:val="en-US" w:eastAsia="zh-CN"/>
        </w:rPr>
        <w:t>.00</w:t>
      </w:r>
      <w:r>
        <w:rPr>
          <w:rFonts w:hint="eastAsia" w:ascii="仿宋_GB2312" w:eastAsia="仿宋_GB2312"/>
          <w:sz w:val="32"/>
          <w:szCs w:val="32"/>
        </w:rPr>
        <w:t>万元，执行率为0.0%。年中调整预算金额为</w:t>
      </w:r>
      <w:r>
        <w:rPr>
          <w:rFonts w:hint="eastAsia" w:ascii="仿宋_GB2312" w:eastAsia="仿宋_GB2312"/>
          <w:sz w:val="32"/>
          <w:szCs w:val="32"/>
          <w:lang w:val="en-US" w:eastAsia="zh-CN"/>
        </w:rPr>
        <w:t>45.10</w:t>
      </w:r>
      <w:r>
        <w:rPr>
          <w:rFonts w:hint="eastAsia" w:ascii="仿宋_GB2312" w:eastAsia="仿宋_GB2312"/>
          <w:sz w:val="32"/>
          <w:szCs w:val="32"/>
        </w:rPr>
        <w:t>万元，预算调整率为</w:t>
      </w:r>
      <w:r>
        <w:rPr>
          <w:rFonts w:hint="eastAsia" w:ascii="仿宋_GB2312" w:eastAsia="仿宋_GB2312"/>
          <w:sz w:val="32"/>
          <w:szCs w:val="32"/>
          <w:lang w:val="en-US" w:eastAsia="zh-CN"/>
        </w:rPr>
        <w:t>14.2</w:t>
      </w:r>
      <w:r>
        <w:rPr>
          <w:rFonts w:hint="eastAsia" w:ascii="仿宋_GB2312" w:eastAsia="仿宋_GB2312"/>
          <w:sz w:val="32"/>
          <w:szCs w:val="32"/>
        </w:rPr>
        <w:t>%。综上，我单位部门整体预算总额为</w:t>
      </w:r>
      <w:r>
        <w:rPr>
          <w:rFonts w:hint="eastAsia" w:ascii="仿宋_GB2312" w:eastAsia="仿宋_GB2312"/>
          <w:sz w:val="32"/>
          <w:szCs w:val="32"/>
          <w:lang w:val="en-US" w:eastAsia="zh-CN"/>
        </w:rPr>
        <w:t>362.33</w:t>
      </w:r>
      <w:r>
        <w:rPr>
          <w:rFonts w:hint="eastAsia" w:ascii="仿宋_GB2312" w:eastAsia="仿宋_GB2312"/>
          <w:sz w:val="32"/>
          <w:szCs w:val="32"/>
        </w:rPr>
        <w:t>万元，支出总额为</w:t>
      </w:r>
      <w:r>
        <w:rPr>
          <w:rFonts w:hint="eastAsia" w:ascii="仿宋_GB2312" w:eastAsia="仿宋_GB2312"/>
          <w:sz w:val="32"/>
          <w:szCs w:val="32"/>
          <w:lang w:val="en-US" w:eastAsia="zh-CN"/>
        </w:rPr>
        <w:t>362.33</w:t>
      </w:r>
      <w:r>
        <w:rPr>
          <w:rFonts w:hint="eastAsia" w:ascii="仿宋_GB2312" w:eastAsia="仿宋_GB2312"/>
          <w:sz w:val="32"/>
          <w:szCs w:val="32"/>
        </w:rPr>
        <w:t>万元，预算总执行率为100.0%。</w:t>
      </w:r>
    </w:p>
    <w:p>
      <w:pPr>
        <w:ind w:left="-560" w:leftChars="-200" w:firstLine="643" w:firstLineChars="200"/>
        <w:jc w:val="left"/>
        <w:rPr>
          <w:rFonts w:ascii="仿宋_GB2312" w:eastAsia="仿宋_GB2312"/>
          <w:b/>
          <w:bCs/>
          <w:sz w:val="32"/>
          <w:szCs w:val="32"/>
        </w:rPr>
      </w:pPr>
      <w:r>
        <w:rPr>
          <w:rFonts w:hint="eastAsia"/>
          <w:b/>
          <w:bCs/>
          <w:sz w:val="32"/>
        </w:rPr>
        <w:t>2.部门单位整体支出自评使用方法、主要内容、涉及范围</w:t>
      </w:r>
    </w:p>
    <w:p>
      <w:pPr>
        <w:ind w:left="-560" w:leftChars="-200" w:firstLine="643" w:firstLineChars="200"/>
        <w:rPr>
          <w:rFonts w:ascii="仿宋_GB2312" w:eastAsia="仿宋_GB2312"/>
          <w:b/>
          <w:bCs/>
          <w:sz w:val="32"/>
          <w:szCs w:val="32"/>
        </w:rPr>
      </w:pPr>
      <w:r>
        <w:rPr>
          <w:rFonts w:hint="eastAsia" w:ascii="仿宋_GB2312" w:eastAsia="仿宋_GB2312"/>
          <w:b/>
          <w:bCs/>
          <w:sz w:val="32"/>
          <w:szCs w:val="32"/>
        </w:rPr>
        <w:t>（1）自评使用方法</w:t>
      </w:r>
    </w:p>
    <w:p>
      <w:pPr>
        <w:ind w:left="-560" w:leftChars="-200" w:firstLine="640" w:firstLineChars="20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left="-560" w:leftChars="-200" w:firstLine="643" w:firstLineChars="200"/>
        <w:rPr>
          <w:sz w:val="32"/>
        </w:rPr>
      </w:pPr>
      <w:r>
        <w:rPr>
          <w:rFonts w:hint="eastAsia"/>
          <w:sz w:val="32"/>
        </w:rPr>
        <w:t>（2）评价的主要内容和涉及范围</w:t>
      </w:r>
    </w:p>
    <w:p>
      <w:pPr>
        <w:ind w:left="-560" w:leftChars="-200" w:firstLine="640" w:firstLineChars="20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eastAsia="zh-CN"/>
        </w:rPr>
        <w:t>2022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snapToGrid w:val="0"/>
        <w:ind w:left="-560" w:leftChars="-200" w:firstLine="640" w:firstLineChars="200"/>
        <w:jc w:val="left"/>
        <w:rPr>
          <w:rFonts w:ascii="仿宋_GB2312" w:eastAsia="仿宋_GB2312"/>
          <w:sz w:val="32"/>
          <w:szCs w:val="32"/>
        </w:rPr>
      </w:pPr>
      <w:r>
        <w:rPr>
          <w:rFonts w:hint="eastAsia" w:ascii="黑体" w:hAnsi="黑体"/>
          <w:sz w:val="32"/>
          <w:szCs w:val="32"/>
        </w:rPr>
        <w:t>二、部门单位整体支出管理及使用情况</w:t>
      </w:r>
    </w:p>
    <w:p>
      <w:pPr>
        <w:pStyle w:val="4"/>
        <w:numPr>
          <w:ilvl w:val="0"/>
          <w:numId w:val="4"/>
        </w:numPr>
        <w:snapToGrid w:val="0"/>
        <w:ind w:left="-560" w:leftChars="-200" w:firstLine="643" w:firstLineChars="200"/>
        <w:jc w:val="left"/>
        <w:rPr>
          <w:rFonts w:ascii="楷体_GB2312" w:eastAsia="楷体_GB2312"/>
          <w:szCs w:val="32"/>
        </w:rPr>
      </w:pPr>
      <w:r>
        <w:rPr>
          <w:rFonts w:hint="eastAsia" w:ascii="楷体_GB2312" w:eastAsia="楷体_GB2312"/>
          <w:bCs/>
          <w:szCs w:val="32"/>
        </w:rPr>
        <w:t>预算管理情况</w:t>
      </w:r>
    </w:p>
    <w:p>
      <w:pPr>
        <w:snapToGrid w:val="0"/>
        <w:ind w:left="-560" w:leftChars="-200" w:firstLine="640" w:firstLineChars="200"/>
        <w:jc w:val="left"/>
        <w:rPr>
          <w:rFonts w:ascii="仿宋_GB2312" w:eastAsia="仿宋_GB2312"/>
          <w:sz w:val="32"/>
          <w:szCs w:val="32"/>
        </w:rPr>
      </w:pPr>
      <w:r>
        <w:rPr>
          <w:rFonts w:hint="eastAsia" w:ascii="仿宋_GB2312" w:eastAsia="仿宋_GB2312"/>
          <w:sz w:val="32"/>
          <w:szCs w:val="32"/>
        </w:rPr>
        <w:t xml:space="preserve">    我单位为加强预算管理、规范财务行为、加强内部控制体系建设，制定了《昌吉市三工镇中心幼儿园内部控制手册》，并严格按照此管理办法（制度）管理使用预算资金，严格按照政府信息公开有关规定及财政部门要求公开相关预决算信息。</w:t>
      </w:r>
    </w:p>
    <w:p>
      <w:pPr>
        <w:pStyle w:val="4"/>
        <w:numPr>
          <w:ilvl w:val="0"/>
          <w:numId w:val="4"/>
        </w:numPr>
        <w:ind w:left="-560" w:leftChars="-200" w:firstLine="643" w:firstLineChars="200"/>
        <w:rPr>
          <w:rFonts w:ascii="楷体_GB2312" w:eastAsia="楷体_GB2312"/>
          <w:bCs/>
          <w:szCs w:val="32"/>
        </w:rPr>
      </w:pPr>
      <w:r>
        <w:rPr>
          <w:rFonts w:hint="eastAsia" w:ascii="楷体_GB2312" w:eastAsia="楷体_GB2312"/>
          <w:bCs/>
          <w:szCs w:val="32"/>
        </w:rPr>
        <w:t>基本支出预算安排及支出情况</w:t>
      </w:r>
    </w:p>
    <w:p>
      <w:pPr>
        <w:ind w:left="-560" w:leftChars="-200" w:firstLine="643" w:firstLineChars="200"/>
        <w:rPr>
          <w:rFonts w:ascii="仿宋_GB2312" w:eastAsia="仿宋_GB2312"/>
          <w:b/>
          <w:bCs/>
          <w:sz w:val="32"/>
          <w:szCs w:val="32"/>
        </w:rPr>
      </w:pPr>
      <w:r>
        <w:rPr>
          <w:rFonts w:hint="eastAsia" w:ascii="仿宋_GB2312" w:eastAsia="仿宋_GB2312"/>
          <w:b/>
          <w:bCs/>
          <w:sz w:val="32"/>
          <w:szCs w:val="32"/>
        </w:rPr>
        <w:t>1.基本支出情况</w:t>
      </w:r>
    </w:p>
    <w:p>
      <w:pPr>
        <w:ind w:left="-560" w:leftChars="-200" w:firstLine="640" w:firstLineChars="200"/>
        <w:rPr>
          <w:rFonts w:ascii="仿宋_GB2312" w:eastAsia="仿宋_GB2312"/>
          <w:sz w:val="32"/>
          <w:szCs w:val="32"/>
        </w:rPr>
      </w:pPr>
      <w:r>
        <w:rPr>
          <w:rFonts w:hint="eastAsia" w:ascii="仿宋_GB2312" w:eastAsia="仿宋_GB2312"/>
          <w:sz w:val="32"/>
          <w:szCs w:val="32"/>
          <w:lang w:eastAsia="zh-CN"/>
        </w:rPr>
        <w:t>2022</w:t>
      </w:r>
      <w:r>
        <w:rPr>
          <w:rFonts w:hint="eastAsia" w:ascii="仿宋_GB2312" w:eastAsia="仿宋_GB2312"/>
          <w:sz w:val="32"/>
          <w:szCs w:val="32"/>
        </w:rPr>
        <w:t>年，昌吉市三工镇中心幼儿园基本支出年初预算金额为</w:t>
      </w:r>
      <w:r>
        <w:rPr>
          <w:rFonts w:hint="eastAsia" w:ascii="仿宋_GB2312" w:eastAsia="仿宋_GB2312"/>
          <w:bCs/>
          <w:sz w:val="32"/>
          <w:szCs w:val="32"/>
        </w:rPr>
        <w:t>317.2</w:t>
      </w:r>
      <w:r>
        <w:rPr>
          <w:rFonts w:hint="eastAsia" w:ascii="仿宋_GB2312" w:eastAsia="仿宋_GB2312"/>
          <w:bCs/>
          <w:sz w:val="32"/>
          <w:szCs w:val="32"/>
          <w:lang w:val="en-US" w:eastAsia="zh-CN"/>
        </w:rPr>
        <w:t>3</w:t>
      </w:r>
      <w:r>
        <w:rPr>
          <w:rFonts w:hint="eastAsia" w:ascii="仿宋_GB2312" w:eastAsia="仿宋_GB2312"/>
          <w:sz w:val="32"/>
          <w:szCs w:val="32"/>
        </w:rPr>
        <w:t>万元，支出金额为</w:t>
      </w:r>
      <w:r>
        <w:rPr>
          <w:rFonts w:hint="eastAsia" w:ascii="仿宋_GB2312" w:eastAsia="仿宋_GB2312"/>
          <w:bCs/>
          <w:sz w:val="32"/>
          <w:szCs w:val="32"/>
        </w:rPr>
        <w:t>317.2</w:t>
      </w:r>
      <w:r>
        <w:rPr>
          <w:rFonts w:hint="eastAsia" w:ascii="仿宋_GB2312" w:eastAsia="仿宋_GB2312"/>
          <w:bCs/>
          <w:sz w:val="32"/>
          <w:szCs w:val="32"/>
          <w:lang w:val="en-US" w:eastAsia="zh-CN"/>
        </w:rPr>
        <w:t>3</w:t>
      </w:r>
      <w:r>
        <w:rPr>
          <w:rFonts w:hint="eastAsia" w:ascii="仿宋_GB2312" w:eastAsia="仿宋_GB2312"/>
          <w:sz w:val="32"/>
          <w:szCs w:val="32"/>
        </w:rPr>
        <w:t>万元，执行率为100%，年中调整预算金额为</w:t>
      </w:r>
      <w:r>
        <w:rPr>
          <w:rFonts w:hint="eastAsia" w:ascii="仿宋_GB2312" w:eastAsia="仿宋_GB2312"/>
          <w:sz w:val="32"/>
          <w:szCs w:val="32"/>
          <w:lang w:val="en-US" w:eastAsia="zh-CN"/>
        </w:rPr>
        <w:t>45.10</w:t>
      </w:r>
      <w:r>
        <w:rPr>
          <w:rFonts w:hint="eastAsia" w:ascii="仿宋_GB2312" w:eastAsia="仿宋_GB2312"/>
          <w:sz w:val="32"/>
          <w:szCs w:val="32"/>
        </w:rPr>
        <w:t>万元。综上，我单位基本支出预算总额为</w:t>
      </w:r>
      <w:r>
        <w:rPr>
          <w:rFonts w:hint="eastAsia" w:ascii="仿宋_GB2312" w:eastAsia="仿宋_GB2312"/>
          <w:sz w:val="32"/>
          <w:szCs w:val="32"/>
          <w:lang w:val="en-US" w:eastAsia="zh-CN"/>
        </w:rPr>
        <w:t>362.33</w:t>
      </w:r>
      <w:r>
        <w:rPr>
          <w:rFonts w:hint="eastAsia" w:ascii="仿宋_GB2312" w:eastAsia="仿宋_GB2312"/>
          <w:sz w:val="32"/>
          <w:szCs w:val="32"/>
        </w:rPr>
        <w:t>万元，支出总额为</w:t>
      </w:r>
      <w:r>
        <w:rPr>
          <w:rFonts w:hint="eastAsia" w:ascii="仿宋_GB2312" w:eastAsia="仿宋_GB2312"/>
          <w:sz w:val="32"/>
          <w:szCs w:val="32"/>
          <w:lang w:val="en-US" w:eastAsia="zh-CN"/>
        </w:rPr>
        <w:t>362.33</w:t>
      </w:r>
      <w:r>
        <w:rPr>
          <w:rFonts w:hint="eastAsia" w:ascii="仿宋_GB2312" w:eastAsia="仿宋_GB2312"/>
          <w:sz w:val="32"/>
          <w:szCs w:val="32"/>
        </w:rPr>
        <w:t>万元，预算总执行率为100%，其中人员经费</w:t>
      </w:r>
      <w:r>
        <w:rPr>
          <w:rFonts w:hint="eastAsia" w:ascii="仿宋_GB2312" w:eastAsia="仿宋_GB2312"/>
          <w:sz w:val="32"/>
          <w:szCs w:val="32"/>
          <w:lang w:val="en-US" w:eastAsia="zh-CN"/>
        </w:rPr>
        <w:t>301.77</w:t>
      </w:r>
      <w:r>
        <w:rPr>
          <w:rFonts w:hint="eastAsia" w:ascii="仿宋_GB2312" w:eastAsia="仿宋_GB2312"/>
          <w:sz w:val="32"/>
          <w:szCs w:val="32"/>
        </w:rPr>
        <w:t>万元，公用经费</w:t>
      </w:r>
      <w:r>
        <w:rPr>
          <w:rFonts w:hint="eastAsia" w:ascii="仿宋_GB2312" w:eastAsia="仿宋_GB2312"/>
          <w:sz w:val="32"/>
          <w:szCs w:val="32"/>
          <w:lang w:val="en-US" w:eastAsia="zh-CN"/>
        </w:rPr>
        <w:t>60.56</w:t>
      </w:r>
      <w:r>
        <w:rPr>
          <w:rFonts w:hint="eastAsia" w:ascii="仿宋_GB2312" w:eastAsia="仿宋_GB2312"/>
          <w:sz w:val="32"/>
          <w:szCs w:val="32"/>
        </w:rPr>
        <w:t>万元。</w:t>
      </w:r>
    </w:p>
    <w:p>
      <w:pPr>
        <w:ind w:left="-560" w:leftChars="-200" w:firstLine="643" w:firstLineChars="200"/>
        <w:rPr>
          <w:rFonts w:ascii="仿宋_GB2312" w:eastAsia="仿宋_GB2312"/>
          <w:b/>
          <w:bCs/>
          <w:sz w:val="32"/>
          <w:szCs w:val="32"/>
        </w:rPr>
      </w:pPr>
      <w:r>
        <w:rPr>
          <w:rFonts w:hint="eastAsia" w:ascii="仿宋_GB2312" w:eastAsia="仿宋_GB2312"/>
          <w:b/>
          <w:bCs/>
          <w:sz w:val="32"/>
          <w:szCs w:val="32"/>
        </w:rPr>
        <w:t>2.“三公”经费情况</w:t>
      </w:r>
    </w:p>
    <w:p>
      <w:pPr>
        <w:ind w:left="-560" w:leftChars="-200" w:firstLine="640" w:firstLineChars="20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w:t>
      </w:r>
      <w:r>
        <w:rPr>
          <w:rFonts w:hint="eastAsia" w:ascii="仿宋_GB2312" w:eastAsia="仿宋_GB2312" w:cs="宋体"/>
          <w:sz w:val="32"/>
          <w:szCs w:val="32"/>
          <w:lang w:eastAsia="zh-CN"/>
        </w:rPr>
        <w:t>2022</w:t>
      </w:r>
      <w:r>
        <w:rPr>
          <w:rFonts w:hint="eastAsia" w:ascii="仿宋_GB2312" w:eastAsia="仿宋_GB2312" w:cs="宋体"/>
          <w:sz w:val="32"/>
          <w:szCs w:val="32"/>
        </w:rPr>
        <w:t>年“三公”经费预算数为0</w:t>
      </w:r>
      <w:r>
        <w:rPr>
          <w:rFonts w:hint="eastAsia" w:ascii="仿宋_GB2312" w:eastAsia="仿宋_GB2312" w:cs="宋体"/>
          <w:sz w:val="32"/>
          <w:szCs w:val="32"/>
          <w:lang w:val="en-US" w:eastAsia="zh-CN"/>
        </w:rPr>
        <w:t>.00</w:t>
      </w:r>
      <w:r>
        <w:rPr>
          <w:rFonts w:hint="eastAsia" w:ascii="仿宋_GB2312" w:eastAsia="仿宋_GB2312" w:cs="宋体"/>
          <w:sz w:val="32"/>
          <w:szCs w:val="32"/>
        </w:rPr>
        <w:t>万元，其中：因公出国（境）费0</w:t>
      </w:r>
      <w:r>
        <w:rPr>
          <w:rFonts w:hint="eastAsia" w:ascii="仿宋_GB2312" w:eastAsia="仿宋_GB2312" w:cs="宋体"/>
          <w:sz w:val="32"/>
          <w:szCs w:val="32"/>
          <w:lang w:val="en-US" w:eastAsia="zh-CN"/>
        </w:rPr>
        <w:t>.00</w:t>
      </w:r>
      <w:r>
        <w:rPr>
          <w:rFonts w:hint="eastAsia" w:ascii="仿宋_GB2312" w:eastAsia="仿宋_GB2312" w:cs="宋体"/>
          <w:sz w:val="32"/>
          <w:szCs w:val="32"/>
        </w:rPr>
        <w:t>万元，公务用车购置及运行费0</w:t>
      </w:r>
      <w:r>
        <w:rPr>
          <w:rFonts w:hint="eastAsia" w:ascii="仿宋_GB2312" w:eastAsia="仿宋_GB2312" w:cs="宋体"/>
          <w:sz w:val="32"/>
          <w:szCs w:val="32"/>
          <w:lang w:val="en-US" w:eastAsia="zh-CN"/>
        </w:rPr>
        <w:t>.00</w:t>
      </w:r>
      <w:r>
        <w:rPr>
          <w:rFonts w:hint="eastAsia" w:ascii="仿宋_GB2312" w:eastAsia="仿宋_GB2312" w:cs="宋体"/>
          <w:sz w:val="32"/>
          <w:szCs w:val="32"/>
        </w:rPr>
        <w:t>万元（其中公务用车购置为0</w:t>
      </w:r>
      <w:r>
        <w:rPr>
          <w:rFonts w:hint="eastAsia" w:ascii="仿宋_GB2312" w:eastAsia="仿宋_GB2312" w:cs="宋体"/>
          <w:sz w:val="32"/>
          <w:szCs w:val="32"/>
          <w:lang w:val="en-US" w:eastAsia="zh-CN"/>
        </w:rPr>
        <w:t>.00</w:t>
      </w:r>
      <w:r>
        <w:rPr>
          <w:rFonts w:hint="eastAsia" w:ascii="仿宋_GB2312" w:eastAsia="仿宋_GB2312" w:cs="宋体"/>
          <w:sz w:val="32"/>
          <w:szCs w:val="32"/>
        </w:rPr>
        <w:t>万元），公务接待费0</w:t>
      </w:r>
      <w:r>
        <w:rPr>
          <w:rFonts w:hint="eastAsia" w:ascii="仿宋_GB2312" w:eastAsia="仿宋_GB2312" w:cs="宋体"/>
          <w:sz w:val="32"/>
          <w:szCs w:val="32"/>
          <w:lang w:val="en-US" w:eastAsia="zh-CN"/>
        </w:rPr>
        <w:t>.00</w:t>
      </w:r>
      <w:r>
        <w:rPr>
          <w:rFonts w:hint="eastAsia" w:ascii="仿宋_GB2312" w:eastAsia="仿宋_GB2312" w:cs="宋体"/>
          <w:sz w:val="32"/>
          <w:szCs w:val="32"/>
        </w:rPr>
        <w:t>万元。</w:t>
      </w:r>
    </w:p>
    <w:p>
      <w:pPr>
        <w:ind w:left="-560" w:leftChars="-200" w:firstLine="640" w:firstLineChars="200"/>
        <w:jc w:val="left"/>
        <w:rPr>
          <w:rFonts w:ascii="仿宋_GB2312" w:eastAsia="仿宋_GB2312" w:cs="宋体"/>
          <w:sz w:val="32"/>
          <w:szCs w:val="32"/>
        </w:rPr>
      </w:pPr>
      <w:r>
        <w:rPr>
          <w:rFonts w:hint="eastAsia" w:ascii="仿宋_GB2312" w:eastAsia="仿宋_GB2312" w:cs="宋体"/>
          <w:sz w:val="32"/>
          <w:szCs w:val="32"/>
          <w:lang w:eastAsia="zh-CN"/>
        </w:rPr>
        <w:t>2022</w:t>
      </w:r>
      <w:r>
        <w:rPr>
          <w:rFonts w:hint="eastAsia" w:ascii="仿宋_GB2312" w:eastAsia="仿宋_GB2312" w:cs="宋体"/>
          <w:sz w:val="32"/>
          <w:szCs w:val="32"/>
        </w:rPr>
        <w:t>年，全年“三公”经费决算支出0</w:t>
      </w:r>
      <w:r>
        <w:rPr>
          <w:rFonts w:hint="eastAsia" w:ascii="仿宋_GB2312" w:eastAsia="仿宋_GB2312" w:cs="宋体"/>
          <w:sz w:val="32"/>
          <w:szCs w:val="32"/>
          <w:lang w:val="en-US" w:eastAsia="zh-CN"/>
        </w:rPr>
        <w:t>.00</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w:t>
      </w:r>
      <w:r>
        <w:rPr>
          <w:rFonts w:hint="eastAsia" w:ascii="仿宋_GB2312" w:eastAsia="仿宋_GB2312" w:cs="宋体"/>
          <w:sz w:val="32"/>
          <w:szCs w:val="32"/>
        </w:rPr>
        <w:t>0万元、公务用车购置及运行费0</w:t>
      </w:r>
      <w:r>
        <w:rPr>
          <w:rFonts w:hint="eastAsia" w:ascii="仿宋_GB2312" w:eastAsia="仿宋_GB2312" w:cs="宋体"/>
          <w:sz w:val="32"/>
          <w:szCs w:val="32"/>
          <w:lang w:val="en-US" w:eastAsia="zh-CN"/>
        </w:rPr>
        <w:t>.00</w:t>
      </w:r>
      <w:r>
        <w:rPr>
          <w:rFonts w:hint="eastAsia" w:ascii="仿宋_GB2312" w:eastAsia="仿宋_GB2312" w:cs="宋体"/>
          <w:sz w:val="32"/>
          <w:szCs w:val="32"/>
        </w:rPr>
        <w:t>万元（其中公务用车购置为0</w:t>
      </w:r>
      <w:r>
        <w:rPr>
          <w:rFonts w:hint="eastAsia" w:ascii="仿宋_GB2312" w:eastAsia="仿宋_GB2312" w:cs="宋体"/>
          <w:sz w:val="32"/>
          <w:szCs w:val="32"/>
          <w:lang w:val="en-US" w:eastAsia="zh-CN"/>
        </w:rPr>
        <w:t>.00</w:t>
      </w:r>
      <w:r>
        <w:rPr>
          <w:rFonts w:hint="eastAsia" w:ascii="仿宋_GB2312" w:eastAsia="仿宋_GB2312" w:cs="宋体"/>
          <w:sz w:val="32"/>
          <w:szCs w:val="32"/>
        </w:rPr>
        <w:t>万元）、公务接待费0</w:t>
      </w:r>
      <w:r>
        <w:rPr>
          <w:rFonts w:hint="eastAsia" w:ascii="仿宋_GB2312" w:eastAsia="仿宋_GB2312" w:cs="宋体"/>
          <w:sz w:val="32"/>
          <w:szCs w:val="32"/>
          <w:lang w:val="en-US" w:eastAsia="zh-CN"/>
        </w:rPr>
        <w:t>.00</w:t>
      </w:r>
      <w:r>
        <w:rPr>
          <w:rFonts w:hint="eastAsia" w:ascii="仿宋_GB2312" w:eastAsia="仿宋_GB2312" w:cs="宋体"/>
          <w:sz w:val="32"/>
          <w:szCs w:val="32"/>
        </w:rPr>
        <w:t>万元。较上年“三公”经费决算支出0</w:t>
      </w:r>
      <w:r>
        <w:rPr>
          <w:rFonts w:hint="eastAsia" w:ascii="仿宋_GB2312" w:eastAsia="仿宋_GB2312" w:cs="宋体"/>
          <w:sz w:val="32"/>
          <w:szCs w:val="32"/>
          <w:lang w:val="en-US" w:eastAsia="zh-CN"/>
        </w:rPr>
        <w:t>.00</w:t>
      </w:r>
      <w:r>
        <w:rPr>
          <w:rFonts w:hint="eastAsia" w:ascii="仿宋_GB2312" w:eastAsia="仿宋_GB2312" w:cs="宋体"/>
          <w:sz w:val="32"/>
          <w:szCs w:val="32"/>
        </w:rPr>
        <w:t>万元，增加（减少）0</w:t>
      </w:r>
      <w:r>
        <w:rPr>
          <w:rFonts w:hint="eastAsia" w:ascii="仿宋_GB2312" w:eastAsia="仿宋_GB2312" w:cs="宋体"/>
          <w:sz w:val="32"/>
          <w:szCs w:val="32"/>
          <w:lang w:val="en-US" w:eastAsia="zh-CN"/>
        </w:rPr>
        <w:t>.00</w:t>
      </w:r>
      <w:r>
        <w:rPr>
          <w:rFonts w:hint="eastAsia" w:ascii="仿宋_GB2312" w:eastAsia="仿宋_GB2312" w:cs="宋体"/>
          <w:sz w:val="32"/>
          <w:szCs w:val="32"/>
        </w:rPr>
        <w:t>万元，增长（下降）0</w:t>
      </w:r>
      <w:r>
        <w:rPr>
          <w:rFonts w:hint="eastAsia" w:ascii="仿宋_GB2312" w:eastAsia="仿宋_GB2312" w:cs="宋体"/>
          <w:sz w:val="32"/>
          <w:szCs w:val="32"/>
          <w:lang w:val="en-US" w:eastAsia="zh-CN"/>
        </w:rPr>
        <w:t>.0</w:t>
      </w:r>
      <w:r>
        <w:rPr>
          <w:rFonts w:hint="eastAsia" w:ascii="仿宋_GB2312" w:eastAsia="仿宋_GB2312" w:cs="宋体"/>
          <w:sz w:val="32"/>
          <w:szCs w:val="32"/>
        </w:rPr>
        <w:t>%。</w:t>
      </w:r>
    </w:p>
    <w:p>
      <w:pPr>
        <w:pStyle w:val="4"/>
        <w:ind w:left="-560" w:leftChars="-200" w:firstLine="643" w:firstLineChars="20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left="-560" w:leftChars="-200" w:firstLine="643" w:firstLineChars="200"/>
        <w:rPr>
          <w:rFonts w:ascii="仿宋_GB2312" w:eastAsia="仿宋_GB2312"/>
          <w:b/>
          <w:bCs/>
          <w:sz w:val="32"/>
          <w:szCs w:val="32"/>
        </w:rPr>
      </w:pPr>
      <w:r>
        <w:rPr>
          <w:rFonts w:hint="eastAsia" w:ascii="仿宋_GB2312" w:eastAsia="仿宋_GB2312"/>
          <w:b/>
          <w:bCs/>
          <w:sz w:val="32"/>
          <w:szCs w:val="32"/>
        </w:rPr>
        <w:t>项目支出情况</w:t>
      </w:r>
    </w:p>
    <w:p>
      <w:pPr>
        <w:keepNext w:val="0"/>
        <w:keepLines w:val="0"/>
        <w:pageBreakBefore w:val="0"/>
        <w:widowControl w:val="0"/>
        <w:kinsoku/>
        <w:wordWrap/>
        <w:overflowPunct/>
        <w:topLinePunct w:val="0"/>
        <w:autoSpaceDE/>
        <w:autoSpaceDN/>
        <w:bidi w:val="0"/>
        <w:adjustRightInd/>
        <w:snapToGrid/>
        <w:ind w:left="-560" w:leftChars="-200" w:firstLine="1200" w:firstLineChars="375"/>
        <w:textAlignment w:val="auto"/>
        <w:rPr>
          <w:rFonts w:ascii="仿宋_GB2312" w:eastAsia="仿宋_GB2312" w:cs="仿宋"/>
          <w:color w:val="FF0000"/>
          <w:sz w:val="32"/>
          <w:szCs w:val="32"/>
        </w:rPr>
      </w:pPr>
      <w:r>
        <w:rPr>
          <w:rFonts w:hint="eastAsia" w:ascii="仿宋_GB2312" w:eastAsia="仿宋_GB2312"/>
          <w:color w:val="auto"/>
          <w:sz w:val="32"/>
          <w:szCs w:val="32"/>
          <w:highlight w:val="none"/>
          <w:lang w:val="en-US" w:eastAsia="zh-CN"/>
        </w:rPr>
        <w:t>2022年本单位全年未安排中央、自治区、地区、县本级项目支出预算。</w:t>
      </w:r>
    </w:p>
    <w:p>
      <w:pPr>
        <w:pStyle w:val="3"/>
        <w:numPr>
          <w:ilvl w:val="0"/>
          <w:numId w:val="5"/>
        </w:numPr>
        <w:ind w:left="-560" w:leftChars="-200" w:firstLine="640" w:firstLineChars="200"/>
        <w:rPr>
          <w:rFonts w:hint="eastAsia" w:ascii="黑体" w:hAnsi="黑体"/>
          <w:b w:val="0"/>
          <w:sz w:val="32"/>
          <w:szCs w:val="32"/>
        </w:rPr>
      </w:pPr>
      <w:r>
        <w:rPr>
          <w:rFonts w:hint="eastAsia" w:ascii="黑体" w:hAnsi="黑体"/>
          <w:b w:val="0"/>
          <w:sz w:val="32"/>
          <w:szCs w:val="32"/>
        </w:rPr>
        <w:t>部门单位专项组织实施情况</w:t>
      </w:r>
    </w:p>
    <w:p>
      <w:pPr>
        <w:ind w:left="0" w:leftChars="0" w:firstLine="0" w:firstLineChars="0"/>
        <w:rPr>
          <w:rFonts w:hint="eastAsia"/>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年本单位全年未安排中央及自治区专项资金支出项目。</w:t>
      </w:r>
    </w:p>
    <w:p>
      <w:pPr>
        <w:pStyle w:val="3"/>
        <w:ind w:left="-560" w:leftChars="-200" w:firstLine="640" w:firstLineChars="200"/>
        <w:rPr>
          <w:rFonts w:ascii="黑体" w:hAnsi="黑体"/>
          <w:b w:val="0"/>
          <w:sz w:val="32"/>
          <w:szCs w:val="32"/>
        </w:rPr>
      </w:pPr>
      <w:r>
        <w:rPr>
          <w:rFonts w:hint="eastAsia" w:ascii="黑体" w:hAnsi="黑体"/>
          <w:b w:val="0"/>
          <w:sz w:val="32"/>
          <w:szCs w:val="32"/>
        </w:rPr>
        <w:t>四、资产管理情况</w:t>
      </w:r>
    </w:p>
    <w:p>
      <w:pPr>
        <w:pStyle w:val="4"/>
        <w:numPr>
          <w:ilvl w:val="0"/>
          <w:numId w:val="6"/>
        </w:numPr>
        <w:ind w:left="-560" w:leftChars="-200" w:firstLine="643" w:firstLineChars="200"/>
        <w:rPr>
          <w:rFonts w:ascii="楷体_GB2312" w:eastAsia="楷体_GB2312"/>
          <w:szCs w:val="32"/>
        </w:rPr>
      </w:pPr>
      <w:r>
        <w:rPr>
          <w:rFonts w:hint="eastAsia" w:ascii="楷体_GB2312" w:eastAsia="楷体_GB2312"/>
          <w:szCs w:val="32"/>
        </w:rPr>
        <w:t>资产情况及固定资产利用情况</w:t>
      </w:r>
    </w:p>
    <w:p>
      <w:pPr>
        <w:ind w:left="-560" w:leftChars="-200" w:firstLine="640" w:firstLineChars="200"/>
        <w:rPr>
          <w:rFonts w:hint="eastAsia" w:ascii="仿宋_GB2312" w:eastAsia="仿宋_GB2312"/>
          <w:sz w:val="32"/>
          <w:szCs w:val="32"/>
          <w:lang w:eastAsia="zh-CN"/>
        </w:rPr>
      </w:pPr>
      <w:r>
        <w:rPr>
          <w:rFonts w:hint="eastAsia" w:ascii="仿宋_GB2312" w:eastAsia="仿宋_GB2312"/>
          <w:sz w:val="32"/>
          <w:szCs w:val="32"/>
        </w:rPr>
        <w:t>截止</w:t>
      </w:r>
      <w:r>
        <w:rPr>
          <w:rFonts w:hint="eastAsia" w:ascii="仿宋_GB2312" w:eastAsia="仿宋_GB2312"/>
          <w:sz w:val="32"/>
          <w:szCs w:val="32"/>
          <w:lang w:eastAsia="zh-CN"/>
        </w:rPr>
        <w:t>2022</w:t>
      </w:r>
      <w:r>
        <w:rPr>
          <w:rFonts w:hint="eastAsia" w:ascii="仿宋_GB2312" w:eastAsia="仿宋_GB2312"/>
          <w:sz w:val="32"/>
          <w:szCs w:val="32"/>
        </w:rPr>
        <w:t>年12月31日，我单位资产账面总额为47</w:t>
      </w:r>
      <w:r>
        <w:rPr>
          <w:rFonts w:hint="eastAsia" w:ascii="仿宋_GB2312" w:eastAsia="仿宋_GB2312"/>
          <w:sz w:val="32"/>
          <w:szCs w:val="32"/>
          <w:lang w:val="en-US" w:eastAsia="zh-CN"/>
        </w:rPr>
        <w:t>9.86</w:t>
      </w:r>
      <w:r>
        <w:rPr>
          <w:rFonts w:hint="eastAsia" w:ascii="仿宋_GB2312" w:eastAsia="仿宋_GB2312"/>
          <w:sz w:val="32"/>
          <w:szCs w:val="32"/>
        </w:rPr>
        <w:t>万元，较年初资产总额减少</w:t>
      </w:r>
      <w:r>
        <w:rPr>
          <w:rFonts w:hint="eastAsia" w:ascii="仿宋_GB2312" w:eastAsia="仿宋_GB2312"/>
          <w:sz w:val="32"/>
          <w:szCs w:val="32"/>
          <w:lang w:val="en-US" w:eastAsia="zh-CN"/>
        </w:rPr>
        <w:t>2.82</w:t>
      </w:r>
      <w:r>
        <w:rPr>
          <w:rFonts w:hint="eastAsia" w:ascii="仿宋_GB2312" w:eastAsia="仿宋_GB2312"/>
          <w:sz w:val="32"/>
          <w:szCs w:val="32"/>
        </w:rPr>
        <w:t>万元，下降</w:t>
      </w:r>
      <w:r>
        <w:rPr>
          <w:rFonts w:hint="eastAsia" w:ascii="仿宋_GB2312" w:eastAsia="仿宋_GB2312"/>
          <w:sz w:val="32"/>
          <w:szCs w:val="32"/>
          <w:lang w:val="en-US" w:eastAsia="zh-CN"/>
        </w:rPr>
        <w:t>0.5</w:t>
      </w:r>
      <w:r>
        <w:rPr>
          <w:rFonts w:hint="eastAsia" w:ascii="仿宋_GB2312" w:eastAsia="仿宋_GB2312"/>
          <w:sz w:val="32"/>
          <w:szCs w:val="32"/>
        </w:rPr>
        <w:t>%，其中：</w:t>
      </w:r>
      <w:r>
        <w:rPr>
          <w:rFonts w:hint="eastAsia" w:ascii="仿宋_GB2312" w:eastAsia="仿宋_GB2312"/>
          <w:sz w:val="32"/>
          <w:szCs w:val="32"/>
          <w:lang w:eastAsia="zh-CN"/>
        </w:rPr>
        <w:t>2022</w:t>
      </w:r>
      <w:r>
        <w:rPr>
          <w:rFonts w:hint="eastAsia" w:ascii="仿宋_GB2312" w:eastAsia="仿宋_GB2312"/>
          <w:sz w:val="32"/>
          <w:szCs w:val="32"/>
        </w:rPr>
        <w:t>年初，流动资产总额为</w:t>
      </w:r>
      <w:r>
        <w:rPr>
          <w:rFonts w:hint="eastAsia" w:ascii="仿宋_GB2312" w:eastAsia="仿宋_GB2312"/>
          <w:sz w:val="32"/>
          <w:szCs w:val="32"/>
          <w:lang w:val="en-US" w:eastAsia="zh-CN"/>
        </w:rPr>
        <w:t>13.66</w:t>
      </w:r>
      <w:r>
        <w:rPr>
          <w:rFonts w:hint="eastAsia" w:ascii="仿宋_GB2312" w:eastAsia="仿宋_GB2312"/>
          <w:sz w:val="32"/>
          <w:szCs w:val="32"/>
        </w:rPr>
        <w:t>万元，年末总额为</w:t>
      </w:r>
      <w:r>
        <w:rPr>
          <w:rFonts w:hint="eastAsia" w:ascii="仿宋_GB2312" w:eastAsia="仿宋_GB2312"/>
          <w:sz w:val="32"/>
          <w:szCs w:val="32"/>
          <w:lang w:val="en-US" w:eastAsia="zh-CN"/>
        </w:rPr>
        <w:t>10.84</w:t>
      </w:r>
      <w:r>
        <w:rPr>
          <w:rFonts w:hint="eastAsia" w:ascii="仿宋_GB2312" w:eastAsia="仿宋_GB2312"/>
          <w:sz w:val="32"/>
          <w:szCs w:val="32"/>
        </w:rPr>
        <w:t>万元，较年初流动资产减少</w:t>
      </w:r>
      <w:r>
        <w:rPr>
          <w:rFonts w:hint="eastAsia" w:ascii="仿宋_GB2312" w:eastAsia="仿宋_GB2312"/>
          <w:sz w:val="32"/>
          <w:szCs w:val="32"/>
          <w:lang w:val="en-US" w:eastAsia="zh-CN"/>
        </w:rPr>
        <w:t>2.82</w:t>
      </w:r>
      <w:r>
        <w:rPr>
          <w:rFonts w:hint="eastAsia" w:ascii="仿宋_GB2312" w:eastAsia="仿宋_GB2312"/>
          <w:sz w:val="32"/>
          <w:szCs w:val="32"/>
        </w:rPr>
        <w:t>万元，下降</w:t>
      </w:r>
      <w:r>
        <w:rPr>
          <w:rFonts w:hint="eastAsia" w:ascii="仿宋_GB2312" w:eastAsia="仿宋_GB2312"/>
          <w:sz w:val="32"/>
          <w:szCs w:val="32"/>
          <w:lang w:val="en-US" w:eastAsia="zh-CN"/>
        </w:rPr>
        <w:t>2.6</w:t>
      </w:r>
      <w:r>
        <w:rPr>
          <w:rFonts w:hint="eastAsia" w:ascii="仿宋_GB2312" w:eastAsia="仿宋_GB2312"/>
          <w:sz w:val="32"/>
          <w:szCs w:val="32"/>
        </w:rPr>
        <w:t>%，主要变动原因是：幼儿在园人数增加，支出增加</w:t>
      </w:r>
      <w:r>
        <w:rPr>
          <w:rFonts w:hint="eastAsia" w:ascii="仿宋_GB2312" w:eastAsia="仿宋_GB2312"/>
          <w:sz w:val="32"/>
          <w:szCs w:val="32"/>
          <w:lang w:eastAsia="zh-CN"/>
        </w:rPr>
        <w:t>。</w:t>
      </w:r>
    </w:p>
    <w:p>
      <w:pPr>
        <w:ind w:left="-560" w:leftChars="-200" w:firstLine="640" w:firstLineChars="200"/>
        <w:rPr>
          <w:rFonts w:ascii="仿宋_GB2312" w:eastAsia="仿宋_GB2312"/>
          <w:sz w:val="32"/>
          <w:szCs w:val="32"/>
        </w:rPr>
      </w:pPr>
      <w:r>
        <w:rPr>
          <w:rFonts w:hint="eastAsia" w:ascii="仿宋_GB2312" w:eastAsia="仿宋_GB2312"/>
          <w:sz w:val="32"/>
          <w:szCs w:val="32"/>
          <w:lang w:eastAsia="zh-CN"/>
        </w:rPr>
        <w:t>2022</w:t>
      </w:r>
      <w:r>
        <w:rPr>
          <w:rFonts w:hint="eastAsia" w:ascii="仿宋_GB2312" w:eastAsia="仿宋_GB2312"/>
          <w:sz w:val="32"/>
          <w:szCs w:val="32"/>
        </w:rPr>
        <w:t>年初，固定资产总额为</w:t>
      </w:r>
      <w:r>
        <w:rPr>
          <w:rFonts w:hint="eastAsia" w:ascii="仿宋_GB2312" w:eastAsia="仿宋_GB2312"/>
          <w:sz w:val="32"/>
          <w:szCs w:val="32"/>
          <w:lang w:val="en-US" w:eastAsia="zh-CN"/>
        </w:rPr>
        <w:t>463.69</w:t>
      </w:r>
      <w:r>
        <w:rPr>
          <w:rFonts w:hint="eastAsia" w:ascii="仿宋_GB2312" w:eastAsia="仿宋_GB2312"/>
          <w:sz w:val="32"/>
          <w:szCs w:val="32"/>
        </w:rPr>
        <w:t>万元，年末总额为</w:t>
      </w:r>
      <w:r>
        <w:rPr>
          <w:rFonts w:hint="eastAsia" w:ascii="仿宋_GB2312" w:eastAsia="仿宋_GB2312"/>
          <w:sz w:val="32"/>
          <w:szCs w:val="32"/>
          <w:lang w:val="en-US" w:eastAsia="zh-CN"/>
        </w:rPr>
        <w:t>463.69</w:t>
      </w:r>
      <w:r>
        <w:rPr>
          <w:rFonts w:hint="eastAsia" w:ascii="仿宋_GB2312" w:eastAsia="仿宋_GB2312"/>
          <w:sz w:val="32"/>
          <w:szCs w:val="32"/>
        </w:rPr>
        <w:t>万元，较年初固定资产</w:t>
      </w:r>
      <w:r>
        <w:rPr>
          <w:rFonts w:hint="eastAsia" w:ascii="仿宋_GB2312" w:eastAsia="仿宋_GB2312"/>
          <w:sz w:val="32"/>
          <w:szCs w:val="32"/>
          <w:lang w:eastAsia="zh-CN"/>
        </w:rPr>
        <w:t>无变化</w:t>
      </w:r>
      <w:r>
        <w:rPr>
          <w:rFonts w:hint="eastAsia" w:ascii="仿宋_GB2312" w:eastAsia="仿宋_GB2312"/>
          <w:sz w:val="32"/>
          <w:szCs w:val="32"/>
        </w:rPr>
        <w:t>，主要变动原因是：</w:t>
      </w:r>
      <w:r>
        <w:rPr>
          <w:rFonts w:hint="eastAsia" w:ascii="仿宋_GB2312" w:eastAsia="仿宋_GB2312"/>
          <w:sz w:val="32"/>
          <w:szCs w:val="32"/>
          <w:lang w:eastAsia="zh-CN"/>
        </w:rPr>
        <w:t>固定资产未折旧</w:t>
      </w:r>
      <w:r>
        <w:rPr>
          <w:rFonts w:hint="eastAsia" w:ascii="仿宋_GB2312" w:eastAsia="仿宋_GB2312"/>
          <w:sz w:val="32"/>
          <w:szCs w:val="32"/>
        </w:rPr>
        <w:t>。</w:t>
      </w:r>
    </w:p>
    <w:p>
      <w:pPr>
        <w:pStyle w:val="4"/>
        <w:numPr>
          <w:ilvl w:val="0"/>
          <w:numId w:val="6"/>
        </w:numPr>
        <w:ind w:left="-560" w:leftChars="-200" w:firstLine="643" w:firstLineChars="200"/>
        <w:rPr>
          <w:rFonts w:ascii="楷体_GB2312" w:eastAsia="楷体_GB2312"/>
          <w:szCs w:val="32"/>
        </w:rPr>
      </w:pPr>
      <w:r>
        <w:rPr>
          <w:rFonts w:hint="eastAsia" w:ascii="楷体_GB2312" w:eastAsia="楷体_GB2312"/>
          <w:szCs w:val="32"/>
        </w:rPr>
        <w:t>资产管理规范性分析</w:t>
      </w:r>
    </w:p>
    <w:p>
      <w:pPr>
        <w:ind w:left="-560" w:leftChars="-200" w:firstLine="643" w:firstLineChars="20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left="-560" w:leftChars="-200" w:firstLine="640" w:firstLineChars="200"/>
        <w:jc w:val="left"/>
        <w:rPr>
          <w:rFonts w:ascii="仿宋_GB2312" w:eastAsia="仿宋_GB2312" w:cs="仿宋"/>
          <w:kern w:val="1"/>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left="-560" w:leftChars="-200" w:firstLine="643" w:firstLineChars="20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left="-560" w:leftChars="-200" w:firstLine="640" w:firstLineChars="200"/>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left="-560" w:leftChars="-200" w:firstLine="643" w:firstLineChars="20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left="-560" w:leftChars="-200" w:firstLine="640" w:firstLineChars="20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left="-560" w:leftChars="-200" w:firstLine="643" w:firstLineChars="20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left="-560" w:leftChars="-200" w:firstLine="640" w:firstLineChars="20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left="-560" w:leftChars="-200" w:firstLine="643" w:firstLineChars="20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left="-560" w:leftChars="-200" w:firstLine="640" w:firstLineChars="20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left="-560" w:leftChars="-200" w:firstLine="640" w:firstLineChars="200"/>
        <w:rPr>
          <w:rFonts w:ascii="黑体" w:hAnsi="黑体"/>
          <w:b w:val="0"/>
          <w:sz w:val="32"/>
          <w:szCs w:val="32"/>
        </w:rPr>
      </w:pPr>
      <w:r>
        <w:rPr>
          <w:rFonts w:hint="eastAsia" w:ascii="黑体" w:hAnsi="黑体"/>
          <w:b w:val="0"/>
          <w:sz w:val="32"/>
          <w:szCs w:val="32"/>
        </w:rPr>
        <w:t>部门单位整体支出绩效情况</w:t>
      </w:r>
    </w:p>
    <w:p>
      <w:pPr>
        <w:spacing w:line="600" w:lineRule="exact"/>
        <w:ind w:left="-560" w:leftChars="-200" w:firstLine="624" w:firstLineChars="200"/>
        <w:rPr>
          <w:rFonts w:hint="eastAsia" w:ascii="仿宋_GB2312" w:eastAsia="仿宋_GB2312"/>
          <w:bCs/>
          <w:spacing w:val="-4"/>
          <w:sz w:val="32"/>
          <w:szCs w:val="32"/>
        </w:rPr>
      </w:pPr>
      <w:r>
        <w:rPr>
          <w:rFonts w:hint="eastAsia" w:ascii="仿宋_GB2312" w:eastAsia="仿宋_GB2312"/>
          <w:bCs/>
          <w:spacing w:val="-4"/>
          <w:sz w:val="32"/>
          <w:szCs w:val="32"/>
          <w:lang w:eastAsia="zh-CN"/>
        </w:rPr>
        <w:t>2022</w:t>
      </w:r>
      <w:r>
        <w:rPr>
          <w:rFonts w:hint="eastAsia" w:ascii="仿宋_GB2312" w:eastAsia="仿宋_GB2312"/>
          <w:bCs/>
          <w:spacing w:val="-4"/>
          <w:sz w:val="32"/>
          <w:szCs w:val="32"/>
        </w:rPr>
        <w:t>年度，昌吉市三工镇中心幼儿园部门单位整体支出绩效目标共设置一级指标3个，二级指标</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100</w:t>
      </w:r>
      <w:r>
        <w:rPr>
          <w:rFonts w:hint="eastAsia" w:ascii="仿宋_GB2312" w:eastAsia="仿宋_GB2312"/>
          <w:bCs/>
          <w:spacing w:val="-4"/>
          <w:sz w:val="32"/>
          <w:szCs w:val="32"/>
        </w:rPr>
        <w:t>%。</w:t>
      </w:r>
    </w:p>
    <w:p>
      <w:pPr>
        <w:adjustRightInd w:val="0"/>
        <w:snapToGrid w:val="0"/>
        <w:ind w:left="-560" w:leftChars="-200" w:firstLine="624" w:firstLineChars="200"/>
        <w:rPr>
          <w:rFonts w:hint="eastAsia" w:ascii="仿宋_GB2312" w:eastAsia="仿宋_GB2312"/>
          <w:bCs/>
          <w:spacing w:val="-4"/>
          <w:sz w:val="32"/>
          <w:szCs w:val="32"/>
        </w:rPr>
      </w:pPr>
      <w:r>
        <w:rPr>
          <w:rFonts w:hint="eastAsia" w:ascii="仿宋_GB2312" w:eastAsia="仿宋_GB2312"/>
          <w:bCs/>
          <w:spacing w:val="-4"/>
          <w:sz w:val="32"/>
          <w:szCs w:val="32"/>
        </w:rPr>
        <w:t>1.产出指标完成情况分析</w:t>
      </w:r>
    </w:p>
    <w:p>
      <w:pPr>
        <w:adjustRightInd w:val="0"/>
        <w:snapToGrid w:val="0"/>
        <w:ind w:left="-560" w:leftChars="-200" w:firstLine="624" w:firstLineChars="200"/>
        <w:rPr>
          <w:rFonts w:hint="eastAsia" w:ascii="仿宋_GB2312" w:eastAsia="仿宋_GB2312"/>
          <w:bCs/>
          <w:spacing w:val="-4"/>
          <w:sz w:val="32"/>
          <w:szCs w:val="32"/>
        </w:rPr>
      </w:pPr>
      <w:r>
        <w:rPr>
          <w:rFonts w:hint="eastAsia" w:ascii="仿宋_GB2312" w:eastAsia="仿宋_GB2312"/>
          <w:bCs/>
          <w:spacing w:val="-4"/>
          <w:sz w:val="32"/>
          <w:szCs w:val="32"/>
        </w:rPr>
        <w:t>（1）数量指标</w:t>
      </w:r>
    </w:p>
    <w:p>
      <w:pPr>
        <w:pageBreakBefore w:val="0"/>
        <w:widowControl w:val="0"/>
        <w:kinsoku/>
        <w:wordWrap/>
        <w:overflowPunct/>
        <w:topLinePunct w:val="0"/>
        <w:autoSpaceDE/>
        <w:autoSpaceDN/>
        <w:bidi w:val="0"/>
        <w:adjustRightInd w:val="0"/>
        <w:snapToGrid w:val="0"/>
        <w:ind w:left="0" w:leftChars="0" w:firstLine="624" w:firstLineChars="200"/>
        <w:jc w:val="left"/>
        <w:textAlignment w:val="auto"/>
        <w:rPr>
          <w:rFonts w:hint="eastAsia" w:ascii="仿宋_GB2312" w:eastAsia="仿宋_GB2312"/>
          <w:bCs/>
          <w:spacing w:val="-4"/>
          <w:sz w:val="32"/>
          <w:szCs w:val="32"/>
        </w:rPr>
      </w:pPr>
      <w:r>
        <w:rPr>
          <w:rFonts w:hint="eastAsia" w:ascii="仿宋_GB2312" w:eastAsia="仿宋_GB2312"/>
          <w:bCs/>
          <w:spacing w:val="-4"/>
          <w:sz w:val="32"/>
          <w:szCs w:val="32"/>
        </w:rPr>
        <w:t>“保障办公人员数量”指标：预期指标值为“</w:t>
      </w:r>
      <w:r>
        <w:rPr>
          <w:rFonts w:hint="eastAsia" w:ascii="仿宋_GB2312" w:eastAsia="仿宋_GB2312"/>
          <w:bCs/>
          <w:spacing w:val="-4"/>
          <w:sz w:val="32"/>
          <w:szCs w:val="32"/>
          <w:lang w:val="en-US" w:eastAsia="zh-CN"/>
        </w:rPr>
        <w:t>=17人</w:t>
      </w:r>
      <w:r>
        <w:rPr>
          <w:rFonts w:hint="eastAsia" w:ascii="仿宋_GB2312" w:eastAsia="仿宋_GB2312"/>
          <w:bCs/>
          <w:spacing w:val="-4"/>
          <w:sz w:val="32"/>
          <w:szCs w:val="32"/>
        </w:rPr>
        <w:t>”，实际完</w:t>
      </w:r>
      <w:r>
        <w:rPr>
          <w:rFonts w:hint="eastAsia" w:ascii="仿宋_GB2312" w:hAnsi="仿宋" w:eastAsia="仿宋_GB2312" w:cs="Times New Roman"/>
          <w:b w:val="0"/>
          <w:bCs/>
          <w:spacing w:val="-4"/>
          <w:kern w:val="2"/>
          <w:sz w:val="32"/>
          <w:szCs w:val="32"/>
          <w:lang w:val="en-US" w:eastAsia="zh-CN" w:bidi="ar-SA"/>
        </w:rPr>
        <w:t>成指标值为“17人”，指标完成率为100%;</w:t>
      </w:r>
    </w:p>
    <w:p>
      <w:pPr>
        <w:pStyle w:val="2"/>
        <w:pageBreakBefore w:val="0"/>
        <w:widowControl w:val="0"/>
        <w:kinsoku/>
        <w:wordWrap/>
        <w:overflowPunct/>
        <w:topLinePunct w:val="0"/>
        <w:autoSpaceDE/>
        <w:autoSpaceDN/>
        <w:bidi w:val="0"/>
        <w:ind w:left="0" w:leftChars="0" w:firstLine="624" w:firstLineChars="200"/>
        <w:textAlignment w:val="auto"/>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“房屋建筑物供暖面积”指标：预期指标值为“=1620.00㎡”</w:t>
      </w:r>
      <w:r>
        <w:rPr>
          <w:rFonts w:hint="eastAsia" w:ascii="仿宋_GB2312" w:hAnsi="仿宋" w:eastAsia="仿宋_GB2312" w:cs="Times New Roman"/>
          <w:b w:val="0"/>
          <w:bCs/>
          <w:spacing w:val="-4"/>
          <w:kern w:val="2"/>
          <w:sz w:val="32"/>
          <w:szCs w:val="32"/>
          <w:lang w:val="en-US" w:eastAsia="zh-CN" w:bidi="ar-SA"/>
        </w:rPr>
        <w:t>实际完成指标值为“1620.00㎡”，指标完成率为100%;</w:t>
      </w:r>
    </w:p>
    <w:p>
      <w:pPr>
        <w:pageBreakBefore w:val="0"/>
        <w:widowControl w:val="0"/>
        <w:kinsoku/>
        <w:wordWrap/>
        <w:overflowPunct/>
        <w:topLinePunct w:val="0"/>
        <w:autoSpaceDE/>
        <w:autoSpaceDN/>
        <w:bidi w:val="0"/>
        <w:adjustRightInd w:val="0"/>
        <w:snapToGrid w:val="0"/>
        <w:ind w:left="0" w:leftChars="0" w:firstLine="624" w:firstLineChars="200"/>
        <w:textAlignment w:val="auto"/>
        <w:rPr>
          <w:rFonts w:hint="eastAsia" w:ascii="仿宋_GB2312" w:eastAsia="仿宋_GB2312"/>
          <w:bCs/>
          <w:spacing w:val="-4"/>
          <w:sz w:val="32"/>
          <w:szCs w:val="32"/>
        </w:rPr>
      </w:pPr>
      <w:r>
        <w:rPr>
          <w:rFonts w:hint="eastAsia" w:ascii="仿宋_GB2312" w:eastAsia="仿宋_GB2312"/>
          <w:bCs/>
          <w:spacing w:val="-4"/>
          <w:sz w:val="32"/>
          <w:szCs w:val="32"/>
        </w:rPr>
        <w:t>“组织教师集中教研培训次数”指标：预期指标值为“</w:t>
      </w:r>
      <w:r>
        <w:rPr>
          <w:rFonts w:hint="eastAsia" w:ascii="仿宋_GB2312" w:eastAsia="仿宋_GB2312"/>
          <w:bCs/>
          <w:spacing w:val="-4"/>
          <w:sz w:val="32"/>
          <w:szCs w:val="32"/>
          <w:lang w:val="en-US" w:eastAsia="zh-CN"/>
        </w:rPr>
        <w:t>1次</w:t>
      </w:r>
      <w:r>
        <w:rPr>
          <w:rFonts w:hint="eastAsia" w:ascii="仿宋_GB2312" w:eastAsia="仿宋_GB2312"/>
          <w:bCs/>
          <w:spacing w:val="-4"/>
          <w:sz w:val="32"/>
          <w:szCs w:val="32"/>
        </w:rPr>
        <w:t>”，实际完成指标值为“</w:t>
      </w:r>
      <w:r>
        <w:rPr>
          <w:rFonts w:hint="eastAsia" w:ascii="仿宋_GB2312" w:eastAsia="仿宋_GB2312"/>
          <w:bCs/>
          <w:spacing w:val="-4"/>
          <w:sz w:val="32"/>
          <w:szCs w:val="32"/>
          <w:lang w:val="en-US" w:eastAsia="zh-CN"/>
        </w:rPr>
        <w:t>1次</w:t>
      </w:r>
      <w:r>
        <w:rPr>
          <w:rFonts w:hint="eastAsia" w:ascii="仿宋_GB2312" w:eastAsia="仿宋_GB2312"/>
          <w:bCs/>
          <w:spacing w:val="-4"/>
          <w:sz w:val="32"/>
          <w:szCs w:val="32"/>
        </w:rPr>
        <w:t>”，指标完成率为</w:t>
      </w:r>
      <w:r>
        <w:rPr>
          <w:rFonts w:hint="eastAsia" w:ascii="仿宋_GB2312" w:eastAsia="仿宋_GB2312"/>
          <w:bCs/>
          <w:spacing w:val="-4"/>
          <w:sz w:val="32"/>
          <w:szCs w:val="32"/>
          <w:lang w:val="en-US" w:eastAsia="zh-CN"/>
        </w:rPr>
        <w:t>100</w:t>
      </w:r>
      <w:r>
        <w:rPr>
          <w:rFonts w:hint="eastAsia" w:ascii="仿宋_GB2312" w:eastAsia="仿宋_GB2312"/>
          <w:bCs/>
          <w:spacing w:val="-4"/>
          <w:sz w:val="32"/>
          <w:szCs w:val="32"/>
        </w:rPr>
        <w:t>%;</w:t>
      </w:r>
    </w:p>
    <w:p>
      <w:pPr>
        <w:pageBreakBefore w:val="0"/>
        <w:widowControl w:val="0"/>
        <w:kinsoku/>
        <w:wordWrap/>
        <w:overflowPunct/>
        <w:topLinePunct w:val="0"/>
        <w:autoSpaceDE/>
        <w:autoSpaceDN/>
        <w:bidi w:val="0"/>
        <w:adjustRightInd w:val="0"/>
        <w:snapToGrid w:val="0"/>
        <w:ind w:left="0" w:leftChars="0" w:firstLine="624" w:firstLineChars="200"/>
        <w:textAlignment w:val="auto"/>
        <w:rPr>
          <w:rFonts w:hint="eastAsia" w:ascii="仿宋_GB2312" w:eastAsia="仿宋_GB2312"/>
          <w:bCs/>
          <w:spacing w:val="-4"/>
          <w:sz w:val="32"/>
          <w:szCs w:val="32"/>
        </w:rPr>
      </w:pPr>
      <w:r>
        <w:rPr>
          <w:rFonts w:hint="eastAsia" w:ascii="仿宋_GB2312" w:eastAsia="仿宋_GB2312"/>
          <w:bCs/>
          <w:spacing w:val="-4"/>
          <w:sz w:val="32"/>
          <w:szCs w:val="32"/>
        </w:rPr>
        <w:t>“保障</w:t>
      </w:r>
      <w:r>
        <w:rPr>
          <w:rFonts w:hint="eastAsia" w:ascii="仿宋_GB2312" w:eastAsia="仿宋_GB2312"/>
          <w:bCs/>
          <w:spacing w:val="-4"/>
          <w:sz w:val="32"/>
          <w:szCs w:val="32"/>
          <w:lang w:eastAsia="zh-CN"/>
        </w:rPr>
        <w:t>学生</w:t>
      </w:r>
      <w:r>
        <w:rPr>
          <w:rFonts w:hint="eastAsia" w:ascii="仿宋_GB2312" w:eastAsia="仿宋_GB2312"/>
          <w:bCs/>
          <w:spacing w:val="-4"/>
          <w:sz w:val="32"/>
          <w:szCs w:val="32"/>
        </w:rPr>
        <w:t>人数”指标：预期指标值为“=278.00人”，实际完成指标值为“</w:t>
      </w:r>
      <w:r>
        <w:rPr>
          <w:rFonts w:hint="eastAsia" w:ascii="仿宋_GB2312" w:eastAsia="仿宋_GB2312"/>
          <w:bCs/>
          <w:spacing w:val="-4"/>
          <w:sz w:val="32"/>
          <w:szCs w:val="32"/>
          <w:lang w:val="en-US" w:eastAsia="zh-CN"/>
        </w:rPr>
        <w:t>278人</w:t>
      </w:r>
      <w:r>
        <w:rPr>
          <w:rFonts w:hint="eastAsia" w:ascii="仿宋_GB2312" w:eastAsia="仿宋_GB2312"/>
          <w:bCs/>
          <w:spacing w:val="-4"/>
          <w:sz w:val="32"/>
          <w:szCs w:val="32"/>
        </w:rPr>
        <w:t>”，指标完成率为</w:t>
      </w:r>
      <w:r>
        <w:rPr>
          <w:rFonts w:hint="eastAsia" w:ascii="仿宋_GB2312" w:eastAsia="仿宋_GB2312"/>
          <w:bCs/>
          <w:spacing w:val="-4"/>
          <w:sz w:val="32"/>
          <w:szCs w:val="32"/>
          <w:lang w:val="en-US" w:eastAsia="zh-CN"/>
        </w:rPr>
        <w:t>100</w:t>
      </w:r>
      <w:r>
        <w:rPr>
          <w:rFonts w:hint="eastAsia" w:ascii="仿宋_GB2312" w:eastAsia="仿宋_GB2312"/>
          <w:bCs/>
          <w:spacing w:val="-4"/>
          <w:sz w:val="32"/>
          <w:szCs w:val="32"/>
        </w:rPr>
        <w:t>%;</w:t>
      </w:r>
    </w:p>
    <w:p>
      <w:pPr>
        <w:pageBreakBefore w:val="0"/>
        <w:widowControl w:val="0"/>
        <w:kinsoku/>
        <w:wordWrap/>
        <w:overflowPunct/>
        <w:topLinePunct w:val="0"/>
        <w:autoSpaceDE/>
        <w:autoSpaceDN/>
        <w:bidi w:val="0"/>
        <w:adjustRightInd w:val="0"/>
        <w:snapToGrid w:val="0"/>
        <w:ind w:left="0" w:leftChars="0" w:firstLine="624" w:firstLineChars="200"/>
        <w:textAlignment w:val="auto"/>
        <w:rPr>
          <w:rFonts w:hint="eastAsia" w:eastAsia="仿宋_GB2312"/>
          <w:b w:val="0"/>
          <w:bCs w:val="0"/>
          <w:spacing w:val="-4"/>
          <w:sz w:val="32"/>
          <w:szCs w:val="32"/>
          <w:lang w:eastAsia="zh-CN"/>
        </w:rPr>
      </w:pPr>
      <w:r>
        <w:rPr>
          <w:rFonts w:hint="eastAsia"/>
          <w:b w:val="0"/>
          <w:bCs w:val="0"/>
          <w:spacing w:val="-4"/>
          <w:sz w:val="32"/>
          <w:szCs w:val="32"/>
          <w:lang w:eastAsia="zh-CN"/>
        </w:rPr>
        <w:t>“每年安全大检查次数</w:t>
      </w:r>
      <w:r>
        <w:rPr>
          <w:rFonts w:hint="eastAsia"/>
          <w:b w:val="0"/>
          <w:bCs w:val="0"/>
          <w:spacing w:val="-4"/>
          <w:sz w:val="32"/>
          <w:szCs w:val="32"/>
          <w:lang w:eastAsia="zh-CN"/>
        </w:rPr>
        <w:t>”指标：预期指标值为“</w:t>
      </w:r>
      <w:r>
        <w:rPr>
          <w:rFonts w:hint="eastAsia"/>
          <w:b w:val="0"/>
          <w:bCs w:val="0"/>
          <w:spacing w:val="-4"/>
          <w:sz w:val="32"/>
          <w:szCs w:val="32"/>
          <w:lang w:val="en-US" w:eastAsia="zh-CN"/>
        </w:rPr>
        <w:t>=1次</w:t>
      </w:r>
      <w:r>
        <w:rPr>
          <w:rFonts w:hint="eastAsia"/>
          <w:b w:val="0"/>
          <w:bCs w:val="0"/>
          <w:spacing w:val="-4"/>
          <w:sz w:val="32"/>
          <w:szCs w:val="32"/>
          <w:lang w:eastAsia="zh-CN"/>
        </w:rPr>
        <w:t>”</w:t>
      </w:r>
      <w:r>
        <w:rPr>
          <w:rFonts w:hint="eastAsia" w:ascii="仿宋_GB2312" w:eastAsia="仿宋_GB2312"/>
          <w:bCs/>
          <w:spacing w:val="-4"/>
          <w:sz w:val="32"/>
          <w:szCs w:val="32"/>
        </w:rPr>
        <w:t>，实际完成指标值为</w:t>
      </w:r>
      <w:r>
        <w:rPr>
          <w:rFonts w:hint="eastAsia"/>
          <w:bCs/>
          <w:spacing w:val="-4"/>
          <w:sz w:val="32"/>
          <w:szCs w:val="32"/>
          <w:lang w:eastAsia="zh-CN"/>
        </w:rPr>
        <w:t>“</w:t>
      </w:r>
      <w:r>
        <w:rPr>
          <w:rFonts w:hint="eastAsia"/>
          <w:bCs/>
          <w:spacing w:val="-4"/>
          <w:sz w:val="32"/>
          <w:szCs w:val="32"/>
          <w:lang w:val="en-US" w:eastAsia="zh-CN"/>
        </w:rPr>
        <w:t>1次</w:t>
      </w:r>
      <w:r>
        <w:rPr>
          <w:rFonts w:hint="eastAsia"/>
          <w:bCs/>
          <w:spacing w:val="-4"/>
          <w:sz w:val="32"/>
          <w:szCs w:val="32"/>
          <w:lang w:eastAsia="zh-CN"/>
        </w:rPr>
        <w:t>”</w:t>
      </w:r>
      <w:r>
        <w:rPr>
          <w:rFonts w:hint="eastAsia" w:ascii="仿宋_GB2312" w:eastAsia="仿宋_GB2312"/>
          <w:bCs/>
          <w:spacing w:val="-4"/>
          <w:sz w:val="32"/>
          <w:szCs w:val="32"/>
        </w:rPr>
        <w:t>，指标完成率为</w:t>
      </w:r>
      <w:r>
        <w:rPr>
          <w:rFonts w:hint="eastAsia" w:ascii="仿宋_GB2312" w:eastAsia="仿宋_GB2312"/>
          <w:bCs/>
          <w:spacing w:val="-4"/>
          <w:sz w:val="32"/>
          <w:szCs w:val="32"/>
          <w:lang w:val="en-US" w:eastAsia="zh-CN"/>
        </w:rPr>
        <w:t>100</w:t>
      </w:r>
      <w:r>
        <w:rPr>
          <w:rFonts w:hint="eastAsia" w:ascii="仿宋_GB2312" w:eastAsia="仿宋_GB2312"/>
          <w:bCs/>
          <w:spacing w:val="-4"/>
          <w:sz w:val="32"/>
          <w:szCs w:val="32"/>
        </w:rPr>
        <w:t>%;</w:t>
      </w:r>
    </w:p>
    <w:p>
      <w:pPr>
        <w:pageBreakBefore w:val="0"/>
        <w:widowControl w:val="0"/>
        <w:kinsoku/>
        <w:wordWrap/>
        <w:overflowPunct/>
        <w:topLinePunct w:val="0"/>
        <w:autoSpaceDE/>
        <w:autoSpaceDN/>
        <w:bidi w:val="0"/>
        <w:adjustRightInd w:val="0"/>
        <w:snapToGrid w:val="0"/>
        <w:ind w:left="-560" w:leftChars="-200" w:firstLine="624" w:firstLineChars="200"/>
        <w:textAlignment w:val="auto"/>
        <w:rPr>
          <w:rFonts w:hint="eastAsia"/>
        </w:rPr>
      </w:pPr>
      <w:r>
        <w:rPr>
          <w:rFonts w:hint="eastAsia" w:ascii="仿宋_GB2312" w:eastAsia="仿宋_GB2312"/>
          <w:bCs/>
          <w:spacing w:val="-4"/>
          <w:sz w:val="32"/>
          <w:szCs w:val="32"/>
          <w:lang w:eastAsia="zh-CN"/>
        </w:rPr>
        <w:t>（</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lang w:eastAsia="zh-CN"/>
        </w:rPr>
        <w:t>）</w:t>
      </w:r>
      <w:r>
        <w:rPr>
          <w:rFonts w:hint="eastAsia" w:ascii="仿宋_GB2312" w:eastAsia="仿宋_GB2312"/>
          <w:bCs/>
          <w:spacing w:val="-4"/>
          <w:sz w:val="32"/>
          <w:szCs w:val="32"/>
        </w:rPr>
        <w:t>质量指标</w:t>
      </w:r>
    </w:p>
    <w:p>
      <w:pPr>
        <w:pageBreakBefore w:val="0"/>
        <w:widowControl w:val="0"/>
        <w:kinsoku/>
        <w:wordWrap/>
        <w:overflowPunct/>
        <w:topLinePunct w:val="0"/>
        <w:autoSpaceDE/>
        <w:autoSpaceDN/>
        <w:bidi w:val="0"/>
        <w:adjustRightInd w:val="0"/>
        <w:snapToGrid w:val="0"/>
        <w:ind w:left="-560" w:leftChars="-200" w:firstLine="624" w:firstLineChars="200"/>
        <w:textAlignment w:val="auto"/>
        <w:rPr>
          <w:rFonts w:hint="eastAsia" w:ascii="仿宋_GB2312" w:eastAsia="仿宋_GB2312"/>
          <w:bCs/>
          <w:spacing w:val="-4"/>
          <w:sz w:val="32"/>
          <w:szCs w:val="32"/>
        </w:rPr>
      </w:pPr>
      <w:r>
        <w:rPr>
          <w:rFonts w:hint="eastAsia" w:ascii="仿宋_GB2312" w:eastAsia="仿宋_GB2312"/>
          <w:bCs/>
          <w:spacing w:val="-4"/>
          <w:sz w:val="32"/>
          <w:szCs w:val="32"/>
        </w:rPr>
        <w:t>“</w:t>
      </w:r>
      <w:r>
        <w:rPr>
          <w:rFonts w:hint="eastAsia" w:ascii="仿宋_GB2312" w:eastAsia="仿宋_GB2312"/>
          <w:bCs/>
          <w:spacing w:val="-4"/>
          <w:sz w:val="32"/>
          <w:szCs w:val="32"/>
          <w:lang w:eastAsia="zh-CN"/>
        </w:rPr>
        <w:t>公用经费使用合规率</w:t>
      </w:r>
      <w:r>
        <w:rPr>
          <w:rFonts w:hint="eastAsia" w:ascii="仿宋_GB2312" w:eastAsia="仿宋_GB2312"/>
          <w:bCs/>
          <w:spacing w:val="-4"/>
          <w:sz w:val="32"/>
          <w:szCs w:val="32"/>
        </w:rPr>
        <w:t>”指标：预期指标值为“</w:t>
      </w:r>
      <w:r>
        <w:rPr>
          <w:rFonts w:hint="eastAsia" w:ascii="仿宋_GB2312" w:eastAsia="仿宋_GB2312"/>
          <w:bCs/>
          <w:spacing w:val="-4"/>
          <w:sz w:val="32"/>
          <w:szCs w:val="32"/>
          <w:lang w:val="en-US" w:eastAsia="zh-CN"/>
        </w:rPr>
        <w:t>=</w:t>
      </w:r>
      <w:r>
        <w:rPr>
          <w:rFonts w:hint="eastAsia" w:ascii="仿宋_GB2312" w:eastAsia="仿宋_GB2312"/>
          <w:bCs/>
          <w:spacing w:val="-4"/>
          <w:sz w:val="32"/>
          <w:szCs w:val="32"/>
        </w:rPr>
        <w:t>100.00”，实际完成指标值为“100.00</w:t>
      </w:r>
      <w:r>
        <w:rPr>
          <w:rFonts w:hint="eastAsia" w:ascii="仿宋_GB2312" w:eastAsia="仿宋_GB2312"/>
          <w:bCs/>
          <w:spacing w:val="-4"/>
          <w:sz w:val="32"/>
          <w:szCs w:val="32"/>
          <w:lang w:val="en-US" w:eastAsia="zh-CN"/>
        </w:rPr>
        <w:t>%</w:t>
      </w:r>
      <w:r>
        <w:rPr>
          <w:rFonts w:hint="eastAsia" w:ascii="仿宋_GB2312" w:eastAsia="仿宋_GB2312"/>
          <w:bCs/>
          <w:spacing w:val="-4"/>
          <w:sz w:val="32"/>
          <w:szCs w:val="32"/>
        </w:rPr>
        <w:t>”，指标完成率为100.00%;</w:t>
      </w:r>
    </w:p>
    <w:p>
      <w:pPr>
        <w:pageBreakBefore w:val="0"/>
        <w:widowControl w:val="0"/>
        <w:kinsoku/>
        <w:wordWrap/>
        <w:overflowPunct/>
        <w:topLinePunct w:val="0"/>
        <w:autoSpaceDE/>
        <w:autoSpaceDN/>
        <w:bidi w:val="0"/>
        <w:adjustRightInd w:val="0"/>
        <w:snapToGrid w:val="0"/>
        <w:ind w:left="-560" w:leftChars="-200" w:firstLine="624" w:firstLineChars="200"/>
        <w:textAlignment w:val="auto"/>
        <w:rPr>
          <w:rFonts w:hint="eastAsia" w:ascii="仿宋_GB2312" w:eastAsia="仿宋_GB2312"/>
          <w:bCs/>
          <w:spacing w:val="-4"/>
          <w:sz w:val="32"/>
          <w:szCs w:val="32"/>
        </w:rPr>
      </w:pPr>
      <w:r>
        <w:rPr>
          <w:rFonts w:hint="eastAsia" w:ascii="仿宋_GB2312" w:eastAsia="仿宋_GB2312"/>
          <w:bCs/>
          <w:spacing w:val="-4"/>
          <w:sz w:val="32"/>
          <w:szCs w:val="32"/>
        </w:rPr>
        <w:t>““</w:t>
      </w:r>
      <w:r>
        <w:rPr>
          <w:rFonts w:hint="eastAsia" w:ascii="仿宋_GB2312" w:eastAsia="仿宋_GB2312"/>
          <w:bCs/>
          <w:spacing w:val="-4"/>
          <w:sz w:val="32"/>
          <w:szCs w:val="32"/>
          <w:lang w:eastAsia="zh-CN"/>
        </w:rPr>
        <w:t>商品服务类验收合格率</w:t>
      </w:r>
      <w:r>
        <w:rPr>
          <w:rFonts w:hint="eastAsia" w:ascii="仿宋_GB2312" w:eastAsia="仿宋_GB2312"/>
          <w:bCs/>
          <w:spacing w:val="-4"/>
          <w:sz w:val="32"/>
          <w:szCs w:val="32"/>
        </w:rPr>
        <w:t>”指标：预期指标值为“</w:t>
      </w:r>
      <w:r>
        <w:rPr>
          <w:rFonts w:hint="eastAsia" w:ascii="仿宋_GB2312" w:eastAsia="仿宋_GB2312"/>
          <w:bCs/>
          <w:spacing w:val="-4"/>
          <w:sz w:val="32"/>
          <w:szCs w:val="32"/>
          <w:lang w:val="en-US" w:eastAsia="zh-CN"/>
        </w:rPr>
        <w:t>=</w:t>
      </w:r>
      <w:r>
        <w:rPr>
          <w:rFonts w:hint="eastAsia" w:ascii="仿宋_GB2312" w:eastAsia="仿宋_GB2312"/>
          <w:bCs/>
          <w:spacing w:val="-4"/>
          <w:sz w:val="32"/>
          <w:szCs w:val="32"/>
        </w:rPr>
        <w:t>100.00”，实际完成指标值为“100.00</w:t>
      </w:r>
      <w:r>
        <w:rPr>
          <w:rFonts w:hint="eastAsia" w:ascii="仿宋_GB2312" w:eastAsia="仿宋_GB2312"/>
          <w:bCs/>
          <w:spacing w:val="-4"/>
          <w:sz w:val="32"/>
          <w:szCs w:val="32"/>
          <w:lang w:val="en-US" w:eastAsia="zh-CN"/>
        </w:rPr>
        <w:t>%</w:t>
      </w:r>
      <w:r>
        <w:rPr>
          <w:rFonts w:hint="eastAsia" w:ascii="仿宋_GB2312" w:eastAsia="仿宋_GB2312"/>
          <w:bCs/>
          <w:spacing w:val="-4"/>
          <w:sz w:val="32"/>
          <w:szCs w:val="32"/>
        </w:rPr>
        <w:t>”，指标完成率为100.00%;</w:t>
      </w:r>
    </w:p>
    <w:p>
      <w:pPr>
        <w:pageBreakBefore w:val="0"/>
        <w:widowControl w:val="0"/>
        <w:kinsoku/>
        <w:wordWrap/>
        <w:overflowPunct/>
        <w:topLinePunct w:val="0"/>
        <w:autoSpaceDE/>
        <w:autoSpaceDN/>
        <w:bidi w:val="0"/>
        <w:adjustRightInd w:val="0"/>
        <w:snapToGrid w:val="0"/>
        <w:ind w:left="-560" w:leftChars="-200" w:firstLine="624" w:firstLineChars="200"/>
        <w:textAlignment w:val="auto"/>
        <w:rPr>
          <w:rFonts w:hint="eastAsia" w:ascii="仿宋_GB2312" w:eastAsia="仿宋_GB2312"/>
          <w:bCs/>
          <w:spacing w:val="-4"/>
          <w:sz w:val="32"/>
          <w:szCs w:val="32"/>
        </w:rPr>
      </w:pPr>
      <w:r>
        <w:rPr>
          <w:rFonts w:hint="eastAsia"/>
          <w:bCs/>
          <w:spacing w:val="-4"/>
          <w:sz w:val="32"/>
          <w:szCs w:val="32"/>
          <w:lang w:eastAsia="zh-CN"/>
        </w:rPr>
        <w:t>“保障资料的整理与归档”</w:t>
      </w:r>
      <w:r>
        <w:rPr>
          <w:rFonts w:hint="eastAsia" w:ascii="仿宋_GB2312" w:eastAsia="仿宋_GB2312"/>
          <w:bCs/>
          <w:spacing w:val="-4"/>
          <w:sz w:val="32"/>
          <w:szCs w:val="32"/>
        </w:rPr>
        <w:t>指标：预期指标值为“</w:t>
      </w:r>
      <w:r>
        <w:rPr>
          <w:rFonts w:hint="eastAsia" w:ascii="仿宋_GB2312" w:eastAsia="仿宋_GB2312"/>
          <w:bCs/>
          <w:spacing w:val="-4"/>
          <w:sz w:val="32"/>
          <w:szCs w:val="32"/>
          <w:lang w:val="en-US" w:eastAsia="zh-CN"/>
        </w:rPr>
        <w:t>有效保障</w:t>
      </w:r>
      <w:r>
        <w:rPr>
          <w:rFonts w:hint="eastAsia" w:ascii="仿宋_GB2312" w:eastAsia="仿宋_GB2312"/>
          <w:bCs/>
          <w:spacing w:val="-4"/>
          <w:sz w:val="32"/>
          <w:szCs w:val="32"/>
        </w:rPr>
        <w:t>”，实际完成指标值为“</w:t>
      </w:r>
      <w:r>
        <w:rPr>
          <w:rFonts w:hint="eastAsia" w:ascii="仿宋_GB2312" w:eastAsia="仿宋_GB2312"/>
          <w:bCs/>
          <w:spacing w:val="-4"/>
          <w:sz w:val="32"/>
          <w:szCs w:val="32"/>
          <w:lang w:val="en-US" w:eastAsia="zh-CN"/>
        </w:rPr>
        <w:t>有效保障</w:t>
      </w:r>
      <w:r>
        <w:rPr>
          <w:rFonts w:hint="eastAsia" w:ascii="仿宋_GB2312" w:eastAsia="仿宋_GB2312"/>
          <w:bCs/>
          <w:spacing w:val="-4"/>
          <w:sz w:val="32"/>
          <w:szCs w:val="32"/>
        </w:rPr>
        <w:t>”，指标完成率为100.00%;</w:t>
      </w:r>
    </w:p>
    <w:p>
      <w:pPr>
        <w:pageBreakBefore w:val="0"/>
        <w:widowControl w:val="0"/>
        <w:kinsoku/>
        <w:wordWrap/>
        <w:overflowPunct/>
        <w:topLinePunct w:val="0"/>
        <w:autoSpaceDE/>
        <w:autoSpaceDN/>
        <w:bidi w:val="0"/>
        <w:adjustRightInd w:val="0"/>
        <w:snapToGrid w:val="0"/>
        <w:ind w:left="-560" w:leftChars="-200" w:firstLine="624" w:firstLineChars="200"/>
        <w:textAlignment w:val="auto"/>
        <w:rPr>
          <w:rFonts w:hint="eastAsia" w:ascii="仿宋_GB2312" w:eastAsia="仿宋_GB2312"/>
          <w:bCs/>
          <w:spacing w:val="-4"/>
          <w:sz w:val="32"/>
          <w:szCs w:val="32"/>
        </w:rPr>
      </w:pPr>
      <w:r>
        <w:rPr>
          <w:rFonts w:hint="eastAsia" w:ascii="仿宋_GB2312" w:eastAsia="仿宋_GB2312"/>
          <w:bCs/>
          <w:spacing w:val="-4"/>
          <w:sz w:val="32"/>
          <w:szCs w:val="32"/>
          <w:lang w:eastAsia="zh-CN"/>
        </w:rPr>
        <w:t>（</w:t>
      </w:r>
      <w:r>
        <w:rPr>
          <w:rFonts w:hint="eastAsia" w:ascii="仿宋_GB2312" w:eastAsia="仿宋_GB2312"/>
          <w:bCs/>
          <w:spacing w:val="-4"/>
          <w:sz w:val="32"/>
          <w:szCs w:val="32"/>
          <w:lang w:val="en-US" w:eastAsia="zh-CN"/>
        </w:rPr>
        <w:t>3</w:t>
      </w:r>
      <w:r>
        <w:rPr>
          <w:rFonts w:hint="eastAsia" w:ascii="仿宋_GB2312" w:eastAsia="仿宋_GB2312"/>
          <w:bCs/>
          <w:spacing w:val="-4"/>
          <w:sz w:val="32"/>
          <w:szCs w:val="32"/>
          <w:lang w:eastAsia="zh-CN"/>
        </w:rPr>
        <w:t>）</w:t>
      </w:r>
      <w:r>
        <w:rPr>
          <w:rFonts w:hint="eastAsia" w:ascii="仿宋_GB2312" w:eastAsia="仿宋_GB2312"/>
          <w:bCs/>
          <w:spacing w:val="-4"/>
          <w:sz w:val="32"/>
          <w:szCs w:val="32"/>
        </w:rPr>
        <w:t>时效指标</w:t>
      </w:r>
    </w:p>
    <w:p>
      <w:pPr>
        <w:pageBreakBefore w:val="0"/>
        <w:widowControl w:val="0"/>
        <w:kinsoku/>
        <w:wordWrap/>
        <w:overflowPunct/>
        <w:topLinePunct w:val="0"/>
        <w:autoSpaceDE/>
        <w:autoSpaceDN/>
        <w:bidi w:val="0"/>
        <w:adjustRightInd w:val="0"/>
        <w:snapToGrid w:val="0"/>
        <w:ind w:left="-560" w:leftChars="-200" w:firstLine="624" w:firstLineChars="200"/>
        <w:textAlignment w:val="auto"/>
        <w:rPr>
          <w:rFonts w:hint="eastAsia" w:ascii="仿宋_GB2312" w:eastAsia="仿宋_GB2312"/>
          <w:bCs/>
          <w:spacing w:val="-4"/>
          <w:sz w:val="32"/>
          <w:szCs w:val="32"/>
        </w:rPr>
      </w:pPr>
      <w:r>
        <w:rPr>
          <w:rFonts w:hint="eastAsia" w:ascii="仿宋_GB2312" w:eastAsia="仿宋_GB2312"/>
          <w:bCs/>
          <w:spacing w:val="-4"/>
          <w:sz w:val="32"/>
          <w:szCs w:val="32"/>
        </w:rPr>
        <w:t>“公用经费支付及时率”指标：预期指标值为“</w:t>
      </w:r>
      <w:r>
        <w:rPr>
          <w:rFonts w:hint="eastAsia" w:ascii="仿宋_GB2312" w:eastAsia="仿宋_GB2312"/>
          <w:bCs/>
          <w:spacing w:val="-4"/>
          <w:sz w:val="32"/>
          <w:szCs w:val="32"/>
          <w:lang w:val="en-US" w:eastAsia="zh-CN"/>
        </w:rPr>
        <w:t>=</w:t>
      </w:r>
      <w:r>
        <w:rPr>
          <w:rFonts w:hint="eastAsia" w:ascii="仿宋_GB2312" w:eastAsia="仿宋_GB2312"/>
          <w:bCs/>
          <w:spacing w:val="-4"/>
          <w:sz w:val="32"/>
          <w:szCs w:val="32"/>
        </w:rPr>
        <w:t>100.00”，实际完成指标值为“100.00</w:t>
      </w:r>
      <w:r>
        <w:rPr>
          <w:rFonts w:hint="eastAsia" w:ascii="仿宋_GB2312" w:eastAsia="仿宋_GB2312"/>
          <w:bCs/>
          <w:spacing w:val="-4"/>
          <w:sz w:val="32"/>
          <w:szCs w:val="32"/>
          <w:lang w:val="en-US" w:eastAsia="zh-CN"/>
        </w:rPr>
        <w:t>%</w:t>
      </w:r>
      <w:r>
        <w:rPr>
          <w:rFonts w:hint="eastAsia" w:ascii="仿宋_GB2312" w:eastAsia="仿宋_GB2312"/>
          <w:bCs/>
          <w:spacing w:val="-4"/>
          <w:sz w:val="32"/>
          <w:szCs w:val="32"/>
        </w:rPr>
        <w:t>”，指标完成率为</w:t>
      </w:r>
      <w:r>
        <w:rPr>
          <w:rFonts w:hint="eastAsia" w:ascii="仿宋_GB2312" w:eastAsia="仿宋_GB2312"/>
          <w:bCs/>
          <w:spacing w:val="-4"/>
          <w:sz w:val="32"/>
          <w:szCs w:val="32"/>
          <w:lang w:val="en-US" w:eastAsia="zh-CN"/>
        </w:rPr>
        <w:t>100</w:t>
      </w:r>
      <w:r>
        <w:rPr>
          <w:rFonts w:hint="eastAsia" w:ascii="仿宋_GB2312" w:eastAsia="仿宋_GB2312"/>
          <w:bCs/>
          <w:spacing w:val="-4"/>
          <w:sz w:val="32"/>
          <w:szCs w:val="32"/>
        </w:rPr>
        <w:t>%;</w:t>
      </w:r>
    </w:p>
    <w:p>
      <w:pPr>
        <w:pageBreakBefore w:val="0"/>
        <w:widowControl w:val="0"/>
        <w:kinsoku/>
        <w:wordWrap/>
        <w:overflowPunct/>
        <w:topLinePunct w:val="0"/>
        <w:autoSpaceDE/>
        <w:autoSpaceDN/>
        <w:bidi w:val="0"/>
        <w:adjustRightInd w:val="0"/>
        <w:snapToGrid w:val="0"/>
        <w:ind w:left="-560" w:leftChars="-200" w:firstLine="624" w:firstLineChars="200"/>
        <w:textAlignment w:val="auto"/>
        <w:rPr>
          <w:rFonts w:hint="eastAsia"/>
        </w:rPr>
      </w:pPr>
      <w:r>
        <w:rPr>
          <w:rFonts w:hint="eastAsia" w:ascii="仿宋_GB2312" w:eastAsia="仿宋_GB2312"/>
          <w:bCs/>
          <w:spacing w:val="-4"/>
          <w:sz w:val="32"/>
          <w:szCs w:val="32"/>
        </w:rPr>
        <w:t>“</w:t>
      </w:r>
      <w:r>
        <w:rPr>
          <w:rFonts w:hint="eastAsia" w:ascii="仿宋_GB2312" w:eastAsia="仿宋_GB2312"/>
          <w:bCs/>
          <w:spacing w:val="-4"/>
          <w:sz w:val="32"/>
          <w:szCs w:val="32"/>
          <w:lang w:eastAsia="zh-CN"/>
        </w:rPr>
        <w:t>人员经费支付及时率</w:t>
      </w:r>
      <w:r>
        <w:rPr>
          <w:rFonts w:hint="eastAsia" w:ascii="仿宋_GB2312" w:eastAsia="仿宋_GB2312"/>
          <w:bCs/>
          <w:spacing w:val="-4"/>
          <w:sz w:val="32"/>
          <w:szCs w:val="32"/>
        </w:rPr>
        <w:t>”指标：预期指标值为“</w:t>
      </w:r>
      <w:r>
        <w:rPr>
          <w:rFonts w:hint="eastAsia" w:ascii="仿宋_GB2312" w:eastAsia="仿宋_GB2312"/>
          <w:bCs/>
          <w:spacing w:val="-4"/>
          <w:sz w:val="32"/>
          <w:szCs w:val="32"/>
          <w:lang w:val="en-US" w:eastAsia="zh-CN"/>
        </w:rPr>
        <w:t>=</w:t>
      </w:r>
      <w:r>
        <w:rPr>
          <w:rFonts w:hint="eastAsia" w:ascii="仿宋_GB2312" w:eastAsia="仿宋_GB2312"/>
          <w:bCs/>
          <w:spacing w:val="-4"/>
          <w:sz w:val="32"/>
          <w:szCs w:val="32"/>
        </w:rPr>
        <w:t>100.00”，实际完成指标值为“100.00</w:t>
      </w:r>
      <w:r>
        <w:rPr>
          <w:rFonts w:hint="eastAsia" w:ascii="仿宋_GB2312" w:eastAsia="仿宋_GB2312"/>
          <w:bCs/>
          <w:spacing w:val="-4"/>
          <w:sz w:val="32"/>
          <w:szCs w:val="32"/>
          <w:lang w:val="en-US" w:eastAsia="zh-CN"/>
        </w:rPr>
        <w:t>%</w:t>
      </w:r>
      <w:r>
        <w:rPr>
          <w:rFonts w:hint="eastAsia" w:ascii="仿宋_GB2312" w:eastAsia="仿宋_GB2312"/>
          <w:bCs/>
          <w:spacing w:val="-4"/>
          <w:sz w:val="32"/>
          <w:szCs w:val="32"/>
        </w:rPr>
        <w:t>”，指标完成率为</w:t>
      </w:r>
      <w:r>
        <w:rPr>
          <w:rFonts w:hint="eastAsia" w:ascii="仿宋_GB2312" w:eastAsia="仿宋_GB2312"/>
          <w:bCs/>
          <w:spacing w:val="-4"/>
          <w:sz w:val="32"/>
          <w:szCs w:val="32"/>
          <w:lang w:val="en-US" w:eastAsia="zh-CN"/>
        </w:rPr>
        <w:t>100</w:t>
      </w:r>
      <w:r>
        <w:rPr>
          <w:rFonts w:hint="eastAsia" w:ascii="仿宋_GB2312" w:eastAsia="仿宋_GB2312"/>
          <w:bCs/>
          <w:spacing w:val="-4"/>
          <w:sz w:val="32"/>
          <w:szCs w:val="32"/>
        </w:rPr>
        <w:t>%;</w:t>
      </w:r>
    </w:p>
    <w:p>
      <w:pPr>
        <w:adjustRightInd w:val="0"/>
        <w:snapToGrid w:val="0"/>
        <w:ind w:left="-560" w:leftChars="-200" w:firstLine="624" w:firstLineChars="200"/>
        <w:rPr>
          <w:rFonts w:hint="eastAsia" w:ascii="仿宋_GB2312" w:eastAsia="仿宋_GB2312"/>
          <w:bCs/>
          <w:spacing w:val="-4"/>
          <w:sz w:val="32"/>
          <w:szCs w:val="32"/>
        </w:rPr>
      </w:pPr>
      <w:r>
        <w:rPr>
          <w:rFonts w:hint="eastAsia" w:ascii="仿宋_GB2312" w:eastAsia="仿宋_GB2312"/>
          <w:bCs/>
          <w:spacing w:val="-4"/>
          <w:sz w:val="32"/>
          <w:szCs w:val="32"/>
          <w:lang w:eastAsia="zh-CN"/>
        </w:rPr>
        <w:t>（</w:t>
      </w:r>
      <w:r>
        <w:rPr>
          <w:rFonts w:hint="eastAsia" w:ascii="仿宋_GB2312" w:eastAsia="仿宋_GB2312"/>
          <w:bCs/>
          <w:spacing w:val="-4"/>
          <w:sz w:val="32"/>
          <w:szCs w:val="32"/>
          <w:lang w:val="en-US" w:eastAsia="zh-CN"/>
        </w:rPr>
        <w:t>4</w:t>
      </w:r>
      <w:r>
        <w:rPr>
          <w:rFonts w:hint="eastAsia" w:ascii="仿宋_GB2312" w:eastAsia="仿宋_GB2312"/>
          <w:bCs/>
          <w:spacing w:val="-4"/>
          <w:sz w:val="32"/>
          <w:szCs w:val="32"/>
          <w:lang w:eastAsia="zh-CN"/>
        </w:rPr>
        <w:t>）</w:t>
      </w:r>
      <w:r>
        <w:rPr>
          <w:rFonts w:hint="eastAsia" w:ascii="仿宋_GB2312" w:eastAsia="仿宋_GB2312"/>
          <w:bCs/>
          <w:spacing w:val="-4"/>
          <w:sz w:val="32"/>
          <w:szCs w:val="32"/>
        </w:rPr>
        <w:t>成本指标</w:t>
      </w:r>
    </w:p>
    <w:p>
      <w:pPr>
        <w:adjustRightInd w:val="0"/>
        <w:snapToGrid w:val="0"/>
        <w:ind w:left="-560" w:leftChars="-200" w:firstLine="624" w:firstLineChars="200"/>
        <w:rPr>
          <w:rFonts w:hint="eastAsia" w:ascii="仿宋_GB2312" w:eastAsia="仿宋_GB2312"/>
          <w:bCs/>
          <w:spacing w:val="-4"/>
          <w:sz w:val="32"/>
          <w:szCs w:val="32"/>
        </w:rPr>
      </w:pPr>
      <w:r>
        <w:rPr>
          <w:rFonts w:hint="eastAsia" w:ascii="仿宋_GB2312" w:eastAsia="仿宋_GB2312"/>
          <w:bCs/>
          <w:spacing w:val="-4"/>
          <w:sz w:val="32"/>
          <w:szCs w:val="32"/>
        </w:rPr>
        <w:t>“人员经费支出”指标：预期指标值为“&lt;=263.68万元”，实际完成指标值为“263.68万元”，指标完成率为</w:t>
      </w:r>
      <w:r>
        <w:rPr>
          <w:rFonts w:hint="eastAsia" w:ascii="仿宋_GB2312" w:eastAsia="仿宋_GB2312"/>
          <w:bCs/>
          <w:spacing w:val="-4"/>
          <w:sz w:val="32"/>
          <w:szCs w:val="32"/>
          <w:lang w:val="en-US" w:eastAsia="zh-CN"/>
        </w:rPr>
        <w:t>100</w:t>
      </w:r>
      <w:r>
        <w:rPr>
          <w:rFonts w:hint="eastAsia" w:ascii="仿宋_GB2312" w:eastAsia="仿宋_GB2312"/>
          <w:bCs/>
          <w:spacing w:val="-4"/>
          <w:sz w:val="32"/>
          <w:szCs w:val="32"/>
        </w:rPr>
        <w:t>%;</w:t>
      </w:r>
    </w:p>
    <w:p>
      <w:pPr>
        <w:adjustRightInd w:val="0"/>
        <w:snapToGrid w:val="0"/>
        <w:ind w:left="-560" w:leftChars="-200" w:firstLine="624" w:firstLineChars="200"/>
        <w:rPr>
          <w:rFonts w:hint="eastAsia" w:ascii="仿宋_GB2312" w:eastAsia="仿宋_GB2312"/>
          <w:sz w:val="32"/>
          <w:szCs w:val="32"/>
        </w:rPr>
      </w:pPr>
      <w:r>
        <w:rPr>
          <w:rFonts w:hint="eastAsia" w:ascii="仿宋_GB2312" w:eastAsia="仿宋_GB2312"/>
          <w:bCs/>
          <w:spacing w:val="-4"/>
          <w:sz w:val="32"/>
          <w:szCs w:val="32"/>
        </w:rPr>
        <w:t>“办公经费支出”指标：预期指标值为“&lt;=53.55万元”，实际完成指标值为“53.55万元”，指标完成率为</w:t>
      </w:r>
      <w:r>
        <w:rPr>
          <w:rFonts w:hint="eastAsia" w:ascii="仿宋_GB2312" w:eastAsia="仿宋_GB2312"/>
          <w:bCs/>
          <w:spacing w:val="-4"/>
          <w:sz w:val="32"/>
          <w:szCs w:val="32"/>
          <w:lang w:val="en-US" w:eastAsia="zh-CN"/>
        </w:rPr>
        <w:t>100</w:t>
      </w:r>
      <w:r>
        <w:rPr>
          <w:rFonts w:hint="eastAsia" w:ascii="仿宋_GB2312" w:eastAsia="仿宋_GB2312"/>
          <w:bCs/>
          <w:spacing w:val="-4"/>
          <w:sz w:val="32"/>
          <w:szCs w:val="32"/>
        </w:rPr>
        <w:t>%;</w:t>
      </w:r>
    </w:p>
    <w:p>
      <w:pPr>
        <w:ind w:left="-560" w:leftChars="-200" w:firstLine="640" w:firstLineChars="200"/>
        <w:rPr>
          <w:rFonts w:hint="eastAsia" w:ascii="仿宋_GB2312" w:eastAsia="仿宋_GB2312"/>
          <w:bCs/>
          <w:spacing w:val="-4"/>
          <w:sz w:val="32"/>
          <w:szCs w:val="32"/>
        </w:rPr>
      </w:pPr>
      <w:r>
        <w:rPr>
          <w:rFonts w:hint="eastAsia" w:ascii="仿宋_GB2312" w:eastAsia="仿宋_GB2312"/>
          <w:sz w:val="32"/>
          <w:szCs w:val="32"/>
        </w:rPr>
        <w:t>2.效益指标完成情况分</w:t>
      </w:r>
      <w:r>
        <w:rPr>
          <w:rFonts w:hint="eastAsia" w:ascii="仿宋_GB2312" w:eastAsia="仿宋_GB2312"/>
          <w:bCs/>
          <w:spacing w:val="-4"/>
          <w:sz w:val="32"/>
          <w:szCs w:val="32"/>
        </w:rPr>
        <w:t>析</w:t>
      </w:r>
    </w:p>
    <w:p>
      <w:pPr>
        <w:adjustRightInd w:val="0"/>
        <w:snapToGrid w:val="0"/>
        <w:ind w:left="-560" w:leftChars="-200" w:firstLine="624" w:firstLineChars="200"/>
        <w:rPr>
          <w:rFonts w:hint="eastAsia" w:ascii="仿宋_GB2312" w:eastAsia="仿宋_GB2312"/>
          <w:bCs/>
          <w:spacing w:val="-4"/>
          <w:sz w:val="32"/>
          <w:szCs w:val="32"/>
        </w:rPr>
      </w:pPr>
      <w:r>
        <w:rPr>
          <w:rFonts w:hint="eastAsia" w:ascii="仿宋_GB2312" w:eastAsia="仿宋_GB2312"/>
          <w:bCs/>
          <w:spacing w:val="-4"/>
          <w:sz w:val="32"/>
          <w:szCs w:val="32"/>
        </w:rPr>
        <w:t>（1）经济效益</w:t>
      </w:r>
    </w:p>
    <w:p>
      <w:pPr>
        <w:adjustRightInd w:val="0"/>
        <w:snapToGrid w:val="0"/>
        <w:ind w:left="-560" w:leftChars="-200" w:firstLine="624" w:firstLineChars="200"/>
        <w:rPr>
          <w:rFonts w:hint="eastAsia" w:ascii="仿宋_GB2312" w:eastAsia="仿宋_GB2312"/>
          <w:bCs/>
          <w:spacing w:val="-4"/>
          <w:sz w:val="32"/>
          <w:szCs w:val="32"/>
        </w:rPr>
      </w:pPr>
      <w:r>
        <w:rPr>
          <w:rFonts w:hint="eastAsia" w:ascii="仿宋_GB2312" w:eastAsia="仿宋_GB2312"/>
          <w:bCs/>
          <w:spacing w:val="-4"/>
          <w:sz w:val="32"/>
          <w:szCs w:val="32"/>
        </w:rPr>
        <w:t>无此项指标</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（2）社会效益</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“保障幼儿园日常工作开展，完成教育教学活动”指标：预期指标值为“有效保障”，实际完成指标值为“有效保障”，指标完成率为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（3）生态效益</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无此项指标</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（4）可持续影响</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“保障幼儿园日常工作开展，完成教育教学活动”指标：预期指标值为“</w:t>
      </w:r>
      <w:r>
        <w:rPr>
          <w:rFonts w:hint="eastAsia" w:ascii="仿宋_GB2312" w:eastAsia="仿宋_GB2312"/>
          <w:sz w:val="32"/>
          <w:szCs w:val="32"/>
          <w:lang w:eastAsia="zh-CN"/>
        </w:rPr>
        <w:t>有效保障</w:t>
      </w:r>
      <w:r>
        <w:rPr>
          <w:rFonts w:hint="eastAsia" w:ascii="仿宋_GB2312" w:eastAsia="仿宋_GB2312"/>
          <w:sz w:val="32"/>
          <w:szCs w:val="32"/>
        </w:rPr>
        <w:t>”，实际完成指标值为“</w:t>
      </w:r>
      <w:r>
        <w:rPr>
          <w:rFonts w:hint="eastAsia" w:ascii="仿宋_GB2312" w:eastAsia="仿宋_GB2312"/>
          <w:sz w:val="32"/>
          <w:szCs w:val="32"/>
          <w:lang w:eastAsia="zh-CN"/>
        </w:rPr>
        <w:t>有效保障</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left="-560" w:leftChars="-200" w:firstLine="640" w:firstLineChars="200"/>
        <w:rPr>
          <w:rFonts w:hint="eastAsia"/>
        </w:rPr>
      </w:pPr>
      <w:r>
        <w:rPr>
          <w:rFonts w:hint="eastAsia" w:ascii="仿宋_GB2312" w:eastAsia="仿宋_GB2312"/>
          <w:sz w:val="32"/>
          <w:szCs w:val="32"/>
        </w:rPr>
        <w:t>“持续提高教育水平”指标：预期指标值为“持续提高”，实际完成指标值为“持续提高”，指标完成率为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3.满意度指标完成情况分析</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“教职工满意度”指标：预期指标值为“</w:t>
      </w:r>
      <w:r>
        <w:rPr>
          <w:rFonts w:hint="eastAsia" w:ascii="仿宋_GB2312" w:eastAsia="仿宋_GB2312"/>
          <w:sz w:val="32"/>
          <w:szCs w:val="32"/>
          <w:lang w:val="en-US" w:eastAsia="zh-CN"/>
        </w:rPr>
        <w:t>&gt;=95%</w:t>
      </w:r>
      <w:r>
        <w:rPr>
          <w:rFonts w:hint="eastAsia" w:ascii="仿宋_GB2312" w:eastAsia="仿宋_GB2312"/>
          <w:sz w:val="32"/>
          <w:szCs w:val="32"/>
        </w:rPr>
        <w:t>”，实际完成指标值为“</w:t>
      </w:r>
      <w:r>
        <w:rPr>
          <w:rFonts w:hint="eastAsia" w:ascii="仿宋_GB2312" w:eastAsia="仿宋_GB2312"/>
          <w:sz w:val="32"/>
          <w:szCs w:val="32"/>
          <w:lang w:val="en-US" w:eastAsia="zh-CN"/>
        </w:rPr>
        <w:t>95%</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p>
    <w:p>
      <w:pPr>
        <w:pStyle w:val="3"/>
        <w:ind w:left="-560" w:leftChars="-200" w:firstLine="640" w:firstLineChars="200"/>
        <w:rPr>
          <w:rFonts w:ascii="黑体" w:hAnsi="黑体"/>
          <w:b w:val="0"/>
          <w:sz w:val="32"/>
          <w:szCs w:val="32"/>
        </w:rPr>
      </w:pPr>
      <w:r>
        <w:rPr>
          <w:rFonts w:hint="eastAsia" w:ascii="黑体" w:hAnsi="黑体"/>
          <w:b w:val="0"/>
          <w:sz w:val="32"/>
          <w:szCs w:val="32"/>
        </w:rPr>
        <w:t>六、存在的主要问题</w:t>
      </w:r>
    </w:p>
    <w:p>
      <w:pPr>
        <w:pBdr>
          <w:bottom w:val="single" w:color="FFFFFF" w:sz="4" w:space="29"/>
        </w:pBdr>
        <w:adjustRightInd w:val="0"/>
        <w:snapToGrid w:val="0"/>
        <w:ind w:left="-560" w:leftChars="-200" w:firstLine="640" w:firstLineChars="200"/>
        <w:rPr>
          <w:rFonts w:hint="eastAsia"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通过绩效自评发现，一是在整体支出管理中存在问题，支出未严格按照进度执行，有拖延现象；二是通过绩效自评验证，整体支出决策仍欠科学合理，必须强化支出责任；三是预算分配仍欠规范，不能较好的实现政府财政资源的合理配置，提高财政资金使用的经济性、效率性和有效性。 </w:t>
      </w:r>
    </w:p>
    <w:p>
      <w:pPr>
        <w:pBdr>
          <w:bottom w:val="single" w:color="FFFFFF" w:sz="4" w:space="29"/>
        </w:pBdr>
        <w:adjustRightInd w:val="0"/>
        <w:snapToGrid w:val="0"/>
        <w:ind w:left="-560" w:leftChars="-200" w:firstLine="640" w:firstLineChars="200"/>
        <w:rPr>
          <w:rFonts w:hint="eastAsia" w:ascii="仿宋_GB2312" w:eastAsia="仿宋_GB2312" w:cs="宋体" w:hAnsiTheme="minorEastAsia"/>
          <w:color w:val="333333"/>
          <w:kern w:val="0"/>
          <w:sz w:val="32"/>
          <w:szCs w:val="32"/>
        </w:rPr>
      </w:pPr>
      <w:r>
        <w:rPr>
          <w:rFonts w:hint="eastAsia" w:ascii="黑体" w:hAnsi="黑体"/>
          <w:sz w:val="32"/>
          <w:szCs w:val="32"/>
        </w:rPr>
        <w:t>七、改进措施和建议</w:t>
      </w:r>
    </w:p>
    <w:p>
      <w:pPr>
        <w:pBdr>
          <w:bottom w:val="single" w:color="FFFFFF" w:sz="4" w:space="29"/>
        </w:pBdr>
        <w:adjustRightInd w:val="0"/>
        <w:snapToGrid w:val="0"/>
        <w:ind w:left="-560" w:leftChars="-200" w:firstLine="640" w:firstLineChars="200"/>
        <w:rPr>
          <w:rFonts w:ascii="仿宋_GB2312" w:eastAsia="仿宋_GB2312" w:cs="宋体" w:hAnsiTheme="minorEastAsia"/>
          <w:color w:val="333333"/>
          <w:kern w:val="0"/>
          <w:sz w:val="32"/>
          <w:szCs w:val="32"/>
        </w:rPr>
      </w:pPr>
      <w:r>
        <w:rPr>
          <w:rFonts w:hint="eastAsia" w:ascii="仿宋_GB2312" w:eastAsia="仿宋_GB2312" w:cs="宋体" w:hAnsiTheme="minorEastAsia"/>
          <w:color w:val="333333"/>
          <w:kern w:val="0"/>
          <w:sz w:val="32"/>
          <w:szCs w:val="32"/>
        </w:rPr>
        <w:t>加强预算管理，全面而科学的财务预算管理既可以使有限财力资源得到合理配置及有效利用，又有助于单位的业绩评价，促进单位各项管理制度的健全、落实及管理水平的不断提高。要把握预算编制原则，坚持量入为出、收支平衡原则，坚持统筹兼顾，突出重点原则，坚持严格计划，依法办事原则，坚持勤俭节约，讲求效益原则，认真寻求最优化的方案和目标，制定出切实可行的预算方案。在资金支付管理方面，严格按照规定程序向财政部门申请用款，建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p>
    <w:p>
      <w:pPr>
        <w:pStyle w:val="3"/>
        <w:ind w:left="-560" w:leftChars="-200" w:firstLine="640" w:firstLineChars="200"/>
        <w:rPr>
          <w:rFonts w:ascii="黑体" w:hAnsi="黑体"/>
          <w:b w:val="0"/>
          <w:sz w:val="32"/>
          <w:szCs w:val="32"/>
        </w:rPr>
      </w:pPr>
      <w:r>
        <w:rPr>
          <w:rFonts w:hint="eastAsia" w:ascii="黑体" w:hAnsi="黑体"/>
          <w:b w:val="0"/>
          <w:sz w:val="32"/>
          <w:szCs w:val="32"/>
        </w:rPr>
        <w:t>八、附表</w:t>
      </w:r>
    </w:p>
    <w:p>
      <w:pPr>
        <w:ind w:left="-560" w:leftChars="-200" w:firstLine="640" w:firstLineChars="200"/>
        <w:rPr>
          <w:rFonts w:hint="eastAsia" w:ascii="仿宋_GB2312" w:eastAsia="仿宋_GB2312"/>
          <w:sz w:val="32"/>
          <w:szCs w:val="32"/>
        </w:rPr>
      </w:pPr>
      <w:r>
        <w:rPr>
          <w:rFonts w:hint="eastAsia" w:ascii="仿宋_GB2312" w:eastAsia="仿宋_GB2312"/>
          <w:sz w:val="32"/>
          <w:szCs w:val="32"/>
        </w:rPr>
        <w:t>《部门整体支出绩效目标自评表》</w:t>
      </w:r>
    </w:p>
    <w:tbl>
      <w:tblPr>
        <w:tblW w:w="6639" w:type="pct"/>
        <w:tblInd w:w="-95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25"/>
        <w:gridCol w:w="1350"/>
        <w:gridCol w:w="671"/>
        <w:gridCol w:w="559"/>
        <w:gridCol w:w="1035"/>
        <w:gridCol w:w="240"/>
        <w:gridCol w:w="266"/>
        <w:gridCol w:w="1125"/>
        <w:gridCol w:w="619"/>
        <w:gridCol w:w="1200"/>
        <w:gridCol w:w="506"/>
        <w:gridCol w:w="592"/>
        <w:gridCol w:w="233"/>
        <w:gridCol w:w="799"/>
        <w:gridCol w:w="138"/>
        <w:gridCol w:w="90"/>
        <w:gridCol w:w="1047"/>
        <w:gridCol w:w="82"/>
        <w:gridCol w:w="164"/>
        <w:gridCol w:w="65"/>
        <w:gridCol w:w="8"/>
        <w:gridCol w:w="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After w:w="705" w:type="pct"/>
          <w:trHeight w:val="800" w:hRule="atLeast"/>
        </w:trPr>
        <w:tc>
          <w:tcPr>
            <w:tcW w:w="4294" w:type="pct"/>
            <w:gridSpan w:val="14"/>
            <w:tcBorders>
              <w:top w:val="nil"/>
              <w:left w:val="nil"/>
              <w:bottom w:val="nil"/>
              <w:right w:val="nil"/>
            </w:tcBorders>
            <w:shd w:val="clear"/>
            <w:vAlign w:val="center"/>
          </w:tcPr>
          <w:p>
            <w:pPr>
              <w:keepNext w:val="0"/>
              <w:keepLines w:val="0"/>
              <w:widowControl/>
              <w:suppressLineNumbers w:val="0"/>
              <w:jc w:val="left"/>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After w:w="705" w:type="pct"/>
          <w:trHeight w:val="680" w:hRule="atLeast"/>
        </w:trPr>
        <w:tc>
          <w:tcPr>
            <w:tcW w:w="4294" w:type="pct"/>
            <w:gridSpan w:val="14"/>
            <w:tcBorders>
              <w:top w:val="nil"/>
              <w:left w:val="nil"/>
              <w:bottom w:val="single" w:color="000000" w:sz="4" w:space="0"/>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After w:w="705" w:type="pct"/>
          <w:trHeight w:val="540" w:hRule="atLeast"/>
        </w:trPr>
        <w:tc>
          <w:tcPr>
            <w:tcW w:w="82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66" w:type="pct"/>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昌吉市三工镇中心幼儿园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After w:w="705" w:type="pct"/>
          <w:trHeight w:val="560" w:hRule="atLeast"/>
        </w:trPr>
        <w:tc>
          <w:tcPr>
            <w:tcW w:w="23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5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543"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451" w:type="pct"/>
            <w:gridSpan w:val="5"/>
            <w:tcBorders>
              <w:top w:val="single" w:color="000000" w:sz="4" w:space="0"/>
              <w:left w:val="nil"/>
              <w:bottom w:val="nil"/>
              <w:right w:val="nil"/>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471" w:type="pct"/>
            <w:gridSpan w:val="5"/>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84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88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530" w:type="pct"/>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941" w:type="pct"/>
            <w:gridSpan w:val="4"/>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ind w:left="0" w:leftChars="0" w:right="81" w:rightChars="29"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70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保障学校各项人员经费</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保障学校各项人员工资、社保等经费。</w:t>
            </w:r>
          </w:p>
        </w:tc>
        <w:tc>
          <w:tcPr>
            <w:tcW w:w="4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63.68</w:t>
            </w:r>
          </w:p>
        </w:tc>
        <w:tc>
          <w:tcPr>
            <w:tcW w:w="1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263.68</w:t>
            </w:r>
          </w:p>
        </w:tc>
        <w:tc>
          <w:tcPr>
            <w:tcW w:w="88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30" w:type="pct"/>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301.77</w:t>
            </w:r>
          </w:p>
        </w:tc>
        <w:tc>
          <w:tcPr>
            <w:tcW w:w="941" w:type="pct"/>
            <w:gridSpan w:val="4"/>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301.77</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54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保障学校办公经费</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商品服务类支出</w:t>
            </w:r>
          </w:p>
        </w:tc>
        <w:tc>
          <w:tcPr>
            <w:tcW w:w="4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3.55</w:t>
            </w:r>
          </w:p>
        </w:tc>
        <w:tc>
          <w:tcPr>
            <w:tcW w:w="1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3.55</w:t>
            </w:r>
          </w:p>
        </w:tc>
        <w:tc>
          <w:tcPr>
            <w:tcW w:w="88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30" w:type="pct"/>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60.56</w:t>
            </w:r>
          </w:p>
        </w:tc>
        <w:tc>
          <w:tcPr>
            <w:tcW w:w="941" w:type="pct"/>
            <w:gridSpan w:val="4"/>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60.56</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After w:w="705" w:type="pct"/>
          <w:trHeight w:val="54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543" w:type="pct"/>
            <w:gridSpan w:val="2"/>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317.23</w:t>
            </w:r>
          </w:p>
        </w:tc>
        <w:tc>
          <w:tcPr>
            <w:tcW w:w="56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17.23</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62.33</w:t>
            </w:r>
          </w:p>
        </w:tc>
        <w:tc>
          <w:tcPr>
            <w:tcW w:w="58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362.33</w:t>
            </w:r>
          </w:p>
        </w:tc>
        <w:tc>
          <w:tcPr>
            <w:tcW w:w="3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After w:w="705" w:type="pct"/>
          <w:trHeight w:val="465" w:hRule="atLeast"/>
        </w:trPr>
        <w:tc>
          <w:tcPr>
            <w:tcW w:w="23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1139"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922" w:type="pct"/>
            <w:gridSpan w:val="10"/>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8"/>
          <w:wAfter w:w="705" w:type="pct"/>
          <w:trHeight w:val="174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39"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三工镇中心幼儿园为昌吉市教育局下属的事业单位，担负教育教学职能，规范教学常规管理，细化管理措施。2022年度预算317.23万元，经费主要支出方向为人员经费263.68万元及商品服务类支出53.55万元，保障办公人员17人，房屋建筑物供暖面积1620平方米，以此确保机构正常运转，完成正常的教育教学活动。精准施策，全面提升教学质量，维护校园安全稳定，同时能够建设一支既有专业知识又能教书育人的高质量教师队伍。</w:t>
            </w:r>
          </w:p>
        </w:tc>
        <w:tc>
          <w:tcPr>
            <w:tcW w:w="2922" w:type="pct"/>
            <w:gridSpan w:val="10"/>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昌吉市三工真中心幼儿园2022年执行预算422.89万元，保障学生人数278人，执行公用经费60.56万元，保障教职工数量17人，使教职工满意度达95%。有效保障学校正常运转，提高了教育教学水平。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780" w:hRule="atLeast"/>
        </w:trPr>
        <w:tc>
          <w:tcPr>
            <w:tcW w:w="23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年度度绩效指标完成情况</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2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92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102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2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92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=17.00人</w:t>
            </w:r>
          </w:p>
        </w:tc>
        <w:tc>
          <w:tcPr>
            <w:tcW w:w="102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17人</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2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92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房屋建筑物供暖面积</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=1620.00㎡</w:t>
            </w:r>
          </w:p>
        </w:tc>
        <w:tc>
          <w:tcPr>
            <w:tcW w:w="102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1620㎡</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2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92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组织教师集中教研培训次数</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=1.00次</w:t>
            </w:r>
          </w:p>
        </w:tc>
        <w:tc>
          <w:tcPr>
            <w:tcW w:w="102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1次</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2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92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保障学生人数</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=278.00人</w:t>
            </w:r>
          </w:p>
        </w:tc>
        <w:tc>
          <w:tcPr>
            <w:tcW w:w="102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278人</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5"/>
          <w:wAfter w:w="142"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2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92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每年安全大检查次数</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=1.00次</w:t>
            </w:r>
          </w:p>
        </w:tc>
        <w:tc>
          <w:tcPr>
            <w:tcW w:w="102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1次</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56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1"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restart"/>
            <w:tcBorders>
              <w:top w:val="single" w:color="000000" w:sz="4" w:space="0"/>
              <w:left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公用经费使用合规率</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2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0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商品及服务类验收合格率</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2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705" w:type="pct"/>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1"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保障资料的整理与归档</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有效保障</w:t>
            </w:r>
          </w:p>
        </w:tc>
        <w:tc>
          <w:tcPr>
            <w:tcW w:w="2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0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1"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2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0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1"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人员经费支付及时率</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2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70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1"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人员经费支出</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&lt;=263.68万元</w:t>
            </w:r>
          </w:p>
        </w:tc>
        <w:tc>
          <w:tcPr>
            <w:tcW w:w="2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=301.77万元</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0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1"/>
          <w:wAfter w:w="1"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办公经费支出</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&lt;=53.55万元</w:t>
            </w:r>
          </w:p>
        </w:tc>
        <w:tc>
          <w:tcPr>
            <w:tcW w:w="2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=60.56万元</w:t>
            </w:r>
          </w:p>
        </w:tc>
        <w:tc>
          <w:tcPr>
            <w:tcW w:w="71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70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3"/>
          <w:wAfter w:w="33"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56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8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25"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3"/>
          <w:wAfter w:w="33"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4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56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保障幼儿园日常工作开展，完成教育教学活动</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有效保障</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有效保障</w:t>
            </w:r>
          </w:p>
        </w:tc>
        <w:tc>
          <w:tcPr>
            <w:tcW w:w="58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1025" w:type="pct"/>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2"/>
          <w:wAfter w:w="4"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8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1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39" w:type="pct"/>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4"/>
          <w:wAfter w:w="106"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110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持续影响指标</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持续提高教育水平</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持续提</w:t>
            </w:r>
            <w:bookmarkStart w:id="0" w:name="_GoBack"/>
            <w:bookmarkEnd w:id="0"/>
            <w:r>
              <w:rPr>
                <w:rFonts w:hint="eastAsia" w:ascii="宋体" w:hAnsi="宋体" w:eastAsia="宋体" w:cs="宋体"/>
                <w:i w:val="0"/>
                <w:iCs w:val="0"/>
                <w:color w:val="000000"/>
                <w:kern w:val="0"/>
                <w:sz w:val="22"/>
                <w:szCs w:val="22"/>
                <w:u w:val="none"/>
                <w:bdr w:val="none" w:color="auto" w:sz="0" w:space="0"/>
                <w:lang w:val="en-US" w:eastAsia="zh-CN" w:bidi="ar"/>
              </w:rPr>
              <w:t>高</w:t>
            </w:r>
          </w:p>
        </w:tc>
        <w:tc>
          <w:tcPr>
            <w:tcW w:w="48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55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gridAfter w:val="4"/>
          <w:wAfter w:w="106" w:type="pct"/>
          <w:trHeight w:val="880" w:hRule="atLeast"/>
        </w:trPr>
        <w:tc>
          <w:tcPr>
            <w:tcW w:w="231"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eastAsia" w:ascii="宋体" w:hAnsi="宋体" w:eastAsia="宋体" w:cs="宋体"/>
                <w:i w:val="0"/>
                <w:iCs w:val="0"/>
                <w:color w:val="000000"/>
                <w:sz w:val="22"/>
                <w:szCs w:val="22"/>
                <w:u w:val="none"/>
              </w:rPr>
            </w:pP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10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1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学校职工满意度</w:t>
            </w:r>
          </w:p>
        </w:tc>
        <w:tc>
          <w:tcPr>
            <w:tcW w:w="803"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48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w:t>
            </w:r>
          </w:p>
        </w:tc>
        <w:tc>
          <w:tcPr>
            <w:tcW w:w="55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bl>
    <w:p>
      <w:pPr>
        <w:pStyle w:val="2"/>
        <w:ind w:left="-560" w:leftChars="-200" w:firstLine="562" w:firstLineChars="200"/>
      </w:pPr>
    </w:p>
    <w:p>
      <w:pPr>
        <w:ind w:left="-560" w:leftChars="-200" w:firstLine="560" w:firstLineChars="200"/>
      </w:pPr>
    </w:p>
    <w:p>
      <w:pPr>
        <w:pStyle w:val="2"/>
        <w:ind w:left="-560" w:leftChars="-200" w:firstLine="562" w:firstLineChars="20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altName w:val="Malgun Gothic"/>
    <w:panose1 w:val="00000000000000000000"/>
    <w:charset w:val="80"/>
    <w:family w:val="swiss"/>
    <w:pitch w:val="default"/>
    <w:sig w:usb0="00000000" w:usb1="00000000" w:usb2="00000012" w:usb3="00000000" w:csb0="203E01BD" w:csb1="D7FF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2</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rPr>
        <w:rFonts w:hint="eastAsia" w:eastAsia="仿宋"/>
        <w:lang w:val="en-US" w:eastAsia="zh-CN"/>
      </w:rPr>
    </w:pPr>
    <w:r>
      <w:rPr>
        <w:rFonts w:hint="eastAsia"/>
        <w:lang w:val="en-US"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B7AFB3F"/>
    <w:multiLevelType w:val="singleLevel"/>
    <w:tmpl w:val="FB7AFB3F"/>
    <w:lvl w:ilvl="0" w:tentative="0">
      <w:start w:val="2"/>
      <w:numFmt w:val="decimal"/>
      <w:suff w:val="nothing"/>
      <w:lvlText w:val="%1."/>
      <w:lvlJc w:val="left"/>
    </w:lvl>
  </w:abstractNum>
  <w:abstractNum w:abstractNumId="3">
    <w:nsid w:val="225C8922"/>
    <w:multiLevelType w:val="singleLevel"/>
    <w:tmpl w:val="225C8922"/>
    <w:lvl w:ilvl="0" w:tentative="0">
      <w:start w:val="1"/>
      <w:numFmt w:val="decimal"/>
      <w:suff w:val="space"/>
      <w:lvlText w:val="%1."/>
      <w:lvlJc w:val="left"/>
    </w:lvl>
  </w:abstractNum>
  <w:abstractNum w:abstractNumId="4">
    <w:nsid w:val="282FBCCD"/>
    <w:multiLevelType w:val="singleLevel"/>
    <w:tmpl w:val="282FBCCD"/>
    <w:lvl w:ilvl="0" w:tentative="0">
      <w:start w:val="3"/>
      <w:numFmt w:val="chineseCounting"/>
      <w:suff w:val="nothing"/>
      <w:lvlText w:val="（%1）"/>
      <w:lvlJc w:val="left"/>
      <w:rPr>
        <w:rFonts w:hint="eastAsia"/>
      </w:rPr>
    </w:lvl>
  </w:abstractNum>
  <w:abstractNum w:abstractNumId="5">
    <w:nsid w:val="2DF647DA"/>
    <w:multiLevelType w:val="singleLevel"/>
    <w:tmpl w:val="2DF647DA"/>
    <w:lvl w:ilvl="0" w:tentative="0">
      <w:start w:val="1"/>
      <w:numFmt w:val="chineseCounting"/>
      <w:suff w:val="nothing"/>
      <w:lvlText w:val="（%1）"/>
      <w:lvlJc w:val="left"/>
      <w:pPr>
        <w:ind w:left="0" w:firstLine="420"/>
      </w:pPr>
      <w:rPr>
        <w:rFonts w:hint="eastAsia"/>
        <w:lang w:val="en-US"/>
      </w:rPr>
    </w:lvl>
  </w:abstractNum>
  <w:abstractNum w:abstractNumId="6">
    <w:nsid w:val="7389C226"/>
    <w:multiLevelType w:val="singleLevel"/>
    <w:tmpl w:val="7389C226"/>
    <w:lvl w:ilvl="0" w:tentative="0">
      <w:start w:val="3"/>
      <w:numFmt w:val="chineseCounting"/>
      <w:suff w:val="nothing"/>
      <w:lvlText w:val="%1、"/>
      <w:lvlJc w:val="left"/>
      <w:rPr>
        <w:rFonts w:hint="eastAsia"/>
      </w:rPr>
    </w:lvl>
  </w:abstractNum>
  <w:num w:numId="1">
    <w:abstractNumId w:val="2"/>
  </w:num>
  <w:num w:numId="2">
    <w:abstractNumId w:val="4"/>
  </w:num>
  <w:num w:numId="3">
    <w:abstractNumId w:val="3"/>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DJmZjRiYWI0MjMyZGUzNTIxZGQ4ZDVhODg3ZTUifQ=="/>
  </w:docVars>
  <w:rsids>
    <w:rsidRoot w:val="00172A27"/>
    <w:rsid w:val="00012408"/>
    <w:rsid w:val="000127F0"/>
    <w:rsid w:val="00012F5F"/>
    <w:rsid w:val="001278B1"/>
    <w:rsid w:val="00201A4A"/>
    <w:rsid w:val="002153DD"/>
    <w:rsid w:val="00251883"/>
    <w:rsid w:val="002640E4"/>
    <w:rsid w:val="00266868"/>
    <w:rsid w:val="003B184C"/>
    <w:rsid w:val="003F473D"/>
    <w:rsid w:val="00455E2F"/>
    <w:rsid w:val="00485980"/>
    <w:rsid w:val="004A781C"/>
    <w:rsid w:val="004D4927"/>
    <w:rsid w:val="004E4CA7"/>
    <w:rsid w:val="0050467C"/>
    <w:rsid w:val="005736CA"/>
    <w:rsid w:val="005A124E"/>
    <w:rsid w:val="005D3F17"/>
    <w:rsid w:val="005E5D6E"/>
    <w:rsid w:val="005F7A93"/>
    <w:rsid w:val="00601640"/>
    <w:rsid w:val="00617C63"/>
    <w:rsid w:val="00667DF9"/>
    <w:rsid w:val="00722410"/>
    <w:rsid w:val="00761E44"/>
    <w:rsid w:val="0077571A"/>
    <w:rsid w:val="007A1B0F"/>
    <w:rsid w:val="007B6305"/>
    <w:rsid w:val="008A09A7"/>
    <w:rsid w:val="008A1C5E"/>
    <w:rsid w:val="008C7C4E"/>
    <w:rsid w:val="008D5E7B"/>
    <w:rsid w:val="0090615A"/>
    <w:rsid w:val="00931A42"/>
    <w:rsid w:val="009443DA"/>
    <w:rsid w:val="00961F8B"/>
    <w:rsid w:val="0097049B"/>
    <w:rsid w:val="009B0396"/>
    <w:rsid w:val="009D6347"/>
    <w:rsid w:val="009E68A2"/>
    <w:rsid w:val="00A52573"/>
    <w:rsid w:val="00A7110C"/>
    <w:rsid w:val="00A720BD"/>
    <w:rsid w:val="00A85EC6"/>
    <w:rsid w:val="00A87301"/>
    <w:rsid w:val="00A95478"/>
    <w:rsid w:val="00AE0359"/>
    <w:rsid w:val="00B00384"/>
    <w:rsid w:val="00B40102"/>
    <w:rsid w:val="00BC7E1D"/>
    <w:rsid w:val="00BE6BDD"/>
    <w:rsid w:val="00C11C70"/>
    <w:rsid w:val="00C5695F"/>
    <w:rsid w:val="00CA0283"/>
    <w:rsid w:val="00CA22DB"/>
    <w:rsid w:val="00CD147B"/>
    <w:rsid w:val="00D2747D"/>
    <w:rsid w:val="00D34758"/>
    <w:rsid w:val="00D55C53"/>
    <w:rsid w:val="00D81057"/>
    <w:rsid w:val="00D816FD"/>
    <w:rsid w:val="00D8792A"/>
    <w:rsid w:val="00DB3723"/>
    <w:rsid w:val="00DC7874"/>
    <w:rsid w:val="00E01113"/>
    <w:rsid w:val="00E122EB"/>
    <w:rsid w:val="00E65EF1"/>
    <w:rsid w:val="00E76F6F"/>
    <w:rsid w:val="00EA0F2D"/>
    <w:rsid w:val="00EC0F88"/>
    <w:rsid w:val="00F15D8E"/>
    <w:rsid w:val="00FA49CF"/>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55D05"/>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D41897"/>
    <w:rsid w:val="1AE12836"/>
    <w:rsid w:val="1AE925F4"/>
    <w:rsid w:val="1B234950"/>
    <w:rsid w:val="1B2706B9"/>
    <w:rsid w:val="1B421E7E"/>
    <w:rsid w:val="1B64461F"/>
    <w:rsid w:val="1B6B7B31"/>
    <w:rsid w:val="1B9C3AE1"/>
    <w:rsid w:val="1C0E12CD"/>
    <w:rsid w:val="1C3C0819"/>
    <w:rsid w:val="1C3F49F5"/>
    <w:rsid w:val="1C5A6A79"/>
    <w:rsid w:val="1C603202"/>
    <w:rsid w:val="1C9A0200"/>
    <w:rsid w:val="1CCE5055"/>
    <w:rsid w:val="1CD529D6"/>
    <w:rsid w:val="1DEB6607"/>
    <w:rsid w:val="1DED007E"/>
    <w:rsid w:val="1DFB6F14"/>
    <w:rsid w:val="1E075A75"/>
    <w:rsid w:val="1E47773B"/>
    <w:rsid w:val="1E4B6E86"/>
    <w:rsid w:val="1EFF2733"/>
    <w:rsid w:val="1F0539AE"/>
    <w:rsid w:val="1F7D50C8"/>
    <w:rsid w:val="1F893367"/>
    <w:rsid w:val="1FCB3375"/>
    <w:rsid w:val="1FE173B4"/>
    <w:rsid w:val="1FE72E58"/>
    <w:rsid w:val="200667A3"/>
    <w:rsid w:val="20173A7C"/>
    <w:rsid w:val="203B1607"/>
    <w:rsid w:val="20783813"/>
    <w:rsid w:val="20971A06"/>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5D0BDF"/>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6708D"/>
    <w:rsid w:val="286B4689"/>
    <w:rsid w:val="289F2164"/>
    <w:rsid w:val="28B60026"/>
    <w:rsid w:val="29350CD3"/>
    <w:rsid w:val="29784CA5"/>
    <w:rsid w:val="29B80C93"/>
    <w:rsid w:val="29BB20D2"/>
    <w:rsid w:val="29D44C7C"/>
    <w:rsid w:val="29F33C34"/>
    <w:rsid w:val="2A380298"/>
    <w:rsid w:val="2A7B46E1"/>
    <w:rsid w:val="2A886FA9"/>
    <w:rsid w:val="2A8A07EF"/>
    <w:rsid w:val="2AC64A60"/>
    <w:rsid w:val="2C085CD5"/>
    <w:rsid w:val="2C5033C5"/>
    <w:rsid w:val="2C5C6A3E"/>
    <w:rsid w:val="2C757BAF"/>
    <w:rsid w:val="2C8606C5"/>
    <w:rsid w:val="2C8C2E69"/>
    <w:rsid w:val="2C974E3D"/>
    <w:rsid w:val="2D07338F"/>
    <w:rsid w:val="2D7C3A6A"/>
    <w:rsid w:val="2DB93477"/>
    <w:rsid w:val="2DF65048"/>
    <w:rsid w:val="2E165B2D"/>
    <w:rsid w:val="2E4E5407"/>
    <w:rsid w:val="2E9C69DA"/>
    <w:rsid w:val="2EE84ED3"/>
    <w:rsid w:val="2F047E61"/>
    <w:rsid w:val="2F062134"/>
    <w:rsid w:val="2F21289E"/>
    <w:rsid w:val="2F8507EF"/>
    <w:rsid w:val="2F912F13"/>
    <w:rsid w:val="2FE029D7"/>
    <w:rsid w:val="30315A18"/>
    <w:rsid w:val="308C4C8C"/>
    <w:rsid w:val="30A14448"/>
    <w:rsid w:val="31121DE6"/>
    <w:rsid w:val="31793EC1"/>
    <w:rsid w:val="31F242FB"/>
    <w:rsid w:val="31F82192"/>
    <w:rsid w:val="32025E0E"/>
    <w:rsid w:val="32031EA3"/>
    <w:rsid w:val="321C166B"/>
    <w:rsid w:val="322F7438"/>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232E22"/>
    <w:rsid w:val="3A3453FF"/>
    <w:rsid w:val="3A5C0A17"/>
    <w:rsid w:val="3A8248E0"/>
    <w:rsid w:val="3AF76DD0"/>
    <w:rsid w:val="3B1D07BC"/>
    <w:rsid w:val="3B447872"/>
    <w:rsid w:val="3B474B41"/>
    <w:rsid w:val="3B8D4322"/>
    <w:rsid w:val="3B9508B7"/>
    <w:rsid w:val="3BA8766F"/>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B82622"/>
    <w:rsid w:val="45E33D03"/>
    <w:rsid w:val="46357E21"/>
    <w:rsid w:val="46751144"/>
    <w:rsid w:val="46D17A2C"/>
    <w:rsid w:val="470109B9"/>
    <w:rsid w:val="47067546"/>
    <w:rsid w:val="474801E9"/>
    <w:rsid w:val="477232C8"/>
    <w:rsid w:val="478C46CC"/>
    <w:rsid w:val="47AF67A7"/>
    <w:rsid w:val="47B339B4"/>
    <w:rsid w:val="47CB1091"/>
    <w:rsid w:val="48035F02"/>
    <w:rsid w:val="4860434A"/>
    <w:rsid w:val="489D725F"/>
    <w:rsid w:val="48D908C8"/>
    <w:rsid w:val="490010A1"/>
    <w:rsid w:val="493537CF"/>
    <w:rsid w:val="49460D45"/>
    <w:rsid w:val="4A74195A"/>
    <w:rsid w:val="4A7A3D76"/>
    <w:rsid w:val="4A8B6AB4"/>
    <w:rsid w:val="4A9F3033"/>
    <w:rsid w:val="4AAE190E"/>
    <w:rsid w:val="4AE70AB8"/>
    <w:rsid w:val="4B607B71"/>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9968BE"/>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932FCA"/>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6D409B"/>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1136F"/>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671FD"/>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left="1060"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Char"/>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Char"/>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17</Pages>
  <Words>5854</Words>
  <Characters>6505</Characters>
  <Lines>45</Lines>
  <Paragraphs>12</Paragraphs>
  <TotalTime>6</TotalTime>
  <ScaleCrop>false</ScaleCrop>
  <LinksUpToDate>false</LinksUpToDate>
  <CharactersWithSpaces>6536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张鹏</cp:lastModifiedBy>
  <dcterms:modified xsi:type="dcterms:W3CDTF">2023-02-17T11:01:36Z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BDFF103CFA3A4BC1B30A2A3AC208C234</vt:lpwstr>
  </property>
</Properties>
</file>