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ind w:firstLine="560"/>
        <w:rPr>
          <w:rFonts w:ascii="华文中宋" w:hAnsi="华文中宋" w:eastAsia="华文中宋" w:cs="宋体"/>
          <w:b/>
          <w:kern w:val="0"/>
          <w:sz w:val="52"/>
          <w:szCs w:val="52"/>
        </w:rPr>
      </w:pPr>
      <w:r>
        <w:rPr>
          <w:rFonts w:hint="eastAsia"/>
        </w:rPr>
        <w:br w:type="textWrapping"/>
      </w:r>
    </w:p>
    <w:p>
      <w:pPr>
        <w:ind w:firstLine="1041"/>
        <w:rPr>
          <w:rFonts w:ascii="华文中宋" w:hAnsi="华文中宋" w:eastAsia="华文中宋" w:cs="宋体"/>
          <w:b/>
          <w:kern w:val="0"/>
          <w:sz w:val="52"/>
          <w:szCs w:val="52"/>
        </w:rPr>
      </w:pPr>
    </w:p>
    <w:p>
      <w:pPr>
        <w:ind w:firstLine="0" w:firstLineChars="0"/>
        <w:jc w:val="center"/>
        <w:rPr>
          <w:rFonts w:ascii="华文中宋" w:hAnsi="华文中宋" w:eastAsia="华文中宋" w:cs="宋体"/>
          <w:b/>
          <w:kern w:val="0"/>
          <w:sz w:val="52"/>
          <w:szCs w:val="52"/>
        </w:rPr>
      </w:pPr>
    </w:p>
    <w:p>
      <w:pPr>
        <w:spacing w:line="600" w:lineRule="exact"/>
        <w:ind w:firstLine="0" w:firstLineChars="0"/>
        <w:jc w:val="center"/>
        <w:rPr>
          <w:rFonts w:hint="eastAsia" w:ascii="方正小标宋_GBK" w:hAnsi="华文中宋" w:eastAsia="方正小标宋_GBK" w:cs="宋体"/>
          <w:kern w:val="0"/>
          <w:sz w:val="48"/>
          <w:szCs w:val="48"/>
        </w:rPr>
      </w:pPr>
      <w:r>
        <w:rPr>
          <w:rFonts w:hint="eastAsia" w:ascii="方正小标宋_GBK" w:hAnsi="华文中宋" w:eastAsia="方正小标宋_GBK" w:cs="宋体"/>
          <w:kern w:val="0"/>
          <w:sz w:val="48"/>
          <w:szCs w:val="48"/>
          <w:lang w:eastAsia="zh-CN"/>
        </w:rPr>
        <w:t>昌吉市园林绿化管理中心</w:t>
      </w:r>
      <w:r>
        <w:rPr>
          <w:rFonts w:hint="eastAsia" w:ascii="方正小标宋_GBK" w:hAnsi="华文中宋" w:eastAsia="方正小标宋_GBK" w:cs="宋体"/>
          <w:kern w:val="0"/>
          <w:sz w:val="48"/>
          <w:szCs w:val="48"/>
        </w:rPr>
        <w:t>整体支出</w:t>
      </w:r>
    </w:p>
    <w:p>
      <w:pPr>
        <w:spacing w:line="600" w:lineRule="exact"/>
        <w:ind w:firstLine="0" w:firstLineChars="0"/>
        <w:jc w:val="center"/>
        <w:rPr>
          <w:rFonts w:ascii="方正小标宋_GBK" w:hAnsi="华文中宋" w:eastAsia="方正小标宋_GBK" w:cs="宋体"/>
          <w:kern w:val="0"/>
          <w:sz w:val="48"/>
          <w:szCs w:val="48"/>
        </w:rPr>
      </w:pPr>
      <w:r>
        <w:rPr>
          <w:rFonts w:hint="eastAsia" w:ascii="方正小标宋_GBK" w:hAnsi="华文中宋" w:eastAsia="方正小标宋_GBK" w:cs="宋体"/>
          <w:kern w:val="0"/>
          <w:sz w:val="48"/>
          <w:szCs w:val="48"/>
        </w:rPr>
        <w:t>绩效自评报告</w:t>
      </w:r>
    </w:p>
    <w:p>
      <w:pPr>
        <w:ind w:firstLine="0" w:firstLineChars="0"/>
        <w:jc w:val="center"/>
        <w:rPr>
          <w:rFonts w:ascii="华文中宋" w:hAnsi="华文中宋" w:eastAsia="华文中宋" w:cs="宋体"/>
          <w:b/>
          <w:kern w:val="0"/>
          <w:sz w:val="52"/>
          <w:szCs w:val="52"/>
        </w:rPr>
      </w:pPr>
    </w:p>
    <w:p>
      <w:pPr>
        <w:ind w:firstLine="0" w:firstLineChars="0"/>
        <w:jc w:val="center"/>
        <w:rPr>
          <w:rFonts w:ascii="仿宋_GB2312" w:hAnsi="宋体" w:eastAsia="仿宋_GB2312" w:cs="宋体"/>
          <w:kern w:val="0"/>
          <w:sz w:val="36"/>
          <w:szCs w:val="36"/>
        </w:rPr>
      </w:pPr>
      <w:r>
        <w:rPr>
          <w:rFonts w:hint="eastAsia" w:ascii="仿宋_GB2312" w:hAnsi="宋体" w:eastAsia="仿宋_GB2312" w:cs="宋体"/>
          <w:kern w:val="0"/>
          <w:sz w:val="36"/>
          <w:szCs w:val="36"/>
        </w:rPr>
        <w:t>（202</w:t>
      </w:r>
      <w:r>
        <w:rPr>
          <w:rFonts w:hint="eastAsia" w:ascii="仿宋_GB2312" w:hAnsi="宋体" w:eastAsia="仿宋_GB2312" w:cs="宋体"/>
          <w:kern w:val="0"/>
          <w:sz w:val="36"/>
          <w:szCs w:val="36"/>
          <w:lang w:val="en-US" w:eastAsia="zh-CN"/>
        </w:rPr>
        <w:t>2</w:t>
      </w:r>
      <w:r>
        <w:rPr>
          <w:rFonts w:hint="eastAsia" w:ascii="仿宋_GB2312" w:hAnsi="宋体" w:eastAsia="仿宋_GB2312" w:cs="宋体"/>
          <w:kern w:val="0"/>
          <w:sz w:val="36"/>
          <w:szCs w:val="36"/>
        </w:rPr>
        <w:t>年度</w:t>
      </w:r>
      <w:r>
        <w:rPr>
          <w:rFonts w:hint="eastAsia" w:ascii="仿宋_GB2312" w:hAnsi="Malgun Gothic Semilight" w:eastAsia="仿宋_GB2312" w:cs="Malgun Gothic Semilight"/>
          <w:kern w:val="0"/>
          <w:sz w:val="36"/>
          <w:szCs w:val="36"/>
        </w:rPr>
        <w:t>）</w:t>
      </w:r>
    </w:p>
    <w:p>
      <w:pPr>
        <w:ind w:firstLine="600"/>
        <w:jc w:val="center"/>
        <w:rPr>
          <w:rFonts w:hAnsi="宋体" w:eastAsia="仿宋_GB2312" w:cs="宋体"/>
          <w:kern w:val="0"/>
          <w:sz w:val="30"/>
          <w:szCs w:val="30"/>
        </w:rPr>
      </w:pPr>
    </w:p>
    <w:p>
      <w:pPr>
        <w:spacing w:line="540" w:lineRule="exact"/>
        <w:ind w:firstLine="600"/>
        <w:jc w:val="center"/>
        <w:rPr>
          <w:rFonts w:hAnsi="宋体" w:eastAsia="仿宋_GB2312" w:cs="宋体"/>
          <w:kern w:val="0"/>
          <w:sz w:val="30"/>
          <w:szCs w:val="30"/>
        </w:rPr>
      </w:pPr>
    </w:p>
    <w:p>
      <w:pPr>
        <w:spacing w:line="540" w:lineRule="exact"/>
        <w:ind w:firstLine="720"/>
        <w:jc w:val="center"/>
        <w:rPr>
          <w:rFonts w:ascii="方正小标宋_GBK" w:hAnsi="宋体" w:eastAsia="方正小标宋_GBK" w:cs="宋体"/>
          <w:kern w:val="0"/>
          <w:sz w:val="36"/>
          <w:szCs w:val="36"/>
        </w:rPr>
      </w:pPr>
    </w:p>
    <w:p>
      <w:pPr>
        <w:spacing w:line="540" w:lineRule="exact"/>
        <w:ind w:firstLine="720"/>
        <w:jc w:val="center"/>
        <w:rPr>
          <w:rFonts w:ascii="方正小标宋_GBK" w:hAnsi="宋体" w:eastAsia="方正小标宋_GBK" w:cs="宋体"/>
          <w:kern w:val="0"/>
          <w:sz w:val="36"/>
          <w:szCs w:val="36"/>
        </w:rPr>
      </w:pPr>
    </w:p>
    <w:p>
      <w:pPr>
        <w:spacing w:line="540" w:lineRule="exact"/>
        <w:ind w:firstLine="600"/>
        <w:jc w:val="center"/>
        <w:rPr>
          <w:rFonts w:hAnsi="宋体" w:eastAsia="仿宋_GB2312" w:cs="宋体"/>
          <w:kern w:val="0"/>
          <w:sz w:val="30"/>
          <w:szCs w:val="30"/>
        </w:rPr>
      </w:pPr>
    </w:p>
    <w:p>
      <w:pPr>
        <w:spacing w:line="540" w:lineRule="exact"/>
        <w:ind w:firstLine="600"/>
        <w:jc w:val="center"/>
        <w:rPr>
          <w:rFonts w:hAnsi="宋体" w:eastAsia="仿宋_GB2312" w:cs="宋体"/>
          <w:kern w:val="0"/>
          <w:sz w:val="30"/>
          <w:szCs w:val="30"/>
        </w:rPr>
      </w:pPr>
    </w:p>
    <w:p>
      <w:pPr>
        <w:spacing w:line="540" w:lineRule="exact"/>
        <w:ind w:firstLine="600"/>
        <w:rPr>
          <w:rFonts w:hAnsi="宋体" w:eastAsia="仿宋_GB2312" w:cs="宋体"/>
          <w:kern w:val="0"/>
          <w:sz w:val="30"/>
          <w:szCs w:val="30"/>
        </w:rPr>
      </w:pPr>
    </w:p>
    <w:p>
      <w:pPr>
        <w:spacing w:line="700" w:lineRule="exact"/>
        <w:ind w:firstLine="720"/>
        <w:jc w:val="left"/>
        <w:rPr>
          <w:rFonts w:hAnsi="宋体" w:eastAsia="仿宋_GB2312" w:cs="宋体"/>
          <w:kern w:val="0"/>
          <w:sz w:val="36"/>
          <w:szCs w:val="36"/>
        </w:rPr>
      </w:pPr>
    </w:p>
    <w:p>
      <w:pPr>
        <w:spacing w:line="600" w:lineRule="exact"/>
        <w:ind w:left="4677" w:leftChars="256" w:hanging="3960" w:hangingChars="1100"/>
        <w:rPr>
          <w:rFonts w:hint="eastAsia" w:ascii="黑体" w:hAnsi="黑体" w:eastAsia="黑体" w:cs="黑体"/>
          <w:bCs/>
          <w:sz w:val="36"/>
          <w:szCs w:val="36"/>
          <w:lang w:eastAsia="zh-CN"/>
        </w:rPr>
      </w:pPr>
      <w:r>
        <w:rPr>
          <w:rFonts w:hint="eastAsia" w:ascii="黑体" w:hAnsi="黑体" w:eastAsia="黑体" w:cs="黑体"/>
          <w:bCs/>
          <w:sz w:val="36"/>
          <w:szCs w:val="36"/>
        </w:rPr>
        <w:t>部门单位名称（公章）：</w:t>
      </w:r>
      <w:r>
        <w:rPr>
          <w:rFonts w:hint="eastAsia" w:ascii="黑体" w:hAnsi="黑体" w:eastAsia="黑体" w:cs="黑体"/>
          <w:bCs/>
          <w:sz w:val="36"/>
          <w:szCs w:val="36"/>
          <w:lang w:eastAsia="zh-CN"/>
        </w:rPr>
        <w:t>昌吉市园林绿化管理中心</w:t>
      </w:r>
    </w:p>
    <w:p>
      <w:pPr>
        <w:spacing w:line="600" w:lineRule="exact"/>
        <w:ind w:firstLine="720"/>
        <w:rPr>
          <w:rFonts w:ascii="黑体" w:hAnsi="黑体" w:eastAsia="黑体" w:cs="黑体"/>
          <w:bCs/>
          <w:sz w:val="36"/>
          <w:szCs w:val="36"/>
        </w:rPr>
      </w:pPr>
      <w:r>
        <w:rPr>
          <w:rFonts w:hint="eastAsia" w:ascii="黑体" w:hAnsi="黑体" w:eastAsia="黑体" w:cs="黑体"/>
          <w:bCs/>
          <w:sz w:val="36"/>
          <w:szCs w:val="36"/>
        </w:rPr>
        <w:t xml:space="preserve">填报时间： </w:t>
      </w:r>
      <w:r>
        <w:rPr>
          <w:rFonts w:hint="eastAsia" w:ascii="黑体" w:hAnsi="黑体" w:eastAsia="黑体" w:cs="黑体"/>
          <w:bCs/>
          <w:sz w:val="36"/>
          <w:szCs w:val="36"/>
          <w:lang w:val="en-US" w:eastAsia="zh-CN"/>
        </w:rPr>
        <w:t>2023</w:t>
      </w:r>
      <w:r>
        <w:rPr>
          <w:rFonts w:hint="eastAsia" w:ascii="黑体" w:hAnsi="黑体" w:eastAsia="黑体" w:cs="黑体"/>
          <w:bCs/>
          <w:sz w:val="36"/>
          <w:szCs w:val="36"/>
        </w:rPr>
        <w:t xml:space="preserve"> 年</w:t>
      </w:r>
      <w:r>
        <w:rPr>
          <w:rFonts w:hint="eastAsia" w:ascii="黑体" w:hAnsi="黑体" w:eastAsia="黑体" w:cs="黑体"/>
          <w:bCs/>
          <w:sz w:val="36"/>
          <w:szCs w:val="36"/>
          <w:lang w:val="en-US" w:eastAsia="zh-CN"/>
        </w:rPr>
        <w:t>2</w:t>
      </w:r>
      <w:r>
        <w:rPr>
          <w:rFonts w:hint="eastAsia" w:ascii="黑体" w:hAnsi="黑体" w:eastAsia="黑体" w:cs="黑体"/>
          <w:bCs/>
          <w:sz w:val="36"/>
          <w:szCs w:val="36"/>
        </w:rPr>
        <w:t xml:space="preserve"> 月 </w:t>
      </w:r>
      <w:r>
        <w:rPr>
          <w:rFonts w:hint="eastAsia" w:ascii="黑体" w:hAnsi="黑体" w:eastAsia="黑体" w:cs="黑体"/>
          <w:bCs/>
          <w:sz w:val="36"/>
          <w:szCs w:val="36"/>
          <w:lang w:val="en-US" w:eastAsia="zh-CN"/>
        </w:rPr>
        <w:t>15</w:t>
      </w:r>
      <w:r>
        <w:rPr>
          <w:rFonts w:hint="eastAsia" w:ascii="黑体" w:hAnsi="黑体" w:eastAsia="黑体" w:cs="黑体"/>
          <w:bCs/>
          <w:sz w:val="36"/>
          <w:szCs w:val="36"/>
        </w:rPr>
        <w:t>日</w:t>
      </w:r>
    </w:p>
    <w:p>
      <w:pPr>
        <w:spacing w:line="700" w:lineRule="exact"/>
        <w:ind w:firstLine="849" w:firstLineChars="236"/>
        <w:jc w:val="left"/>
        <w:rPr>
          <w:rFonts w:hAnsi="宋体" w:eastAsia="仿宋_GB2312" w:cs="宋体"/>
          <w:kern w:val="0"/>
          <w:sz w:val="36"/>
          <w:szCs w:val="36"/>
        </w:rPr>
      </w:pPr>
    </w:p>
    <w:p>
      <w:pPr>
        <w:ind w:firstLine="560"/>
      </w:pPr>
    </w:p>
    <w:p>
      <w:pPr>
        <w:ind w:firstLine="560"/>
      </w:pPr>
      <w:r>
        <w:rPr>
          <w:rFonts w:hint="eastAsia"/>
        </w:rPr>
        <w:br w:type="page"/>
      </w:r>
    </w:p>
    <w:p>
      <w:pPr>
        <w:pStyle w:val="3"/>
        <w:ind w:firstLine="640"/>
        <w:rPr>
          <w:rFonts w:ascii="黑体" w:hAnsi="黑体"/>
          <w:b w:val="0"/>
          <w:sz w:val="32"/>
          <w:szCs w:val="32"/>
        </w:rPr>
      </w:pPr>
      <w:r>
        <w:rPr>
          <w:rFonts w:hint="eastAsia" w:ascii="黑体" w:hAnsi="黑体"/>
          <w:b w:val="0"/>
          <w:sz w:val="32"/>
          <w:szCs w:val="32"/>
        </w:rPr>
        <w:t>一、基本概况</w:t>
      </w:r>
    </w:p>
    <w:p>
      <w:pPr>
        <w:pStyle w:val="4"/>
        <w:ind w:firstLine="640"/>
        <w:rPr>
          <w:rFonts w:ascii="楷体_GB2312" w:eastAsia="楷体_GB2312"/>
          <w:szCs w:val="32"/>
        </w:rPr>
      </w:pPr>
      <w:r>
        <w:rPr>
          <w:rFonts w:hint="eastAsia" w:ascii="楷体_GB2312" w:eastAsia="楷体_GB2312"/>
          <w:szCs w:val="32"/>
        </w:rPr>
        <w:t>（一）单位基本情况</w:t>
      </w:r>
    </w:p>
    <w:p>
      <w:pPr>
        <w:ind w:firstLine="640"/>
        <w:rPr>
          <w:rFonts w:ascii="仿宋_GB2312" w:eastAsia="仿宋_GB2312"/>
          <w:b/>
          <w:bCs/>
          <w:sz w:val="32"/>
          <w:szCs w:val="32"/>
        </w:rPr>
      </w:pPr>
      <w:r>
        <w:rPr>
          <w:rFonts w:hint="eastAsia" w:ascii="仿宋_GB2312" w:eastAsia="仿宋_GB2312"/>
          <w:b/>
          <w:bCs/>
          <w:sz w:val="32"/>
          <w:szCs w:val="32"/>
        </w:rPr>
        <w:t>1.机构设置及人员情况</w:t>
      </w:r>
    </w:p>
    <w:p>
      <w:pPr>
        <w:numPr>
          <w:ilvl w:val="0"/>
          <w:numId w:val="0"/>
        </w:numPr>
        <w:snapToGrid w:val="0"/>
        <w:spacing w:line="520" w:lineRule="exact"/>
        <w:ind w:firstLine="640" w:firstLineChars="200"/>
        <w:rPr>
          <w:rFonts w:ascii="仿宋_GB2312" w:hAnsi="宋体" w:eastAsia="仿宋_GB2312" w:cs="宋体"/>
          <w:kern w:val="0"/>
          <w:sz w:val="32"/>
          <w:szCs w:val="32"/>
        </w:rPr>
      </w:pPr>
      <w:r>
        <w:rPr>
          <w:rFonts w:hint="eastAsia" w:ascii="仿宋_GB2312" w:hAnsi="黑体" w:eastAsia="仿宋_GB2312" w:cs="宋体"/>
          <w:bCs/>
          <w:kern w:val="0"/>
          <w:sz w:val="32"/>
          <w:szCs w:val="32"/>
          <w:lang w:eastAsia="zh-CN"/>
        </w:rPr>
        <w:t>昌吉市园林绿化管理中心</w:t>
      </w:r>
      <w:r>
        <w:rPr>
          <w:rFonts w:hint="eastAsia" w:ascii="仿宋_GB2312" w:hAnsi="黑体" w:eastAsia="仿宋_GB2312" w:cs="宋体"/>
          <w:bCs/>
          <w:kern w:val="0"/>
          <w:sz w:val="32"/>
          <w:szCs w:val="32"/>
        </w:rPr>
        <w:t>无下属预算单位，下设</w:t>
      </w:r>
      <w:r>
        <w:rPr>
          <w:rFonts w:hint="eastAsia" w:ascii="仿宋_GB2312" w:hAnsi="黑体" w:eastAsia="仿宋_GB2312" w:cs="宋体"/>
          <w:bCs/>
          <w:kern w:val="0"/>
          <w:sz w:val="32"/>
          <w:szCs w:val="32"/>
          <w:lang w:val="en-US" w:eastAsia="zh-CN"/>
        </w:rPr>
        <w:t>8</w:t>
      </w:r>
      <w:r>
        <w:rPr>
          <w:rFonts w:hint="eastAsia" w:ascii="仿宋_GB2312" w:hAnsi="黑体" w:eastAsia="仿宋_GB2312" w:cs="宋体"/>
          <w:bCs/>
          <w:kern w:val="0"/>
          <w:sz w:val="32"/>
          <w:szCs w:val="32"/>
        </w:rPr>
        <w:t>个处室，分别是：</w:t>
      </w:r>
      <w:r>
        <w:rPr>
          <w:rFonts w:hint="eastAsia" w:ascii="仿宋_GB2312" w:hAnsi="仿宋" w:eastAsia="仿宋_GB2312"/>
          <w:sz w:val="32"/>
          <w:szCs w:val="32"/>
          <w:lang w:val="en-US" w:eastAsia="zh-CN"/>
        </w:rPr>
        <w:t>综合办、组织宣传科、计划财务科、养护管理科、庭院科、合同预算审计科、工程科、材料科：10个养护站所，分别是：</w:t>
      </w:r>
      <w:r>
        <w:rPr>
          <w:rFonts w:hint="default" w:ascii="仿宋_GB2312" w:hAnsi="仿宋" w:eastAsia="仿宋_GB2312"/>
          <w:sz w:val="32"/>
          <w:szCs w:val="32"/>
          <w:lang w:val="en-US" w:eastAsia="zh-CN"/>
        </w:rPr>
        <w:t>312</w:t>
      </w:r>
      <w:r>
        <w:rPr>
          <w:rFonts w:hint="eastAsia" w:ascii="仿宋_GB2312" w:hAnsi="仿宋" w:eastAsia="仿宋_GB2312"/>
          <w:sz w:val="32"/>
          <w:szCs w:val="32"/>
          <w:lang w:val="en-US" w:eastAsia="zh-CN"/>
        </w:rPr>
        <w:t>廊道管理所、绿化北所、屯河南所、绿化南所、新区管理所、森林公园、植保站、</w:t>
      </w:r>
      <w:r>
        <w:rPr>
          <w:rFonts w:hint="eastAsia" w:ascii="仿宋_GB2312" w:eastAsia="仿宋_GB2312"/>
          <w:sz w:val="32"/>
          <w:szCs w:val="32"/>
          <w:lang w:val="en-US" w:eastAsia="zh-CN"/>
        </w:rPr>
        <w:t>修剪队</w:t>
      </w:r>
      <w:r>
        <w:rPr>
          <w:rFonts w:hint="eastAsia" w:ascii="仿宋_GB2312" w:hAnsi="仿宋" w:eastAsia="仿宋_GB2312"/>
          <w:sz w:val="32"/>
          <w:szCs w:val="32"/>
          <w:lang w:val="en-US" w:eastAsia="zh-CN"/>
        </w:rPr>
        <w:t>、科研所、苗圃管理所。</w:t>
      </w:r>
    </w:p>
    <w:p>
      <w:pPr>
        <w:numPr>
          <w:ilvl w:val="0"/>
          <w:numId w:val="0"/>
        </w:numPr>
        <w:snapToGrid w:val="0"/>
        <w:spacing w:line="520" w:lineRule="exact"/>
        <w:ind w:leftChars="200"/>
        <w:jc w:val="left"/>
        <w:rPr>
          <w:rFonts w:hint="eastAsia" w:ascii="仿宋_GB2312" w:hAnsi="仿宋" w:eastAsia="仿宋_GB2312"/>
          <w:sz w:val="32"/>
          <w:szCs w:val="32"/>
          <w:lang w:val="en-US" w:eastAsia="zh-CN"/>
        </w:rPr>
      </w:pPr>
      <w:r>
        <w:rPr>
          <w:rFonts w:hint="eastAsia" w:ascii="仿宋_GB2312" w:hAnsi="仿宋" w:eastAsia="仿宋_GB2312"/>
          <w:sz w:val="32"/>
          <w:szCs w:val="32"/>
          <w:lang w:val="en-US" w:eastAsia="zh-CN"/>
        </w:rPr>
        <w:t>园林中心核定事业编制人员135人，实有人数</w:t>
      </w:r>
      <w:r>
        <w:rPr>
          <w:rFonts w:hint="default" w:ascii="仿宋_GB2312" w:hAnsi="仿宋" w:eastAsia="仿宋_GB2312"/>
          <w:sz w:val="32"/>
          <w:szCs w:val="32"/>
          <w:lang w:val="en-US" w:eastAsia="zh-CN"/>
        </w:rPr>
        <w:t>124</w:t>
      </w:r>
      <w:r>
        <w:rPr>
          <w:rFonts w:hint="eastAsia" w:ascii="仿宋_GB2312" w:hAnsi="仿宋" w:eastAsia="仿宋_GB2312"/>
          <w:sz w:val="32"/>
          <w:szCs w:val="32"/>
          <w:lang w:val="en-US" w:eastAsia="zh-CN"/>
        </w:rPr>
        <w:t>人，</w:t>
      </w:r>
    </w:p>
    <w:p>
      <w:pPr>
        <w:numPr>
          <w:ilvl w:val="0"/>
          <w:numId w:val="0"/>
        </w:numPr>
        <w:snapToGrid w:val="0"/>
        <w:spacing w:line="520" w:lineRule="exact"/>
        <w:jc w:val="left"/>
        <w:rPr>
          <w:rFonts w:hint="eastAsia" w:ascii="仿宋_GB2312" w:hAnsi="仿宋" w:eastAsia="仿宋_GB2312"/>
          <w:sz w:val="32"/>
          <w:szCs w:val="32"/>
          <w:lang w:val="en-US" w:eastAsia="zh-CN"/>
        </w:rPr>
      </w:pPr>
      <w:r>
        <w:rPr>
          <w:rFonts w:hint="eastAsia" w:ascii="仿宋_GB2312" w:hAnsi="仿宋" w:eastAsia="仿宋_GB2312"/>
          <w:sz w:val="32"/>
          <w:szCs w:val="32"/>
          <w:lang w:val="en-US" w:eastAsia="zh-CN"/>
        </w:rPr>
        <w:t>其中：调入1人，退休4人，调出1人，辞职1人，在职去世1人。</w:t>
      </w:r>
    </w:p>
    <w:p>
      <w:pPr>
        <w:numPr>
          <w:ilvl w:val="0"/>
          <w:numId w:val="1"/>
        </w:numPr>
        <w:ind w:firstLine="640"/>
        <w:rPr>
          <w:rFonts w:ascii="仿宋_GB2312" w:eastAsia="仿宋_GB2312"/>
          <w:b/>
          <w:bCs/>
          <w:sz w:val="32"/>
          <w:szCs w:val="32"/>
        </w:rPr>
      </w:pPr>
      <w:r>
        <w:rPr>
          <w:rFonts w:hint="eastAsia" w:ascii="仿宋_GB2312" w:eastAsia="仿宋_GB2312"/>
          <w:b/>
          <w:bCs/>
          <w:sz w:val="32"/>
          <w:szCs w:val="32"/>
        </w:rPr>
        <w:t>主要职能</w:t>
      </w:r>
    </w:p>
    <w:p>
      <w:pPr>
        <w:ind w:firstLine="640" w:firstLineChars="200"/>
        <w:rPr>
          <w:rFonts w:hint="eastAsia" w:ascii="仿宋_GB2312" w:eastAsia="仿宋_GB2312"/>
          <w:sz w:val="32"/>
          <w:szCs w:val="32"/>
        </w:rPr>
      </w:pPr>
      <w:r>
        <w:rPr>
          <w:rFonts w:hint="eastAsia" w:ascii="仿宋_GB2312" w:eastAsia="仿宋_GB2312"/>
          <w:sz w:val="32"/>
          <w:szCs w:val="32"/>
        </w:rPr>
        <w:t>昌吉市园林绿化管理中心属于公益二类事业机构。我中心经费实行财政差额拨款预算管理，核定事业编制135名，隶属于昌吉市城市管理局。根据机构改革方案，本单位承担的职能共4项，具体是：</w:t>
      </w:r>
    </w:p>
    <w:p>
      <w:pPr>
        <w:rPr>
          <w:rFonts w:hint="eastAsia" w:ascii="仿宋_GB2312" w:eastAsia="仿宋_GB2312"/>
          <w:sz w:val="32"/>
          <w:szCs w:val="32"/>
        </w:rPr>
      </w:pPr>
      <w:r>
        <w:rPr>
          <w:rFonts w:hint="eastAsia" w:ascii="仿宋_GB2312" w:eastAsia="仿宋_GB2312"/>
          <w:sz w:val="32"/>
          <w:szCs w:val="32"/>
          <w:lang w:eastAsia="zh-CN"/>
        </w:rPr>
        <w:t>（</w:t>
      </w:r>
      <w:r>
        <w:rPr>
          <w:rFonts w:hint="eastAsia" w:ascii="仿宋_GB2312" w:eastAsia="仿宋_GB2312"/>
          <w:sz w:val="32"/>
          <w:szCs w:val="32"/>
          <w:lang w:val="en-US" w:eastAsia="zh-CN"/>
        </w:rPr>
        <w:t>1）</w:t>
      </w:r>
      <w:r>
        <w:rPr>
          <w:rFonts w:hint="eastAsia" w:ascii="仿宋_GB2312" w:eastAsia="仿宋_GB2312"/>
          <w:sz w:val="32"/>
          <w:szCs w:val="32"/>
        </w:rPr>
        <w:t>主要负责已完工的城市园林绿化养护与管理工作。</w:t>
      </w:r>
    </w:p>
    <w:p>
      <w:pPr>
        <w:ind w:firstLine="640" w:firstLineChars="200"/>
        <w:rPr>
          <w:rFonts w:hint="eastAsia" w:ascii="仿宋_GB2312" w:eastAsia="仿宋_GB2312"/>
          <w:sz w:val="32"/>
          <w:szCs w:val="32"/>
        </w:rPr>
      </w:pPr>
      <w:r>
        <w:rPr>
          <w:rFonts w:hint="eastAsia" w:ascii="仿宋_GB2312" w:eastAsia="仿宋_GB2312"/>
          <w:sz w:val="32"/>
          <w:szCs w:val="32"/>
          <w:lang w:eastAsia="zh-CN"/>
        </w:rPr>
        <w:t>（</w:t>
      </w:r>
      <w:r>
        <w:rPr>
          <w:rFonts w:hint="eastAsia" w:ascii="仿宋_GB2312" w:eastAsia="仿宋_GB2312"/>
          <w:sz w:val="32"/>
          <w:szCs w:val="32"/>
          <w:lang w:val="en-US" w:eastAsia="zh-CN"/>
        </w:rPr>
        <w:t>2）</w:t>
      </w:r>
      <w:r>
        <w:rPr>
          <w:rFonts w:hint="eastAsia" w:ascii="仿宋_GB2312" w:eastAsia="仿宋_GB2312"/>
          <w:sz w:val="32"/>
          <w:szCs w:val="32"/>
        </w:rPr>
        <w:t>负责拟定城市园林绿化事业发展规划、计划。</w:t>
      </w:r>
    </w:p>
    <w:p>
      <w:pPr>
        <w:ind w:firstLine="640" w:firstLineChars="200"/>
        <w:rPr>
          <w:rFonts w:hint="eastAsia" w:ascii="仿宋_GB2312" w:eastAsia="仿宋_GB2312"/>
          <w:sz w:val="32"/>
          <w:szCs w:val="32"/>
        </w:rPr>
      </w:pPr>
      <w:r>
        <w:rPr>
          <w:rFonts w:hint="eastAsia" w:ascii="仿宋_GB2312" w:eastAsia="仿宋_GB2312"/>
          <w:sz w:val="32"/>
          <w:szCs w:val="32"/>
          <w:lang w:eastAsia="zh-CN"/>
        </w:rPr>
        <w:t>（</w:t>
      </w:r>
      <w:r>
        <w:rPr>
          <w:rFonts w:hint="eastAsia" w:ascii="仿宋_GB2312" w:eastAsia="仿宋_GB2312"/>
          <w:sz w:val="32"/>
          <w:szCs w:val="32"/>
          <w:lang w:val="en-US" w:eastAsia="zh-CN"/>
        </w:rPr>
        <w:t>3）</w:t>
      </w:r>
      <w:r>
        <w:rPr>
          <w:rFonts w:hint="eastAsia" w:ascii="仿宋_GB2312" w:eastAsia="仿宋_GB2312"/>
          <w:sz w:val="32"/>
          <w:szCs w:val="32"/>
        </w:rPr>
        <w:t>负责指导城市园林绿化资源利用。</w:t>
      </w:r>
    </w:p>
    <w:p>
      <w:pPr>
        <w:ind w:firstLine="640" w:firstLineChars="200"/>
        <w:rPr>
          <w:sz w:val="32"/>
        </w:rPr>
      </w:pPr>
      <w:r>
        <w:rPr>
          <w:rFonts w:hint="eastAsia" w:ascii="仿宋_GB2312" w:eastAsia="仿宋_GB2312"/>
          <w:sz w:val="32"/>
          <w:szCs w:val="32"/>
          <w:lang w:eastAsia="zh-CN"/>
        </w:rPr>
        <w:t>（</w:t>
      </w:r>
      <w:r>
        <w:rPr>
          <w:rFonts w:hint="eastAsia" w:ascii="仿宋_GB2312" w:eastAsia="仿宋_GB2312"/>
          <w:sz w:val="32"/>
          <w:szCs w:val="32"/>
          <w:lang w:val="en-US" w:eastAsia="zh-CN"/>
        </w:rPr>
        <w:t>4）</w:t>
      </w:r>
      <w:r>
        <w:rPr>
          <w:rFonts w:hint="eastAsia" w:ascii="仿宋_GB2312" w:eastAsia="仿宋_GB2312"/>
          <w:sz w:val="32"/>
          <w:szCs w:val="32"/>
        </w:rPr>
        <w:t>负责城市庭院单位、小区绿化竣工验收，达标单位的验收、复审工作。</w:t>
      </w:r>
    </w:p>
    <w:p>
      <w:pPr>
        <w:numPr>
          <w:ilvl w:val="0"/>
          <w:numId w:val="1"/>
        </w:numPr>
        <w:ind w:firstLine="640"/>
        <w:rPr>
          <w:rFonts w:ascii="仿宋_GB2312" w:eastAsia="仿宋_GB2312"/>
          <w:b/>
          <w:bCs/>
          <w:sz w:val="32"/>
          <w:szCs w:val="32"/>
        </w:rPr>
      </w:pPr>
      <w:r>
        <w:rPr>
          <w:rFonts w:hint="eastAsia" w:ascii="仿宋_GB2312" w:eastAsia="仿宋_GB2312"/>
          <w:b/>
          <w:bCs/>
          <w:sz w:val="32"/>
          <w:szCs w:val="32"/>
        </w:rPr>
        <w:t>年度重点工作计划</w:t>
      </w:r>
    </w:p>
    <w:p>
      <w:pPr>
        <w:spacing w:line="560" w:lineRule="exact"/>
        <w:ind w:firstLine="640" w:firstLineChars="200"/>
        <w:rPr>
          <w:rFonts w:ascii="仿宋GB2312" w:hAnsi="仿宋GB2312" w:eastAsia="仿宋GB2312" w:cs="仿宋GB2312"/>
          <w:sz w:val="32"/>
          <w:szCs w:val="32"/>
        </w:rPr>
      </w:pPr>
      <w:r>
        <w:rPr>
          <w:rFonts w:hint="eastAsia" w:ascii="仿宋GB2312" w:hAnsi="仿宋GB2312" w:eastAsia="仿宋GB2312" w:cs="仿宋GB2312"/>
          <w:sz w:val="32"/>
          <w:szCs w:val="32"/>
        </w:rPr>
        <w:t>（1）加快推进道路绿化提质改造，完善道路绿化功能。</w:t>
      </w:r>
    </w:p>
    <w:p>
      <w:pPr>
        <w:spacing w:line="560" w:lineRule="exact"/>
        <w:ind w:firstLine="640" w:firstLineChars="200"/>
        <w:rPr>
          <w:rFonts w:ascii="仿宋GB2312" w:hAnsi="仿宋GB2312" w:eastAsia="仿宋GB2312" w:cs="仿宋GB2312"/>
          <w:sz w:val="32"/>
          <w:szCs w:val="32"/>
        </w:rPr>
      </w:pPr>
      <w:r>
        <w:rPr>
          <w:rFonts w:hint="eastAsia" w:ascii="仿宋GB2312" w:hAnsi="仿宋GB2312" w:eastAsia="仿宋GB2312" w:cs="仿宋GB2312"/>
          <w:sz w:val="32"/>
          <w:szCs w:val="32"/>
        </w:rPr>
        <w:t>（2）狠抓裸露土地摸底及整治，助力蓝天保卫战。</w:t>
      </w:r>
    </w:p>
    <w:p>
      <w:pPr>
        <w:spacing w:line="560" w:lineRule="exact"/>
        <w:ind w:firstLine="640" w:firstLineChars="200"/>
        <w:rPr>
          <w:rFonts w:ascii="仿宋GB2312" w:hAnsi="仿宋GB2312" w:eastAsia="仿宋GB2312" w:cs="仿宋GB2312"/>
          <w:sz w:val="32"/>
          <w:szCs w:val="32"/>
        </w:rPr>
      </w:pPr>
      <w:r>
        <w:rPr>
          <w:rFonts w:hint="eastAsia" w:ascii="仿宋GB2312" w:hAnsi="仿宋GB2312" w:eastAsia="仿宋GB2312" w:cs="仿宋GB2312"/>
          <w:sz w:val="32"/>
          <w:szCs w:val="32"/>
        </w:rPr>
        <w:t>（3）继续抓好花卉景观布置，不断提升城市品味和特色。</w:t>
      </w:r>
    </w:p>
    <w:p>
      <w:pPr>
        <w:spacing w:line="560" w:lineRule="exact"/>
        <w:ind w:firstLine="640" w:firstLineChars="200"/>
        <w:rPr>
          <w:rFonts w:ascii="仿宋GB2312" w:hAnsi="仿宋GB2312" w:eastAsia="仿宋GB2312" w:cs="仿宋GB2312"/>
          <w:sz w:val="32"/>
          <w:szCs w:val="32"/>
        </w:rPr>
      </w:pPr>
      <w:r>
        <w:rPr>
          <w:rFonts w:hint="eastAsia" w:ascii="仿宋GB2312" w:hAnsi="仿宋GB2312" w:eastAsia="仿宋GB2312" w:cs="仿宋GB2312"/>
          <w:sz w:val="32"/>
          <w:szCs w:val="32"/>
        </w:rPr>
        <w:t>（4）围绕国家园林城市复审工作，提升城市绿地精细化管理水平。</w:t>
      </w:r>
    </w:p>
    <w:p>
      <w:pPr>
        <w:spacing w:line="560" w:lineRule="exact"/>
        <w:ind w:firstLine="640" w:firstLineChars="200"/>
        <w:rPr>
          <w:rFonts w:ascii="仿宋_GB2312" w:eastAsia="仿宋_GB2312"/>
          <w:sz w:val="32"/>
          <w:szCs w:val="32"/>
        </w:rPr>
      </w:pPr>
      <w:r>
        <w:rPr>
          <w:rFonts w:hint="eastAsia" w:ascii="仿宋GB2312" w:hAnsi="仿宋GB2312" w:eastAsia="仿宋GB2312" w:cs="仿宋GB2312"/>
          <w:sz w:val="32"/>
          <w:szCs w:val="32"/>
        </w:rPr>
        <w:t>（5）加强庭院绿化的建设与管理，提高庭院绿化景观档次。</w:t>
      </w:r>
    </w:p>
    <w:p>
      <w:pPr>
        <w:pStyle w:val="4"/>
        <w:tabs>
          <w:tab w:val="left" w:pos="6195"/>
        </w:tabs>
        <w:ind w:firstLine="640"/>
        <w:rPr>
          <w:rFonts w:ascii="楷体_GB2312" w:eastAsia="楷体_GB2312"/>
          <w:szCs w:val="32"/>
        </w:rPr>
      </w:pPr>
      <w:r>
        <w:rPr>
          <w:rFonts w:hint="eastAsia" w:ascii="楷体_GB2312" w:eastAsia="楷体_GB2312"/>
          <w:szCs w:val="32"/>
        </w:rPr>
        <w:t>（二）单位决策机制</w:t>
      </w:r>
      <w:r>
        <w:rPr>
          <w:rFonts w:ascii="楷体_GB2312" w:eastAsia="楷体_GB2312"/>
          <w:szCs w:val="32"/>
        </w:rPr>
        <w:tab/>
      </w:r>
    </w:p>
    <w:p>
      <w:pPr>
        <w:ind w:firstLine="640" w:firstLineChars="200"/>
        <w:jc w:val="left"/>
        <w:rPr>
          <w:rFonts w:hint="eastAsia" w:ascii="仿宋_GB2312" w:eastAsia="仿宋_GB2312"/>
          <w:color w:val="auto"/>
          <w:sz w:val="32"/>
          <w:szCs w:val="32"/>
          <w:lang w:eastAsia="zh-CN"/>
        </w:rPr>
      </w:pPr>
      <w:r>
        <w:rPr>
          <w:rFonts w:hint="eastAsia" w:ascii="仿宋_GB2312" w:eastAsia="仿宋_GB2312"/>
          <w:color w:val="auto"/>
          <w:sz w:val="32"/>
          <w:szCs w:val="32"/>
          <w:lang w:eastAsia="zh-CN"/>
        </w:rPr>
        <w:t>昌吉市园林绿化管理中心</w:t>
      </w:r>
      <w:r>
        <w:rPr>
          <w:rFonts w:hint="eastAsia" w:ascii="仿宋_GB2312" w:eastAsia="仿宋_GB2312"/>
          <w:color w:val="auto"/>
          <w:sz w:val="32"/>
          <w:szCs w:val="32"/>
        </w:rPr>
        <w:t>决策机制根据行政事业单位内部控制体系建设相关要求，逐步完善《</w:t>
      </w:r>
      <w:r>
        <w:rPr>
          <w:rFonts w:hint="eastAsia" w:ascii="仿宋_GB2312" w:eastAsia="仿宋_GB2312"/>
          <w:color w:val="auto"/>
          <w:sz w:val="32"/>
          <w:szCs w:val="32"/>
          <w:lang w:eastAsia="zh-CN"/>
        </w:rPr>
        <w:t>昌吉市园林绿化管理中心</w:t>
      </w:r>
      <w:r>
        <w:rPr>
          <w:rFonts w:hint="eastAsia" w:ascii="仿宋_GB2312" w:eastAsia="仿宋_GB2312"/>
          <w:color w:val="auto"/>
          <w:sz w:val="32"/>
          <w:szCs w:val="32"/>
        </w:rPr>
        <w:t>党</w:t>
      </w:r>
      <w:r>
        <w:rPr>
          <w:rFonts w:hint="eastAsia" w:ascii="仿宋_GB2312" w:eastAsia="仿宋_GB2312"/>
          <w:color w:val="auto"/>
          <w:sz w:val="32"/>
          <w:szCs w:val="32"/>
          <w:lang w:eastAsia="zh-CN"/>
        </w:rPr>
        <w:t>总支会议</w:t>
      </w:r>
      <w:r>
        <w:rPr>
          <w:rFonts w:hint="eastAsia" w:ascii="仿宋_GB2312" w:eastAsia="仿宋_GB2312"/>
          <w:color w:val="auto"/>
          <w:sz w:val="32"/>
          <w:szCs w:val="32"/>
        </w:rPr>
        <w:t>议事规则》、《三重一大会议制度》</w:t>
      </w:r>
      <w:r>
        <w:rPr>
          <w:rFonts w:hint="eastAsia" w:ascii="仿宋_GB2312" w:eastAsia="仿宋_GB2312"/>
          <w:color w:val="auto"/>
          <w:sz w:val="32"/>
          <w:szCs w:val="32"/>
          <w:lang w:eastAsia="zh-CN"/>
        </w:rPr>
        <w:t>、《公务卡使用办法》《非税收入管理制度》等</w:t>
      </w:r>
      <w:r>
        <w:rPr>
          <w:rFonts w:hint="eastAsia" w:ascii="仿宋_GB2312" w:eastAsia="仿宋_GB2312"/>
          <w:color w:val="auto"/>
          <w:sz w:val="32"/>
          <w:szCs w:val="32"/>
        </w:rPr>
        <w:t>，根据</w:t>
      </w:r>
      <w:r>
        <w:rPr>
          <w:rFonts w:hint="eastAsia" w:ascii="仿宋_GB2312" w:eastAsia="仿宋_GB2312"/>
          <w:color w:val="auto"/>
          <w:sz w:val="32"/>
          <w:szCs w:val="32"/>
          <w:lang w:eastAsia="zh-CN"/>
        </w:rPr>
        <w:t>相关制度制定园林绿化管理中心资金支付流程。</w:t>
      </w:r>
    </w:p>
    <w:p>
      <w:pPr>
        <w:ind w:firstLine="640" w:firstLineChars="200"/>
        <w:jc w:val="left"/>
        <w:rPr>
          <w:rFonts w:hint="eastAsia" w:ascii="仿宋_GB2312" w:eastAsia="仿宋_GB2312"/>
          <w:color w:val="auto"/>
          <w:sz w:val="32"/>
          <w:szCs w:val="32"/>
          <w:lang w:val="en-US" w:eastAsia="zh-CN"/>
        </w:rPr>
      </w:pPr>
      <w:r>
        <w:rPr>
          <w:rFonts w:hint="eastAsia" w:ascii="仿宋_GB2312" w:eastAsia="仿宋_GB2312"/>
          <w:color w:val="auto"/>
          <w:sz w:val="32"/>
          <w:szCs w:val="32"/>
          <w:lang w:val="en-US" w:eastAsia="zh-CN"/>
        </w:rPr>
        <w:t>1</w:t>
      </w:r>
      <w:r>
        <w:rPr>
          <w:rFonts w:hint="eastAsia" w:ascii="仿宋_GB2312" w:eastAsia="仿宋_GB2312"/>
          <w:color w:val="auto"/>
          <w:sz w:val="32"/>
          <w:szCs w:val="32"/>
          <w:lang w:eastAsia="zh-CN"/>
        </w:rPr>
        <w:t>、每月</w:t>
      </w:r>
      <w:r>
        <w:rPr>
          <w:rFonts w:hint="eastAsia" w:ascii="仿宋_GB2312" w:eastAsia="仿宋_GB2312"/>
          <w:color w:val="auto"/>
          <w:sz w:val="32"/>
          <w:szCs w:val="32"/>
          <w:lang w:val="en-US" w:eastAsia="zh-CN"/>
        </w:rPr>
        <w:t>15号之前各站所、中心各科室上报次月资金计划申请单及相关附件至中心计财科。</w:t>
      </w:r>
    </w:p>
    <w:p>
      <w:pPr>
        <w:ind w:firstLine="640" w:firstLineChars="200"/>
        <w:jc w:val="left"/>
        <w:rPr>
          <w:rFonts w:hint="default" w:ascii="仿宋_GB2312" w:eastAsia="仿宋_GB2312"/>
          <w:color w:val="auto"/>
          <w:sz w:val="32"/>
          <w:szCs w:val="32"/>
          <w:lang w:val="en-US" w:eastAsia="zh-CN"/>
        </w:rPr>
      </w:pPr>
      <w:r>
        <w:rPr>
          <w:rFonts w:hint="eastAsia" w:ascii="仿宋_GB2312" w:eastAsia="仿宋_GB2312"/>
          <w:color w:val="auto"/>
          <w:sz w:val="32"/>
          <w:szCs w:val="32"/>
          <w:lang w:val="en-US" w:eastAsia="zh-CN"/>
        </w:rPr>
        <w:t>2、由中心财经领导小组会议审议，形成会议纪要.</w:t>
      </w:r>
    </w:p>
    <w:p>
      <w:pPr>
        <w:ind w:firstLine="640" w:firstLineChars="200"/>
        <w:jc w:val="left"/>
        <w:rPr>
          <w:rFonts w:hint="default" w:ascii="仿宋_GB2312" w:eastAsia="仿宋_GB2312"/>
          <w:color w:val="auto"/>
          <w:sz w:val="32"/>
          <w:szCs w:val="32"/>
          <w:lang w:val="en-US" w:eastAsia="zh-CN"/>
        </w:rPr>
      </w:pPr>
      <w:r>
        <w:rPr>
          <w:rFonts w:hint="eastAsia" w:ascii="仿宋_GB2312" w:eastAsia="仿宋_GB2312"/>
          <w:color w:val="auto"/>
          <w:sz w:val="32"/>
          <w:szCs w:val="32"/>
          <w:lang w:val="en-US" w:eastAsia="zh-CN"/>
        </w:rPr>
        <w:t>（1）若申请金额小于2000元，由相关业务科室向财经领导小组申请，同意后报分管业务、财务领导签字，并报主要领导审批。</w:t>
      </w:r>
    </w:p>
    <w:p>
      <w:pPr>
        <w:ind w:firstLine="640" w:firstLineChars="200"/>
        <w:jc w:val="left"/>
        <w:rPr>
          <w:rFonts w:hint="default" w:ascii="仿宋_GB2312" w:eastAsia="仿宋_GB2312"/>
          <w:color w:val="auto"/>
          <w:sz w:val="32"/>
          <w:szCs w:val="32"/>
          <w:lang w:val="en-US" w:eastAsia="zh-CN"/>
        </w:rPr>
      </w:pPr>
      <w:r>
        <w:rPr>
          <w:rFonts w:hint="eastAsia" w:ascii="仿宋_GB2312" w:eastAsia="仿宋_GB2312"/>
          <w:color w:val="auto"/>
          <w:sz w:val="32"/>
          <w:szCs w:val="32"/>
          <w:lang w:val="en-US" w:eastAsia="zh-CN"/>
        </w:rPr>
        <w:t>（2）若申请金额大于2000元小于5000元，由相关业务科室提出申请，报财经领导小组共同审批，同意后则根据会议审议通过的资金计划申请单及会议纪要填写中心资金审批单并报中心分管业务、财务领导和主要领导签字后进行支付.</w:t>
      </w:r>
    </w:p>
    <w:p>
      <w:pPr>
        <w:ind w:firstLine="640" w:firstLineChars="200"/>
        <w:jc w:val="left"/>
        <w:rPr>
          <w:rFonts w:hint="default" w:ascii="仿宋_GB2312" w:eastAsia="仿宋_GB2312"/>
          <w:color w:val="auto"/>
          <w:sz w:val="32"/>
          <w:szCs w:val="32"/>
          <w:lang w:val="en-US" w:eastAsia="zh-CN"/>
        </w:rPr>
      </w:pPr>
      <w:r>
        <w:rPr>
          <w:rFonts w:hint="eastAsia" w:ascii="仿宋_GB2312" w:eastAsia="仿宋_GB2312"/>
          <w:color w:val="auto"/>
          <w:sz w:val="32"/>
          <w:szCs w:val="32"/>
          <w:lang w:val="en-US" w:eastAsia="zh-CN"/>
        </w:rPr>
        <w:t>（3）若申请金额大于等于5000元，由相关科室提出申请，报财经领导小组共同审批，同意后则根据会议审议通过的资金计划申请单上报至城管局财经领导小组会议审议.若审议通过，由中心相关业务科室填写资金支付申请单，并报中心分管业务、财务领导和主要领导签字后进行支付，否则予以退回。</w:t>
      </w:r>
    </w:p>
    <w:p>
      <w:pPr>
        <w:ind w:firstLine="640" w:firstLineChars="200"/>
        <w:jc w:val="left"/>
        <w:rPr>
          <w:rFonts w:hint="default" w:ascii="仿宋_GB2312" w:eastAsia="仿宋_GB2312"/>
          <w:color w:val="auto"/>
          <w:sz w:val="32"/>
          <w:szCs w:val="32"/>
          <w:lang w:val="en-US" w:eastAsia="zh-CN"/>
        </w:rPr>
      </w:pPr>
      <w:r>
        <w:rPr>
          <w:rFonts w:hint="eastAsia" w:ascii="仿宋_GB2312" w:eastAsia="仿宋_GB2312"/>
          <w:color w:val="auto"/>
          <w:sz w:val="32"/>
          <w:szCs w:val="32"/>
          <w:lang w:val="en-US" w:eastAsia="zh-CN"/>
        </w:rPr>
        <w:t>3、资金申请计划外的紧急事项报中心主要领导同意后，次月补办手续.</w:t>
      </w:r>
    </w:p>
    <w:p>
      <w:pPr>
        <w:ind w:firstLine="640" w:firstLineChars="200"/>
        <w:jc w:val="left"/>
        <w:rPr>
          <w:rFonts w:hint="eastAsia"/>
          <w:lang w:val="en-US" w:eastAsia="zh-CN"/>
        </w:rPr>
      </w:pPr>
      <w:r>
        <w:rPr>
          <w:rFonts w:hint="eastAsia" w:ascii="仿宋_GB2312" w:eastAsia="仿宋_GB2312"/>
          <w:color w:val="auto"/>
          <w:sz w:val="32"/>
          <w:szCs w:val="32"/>
          <w:lang w:val="en-US" w:eastAsia="zh-CN"/>
        </w:rPr>
        <w:t>4、项目资金。由中心计财科根据上级要求填写资金计划支付汇总表，报中心财经领导小组审议，通过后再次上报至城管局财经领导小组会议审议，若都通过，再次分项填写资金支付审请单，由中心领导签字后再由城管局主要领导签字，最后予以支付。</w:t>
      </w:r>
    </w:p>
    <w:p>
      <w:pPr>
        <w:pStyle w:val="4"/>
        <w:numPr>
          <w:ilvl w:val="0"/>
          <w:numId w:val="2"/>
        </w:numPr>
        <w:ind w:firstLine="640"/>
        <w:rPr>
          <w:rFonts w:ascii="楷体_GB2312" w:eastAsia="楷体_GB2312"/>
          <w:color w:val="auto"/>
          <w:szCs w:val="32"/>
        </w:rPr>
      </w:pPr>
      <w:r>
        <w:rPr>
          <w:rFonts w:hint="eastAsia" w:ascii="楷体_GB2312" w:eastAsia="楷体_GB2312"/>
          <w:color w:val="auto"/>
          <w:szCs w:val="32"/>
        </w:rPr>
        <w:t>单位资金分配情况</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rPr>
          <w:rFonts w:ascii="仿宋_GB2312" w:eastAsia="仿宋_GB2312" w:cs="仿宋"/>
          <w:color w:val="auto"/>
          <w:sz w:val="32"/>
          <w:szCs w:val="32"/>
        </w:rPr>
      </w:pPr>
      <w:r>
        <w:rPr>
          <w:rFonts w:hint="eastAsia" w:ascii="仿宋_GB2312" w:eastAsia="仿宋_GB2312" w:cs="仿宋"/>
          <w:b/>
          <w:color w:val="auto"/>
          <w:sz w:val="32"/>
          <w:szCs w:val="32"/>
          <w:lang w:val="en-US" w:eastAsia="zh-CN"/>
        </w:rPr>
        <w:t>1.</w:t>
      </w:r>
      <w:r>
        <w:rPr>
          <w:rFonts w:hint="eastAsia" w:ascii="仿宋_GB2312" w:eastAsia="仿宋_GB2312" w:cs="仿宋"/>
          <w:b/>
          <w:color w:val="auto"/>
          <w:sz w:val="32"/>
          <w:szCs w:val="32"/>
        </w:rPr>
        <w:t>分配依据及结果。</w:t>
      </w:r>
      <w:r>
        <w:rPr>
          <w:rFonts w:hint="eastAsia" w:ascii="仿宋_GB2312" w:eastAsia="仿宋_GB2312" w:cs="仿宋"/>
          <w:color w:val="auto"/>
          <w:sz w:val="32"/>
          <w:szCs w:val="32"/>
        </w:rPr>
        <w:t>基本支出</w:t>
      </w:r>
      <w:r>
        <w:rPr>
          <w:rFonts w:hint="eastAsia" w:ascii="仿宋_GB2312" w:eastAsia="仿宋_GB2312" w:cs="仿宋"/>
          <w:color w:val="auto"/>
          <w:sz w:val="32"/>
          <w:szCs w:val="32"/>
          <w:lang w:val="en-US" w:eastAsia="zh-CN"/>
        </w:rPr>
        <w:t>情况。昌吉市园林绿化管理中心</w:t>
      </w:r>
      <w:r>
        <w:rPr>
          <w:rFonts w:hint="eastAsia" w:ascii="仿宋" w:hAnsi="仿宋" w:eastAsia="仿宋"/>
          <w:sz w:val="32"/>
          <w:szCs w:val="32"/>
          <w:highlight w:val="none"/>
        </w:rPr>
        <w:t>核定事业编制135</w:t>
      </w:r>
      <w:r>
        <w:rPr>
          <w:rFonts w:hint="eastAsia"/>
          <w:sz w:val="32"/>
          <w:szCs w:val="32"/>
          <w:highlight w:val="none"/>
          <w:lang w:eastAsia="zh-CN"/>
        </w:rPr>
        <w:t>。</w:t>
      </w:r>
      <w:r>
        <w:rPr>
          <w:rFonts w:hint="eastAsia" w:ascii="仿宋" w:hAnsi="仿宋" w:eastAsia="仿宋"/>
          <w:kern w:val="0"/>
          <w:sz w:val="32"/>
          <w:szCs w:val="32"/>
        </w:rPr>
        <w:t>实有在职人数</w:t>
      </w:r>
      <w:r>
        <w:rPr>
          <w:rFonts w:hint="default" w:ascii="仿宋" w:hAnsi="仿宋" w:eastAsia="仿宋"/>
          <w:sz w:val="32"/>
          <w:szCs w:val="32"/>
          <w:lang w:val="en-US" w:eastAsia="zh-CN"/>
        </w:rPr>
        <w:t>120</w:t>
      </w:r>
      <w:r>
        <w:rPr>
          <w:rFonts w:hint="eastAsia" w:ascii="仿宋" w:hAnsi="仿宋" w:eastAsia="仿宋"/>
          <w:kern w:val="0"/>
          <w:sz w:val="32"/>
          <w:szCs w:val="32"/>
        </w:rPr>
        <w:t>人（差额事业在职编制</w:t>
      </w:r>
      <w:r>
        <w:rPr>
          <w:rFonts w:hint="default" w:ascii="仿宋" w:hAnsi="仿宋" w:eastAsia="仿宋"/>
          <w:kern w:val="0"/>
          <w:sz w:val="32"/>
          <w:szCs w:val="32"/>
          <w:lang w:val="en-US" w:eastAsia="zh-CN"/>
        </w:rPr>
        <w:t>77</w:t>
      </w:r>
      <w:r>
        <w:rPr>
          <w:rFonts w:hint="eastAsia" w:ascii="仿宋" w:hAnsi="仿宋" w:eastAsia="仿宋"/>
          <w:kern w:val="0"/>
          <w:sz w:val="32"/>
          <w:szCs w:val="32"/>
        </w:rPr>
        <w:t>人，工勤人数</w:t>
      </w:r>
      <w:r>
        <w:rPr>
          <w:rFonts w:hint="default" w:ascii="仿宋" w:hAnsi="仿宋" w:eastAsia="仿宋"/>
          <w:kern w:val="0"/>
          <w:sz w:val="32"/>
          <w:szCs w:val="32"/>
          <w:lang w:val="en-US" w:eastAsia="zh-CN"/>
        </w:rPr>
        <w:t>43</w:t>
      </w:r>
      <w:r>
        <w:rPr>
          <w:rFonts w:hint="eastAsia" w:ascii="仿宋" w:hAnsi="仿宋" w:eastAsia="仿宋"/>
          <w:kern w:val="0"/>
          <w:sz w:val="32"/>
          <w:szCs w:val="32"/>
        </w:rPr>
        <w:t>人</w:t>
      </w:r>
      <w:r>
        <w:rPr>
          <w:rFonts w:hint="eastAsia" w:ascii="仿宋" w:hAnsi="仿宋" w:eastAsia="仿宋"/>
          <w:kern w:val="0"/>
          <w:sz w:val="32"/>
          <w:szCs w:val="32"/>
          <w:lang w:eastAsia="zh-CN"/>
        </w:rPr>
        <w:t>）</w:t>
      </w:r>
      <w:r>
        <w:rPr>
          <w:rFonts w:hint="eastAsia" w:ascii="仿宋" w:hAnsi="仿宋" w:eastAsia="仿宋"/>
          <w:kern w:val="0"/>
          <w:sz w:val="32"/>
          <w:szCs w:val="32"/>
        </w:rPr>
        <w:t>，退休</w:t>
      </w:r>
      <w:r>
        <w:rPr>
          <w:rFonts w:hint="default" w:ascii="仿宋" w:hAnsi="仿宋" w:eastAsia="仿宋"/>
          <w:kern w:val="0"/>
          <w:sz w:val="32"/>
          <w:szCs w:val="32"/>
          <w:lang w:val="en-US" w:eastAsia="zh-CN"/>
        </w:rPr>
        <w:t>81</w:t>
      </w:r>
      <w:r>
        <w:rPr>
          <w:rFonts w:hint="eastAsia" w:ascii="仿宋" w:hAnsi="仿宋" w:eastAsia="仿宋"/>
          <w:kern w:val="0"/>
          <w:sz w:val="32"/>
          <w:szCs w:val="32"/>
        </w:rPr>
        <w:t>人</w:t>
      </w:r>
      <w:r>
        <w:rPr>
          <w:rFonts w:hint="eastAsia"/>
          <w:kern w:val="0"/>
          <w:sz w:val="32"/>
          <w:szCs w:val="32"/>
          <w:lang w:eastAsia="zh-CN"/>
        </w:rPr>
        <w:t>；</w:t>
      </w:r>
      <w:r>
        <w:rPr>
          <w:rFonts w:hint="eastAsia" w:ascii="仿宋" w:hAnsi="仿宋" w:eastAsia="仿宋"/>
          <w:color w:val="000000"/>
          <w:sz w:val="32"/>
          <w:szCs w:val="32"/>
        </w:rPr>
        <w:t>林</w:t>
      </w:r>
      <w:r>
        <w:rPr>
          <w:rFonts w:hint="eastAsia" w:ascii="仿宋" w:hAnsi="仿宋" w:eastAsia="仿宋"/>
          <w:color w:val="000000"/>
          <w:sz w:val="32"/>
          <w:szCs w:val="32"/>
          <w:lang w:eastAsia="zh-CN"/>
        </w:rPr>
        <w:t>中心</w:t>
      </w:r>
      <w:r>
        <w:rPr>
          <w:rFonts w:hint="eastAsia" w:ascii="仿宋" w:hAnsi="仿宋" w:eastAsia="仿宋"/>
          <w:color w:val="000000"/>
          <w:sz w:val="32"/>
          <w:szCs w:val="32"/>
        </w:rPr>
        <w:t>配有公车</w:t>
      </w:r>
      <w:r>
        <w:rPr>
          <w:rFonts w:hint="default" w:ascii="仿宋" w:hAnsi="仿宋" w:eastAsia="仿宋"/>
          <w:color w:val="000000"/>
          <w:sz w:val="32"/>
          <w:szCs w:val="32"/>
          <w:lang w:val="en-US" w:eastAsia="zh-CN"/>
        </w:rPr>
        <w:t>49</w:t>
      </w:r>
      <w:r>
        <w:rPr>
          <w:rFonts w:hint="eastAsia" w:ascii="仿宋" w:hAnsi="仿宋" w:eastAsia="仿宋"/>
          <w:color w:val="000000"/>
          <w:sz w:val="32"/>
          <w:szCs w:val="32"/>
        </w:rPr>
        <w:t>辆，其中一般公务用车2辆，</w:t>
      </w:r>
      <w:r>
        <w:rPr>
          <w:rFonts w:hint="eastAsia" w:ascii="仿宋" w:hAnsi="仿宋" w:eastAsia="仿宋"/>
          <w:color w:val="000000"/>
          <w:sz w:val="32"/>
          <w:szCs w:val="32"/>
          <w:lang w:eastAsia="zh-CN"/>
        </w:rPr>
        <w:t>财政审核用车</w:t>
      </w:r>
      <w:r>
        <w:rPr>
          <w:rFonts w:hint="eastAsia" w:ascii="仿宋" w:hAnsi="仿宋" w:eastAsia="仿宋"/>
          <w:color w:val="000000"/>
          <w:sz w:val="32"/>
          <w:szCs w:val="32"/>
          <w:lang w:val="en-US" w:eastAsia="zh-CN"/>
        </w:rPr>
        <w:t>9辆</w:t>
      </w:r>
      <w:r>
        <w:rPr>
          <w:rFonts w:hint="eastAsia" w:ascii="仿宋" w:hAnsi="仿宋" w:eastAsia="仿宋"/>
          <w:color w:val="000000"/>
          <w:sz w:val="32"/>
          <w:szCs w:val="32"/>
        </w:rPr>
        <w:t>，</w:t>
      </w:r>
      <w:r>
        <w:rPr>
          <w:rFonts w:hint="eastAsia" w:ascii="仿宋" w:hAnsi="仿宋" w:eastAsia="仿宋"/>
          <w:color w:val="000000"/>
          <w:sz w:val="32"/>
          <w:szCs w:val="32"/>
          <w:lang w:eastAsia="zh-CN"/>
        </w:rPr>
        <w:t>其他</w:t>
      </w:r>
      <w:r>
        <w:rPr>
          <w:rFonts w:hint="eastAsia" w:ascii="仿宋" w:hAnsi="仿宋" w:eastAsia="仿宋"/>
          <w:color w:val="000000"/>
          <w:sz w:val="32"/>
          <w:szCs w:val="32"/>
        </w:rPr>
        <w:t>用车</w:t>
      </w:r>
      <w:r>
        <w:rPr>
          <w:rFonts w:hint="eastAsia" w:ascii="仿宋" w:hAnsi="仿宋" w:eastAsia="仿宋"/>
          <w:color w:val="000000"/>
          <w:sz w:val="32"/>
          <w:szCs w:val="32"/>
          <w:lang w:val="en-US" w:eastAsia="zh-CN"/>
        </w:rPr>
        <w:t>4</w:t>
      </w:r>
      <w:r>
        <w:rPr>
          <w:rFonts w:hint="default" w:ascii="仿宋" w:hAnsi="仿宋" w:eastAsia="仿宋"/>
          <w:color w:val="000000"/>
          <w:sz w:val="32"/>
          <w:szCs w:val="32"/>
          <w:lang w:val="en-US" w:eastAsia="zh-CN"/>
        </w:rPr>
        <w:t>7</w:t>
      </w:r>
      <w:r>
        <w:rPr>
          <w:rFonts w:hint="eastAsia" w:ascii="仿宋" w:hAnsi="仿宋" w:eastAsia="仿宋"/>
          <w:color w:val="000000"/>
          <w:sz w:val="32"/>
          <w:szCs w:val="32"/>
        </w:rPr>
        <w:t>辆</w:t>
      </w:r>
      <w:r>
        <w:rPr>
          <w:rFonts w:hint="eastAsia"/>
          <w:color w:val="000000"/>
          <w:sz w:val="32"/>
          <w:szCs w:val="32"/>
          <w:lang w:eastAsia="zh-CN"/>
        </w:rPr>
        <w:t>；</w:t>
      </w:r>
      <w:r>
        <w:rPr>
          <w:rFonts w:hint="eastAsia"/>
          <w:color w:val="000000"/>
          <w:sz w:val="32"/>
          <w:szCs w:val="32"/>
          <w:lang w:val="en-US" w:eastAsia="zh-CN"/>
        </w:rPr>
        <w:t>中心2022年核定保运行项目经费280万元，均用于支付绿化水费、绿化电费、绿化用车运行维护费及日常游园、公园其他设施维修维护等方面。</w:t>
      </w:r>
      <w:r>
        <w:rPr>
          <w:rFonts w:hint="eastAsia" w:ascii="仿宋_GB2312" w:eastAsia="仿宋_GB2312" w:cs="仿宋"/>
          <w:color w:val="auto"/>
          <w:sz w:val="32"/>
          <w:szCs w:val="32"/>
        </w:rPr>
        <w:t>预算批复后，严格按照财政部门批复的预算和绩效目标执行。</w:t>
      </w:r>
    </w:p>
    <w:p>
      <w:pPr>
        <w:widowControl/>
        <w:ind w:firstLine="640"/>
        <w:jc w:val="left"/>
        <w:rPr>
          <w:rFonts w:ascii="仿宋_GB2312" w:eastAsia="仿宋_GB2312" w:cs="仿宋"/>
          <w:color w:val="auto"/>
          <w:sz w:val="32"/>
          <w:szCs w:val="32"/>
        </w:rPr>
      </w:pPr>
      <w:r>
        <w:rPr>
          <w:rFonts w:hint="eastAsia" w:ascii="仿宋_GB2312" w:eastAsia="仿宋_GB2312" w:cs="仿宋"/>
          <w:b/>
          <w:color w:val="auto"/>
          <w:sz w:val="32"/>
          <w:szCs w:val="32"/>
        </w:rPr>
        <w:t>2.</w:t>
      </w:r>
      <w:r>
        <w:rPr>
          <w:rFonts w:hint="eastAsia" w:ascii="仿宋_GB2312" w:eastAsia="仿宋_GB2312"/>
          <w:b/>
          <w:color w:val="auto"/>
          <w:sz w:val="32"/>
          <w:szCs w:val="32"/>
        </w:rPr>
        <w:t>重点支出保障情况。</w:t>
      </w:r>
      <w:r>
        <w:rPr>
          <w:rFonts w:hint="eastAsia" w:ascii="仿宋_GB2312" w:eastAsia="仿宋_GB2312" w:cs="仿宋"/>
          <w:color w:val="auto"/>
          <w:sz w:val="32"/>
          <w:szCs w:val="32"/>
        </w:rPr>
        <w:t>本年度本单位预算安排的重点项目</w:t>
      </w:r>
      <w:r>
        <w:rPr>
          <w:rFonts w:hint="eastAsia" w:ascii="仿宋_GB2312" w:eastAsia="仿宋_GB2312" w:cs="仿宋"/>
          <w:color w:val="auto"/>
          <w:sz w:val="32"/>
          <w:szCs w:val="32"/>
          <w:lang w:val="en-US" w:eastAsia="zh-CN"/>
        </w:rPr>
        <w:t>1</w:t>
      </w:r>
      <w:r>
        <w:rPr>
          <w:rFonts w:hint="eastAsia" w:ascii="仿宋_GB2312" w:eastAsia="仿宋_GB2312" w:cs="仿宋"/>
          <w:color w:val="auto"/>
          <w:sz w:val="32"/>
          <w:szCs w:val="32"/>
        </w:rPr>
        <w:t>个，预算安排的重点项目支出金额为</w:t>
      </w:r>
      <w:r>
        <w:rPr>
          <w:rFonts w:hint="eastAsia" w:ascii="仿宋_GB2312" w:eastAsia="仿宋_GB2312" w:cs="仿宋"/>
          <w:color w:val="auto"/>
          <w:sz w:val="32"/>
          <w:szCs w:val="32"/>
          <w:lang w:val="en-US" w:eastAsia="zh-CN"/>
        </w:rPr>
        <w:t>280.00</w:t>
      </w:r>
      <w:r>
        <w:rPr>
          <w:rFonts w:hint="eastAsia" w:ascii="仿宋_GB2312" w:eastAsia="仿宋_GB2312" w:cs="仿宋"/>
          <w:color w:val="auto"/>
          <w:sz w:val="32"/>
          <w:szCs w:val="32"/>
        </w:rPr>
        <w:t>万元，部门项目总支出金额为</w:t>
      </w:r>
      <w:r>
        <w:rPr>
          <w:rFonts w:hint="eastAsia" w:ascii="仿宋_GB2312" w:eastAsia="仿宋_GB2312" w:cs="仿宋"/>
          <w:color w:val="auto"/>
          <w:sz w:val="32"/>
          <w:szCs w:val="32"/>
          <w:lang w:val="en-US" w:eastAsia="zh-CN"/>
        </w:rPr>
        <w:t>280.00</w:t>
      </w:r>
      <w:r>
        <w:rPr>
          <w:rFonts w:hint="eastAsia" w:ascii="仿宋_GB2312" w:eastAsia="仿宋_GB2312" w:cs="仿宋"/>
          <w:color w:val="auto"/>
          <w:sz w:val="32"/>
          <w:szCs w:val="32"/>
        </w:rPr>
        <w:t>万元，则重点项目支出占项目总支出的比率为</w:t>
      </w:r>
      <w:r>
        <w:rPr>
          <w:rFonts w:hint="eastAsia" w:ascii="仿宋_GB2312" w:eastAsia="仿宋_GB2312" w:cs="仿宋"/>
          <w:color w:val="auto"/>
          <w:sz w:val="32"/>
          <w:szCs w:val="32"/>
          <w:lang w:val="en-US" w:eastAsia="zh-CN"/>
        </w:rPr>
        <w:t>100</w:t>
      </w:r>
      <w:r>
        <w:rPr>
          <w:rFonts w:hint="eastAsia" w:ascii="仿宋_GB2312" w:eastAsia="仿宋_GB2312" w:cs="仿宋"/>
          <w:color w:val="auto"/>
          <w:sz w:val="32"/>
          <w:szCs w:val="32"/>
        </w:rPr>
        <w:t>.</w:t>
      </w:r>
      <w:r>
        <w:rPr>
          <w:rFonts w:hint="eastAsia" w:ascii="仿宋_GB2312" w:eastAsia="仿宋_GB2312" w:cs="仿宋"/>
          <w:color w:val="auto"/>
          <w:sz w:val="32"/>
          <w:szCs w:val="32"/>
          <w:lang w:val="en-US" w:eastAsia="zh-CN"/>
        </w:rPr>
        <w:t>0</w:t>
      </w:r>
      <w:r>
        <w:rPr>
          <w:rFonts w:hint="eastAsia" w:ascii="仿宋_GB2312" w:eastAsia="仿宋_GB2312" w:cs="仿宋"/>
          <w:color w:val="auto"/>
          <w:sz w:val="32"/>
          <w:szCs w:val="32"/>
        </w:rPr>
        <w:t>%。</w:t>
      </w:r>
    </w:p>
    <w:p>
      <w:pPr>
        <w:pStyle w:val="4"/>
        <w:numPr>
          <w:ilvl w:val="0"/>
          <w:numId w:val="2"/>
        </w:numPr>
        <w:ind w:firstLine="640"/>
        <w:rPr>
          <w:rFonts w:ascii="楷体_GB2312" w:eastAsia="楷体_GB2312"/>
          <w:szCs w:val="32"/>
        </w:rPr>
      </w:pPr>
      <w:r>
        <w:rPr>
          <w:rFonts w:hint="eastAsia" w:ascii="楷体_GB2312" w:eastAsia="楷体_GB2312"/>
          <w:szCs w:val="32"/>
        </w:rPr>
        <w:t>部门单位整体支出规模、使用方法和主要内容、涉及范围</w:t>
      </w:r>
    </w:p>
    <w:p>
      <w:pPr>
        <w:numPr>
          <w:ilvl w:val="0"/>
          <w:numId w:val="3"/>
        </w:numPr>
        <w:ind w:firstLine="640"/>
        <w:rPr>
          <w:rFonts w:ascii="仿宋_GB2312" w:eastAsia="仿宋_GB2312"/>
          <w:b/>
          <w:bCs/>
          <w:sz w:val="32"/>
          <w:szCs w:val="32"/>
        </w:rPr>
      </w:pPr>
      <w:r>
        <w:rPr>
          <w:rFonts w:hint="eastAsia" w:ascii="仿宋_GB2312" w:eastAsia="仿宋_GB2312"/>
          <w:b/>
          <w:bCs/>
          <w:sz w:val="32"/>
          <w:szCs w:val="32"/>
        </w:rPr>
        <w:t>部门单位整体支出规模</w:t>
      </w:r>
    </w:p>
    <w:p>
      <w:pPr>
        <w:ind w:firstLine="640"/>
        <w:rPr>
          <w:rFonts w:ascii="仿宋_GB2312" w:eastAsia="仿宋_GB2312"/>
          <w:color w:val="auto"/>
          <w:sz w:val="32"/>
          <w:szCs w:val="32"/>
        </w:rPr>
      </w:pPr>
      <w:r>
        <w:rPr>
          <w:rFonts w:hint="eastAsia" w:ascii="仿宋_GB2312" w:eastAsia="仿宋_GB2312"/>
          <w:color w:val="auto"/>
          <w:sz w:val="32"/>
          <w:szCs w:val="32"/>
        </w:rPr>
        <w:t>202</w:t>
      </w:r>
      <w:r>
        <w:rPr>
          <w:rFonts w:hint="default" w:ascii="仿宋_GB2312" w:eastAsia="仿宋_GB2312"/>
          <w:color w:val="auto"/>
          <w:sz w:val="32"/>
          <w:szCs w:val="32"/>
          <w:lang w:val="en-US"/>
        </w:rPr>
        <w:t>2</w:t>
      </w:r>
      <w:r>
        <w:rPr>
          <w:rFonts w:hint="eastAsia" w:ascii="仿宋_GB2312" w:eastAsia="仿宋_GB2312"/>
          <w:color w:val="auto"/>
          <w:sz w:val="32"/>
          <w:szCs w:val="32"/>
        </w:rPr>
        <w:t>年度</w:t>
      </w:r>
      <w:r>
        <w:rPr>
          <w:rFonts w:hint="default" w:ascii="仿宋_GB2312" w:eastAsia="仿宋_GB2312"/>
          <w:color w:val="auto"/>
          <w:sz w:val="32"/>
          <w:szCs w:val="32"/>
          <w:lang w:val="en-US"/>
        </w:rPr>
        <w:t>,</w:t>
      </w:r>
      <w:r>
        <w:rPr>
          <w:rFonts w:hint="eastAsia" w:ascii="仿宋_GB2312" w:eastAsia="仿宋_GB2312"/>
          <w:color w:val="auto"/>
          <w:sz w:val="32"/>
          <w:szCs w:val="32"/>
          <w:lang w:val="en-US" w:eastAsia="zh-CN"/>
        </w:rPr>
        <w:t>昌吉市园林绿化管理中心</w:t>
      </w:r>
      <w:r>
        <w:rPr>
          <w:rFonts w:hint="eastAsia" w:ascii="仿宋_GB2312" w:eastAsia="仿宋_GB2312"/>
          <w:bCs/>
          <w:color w:val="auto"/>
          <w:sz w:val="32"/>
          <w:szCs w:val="32"/>
        </w:rPr>
        <w:t>整体支出年初预算金额为</w:t>
      </w:r>
      <w:r>
        <w:rPr>
          <w:rFonts w:hint="default" w:ascii="仿宋_GB2312" w:eastAsia="仿宋_GB2312"/>
          <w:color w:val="auto"/>
          <w:sz w:val="32"/>
          <w:szCs w:val="32"/>
          <w:lang w:val="en-US" w:eastAsia="zh-CN"/>
        </w:rPr>
        <w:t>3709.47</w:t>
      </w:r>
      <w:r>
        <w:rPr>
          <w:rFonts w:hint="eastAsia" w:ascii="仿宋_GB2312" w:eastAsia="仿宋_GB2312"/>
          <w:color w:val="auto"/>
          <w:sz w:val="32"/>
          <w:szCs w:val="32"/>
        </w:rPr>
        <w:t>万元，支出金额为</w:t>
      </w:r>
      <w:r>
        <w:rPr>
          <w:rFonts w:hint="default" w:ascii="仿宋_GB2312" w:eastAsia="仿宋_GB2312"/>
          <w:color w:val="auto"/>
          <w:sz w:val="32"/>
          <w:szCs w:val="32"/>
          <w:lang w:val="en-US" w:eastAsia="zh-CN"/>
        </w:rPr>
        <w:t>3709.47</w:t>
      </w:r>
      <w:r>
        <w:rPr>
          <w:rFonts w:hint="eastAsia" w:ascii="仿宋_GB2312" w:eastAsia="仿宋_GB2312"/>
          <w:color w:val="auto"/>
          <w:sz w:val="32"/>
          <w:szCs w:val="32"/>
        </w:rPr>
        <w:t>万元，执行率为</w:t>
      </w:r>
      <w:r>
        <w:rPr>
          <w:rFonts w:hint="default" w:ascii="仿宋_GB2312" w:eastAsia="仿宋_GB2312"/>
          <w:color w:val="auto"/>
          <w:sz w:val="32"/>
          <w:szCs w:val="32"/>
          <w:lang w:val="en-US" w:eastAsia="zh-CN"/>
        </w:rPr>
        <w:t>100</w:t>
      </w:r>
      <w:r>
        <w:rPr>
          <w:rFonts w:hint="eastAsia" w:ascii="仿宋_GB2312" w:eastAsia="仿宋_GB2312"/>
          <w:color w:val="auto"/>
          <w:sz w:val="32"/>
          <w:szCs w:val="32"/>
          <w:lang w:val="en-US" w:eastAsia="zh-CN"/>
        </w:rPr>
        <w:t>.0</w:t>
      </w:r>
      <w:r>
        <w:rPr>
          <w:rFonts w:hint="eastAsia" w:ascii="仿宋_GB2312" w:eastAsia="仿宋_GB2312"/>
          <w:color w:val="auto"/>
          <w:sz w:val="32"/>
          <w:szCs w:val="32"/>
        </w:rPr>
        <w:t>%，其中：政府采购年初预算金额为</w:t>
      </w:r>
      <w:r>
        <w:rPr>
          <w:rFonts w:hint="default" w:ascii="仿宋_GB2312" w:eastAsia="仿宋_GB2312"/>
          <w:color w:val="auto"/>
          <w:sz w:val="32"/>
          <w:szCs w:val="32"/>
          <w:lang w:val="en-US" w:eastAsia="zh-CN"/>
        </w:rPr>
        <w:t>43.5</w:t>
      </w:r>
      <w:r>
        <w:rPr>
          <w:rFonts w:hint="eastAsia" w:ascii="仿宋_GB2312" w:eastAsia="仿宋_GB2312"/>
          <w:color w:val="auto"/>
          <w:sz w:val="32"/>
          <w:szCs w:val="32"/>
          <w:lang w:val="en-US" w:eastAsia="zh-CN"/>
        </w:rPr>
        <w:t>.</w:t>
      </w:r>
      <w:r>
        <w:rPr>
          <w:rFonts w:hint="eastAsia" w:ascii="仿宋_GB2312" w:eastAsia="仿宋_GB2312"/>
          <w:color w:val="auto"/>
          <w:sz w:val="32"/>
          <w:szCs w:val="32"/>
        </w:rPr>
        <w:t>万元，支出金额为</w:t>
      </w:r>
      <w:r>
        <w:rPr>
          <w:rFonts w:hint="default" w:ascii="仿宋_GB2312" w:eastAsia="仿宋_GB2312"/>
          <w:color w:val="auto"/>
          <w:sz w:val="32"/>
          <w:szCs w:val="32"/>
          <w:lang w:val="en-US" w:eastAsia="zh-CN"/>
        </w:rPr>
        <w:t>43.5</w:t>
      </w:r>
      <w:r>
        <w:rPr>
          <w:rFonts w:hint="eastAsia" w:ascii="仿宋_GB2312" w:eastAsia="仿宋_GB2312"/>
          <w:color w:val="auto"/>
          <w:sz w:val="32"/>
          <w:szCs w:val="32"/>
        </w:rPr>
        <w:t>万元，执行率为</w:t>
      </w:r>
      <w:r>
        <w:rPr>
          <w:rFonts w:hint="eastAsia" w:ascii="仿宋_GB2312" w:eastAsia="仿宋_GB2312"/>
          <w:color w:val="auto"/>
          <w:sz w:val="32"/>
          <w:szCs w:val="32"/>
          <w:lang w:val="en-US" w:eastAsia="zh-CN"/>
        </w:rPr>
        <w:t>100.0</w:t>
      </w:r>
      <w:r>
        <w:rPr>
          <w:rFonts w:hint="eastAsia" w:ascii="仿宋_GB2312" w:eastAsia="仿宋_GB2312"/>
          <w:color w:val="auto"/>
          <w:sz w:val="32"/>
          <w:szCs w:val="32"/>
        </w:rPr>
        <w:t>%。年中调整</w:t>
      </w:r>
      <w:r>
        <w:rPr>
          <w:rFonts w:hint="eastAsia" w:ascii="仿宋_GB2312" w:eastAsia="仿宋_GB2312"/>
          <w:color w:val="auto"/>
          <w:sz w:val="32"/>
          <w:szCs w:val="32"/>
          <w:lang w:eastAsia="zh-CN"/>
        </w:rPr>
        <w:t>追加预算</w:t>
      </w:r>
      <w:r>
        <w:rPr>
          <w:rFonts w:hint="eastAsia" w:ascii="仿宋_GB2312" w:eastAsia="仿宋_GB2312"/>
          <w:color w:val="auto"/>
          <w:sz w:val="32"/>
          <w:szCs w:val="32"/>
        </w:rPr>
        <w:t>金额为</w:t>
      </w:r>
      <w:r>
        <w:rPr>
          <w:rFonts w:hint="eastAsia" w:ascii="仿宋_GB2312" w:eastAsia="仿宋_GB2312"/>
          <w:color w:val="auto"/>
          <w:sz w:val="32"/>
          <w:szCs w:val="32"/>
          <w:lang w:val="en-US" w:eastAsia="zh-CN"/>
        </w:rPr>
        <w:t>646.71</w:t>
      </w:r>
      <w:r>
        <w:rPr>
          <w:rFonts w:hint="eastAsia" w:ascii="仿宋_GB2312" w:eastAsia="仿宋_GB2312"/>
          <w:color w:val="auto"/>
          <w:sz w:val="32"/>
          <w:szCs w:val="32"/>
        </w:rPr>
        <w:t>万元，预算调整率为</w:t>
      </w:r>
      <w:r>
        <w:rPr>
          <w:rFonts w:hint="eastAsia" w:ascii="仿宋_GB2312" w:eastAsia="仿宋_GB2312"/>
          <w:color w:val="auto"/>
          <w:sz w:val="32"/>
          <w:szCs w:val="32"/>
          <w:lang w:val="en-US" w:eastAsia="zh-CN"/>
        </w:rPr>
        <w:t>17.4</w:t>
      </w:r>
      <w:r>
        <w:rPr>
          <w:rFonts w:hint="eastAsia" w:ascii="仿宋_GB2312" w:eastAsia="仿宋_GB2312"/>
          <w:color w:val="auto"/>
          <w:sz w:val="32"/>
          <w:szCs w:val="32"/>
        </w:rPr>
        <w:t>%。综上，我单位部门单位整体预算总额为</w:t>
      </w:r>
      <w:r>
        <w:rPr>
          <w:rFonts w:hint="eastAsia" w:ascii="仿宋_GB2312" w:eastAsia="仿宋_GB2312"/>
          <w:color w:val="auto"/>
          <w:sz w:val="32"/>
          <w:szCs w:val="32"/>
          <w:lang w:val="en-US" w:eastAsia="zh-CN"/>
        </w:rPr>
        <w:t>4356.18</w:t>
      </w:r>
      <w:r>
        <w:rPr>
          <w:rFonts w:hint="eastAsia" w:ascii="仿宋_GB2312" w:eastAsia="仿宋_GB2312"/>
          <w:color w:val="auto"/>
          <w:sz w:val="32"/>
          <w:szCs w:val="32"/>
        </w:rPr>
        <w:t>万元，支出总额为</w:t>
      </w:r>
      <w:r>
        <w:rPr>
          <w:rFonts w:hint="default" w:ascii="仿宋_GB2312" w:eastAsia="仿宋_GB2312"/>
          <w:color w:val="auto"/>
          <w:sz w:val="32"/>
          <w:szCs w:val="32"/>
          <w:lang w:val="en-US" w:eastAsia="zh-CN"/>
        </w:rPr>
        <w:t>4356.18</w:t>
      </w:r>
      <w:r>
        <w:rPr>
          <w:rFonts w:hint="eastAsia" w:ascii="仿宋_GB2312" w:eastAsia="仿宋_GB2312"/>
          <w:color w:val="auto"/>
          <w:sz w:val="32"/>
          <w:szCs w:val="32"/>
        </w:rPr>
        <w:t>万元，预算总执行率为</w:t>
      </w:r>
      <w:r>
        <w:rPr>
          <w:rFonts w:hint="default" w:ascii="仿宋_GB2312" w:eastAsia="仿宋_GB2312"/>
          <w:color w:val="auto"/>
          <w:sz w:val="32"/>
          <w:szCs w:val="32"/>
          <w:lang w:val="en-US" w:eastAsia="zh-CN"/>
        </w:rPr>
        <w:t>100</w:t>
      </w:r>
      <w:r>
        <w:rPr>
          <w:rFonts w:hint="eastAsia" w:ascii="仿宋_GB2312" w:eastAsia="仿宋_GB2312"/>
          <w:color w:val="auto"/>
          <w:sz w:val="32"/>
          <w:szCs w:val="32"/>
          <w:lang w:val="en-US" w:eastAsia="zh-CN"/>
        </w:rPr>
        <w:t>.0</w:t>
      </w:r>
      <w:r>
        <w:rPr>
          <w:rFonts w:hint="eastAsia" w:ascii="仿宋_GB2312" w:eastAsia="仿宋_GB2312"/>
          <w:color w:val="auto"/>
          <w:sz w:val="32"/>
          <w:szCs w:val="32"/>
        </w:rPr>
        <w:t>%。</w:t>
      </w:r>
    </w:p>
    <w:p>
      <w:pPr>
        <w:pStyle w:val="5"/>
        <w:ind w:firstLine="640"/>
        <w:rPr>
          <w:sz w:val="32"/>
        </w:rPr>
      </w:pPr>
      <w:r>
        <w:rPr>
          <w:rFonts w:hint="eastAsia"/>
          <w:sz w:val="32"/>
        </w:rPr>
        <w:t>2.部门单位整体支出自评使用方法、主要内容、涉及范围</w:t>
      </w:r>
    </w:p>
    <w:p>
      <w:pPr>
        <w:ind w:firstLine="640"/>
        <w:rPr>
          <w:rFonts w:ascii="仿宋_GB2312" w:eastAsia="仿宋_GB2312"/>
          <w:b/>
          <w:bCs/>
          <w:sz w:val="32"/>
          <w:szCs w:val="32"/>
        </w:rPr>
      </w:pPr>
      <w:r>
        <w:rPr>
          <w:rFonts w:hint="eastAsia" w:ascii="仿宋_GB2312" w:eastAsia="仿宋_GB2312"/>
          <w:b/>
          <w:bCs/>
          <w:sz w:val="32"/>
          <w:szCs w:val="32"/>
        </w:rPr>
        <w:t>（1）自评使用方法</w:t>
      </w:r>
    </w:p>
    <w:p>
      <w:pPr>
        <w:ind w:firstLine="640"/>
        <w:rPr>
          <w:rFonts w:ascii="仿宋_GB2312" w:eastAsia="仿宋_GB2312"/>
          <w:sz w:val="32"/>
          <w:szCs w:val="32"/>
        </w:rPr>
      </w:pPr>
      <w:r>
        <w:rPr>
          <w:rFonts w:hint="eastAsia" w:ascii="仿宋_GB2312" w:eastAsia="仿宋_GB2312"/>
          <w:sz w:val="32"/>
          <w:szCs w:val="32"/>
        </w:rPr>
        <w:t>本次自评秉承科学规范、公正公开、分级分类、绩效相关等原则，按照从投入、过程到产出效果和影响的绩效逻辑路径，结合我单位部门整体支出实际开展情况，运用定量和定性分析相结合的方法，总结经验做法，反思项目实施和管理中的问题，以切实提升财政资金管理的科学化、规范化和精细化水平。</w:t>
      </w:r>
    </w:p>
    <w:p>
      <w:pPr>
        <w:pStyle w:val="5"/>
        <w:ind w:firstLine="640"/>
        <w:rPr>
          <w:sz w:val="32"/>
        </w:rPr>
      </w:pPr>
      <w:r>
        <w:rPr>
          <w:rFonts w:hint="eastAsia"/>
          <w:sz w:val="32"/>
        </w:rPr>
        <w:t>（2）评价的主要内容和涉及范围</w:t>
      </w:r>
    </w:p>
    <w:p>
      <w:pPr>
        <w:ind w:firstLine="640"/>
        <w:rPr>
          <w:rFonts w:ascii="仿宋_GB2312" w:eastAsia="仿宋_GB2312"/>
          <w:sz w:val="32"/>
          <w:szCs w:val="32"/>
        </w:rPr>
      </w:pPr>
      <w:r>
        <w:rPr>
          <w:rFonts w:hint="eastAsia" w:ascii="仿宋_GB2312" w:eastAsia="仿宋_GB2312"/>
          <w:sz w:val="32"/>
          <w:szCs w:val="32"/>
        </w:rPr>
        <w:t>此次我单位根据</w:t>
      </w:r>
      <w:r>
        <w:rPr>
          <w:rFonts w:ascii="仿宋_GB2312" w:hAnsi="Arial" w:eastAsia="仿宋_GB2312" w:cs="宋体"/>
          <w:bCs/>
          <w:sz w:val="32"/>
          <w:szCs w:val="32"/>
        </w:rPr>
        <w:t>《预算法》、《财政支出绩效评价管理暂行办法》（财预〔2020〕10号）、《中共中央国务院关于全面实施预算绩效管理的意见》（中发〔2018〕34号）、《自治区党委自治区人民政府关于全面实施预算绩效管理的实施意见》（新党发〔2018〕30号）、《关于印发&lt;自治州实施预算绩效管理工作考核暂行办法&gt;的通知》（昌州财预〔2019〕23号）、《关于印发《昌吉市全面实施预算绩效管理工作方案》的通知》（昌市财发字〔2018〕206号）</w:t>
      </w:r>
      <w:r>
        <w:rPr>
          <w:rFonts w:hint="eastAsia" w:ascii="仿宋_GB2312" w:eastAsia="仿宋_GB2312"/>
          <w:sz w:val="32"/>
          <w:szCs w:val="32"/>
        </w:rPr>
        <w:t>等文件要求，对202</w:t>
      </w:r>
      <w:r>
        <w:rPr>
          <w:rFonts w:hint="default" w:ascii="仿宋_GB2312" w:eastAsia="仿宋_GB2312"/>
          <w:sz w:val="32"/>
          <w:szCs w:val="32"/>
          <w:lang w:val="en-US"/>
        </w:rPr>
        <w:t>2</w:t>
      </w:r>
      <w:r>
        <w:rPr>
          <w:rFonts w:hint="eastAsia" w:ascii="仿宋_GB2312" w:eastAsia="仿宋_GB2312"/>
          <w:sz w:val="32"/>
          <w:szCs w:val="32"/>
        </w:rPr>
        <w:t>年度我单位部门整体支出开展绩效自评。本次自评主要内容和涉及范围：一是部门单位整体支出管理及使用情况，具体涉及预算管理、基本支出和专项支出的管理及使用情况；二是部门单位专项组织实施情况，具体涉及专项组织情况分析和管理情况分析；三是资产管理情况，具体涉及资产管理规范性和固定资产利用率；四是部门单位整体支出绩效情况，具体涉及部门单位整体支出绩效目标的实现程度，包括是否达到预定产出、效果和效益效率等方面进行评价。</w:t>
      </w:r>
    </w:p>
    <w:p>
      <w:pPr>
        <w:pStyle w:val="3"/>
        <w:ind w:firstLine="640"/>
        <w:rPr>
          <w:rFonts w:ascii="黑体" w:hAnsi="黑体"/>
          <w:b w:val="0"/>
          <w:sz w:val="32"/>
          <w:szCs w:val="32"/>
        </w:rPr>
      </w:pPr>
      <w:r>
        <w:rPr>
          <w:rFonts w:hint="eastAsia" w:ascii="黑体" w:hAnsi="黑体"/>
          <w:b w:val="0"/>
          <w:sz w:val="32"/>
          <w:szCs w:val="32"/>
        </w:rPr>
        <w:t>二、部门单位整体支出管理及使用情况</w:t>
      </w:r>
    </w:p>
    <w:p>
      <w:pPr>
        <w:pStyle w:val="4"/>
        <w:numPr>
          <w:ilvl w:val="0"/>
          <w:numId w:val="4"/>
        </w:numPr>
        <w:ind w:firstLineChars="0"/>
        <w:rPr>
          <w:rFonts w:ascii="楷体_GB2312" w:eastAsia="楷体_GB2312"/>
          <w:szCs w:val="32"/>
        </w:rPr>
      </w:pPr>
      <w:r>
        <w:rPr>
          <w:rFonts w:hint="eastAsia" w:ascii="楷体_GB2312" w:eastAsia="楷体_GB2312"/>
          <w:bCs/>
          <w:szCs w:val="32"/>
        </w:rPr>
        <w:t>预算管理情况</w:t>
      </w:r>
    </w:p>
    <w:p>
      <w:pPr>
        <w:ind w:firstLine="640"/>
        <w:rPr>
          <w:rFonts w:ascii="仿宋_GB2312" w:eastAsia="仿宋_GB2312"/>
          <w:color w:val="auto"/>
          <w:sz w:val="32"/>
          <w:szCs w:val="32"/>
        </w:rPr>
      </w:pPr>
      <w:r>
        <w:rPr>
          <w:rFonts w:hint="eastAsia" w:ascii="仿宋_GB2312" w:eastAsia="仿宋_GB2312"/>
          <w:color w:val="auto"/>
          <w:sz w:val="32"/>
          <w:szCs w:val="32"/>
        </w:rPr>
        <w:t>我单位为加强预算管理、规范财务行为、加强内部控制体系建设，制定了《</w:t>
      </w:r>
      <w:r>
        <w:rPr>
          <w:rFonts w:hint="eastAsia" w:ascii="仿宋_GB2312" w:eastAsia="仿宋_GB2312"/>
          <w:color w:val="auto"/>
          <w:sz w:val="32"/>
          <w:szCs w:val="32"/>
          <w:lang w:eastAsia="zh-CN"/>
        </w:rPr>
        <w:t>昌吉市园林绿化管理中心</w:t>
      </w:r>
      <w:r>
        <w:rPr>
          <w:rFonts w:hint="eastAsia" w:ascii="仿宋_GB2312" w:eastAsia="仿宋_GB2312"/>
          <w:color w:val="auto"/>
          <w:sz w:val="32"/>
          <w:szCs w:val="32"/>
        </w:rPr>
        <w:t>党</w:t>
      </w:r>
      <w:r>
        <w:rPr>
          <w:rFonts w:hint="eastAsia" w:ascii="仿宋_GB2312" w:eastAsia="仿宋_GB2312"/>
          <w:color w:val="auto"/>
          <w:sz w:val="32"/>
          <w:szCs w:val="32"/>
          <w:lang w:eastAsia="zh-CN"/>
        </w:rPr>
        <w:t>总支会议</w:t>
      </w:r>
      <w:r>
        <w:rPr>
          <w:rFonts w:hint="eastAsia" w:ascii="仿宋_GB2312" w:eastAsia="仿宋_GB2312"/>
          <w:color w:val="auto"/>
          <w:sz w:val="32"/>
          <w:szCs w:val="32"/>
        </w:rPr>
        <w:t>议事规则》、《三重一大会议制度》</w:t>
      </w:r>
      <w:r>
        <w:rPr>
          <w:rFonts w:hint="eastAsia" w:ascii="仿宋_GB2312" w:eastAsia="仿宋_GB2312"/>
          <w:color w:val="auto"/>
          <w:sz w:val="32"/>
          <w:szCs w:val="32"/>
          <w:lang w:eastAsia="zh-CN"/>
        </w:rPr>
        <w:t>、《公务卡使用办法》《非税收入管理制度》</w:t>
      </w:r>
      <w:r>
        <w:rPr>
          <w:rFonts w:hint="eastAsia" w:ascii="仿宋_GB2312" w:eastAsia="仿宋_GB2312"/>
          <w:color w:val="auto"/>
          <w:sz w:val="32"/>
          <w:szCs w:val="32"/>
        </w:rPr>
        <w:t>，并严格按照此管理办法（制度）管理使用预算资金，严格按照政府信息公开有关规定及财政部门要求公开相关预决算信息。</w:t>
      </w:r>
    </w:p>
    <w:p>
      <w:pPr>
        <w:pStyle w:val="4"/>
        <w:numPr>
          <w:ilvl w:val="0"/>
          <w:numId w:val="4"/>
        </w:numPr>
        <w:ind w:firstLineChars="0"/>
        <w:rPr>
          <w:rFonts w:ascii="楷体_GB2312" w:eastAsia="楷体_GB2312"/>
          <w:bCs/>
          <w:szCs w:val="32"/>
        </w:rPr>
      </w:pPr>
      <w:r>
        <w:rPr>
          <w:rFonts w:hint="eastAsia" w:ascii="楷体_GB2312" w:eastAsia="楷体_GB2312"/>
          <w:bCs/>
          <w:szCs w:val="32"/>
        </w:rPr>
        <w:t>基本支出预算安排及支出情况</w:t>
      </w:r>
    </w:p>
    <w:p>
      <w:pPr>
        <w:ind w:firstLine="640"/>
        <w:rPr>
          <w:rFonts w:ascii="仿宋_GB2312" w:eastAsia="仿宋_GB2312"/>
          <w:b/>
          <w:bCs/>
          <w:sz w:val="32"/>
          <w:szCs w:val="32"/>
        </w:rPr>
      </w:pPr>
      <w:r>
        <w:rPr>
          <w:rFonts w:hint="eastAsia" w:ascii="仿宋_GB2312" w:eastAsia="仿宋_GB2312"/>
          <w:b/>
          <w:bCs/>
          <w:sz w:val="32"/>
          <w:szCs w:val="32"/>
        </w:rPr>
        <w:t>1.基本支出情况</w:t>
      </w:r>
    </w:p>
    <w:p>
      <w:pPr>
        <w:ind w:firstLine="640"/>
        <w:rPr>
          <w:rFonts w:hint="eastAsia" w:ascii="仿宋_GB2312" w:eastAsia="仿宋_GB2312"/>
          <w:color w:val="auto"/>
          <w:sz w:val="32"/>
          <w:szCs w:val="32"/>
        </w:rPr>
      </w:pPr>
      <w:r>
        <w:rPr>
          <w:rFonts w:hint="eastAsia" w:ascii="仿宋_GB2312" w:eastAsia="仿宋_GB2312"/>
          <w:color w:val="auto"/>
          <w:sz w:val="32"/>
          <w:szCs w:val="32"/>
        </w:rPr>
        <w:t>202</w:t>
      </w:r>
      <w:r>
        <w:rPr>
          <w:rFonts w:hint="default" w:ascii="仿宋_GB2312" w:eastAsia="仿宋_GB2312"/>
          <w:color w:val="auto"/>
          <w:sz w:val="32"/>
          <w:szCs w:val="32"/>
          <w:lang w:val="en-US"/>
        </w:rPr>
        <w:t>2</w:t>
      </w:r>
      <w:r>
        <w:rPr>
          <w:rFonts w:hint="eastAsia" w:ascii="仿宋_GB2312" w:eastAsia="仿宋_GB2312"/>
          <w:color w:val="auto"/>
          <w:sz w:val="32"/>
          <w:szCs w:val="32"/>
        </w:rPr>
        <w:t>年，</w:t>
      </w:r>
      <w:r>
        <w:rPr>
          <w:rFonts w:hint="eastAsia" w:ascii="仿宋_GB2312" w:eastAsia="仿宋_GB2312"/>
          <w:color w:val="auto"/>
          <w:sz w:val="32"/>
          <w:szCs w:val="32"/>
          <w:lang w:eastAsia="zh-CN"/>
        </w:rPr>
        <w:t>园林绿化管理中心</w:t>
      </w:r>
      <w:r>
        <w:rPr>
          <w:rFonts w:hint="eastAsia" w:ascii="仿宋_GB2312" w:eastAsia="仿宋_GB2312"/>
          <w:color w:val="auto"/>
          <w:sz w:val="32"/>
          <w:szCs w:val="32"/>
        </w:rPr>
        <w:t>基本支出年初预算金额为</w:t>
      </w:r>
      <w:r>
        <w:rPr>
          <w:rFonts w:hint="default" w:ascii="仿宋_GB2312" w:eastAsia="仿宋_GB2312"/>
          <w:color w:val="auto"/>
          <w:sz w:val="32"/>
          <w:szCs w:val="32"/>
          <w:lang w:val="en-US" w:eastAsia="zh-CN"/>
        </w:rPr>
        <w:t>3429.47</w:t>
      </w:r>
      <w:r>
        <w:rPr>
          <w:rFonts w:hint="eastAsia" w:ascii="仿宋_GB2312" w:eastAsia="仿宋_GB2312"/>
          <w:color w:val="auto"/>
          <w:sz w:val="32"/>
          <w:szCs w:val="32"/>
        </w:rPr>
        <w:t>万元，支出金额为</w:t>
      </w:r>
      <w:r>
        <w:rPr>
          <w:rFonts w:hint="default" w:ascii="仿宋_GB2312" w:eastAsia="仿宋_GB2312"/>
          <w:color w:val="auto"/>
          <w:sz w:val="32"/>
          <w:szCs w:val="32"/>
          <w:lang w:val="en-US" w:eastAsia="zh-CN"/>
        </w:rPr>
        <w:t>3429.47</w:t>
      </w:r>
      <w:r>
        <w:rPr>
          <w:rFonts w:hint="eastAsia" w:ascii="仿宋_GB2312" w:eastAsia="仿宋_GB2312"/>
          <w:color w:val="auto"/>
          <w:sz w:val="32"/>
          <w:szCs w:val="32"/>
        </w:rPr>
        <w:t>万元，执行率为</w:t>
      </w:r>
      <w:r>
        <w:rPr>
          <w:rFonts w:hint="default" w:ascii="仿宋_GB2312" w:eastAsia="仿宋_GB2312"/>
          <w:color w:val="auto"/>
          <w:sz w:val="32"/>
          <w:szCs w:val="32"/>
          <w:lang w:val="en-US" w:eastAsia="zh-CN"/>
        </w:rPr>
        <w:t>100</w:t>
      </w:r>
      <w:r>
        <w:rPr>
          <w:rFonts w:hint="eastAsia" w:ascii="仿宋_GB2312" w:eastAsia="仿宋_GB2312"/>
          <w:color w:val="auto"/>
          <w:sz w:val="32"/>
          <w:szCs w:val="32"/>
          <w:lang w:val="en-US" w:eastAsia="zh-CN"/>
        </w:rPr>
        <w:t>.0</w:t>
      </w:r>
      <w:r>
        <w:rPr>
          <w:rFonts w:hint="eastAsia" w:ascii="仿宋_GB2312" w:eastAsia="仿宋_GB2312"/>
          <w:color w:val="auto"/>
          <w:sz w:val="32"/>
          <w:szCs w:val="32"/>
        </w:rPr>
        <w:t>%，年中调整预算金额为</w:t>
      </w:r>
      <w:r>
        <w:rPr>
          <w:rFonts w:hint="eastAsia" w:ascii="仿宋_GB2312" w:eastAsia="仿宋_GB2312"/>
          <w:color w:val="auto"/>
          <w:sz w:val="32"/>
          <w:szCs w:val="32"/>
          <w:lang w:val="en-US" w:eastAsia="zh-CN"/>
        </w:rPr>
        <w:t>292.64</w:t>
      </w:r>
      <w:r>
        <w:rPr>
          <w:rFonts w:hint="eastAsia" w:ascii="仿宋_GB2312" w:eastAsia="仿宋_GB2312"/>
          <w:color w:val="auto"/>
          <w:sz w:val="32"/>
          <w:szCs w:val="32"/>
        </w:rPr>
        <w:t>万元。综上，我单位基本支出预算总额为</w:t>
      </w:r>
      <w:r>
        <w:rPr>
          <w:rFonts w:hint="default" w:ascii="仿宋_GB2312" w:eastAsia="仿宋_GB2312"/>
          <w:color w:val="auto"/>
          <w:sz w:val="32"/>
          <w:szCs w:val="32"/>
          <w:lang w:val="en-US" w:eastAsia="zh-CN"/>
        </w:rPr>
        <w:t>3722.1</w:t>
      </w:r>
      <w:r>
        <w:rPr>
          <w:rFonts w:hint="eastAsia" w:ascii="仿宋_GB2312" w:eastAsia="仿宋_GB2312"/>
          <w:color w:val="auto"/>
          <w:sz w:val="32"/>
          <w:szCs w:val="32"/>
          <w:lang w:val="en-US" w:eastAsia="zh-CN"/>
        </w:rPr>
        <w:t>1</w:t>
      </w:r>
      <w:r>
        <w:rPr>
          <w:rFonts w:hint="eastAsia" w:ascii="仿宋_GB2312" w:eastAsia="仿宋_GB2312"/>
          <w:color w:val="auto"/>
          <w:sz w:val="32"/>
          <w:szCs w:val="32"/>
        </w:rPr>
        <w:t>万元，支出总额为</w:t>
      </w:r>
      <w:r>
        <w:rPr>
          <w:rFonts w:hint="default" w:ascii="仿宋_GB2312" w:eastAsia="仿宋_GB2312"/>
          <w:color w:val="auto"/>
          <w:sz w:val="32"/>
          <w:szCs w:val="32"/>
          <w:lang w:val="en-US" w:eastAsia="zh-CN"/>
        </w:rPr>
        <w:t>3722.1</w:t>
      </w:r>
      <w:r>
        <w:rPr>
          <w:rFonts w:hint="eastAsia" w:ascii="仿宋_GB2312" w:eastAsia="仿宋_GB2312"/>
          <w:color w:val="auto"/>
          <w:sz w:val="32"/>
          <w:szCs w:val="32"/>
          <w:lang w:val="en-US" w:eastAsia="zh-CN"/>
        </w:rPr>
        <w:t>1</w:t>
      </w:r>
      <w:r>
        <w:rPr>
          <w:rFonts w:hint="eastAsia" w:ascii="仿宋_GB2312" w:eastAsia="仿宋_GB2312"/>
          <w:color w:val="auto"/>
          <w:sz w:val="32"/>
          <w:szCs w:val="32"/>
        </w:rPr>
        <w:t>万元，预算总执行率为</w:t>
      </w:r>
      <w:r>
        <w:rPr>
          <w:rFonts w:hint="default" w:ascii="仿宋_GB2312" w:eastAsia="仿宋_GB2312"/>
          <w:color w:val="auto"/>
          <w:sz w:val="32"/>
          <w:szCs w:val="32"/>
          <w:lang w:val="en-US"/>
        </w:rPr>
        <w:t>100</w:t>
      </w:r>
      <w:r>
        <w:rPr>
          <w:rFonts w:hint="eastAsia" w:ascii="仿宋_GB2312" w:eastAsia="仿宋_GB2312"/>
          <w:color w:val="auto"/>
          <w:sz w:val="32"/>
          <w:szCs w:val="32"/>
          <w:lang w:val="en-US" w:eastAsia="zh-CN"/>
        </w:rPr>
        <w:t>.0</w:t>
      </w:r>
      <w:r>
        <w:rPr>
          <w:rFonts w:hint="eastAsia" w:ascii="仿宋_GB2312" w:eastAsia="仿宋_GB2312"/>
          <w:color w:val="auto"/>
          <w:sz w:val="32"/>
          <w:szCs w:val="32"/>
        </w:rPr>
        <w:t>%，其中人员经费</w:t>
      </w:r>
      <w:r>
        <w:rPr>
          <w:rFonts w:hint="default" w:ascii="仿宋_GB2312" w:eastAsia="仿宋_GB2312"/>
          <w:color w:val="auto"/>
          <w:sz w:val="32"/>
          <w:szCs w:val="32"/>
          <w:lang w:val="en-US" w:eastAsia="zh-CN"/>
        </w:rPr>
        <w:t>3660.5</w:t>
      </w:r>
      <w:r>
        <w:rPr>
          <w:rFonts w:hint="eastAsia" w:ascii="仿宋_GB2312" w:eastAsia="仿宋_GB2312"/>
          <w:color w:val="auto"/>
          <w:sz w:val="32"/>
          <w:szCs w:val="32"/>
          <w:lang w:val="en-US" w:eastAsia="zh-CN"/>
        </w:rPr>
        <w:t>4</w:t>
      </w:r>
      <w:r>
        <w:rPr>
          <w:rFonts w:hint="eastAsia" w:ascii="仿宋_GB2312" w:eastAsia="仿宋_GB2312"/>
          <w:color w:val="auto"/>
          <w:sz w:val="32"/>
          <w:szCs w:val="32"/>
        </w:rPr>
        <w:t>万元，公用经费</w:t>
      </w:r>
      <w:r>
        <w:rPr>
          <w:rFonts w:hint="default" w:ascii="仿宋_GB2312" w:eastAsia="仿宋_GB2312"/>
          <w:color w:val="auto"/>
          <w:sz w:val="32"/>
          <w:szCs w:val="32"/>
          <w:lang w:val="en-US" w:eastAsia="zh-CN"/>
        </w:rPr>
        <w:t>61.57</w:t>
      </w:r>
      <w:r>
        <w:rPr>
          <w:rFonts w:hint="eastAsia" w:ascii="仿宋_GB2312" w:eastAsia="仿宋_GB2312"/>
          <w:color w:val="auto"/>
          <w:sz w:val="32"/>
          <w:szCs w:val="32"/>
        </w:rPr>
        <w:t>万元。</w:t>
      </w:r>
    </w:p>
    <w:p>
      <w:pPr>
        <w:ind w:firstLine="640"/>
        <w:rPr>
          <w:rFonts w:ascii="仿宋_GB2312" w:eastAsia="仿宋_GB2312"/>
          <w:b/>
          <w:bCs/>
          <w:sz w:val="32"/>
          <w:szCs w:val="32"/>
        </w:rPr>
      </w:pPr>
      <w:r>
        <w:rPr>
          <w:rFonts w:hint="eastAsia" w:ascii="仿宋_GB2312" w:eastAsia="仿宋_GB2312"/>
          <w:b/>
          <w:bCs/>
          <w:sz w:val="32"/>
          <w:szCs w:val="32"/>
        </w:rPr>
        <w:t>2.“三公”经费情况</w:t>
      </w:r>
    </w:p>
    <w:p>
      <w:pPr>
        <w:ind w:firstLine="640"/>
        <w:jc w:val="left"/>
        <w:rPr>
          <w:color w:val="auto"/>
        </w:rPr>
      </w:pPr>
      <w:r>
        <w:rPr>
          <w:rFonts w:hint="eastAsia" w:ascii="仿宋_GB2312" w:eastAsia="仿宋_GB2312" w:cs="宋体"/>
          <w:color w:val="auto"/>
          <w:sz w:val="32"/>
          <w:szCs w:val="32"/>
          <w:lang w:eastAsia="zh-CN"/>
        </w:rPr>
        <w:t>我</w:t>
      </w:r>
      <w:r>
        <w:rPr>
          <w:rFonts w:hint="eastAsia" w:ascii="仿宋_GB2312" w:eastAsia="仿宋_GB2312" w:cs="宋体"/>
          <w:color w:val="auto"/>
          <w:sz w:val="32"/>
          <w:szCs w:val="32"/>
        </w:rPr>
        <w:t>单位认真贯彻落实中央关于厉行节约的有关规定，严格执行《党政机关厉行节约反对浪费条例》，202</w:t>
      </w:r>
      <w:r>
        <w:rPr>
          <w:rFonts w:hint="default" w:ascii="仿宋_GB2312" w:eastAsia="仿宋_GB2312" w:cs="宋体"/>
          <w:color w:val="auto"/>
          <w:sz w:val="32"/>
          <w:szCs w:val="32"/>
          <w:lang w:val="en-US"/>
        </w:rPr>
        <w:t>2</w:t>
      </w:r>
      <w:r>
        <w:rPr>
          <w:rFonts w:hint="eastAsia" w:ascii="仿宋_GB2312" w:eastAsia="仿宋_GB2312" w:cs="宋体"/>
          <w:color w:val="auto"/>
          <w:sz w:val="32"/>
          <w:szCs w:val="32"/>
        </w:rPr>
        <w:t>年“三公”经费预算数为</w:t>
      </w:r>
      <w:r>
        <w:rPr>
          <w:rFonts w:hint="eastAsia" w:ascii="仿宋_GB2312" w:eastAsia="仿宋_GB2312" w:cs="宋体"/>
          <w:color w:val="auto"/>
          <w:sz w:val="32"/>
          <w:szCs w:val="32"/>
          <w:lang w:val="en-US" w:eastAsia="zh-CN"/>
        </w:rPr>
        <w:t>4.80</w:t>
      </w:r>
      <w:r>
        <w:rPr>
          <w:rFonts w:hint="eastAsia" w:ascii="仿宋_GB2312" w:eastAsia="仿宋_GB2312" w:cs="宋体"/>
          <w:color w:val="auto"/>
          <w:sz w:val="32"/>
          <w:szCs w:val="32"/>
        </w:rPr>
        <w:t>万元，其中：因公出国（境）费</w:t>
      </w:r>
      <w:r>
        <w:rPr>
          <w:rFonts w:hint="eastAsia" w:ascii="仿宋_GB2312" w:eastAsia="仿宋_GB2312" w:cs="宋体"/>
          <w:color w:val="auto"/>
          <w:sz w:val="32"/>
          <w:szCs w:val="32"/>
          <w:lang w:val="en-US" w:eastAsia="zh-CN"/>
        </w:rPr>
        <w:t>0.00</w:t>
      </w:r>
      <w:r>
        <w:rPr>
          <w:rFonts w:hint="eastAsia" w:ascii="仿宋_GB2312" w:eastAsia="仿宋_GB2312" w:cs="宋体"/>
          <w:color w:val="auto"/>
          <w:sz w:val="32"/>
          <w:szCs w:val="32"/>
        </w:rPr>
        <w:t>万元，公务用车购置及运行费</w:t>
      </w:r>
      <w:r>
        <w:rPr>
          <w:rFonts w:hint="eastAsia" w:ascii="仿宋_GB2312" w:eastAsia="仿宋_GB2312" w:cs="宋体"/>
          <w:color w:val="auto"/>
          <w:sz w:val="32"/>
          <w:szCs w:val="32"/>
          <w:lang w:val="en-US" w:eastAsia="zh-CN"/>
        </w:rPr>
        <w:t>4.80</w:t>
      </w:r>
      <w:r>
        <w:rPr>
          <w:rFonts w:hint="eastAsia" w:ascii="仿宋_GB2312" w:eastAsia="仿宋_GB2312" w:cs="宋体"/>
          <w:color w:val="auto"/>
          <w:sz w:val="32"/>
          <w:szCs w:val="32"/>
        </w:rPr>
        <w:t>万元（其中公务用车购置为</w:t>
      </w:r>
      <w:r>
        <w:rPr>
          <w:rFonts w:hint="eastAsia" w:ascii="仿宋_GB2312" w:eastAsia="仿宋_GB2312" w:cs="宋体"/>
          <w:color w:val="auto"/>
          <w:sz w:val="32"/>
          <w:szCs w:val="32"/>
          <w:lang w:val="en-US" w:eastAsia="zh-CN"/>
        </w:rPr>
        <w:t>0.00</w:t>
      </w:r>
      <w:r>
        <w:rPr>
          <w:rFonts w:hint="eastAsia" w:ascii="仿宋_GB2312" w:eastAsia="仿宋_GB2312" w:cs="宋体"/>
          <w:color w:val="auto"/>
          <w:sz w:val="32"/>
          <w:szCs w:val="32"/>
        </w:rPr>
        <w:t>万元），公务接待费</w:t>
      </w:r>
      <w:r>
        <w:rPr>
          <w:rFonts w:hint="eastAsia" w:ascii="仿宋_GB2312" w:eastAsia="仿宋_GB2312" w:cs="宋体"/>
          <w:color w:val="auto"/>
          <w:sz w:val="32"/>
          <w:szCs w:val="32"/>
          <w:lang w:val="en-US" w:eastAsia="zh-CN"/>
        </w:rPr>
        <w:t>0.00</w:t>
      </w:r>
      <w:r>
        <w:rPr>
          <w:rFonts w:hint="eastAsia" w:ascii="仿宋_GB2312" w:eastAsia="仿宋_GB2312" w:cs="宋体"/>
          <w:color w:val="auto"/>
          <w:sz w:val="32"/>
          <w:szCs w:val="32"/>
        </w:rPr>
        <w:t>万元。</w:t>
      </w:r>
    </w:p>
    <w:p>
      <w:pPr>
        <w:ind w:firstLine="681" w:firstLineChars="213"/>
        <w:jc w:val="left"/>
        <w:rPr>
          <w:rFonts w:hint="eastAsia" w:ascii="仿宋_GB2312" w:eastAsia="仿宋_GB2312" w:cs="宋体"/>
          <w:color w:val="auto"/>
          <w:sz w:val="32"/>
          <w:szCs w:val="32"/>
          <w:lang w:val="en-US" w:eastAsia="zh-CN"/>
        </w:rPr>
      </w:pPr>
      <w:r>
        <w:rPr>
          <w:rFonts w:hint="eastAsia" w:ascii="仿宋_GB2312" w:eastAsia="仿宋_GB2312" w:cs="宋体"/>
          <w:color w:val="auto"/>
          <w:sz w:val="32"/>
          <w:szCs w:val="32"/>
        </w:rPr>
        <w:t>202</w:t>
      </w:r>
      <w:r>
        <w:rPr>
          <w:rFonts w:hint="default" w:ascii="仿宋_GB2312" w:eastAsia="仿宋_GB2312" w:cs="宋体"/>
          <w:color w:val="auto"/>
          <w:sz w:val="32"/>
          <w:szCs w:val="32"/>
          <w:lang w:val="en-US"/>
        </w:rPr>
        <w:t>2</w:t>
      </w:r>
      <w:r>
        <w:rPr>
          <w:rFonts w:hint="eastAsia" w:ascii="仿宋_GB2312" w:eastAsia="仿宋_GB2312" w:cs="宋体"/>
          <w:color w:val="auto"/>
          <w:sz w:val="32"/>
          <w:szCs w:val="32"/>
        </w:rPr>
        <w:t>年，全年“三公”经费决算支出</w:t>
      </w:r>
      <w:r>
        <w:rPr>
          <w:rFonts w:hint="eastAsia" w:ascii="仿宋_GB2312" w:eastAsia="仿宋_GB2312" w:cs="宋体"/>
          <w:color w:val="auto"/>
          <w:sz w:val="32"/>
          <w:szCs w:val="32"/>
          <w:lang w:val="en-US" w:eastAsia="zh-CN"/>
        </w:rPr>
        <w:t>4.80</w:t>
      </w:r>
      <w:r>
        <w:rPr>
          <w:rFonts w:hint="eastAsia" w:ascii="仿宋_GB2312" w:eastAsia="仿宋_GB2312" w:cs="宋体"/>
          <w:color w:val="auto"/>
          <w:sz w:val="32"/>
          <w:szCs w:val="32"/>
        </w:rPr>
        <w:t>万元，其中：因公出国（境）费用</w:t>
      </w:r>
      <w:r>
        <w:rPr>
          <w:rFonts w:hint="eastAsia" w:ascii="仿宋_GB2312" w:eastAsia="仿宋_GB2312" w:cs="宋体"/>
          <w:color w:val="auto"/>
          <w:sz w:val="32"/>
          <w:szCs w:val="32"/>
          <w:lang w:val="en-US" w:eastAsia="zh-CN"/>
        </w:rPr>
        <w:t>0.00</w:t>
      </w:r>
      <w:r>
        <w:rPr>
          <w:rFonts w:hint="eastAsia" w:ascii="仿宋_GB2312" w:eastAsia="仿宋_GB2312" w:cs="宋体"/>
          <w:color w:val="auto"/>
          <w:sz w:val="32"/>
          <w:szCs w:val="32"/>
        </w:rPr>
        <w:t>万元、公务用车购置及运行费</w:t>
      </w:r>
      <w:r>
        <w:rPr>
          <w:rFonts w:hint="eastAsia" w:ascii="仿宋_GB2312" w:eastAsia="仿宋_GB2312" w:cs="宋体"/>
          <w:color w:val="auto"/>
          <w:sz w:val="32"/>
          <w:szCs w:val="32"/>
          <w:lang w:val="en-US" w:eastAsia="zh-CN"/>
        </w:rPr>
        <w:t>4.8</w:t>
      </w:r>
      <w:r>
        <w:rPr>
          <w:rFonts w:hint="eastAsia" w:ascii="仿宋_GB2312" w:eastAsia="仿宋_GB2312" w:cs="宋体"/>
          <w:color w:val="auto"/>
          <w:sz w:val="32"/>
          <w:szCs w:val="32"/>
        </w:rPr>
        <w:t>万元（其中公务用车购置为</w:t>
      </w:r>
      <w:r>
        <w:rPr>
          <w:rFonts w:hint="eastAsia" w:ascii="仿宋_GB2312" w:eastAsia="仿宋_GB2312" w:cs="宋体"/>
          <w:color w:val="auto"/>
          <w:sz w:val="32"/>
          <w:szCs w:val="32"/>
          <w:lang w:val="en-US" w:eastAsia="zh-CN"/>
        </w:rPr>
        <w:t>0.00</w:t>
      </w:r>
      <w:r>
        <w:rPr>
          <w:rFonts w:hint="eastAsia" w:ascii="仿宋_GB2312" w:eastAsia="仿宋_GB2312" w:cs="宋体"/>
          <w:color w:val="auto"/>
          <w:sz w:val="32"/>
          <w:szCs w:val="32"/>
        </w:rPr>
        <w:t>万元）、公务接待费</w:t>
      </w:r>
      <w:r>
        <w:rPr>
          <w:rFonts w:hint="eastAsia" w:ascii="仿宋_GB2312" w:eastAsia="仿宋_GB2312" w:cs="宋体"/>
          <w:color w:val="auto"/>
          <w:sz w:val="32"/>
          <w:szCs w:val="32"/>
          <w:lang w:val="en-US" w:eastAsia="zh-CN"/>
        </w:rPr>
        <w:t>0.00</w:t>
      </w:r>
      <w:r>
        <w:rPr>
          <w:rFonts w:hint="eastAsia" w:ascii="仿宋_GB2312" w:eastAsia="仿宋_GB2312" w:cs="宋体"/>
          <w:color w:val="auto"/>
          <w:sz w:val="32"/>
          <w:szCs w:val="32"/>
        </w:rPr>
        <w:t>万元。较上年“三公”经费决算支出</w:t>
      </w:r>
      <w:r>
        <w:rPr>
          <w:rFonts w:hint="eastAsia" w:ascii="仿宋_GB2312" w:eastAsia="仿宋_GB2312" w:cs="宋体"/>
          <w:color w:val="auto"/>
          <w:sz w:val="32"/>
          <w:szCs w:val="32"/>
          <w:lang w:val="en-US" w:eastAsia="zh-CN"/>
        </w:rPr>
        <w:t>4.80</w:t>
      </w:r>
      <w:r>
        <w:rPr>
          <w:rFonts w:hint="eastAsia" w:ascii="仿宋_GB2312" w:eastAsia="仿宋_GB2312" w:cs="宋体"/>
          <w:color w:val="auto"/>
          <w:sz w:val="32"/>
          <w:szCs w:val="32"/>
        </w:rPr>
        <w:t>万元，增加</w:t>
      </w:r>
      <w:r>
        <w:rPr>
          <w:rFonts w:hint="eastAsia" w:ascii="仿宋_GB2312" w:eastAsia="仿宋_GB2312" w:cs="宋体"/>
          <w:color w:val="auto"/>
          <w:sz w:val="32"/>
          <w:szCs w:val="32"/>
          <w:lang w:val="en-US" w:eastAsia="zh-CN"/>
        </w:rPr>
        <w:t>0.00</w:t>
      </w:r>
      <w:r>
        <w:rPr>
          <w:rFonts w:hint="eastAsia" w:ascii="仿宋_GB2312" w:eastAsia="仿宋_GB2312" w:cs="宋体"/>
          <w:color w:val="auto"/>
          <w:sz w:val="32"/>
          <w:szCs w:val="32"/>
        </w:rPr>
        <w:t>万元，增长</w:t>
      </w:r>
      <w:r>
        <w:rPr>
          <w:rFonts w:hint="eastAsia" w:ascii="仿宋_GB2312" w:eastAsia="仿宋_GB2312" w:cs="宋体"/>
          <w:color w:val="auto"/>
          <w:sz w:val="32"/>
          <w:szCs w:val="32"/>
          <w:lang w:val="en-US" w:eastAsia="zh-CN"/>
        </w:rPr>
        <w:t>0.0</w:t>
      </w:r>
      <w:r>
        <w:rPr>
          <w:rFonts w:hint="eastAsia" w:ascii="仿宋_GB2312" w:eastAsia="仿宋_GB2312" w:cs="宋体"/>
          <w:color w:val="auto"/>
          <w:sz w:val="32"/>
          <w:szCs w:val="32"/>
        </w:rPr>
        <w:t>%。</w:t>
      </w:r>
    </w:p>
    <w:p>
      <w:pPr>
        <w:pStyle w:val="4"/>
        <w:ind w:firstLine="640"/>
        <w:rPr>
          <w:rFonts w:ascii="楷体_GB2312" w:eastAsia="楷体_GB2312"/>
          <w:szCs w:val="32"/>
        </w:rPr>
      </w:pPr>
      <w:r>
        <w:rPr>
          <w:rFonts w:hint="eastAsia" w:ascii="楷体_GB2312" w:eastAsia="楷体_GB2312"/>
          <w:szCs w:val="32"/>
        </w:rPr>
        <w:t>（三）项目支出</w:t>
      </w:r>
      <w:r>
        <w:rPr>
          <w:rFonts w:hint="eastAsia" w:ascii="楷体_GB2312" w:hAnsi="Cambria" w:eastAsia="楷体_GB2312"/>
          <w:szCs w:val="32"/>
        </w:rPr>
        <w:t>预算安排及支出情况</w:t>
      </w:r>
    </w:p>
    <w:p>
      <w:pPr>
        <w:ind w:firstLine="640"/>
        <w:rPr>
          <w:rFonts w:ascii="仿宋_GB2312" w:eastAsia="仿宋_GB2312"/>
          <w:b/>
          <w:bCs/>
          <w:sz w:val="32"/>
          <w:szCs w:val="32"/>
        </w:rPr>
      </w:pPr>
      <w:r>
        <w:rPr>
          <w:rFonts w:hint="eastAsia" w:ascii="仿宋_GB2312" w:eastAsia="仿宋_GB2312"/>
          <w:b/>
          <w:bCs/>
          <w:sz w:val="32"/>
          <w:szCs w:val="32"/>
        </w:rPr>
        <w:t>1.项目支出情况</w:t>
      </w:r>
    </w:p>
    <w:p>
      <w:pPr>
        <w:ind w:firstLine="640"/>
        <w:rPr>
          <w:rFonts w:hint="default" w:ascii="仿宋_GB2312" w:eastAsia="仿宋_GB2312"/>
          <w:color w:val="auto"/>
          <w:sz w:val="32"/>
          <w:szCs w:val="32"/>
          <w:highlight w:val="none"/>
          <w:shd w:val="clear" w:color="auto" w:fill="auto"/>
          <w:lang w:val="en-US" w:eastAsia="zh-CN"/>
        </w:rPr>
      </w:pPr>
      <w:r>
        <w:rPr>
          <w:rFonts w:hint="eastAsia" w:ascii="仿宋_GB2312" w:eastAsia="仿宋_GB2312"/>
          <w:color w:val="auto"/>
          <w:sz w:val="32"/>
          <w:szCs w:val="32"/>
          <w:highlight w:val="none"/>
          <w:shd w:val="clear" w:color="auto" w:fill="auto"/>
        </w:rPr>
        <w:t>202</w:t>
      </w:r>
      <w:r>
        <w:rPr>
          <w:rFonts w:hint="default" w:ascii="仿宋_GB2312" w:eastAsia="仿宋_GB2312"/>
          <w:color w:val="auto"/>
          <w:sz w:val="32"/>
          <w:szCs w:val="32"/>
          <w:highlight w:val="none"/>
          <w:shd w:val="clear" w:color="auto" w:fill="auto"/>
          <w:lang w:val="en-US"/>
        </w:rPr>
        <w:t>2</w:t>
      </w:r>
      <w:r>
        <w:rPr>
          <w:rFonts w:hint="eastAsia" w:ascii="仿宋_GB2312" w:eastAsia="仿宋_GB2312"/>
          <w:color w:val="auto"/>
          <w:sz w:val="32"/>
          <w:szCs w:val="32"/>
          <w:highlight w:val="none"/>
          <w:shd w:val="clear" w:color="auto" w:fill="auto"/>
        </w:rPr>
        <w:t>年本单位全</w:t>
      </w:r>
      <w:r>
        <w:rPr>
          <w:rFonts w:hint="eastAsia" w:ascii="仿宋_GB2312" w:eastAsia="仿宋_GB2312"/>
          <w:color w:val="auto"/>
          <w:sz w:val="32"/>
          <w:szCs w:val="32"/>
          <w:highlight w:val="none"/>
          <w:shd w:val="clear" w:color="auto" w:fill="auto"/>
          <w:lang w:eastAsia="zh-CN"/>
        </w:rPr>
        <w:t>年</w:t>
      </w:r>
      <w:r>
        <w:rPr>
          <w:rFonts w:hint="eastAsia" w:ascii="仿宋_GB2312" w:eastAsia="仿宋_GB2312"/>
          <w:color w:val="auto"/>
          <w:sz w:val="32"/>
          <w:szCs w:val="32"/>
          <w:highlight w:val="none"/>
          <w:shd w:val="clear" w:color="auto" w:fill="auto"/>
        </w:rPr>
        <w:t>安排中央、自治区、地区、</w:t>
      </w:r>
      <w:r>
        <w:rPr>
          <w:rFonts w:ascii="仿宋_GB2312" w:eastAsia="仿宋_GB2312"/>
          <w:color w:val="auto"/>
          <w:sz w:val="32"/>
          <w:szCs w:val="32"/>
          <w:highlight w:val="none"/>
          <w:shd w:val="clear" w:color="auto" w:fill="auto"/>
        </w:rPr>
        <w:t>县</w:t>
      </w:r>
      <w:r>
        <w:rPr>
          <w:rFonts w:hint="eastAsia" w:ascii="仿宋_GB2312" w:eastAsia="仿宋_GB2312"/>
          <w:color w:val="auto"/>
          <w:sz w:val="32"/>
          <w:szCs w:val="32"/>
          <w:highlight w:val="none"/>
          <w:shd w:val="clear" w:color="auto" w:fill="auto"/>
        </w:rPr>
        <w:t>本级项目支出预算</w:t>
      </w:r>
      <w:r>
        <w:rPr>
          <w:rFonts w:hint="eastAsia" w:ascii="仿宋_GB2312" w:eastAsia="仿宋_GB2312"/>
          <w:color w:val="auto"/>
          <w:sz w:val="32"/>
          <w:szCs w:val="32"/>
          <w:highlight w:val="none"/>
          <w:shd w:val="clear" w:color="auto" w:fill="auto"/>
          <w:lang w:val="en-US" w:eastAsia="zh-CN"/>
        </w:rPr>
        <w:t>280万元</w:t>
      </w:r>
      <w:r>
        <w:rPr>
          <w:rFonts w:hint="eastAsia" w:ascii="仿宋_GB2312" w:eastAsia="仿宋_GB2312"/>
          <w:color w:val="auto"/>
          <w:sz w:val="32"/>
          <w:szCs w:val="32"/>
          <w:highlight w:val="none"/>
          <w:shd w:val="clear" w:color="auto" w:fill="auto"/>
        </w:rPr>
        <w:t>。</w:t>
      </w:r>
      <w:r>
        <w:rPr>
          <w:rFonts w:hint="eastAsia"/>
          <w:color w:val="000000"/>
          <w:sz w:val="32"/>
          <w:szCs w:val="32"/>
          <w:lang w:val="en-US" w:eastAsia="zh-CN"/>
        </w:rPr>
        <w:t>均用于支付绿化水费、绿化电费、绿化用车运行维护费及日常游园、公园其他设施维修维护等方面。</w:t>
      </w:r>
      <w:r>
        <w:rPr>
          <w:rFonts w:hint="eastAsia" w:ascii="仿宋_GB2312" w:eastAsia="仿宋_GB2312" w:cs="仿宋"/>
          <w:color w:val="auto"/>
          <w:sz w:val="32"/>
          <w:szCs w:val="32"/>
        </w:rPr>
        <w:t>预算批复后，严格按照财政部门批复的预算和绩效目标执行。</w:t>
      </w:r>
    </w:p>
    <w:p>
      <w:pPr>
        <w:pStyle w:val="2"/>
        <w:rPr>
          <w:rFonts w:hint="default" w:ascii="仿宋_GB2312" w:eastAsia="仿宋_GB2312"/>
          <w:color w:val="auto"/>
          <w:sz w:val="32"/>
          <w:szCs w:val="32"/>
          <w:highlight w:val="none"/>
          <w:shd w:val="clear" w:color="auto" w:fill="auto"/>
          <w:lang w:val="en-US" w:eastAsia="zh-CN"/>
        </w:rPr>
      </w:pPr>
      <w:r>
        <w:rPr>
          <w:rFonts w:hint="eastAsia" w:ascii="仿宋_GB2312" w:eastAsia="仿宋_GB2312"/>
          <w:color w:val="auto"/>
          <w:sz w:val="32"/>
          <w:szCs w:val="32"/>
          <w:highlight w:val="none"/>
          <w:shd w:val="clear" w:color="auto" w:fill="auto"/>
          <w:lang w:val="en-US" w:eastAsia="zh-CN"/>
        </w:rPr>
        <w:t>2022涉及专项经费14个。县本级项目支出13个，州级项目1个。</w:t>
      </w:r>
    </w:p>
    <w:tbl>
      <w:tblPr>
        <w:tblStyle w:val="11"/>
        <w:tblW w:w="8277" w:type="dxa"/>
        <w:tblInd w:w="0" w:type="dxa"/>
        <w:shd w:val="clear" w:color="auto" w:fill="auto"/>
        <w:tblLayout w:type="autofit"/>
        <w:tblCellMar>
          <w:top w:w="0" w:type="dxa"/>
          <w:left w:w="0" w:type="dxa"/>
          <w:bottom w:w="0" w:type="dxa"/>
          <w:right w:w="0" w:type="dxa"/>
        </w:tblCellMar>
      </w:tblPr>
      <w:tblGrid>
        <w:gridCol w:w="2224"/>
        <w:gridCol w:w="1302"/>
        <w:gridCol w:w="1244"/>
        <w:gridCol w:w="1130"/>
        <w:gridCol w:w="1060"/>
        <w:gridCol w:w="1317"/>
      </w:tblGrid>
      <w:tr>
        <w:tblPrEx>
          <w:tblCellMar>
            <w:top w:w="0" w:type="dxa"/>
            <w:left w:w="0" w:type="dxa"/>
            <w:bottom w:w="0" w:type="dxa"/>
            <w:right w:w="0" w:type="dxa"/>
          </w:tblCellMar>
        </w:tblPrEx>
        <w:trPr>
          <w:trHeight w:val="1040" w:hRule="atLeast"/>
        </w:trPr>
        <w:tc>
          <w:tcPr>
            <w:tcW w:w="2435"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ascii="华文中宋" w:hAnsi="华文中宋" w:eastAsia="华文中宋" w:cs="华文中宋"/>
                <w:i w:val="0"/>
                <w:color w:val="000000"/>
                <w:sz w:val="24"/>
                <w:szCs w:val="24"/>
                <w:u w:val="none"/>
              </w:rPr>
            </w:pPr>
            <w:r>
              <w:rPr>
                <w:rFonts w:hint="eastAsia" w:ascii="华文中宋" w:hAnsi="华文中宋" w:eastAsia="华文中宋" w:cs="华文中宋"/>
                <w:i w:val="0"/>
                <w:color w:val="000000"/>
                <w:kern w:val="0"/>
                <w:sz w:val="24"/>
                <w:szCs w:val="24"/>
                <w:u w:val="none"/>
                <w:lang w:val="en-US" w:eastAsia="zh-CN" w:bidi="ar"/>
              </w:rPr>
              <w:t>项目名称</w:t>
            </w:r>
          </w:p>
        </w:tc>
        <w:tc>
          <w:tcPr>
            <w:tcW w:w="1331"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华文中宋" w:hAnsi="华文中宋" w:eastAsia="华文中宋" w:cs="华文中宋"/>
                <w:i w:val="0"/>
                <w:color w:val="000000"/>
                <w:sz w:val="24"/>
                <w:szCs w:val="24"/>
                <w:u w:val="none"/>
              </w:rPr>
            </w:pPr>
            <w:r>
              <w:rPr>
                <w:rFonts w:hint="eastAsia" w:ascii="华文中宋" w:hAnsi="华文中宋" w:eastAsia="华文中宋" w:cs="华文中宋"/>
                <w:i w:val="0"/>
                <w:color w:val="000000"/>
                <w:kern w:val="0"/>
                <w:sz w:val="24"/>
                <w:szCs w:val="24"/>
                <w:u w:val="none"/>
                <w:lang w:val="en-US" w:eastAsia="zh-CN" w:bidi="ar"/>
              </w:rPr>
              <w:t>预算金额（万元)</w:t>
            </w:r>
          </w:p>
        </w:tc>
        <w:tc>
          <w:tcPr>
            <w:tcW w:w="85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华文中宋" w:hAnsi="华文中宋" w:eastAsia="华文中宋" w:cs="华文中宋"/>
                <w:i w:val="0"/>
                <w:color w:val="000000"/>
                <w:sz w:val="24"/>
                <w:szCs w:val="24"/>
                <w:u w:val="none"/>
              </w:rPr>
            </w:pPr>
            <w:r>
              <w:rPr>
                <w:rFonts w:hint="eastAsia" w:ascii="华文中宋" w:hAnsi="华文中宋" w:eastAsia="华文中宋" w:cs="华文中宋"/>
                <w:i w:val="0"/>
                <w:color w:val="000000"/>
                <w:kern w:val="0"/>
                <w:sz w:val="24"/>
                <w:szCs w:val="24"/>
                <w:u w:val="none"/>
                <w:lang w:val="en-US" w:eastAsia="zh-CN" w:bidi="ar"/>
              </w:rPr>
              <w:t>执行金额</w:t>
            </w:r>
          </w:p>
        </w:tc>
        <w:tc>
          <w:tcPr>
            <w:tcW w:w="1149"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华文中宋" w:hAnsi="华文中宋" w:eastAsia="华文中宋" w:cs="华文中宋"/>
                <w:i w:val="0"/>
                <w:color w:val="000000"/>
                <w:sz w:val="24"/>
                <w:szCs w:val="24"/>
                <w:u w:val="none"/>
              </w:rPr>
            </w:pPr>
            <w:r>
              <w:rPr>
                <w:rFonts w:hint="eastAsia" w:ascii="华文中宋" w:hAnsi="华文中宋" w:eastAsia="华文中宋" w:cs="华文中宋"/>
                <w:i w:val="0"/>
                <w:color w:val="000000"/>
                <w:kern w:val="0"/>
                <w:sz w:val="24"/>
                <w:szCs w:val="24"/>
                <w:u w:val="none"/>
                <w:lang w:val="en-US" w:eastAsia="zh-CN" w:bidi="ar"/>
              </w:rPr>
              <w:t>执行率</w:t>
            </w:r>
          </w:p>
        </w:tc>
        <w:tc>
          <w:tcPr>
            <w:tcW w:w="1101"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华文中宋" w:hAnsi="华文中宋" w:eastAsia="华文中宋" w:cs="华文中宋"/>
                <w:i w:val="0"/>
                <w:color w:val="000000"/>
                <w:sz w:val="24"/>
                <w:szCs w:val="24"/>
                <w:u w:val="none"/>
              </w:rPr>
            </w:pPr>
            <w:r>
              <w:rPr>
                <w:rFonts w:hint="eastAsia" w:ascii="华文中宋" w:hAnsi="华文中宋" w:eastAsia="华文中宋" w:cs="华文中宋"/>
                <w:i w:val="0"/>
                <w:color w:val="000000"/>
                <w:kern w:val="0"/>
                <w:sz w:val="24"/>
                <w:szCs w:val="24"/>
                <w:u w:val="none"/>
                <w:lang w:val="en-US" w:eastAsia="zh-CN" w:bidi="ar"/>
              </w:rPr>
              <w:t>项目是否完成</w:t>
            </w:r>
          </w:p>
        </w:tc>
        <w:tc>
          <w:tcPr>
            <w:tcW w:w="1404"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华文中宋" w:hAnsi="华文中宋" w:eastAsia="华文中宋" w:cs="华文中宋"/>
                <w:i w:val="0"/>
                <w:color w:val="000000"/>
                <w:sz w:val="24"/>
                <w:szCs w:val="24"/>
                <w:u w:val="none"/>
              </w:rPr>
            </w:pPr>
            <w:r>
              <w:rPr>
                <w:rFonts w:hint="eastAsia" w:ascii="华文中宋" w:hAnsi="华文中宋" w:eastAsia="华文中宋" w:cs="华文中宋"/>
                <w:i w:val="0"/>
                <w:color w:val="000000"/>
                <w:kern w:val="0"/>
                <w:sz w:val="24"/>
                <w:szCs w:val="24"/>
                <w:u w:val="none"/>
                <w:lang w:val="en-US" w:eastAsia="zh-CN" w:bidi="ar"/>
              </w:rPr>
              <w:t>是否上级专项资金</w:t>
            </w:r>
          </w:p>
        </w:tc>
      </w:tr>
      <w:tr>
        <w:tblPrEx>
          <w:tblCellMar>
            <w:top w:w="0" w:type="dxa"/>
            <w:left w:w="0" w:type="dxa"/>
            <w:bottom w:w="0" w:type="dxa"/>
            <w:right w:w="0" w:type="dxa"/>
          </w:tblCellMar>
        </w:tblPrEx>
        <w:trPr>
          <w:trHeight w:val="700" w:hRule="atLeast"/>
        </w:trPr>
        <w:tc>
          <w:tcPr>
            <w:tcW w:w="2435"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园林绿化管理中心财政补助经费项目</w:t>
            </w:r>
          </w:p>
        </w:tc>
        <w:tc>
          <w:tcPr>
            <w:tcW w:w="1331"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280</w:t>
            </w:r>
          </w:p>
        </w:tc>
        <w:tc>
          <w:tcPr>
            <w:tcW w:w="85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200.57</w:t>
            </w:r>
          </w:p>
        </w:tc>
        <w:tc>
          <w:tcPr>
            <w:tcW w:w="1149"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100%</w:t>
            </w:r>
          </w:p>
        </w:tc>
        <w:tc>
          <w:tcPr>
            <w:tcW w:w="1101"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是</w:t>
            </w:r>
          </w:p>
        </w:tc>
        <w:tc>
          <w:tcPr>
            <w:tcW w:w="1404"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否</w:t>
            </w:r>
          </w:p>
        </w:tc>
      </w:tr>
      <w:tr>
        <w:tblPrEx>
          <w:shd w:val="clear" w:color="auto" w:fill="auto"/>
          <w:tblCellMar>
            <w:top w:w="0" w:type="dxa"/>
            <w:left w:w="0" w:type="dxa"/>
            <w:bottom w:w="0" w:type="dxa"/>
            <w:right w:w="0" w:type="dxa"/>
          </w:tblCellMar>
        </w:tblPrEx>
        <w:trPr>
          <w:trHeight w:val="700" w:hRule="atLeast"/>
        </w:trPr>
        <w:tc>
          <w:tcPr>
            <w:tcW w:w="2435"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涉及信访问题相关资金</w:t>
            </w:r>
          </w:p>
        </w:tc>
        <w:tc>
          <w:tcPr>
            <w:tcW w:w="1331"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157</w:t>
            </w:r>
          </w:p>
        </w:tc>
        <w:tc>
          <w:tcPr>
            <w:tcW w:w="85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157</w:t>
            </w:r>
          </w:p>
        </w:tc>
        <w:tc>
          <w:tcPr>
            <w:tcW w:w="1149"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100%</w:t>
            </w:r>
          </w:p>
        </w:tc>
        <w:tc>
          <w:tcPr>
            <w:tcW w:w="1101"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是</w:t>
            </w:r>
          </w:p>
        </w:tc>
        <w:tc>
          <w:tcPr>
            <w:tcW w:w="1404"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否</w:t>
            </w:r>
          </w:p>
        </w:tc>
      </w:tr>
      <w:tr>
        <w:tblPrEx>
          <w:shd w:val="clear" w:color="auto" w:fill="auto"/>
          <w:tblCellMar>
            <w:top w:w="0" w:type="dxa"/>
            <w:left w:w="0" w:type="dxa"/>
            <w:bottom w:w="0" w:type="dxa"/>
            <w:right w:w="0" w:type="dxa"/>
          </w:tblCellMar>
        </w:tblPrEx>
        <w:trPr>
          <w:trHeight w:val="960" w:hRule="atLeast"/>
        </w:trPr>
        <w:tc>
          <w:tcPr>
            <w:tcW w:w="2435"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马纳夫.哈山承包用地上苗木及附着物征收补偿款</w:t>
            </w:r>
          </w:p>
        </w:tc>
        <w:tc>
          <w:tcPr>
            <w:tcW w:w="1331"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10</w:t>
            </w:r>
          </w:p>
        </w:tc>
        <w:tc>
          <w:tcPr>
            <w:tcW w:w="85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10</w:t>
            </w:r>
          </w:p>
        </w:tc>
        <w:tc>
          <w:tcPr>
            <w:tcW w:w="1149"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100%</w:t>
            </w:r>
          </w:p>
        </w:tc>
        <w:tc>
          <w:tcPr>
            <w:tcW w:w="1101"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是</w:t>
            </w:r>
          </w:p>
        </w:tc>
        <w:tc>
          <w:tcPr>
            <w:tcW w:w="1404"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否</w:t>
            </w:r>
          </w:p>
        </w:tc>
      </w:tr>
      <w:tr>
        <w:tblPrEx>
          <w:tblCellMar>
            <w:top w:w="0" w:type="dxa"/>
            <w:left w:w="0" w:type="dxa"/>
            <w:bottom w:w="0" w:type="dxa"/>
            <w:right w:w="0" w:type="dxa"/>
          </w:tblCellMar>
        </w:tblPrEx>
        <w:trPr>
          <w:trHeight w:val="960" w:hRule="atLeast"/>
        </w:trPr>
        <w:tc>
          <w:tcPr>
            <w:tcW w:w="2435"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市园林中心2015-2016年度春季绿化项目工程款</w:t>
            </w:r>
          </w:p>
        </w:tc>
        <w:tc>
          <w:tcPr>
            <w:tcW w:w="1331"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10</w:t>
            </w:r>
          </w:p>
        </w:tc>
        <w:tc>
          <w:tcPr>
            <w:tcW w:w="85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10</w:t>
            </w:r>
          </w:p>
        </w:tc>
        <w:tc>
          <w:tcPr>
            <w:tcW w:w="1149"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100%</w:t>
            </w:r>
          </w:p>
        </w:tc>
        <w:tc>
          <w:tcPr>
            <w:tcW w:w="1101"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是</w:t>
            </w:r>
          </w:p>
        </w:tc>
        <w:tc>
          <w:tcPr>
            <w:tcW w:w="1404"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否</w:t>
            </w:r>
          </w:p>
        </w:tc>
      </w:tr>
      <w:tr>
        <w:tblPrEx>
          <w:tblCellMar>
            <w:top w:w="0" w:type="dxa"/>
            <w:left w:w="0" w:type="dxa"/>
            <w:bottom w:w="0" w:type="dxa"/>
            <w:right w:w="0" w:type="dxa"/>
          </w:tblCellMar>
        </w:tblPrEx>
        <w:trPr>
          <w:trHeight w:val="960" w:hRule="atLeast"/>
        </w:trPr>
        <w:tc>
          <w:tcPr>
            <w:tcW w:w="2435"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新疆浩麟、德万方、东方翰宇三家公司工程款及设计欠款</w:t>
            </w:r>
          </w:p>
        </w:tc>
        <w:tc>
          <w:tcPr>
            <w:tcW w:w="1331"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20</w:t>
            </w:r>
          </w:p>
        </w:tc>
        <w:tc>
          <w:tcPr>
            <w:tcW w:w="85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20</w:t>
            </w:r>
          </w:p>
        </w:tc>
        <w:tc>
          <w:tcPr>
            <w:tcW w:w="1149"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100%</w:t>
            </w:r>
          </w:p>
        </w:tc>
        <w:tc>
          <w:tcPr>
            <w:tcW w:w="1101"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是</w:t>
            </w:r>
          </w:p>
        </w:tc>
        <w:tc>
          <w:tcPr>
            <w:tcW w:w="1404"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否</w:t>
            </w:r>
          </w:p>
        </w:tc>
      </w:tr>
      <w:tr>
        <w:tblPrEx>
          <w:tblCellMar>
            <w:top w:w="0" w:type="dxa"/>
            <w:left w:w="0" w:type="dxa"/>
            <w:bottom w:w="0" w:type="dxa"/>
            <w:right w:w="0" w:type="dxa"/>
          </w:tblCellMar>
        </w:tblPrEx>
        <w:trPr>
          <w:trHeight w:val="700" w:hRule="atLeast"/>
        </w:trPr>
        <w:tc>
          <w:tcPr>
            <w:tcW w:w="2435"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中山路游园二标段项目欠款10万元</w:t>
            </w:r>
          </w:p>
        </w:tc>
        <w:tc>
          <w:tcPr>
            <w:tcW w:w="1331"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10</w:t>
            </w:r>
          </w:p>
        </w:tc>
        <w:tc>
          <w:tcPr>
            <w:tcW w:w="85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10</w:t>
            </w:r>
          </w:p>
        </w:tc>
        <w:tc>
          <w:tcPr>
            <w:tcW w:w="1149"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100%</w:t>
            </w:r>
          </w:p>
        </w:tc>
        <w:tc>
          <w:tcPr>
            <w:tcW w:w="1101"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是</w:t>
            </w:r>
          </w:p>
        </w:tc>
        <w:tc>
          <w:tcPr>
            <w:tcW w:w="1404"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否</w:t>
            </w:r>
          </w:p>
        </w:tc>
      </w:tr>
      <w:tr>
        <w:tblPrEx>
          <w:tblCellMar>
            <w:top w:w="0" w:type="dxa"/>
            <w:left w:w="0" w:type="dxa"/>
            <w:bottom w:w="0" w:type="dxa"/>
            <w:right w:w="0" w:type="dxa"/>
          </w:tblCellMar>
        </w:tblPrEx>
        <w:trPr>
          <w:trHeight w:val="700" w:hRule="atLeast"/>
        </w:trPr>
        <w:tc>
          <w:tcPr>
            <w:tcW w:w="2435"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园林中心游园建设项目工程款</w:t>
            </w:r>
          </w:p>
        </w:tc>
        <w:tc>
          <w:tcPr>
            <w:tcW w:w="1331"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15</w:t>
            </w:r>
          </w:p>
        </w:tc>
        <w:tc>
          <w:tcPr>
            <w:tcW w:w="85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15</w:t>
            </w:r>
          </w:p>
        </w:tc>
        <w:tc>
          <w:tcPr>
            <w:tcW w:w="1149"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100%</w:t>
            </w:r>
          </w:p>
        </w:tc>
        <w:tc>
          <w:tcPr>
            <w:tcW w:w="1101"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是</w:t>
            </w:r>
          </w:p>
        </w:tc>
        <w:tc>
          <w:tcPr>
            <w:tcW w:w="1404"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否</w:t>
            </w:r>
          </w:p>
        </w:tc>
      </w:tr>
      <w:tr>
        <w:tblPrEx>
          <w:tblCellMar>
            <w:top w:w="0" w:type="dxa"/>
            <w:left w:w="0" w:type="dxa"/>
            <w:bottom w:w="0" w:type="dxa"/>
            <w:right w:w="0" w:type="dxa"/>
          </w:tblCellMar>
        </w:tblPrEx>
        <w:trPr>
          <w:trHeight w:val="700" w:hRule="atLeast"/>
        </w:trPr>
        <w:tc>
          <w:tcPr>
            <w:tcW w:w="2435"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中小企业欠款化解资金（第一批州级）</w:t>
            </w:r>
          </w:p>
        </w:tc>
        <w:tc>
          <w:tcPr>
            <w:tcW w:w="1331"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23.1</w:t>
            </w:r>
          </w:p>
        </w:tc>
        <w:tc>
          <w:tcPr>
            <w:tcW w:w="85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23.1</w:t>
            </w:r>
          </w:p>
        </w:tc>
        <w:tc>
          <w:tcPr>
            <w:tcW w:w="1149"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100%</w:t>
            </w:r>
          </w:p>
        </w:tc>
        <w:tc>
          <w:tcPr>
            <w:tcW w:w="1101"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是</w:t>
            </w:r>
          </w:p>
        </w:tc>
        <w:tc>
          <w:tcPr>
            <w:tcW w:w="1404"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是</w:t>
            </w:r>
          </w:p>
        </w:tc>
      </w:tr>
      <w:tr>
        <w:tblPrEx>
          <w:tblCellMar>
            <w:top w:w="0" w:type="dxa"/>
            <w:left w:w="0" w:type="dxa"/>
            <w:bottom w:w="0" w:type="dxa"/>
            <w:right w:w="0" w:type="dxa"/>
          </w:tblCellMar>
        </w:tblPrEx>
        <w:trPr>
          <w:trHeight w:val="700" w:hRule="atLeast"/>
        </w:trPr>
        <w:tc>
          <w:tcPr>
            <w:tcW w:w="2435"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中小企业欠款化解资金（第一批市级）</w:t>
            </w:r>
          </w:p>
        </w:tc>
        <w:tc>
          <w:tcPr>
            <w:tcW w:w="1331"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23.1</w:t>
            </w:r>
          </w:p>
        </w:tc>
        <w:tc>
          <w:tcPr>
            <w:tcW w:w="85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23.1</w:t>
            </w:r>
          </w:p>
        </w:tc>
        <w:tc>
          <w:tcPr>
            <w:tcW w:w="1149"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100%</w:t>
            </w:r>
          </w:p>
        </w:tc>
        <w:tc>
          <w:tcPr>
            <w:tcW w:w="1101"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是</w:t>
            </w:r>
          </w:p>
        </w:tc>
        <w:tc>
          <w:tcPr>
            <w:tcW w:w="1404"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否</w:t>
            </w:r>
          </w:p>
        </w:tc>
      </w:tr>
      <w:tr>
        <w:tblPrEx>
          <w:tblCellMar>
            <w:top w:w="0" w:type="dxa"/>
            <w:left w:w="0" w:type="dxa"/>
            <w:bottom w:w="0" w:type="dxa"/>
            <w:right w:w="0" w:type="dxa"/>
          </w:tblCellMar>
        </w:tblPrEx>
        <w:trPr>
          <w:trHeight w:val="960" w:hRule="atLeast"/>
        </w:trPr>
        <w:tc>
          <w:tcPr>
            <w:tcW w:w="2435"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2022年自治区“访惠聚”驻村工作专项经费</w:t>
            </w:r>
          </w:p>
        </w:tc>
        <w:tc>
          <w:tcPr>
            <w:tcW w:w="1331"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5</w:t>
            </w:r>
          </w:p>
        </w:tc>
        <w:tc>
          <w:tcPr>
            <w:tcW w:w="85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w:t>
            </w:r>
          </w:p>
        </w:tc>
        <w:tc>
          <w:tcPr>
            <w:tcW w:w="1149"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60%</w:t>
            </w:r>
          </w:p>
        </w:tc>
        <w:tc>
          <w:tcPr>
            <w:tcW w:w="1101"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是</w:t>
            </w:r>
          </w:p>
        </w:tc>
        <w:tc>
          <w:tcPr>
            <w:tcW w:w="1404"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否</w:t>
            </w:r>
          </w:p>
        </w:tc>
      </w:tr>
      <w:tr>
        <w:tblPrEx>
          <w:tblCellMar>
            <w:top w:w="0" w:type="dxa"/>
            <w:left w:w="0" w:type="dxa"/>
            <w:bottom w:w="0" w:type="dxa"/>
            <w:right w:w="0" w:type="dxa"/>
          </w:tblCellMar>
        </w:tblPrEx>
        <w:trPr>
          <w:trHeight w:val="960" w:hRule="atLeast"/>
        </w:trPr>
        <w:tc>
          <w:tcPr>
            <w:tcW w:w="2435"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2022年“访惠聚”驻村（社区）工作经费</w:t>
            </w:r>
          </w:p>
        </w:tc>
        <w:tc>
          <w:tcPr>
            <w:tcW w:w="1331"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29</w:t>
            </w:r>
          </w:p>
        </w:tc>
        <w:tc>
          <w:tcPr>
            <w:tcW w:w="85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11.75</w:t>
            </w:r>
          </w:p>
        </w:tc>
        <w:tc>
          <w:tcPr>
            <w:tcW w:w="1149"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41%</w:t>
            </w:r>
          </w:p>
        </w:tc>
        <w:tc>
          <w:tcPr>
            <w:tcW w:w="1101"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是</w:t>
            </w:r>
          </w:p>
        </w:tc>
        <w:tc>
          <w:tcPr>
            <w:tcW w:w="1404"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否</w:t>
            </w:r>
          </w:p>
        </w:tc>
      </w:tr>
      <w:tr>
        <w:tblPrEx>
          <w:tblCellMar>
            <w:top w:w="0" w:type="dxa"/>
            <w:left w:w="0" w:type="dxa"/>
            <w:bottom w:w="0" w:type="dxa"/>
            <w:right w:w="0" w:type="dxa"/>
          </w:tblCellMar>
        </w:tblPrEx>
        <w:trPr>
          <w:trHeight w:val="700" w:hRule="atLeast"/>
        </w:trPr>
        <w:tc>
          <w:tcPr>
            <w:tcW w:w="2435"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中小企业欠款化解资金（第一批）</w:t>
            </w:r>
          </w:p>
        </w:tc>
        <w:tc>
          <w:tcPr>
            <w:tcW w:w="1331"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70.03</w:t>
            </w:r>
          </w:p>
        </w:tc>
        <w:tc>
          <w:tcPr>
            <w:tcW w:w="85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70.03</w:t>
            </w:r>
          </w:p>
        </w:tc>
        <w:tc>
          <w:tcPr>
            <w:tcW w:w="1149"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100%</w:t>
            </w:r>
          </w:p>
        </w:tc>
        <w:tc>
          <w:tcPr>
            <w:tcW w:w="1101"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是</w:t>
            </w:r>
          </w:p>
        </w:tc>
        <w:tc>
          <w:tcPr>
            <w:tcW w:w="1404"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否</w:t>
            </w:r>
          </w:p>
        </w:tc>
      </w:tr>
      <w:tr>
        <w:tblPrEx>
          <w:tblCellMar>
            <w:top w:w="0" w:type="dxa"/>
            <w:left w:w="0" w:type="dxa"/>
            <w:bottom w:w="0" w:type="dxa"/>
            <w:right w:w="0" w:type="dxa"/>
          </w:tblCellMar>
        </w:tblPrEx>
        <w:trPr>
          <w:trHeight w:val="700" w:hRule="atLeast"/>
        </w:trPr>
        <w:tc>
          <w:tcPr>
            <w:tcW w:w="2435"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中小企业欠款化解资金（第一批）</w:t>
            </w:r>
          </w:p>
        </w:tc>
        <w:tc>
          <w:tcPr>
            <w:tcW w:w="1331"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70.03</w:t>
            </w:r>
          </w:p>
        </w:tc>
        <w:tc>
          <w:tcPr>
            <w:tcW w:w="85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70.03</w:t>
            </w:r>
          </w:p>
        </w:tc>
        <w:tc>
          <w:tcPr>
            <w:tcW w:w="1149"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100%</w:t>
            </w:r>
          </w:p>
        </w:tc>
        <w:tc>
          <w:tcPr>
            <w:tcW w:w="1101"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是</w:t>
            </w:r>
          </w:p>
        </w:tc>
        <w:tc>
          <w:tcPr>
            <w:tcW w:w="1404"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否</w:t>
            </w:r>
          </w:p>
        </w:tc>
      </w:tr>
      <w:tr>
        <w:tblPrEx>
          <w:shd w:val="clear" w:color="auto" w:fill="auto"/>
          <w:tblCellMar>
            <w:top w:w="0" w:type="dxa"/>
            <w:left w:w="0" w:type="dxa"/>
            <w:bottom w:w="0" w:type="dxa"/>
            <w:right w:w="0" w:type="dxa"/>
          </w:tblCellMar>
        </w:tblPrEx>
        <w:trPr>
          <w:trHeight w:val="700" w:hRule="atLeast"/>
        </w:trPr>
        <w:tc>
          <w:tcPr>
            <w:tcW w:w="2435"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科研工作保障经费</w:t>
            </w:r>
          </w:p>
        </w:tc>
        <w:tc>
          <w:tcPr>
            <w:tcW w:w="1331"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20</w:t>
            </w:r>
          </w:p>
        </w:tc>
        <w:tc>
          <w:tcPr>
            <w:tcW w:w="85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10.49</w:t>
            </w:r>
          </w:p>
        </w:tc>
        <w:tc>
          <w:tcPr>
            <w:tcW w:w="1149"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52%</w:t>
            </w:r>
          </w:p>
        </w:tc>
        <w:tc>
          <w:tcPr>
            <w:tcW w:w="1101"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是</w:t>
            </w:r>
          </w:p>
        </w:tc>
        <w:tc>
          <w:tcPr>
            <w:tcW w:w="1404"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否</w:t>
            </w:r>
          </w:p>
        </w:tc>
      </w:tr>
    </w:tbl>
    <w:p>
      <w:pPr>
        <w:rPr>
          <w:rFonts w:hint="default"/>
          <w:lang w:val="en-US" w:eastAsia="zh-CN"/>
        </w:rPr>
      </w:pPr>
    </w:p>
    <w:p>
      <w:pPr>
        <w:numPr>
          <w:ilvl w:val="0"/>
          <w:numId w:val="3"/>
        </w:numPr>
        <w:ind w:firstLine="640"/>
        <w:rPr>
          <w:rFonts w:ascii="仿宋_GB2312" w:eastAsia="仿宋_GB2312"/>
          <w:b/>
          <w:bCs/>
          <w:sz w:val="32"/>
          <w:szCs w:val="32"/>
        </w:rPr>
      </w:pPr>
      <w:r>
        <w:rPr>
          <w:rFonts w:hint="eastAsia" w:ascii="仿宋_GB2312" w:eastAsia="仿宋_GB2312"/>
          <w:b/>
          <w:bCs/>
          <w:sz w:val="32"/>
          <w:szCs w:val="32"/>
        </w:rPr>
        <w:t>专项资金总投入及实际使用情况分析</w:t>
      </w:r>
    </w:p>
    <w:p>
      <w:pPr>
        <w:ind w:firstLine="640"/>
        <w:rPr>
          <w:rFonts w:ascii="仿宋_GB2312" w:eastAsia="仿宋_GB2312"/>
          <w:color w:val="auto"/>
          <w:sz w:val="32"/>
          <w:szCs w:val="32"/>
          <w:highlight w:val="none"/>
          <w:shd w:val="clear" w:color="auto" w:fill="auto"/>
        </w:rPr>
      </w:pPr>
      <w:r>
        <w:rPr>
          <w:rFonts w:hint="eastAsia" w:ascii="仿宋_GB2312" w:eastAsia="仿宋_GB2312"/>
          <w:color w:val="auto"/>
          <w:sz w:val="32"/>
          <w:szCs w:val="32"/>
          <w:highlight w:val="none"/>
          <w:shd w:val="clear" w:color="auto" w:fill="auto"/>
        </w:rPr>
        <w:t>202</w:t>
      </w:r>
      <w:r>
        <w:rPr>
          <w:rFonts w:hint="eastAsia" w:ascii="仿宋_GB2312" w:eastAsia="仿宋_GB2312"/>
          <w:color w:val="auto"/>
          <w:sz w:val="32"/>
          <w:szCs w:val="32"/>
          <w:highlight w:val="none"/>
          <w:shd w:val="clear" w:color="auto" w:fill="auto"/>
          <w:lang w:val="en-US" w:eastAsia="zh-CN"/>
        </w:rPr>
        <w:t>2</w:t>
      </w:r>
      <w:r>
        <w:rPr>
          <w:rFonts w:hint="eastAsia" w:ascii="仿宋_GB2312" w:eastAsia="仿宋_GB2312"/>
          <w:color w:val="auto"/>
          <w:sz w:val="32"/>
          <w:szCs w:val="32"/>
          <w:highlight w:val="none"/>
          <w:shd w:val="clear" w:color="auto" w:fill="auto"/>
        </w:rPr>
        <w:t>年本单位全年未安排中央、自治区</w:t>
      </w:r>
      <w:r>
        <w:rPr>
          <w:rFonts w:hint="eastAsia" w:ascii="仿宋_GB2312" w:eastAsia="仿宋_GB2312"/>
          <w:color w:val="auto"/>
          <w:sz w:val="32"/>
          <w:szCs w:val="32"/>
          <w:highlight w:val="none"/>
          <w:shd w:val="clear" w:color="auto" w:fill="auto"/>
          <w:lang w:eastAsia="zh-CN"/>
        </w:rPr>
        <w:t>的专项</w:t>
      </w:r>
      <w:r>
        <w:rPr>
          <w:rFonts w:hint="eastAsia" w:ascii="仿宋_GB2312" w:eastAsia="仿宋_GB2312"/>
          <w:color w:val="auto"/>
          <w:sz w:val="32"/>
          <w:szCs w:val="32"/>
          <w:highlight w:val="none"/>
          <w:shd w:val="clear" w:color="auto" w:fill="auto"/>
          <w:lang w:val="en-US" w:eastAsia="zh-CN"/>
        </w:rPr>
        <w:t>资金</w:t>
      </w:r>
      <w:r>
        <w:rPr>
          <w:rFonts w:hint="eastAsia" w:ascii="仿宋_GB2312" w:eastAsia="仿宋_GB2312"/>
          <w:color w:val="auto"/>
          <w:sz w:val="32"/>
          <w:szCs w:val="32"/>
          <w:highlight w:val="none"/>
          <w:shd w:val="clear" w:color="auto" w:fill="auto"/>
        </w:rPr>
        <w:t>。</w:t>
      </w:r>
    </w:p>
    <w:p>
      <w:pPr>
        <w:pStyle w:val="3"/>
        <w:ind w:firstLine="640"/>
        <w:rPr>
          <w:rFonts w:ascii="黑体" w:hAnsi="黑体"/>
          <w:b w:val="0"/>
          <w:sz w:val="32"/>
          <w:szCs w:val="32"/>
        </w:rPr>
      </w:pPr>
      <w:r>
        <w:rPr>
          <w:rFonts w:hint="eastAsia" w:ascii="黑体" w:hAnsi="黑体"/>
          <w:b w:val="0"/>
          <w:sz w:val="32"/>
          <w:szCs w:val="32"/>
        </w:rPr>
        <w:t>三、部门单位专项组织实施情况</w:t>
      </w:r>
    </w:p>
    <w:p>
      <w:pPr>
        <w:pStyle w:val="4"/>
        <w:ind w:firstLine="640"/>
        <w:rPr>
          <w:rFonts w:ascii="楷体_GB2312" w:eastAsia="楷体_GB2312"/>
          <w:szCs w:val="32"/>
        </w:rPr>
      </w:pPr>
      <w:r>
        <w:rPr>
          <w:rFonts w:hint="eastAsia" w:ascii="楷体_GB2312" w:eastAsia="楷体_GB2312"/>
          <w:szCs w:val="32"/>
        </w:rPr>
        <w:t>（一）专项组织情况分析</w:t>
      </w:r>
    </w:p>
    <w:p>
      <w:pPr>
        <w:ind w:firstLine="640"/>
        <w:rPr>
          <w:rFonts w:ascii="仿宋_GB2312" w:eastAsia="仿宋_GB2312"/>
          <w:sz w:val="32"/>
          <w:szCs w:val="32"/>
        </w:rPr>
      </w:pPr>
      <w:r>
        <w:rPr>
          <w:rFonts w:hint="eastAsia" w:ascii="仿宋_GB2312" w:eastAsia="仿宋_GB2312"/>
          <w:b/>
          <w:bCs/>
          <w:sz w:val="32"/>
          <w:szCs w:val="32"/>
        </w:rPr>
        <w:t>1.前期准备</w:t>
      </w:r>
    </w:p>
    <w:p>
      <w:pPr>
        <w:ind w:firstLine="640"/>
        <w:rPr>
          <w:rFonts w:ascii="仿宋_GB2312" w:eastAsia="仿宋_GB2312"/>
          <w:color w:val="FF0000"/>
          <w:sz w:val="32"/>
          <w:szCs w:val="32"/>
        </w:rPr>
      </w:pPr>
      <w:r>
        <w:rPr>
          <w:rFonts w:hint="eastAsia" w:ascii="仿宋_GB2312" w:eastAsia="仿宋_GB2312"/>
          <w:sz w:val="32"/>
          <w:szCs w:val="32"/>
        </w:rPr>
        <w:t>梳理202</w:t>
      </w:r>
      <w:r>
        <w:rPr>
          <w:rFonts w:hint="eastAsia" w:ascii="仿宋_GB2312" w:eastAsia="仿宋_GB2312"/>
          <w:sz w:val="32"/>
          <w:szCs w:val="32"/>
          <w:lang w:val="en-US" w:eastAsia="zh-CN"/>
        </w:rPr>
        <w:t>2</w:t>
      </w:r>
      <w:r>
        <w:rPr>
          <w:rFonts w:hint="eastAsia" w:ascii="仿宋_GB2312" w:eastAsia="仿宋_GB2312"/>
          <w:sz w:val="32"/>
          <w:szCs w:val="32"/>
        </w:rPr>
        <w:t>年专项资金使用情况和专项项目实施规模，根据各专项实际存档资料，就专项工作计划与部门职能和规划内容、与科室和项目之间的对应关系、重点工作安排与重点项目安排情况等，与相关科室的管理人员进行了沟通和交流，深入了解本部门涉及专项资金的使用情况和项目完成情况。</w:t>
      </w:r>
    </w:p>
    <w:p>
      <w:pPr>
        <w:ind w:firstLine="640"/>
        <w:rPr>
          <w:rFonts w:ascii="仿宋_GB2312" w:eastAsia="仿宋_GB2312"/>
          <w:b/>
          <w:bCs/>
          <w:sz w:val="32"/>
          <w:szCs w:val="32"/>
        </w:rPr>
      </w:pPr>
      <w:r>
        <w:rPr>
          <w:rFonts w:hint="eastAsia" w:ascii="仿宋_GB2312" w:eastAsia="仿宋_GB2312"/>
          <w:b/>
          <w:bCs/>
          <w:sz w:val="32"/>
          <w:szCs w:val="32"/>
        </w:rPr>
        <w:t>2.组织实施</w:t>
      </w:r>
    </w:p>
    <w:p>
      <w:pPr>
        <w:ind w:firstLine="640"/>
        <w:rPr>
          <w:rFonts w:ascii="仿宋_GB2312" w:eastAsia="仿宋_GB2312"/>
          <w:sz w:val="32"/>
          <w:szCs w:val="32"/>
        </w:rPr>
      </w:pPr>
      <w:r>
        <w:rPr>
          <w:rFonts w:hint="eastAsia" w:ascii="仿宋_GB2312" w:eastAsia="仿宋_GB2312"/>
          <w:sz w:val="32"/>
          <w:szCs w:val="32"/>
        </w:rPr>
        <w:t>我单位通过项目文件研读和前期调研等方式，根据单位职能定位、中长期规划、年度工作计划以及专项项目实施情况。对于专项资金下达的绩效目标表的专项项目按照下达绩效目标，立足实际完成情况，开展专项项目绩效自评。对于未下达绩效目标表的项目，由我部门按照自行设定并经财政审核备案后的绩效目标表，实施专项项目绩效自评。自评内容主要包括以下两个方面：</w:t>
      </w:r>
    </w:p>
    <w:p>
      <w:pPr>
        <w:ind w:firstLine="640"/>
        <w:rPr>
          <w:rFonts w:ascii="仿宋_GB2312" w:eastAsia="仿宋_GB2312"/>
          <w:sz w:val="32"/>
          <w:szCs w:val="32"/>
          <w:lang w:val="zh-TW" w:eastAsia="zh-TW"/>
        </w:rPr>
      </w:pPr>
      <w:r>
        <w:rPr>
          <w:rFonts w:hint="eastAsia" w:ascii="仿宋_GB2312" w:eastAsia="仿宋_GB2312"/>
          <w:sz w:val="32"/>
          <w:szCs w:val="32"/>
          <w:lang w:val="zh-TW" w:eastAsia="zh-TW"/>
        </w:rPr>
        <w:t>对</w:t>
      </w:r>
      <w:r>
        <w:rPr>
          <w:rFonts w:hint="eastAsia" w:ascii="仿宋_GB2312" w:eastAsia="仿宋_GB2312"/>
          <w:sz w:val="32"/>
          <w:szCs w:val="32"/>
        </w:rPr>
        <w:t>专项</w:t>
      </w:r>
      <w:r>
        <w:rPr>
          <w:rFonts w:hint="eastAsia" w:ascii="仿宋_GB2312" w:eastAsia="仿宋_GB2312"/>
          <w:sz w:val="32"/>
          <w:szCs w:val="32"/>
          <w:lang w:val="zh-TW"/>
        </w:rPr>
        <w:t>项目预算执行情况进行分析，</w:t>
      </w:r>
      <w:r>
        <w:rPr>
          <w:rFonts w:hint="eastAsia" w:ascii="仿宋_GB2312" w:eastAsia="仿宋_GB2312"/>
          <w:sz w:val="32"/>
          <w:szCs w:val="32"/>
        </w:rPr>
        <w:t>分析</w:t>
      </w:r>
      <w:r>
        <w:rPr>
          <w:rFonts w:hint="eastAsia" w:ascii="仿宋_GB2312" w:eastAsia="仿宋_GB2312"/>
          <w:sz w:val="32"/>
          <w:szCs w:val="32"/>
          <w:lang w:val="zh-TW"/>
        </w:rPr>
        <w:t>专项项目产出、项目目标的实现程度和管理有效性，从而总结项目取得的业绩和经验，发现项目存在的不足之处</w:t>
      </w:r>
      <w:r>
        <w:rPr>
          <w:rFonts w:hint="eastAsia" w:ascii="仿宋_GB2312" w:eastAsia="仿宋_GB2312"/>
          <w:sz w:val="32"/>
          <w:szCs w:val="32"/>
          <w:lang w:val="zh-TW" w:eastAsia="zh-TW"/>
        </w:rPr>
        <w:t>。</w:t>
      </w:r>
    </w:p>
    <w:p>
      <w:pPr>
        <w:ind w:firstLine="640"/>
        <w:rPr>
          <w:rFonts w:ascii="仿宋_GB2312" w:eastAsia="仿宋_GB2312"/>
          <w:sz w:val="32"/>
          <w:szCs w:val="32"/>
        </w:rPr>
      </w:pPr>
      <w:r>
        <w:rPr>
          <w:rFonts w:hint="eastAsia" w:ascii="仿宋_GB2312" w:eastAsia="仿宋_GB2312"/>
          <w:sz w:val="32"/>
          <w:szCs w:val="32"/>
          <w:lang w:val="zh-TW"/>
        </w:rPr>
        <w:t>对财政资金使用合规性进行评价，</w:t>
      </w:r>
      <w:r>
        <w:rPr>
          <w:rFonts w:hint="eastAsia" w:ascii="仿宋_GB2312" w:eastAsia="仿宋_GB2312"/>
          <w:sz w:val="32"/>
          <w:szCs w:val="32"/>
        </w:rPr>
        <w:t>主要评价：①</w:t>
      </w:r>
      <w:r>
        <w:rPr>
          <w:rFonts w:hint="eastAsia" w:ascii="仿宋_GB2312" w:eastAsia="仿宋_GB2312"/>
          <w:sz w:val="32"/>
          <w:szCs w:val="32"/>
          <w:lang w:val="zh-TW"/>
        </w:rPr>
        <w:t>专项资金是否存在截留、挪用，支付审批是否合规、是否存在用途改变、范围超支和虚列项目支出等情况；②项目实施是否符合专项管理办法，流程和管理制度是否合规；③项目完成情况的真实性和绩效目标完成情况分析。</w:t>
      </w:r>
      <w:r>
        <w:rPr>
          <w:rFonts w:hint="eastAsia" w:ascii="仿宋_GB2312" w:eastAsia="仿宋_GB2312"/>
          <w:sz w:val="32"/>
          <w:szCs w:val="32"/>
        </w:rPr>
        <w:t>通过评价</w:t>
      </w:r>
      <w:r>
        <w:rPr>
          <w:rFonts w:hint="eastAsia" w:ascii="仿宋_GB2312" w:eastAsia="仿宋_GB2312"/>
          <w:sz w:val="32"/>
          <w:szCs w:val="32"/>
          <w:lang w:val="zh-TW"/>
        </w:rPr>
        <w:t>发现财政资金使用中存在的合规性问题，总结财务内控中存在的不足之处。</w:t>
      </w:r>
    </w:p>
    <w:p>
      <w:pPr>
        <w:pStyle w:val="4"/>
        <w:numPr>
          <w:ilvl w:val="0"/>
          <w:numId w:val="5"/>
        </w:numPr>
        <w:ind w:firstLine="640"/>
        <w:rPr>
          <w:rFonts w:ascii="楷体_GB2312" w:eastAsia="楷体_GB2312"/>
          <w:szCs w:val="32"/>
        </w:rPr>
      </w:pPr>
      <w:r>
        <w:rPr>
          <w:rFonts w:hint="eastAsia" w:ascii="楷体_GB2312" w:eastAsia="楷体_GB2312"/>
          <w:szCs w:val="32"/>
        </w:rPr>
        <w:t>专项管理情况分析</w:t>
      </w:r>
    </w:p>
    <w:p>
      <w:pPr>
        <w:ind w:firstLine="640"/>
        <w:rPr>
          <w:rFonts w:ascii="仿宋_GB2312" w:eastAsia="仿宋_GB2312"/>
          <w:color w:val="auto"/>
          <w:sz w:val="32"/>
          <w:szCs w:val="32"/>
        </w:rPr>
      </w:pPr>
      <w:r>
        <w:rPr>
          <w:rFonts w:hint="eastAsia" w:ascii="仿宋_GB2312" w:eastAsia="仿宋_GB2312"/>
          <w:color w:val="auto"/>
          <w:sz w:val="32"/>
          <w:szCs w:val="32"/>
        </w:rPr>
        <w:t>202</w:t>
      </w:r>
      <w:r>
        <w:rPr>
          <w:rFonts w:hint="eastAsia" w:ascii="仿宋_GB2312" w:eastAsia="仿宋_GB2312"/>
          <w:color w:val="auto"/>
          <w:sz w:val="32"/>
          <w:szCs w:val="32"/>
          <w:lang w:val="en-US" w:eastAsia="zh-CN"/>
        </w:rPr>
        <w:t>2</w:t>
      </w:r>
      <w:r>
        <w:rPr>
          <w:rFonts w:hint="eastAsia" w:ascii="仿宋_GB2312" w:eastAsia="仿宋_GB2312"/>
          <w:color w:val="auto"/>
          <w:sz w:val="32"/>
          <w:szCs w:val="32"/>
        </w:rPr>
        <w:t>年本单位全年未安排中央及自治区专项资金支出项目。</w:t>
      </w:r>
    </w:p>
    <w:p>
      <w:pPr>
        <w:pStyle w:val="3"/>
        <w:ind w:firstLine="640"/>
        <w:rPr>
          <w:rFonts w:ascii="黑体" w:hAnsi="黑体"/>
          <w:b w:val="0"/>
          <w:sz w:val="32"/>
          <w:szCs w:val="32"/>
        </w:rPr>
      </w:pPr>
      <w:r>
        <w:rPr>
          <w:rFonts w:hint="eastAsia" w:ascii="黑体" w:hAnsi="黑体"/>
          <w:b w:val="0"/>
          <w:sz w:val="32"/>
          <w:szCs w:val="32"/>
        </w:rPr>
        <w:t>四、资产管理情况</w:t>
      </w:r>
    </w:p>
    <w:p>
      <w:pPr>
        <w:pStyle w:val="4"/>
        <w:numPr>
          <w:ilvl w:val="0"/>
          <w:numId w:val="6"/>
        </w:numPr>
        <w:ind w:firstLine="640"/>
        <w:rPr>
          <w:rFonts w:ascii="楷体_GB2312" w:eastAsia="楷体_GB2312"/>
          <w:szCs w:val="32"/>
        </w:rPr>
      </w:pPr>
      <w:r>
        <w:rPr>
          <w:rFonts w:hint="eastAsia" w:ascii="楷体_GB2312" w:eastAsia="楷体_GB2312"/>
          <w:szCs w:val="32"/>
        </w:rPr>
        <w:t>资产情况及固定资产利用情况</w:t>
      </w:r>
    </w:p>
    <w:p>
      <w:pPr>
        <w:ind w:firstLine="640"/>
        <w:rPr>
          <w:rFonts w:ascii="仿宋_GB2312" w:eastAsia="仿宋_GB2312"/>
          <w:color w:val="auto"/>
          <w:sz w:val="32"/>
          <w:szCs w:val="32"/>
        </w:rPr>
      </w:pPr>
      <w:r>
        <w:rPr>
          <w:rFonts w:hint="eastAsia" w:ascii="仿宋_GB2312" w:eastAsia="仿宋_GB2312"/>
          <w:color w:val="auto"/>
          <w:sz w:val="32"/>
          <w:szCs w:val="32"/>
        </w:rPr>
        <w:t>截止202</w:t>
      </w:r>
      <w:r>
        <w:rPr>
          <w:rFonts w:hint="eastAsia" w:ascii="仿宋_GB2312" w:eastAsia="仿宋_GB2312"/>
          <w:color w:val="auto"/>
          <w:sz w:val="32"/>
          <w:szCs w:val="32"/>
          <w:lang w:val="en-US" w:eastAsia="zh-CN"/>
        </w:rPr>
        <w:t>2</w:t>
      </w:r>
      <w:r>
        <w:rPr>
          <w:rFonts w:hint="eastAsia" w:ascii="仿宋_GB2312" w:eastAsia="仿宋_GB2312"/>
          <w:color w:val="auto"/>
          <w:sz w:val="32"/>
          <w:szCs w:val="32"/>
        </w:rPr>
        <w:t>年12月31日，我单位资产账面总额为</w:t>
      </w:r>
      <w:r>
        <w:rPr>
          <w:rFonts w:hint="eastAsia" w:ascii="仿宋_GB2312" w:eastAsia="仿宋_GB2312"/>
          <w:color w:val="auto"/>
          <w:sz w:val="32"/>
          <w:szCs w:val="32"/>
          <w:lang w:val="en-US" w:eastAsia="zh-CN"/>
        </w:rPr>
        <w:t>3579.98</w:t>
      </w:r>
      <w:r>
        <w:rPr>
          <w:rFonts w:hint="eastAsia" w:ascii="仿宋_GB2312" w:eastAsia="仿宋_GB2312"/>
          <w:color w:val="auto"/>
          <w:sz w:val="32"/>
          <w:szCs w:val="32"/>
        </w:rPr>
        <w:t>万元，较年初资产总额</w:t>
      </w:r>
      <w:r>
        <w:rPr>
          <w:rFonts w:hint="eastAsia" w:ascii="仿宋_GB2312" w:eastAsia="仿宋_GB2312"/>
          <w:color w:val="auto"/>
          <w:sz w:val="32"/>
          <w:szCs w:val="32"/>
          <w:lang w:eastAsia="zh-CN"/>
        </w:rPr>
        <w:t>增加</w:t>
      </w:r>
      <w:r>
        <w:rPr>
          <w:rFonts w:hint="eastAsia" w:ascii="仿宋_GB2312" w:eastAsia="仿宋_GB2312"/>
          <w:color w:val="auto"/>
          <w:sz w:val="32"/>
          <w:szCs w:val="32"/>
          <w:lang w:val="en-US" w:eastAsia="zh-CN"/>
        </w:rPr>
        <w:t>89.41</w:t>
      </w:r>
      <w:r>
        <w:rPr>
          <w:rFonts w:hint="eastAsia" w:ascii="仿宋_GB2312" w:eastAsia="仿宋_GB2312"/>
          <w:color w:val="auto"/>
          <w:sz w:val="32"/>
          <w:szCs w:val="32"/>
        </w:rPr>
        <w:t>万元，</w:t>
      </w:r>
      <w:r>
        <w:rPr>
          <w:rFonts w:hint="eastAsia" w:ascii="仿宋_GB2312" w:eastAsia="仿宋_GB2312"/>
          <w:color w:val="auto"/>
          <w:sz w:val="32"/>
          <w:szCs w:val="32"/>
          <w:lang w:eastAsia="zh-CN"/>
        </w:rPr>
        <w:t>上升</w:t>
      </w:r>
      <w:r>
        <w:rPr>
          <w:rFonts w:hint="eastAsia" w:ascii="仿宋_GB2312" w:eastAsia="仿宋_GB2312"/>
          <w:color w:val="auto"/>
          <w:sz w:val="32"/>
          <w:szCs w:val="32"/>
          <w:lang w:val="en-US" w:eastAsia="zh-CN"/>
        </w:rPr>
        <w:t>2.56</w:t>
      </w:r>
      <w:r>
        <w:rPr>
          <w:rFonts w:hint="eastAsia" w:ascii="仿宋_GB2312" w:eastAsia="仿宋_GB2312"/>
          <w:color w:val="auto"/>
          <w:sz w:val="32"/>
          <w:szCs w:val="32"/>
        </w:rPr>
        <w:t>%，其中：</w:t>
      </w:r>
    </w:p>
    <w:p>
      <w:pPr>
        <w:ind w:firstLine="640"/>
        <w:rPr>
          <w:rFonts w:hint="default" w:ascii="仿宋_GB2312" w:eastAsia="仿宋_GB2312"/>
          <w:color w:val="auto"/>
          <w:sz w:val="32"/>
          <w:szCs w:val="32"/>
          <w:lang w:val="en-US" w:eastAsia="zh-CN"/>
        </w:rPr>
      </w:pPr>
      <w:r>
        <w:rPr>
          <w:rFonts w:hint="eastAsia" w:ascii="仿宋_GB2312" w:eastAsia="仿宋_GB2312"/>
          <w:color w:val="auto"/>
          <w:sz w:val="32"/>
          <w:szCs w:val="32"/>
        </w:rPr>
        <w:t>202</w:t>
      </w:r>
      <w:r>
        <w:rPr>
          <w:rFonts w:hint="eastAsia" w:ascii="仿宋_GB2312" w:eastAsia="仿宋_GB2312"/>
          <w:color w:val="auto"/>
          <w:sz w:val="32"/>
          <w:szCs w:val="32"/>
          <w:lang w:val="en-US" w:eastAsia="zh-CN"/>
        </w:rPr>
        <w:t>2</w:t>
      </w:r>
      <w:r>
        <w:rPr>
          <w:rFonts w:hint="eastAsia" w:ascii="仿宋_GB2312" w:eastAsia="仿宋_GB2312"/>
          <w:color w:val="auto"/>
          <w:sz w:val="32"/>
          <w:szCs w:val="32"/>
        </w:rPr>
        <w:t>年初，流动资产总额为</w:t>
      </w:r>
      <w:r>
        <w:rPr>
          <w:rFonts w:hint="eastAsia" w:ascii="仿宋_GB2312" w:eastAsia="仿宋_GB2312"/>
          <w:color w:val="auto"/>
          <w:sz w:val="32"/>
          <w:szCs w:val="32"/>
          <w:lang w:val="en-US" w:eastAsia="zh-CN"/>
        </w:rPr>
        <w:t>204.18</w:t>
      </w:r>
      <w:r>
        <w:rPr>
          <w:rFonts w:hint="eastAsia" w:ascii="仿宋_GB2312" w:eastAsia="仿宋_GB2312"/>
          <w:color w:val="auto"/>
          <w:sz w:val="32"/>
          <w:szCs w:val="32"/>
        </w:rPr>
        <w:t>万元，年末总额为</w:t>
      </w:r>
      <w:r>
        <w:rPr>
          <w:rFonts w:hint="eastAsia" w:ascii="仿宋_GB2312" w:eastAsia="仿宋_GB2312"/>
          <w:color w:val="auto"/>
          <w:sz w:val="32"/>
          <w:szCs w:val="32"/>
          <w:lang w:val="en-US" w:eastAsia="zh-CN"/>
        </w:rPr>
        <w:t>184.46</w:t>
      </w:r>
      <w:r>
        <w:rPr>
          <w:rFonts w:hint="eastAsia" w:ascii="仿宋_GB2312" w:eastAsia="仿宋_GB2312"/>
          <w:color w:val="auto"/>
          <w:sz w:val="32"/>
          <w:szCs w:val="32"/>
        </w:rPr>
        <w:t>万元，较年初流动资产减少</w:t>
      </w:r>
      <w:r>
        <w:rPr>
          <w:rFonts w:hint="eastAsia" w:ascii="仿宋_GB2312" w:eastAsia="仿宋_GB2312"/>
          <w:color w:val="auto"/>
          <w:sz w:val="32"/>
          <w:szCs w:val="32"/>
          <w:lang w:val="en-US" w:eastAsia="zh-CN"/>
        </w:rPr>
        <w:t>19.72</w:t>
      </w:r>
      <w:r>
        <w:rPr>
          <w:rFonts w:hint="eastAsia" w:ascii="仿宋_GB2312" w:eastAsia="仿宋_GB2312"/>
          <w:color w:val="auto"/>
          <w:sz w:val="32"/>
          <w:szCs w:val="32"/>
        </w:rPr>
        <w:t>万元，下降</w:t>
      </w:r>
      <w:r>
        <w:rPr>
          <w:rFonts w:hint="eastAsia" w:ascii="仿宋_GB2312" w:eastAsia="仿宋_GB2312"/>
          <w:color w:val="auto"/>
          <w:sz w:val="32"/>
          <w:szCs w:val="32"/>
          <w:lang w:val="en-US" w:eastAsia="zh-CN"/>
        </w:rPr>
        <w:t>9.66</w:t>
      </w:r>
      <w:r>
        <w:rPr>
          <w:rFonts w:hint="eastAsia" w:ascii="仿宋_GB2312" w:eastAsia="仿宋_GB2312"/>
          <w:color w:val="auto"/>
          <w:sz w:val="32"/>
          <w:szCs w:val="32"/>
        </w:rPr>
        <w:t>%，主要变动原因是：</w:t>
      </w:r>
      <w:r>
        <w:rPr>
          <w:rFonts w:hint="eastAsia" w:ascii="仿宋_GB2312" w:eastAsia="仿宋_GB2312"/>
          <w:color w:val="auto"/>
          <w:sz w:val="32"/>
          <w:szCs w:val="32"/>
          <w:lang w:val="en-US" w:eastAsia="zh-CN"/>
        </w:rPr>
        <w:t>2022年银行存款6.5万元用于支付绿化工工资及绿化车辆燃油费，其他应收款中13.22万元主要变动原因为：电费发票开回冲减其他应收款。</w:t>
      </w:r>
    </w:p>
    <w:p>
      <w:pPr>
        <w:ind w:firstLine="640"/>
        <w:rPr>
          <w:rFonts w:ascii="仿宋_GB2312" w:eastAsia="仿宋_GB2312"/>
          <w:color w:val="auto"/>
          <w:sz w:val="32"/>
          <w:szCs w:val="32"/>
        </w:rPr>
      </w:pPr>
      <w:r>
        <w:rPr>
          <w:rFonts w:hint="eastAsia" w:ascii="仿宋_GB2312" w:eastAsia="仿宋_GB2312"/>
          <w:color w:val="auto"/>
          <w:sz w:val="32"/>
          <w:szCs w:val="32"/>
        </w:rPr>
        <w:t>202</w:t>
      </w:r>
      <w:r>
        <w:rPr>
          <w:rFonts w:hint="eastAsia" w:ascii="仿宋_GB2312" w:eastAsia="仿宋_GB2312"/>
          <w:color w:val="auto"/>
          <w:sz w:val="32"/>
          <w:szCs w:val="32"/>
          <w:lang w:val="en-US" w:eastAsia="zh-CN"/>
        </w:rPr>
        <w:t>2</w:t>
      </w:r>
      <w:r>
        <w:rPr>
          <w:rFonts w:hint="eastAsia" w:ascii="仿宋_GB2312" w:eastAsia="仿宋_GB2312"/>
          <w:color w:val="auto"/>
          <w:sz w:val="32"/>
          <w:szCs w:val="32"/>
        </w:rPr>
        <w:t>年初，固定资产总额为</w:t>
      </w:r>
      <w:r>
        <w:rPr>
          <w:rFonts w:hint="eastAsia" w:ascii="仿宋_GB2312" w:eastAsia="仿宋_GB2312"/>
          <w:color w:val="auto"/>
          <w:sz w:val="32"/>
          <w:szCs w:val="32"/>
          <w:lang w:val="en-US" w:eastAsia="zh-CN"/>
        </w:rPr>
        <w:t>1683.85</w:t>
      </w:r>
      <w:r>
        <w:rPr>
          <w:rFonts w:hint="eastAsia" w:ascii="仿宋_GB2312" w:eastAsia="仿宋_GB2312"/>
          <w:color w:val="auto"/>
          <w:sz w:val="32"/>
          <w:szCs w:val="32"/>
        </w:rPr>
        <w:t>万元，年末总额为</w:t>
      </w:r>
      <w:r>
        <w:rPr>
          <w:rFonts w:hint="eastAsia" w:ascii="仿宋_GB2312" w:eastAsia="仿宋_GB2312"/>
          <w:color w:val="auto"/>
          <w:sz w:val="32"/>
          <w:szCs w:val="32"/>
          <w:lang w:val="en-US" w:eastAsia="zh-CN"/>
        </w:rPr>
        <w:t>1854.53</w:t>
      </w:r>
      <w:r>
        <w:rPr>
          <w:rFonts w:hint="eastAsia" w:ascii="仿宋_GB2312" w:eastAsia="仿宋_GB2312"/>
          <w:color w:val="auto"/>
          <w:sz w:val="32"/>
          <w:szCs w:val="32"/>
        </w:rPr>
        <w:t>万元，较年初固定资产</w:t>
      </w:r>
      <w:r>
        <w:rPr>
          <w:rFonts w:hint="eastAsia" w:ascii="仿宋_GB2312" w:eastAsia="仿宋_GB2312"/>
          <w:color w:val="auto"/>
          <w:sz w:val="32"/>
          <w:szCs w:val="32"/>
          <w:lang w:eastAsia="zh-CN"/>
        </w:rPr>
        <w:t>增加</w:t>
      </w:r>
      <w:r>
        <w:rPr>
          <w:rFonts w:hint="eastAsia" w:ascii="仿宋_GB2312" w:eastAsia="仿宋_GB2312"/>
          <w:color w:val="auto"/>
          <w:sz w:val="32"/>
          <w:szCs w:val="32"/>
          <w:lang w:val="en-US" w:eastAsia="zh-CN"/>
        </w:rPr>
        <w:t>170.68</w:t>
      </w:r>
      <w:r>
        <w:rPr>
          <w:rFonts w:hint="eastAsia" w:ascii="仿宋_GB2312" w:eastAsia="仿宋_GB2312"/>
          <w:color w:val="auto"/>
          <w:sz w:val="32"/>
          <w:szCs w:val="32"/>
        </w:rPr>
        <w:t>万元，</w:t>
      </w:r>
      <w:r>
        <w:rPr>
          <w:rFonts w:hint="eastAsia" w:ascii="仿宋_GB2312" w:eastAsia="仿宋_GB2312"/>
          <w:color w:val="auto"/>
          <w:sz w:val="32"/>
          <w:szCs w:val="32"/>
          <w:lang w:eastAsia="zh-CN"/>
        </w:rPr>
        <w:t>上升</w:t>
      </w:r>
      <w:r>
        <w:rPr>
          <w:rFonts w:hint="eastAsia" w:ascii="仿宋_GB2312" w:eastAsia="仿宋_GB2312"/>
          <w:color w:val="auto"/>
          <w:sz w:val="32"/>
          <w:szCs w:val="32"/>
          <w:lang w:val="en-US" w:eastAsia="zh-CN"/>
        </w:rPr>
        <w:t>10.14</w:t>
      </w:r>
      <w:r>
        <w:rPr>
          <w:rFonts w:hint="eastAsia" w:ascii="仿宋_GB2312" w:eastAsia="仿宋_GB2312"/>
          <w:color w:val="auto"/>
          <w:sz w:val="32"/>
          <w:szCs w:val="32"/>
        </w:rPr>
        <w:t>%，主要变动原因是：</w:t>
      </w:r>
      <w:r>
        <w:rPr>
          <w:rFonts w:hint="eastAsia" w:ascii="仿宋_GB2312" w:eastAsia="仿宋_GB2312"/>
          <w:color w:val="auto"/>
          <w:sz w:val="32"/>
          <w:szCs w:val="32"/>
          <w:lang w:val="en-US" w:eastAsia="zh-CN"/>
        </w:rPr>
        <w:t>2022年购入6辆生产用车</w:t>
      </w:r>
      <w:r>
        <w:rPr>
          <w:rFonts w:hint="eastAsia" w:ascii="仿宋_GB2312" w:eastAsia="仿宋_GB2312"/>
          <w:color w:val="auto"/>
          <w:sz w:val="32"/>
          <w:szCs w:val="32"/>
        </w:rPr>
        <w:t>。</w:t>
      </w:r>
    </w:p>
    <w:p>
      <w:pPr>
        <w:pStyle w:val="4"/>
        <w:numPr>
          <w:ilvl w:val="0"/>
          <w:numId w:val="6"/>
        </w:numPr>
        <w:ind w:firstLine="640"/>
        <w:rPr>
          <w:rFonts w:ascii="楷体_GB2312" w:eastAsia="楷体_GB2312"/>
          <w:szCs w:val="32"/>
        </w:rPr>
      </w:pPr>
      <w:r>
        <w:rPr>
          <w:rFonts w:hint="eastAsia" w:ascii="楷体_GB2312" w:eastAsia="楷体_GB2312"/>
          <w:szCs w:val="32"/>
        </w:rPr>
        <w:t>资产管理规范性分析</w:t>
      </w:r>
    </w:p>
    <w:p>
      <w:pPr>
        <w:ind w:firstLine="640"/>
        <w:jc w:val="left"/>
        <w:rPr>
          <w:rFonts w:ascii="仿宋_GB2312" w:eastAsia="仿宋_GB2312" w:cs="仿宋_GB2312"/>
          <w:color w:val="FF0000"/>
          <w:kern w:val="1"/>
          <w:sz w:val="32"/>
          <w:szCs w:val="32"/>
        </w:rPr>
      </w:pPr>
      <w:r>
        <w:rPr>
          <w:rFonts w:hint="eastAsia" w:ascii="仿宋_GB2312" w:eastAsia="仿宋_GB2312" w:cs="仿宋_GB2312"/>
          <w:b/>
          <w:kern w:val="1"/>
          <w:sz w:val="32"/>
          <w:szCs w:val="32"/>
        </w:rPr>
        <w:t>1.资产管理体制和制度建设方面</w:t>
      </w:r>
    </w:p>
    <w:p>
      <w:pPr>
        <w:ind w:firstLine="681" w:firstLineChars="213"/>
        <w:jc w:val="left"/>
        <w:rPr>
          <w:rFonts w:ascii="仿宋_GB2312" w:eastAsia="仿宋_GB2312" w:cs="仿宋"/>
          <w:color w:val="auto"/>
          <w:kern w:val="1"/>
          <w:sz w:val="32"/>
          <w:szCs w:val="32"/>
        </w:rPr>
      </w:pPr>
      <w:r>
        <w:rPr>
          <w:rFonts w:hint="eastAsia" w:ascii="仿宋_GB2312" w:eastAsia="仿宋_GB2312" w:cs="仿宋"/>
          <w:color w:val="auto"/>
          <w:kern w:val="1"/>
          <w:sz w:val="32"/>
          <w:szCs w:val="32"/>
        </w:rPr>
        <w:t>建立健全资产管理制度，合理配备并节约、有效使用资产，提高资产使用效率，保障资产的安全和完整。管理和使用坚持统一政策、统一领导、分级管理、职责到人、物尽其用的原则。办公室负责对单位资产管理进行指导和监督，对纳入政府采购范围的资产进行统一购置。本单位各科室确定专人负责资产的日常管理工作，包括资产的登记、统计、维护、保管等，并对所管资产的安全完整负有职责。资产管理人员应相对稳定，工作调动时务必办理交接手续。</w:t>
      </w:r>
    </w:p>
    <w:p>
      <w:pPr>
        <w:ind w:firstLine="640"/>
        <w:jc w:val="left"/>
        <w:rPr>
          <w:rFonts w:ascii="仿宋_GB2312" w:eastAsia="仿宋_GB2312" w:cs="仿宋_GB2312"/>
          <w:b/>
          <w:color w:val="auto"/>
          <w:kern w:val="1"/>
          <w:sz w:val="32"/>
          <w:szCs w:val="32"/>
        </w:rPr>
      </w:pPr>
      <w:r>
        <w:rPr>
          <w:rFonts w:hint="eastAsia" w:ascii="仿宋_GB2312" w:eastAsia="仿宋_GB2312" w:cs="仿宋_GB2312"/>
          <w:b/>
          <w:color w:val="auto"/>
          <w:kern w:val="1"/>
          <w:sz w:val="32"/>
          <w:szCs w:val="32"/>
        </w:rPr>
        <w:t>2.运行机制和管理方式</w:t>
      </w:r>
    </w:p>
    <w:p>
      <w:pPr>
        <w:ind w:firstLine="681" w:firstLineChars="213"/>
        <w:jc w:val="left"/>
        <w:rPr>
          <w:rFonts w:ascii="仿宋_GB2312" w:eastAsia="仿宋_GB2312" w:cs="仿宋"/>
          <w:color w:val="auto"/>
          <w:kern w:val="1"/>
          <w:sz w:val="32"/>
          <w:szCs w:val="32"/>
        </w:rPr>
      </w:pPr>
      <w:r>
        <w:rPr>
          <w:rFonts w:hint="eastAsia" w:ascii="仿宋_GB2312" w:eastAsia="仿宋_GB2312" w:cs="仿宋"/>
          <w:color w:val="auto"/>
          <w:kern w:val="1"/>
          <w:sz w:val="32"/>
          <w:szCs w:val="32"/>
        </w:rPr>
        <w:t>资产管理由财务部门进行价值核算并设置专人进行资产实物卡片管理及使用状况监督；办公设备由办公室设置专人进行实物卡片管理及使用状况监督。我单位建立了严格的资产交付使用验收制度。资产采购根据合同、供应商发货单等对所购资产的品种、规格、数量、质量、技术要求及其他资料进行验收。未通过验收的不合格资产，不得接收，务必按照合同等有关规定办理退换货或其他弥补措施。</w:t>
      </w:r>
    </w:p>
    <w:p>
      <w:pPr>
        <w:ind w:firstLine="640"/>
        <w:jc w:val="left"/>
        <w:rPr>
          <w:rFonts w:ascii="仿宋_GB2312" w:eastAsia="仿宋_GB2312" w:cs="仿宋_GB2312"/>
          <w:b/>
          <w:color w:val="auto"/>
          <w:kern w:val="1"/>
          <w:sz w:val="32"/>
          <w:szCs w:val="32"/>
        </w:rPr>
      </w:pPr>
      <w:r>
        <w:rPr>
          <w:rFonts w:hint="eastAsia" w:ascii="仿宋_GB2312" w:eastAsia="仿宋_GB2312" w:cs="仿宋_GB2312"/>
          <w:b/>
          <w:color w:val="auto"/>
          <w:kern w:val="1"/>
          <w:sz w:val="32"/>
          <w:szCs w:val="32"/>
        </w:rPr>
        <w:t>3.信息化建设方面</w:t>
      </w:r>
    </w:p>
    <w:p>
      <w:pPr>
        <w:ind w:firstLine="640"/>
        <w:jc w:val="left"/>
        <w:rPr>
          <w:rFonts w:ascii="仿宋_GB2312" w:eastAsia="仿宋_GB2312" w:cs="仿宋"/>
          <w:color w:val="auto"/>
          <w:kern w:val="1"/>
          <w:sz w:val="32"/>
          <w:szCs w:val="32"/>
        </w:rPr>
      </w:pPr>
      <w:r>
        <w:rPr>
          <w:rFonts w:hint="eastAsia" w:ascii="仿宋_GB2312" w:eastAsia="仿宋_GB2312" w:cs="仿宋"/>
          <w:color w:val="auto"/>
          <w:kern w:val="1"/>
          <w:sz w:val="32"/>
          <w:szCs w:val="32"/>
        </w:rPr>
        <w:t>我单位通过用行政事业单位资产管理软件严格管理资产卡片，包括卡片的增加、删除、查询、打印、汇总等。正确、全面、及时地记录资产的增加、减少、使用等状况，真实地反映和监督资产的增减变动和实际状况，建立健全了资产账簿体系。</w:t>
      </w:r>
    </w:p>
    <w:p>
      <w:pPr>
        <w:ind w:firstLine="640"/>
        <w:jc w:val="left"/>
        <w:rPr>
          <w:rFonts w:ascii="仿宋_GB2312" w:eastAsia="仿宋_GB2312" w:cs="仿宋_GB2312"/>
          <w:b/>
          <w:color w:val="auto"/>
          <w:kern w:val="1"/>
          <w:sz w:val="32"/>
          <w:szCs w:val="32"/>
        </w:rPr>
      </w:pPr>
      <w:r>
        <w:rPr>
          <w:rFonts w:hint="eastAsia" w:ascii="仿宋_GB2312" w:eastAsia="仿宋_GB2312" w:cs="仿宋_GB2312"/>
          <w:b/>
          <w:color w:val="auto"/>
          <w:kern w:val="1"/>
          <w:sz w:val="32"/>
          <w:szCs w:val="32"/>
        </w:rPr>
        <w:t xml:space="preserve"> 4.流动资产的管理</w:t>
      </w:r>
    </w:p>
    <w:p>
      <w:pPr>
        <w:pStyle w:val="10"/>
        <w:widowControl/>
        <w:spacing w:before="40" w:beforeAutospacing="0" w:after="0" w:afterAutospacing="0"/>
        <w:ind w:firstLine="640"/>
        <w:jc w:val="both"/>
        <w:rPr>
          <w:rFonts w:ascii="仿宋_GB2312" w:eastAsia="仿宋_GB2312" w:cs="宋体"/>
          <w:color w:val="auto"/>
          <w:sz w:val="32"/>
          <w:szCs w:val="32"/>
        </w:rPr>
      </w:pPr>
      <w:r>
        <w:rPr>
          <w:rFonts w:hint="eastAsia" w:ascii="仿宋_GB2312" w:eastAsia="仿宋_GB2312" w:cs="宋体"/>
          <w:color w:val="auto"/>
          <w:sz w:val="32"/>
          <w:szCs w:val="32"/>
        </w:rPr>
        <w:t>流动资产严格按照我单位内控体系要求进行管理，无备用金，单位货币资金管理由办公室每月与国库支付中心进行对账。</w:t>
      </w:r>
    </w:p>
    <w:p>
      <w:pPr>
        <w:ind w:firstLine="640"/>
        <w:jc w:val="left"/>
        <w:rPr>
          <w:rFonts w:ascii="仿宋_GB2312" w:eastAsia="仿宋_GB2312" w:cs="仿宋_GB2312"/>
          <w:b/>
          <w:color w:val="auto"/>
          <w:kern w:val="1"/>
          <w:sz w:val="32"/>
          <w:szCs w:val="32"/>
        </w:rPr>
      </w:pPr>
      <w:r>
        <w:rPr>
          <w:rFonts w:hint="eastAsia" w:ascii="仿宋_GB2312" w:eastAsia="仿宋_GB2312" w:cs="仿宋_GB2312"/>
          <w:b/>
          <w:color w:val="auto"/>
          <w:kern w:val="1"/>
          <w:sz w:val="32"/>
          <w:szCs w:val="32"/>
        </w:rPr>
        <w:t>5.固定资产的管理</w:t>
      </w:r>
    </w:p>
    <w:p>
      <w:pPr>
        <w:pStyle w:val="10"/>
        <w:widowControl/>
        <w:spacing w:before="40" w:beforeAutospacing="0" w:after="0" w:afterAutospacing="0"/>
        <w:ind w:firstLine="640"/>
        <w:jc w:val="both"/>
        <w:rPr>
          <w:rFonts w:ascii="仿宋_GB2312" w:eastAsia="仿宋_GB2312" w:cs="宋体"/>
          <w:color w:val="auto"/>
          <w:sz w:val="32"/>
          <w:szCs w:val="32"/>
        </w:rPr>
      </w:pPr>
      <w:r>
        <w:rPr>
          <w:rFonts w:hint="eastAsia" w:ascii="仿宋_GB2312" w:eastAsia="仿宋_GB2312" w:cs="宋体"/>
          <w:color w:val="auto"/>
          <w:sz w:val="32"/>
          <w:szCs w:val="32"/>
        </w:rPr>
        <w:t>本单位的资产管理严格按照《行政单位国有资产管理暂行办法》（财政部令第35号）《财政部关于修改〈事业单位国有资产暂行办法〉的决定》（财政部令第100号）的相关要求执行,符合财政部门要求。每年年末定时对我单位的固定资产进行盘点，对盘点过程中发现的盈亏，进行原因查找，并上报单位党组会研究决策，再上报财政行政事业单位资产管理科进行申报再行处理。</w:t>
      </w:r>
    </w:p>
    <w:p>
      <w:pPr>
        <w:pStyle w:val="3"/>
        <w:numPr>
          <w:ilvl w:val="0"/>
          <w:numId w:val="7"/>
        </w:numPr>
        <w:ind w:firstLine="640"/>
        <w:rPr>
          <w:rFonts w:ascii="黑体" w:hAnsi="黑体"/>
          <w:b w:val="0"/>
          <w:sz w:val="32"/>
          <w:szCs w:val="32"/>
        </w:rPr>
      </w:pPr>
      <w:r>
        <w:rPr>
          <w:rFonts w:hint="eastAsia" w:ascii="黑体" w:hAnsi="黑体"/>
          <w:b w:val="0"/>
          <w:sz w:val="32"/>
          <w:szCs w:val="32"/>
        </w:rPr>
        <w:t>部门单位整体支出绩效情况</w:t>
      </w:r>
    </w:p>
    <w:p>
      <w:pPr>
        <w:adjustRightInd w:val="0"/>
        <w:snapToGrid w:val="0"/>
        <w:ind w:firstLine="624"/>
        <w:rPr>
          <w:rFonts w:ascii="仿宋_GB2312" w:eastAsia="仿宋_GB2312"/>
          <w:bCs/>
          <w:color w:val="auto"/>
          <w:spacing w:val="-4"/>
          <w:sz w:val="32"/>
          <w:szCs w:val="32"/>
        </w:rPr>
      </w:pPr>
      <w:r>
        <w:rPr>
          <w:rFonts w:hint="eastAsia" w:ascii="仿宋_GB2312" w:eastAsia="仿宋_GB2312"/>
          <w:bCs/>
          <w:color w:val="auto"/>
          <w:spacing w:val="-4"/>
          <w:sz w:val="32"/>
          <w:szCs w:val="32"/>
        </w:rPr>
        <w:t>202</w:t>
      </w:r>
      <w:r>
        <w:rPr>
          <w:rFonts w:hint="eastAsia" w:ascii="仿宋_GB2312" w:eastAsia="仿宋_GB2312"/>
          <w:bCs/>
          <w:color w:val="auto"/>
          <w:spacing w:val="-4"/>
          <w:sz w:val="32"/>
          <w:szCs w:val="32"/>
          <w:lang w:val="en-US" w:eastAsia="zh-CN"/>
        </w:rPr>
        <w:t>2</w:t>
      </w:r>
      <w:r>
        <w:rPr>
          <w:rFonts w:hint="eastAsia" w:ascii="仿宋_GB2312" w:eastAsia="仿宋_GB2312"/>
          <w:bCs/>
          <w:color w:val="auto"/>
          <w:spacing w:val="-4"/>
          <w:sz w:val="32"/>
          <w:szCs w:val="32"/>
        </w:rPr>
        <w:t>年度，</w:t>
      </w:r>
      <w:r>
        <w:rPr>
          <w:rFonts w:hint="eastAsia" w:ascii="仿宋_GB2312" w:eastAsia="仿宋_GB2312"/>
          <w:color w:val="auto"/>
          <w:sz w:val="32"/>
          <w:szCs w:val="32"/>
          <w:lang w:eastAsia="zh-CN"/>
        </w:rPr>
        <w:t>昌吉市园林绿化管理中心</w:t>
      </w:r>
      <w:r>
        <w:rPr>
          <w:rFonts w:hint="eastAsia" w:ascii="仿宋_GB2312" w:eastAsia="仿宋_GB2312"/>
          <w:bCs/>
          <w:color w:val="auto"/>
          <w:spacing w:val="-4"/>
          <w:sz w:val="32"/>
          <w:szCs w:val="32"/>
        </w:rPr>
        <w:t>整体支出绩效目标共设置一级指标3个，二级指标</w:t>
      </w:r>
      <w:r>
        <w:rPr>
          <w:rFonts w:hint="eastAsia" w:ascii="仿宋_GB2312" w:eastAsia="仿宋_GB2312"/>
          <w:bCs/>
          <w:color w:val="auto"/>
          <w:spacing w:val="-4"/>
          <w:sz w:val="32"/>
          <w:szCs w:val="32"/>
          <w:lang w:val="en-US" w:eastAsia="zh-CN"/>
        </w:rPr>
        <w:t>7</w:t>
      </w:r>
      <w:r>
        <w:rPr>
          <w:rFonts w:hint="eastAsia" w:ascii="仿宋_GB2312" w:eastAsia="仿宋_GB2312"/>
          <w:bCs/>
          <w:color w:val="auto"/>
          <w:spacing w:val="-4"/>
          <w:sz w:val="32"/>
          <w:szCs w:val="32"/>
        </w:rPr>
        <w:t>个，三级指标</w:t>
      </w:r>
      <w:r>
        <w:rPr>
          <w:rFonts w:hint="eastAsia" w:ascii="仿宋_GB2312" w:eastAsia="仿宋_GB2312"/>
          <w:bCs/>
          <w:color w:val="auto"/>
          <w:spacing w:val="-4"/>
          <w:sz w:val="32"/>
          <w:szCs w:val="32"/>
          <w:lang w:val="en-US" w:eastAsia="zh-CN"/>
        </w:rPr>
        <w:t>16</w:t>
      </w:r>
      <w:r>
        <w:rPr>
          <w:rFonts w:hint="eastAsia" w:ascii="仿宋_GB2312" w:eastAsia="仿宋_GB2312"/>
          <w:bCs/>
          <w:color w:val="auto"/>
          <w:spacing w:val="-4"/>
          <w:sz w:val="32"/>
          <w:szCs w:val="32"/>
        </w:rPr>
        <w:t>个，其中：已完成三级指标</w:t>
      </w:r>
      <w:r>
        <w:rPr>
          <w:rFonts w:hint="eastAsia" w:ascii="仿宋_GB2312" w:eastAsia="仿宋_GB2312"/>
          <w:bCs/>
          <w:color w:val="auto"/>
          <w:spacing w:val="-4"/>
          <w:sz w:val="32"/>
          <w:szCs w:val="32"/>
          <w:lang w:val="en-US" w:eastAsia="zh-CN"/>
        </w:rPr>
        <w:t>16</w:t>
      </w:r>
      <w:r>
        <w:rPr>
          <w:rFonts w:hint="eastAsia" w:ascii="仿宋_GB2312" w:eastAsia="仿宋_GB2312"/>
          <w:bCs/>
          <w:color w:val="auto"/>
          <w:spacing w:val="-4"/>
          <w:sz w:val="32"/>
          <w:szCs w:val="32"/>
        </w:rPr>
        <w:t>个，指标完成率为</w:t>
      </w:r>
      <w:r>
        <w:rPr>
          <w:rFonts w:hint="eastAsia" w:ascii="仿宋_GB2312" w:eastAsia="仿宋_GB2312"/>
          <w:bCs/>
          <w:color w:val="auto"/>
          <w:spacing w:val="-4"/>
          <w:sz w:val="32"/>
          <w:szCs w:val="32"/>
          <w:lang w:val="en-US" w:eastAsia="zh-CN"/>
        </w:rPr>
        <w:t>100</w:t>
      </w:r>
      <w:r>
        <w:rPr>
          <w:rFonts w:hint="eastAsia" w:ascii="仿宋_GB2312" w:eastAsia="仿宋_GB2312"/>
          <w:bCs/>
          <w:color w:val="auto"/>
          <w:spacing w:val="-4"/>
          <w:sz w:val="32"/>
          <w:szCs w:val="32"/>
        </w:rPr>
        <w:t>%。</w:t>
      </w:r>
    </w:p>
    <w:p>
      <w:pPr>
        <w:pStyle w:val="5"/>
        <w:ind w:firstLine="640"/>
        <w:rPr>
          <w:sz w:val="32"/>
        </w:rPr>
      </w:pPr>
      <w:r>
        <w:rPr>
          <w:rFonts w:hint="eastAsia"/>
          <w:sz w:val="32"/>
        </w:rPr>
        <w:t>1.产出指标完成情况分析</w:t>
      </w:r>
    </w:p>
    <w:p>
      <w:pPr>
        <w:ind w:firstLine="640"/>
        <w:rPr>
          <w:rFonts w:ascii="仿宋_GB2312" w:eastAsia="仿宋_GB2312"/>
          <w:sz w:val="32"/>
          <w:szCs w:val="32"/>
        </w:rPr>
      </w:pPr>
      <w:r>
        <w:rPr>
          <w:rFonts w:hint="eastAsia" w:ascii="仿宋_GB2312" w:eastAsia="仿宋_GB2312"/>
          <w:sz w:val="32"/>
          <w:szCs w:val="32"/>
        </w:rPr>
        <w:t>（1）数量指标</w:t>
      </w:r>
    </w:p>
    <w:p>
      <w:pPr>
        <w:ind w:firstLine="640"/>
        <w:rPr>
          <w:rFonts w:hint="eastAsia" w:ascii="仿宋_GB2312" w:eastAsia="仿宋_GB2312"/>
          <w:color w:val="auto"/>
          <w:sz w:val="32"/>
          <w:szCs w:val="32"/>
          <w:lang w:eastAsia="zh-CN"/>
        </w:rPr>
      </w:pPr>
      <w:r>
        <w:rPr>
          <w:rFonts w:hint="eastAsia" w:ascii="仿宋_GB2312" w:eastAsia="仿宋_GB2312"/>
          <w:sz w:val="32"/>
          <w:szCs w:val="32"/>
        </w:rPr>
        <w:t>“</w:t>
      </w:r>
      <w:r>
        <w:rPr>
          <w:rFonts w:hint="eastAsia" w:ascii="仿宋_GB2312" w:eastAsia="仿宋_GB2312"/>
          <w:color w:val="auto"/>
          <w:sz w:val="32"/>
          <w:szCs w:val="32"/>
          <w:lang w:eastAsia="zh-CN"/>
        </w:rPr>
        <w:t>房屋建筑物供暖面积</w:t>
      </w:r>
      <w:r>
        <w:rPr>
          <w:rFonts w:hint="eastAsia" w:ascii="仿宋_GB2312" w:eastAsia="仿宋_GB2312"/>
          <w:color w:val="auto"/>
          <w:sz w:val="32"/>
          <w:szCs w:val="32"/>
        </w:rPr>
        <w:t>”指标：预期指标值为“</w:t>
      </w:r>
      <w:r>
        <w:rPr>
          <w:rFonts w:hint="eastAsia" w:ascii="仿宋_GB2312" w:eastAsia="仿宋_GB2312"/>
          <w:color w:val="auto"/>
          <w:sz w:val="32"/>
          <w:szCs w:val="32"/>
          <w:lang w:val="en-US" w:eastAsia="zh-CN"/>
        </w:rPr>
        <w:t>10285.93平方米</w:t>
      </w:r>
      <w:r>
        <w:rPr>
          <w:rFonts w:hint="eastAsia" w:ascii="仿宋_GB2312" w:eastAsia="仿宋_GB2312"/>
          <w:color w:val="auto"/>
          <w:sz w:val="32"/>
          <w:szCs w:val="32"/>
        </w:rPr>
        <w:t>”，实际完成指标值为“</w:t>
      </w:r>
      <w:r>
        <w:rPr>
          <w:rFonts w:hint="eastAsia" w:ascii="仿宋_GB2312" w:eastAsia="仿宋_GB2312"/>
          <w:color w:val="auto"/>
          <w:sz w:val="32"/>
          <w:szCs w:val="32"/>
          <w:lang w:val="en-US" w:eastAsia="zh-CN"/>
        </w:rPr>
        <w:t>10285.93平方米</w:t>
      </w:r>
      <w:r>
        <w:rPr>
          <w:rFonts w:hint="eastAsia" w:ascii="仿宋_GB2312" w:eastAsia="仿宋_GB2312"/>
          <w:color w:val="auto"/>
          <w:sz w:val="32"/>
          <w:szCs w:val="32"/>
        </w:rPr>
        <w:t>”，指标完成率为</w:t>
      </w:r>
      <w:r>
        <w:rPr>
          <w:rFonts w:hint="eastAsia" w:ascii="仿宋_GB2312" w:eastAsia="仿宋_GB2312"/>
          <w:bCs/>
          <w:color w:val="auto"/>
          <w:spacing w:val="-4"/>
          <w:sz w:val="32"/>
          <w:szCs w:val="32"/>
          <w:lang w:val="en-US" w:eastAsia="zh-CN"/>
        </w:rPr>
        <w:t>100</w:t>
      </w:r>
      <w:r>
        <w:rPr>
          <w:rFonts w:hint="eastAsia" w:ascii="仿宋_GB2312" w:eastAsia="仿宋_GB2312"/>
          <w:color w:val="auto"/>
          <w:sz w:val="32"/>
          <w:szCs w:val="32"/>
        </w:rPr>
        <w:t>%</w:t>
      </w:r>
      <w:r>
        <w:rPr>
          <w:rFonts w:hint="eastAsia" w:ascii="仿宋_GB2312" w:eastAsia="仿宋_GB2312"/>
          <w:color w:val="auto"/>
          <w:sz w:val="32"/>
          <w:szCs w:val="32"/>
          <w:lang w:val="en-US" w:eastAsia="zh-CN"/>
        </w:rPr>
        <w:t>。</w:t>
      </w:r>
    </w:p>
    <w:p>
      <w:pPr>
        <w:ind w:firstLine="640"/>
        <w:rPr>
          <w:rFonts w:hint="eastAsia" w:ascii="仿宋_GB2312" w:eastAsia="仿宋_GB2312"/>
          <w:color w:val="auto"/>
          <w:sz w:val="32"/>
          <w:szCs w:val="32"/>
          <w:lang w:eastAsia="zh-CN"/>
        </w:rPr>
      </w:pPr>
      <w:r>
        <w:rPr>
          <w:rFonts w:hint="eastAsia" w:ascii="仿宋_GB2312" w:eastAsia="仿宋_GB2312"/>
          <w:color w:val="auto"/>
          <w:sz w:val="32"/>
          <w:szCs w:val="32"/>
        </w:rPr>
        <w:t>“</w:t>
      </w:r>
      <w:r>
        <w:rPr>
          <w:rFonts w:hint="eastAsia" w:ascii="仿宋_GB2312" w:eastAsia="仿宋_GB2312"/>
          <w:color w:val="auto"/>
          <w:sz w:val="32"/>
          <w:szCs w:val="32"/>
          <w:lang w:eastAsia="zh-CN"/>
        </w:rPr>
        <w:t>公务用车数量</w:t>
      </w:r>
      <w:r>
        <w:rPr>
          <w:rFonts w:hint="eastAsia" w:ascii="仿宋_GB2312" w:eastAsia="仿宋_GB2312"/>
          <w:color w:val="auto"/>
          <w:sz w:val="32"/>
          <w:szCs w:val="32"/>
        </w:rPr>
        <w:t>”指标：预期指标值为“</w:t>
      </w:r>
      <w:r>
        <w:rPr>
          <w:rFonts w:hint="eastAsia" w:ascii="仿宋_GB2312" w:eastAsia="仿宋_GB2312"/>
          <w:color w:val="auto"/>
          <w:sz w:val="32"/>
          <w:szCs w:val="32"/>
          <w:lang w:val="en-US" w:eastAsia="zh-CN"/>
        </w:rPr>
        <w:t>9辆</w:t>
      </w:r>
      <w:r>
        <w:rPr>
          <w:rFonts w:hint="eastAsia" w:ascii="仿宋_GB2312" w:eastAsia="仿宋_GB2312"/>
          <w:color w:val="auto"/>
          <w:sz w:val="32"/>
          <w:szCs w:val="32"/>
        </w:rPr>
        <w:t>”，实际完成指标值为“</w:t>
      </w:r>
      <w:r>
        <w:rPr>
          <w:rFonts w:hint="eastAsia" w:ascii="仿宋_GB2312" w:eastAsia="仿宋_GB2312"/>
          <w:color w:val="auto"/>
          <w:sz w:val="32"/>
          <w:szCs w:val="32"/>
          <w:lang w:val="en-US" w:eastAsia="zh-CN"/>
        </w:rPr>
        <w:t>9辆</w:t>
      </w:r>
      <w:r>
        <w:rPr>
          <w:rFonts w:hint="eastAsia" w:ascii="仿宋_GB2312" w:eastAsia="仿宋_GB2312"/>
          <w:color w:val="auto"/>
          <w:sz w:val="32"/>
          <w:szCs w:val="32"/>
        </w:rPr>
        <w:t>”，指标完成率为</w:t>
      </w:r>
      <w:r>
        <w:rPr>
          <w:rFonts w:hint="eastAsia" w:ascii="仿宋_GB2312" w:eastAsia="仿宋_GB2312"/>
          <w:bCs/>
          <w:color w:val="auto"/>
          <w:spacing w:val="-4"/>
          <w:sz w:val="32"/>
          <w:szCs w:val="32"/>
          <w:lang w:val="en-US" w:eastAsia="zh-CN"/>
        </w:rPr>
        <w:t>100</w:t>
      </w:r>
      <w:r>
        <w:rPr>
          <w:rFonts w:hint="eastAsia" w:ascii="仿宋_GB2312" w:eastAsia="仿宋_GB2312"/>
          <w:color w:val="auto"/>
          <w:sz w:val="32"/>
          <w:szCs w:val="32"/>
        </w:rPr>
        <w:t>%</w:t>
      </w:r>
      <w:r>
        <w:rPr>
          <w:rFonts w:hint="eastAsia" w:ascii="仿宋_GB2312" w:eastAsia="仿宋_GB2312"/>
          <w:color w:val="auto"/>
          <w:sz w:val="32"/>
          <w:szCs w:val="32"/>
          <w:lang w:eastAsia="zh-CN"/>
        </w:rPr>
        <w:t>。</w:t>
      </w:r>
    </w:p>
    <w:p>
      <w:pPr>
        <w:ind w:firstLine="640"/>
        <w:rPr>
          <w:rFonts w:hint="eastAsia" w:ascii="仿宋_GB2312" w:eastAsia="仿宋_GB2312"/>
          <w:color w:val="auto"/>
          <w:sz w:val="32"/>
          <w:szCs w:val="32"/>
          <w:lang w:eastAsia="zh-CN"/>
        </w:rPr>
      </w:pPr>
      <w:r>
        <w:rPr>
          <w:rFonts w:hint="eastAsia" w:ascii="仿宋_GB2312" w:eastAsia="仿宋_GB2312"/>
          <w:color w:val="auto"/>
          <w:sz w:val="32"/>
          <w:szCs w:val="32"/>
        </w:rPr>
        <w:t>“</w:t>
      </w:r>
      <w:r>
        <w:rPr>
          <w:rFonts w:hint="eastAsia" w:ascii="仿宋_GB2312" w:eastAsia="仿宋_GB2312"/>
          <w:color w:val="auto"/>
          <w:sz w:val="32"/>
          <w:szCs w:val="32"/>
          <w:lang w:eastAsia="zh-CN"/>
        </w:rPr>
        <w:t>发放工资次数</w:t>
      </w:r>
      <w:r>
        <w:rPr>
          <w:rFonts w:hint="eastAsia" w:ascii="仿宋_GB2312" w:eastAsia="仿宋_GB2312"/>
          <w:color w:val="auto"/>
          <w:sz w:val="32"/>
          <w:szCs w:val="32"/>
        </w:rPr>
        <w:t>”指标：预期指标值为“</w:t>
      </w:r>
      <w:r>
        <w:rPr>
          <w:rFonts w:hint="eastAsia" w:ascii="仿宋_GB2312" w:eastAsia="仿宋_GB2312"/>
          <w:color w:val="auto"/>
          <w:sz w:val="32"/>
          <w:szCs w:val="32"/>
          <w:lang w:val="en-US" w:eastAsia="zh-CN"/>
        </w:rPr>
        <w:t>12次</w:t>
      </w:r>
      <w:r>
        <w:rPr>
          <w:rFonts w:hint="eastAsia" w:ascii="仿宋_GB2312" w:eastAsia="仿宋_GB2312"/>
          <w:color w:val="auto"/>
          <w:sz w:val="32"/>
          <w:szCs w:val="32"/>
        </w:rPr>
        <w:t>”，实际完成指标值为“</w:t>
      </w:r>
      <w:r>
        <w:rPr>
          <w:rFonts w:hint="eastAsia" w:ascii="仿宋_GB2312" w:eastAsia="仿宋_GB2312"/>
          <w:color w:val="auto"/>
          <w:sz w:val="32"/>
          <w:szCs w:val="32"/>
          <w:lang w:val="en-US" w:eastAsia="zh-CN"/>
        </w:rPr>
        <w:t>12次</w:t>
      </w:r>
      <w:r>
        <w:rPr>
          <w:rFonts w:hint="eastAsia" w:ascii="仿宋_GB2312" w:eastAsia="仿宋_GB2312"/>
          <w:color w:val="auto"/>
          <w:sz w:val="32"/>
          <w:szCs w:val="32"/>
        </w:rPr>
        <w:t>”，指标完成率为</w:t>
      </w:r>
      <w:r>
        <w:rPr>
          <w:rFonts w:hint="eastAsia" w:ascii="仿宋_GB2312" w:eastAsia="仿宋_GB2312"/>
          <w:bCs/>
          <w:color w:val="auto"/>
          <w:spacing w:val="-4"/>
          <w:sz w:val="32"/>
          <w:szCs w:val="32"/>
          <w:lang w:val="en-US" w:eastAsia="zh-CN"/>
        </w:rPr>
        <w:t>100</w:t>
      </w:r>
      <w:r>
        <w:rPr>
          <w:rFonts w:hint="eastAsia" w:ascii="仿宋_GB2312" w:eastAsia="仿宋_GB2312"/>
          <w:color w:val="auto"/>
          <w:sz w:val="32"/>
          <w:szCs w:val="32"/>
        </w:rPr>
        <w:t>%</w:t>
      </w:r>
      <w:r>
        <w:rPr>
          <w:rFonts w:hint="eastAsia" w:ascii="仿宋_GB2312" w:eastAsia="仿宋_GB2312"/>
          <w:color w:val="auto"/>
          <w:sz w:val="32"/>
          <w:szCs w:val="32"/>
          <w:lang w:eastAsia="zh-CN"/>
        </w:rPr>
        <w:t>。</w:t>
      </w:r>
    </w:p>
    <w:p>
      <w:pPr>
        <w:ind w:firstLine="640"/>
        <w:rPr>
          <w:rFonts w:hint="eastAsia" w:ascii="仿宋_GB2312" w:eastAsia="仿宋_GB2312"/>
          <w:color w:val="auto"/>
          <w:sz w:val="32"/>
          <w:szCs w:val="32"/>
          <w:lang w:eastAsia="zh-CN"/>
        </w:rPr>
      </w:pPr>
      <w:r>
        <w:rPr>
          <w:rFonts w:hint="eastAsia" w:ascii="仿宋_GB2312" w:eastAsia="仿宋_GB2312"/>
          <w:color w:val="auto"/>
          <w:sz w:val="32"/>
          <w:szCs w:val="32"/>
        </w:rPr>
        <w:t>“</w:t>
      </w:r>
      <w:r>
        <w:rPr>
          <w:rFonts w:hint="eastAsia" w:ascii="仿宋_GB2312" w:eastAsia="仿宋_GB2312"/>
          <w:color w:val="auto"/>
          <w:sz w:val="32"/>
          <w:szCs w:val="32"/>
          <w:lang w:eastAsia="zh-CN"/>
        </w:rPr>
        <w:t>发放工资人数</w:t>
      </w:r>
      <w:r>
        <w:rPr>
          <w:rFonts w:hint="eastAsia" w:ascii="仿宋_GB2312" w:eastAsia="仿宋_GB2312"/>
          <w:color w:val="auto"/>
          <w:sz w:val="32"/>
          <w:szCs w:val="32"/>
        </w:rPr>
        <w:t>”指标：预期指标值为“</w:t>
      </w:r>
      <w:r>
        <w:rPr>
          <w:rFonts w:hint="eastAsia" w:ascii="仿宋_GB2312" w:eastAsia="仿宋_GB2312"/>
          <w:color w:val="auto"/>
          <w:sz w:val="32"/>
          <w:szCs w:val="32"/>
          <w:lang w:val="en-US" w:eastAsia="zh-CN"/>
        </w:rPr>
        <w:t>768人</w:t>
      </w:r>
      <w:r>
        <w:rPr>
          <w:rFonts w:hint="eastAsia" w:ascii="仿宋_GB2312" w:eastAsia="仿宋_GB2312"/>
          <w:color w:val="auto"/>
          <w:sz w:val="32"/>
          <w:szCs w:val="32"/>
        </w:rPr>
        <w:t>”，实际完成指标值为“</w:t>
      </w:r>
      <w:r>
        <w:rPr>
          <w:rFonts w:hint="eastAsia" w:ascii="仿宋_GB2312" w:eastAsia="仿宋_GB2312"/>
          <w:color w:val="auto"/>
          <w:sz w:val="32"/>
          <w:szCs w:val="32"/>
          <w:lang w:val="en-US" w:eastAsia="zh-CN"/>
        </w:rPr>
        <w:t>768人</w:t>
      </w:r>
      <w:r>
        <w:rPr>
          <w:rFonts w:hint="eastAsia" w:ascii="仿宋_GB2312" w:eastAsia="仿宋_GB2312"/>
          <w:color w:val="auto"/>
          <w:sz w:val="32"/>
          <w:szCs w:val="32"/>
        </w:rPr>
        <w:t>”，指标完成率为</w:t>
      </w:r>
      <w:r>
        <w:rPr>
          <w:rFonts w:hint="eastAsia" w:ascii="仿宋_GB2312" w:eastAsia="仿宋_GB2312"/>
          <w:bCs/>
          <w:color w:val="auto"/>
          <w:spacing w:val="-4"/>
          <w:sz w:val="32"/>
          <w:szCs w:val="32"/>
          <w:lang w:val="en-US" w:eastAsia="zh-CN"/>
        </w:rPr>
        <w:t>100</w:t>
      </w:r>
      <w:r>
        <w:rPr>
          <w:rFonts w:hint="eastAsia" w:ascii="仿宋_GB2312" w:eastAsia="仿宋_GB2312"/>
          <w:color w:val="auto"/>
          <w:sz w:val="32"/>
          <w:szCs w:val="32"/>
        </w:rPr>
        <w:t>%</w:t>
      </w:r>
      <w:r>
        <w:rPr>
          <w:rFonts w:hint="eastAsia" w:ascii="仿宋_GB2312" w:eastAsia="仿宋_GB2312"/>
          <w:color w:val="auto"/>
          <w:sz w:val="32"/>
          <w:szCs w:val="32"/>
          <w:lang w:eastAsia="zh-CN"/>
        </w:rPr>
        <w:t>。</w:t>
      </w:r>
    </w:p>
    <w:p>
      <w:pPr>
        <w:ind w:firstLine="640"/>
        <w:rPr>
          <w:rFonts w:hint="eastAsia" w:eastAsia="仿宋_GB2312"/>
          <w:color w:val="auto"/>
          <w:lang w:eastAsia="zh-CN"/>
        </w:rPr>
      </w:pPr>
      <w:r>
        <w:rPr>
          <w:rFonts w:hint="eastAsia" w:ascii="仿宋_GB2312" w:eastAsia="仿宋_GB2312"/>
          <w:color w:val="auto"/>
          <w:sz w:val="32"/>
          <w:szCs w:val="32"/>
        </w:rPr>
        <w:t>“</w:t>
      </w:r>
      <w:r>
        <w:rPr>
          <w:rFonts w:hint="eastAsia" w:ascii="仿宋_GB2312" w:eastAsia="仿宋_GB2312"/>
          <w:color w:val="auto"/>
          <w:sz w:val="32"/>
          <w:szCs w:val="32"/>
          <w:lang w:eastAsia="zh-CN"/>
        </w:rPr>
        <w:t>园林绿化用车</w:t>
      </w:r>
      <w:r>
        <w:rPr>
          <w:rFonts w:hint="eastAsia" w:ascii="仿宋_GB2312" w:eastAsia="仿宋_GB2312"/>
          <w:color w:val="auto"/>
          <w:sz w:val="32"/>
          <w:szCs w:val="32"/>
        </w:rPr>
        <w:t>”指标：预期指标值为“</w:t>
      </w:r>
      <w:r>
        <w:rPr>
          <w:rFonts w:hint="eastAsia" w:ascii="仿宋_GB2312" w:eastAsia="仿宋_GB2312"/>
          <w:color w:val="auto"/>
          <w:sz w:val="32"/>
          <w:szCs w:val="32"/>
          <w:lang w:val="en-US" w:eastAsia="zh-CN"/>
        </w:rPr>
        <w:t>43辆</w:t>
      </w:r>
      <w:r>
        <w:rPr>
          <w:rFonts w:hint="eastAsia" w:ascii="仿宋_GB2312" w:eastAsia="仿宋_GB2312"/>
          <w:color w:val="auto"/>
          <w:sz w:val="32"/>
          <w:szCs w:val="32"/>
        </w:rPr>
        <w:t>”，实际完成指标值为“</w:t>
      </w:r>
      <w:r>
        <w:rPr>
          <w:rFonts w:hint="eastAsia" w:ascii="仿宋_GB2312" w:eastAsia="仿宋_GB2312"/>
          <w:color w:val="auto"/>
          <w:sz w:val="32"/>
          <w:szCs w:val="32"/>
          <w:lang w:val="en-US" w:eastAsia="zh-CN"/>
        </w:rPr>
        <w:t>43辆</w:t>
      </w:r>
      <w:r>
        <w:rPr>
          <w:rFonts w:hint="eastAsia" w:ascii="仿宋_GB2312" w:eastAsia="仿宋_GB2312"/>
          <w:color w:val="auto"/>
          <w:sz w:val="32"/>
          <w:szCs w:val="32"/>
        </w:rPr>
        <w:t>”，指标完成率为</w:t>
      </w:r>
      <w:r>
        <w:rPr>
          <w:rFonts w:hint="eastAsia" w:ascii="仿宋_GB2312" w:eastAsia="仿宋_GB2312"/>
          <w:bCs/>
          <w:color w:val="auto"/>
          <w:spacing w:val="-4"/>
          <w:sz w:val="32"/>
          <w:szCs w:val="32"/>
          <w:lang w:val="en-US" w:eastAsia="zh-CN"/>
        </w:rPr>
        <w:t>100</w:t>
      </w:r>
      <w:r>
        <w:rPr>
          <w:rFonts w:hint="eastAsia" w:ascii="仿宋_GB2312" w:eastAsia="仿宋_GB2312"/>
          <w:color w:val="auto"/>
          <w:sz w:val="32"/>
          <w:szCs w:val="32"/>
        </w:rPr>
        <w:t>%</w:t>
      </w:r>
      <w:r>
        <w:rPr>
          <w:rFonts w:hint="eastAsia" w:ascii="仿宋_GB2312" w:eastAsia="仿宋_GB2312"/>
          <w:color w:val="auto"/>
          <w:sz w:val="32"/>
          <w:szCs w:val="32"/>
          <w:lang w:eastAsia="zh-CN"/>
        </w:rPr>
        <w:t>。</w:t>
      </w:r>
    </w:p>
    <w:p>
      <w:pPr>
        <w:numPr>
          <w:ilvl w:val="0"/>
          <w:numId w:val="8"/>
        </w:numPr>
        <w:ind w:firstLine="640"/>
        <w:rPr>
          <w:rFonts w:ascii="仿宋_GB2312" w:eastAsia="仿宋_GB2312"/>
          <w:color w:val="auto"/>
          <w:sz w:val="32"/>
          <w:szCs w:val="32"/>
        </w:rPr>
      </w:pPr>
      <w:r>
        <w:rPr>
          <w:rFonts w:hint="eastAsia" w:ascii="仿宋_GB2312" w:eastAsia="仿宋_GB2312"/>
          <w:color w:val="auto"/>
          <w:sz w:val="32"/>
          <w:szCs w:val="32"/>
        </w:rPr>
        <w:t>质量指标</w:t>
      </w:r>
    </w:p>
    <w:p>
      <w:pPr>
        <w:ind w:firstLine="640"/>
        <w:rPr>
          <w:color w:val="auto"/>
        </w:rPr>
      </w:pPr>
      <w:r>
        <w:rPr>
          <w:rFonts w:hint="eastAsia" w:ascii="仿宋_GB2312" w:eastAsia="仿宋_GB2312"/>
          <w:color w:val="auto"/>
          <w:sz w:val="32"/>
          <w:szCs w:val="32"/>
        </w:rPr>
        <w:t>“</w:t>
      </w:r>
      <w:r>
        <w:rPr>
          <w:rFonts w:hint="eastAsia" w:ascii="仿宋_GB2312" w:eastAsia="仿宋_GB2312"/>
          <w:color w:val="auto"/>
          <w:sz w:val="32"/>
          <w:szCs w:val="32"/>
          <w:lang w:eastAsia="zh-CN"/>
        </w:rPr>
        <w:t>资金使用合规率</w:t>
      </w:r>
      <w:r>
        <w:rPr>
          <w:rFonts w:hint="eastAsia" w:ascii="仿宋_GB2312" w:eastAsia="仿宋_GB2312"/>
          <w:color w:val="auto"/>
          <w:sz w:val="32"/>
          <w:szCs w:val="32"/>
        </w:rPr>
        <w:t>”指标：预期指标值为“</w:t>
      </w:r>
      <w:r>
        <w:rPr>
          <w:rFonts w:hint="eastAsia" w:ascii="仿宋_GB2312" w:eastAsia="仿宋_GB2312"/>
          <w:color w:val="auto"/>
          <w:sz w:val="32"/>
          <w:szCs w:val="32"/>
          <w:lang w:val="en-US" w:eastAsia="zh-CN"/>
        </w:rPr>
        <w:t>98%</w:t>
      </w:r>
      <w:r>
        <w:rPr>
          <w:rFonts w:hint="eastAsia" w:ascii="仿宋_GB2312" w:eastAsia="仿宋_GB2312"/>
          <w:color w:val="auto"/>
          <w:sz w:val="32"/>
          <w:szCs w:val="32"/>
        </w:rPr>
        <w:t>”，实际完成指标值为“</w:t>
      </w:r>
      <w:r>
        <w:rPr>
          <w:rFonts w:hint="eastAsia" w:ascii="仿宋_GB2312" w:eastAsia="仿宋_GB2312"/>
          <w:color w:val="auto"/>
          <w:sz w:val="32"/>
          <w:szCs w:val="32"/>
          <w:lang w:val="en-US" w:eastAsia="zh-CN"/>
        </w:rPr>
        <w:t>98%</w:t>
      </w:r>
      <w:r>
        <w:rPr>
          <w:rFonts w:hint="eastAsia" w:ascii="仿宋_GB2312" w:eastAsia="仿宋_GB2312"/>
          <w:color w:val="auto"/>
          <w:sz w:val="32"/>
          <w:szCs w:val="32"/>
        </w:rPr>
        <w:t>”，指标完成率为</w:t>
      </w:r>
      <w:r>
        <w:rPr>
          <w:rFonts w:hint="eastAsia" w:ascii="仿宋_GB2312" w:eastAsia="仿宋_GB2312"/>
          <w:bCs/>
          <w:color w:val="auto"/>
          <w:spacing w:val="-4"/>
          <w:sz w:val="32"/>
          <w:szCs w:val="32"/>
          <w:lang w:val="en-US" w:eastAsia="zh-CN"/>
        </w:rPr>
        <w:t>100</w:t>
      </w:r>
      <w:r>
        <w:rPr>
          <w:rFonts w:hint="eastAsia" w:ascii="仿宋_GB2312" w:eastAsia="仿宋_GB2312"/>
          <w:color w:val="auto"/>
          <w:sz w:val="32"/>
          <w:szCs w:val="32"/>
        </w:rPr>
        <w:t>%;</w:t>
      </w:r>
    </w:p>
    <w:p>
      <w:pPr>
        <w:numPr>
          <w:ilvl w:val="0"/>
          <w:numId w:val="8"/>
        </w:numPr>
        <w:ind w:firstLine="640"/>
        <w:rPr>
          <w:rFonts w:ascii="仿宋_GB2312" w:eastAsia="仿宋_GB2312"/>
          <w:color w:val="auto"/>
          <w:sz w:val="32"/>
          <w:szCs w:val="32"/>
        </w:rPr>
      </w:pPr>
      <w:r>
        <w:rPr>
          <w:rFonts w:hint="eastAsia" w:ascii="仿宋_GB2312" w:eastAsia="仿宋_GB2312"/>
          <w:color w:val="auto"/>
          <w:sz w:val="32"/>
          <w:szCs w:val="32"/>
        </w:rPr>
        <w:t>时效指标</w:t>
      </w:r>
    </w:p>
    <w:p>
      <w:pPr>
        <w:ind w:firstLine="640"/>
        <w:rPr>
          <w:rFonts w:hint="eastAsia" w:ascii="仿宋_GB2312" w:eastAsia="仿宋_GB2312"/>
          <w:color w:val="auto"/>
          <w:sz w:val="32"/>
          <w:szCs w:val="32"/>
        </w:rPr>
      </w:pPr>
      <w:r>
        <w:rPr>
          <w:rFonts w:hint="eastAsia" w:ascii="仿宋_GB2312" w:eastAsia="仿宋_GB2312"/>
          <w:color w:val="auto"/>
          <w:sz w:val="32"/>
          <w:szCs w:val="32"/>
        </w:rPr>
        <w:t>“</w:t>
      </w:r>
      <w:r>
        <w:rPr>
          <w:rFonts w:hint="eastAsia" w:ascii="仿宋_GB2312" w:eastAsia="仿宋_GB2312"/>
          <w:color w:val="auto"/>
          <w:sz w:val="32"/>
          <w:szCs w:val="32"/>
          <w:lang w:eastAsia="zh-CN"/>
        </w:rPr>
        <w:t>工资发放及时率</w:t>
      </w:r>
      <w:r>
        <w:rPr>
          <w:rFonts w:hint="eastAsia" w:ascii="仿宋_GB2312" w:eastAsia="仿宋_GB2312"/>
          <w:color w:val="auto"/>
          <w:sz w:val="32"/>
          <w:szCs w:val="32"/>
        </w:rPr>
        <w:t>”指标：预期指标值为“</w:t>
      </w:r>
      <w:r>
        <w:rPr>
          <w:rFonts w:hint="eastAsia" w:ascii="仿宋_GB2312" w:eastAsia="仿宋_GB2312"/>
          <w:color w:val="auto"/>
          <w:sz w:val="32"/>
          <w:szCs w:val="32"/>
          <w:lang w:val="en-US" w:eastAsia="zh-CN"/>
        </w:rPr>
        <w:t>100%</w:t>
      </w:r>
      <w:r>
        <w:rPr>
          <w:rFonts w:hint="eastAsia" w:ascii="仿宋_GB2312" w:eastAsia="仿宋_GB2312"/>
          <w:color w:val="auto"/>
          <w:sz w:val="32"/>
          <w:szCs w:val="32"/>
        </w:rPr>
        <w:t>”，实际完成指标值为“</w:t>
      </w:r>
      <w:r>
        <w:rPr>
          <w:rFonts w:hint="eastAsia" w:ascii="仿宋_GB2312" w:eastAsia="仿宋_GB2312"/>
          <w:color w:val="auto"/>
          <w:sz w:val="32"/>
          <w:szCs w:val="32"/>
          <w:lang w:val="en-US" w:eastAsia="zh-CN"/>
        </w:rPr>
        <w:t>100%</w:t>
      </w:r>
      <w:r>
        <w:rPr>
          <w:rFonts w:hint="eastAsia" w:ascii="仿宋_GB2312" w:eastAsia="仿宋_GB2312"/>
          <w:color w:val="auto"/>
          <w:sz w:val="32"/>
          <w:szCs w:val="32"/>
        </w:rPr>
        <w:t>”，指标完成率为</w:t>
      </w:r>
      <w:r>
        <w:rPr>
          <w:rFonts w:hint="eastAsia" w:ascii="仿宋_GB2312" w:eastAsia="仿宋_GB2312"/>
          <w:bCs/>
          <w:color w:val="auto"/>
          <w:spacing w:val="-4"/>
          <w:sz w:val="32"/>
          <w:szCs w:val="32"/>
          <w:lang w:val="en-US" w:eastAsia="zh-CN"/>
        </w:rPr>
        <w:t>100</w:t>
      </w:r>
      <w:r>
        <w:rPr>
          <w:rFonts w:hint="eastAsia" w:ascii="仿宋_GB2312" w:eastAsia="仿宋_GB2312"/>
          <w:color w:val="auto"/>
          <w:sz w:val="32"/>
          <w:szCs w:val="32"/>
        </w:rPr>
        <w:t>%;</w:t>
      </w:r>
    </w:p>
    <w:p>
      <w:pPr>
        <w:ind w:firstLine="640"/>
        <w:rPr>
          <w:color w:val="auto"/>
        </w:rPr>
      </w:pPr>
      <w:r>
        <w:rPr>
          <w:rFonts w:hint="eastAsia" w:ascii="仿宋_GB2312" w:eastAsia="仿宋_GB2312"/>
          <w:color w:val="auto"/>
          <w:sz w:val="32"/>
          <w:szCs w:val="32"/>
        </w:rPr>
        <w:t>“</w:t>
      </w:r>
      <w:r>
        <w:rPr>
          <w:rFonts w:hint="eastAsia" w:ascii="仿宋_GB2312" w:eastAsia="仿宋_GB2312"/>
          <w:color w:val="auto"/>
          <w:sz w:val="32"/>
          <w:szCs w:val="32"/>
          <w:lang w:eastAsia="zh-CN"/>
        </w:rPr>
        <w:t>公用经费支付及时率</w:t>
      </w:r>
      <w:r>
        <w:rPr>
          <w:rFonts w:hint="eastAsia" w:ascii="仿宋_GB2312" w:eastAsia="仿宋_GB2312"/>
          <w:color w:val="auto"/>
          <w:sz w:val="32"/>
          <w:szCs w:val="32"/>
        </w:rPr>
        <w:t>”指标：预期指标值为“</w:t>
      </w:r>
      <w:r>
        <w:rPr>
          <w:rFonts w:hint="eastAsia" w:ascii="仿宋_GB2312" w:eastAsia="仿宋_GB2312"/>
          <w:color w:val="auto"/>
          <w:sz w:val="32"/>
          <w:szCs w:val="32"/>
          <w:lang w:val="en-US" w:eastAsia="zh-CN"/>
        </w:rPr>
        <w:t>100%</w:t>
      </w:r>
      <w:r>
        <w:rPr>
          <w:rFonts w:hint="eastAsia" w:ascii="仿宋_GB2312" w:eastAsia="仿宋_GB2312"/>
          <w:color w:val="auto"/>
          <w:sz w:val="32"/>
          <w:szCs w:val="32"/>
        </w:rPr>
        <w:t>”，实际完成指标值为“</w:t>
      </w:r>
      <w:r>
        <w:rPr>
          <w:rFonts w:hint="eastAsia" w:ascii="仿宋_GB2312" w:eastAsia="仿宋_GB2312"/>
          <w:color w:val="auto"/>
          <w:sz w:val="32"/>
          <w:szCs w:val="32"/>
          <w:lang w:val="en-US" w:eastAsia="zh-CN"/>
        </w:rPr>
        <w:t>100%</w:t>
      </w:r>
      <w:r>
        <w:rPr>
          <w:rFonts w:hint="eastAsia" w:ascii="仿宋_GB2312" w:eastAsia="仿宋_GB2312"/>
          <w:color w:val="auto"/>
          <w:sz w:val="32"/>
          <w:szCs w:val="32"/>
        </w:rPr>
        <w:t>”，指标完成率为</w:t>
      </w:r>
      <w:r>
        <w:rPr>
          <w:rFonts w:hint="eastAsia" w:ascii="仿宋_GB2312" w:eastAsia="仿宋_GB2312"/>
          <w:bCs/>
          <w:color w:val="auto"/>
          <w:spacing w:val="-4"/>
          <w:sz w:val="32"/>
          <w:szCs w:val="32"/>
          <w:lang w:val="en-US" w:eastAsia="zh-CN"/>
        </w:rPr>
        <w:t>100</w:t>
      </w:r>
      <w:r>
        <w:rPr>
          <w:rFonts w:hint="eastAsia" w:ascii="仿宋_GB2312" w:eastAsia="仿宋_GB2312"/>
          <w:color w:val="auto"/>
          <w:sz w:val="32"/>
          <w:szCs w:val="32"/>
        </w:rPr>
        <w:t>%;</w:t>
      </w:r>
    </w:p>
    <w:p>
      <w:pPr>
        <w:numPr>
          <w:ilvl w:val="0"/>
          <w:numId w:val="8"/>
        </w:numPr>
        <w:ind w:firstLine="640"/>
        <w:rPr>
          <w:rFonts w:ascii="仿宋_GB2312" w:eastAsia="仿宋_GB2312"/>
          <w:color w:val="auto"/>
          <w:sz w:val="32"/>
          <w:szCs w:val="32"/>
        </w:rPr>
      </w:pPr>
      <w:r>
        <w:rPr>
          <w:rFonts w:hint="eastAsia" w:ascii="仿宋_GB2312" w:eastAsia="仿宋_GB2312"/>
          <w:color w:val="auto"/>
          <w:sz w:val="32"/>
          <w:szCs w:val="32"/>
        </w:rPr>
        <w:t>成本指标</w:t>
      </w:r>
    </w:p>
    <w:p>
      <w:pPr>
        <w:ind w:firstLine="640"/>
        <w:rPr>
          <w:rFonts w:hint="eastAsia" w:ascii="仿宋_GB2312" w:eastAsia="仿宋_GB2312"/>
          <w:color w:val="auto"/>
          <w:sz w:val="32"/>
          <w:szCs w:val="32"/>
        </w:rPr>
      </w:pPr>
      <w:r>
        <w:rPr>
          <w:rFonts w:hint="eastAsia" w:ascii="仿宋_GB2312" w:eastAsia="仿宋_GB2312"/>
          <w:color w:val="auto"/>
          <w:sz w:val="32"/>
          <w:szCs w:val="32"/>
        </w:rPr>
        <w:t>“</w:t>
      </w:r>
      <w:r>
        <w:rPr>
          <w:rFonts w:hint="eastAsia" w:ascii="仿宋_GB2312" w:eastAsia="仿宋_GB2312"/>
          <w:color w:val="auto"/>
          <w:sz w:val="32"/>
          <w:szCs w:val="32"/>
          <w:lang w:eastAsia="zh-CN"/>
        </w:rPr>
        <w:t>人员经费</w:t>
      </w:r>
      <w:r>
        <w:rPr>
          <w:rFonts w:hint="eastAsia" w:ascii="仿宋_GB2312" w:eastAsia="仿宋_GB2312"/>
          <w:color w:val="auto"/>
          <w:sz w:val="32"/>
          <w:szCs w:val="32"/>
        </w:rPr>
        <w:t>”指标：预期指标值为“</w:t>
      </w:r>
      <w:r>
        <w:rPr>
          <w:rFonts w:hint="eastAsia" w:ascii="仿宋_GB2312" w:eastAsia="仿宋_GB2312"/>
          <w:color w:val="auto"/>
          <w:sz w:val="32"/>
          <w:szCs w:val="32"/>
          <w:lang w:val="en-US" w:eastAsia="zh-CN"/>
        </w:rPr>
        <w:t>3297.34万元</w:t>
      </w:r>
      <w:r>
        <w:rPr>
          <w:rFonts w:hint="eastAsia" w:ascii="仿宋_GB2312" w:eastAsia="仿宋_GB2312"/>
          <w:color w:val="auto"/>
          <w:sz w:val="32"/>
          <w:szCs w:val="32"/>
        </w:rPr>
        <w:t>”，实际完成指标值为“</w:t>
      </w:r>
      <w:r>
        <w:rPr>
          <w:rFonts w:hint="eastAsia" w:ascii="仿宋_GB2312" w:eastAsia="仿宋_GB2312"/>
          <w:color w:val="auto"/>
          <w:sz w:val="32"/>
          <w:szCs w:val="32"/>
          <w:lang w:val="en-US" w:eastAsia="zh-CN"/>
        </w:rPr>
        <w:t>3660.54万元</w:t>
      </w:r>
      <w:r>
        <w:rPr>
          <w:rFonts w:hint="eastAsia" w:ascii="仿宋_GB2312" w:eastAsia="仿宋_GB2312"/>
          <w:color w:val="auto"/>
          <w:sz w:val="32"/>
          <w:szCs w:val="32"/>
        </w:rPr>
        <w:t>”，指标完成率为</w:t>
      </w:r>
      <w:r>
        <w:rPr>
          <w:rFonts w:hint="eastAsia" w:ascii="仿宋_GB2312" w:eastAsia="仿宋_GB2312"/>
          <w:bCs/>
          <w:color w:val="auto"/>
          <w:spacing w:val="-4"/>
          <w:sz w:val="32"/>
          <w:szCs w:val="32"/>
          <w:lang w:val="en-US" w:eastAsia="zh-CN"/>
        </w:rPr>
        <w:t>100</w:t>
      </w:r>
      <w:r>
        <w:rPr>
          <w:rFonts w:hint="eastAsia" w:ascii="仿宋_GB2312" w:eastAsia="仿宋_GB2312"/>
          <w:color w:val="auto"/>
          <w:sz w:val="32"/>
          <w:szCs w:val="32"/>
        </w:rPr>
        <w:t>%;</w:t>
      </w:r>
    </w:p>
    <w:p>
      <w:pPr>
        <w:ind w:firstLine="640"/>
        <w:rPr>
          <w:rFonts w:hint="eastAsia" w:ascii="仿宋_GB2312" w:eastAsia="仿宋_GB2312"/>
          <w:sz w:val="32"/>
          <w:szCs w:val="32"/>
        </w:rPr>
      </w:pPr>
      <w:r>
        <w:rPr>
          <w:rFonts w:hint="eastAsia" w:ascii="仿宋_GB2312" w:eastAsia="仿宋_GB2312"/>
          <w:color w:val="auto"/>
          <w:sz w:val="32"/>
          <w:szCs w:val="32"/>
        </w:rPr>
        <w:t>“</w:t>
      </w:r>
      <w:r>
        <w:rPr>
          <w:rFonts w:hint="eastAsia" w:ascii="仿宋_GB2312" w:eastAsia="仿宋_GB2312"/>
          <w:color w:val="auto"/>
          <w:sz w:val="32"/>
          <w:szCs w:val="32"/>
          <w:lang w:eastAsia="zh-CN"/>
        </w:rPr>
        <w:t>日常公用经费</w:t>
      </w:r>
      <w:r>
        <w:rPr>
          <w:rFonts w:hint="eastAsia" w:ascii="仿宋_GB2312" w:eastAsia="仿宋_GB2312"/>
          <w:color w:val="auto"/>
          <w:sz w:val="32"/>
          <w:szCs w:val="32"/>
        </w:rPr>
        <w:t>”指标：预期指标值为“</w:t>
      </w:r>
      <w:r>
        <w:rPr>
          <w:rFonts w:hint="eastAsia" w:ascii="仿宋_GB2312" w:eastAsia="仿宋_GB2312"/>
          <w:color w:val="auto"/>
          <w:sz w:val="32"/>
          <w:szCs w:val="32"/>
          <w:lang w:val="en-US" w:eastAsia="zh-CN"/>
        </w:rPr>
        <w:t>132.13万元</w:t>
      </w:r>
      <w:r>
        <w:rPr>
          <w:rFonts w:hint="eastAsia" w:ascii="仿宋_GB2312" w:eastAsia="仿宋_GB2312"/>
          <w:color w:val="auto"/>
          <w:sz w:val="32"/>
          <w:szCs w:val="32"/>
        </w:rPr>
        <w:t>”，实际完成指标值为“</w:t>
      </w:r>
      <w:r>
        <w:rPr>
          <w:rFonts w:hint="eastAsia" w:ascii="仿宋_GB2312" w:eastAsia="仿宋_GB2312"/>
          <w:color w:val="auto"/>
          <w:sz w:val="32"/>
          <w:szCs w:val="32"/>
          <w:lang w:val="en-US" w:eastAsia="zh-CN"/>
        </w:rPr>
        <w:t>61.57万元</w:t>
      </w:r>
      <w:r>
        <w:rPr>
          <w:rFonts w:hint="eastAsia" w:ascii="仿宋_GB2312" w:eastAsia="仿宋_GB2312"/>
          <w:color w:val="auto"/>
          <w:sz w:val="32"/>
          <w:szCs w:val="32"/>
        </w:rPr>
        <w:t>”，指标完成率为</w:t>
      </w:r>
      <w:r>
        <w:rPr>
          <w:rFonts w:hint="default" w:ascii="仿宋_GB2312" w:eastAsia="仿宋_GB2312"/>
          <w:bCs/>
          <w:color w:val="auto"/>
          <w:spacing w:val="-4"/>
          <w:sz w:val="32"/>
          <w:szCs w:val="32"/>
          <w:lang w:val="en-US" w:eastAsia="zh-CN"/>
        </w:rPr>
        <w:t>46</w:t>
      </w:r>
      <w:r>
        <w:rPr>
          <w:rFonts w:hint="eastAsia" w:ascii="仿宋_GB2312" w:eastAsia="仿宋_GB2312"/>
          <w:color w:val="auto"/>
          <w:sz w:val="32"/>
          <w:szCs w:val="32"/>
        </w:rPr>
        <w:t>%</w:t>
      </w:r>
      <w:r>
        <w:rPr>
          <w:rFonts w:hint="eastAsia" w:ascii="仿宋_GB2312" w:eastAsia="仿宋_GB2312"/>
          <w:sz w:val="32"/>
          <w:szCs w:val="32"/>
        </w:rPr>
        <w:t>;</w:t>
      </w:r>
    </w:p>
    <w:p>
      <w:pPr>
        <w:ind w:firstLine="640"/>
        <w:rPr>
          <w:rFonts w:hint="eastAsia" w:ascii="仿宋_GB2312" w:eastAsia="仿宋_GB2312"/>
          <w:color w:val="auto"/>
          <w:sz w:val="32"/>
          <w:szCs w:val="32"/>
        </w:rPr>
      </w:pPr>
      <w:r>
        <w:rPr>
          <w:rFonts w:hint="eastAsia" w:ascii="仿宋_GB2312" w:eastAsia="仿宋_GB2312"/>
          <w:color w:val="auto"/>
          <w:sz w:val="32"/>
          <w:szCs w:val="32"/>
        </w:rPr>
        <w:t>“</w:t>
      </w:r>
      <w:r>
        <w:rPr>
          <w:rFonts w:hint="eastAsia" w:ascii="仿宋_GB2312" w:eastAsia="仿宋_GB2312"/>
          <w:color w:val="auto"/>
          <w:sz w:val="32"/>
          <w:szCs w:val="32"/>
          <w:lang w:eastAsia="zh-CN"/>
        </w:rPr>
        <w:t>人均运转经费</w:t>
      </w:r>
      <w:r>
        <w:rPr>
          <w:rFonts w:hint="eastAsia" w:ascii="仿宋_GB2312" w:eastAsia="仿宋_GB2312"/>
          <w:color w:val="auto"/>
          <w:sz w:val="32"/>
          <w:szCs w:val="32"/>
        </w:rPr>
        <w:t>”指标：预期指标值为“</w:t>
      </w:r>
      <w:r>
        <w:rPr>
          <w:rFonts w:hint="eastAsia" w:ascii="仿宋_GB2312" w:eastAsia="仿宋_GB2312"/>
          <w:color w:val="auto"/>
          <w:sz w:val="32"/>
          <w:szCs w:val="32"/>
          <w:lang w:val="en-US" w:eastAsia="zh-CN"/>
        </w:rPr>
        <w:t>0.17元</w:t>
      </w:r>
      <w:r>
        <w:rPr>
          <w:rFonts w:hint="eastAsia" w:ascii="仿宋_GB2312" w:eastAsia="仿宋_GB2312"/>
          <w:color w:val="auto"/>
          <w:sz w:val="32"/>
          <w:szCs w:val="32"/>
        </w:rPr>
        <w:t>”，实际完成指标值为“</w:t>
      </w:r>
      <w:r>
        <w:rPr>
          <w:rFonts w:hint="eastAsia" w:ascii="仿宋_GB2312" w:eastAsia="仿宋_GB2312"/>
          <w:color w:val="auto"/>
          <w:sz w:val="32"/>
          <w:szCs w:val="32"/>
          <w:lang w:val="en-US" w:eastAsia="zh-CN"/>
        </w:rPr>
        <w:t>0.17万元</w:t>
      </w:r>
      <w:r>
        <w:rPr>
          <w:rFonts w:hint="eastAsia" w:ascii="仿宋_GB2312" w:eastAsia="仿宋_GB2312"/>
          <w:color w:val="auto"/>
          <w:sz w:val="32"/>
          <w:szCs w:val="32"/>
        </w:rPr>
        <w:t>”，指标完成率为</w:t>
      </w:r>
      <w:r>
        <w:rPr>
          <w:rFonts w:hint="eastAsia" w:ascii="仿宋_GB2312" w:eastAsia="仿宋_GB2312"/>
          <w:bCs/>
          <w:color w:val="auto"/>
          <w:spacing w:val="-4"/>
          <w:sz w:val="32"/>
          <w:szCs w:val="32"/>
          <w:lang w:val="en-US" w:eastAsia="zh-CN"/>
        </w:rPr>
        <w:t>100</w:t>
      </w:r>
      <w:r>
        <w:rPr>
          <w:rFonts w:hint="eastAsia" w:ascii="仿宋_GB2312" w:eastAsia="仿宋_GB2312"/>
          <w:color w:val="auto"/>
          <w:sz w:val="32"/>
          <w:szCs w:val="32"/>
        </w:rPr>
        <w:t>%;</w:t>
      </w:r>
    </w:p>
    <w:p>
      <w:pPr>
        <w:pStyle w:val="5"/>
        <w:ind w:firstLine="640"/>
        <w:rPr>
          <w:rFonts w:hint="eastAsia"/>
          <w:b w:val="0"/>
          <w:bCs w:val="0"/>
          <w:color w:val="auto"/>
          <w:spacing w:val="-4"/>
          <w:sz w:val="32"/>
          <w:szCs w:val="32"/>
          <w:lang w:val="en-US" w:eastAsia="zh-CN"/>
        </w:rPr>
      </w:pPr>
      <w:r>
        <w:rPr>
          <w:rFonts w:hint="eastAsia" w:ascii="仿宋_GB2312" w:eastAsia="仿宋_GB2312"/>
          <w:b w:val="0"/>
          <w:bCs w:val="0"/>
          <w:color w:val="auto"/>
          <w:sz w:val="32"/>
          <w:szCs w:val="32"/>
        </w:rPr>
        <w:t>“</w:t>
      </w:r>
      <w:r>
        <w:rPr>
          <w:rFonts w:hint="eastAsia" w:ascii="仿宋_GB2312" w:eastAsia="仿宋_GB2312"/>
          <w:b w:val="0"/>
          <w:bCs w:val="0"/>
          <w:color w:val="auto"/>
          <w:sz w:val="32"/>
          <w:szCs w:val="32"/>
          <w:lang w:eastAsia="zh-CN"/>
        </w:rPr>
        <w:t>保运行项目经费</w:t>
      </w:r>
      <w:r>
        <w:rPr>
          <w:rFonts w:hint="eastAsia" w:ascii="仿宋_GB2312" w:eastAsia="仿宋_GB2312"/>
          <w:b w:val="0"/>
          <w:bCs w:val="0"/>
          <w:color w:val="auto"/>
          <w:sz w:val="32"/>
          <w:szCs w:val="32"/>
        </w:rPr>
        <w:t>”指标：预期指标值为“</w:t>
      </w:r>
      <w:r>
        <w:rPr>
          <w:rFonts w:hint="eastAsia" w:ascii="仿宋_GB2312" w:eastAsia="仿宋_GB2312"/>
          <w:b w:val="0"/>
          <w:bCs w:val="0"/>
          <w:color w:val="auto"/>
          <w:sz w:val="32"/>
          <w:szCs w:val="32"/>
          <w:lang w:val="en-US" w:eastAsia="zh-CN"/>
        </w:rPr>
        <w:t>280万元</w:t>
      </w:r>
      <w:r>
        <w:rPr>
          <w:rFonts w:hint="eastAsia" w:ascii="仿宋_GB2312" w:eastAsia="仿宋_GB2312"/>
          <w:b w:val="0"/>
          <w:bCs w:val="0"/>
          <w:color w:val="auto"/>
          <w:sz w:val="32"/>
          <w:szCs w:val="32"/>
        </w:rPr>
        <w:t>”，实际完成指标值为“</w:t>
      </w:r>
      <w:r>
        <w:rPr>
          <w:rFonts w:hint="eastAsia" w:ascii="仿宋_GB2312" w:eastAsia="仿宋_GB2312"/>
          <w:b w:val="0"/>
          <w:bCs w:val="0"/>
          <w:color w:val="auto"/>
          <w:sz w:val="32"/>
          <w:szCs w:val="32"/>
          <w:lang w:val="en-US" w:eastAsia="zh-CN"/>
        </w:rPr>
        <w:t>634.08万元</w:t>
      </w:r>
      <w:r>
        <w:rPr>
          <w:rFonts w:hint="eastAsia" w:ascii="仿宋_GB2312" w:eastAsia="仿宋_GB2312"/>
          <w:b w:val="0"/>
          <w:bCs w:val="0"/>
          <w:color w:val="auto"/>
          <w:sz w:val="32"/>
          <w:szCs w:val="32"/>
        </w:rPr>
        <w:t>”，指标完成率为</w:t>
      </w:r>
      <w:r>
        <w:rPr>
          <w:rFonts w:hint="eastAsia"/>
          <w:b w:val="0"/>
          <w:bCs w:val="0"/>
          <w:color w:val="auto"/>
          <w:spacing w:val="-4"/>
          <w:sz w:val="32"/>
          <w:szCs w:val="32"/>
          <w:lang w:val="en-US" w:eastAsia="zh-CN"/>
        </w:rPr>
        <w:t>100%。</w:t>
      </w:r>
    </w:p>
    <w:p>
      <w:pPr>
        <w:pStyle w:val="5"/>
        <w:ind w:firstLine="640"/>
        <w:rPr>
          <w:sz w:val="32"/>
        </w:rPr>
      </w:pPr>
      <w:r>
        <w:rPr>
          <w:rFonts w:hint="eastAsia"/>
          <w:sz w:val="32"/>
        </w:rPr>
        <w:t>2.效益指标完成情况分析</w:t>
      </w:r>
    </w:p>
    <w:p>
      <w:pPr>
        <w:ind w:firstLine="640"/>
        <w:rPr>
          <w:rFonts w:hint="eastAsia" w:ascii="仿宋_GB2312" w:eastAsia="仿宋_GB2312"/>
          <w:sz w:val="32"/>
          <w:szCs w:val="32"/>
        </w:rPr>
      </w:pPr>
      <w:r>
        <w:rPr>
          <w:rFonts w:hint="eastAsia" w:ascii="仿宋_GB2312" w:eastAsia="仿宋_GB2312"/>
          <w:sz w:val="32"/>
          <w:szCs w:val="32"/>
        </w:rPr>
        <w:t>（1）经济效益</w:t>
      </w:r>
    </w:p>
    <w:p>
      <w:pPr>
        <w:ind w:firstLine="640"/>
        <w:rPr>
          <w:rFonts w:hint="eastAsia" w:ascii="仿宋_GB2312" w:eastAsia="仿宋_GB2312"/>
          <w:color w:val="auto"/>
          <w:sz w:val="32"/>
          <w:szCs w:val="32"/>
          <w:lang w:eastAsia="zh-CN"/>
        </w:rPr>
      </w:pPr>
      <w:r>
        <w:rPr>
          <w:rFonts w:hint="eastAsia" w:ascii="仿宋_GB2312" w:eastAsia="仿宋_GB2312"/>
          <w:color w:val="auto"/>
          <w:sz w:val="32"/>
          <w:szCs w:val="32"/>
        </w:rPr>
        <w:t>无此项指标</w:t>
      </w:r>
      <w:r>
        <w:rPr>
          <w:rFonts w:hint="eastAsia" w:ascii="仿宋_GB2312" w:eastAsia="仿宋_GB2312"/>
          <w:color w:val="auto"/>
          <w:sz w:val="32"/>
          <w:szCs w:val="32"/>
          <w:lang w:eastAsia="zh-CN"/>
        </w:rPr>
        <w:t>；</w:t>
      </w:r>
    </w:p>
    <w:p>
      <w:pPr>
        <w:ind w:firstLine="640"/>
        <w:rPr>
          <w:rFonts w:ascii="仿宋_GB2312" w:eastAsia="仿宋_GB2312"/>
          <w:color w:val="auto"/>
          <w:sz w:val="32"/>
          <w:szCs w:val="32"/>
        </w:rPr>
      </w:pPr>
      <w:r>
        <w:rPr>
          <w:rFonts w:hint="eastAsia" w:ascii="仿宋_GB2312" w:eastAsia="仿宋_GB2312"/>
          <w:color w:val="auto"/>
          <w:sz w:val="32"/>
          <w:szCs w:val="32"/>
        </w:rPr>
        <w:t>（2）社会效益</w:t>
      </w:r>
    </w:p>
    <w:p>
      <w:pPr>
        <w:ind w:firstLine="640"/>
        <w:rPr>
          <w:rFonts w:ascii="仿宋_GB2312" w:eastAsia="仿宋_GB2312"/>
          <w:color w:val="auto"/>
          <w:sz w:val="32"/>
          <w:szCs w:val="32"/>
        </w:rPr>
      </w:pPr>
      <w:r>
        <w:rPr>
          <w:rFonts w:hint="eastAsia" w:ascii="仿宋_GB2312" w:eastAsia="仿宋_GB2312"/>
          <w:color w:val="auto"/>
          <w:sz w:val="32"/>
          <w:szCs w:val="32"/>
        </w:rPr>
        <w:t>“</w:t>
      </w:r>
      <w:r>
        <w:rPr>
          <w:rFonts w:hint="eastAsia" w:ascii="仿宋_GB2312" w:eastAsia="仿宋_GB2312"/>
          <w:color w:val="auto"/>
          <w:sz w:val="32"/>
          <w:szCs w:val="32"/>
          <w:lang w:eastAsia="zh-CN"/>
        </w:rPr>
        <w:t>改善生活环境质</w:t>
      </w:r>
      <w:bookmarkStart w:id="0" w:name="_GoBack"/>
      <w:r>
        <w:rPr>
          <w:rFonts w:hint="eastAsia" w:ascii="仿宋_GB2312" w:eastAsia="仿宋_GB2312"/>
          <w:color w:val="auto"/>
          <w:sz w:val="32"/>
          <w:szCs w:val="32"/>
          <w:lang w:eastAsia="zh-CN"/>
        </w:rPr>
        <w:t>量，提高群众幸福感</w:t>
      </w:r>
      <w:r>
        <w:rPr>
          <w:rFonts w:hint="eastAsia" w:ascii="仿宋_GB2312" w:eastAsia="仿宋_GB2312"/>
          <w:color w:val="auto"/>
          <w:sz w:val="32"/>
          <w:szCs w:val="32"/>
        </w:rPr>
        <w:t>”指标：预期指标值为“</w:t>
      </w:r>
      <w:r>
        <w:rPr>
          <w:rFonts w:hint="eastAsia" w:ascii="仿宋_GB2312" w:eastAsia="仿宋_GB2312"/>
          <w:color w:val="auto"/>
          <w:sz w:val="32"/>
          <w:szCs w:val="32"/>
          <w:lang w:eastAsia="zh-CN"/>
        </w:rPr>
        <w:t>有力保障</w:t>
      </w:r>
      <w:r>
        <w:rPr>
          <w:rFonts w:hint="eastAsia" w:ascii="仿宋_GB2312" w:eastAsia="仿宋_GB2312"/>
          <w:color w:val="auto"/>
          <w:sz w:val="32"/>
          <w:szCs w:val="32"/>
        </w:rPr>
        <w:t>”，实际完成指标值为</w:t>
      </w:r>
      <w:bookmarkEnd w:id="0"/>
      <w:r>
        <w:rPr>
          <w:rFonts w:hint="eastAsia" w:ascii="仿宋_GB2312" w:eastAsia="仿宋_GB2312"/>
          <w:color w:val="auto"/>
          <w:sz w:val="32"/>
          <w:szCs w:val="32"/>
        </w:rPr>
        <w:t>“</w:t>
      </w:r>
      <w:r>
        <w:rPr>
          <w:rFonts w:hint="eastAsia" w:ascii="仿宋_GB2312" w:eastAsia="仿宋_GB2312"/>
          <w:color w:val="auto"/>
          <w:sz w:val="32"/>
          <w:szCs w:val="32"/>
          <w:lang w:val="en-US" w:eastAsia="zh-CN"/>
        </w:rPr>
        <w:t>100%</w:t>
      </w:r>
      <w:r>
        <w:rPr>
          <w:rFonts w:hint="eastAsia" w:ascii="仿宋_GB2312" w:eastAsia="仿宋_GB2312"/>
          <w:color w:val="auto"/>
          <w:sz w:val="32"/>
          <w:szCs w:val="32"/>
        </w:rPr>
        <w:t>”，指标完成率为</w:t>
      </w:r>
      <w:r>
        <w:rPr>
          <w:rFonts w:hint="eastAsia" w:ascii="仿宋_GB2312" w:eastAsia="仿宋_GB2312"/>
          <w:bCs/>
          <w:color w:val="auto"/>
          <w:spacing w:val="-4"/>
          <w:sz w:val="32"/>
          <w:szCs w:val="32"/>
          <w:lang w:val="en-US" w:eastAsia="zh-CN"/>
        </w:rPr>
        <w:t>100</w:t>
      </w:r>
      <w:r>
        <w:rPr>
          <w:rFonts w:hint="eastAsia" w:ascii="仿宋_GB2312" w:eastAsia="仿宋_GB2312"/>
          <w:color w:val="auto"/>
          <w:sz w:val="32"/>
          <w:szCs w:val="32"/>
        </w:rPr>
        <w:t>%;</w:t>
      </w:r>
    </w:p>
    <w:p>
      <w:pPr>
        <w:ind w:firstLine="640"/>
        <w:rPr>
          <w:rFonts w:ascii="仿宋_GB2312" w:eastAsia="仿宋_GB2312"/>
          <w:color w:val="auto"/>
          <w:sz w:val="32"/>
          <w:szCs w:val="32"/>
        </w:rPr>
      </w:pPr>
      <w:r>
        <w:rPr>
          <w:rFonts w:hint="eastAsia" w:ascii="仿宋_GB2312" w:eastAsia="仿宋_GB2312"/>
          <w:color w:val="auto"/>
          <w:sz w:val="32"/>
          <w:szCs w:val="32"/>
        </w:rPr>
        <w:t>（3）生态效益</w:t>
      </w:r>
    </w:p>
    <w:p>
      <w:pPr>
        <w:ind w:firstLine="640"/>
        <w:rPr>
          <w:rFonts w:ascii="仿宋_GB2312" w:eastAsia="仿宋_GB2312"/>
          <w:color w:val="auto"/>
          <w:sz w:val="32"/>
          <w:szCs w:val="32"/>
        </w:rPr>
      </w:pPr>
      <w:r>
        <w:rPr>
          <w:rFonts w:hint="eastAsia" w:ascii="仿宋_GB2312" w:eastAsia="仿宋_GB2312"/>
          <w:color w:val="auto"/>
          <w:sz w:val="32"/>
          <w:szCs w:val="32"/>
        </w:rPr>
        <w:t>“</w:t>
      </w:r>
      <w:r>
        <w:rPr>
          <w:rFonts w:hint="eastAsia" w:ascii="仿宋_GB2312" w:eastAsia="仿宋_GB2312"/>
          <w:color w:val="auto"/>
          <w:sz w:val="32"/>
          <w:szCs w:val="32"/>
          <w:lang w:eastAsia="zh-CN"/>
        </w:rPr>
        <w:t>道路游园种植乔灌木保护环境</w:t>
      </w:r>
      <w:r>
        <w:rPr>
          <w:rFonts w:hint="eastAsia" w:ascii="仿宋_GB2312" w:eastAsia="仿宋_GB2312"/>
          <w:color w:val="auto"/>
          <w:sz w:val="32"/>
          <w:szCs w:val="32"/>
        </w:rPr>
        <w:t>”指标：预期指标值为“</w:t>
      </w:r>
      <w:r>
        <w:rPr>
          <w:rFonts w:hint="eastAsia" w:ascii="仿宋_GB2312" w:eastAsia="仿宋_GB2312"/>
          <w:color w:val="auto"/>
          <w:sz w:val="32"/>
          <w:szCs w:val="32"/>
          <w:lang w:eastAsia="zh-CN"/>
        </w:rPr>
        <w:t>有效保障</w:t>
      </w:r>
      <w:r>
        <w:rPr>
          <w:rFonts w:hint="eastAsia" w:ascii="仿宋_GB2312" w:eastAsia="仿宋_GB2312"/>
          <w:color w:val="auto"/>
          <w:sz w:val="32"/>
          <w:szCs w:val="32"/>
        </w:rPr>
        <w:t>”，实际完成指标值为“</w:t>
      </w:r>
      <w:r>
        <w:rPr>
          <w:rFonts w:hint="eastAsia" w:ascii="仿宋_GB2312" w:eastAsia="仿宋_GB2312"/>
          <w:color w:val="auto"/>
          <w:sz w:val="32"/>
          <w:szCs w:val="32"/>
          <w:lang w:val="en-US" w:eastAsia="zh-CN"/>
        </w:rPr>
        <w:t>100%</w:t>
      </w:r>
      <w:r>
        <w:rPr>
          <w:rFonts w:hint="eastAsia" w:ascii="仿宋_GB2312" w:eastAsia="仿宋_GB2312"/>
          <w:color w:val="auto"/>
          <w:sz w:val="32"/>
          <w:szCs w:val="32"/>
        </w:rPr>
        <w:t>”，指标完成率为</w:t>
      </w:r>
      <w:r>
        <w:rPr>
          <w:rFonts w:hint="eastAsia" w:ascii="仿宋_GB2312" w:eastAsia="仿宋_GB2312"/>
          <w:bCs/>
          <w:color w:val="auto"/>
          <w:spacing w:val="-4"/>
          <w:sz w:val="32"/>
          <w:szCs w:val="32"/>
          <w:lang w:val="en-US" w:eastAsia="zh-CN"/>
        </w:rPr>
        <w:t>100</w:t>
      </w:r>
      <w:r>
        <w:rPr>
          <w:rFonts w:hint="eastAsia" w:ascii="仿宋_GB2312" w:eastAsia="仿宋_GB2312"/>
          <w:color w:val="auto"/>
          <w:sz w:val="32"/>
          <w:szCs w:val="32"/>
        </w:rPr>
        <w:t>%;</w:t>
      </w:r>
    </w:p>
    <w:p>
      <w:pPr>
        <w:ind w:firstLine="640"/>
        <w:rPr>
          <w:rFonts w:ascii="仿宋_GB2312" w:eastAsia="仿宋_GB2312"/>
          <w:color w:val="auto"/>
          <w:sz w:val="32"/>
          <w:szCs w:val="32"/>
        </w:rPr>
      </w:pPr>
      <w:r>
        <w:rPr>
          <w:rFonts w:hint="eastAsia" w:ascii="仿宋_GB2312" w:eastAsia="仿宋_GB2312"/>
          <w:color w:val="auto"/>
          <w:sz w:val="32"/>
          <w:szCs w:val="32"/>
        </w:rPr>
        <w:t>（4）可持续影响</w:t>
      </w:r>
    </w:p>
    <w:p>
      <w:pPr>
        <w:ind w:firstLine="640"/>
        <w:rPr>
          <w:rFonts w:hint="eastAsia" w:ascii="仿宋_GB2312" w:eastAsia="仿宋_GB2312"/>
          <w:color w:val="auto"/>
          <w:sz w:val="32"/>
          <w:szCs w:val="32"/>
          <w:lang w:eastAsia="zh-CN"/>
        </w:rPr>
      </w:pPr>
      <w:r>
        <w:rPr>
          <w:rFonts w:hint="eastAsia" w:ascii="仿宋_GB2312" w:eastAsia="仿宋_GB2312"/>
          <w:color w:val="auto"/>
          <w:sz w:val="32"/>
          <w:szCs w:val="32"/>
        </w:rPr>
        <w:t>无此项指标</w:t>
      </w:r>
      <w:r>
        <w:rPr>
          <w:rFonts w:hint="eastAsia" w:ascii="仿宋_GB2312" w:eastAsia="仿宋_GB2312"/>
          <w:color w:val="auto"/>
          <w:sz w:val="32"/>
          <w:szCs w:val="32"/>
          <w:lang w:eastAsia="zh-CN"/>
        </w:rPr>
        <w:t>；</w:t>
      </w:r>
    </w:p>
    <w:p>
      <w:pPr>
        <w:pStyle w:val="5"/>
        <w:ind w:firstLine="640"/>
        <w:rPr>
          <w:color w:val="auto"/>
          <w:sz w:val="32"/>
        </w:rPr>
      </w:pPr>
      <w:r>
        <w:rPr>
          <w:rFonts w:hint="eastAsia"/>
          <w:color w:val="auto"/>
          <w:sz w:val="32"/>
        </w:rPr>
        <w:t>3.满意度指标完成情况分析</w:t>
      </w:r>
    </w:p>
    <w:p>
      <w:pPr>
        <w:ind w:firstLine="640"/>
        <w:rPr>
          <w:rFonts w:hint="eastAsia" w:ascii="仿宋_GB2312" w:eastAsia="仿宋_GB2312"/>
          <w:color w:val="auto"/>
          <w:sz w:val="32"/>
          <w:szCs w:val="32"/>
        </w:rPr>
      </w:pPr>
      <w:r>
        <w:rPr>
          <w:rFonts w:hint="eastAsia" w:ascii="仿宋_GB2312" w:eastAsia="仿宋_GB2312"/>
          <w:color w:val="auto"/>
          <w:sz w:val="32"/>
          <w:szCs w:val="32"/>
        </w:rPr>
        <w:t>“</w:t>
      </w:r>
      <w:r>
        <w:rPr>
          <w:rFonts w:hint="eastAsia" w:ascii="仿宋_GB2312" w:eastAsia="仿宋_GB2312"/>
          <w:color w:val="auto"/>
          <w:sz w:val="32"/>
          <w:szCs w:val="32"/>
          <w:lang w:eastAsia="zh-CN"/>
        </w:rPr>
        <w:t>群众满意度</w:t>
      </w:r>
      <w:r>
        <w:rPr>
          <w:rFonts w:hint="eastAsia" w:ascii="仿宋_GB2312" w:eastAsia="仿宋_GB2312"/>
          <w:color w:val="auto"/>
          <w:sz w:val="32"/>
          <w:szCs w:val="32"/>
        </w:rPr>
        <w:t>”指标：预期指标值为“</w:t>
      </w:r>
      <w:r>
        <w:rPr>
          <w:rFonts w:hint="eastAsia" w:ascii="仿宋_GB2312" w:eastAsia="仿宋_GB2312"/>
          <w:color w:val="auto"/>
          <w:sz w:val="32"/>
          <w:szCs w:val="32"/>
          <w:lang w:val="en-US" w:eastAsia="zh-CN"/>
        </w:rPr>
        <w:t>98%</w:t>
      </w:r>
      <w:r>
        <w:rPr>
          <w:rFonts w:hint="eastAsia" w:ascii="仿宋_GB2312" w:eastAsia="仿宋_GB2312"/>
          <w:color w:val="auto"/>
          <w:sz w:val="32"/>
          <w:szCs w:val="32"/>
        </w:rPr>
        <w:t>”，实际完成指标值为“</w:t>
      </w:r>
      <w:r>
        <w:rPr>
          <w:rFonts w:hint="eastAsia" w:ascii="仿宋_GB2312" w:eastAsia="仿宋_GB2312"/>
          <w:color w:val="auto"/>
          <w:sz w:val="32"/>
          <w:szCs w:val="32"/>
          <w:lang w:val="en-US" w:eastAsia="zh-CN"/>
        </w:rPr>
        <w:t>98%</w:t>
      </w:r>
      <w:r>
        <w:rPr>
          <w:rFonts w:hint="eastAsia" w:ascii="仿宋_GB2312" w:eastAsia="仿宋_GB2312"/>
          <w:color w:val="auto"/>
          <w:sz w:val="32"/>
          <w:szCs w:val="32"/>
        </w:rPr>
        <w:t>”，指标完成率为</w:t>
      </w:r>
      <w:r>
        <w:rPr>
          <w:rFonts w:hint="eastAsia" w:ascii="仿宋_GB2312" w:eastAsia="仿宋_GB2312"/>
          <w:bCs/>
          <w:color w:val="auto"/>
          <w:spacing w:val="-4"/>
          <w:sz w:val="32"/>
          <w:szCs w:val="32"/>
          <w:lang w:val="en-US" w:eastAsia="zh-CN"/>
        </w:rPr>
        <w:t>100</w:t>
      </w:r>
      <w:r>
        <w:rPr>
          <w:rFonts w:hint="eastAsia" w:ascii="仿宋_GB2312" w:eastAsia="仿宋_GB2312"/>
          <w:color w:val="auto"/>
          <w:sz w:val="32"/>
          <w:szCs w:val="32"/>
        </w:rPr>
        <w:t>%;</w:t>
      </w:r>
    </w:p>
    <w:p>
      <w:pPr>
        <w:ind w:firstLine="640"/>
        <w:rPr>
          <w:rFonts w:hint="eastAsia" w:ascii="仿宋_GB2312" w:eastAsia="仿宋_GB2312"/>
          <w:color w:val="auto"/>
          <w:sz w:val="32"/>
          <w:szCs w:val="32"/>
          <w:lang w:eastAsia="zh-CN"/>
        </w:rPr>
      </w:pPr>
      <w:r>
        <w:rPr>
          <w:rFonts w:hint="eastAsia" w:ascii="仿宋_GB2312" w:eastAsia="仿宋_GB2312"/>
          <w:color w:val="auto"/>
          <w:sz w:val="32"/>
          <w:szCs w:val="32"/>
        </w:rPr>
        <w:t>“</w:t>
      </w:r>
      <w:r>
        <w:rPr>
          <w:rFonts w:hint="eastAsia" w:ascii="仿宋_GB2312" w:eastAsia="仿宋_GB2312"/>
          <w:color w:val="auto"/>
          <w:sz w:val="32"/>
          <w:szCs w:val="32"/>
          <w:lang w:eastAsia="zh-CN"/>
        </w:rPr>
        <w:t>单位员工满意度</w:t>
      </w:r>
      <w:r>
        <w:rPr>
          <w:rFonts w:hint="eastAsia" w:ascii="仿宋_GB2312" w:eastAsia="仿宋_GB2312"/>
          <w:color w:val="auto"/>
          <w:sz w:val="32"/>
          <w:szCs w:val="32"/>
        </w:rPr>
        <w:t>”指标：预期指标值为“</w:t>
      </w:r>
      <w:r>
        <w:rPr>
          <w:rFonts w:hint="eastAsia" w:ascii="仿宋_GB2312" w:eastAsia="仿宋_GB2312"/>
          <w:color w:val="auto"/>
          <w:sz w:val="32"/>
          <w:szCs w:val="32"/>
          <w:lang w:val="en-US" w:eastAsia="zh-CN"/>
        </w:rPr>
        <w:t>98%</w:t>
      </w:r>
      <w:r>
        <w:rPr>
          <w:rFonts w:hint="eastAsia" w:ascii="仿宋_GB2312" w:eastAsia="仿宋_GB2312"/>
          <w:color w:val="auto"/>
          <w:sz w:val="32"/>
          <w:szCs w:val="32"/>
        </w:rPr>
        <w:t>”，实际完成指标值为“</w:t>
      </w:r>
      <w:r>
        <w:rPr>
          <w:rFonts w:hint="eastAsia" w:ascii="仿宋_GB2312" w:eastAsia="仿宋_GB2312"/>
          <w:color w:val="auto"/>
          <w:sz w:val="32"/>
          <w:szCs w:val="32"/>
          <w:lang w:val="en-US" w:eastAsia="zh-CN"/>
        </w:rPr>
        <w:t>98%</w:t>
      </w:r>
      <w:r>
        <w:rPr>
          <w:rFonts w:hint="eastAsia" w:ascii="仿宋_GB2312" w:eastAsia="仿宋_GB2312"/>
          <w:color w:val="auto"/>
          <w:sz w:val="32"/>
          <w:szCs w:val="32"/>
        </w:rPr>
        <w:t>”，指标完成率为</w:t>
      </w:r>
      <w:r>
        <w:rPr>
          <w:rFonts w:hint="eastAsia" w:ascii="仿宋_GB2312" w:eastAsia="仿宋_GB2312"/>
          <w:bCs/>
          <w:color w:val="auto"/>
          <w:spacing w:val="-4"/>
          <w:sz w:val="32"/>
          <w:szCs w:val="32"/>
          <w:lang w:val="en-US" w:eastAsia="zh-CN"/>
        </w:rPr>
        <w:t>100</w:t>
      </w:r>
      <w:r>
        <w:rPr>
          <w:rFonts w:hint="eastAsia" w:ascii="仿宋_GB2312" w:eastAsia="仿宋_GB2312"/>
          <w:color w:val="auto"/>
          <w:sz w:val="32"/>
          <w:szCs w:val="32"/>
        </w:rPr>
        <w:t>%</w:t>
      </w:r>
      <w:r>
        <w:rPr>
          <w:rFonts w:hint="eastAsia" w:ascii="仿宋_GB2312" w:eastAsia="仿宋_GB2312"/>
          <w:color w:val="auto"/>
          <w:sz w:val="32"/>
          <w:szCs w:val="32"/>
          <w:lang w:eastAsia="zh-CN"/>
        </w:rPr>
        <w:t>。</w:t>
      </w:r>
    </w:p>
    <w:p>
      <w:pPr>
        <w:ind w:firstLine="640"/>
        <w:rPr>
          <w:rFonts w:ascii="黑体" w:hAnsi="黑体"/>
          <w:b w:val="0"/>
          <w:sz w:val="32"/>
          <w:szCs w:val="32"/>
        </w:rPr>
      </w:pPr>
      <w:r>
        <w:rPr>
          <w:rFonts w:hint="eastAsia" w:ascii="黑体" w:hAnsi="黑体"/>
          <w:b w:val="0"/>
          <w:sz w:val="32"/>
          <w:szCs w:val="32"/>
        </w:rPr>
        <w:t>六、存在的主要问题</w:t>
      </w:r>
    </w:p>
    <w:p>
      <w:pPr>
        <w:adjustRightInd w:val="0"/>
        <w:snapToGrid w:val="0"/>
        <w:ind w:firstLine="624"/>
        <w:rPr>
          <w:rFonts w:ascii="仿宋_GB2312" w:eastAsia="仿宋_GB2312"/>
          <w:color w:val="auto"/>
          <w:spacing w:val="-4"/>
          <w:sz w:val="32"/>
          <w:szCs w:val="32"/>
          <w:highlight w:val="none"/>
        </w:rPr>
      </w:pPr>
      <w:r>
        <w:rPr>
          <w:rFonts w:hint="eastAsia" w:ascii="仿宋_GB2312" w:eastAsia="仿宋_GB2312"/>
          <w:color w:val="auto"/>
          <w:spacing w:val="-4"/>
          <w:sz w:val="32"/>
          <w:szCs w:val="32"/>
          <w:highlight w:val="none"/>
        </w:rPr>
        <w:t>202</w:t>
      </w:r>
      <w:r>
        <w:rPr>
          <w:rFonts w:hint="eastAsia" w:ascii="仿宋_GB2312" w:eastAsia="仿宋_GB2312"/>
          <w:color w:val="auto"/>
          <w:spacing w:val="-4"/>
          <w:sz w:val="32"/>
          <w:szCs w:val="32"/>
          <w:highlight w:val="none"/>
          <w:lang w:val="en-US" w:eastAsia="zh-CN"/>
        </w:rPr>
        <w:t>2</w:t>
      </w:r>
      <w:r>
        <w:rPr>
          <w:rFonts w:hint="eastAsia" w:ascii="仿宋_GB2312" w:eastAsia="仿宋_GB2312"/>
          <w:color w:val="auto"/>
          <w:spacing w:val="-4"/>
          <w:sz w:val="32"/>
          <w:szCs w:val="32"/>
          <w:highlight w:val="none"/>
        </w:rPr>
        <w:t>年本单位整体支出绩效目标未完成</w:t>
      </w:r>
      <w:r>
        <w:rPr>
          <w:rFonts w:hint="eastAsia" w:ascii="仿宋_GB2312" w:eastAsia="仿宋_GB2312"/>
          <w:color w:val="auto"/>
          <w:spacing w:val="-4"/>
          <w:sz w:val="32"/>
          <w:szCs w:val="32"/>
          <w:highlight w:val="none"/>
          <w:lang w:eastAsia="zh-CN"/>
        </w:rPr>
        <w:t>，整体支出完成率</w:t>
      </w:r>
      <w:r>
        <w:rPr>
          <w:rFonts w:hint="default" w:ascii="仿宋_GB2312" w:eastAsia="仿宋_GB2312"/>
          <w:color w:val="auto"/>
          <w:spacing w:val="-4"/>
          <w:sz w:val="32"/>
          <w:szCs w:val="32"/>
          <w:highlight w:val="none"/>
          <w:lang w:val="en-US" w:eastAsia="zh-CN"/>
        </w:rPr>
        <w:t>97</w:t>
      </w:r>
      <w:r>
        <w:rPr>
          <w:rFonts w:hint="eastAsia" w:ascii="仿宋_GB2312" w:eastAsia="仿宋_GB2312"/>
          <w:color w:val="auto"/>
          <w:spacing w:val="-4"/>
          <w:sz w:val="32"/>
          <w:szCs w:val="32"/>
          <w:highlight w:val="none"/>
          <w:lang w:val="en-US" w:eastAsia="zh-CN"/>
        </w:rPr>
        <w:t>%。</w:t>
      </w:r>
      <w:r>
        <w:rPr>
          <w:rFonts w:hint="eastAsia" w:ascii="仿宋_GB2312" w:eastAsia="仿宋_GB2312"/>
          <w:color w:val="auto"/>
          <w:spacing w:val="-4"/>
          <w:sz w:val="32"/>
          <w:szCs w:val="32"/>
          <w:highlight w:val="none"/>
          <w:lang w:eastAsia="zh-CN"/>
        </w:rPr>
        <w:t>主要原因：</w:t>
      </w:r>
      <w:r>
        <w:rPr>
          <w:rFonts w:hint="eastAsia" w:ascii="仿宋_GB2312" w:eastAsia="仿宋_GB2312"/>
          <w:color w:val="auto"/>
          <w:spacing w:val="-4"/>
          <w:sz w:val="32"/>
          <w:szCs w:val="32"/>
          <w:highlight w:val="none"/>
        </w:rPr>
        <w:t>202</w:t>
      </w:r>
      <w:r>
        <w:rPr>
          <w:rFonts w:hint="eastAsia" w:ascii="仿宋_GB2312" w:eastAsia="仿宋_GB2312"/>
          <w:color w:val="auto"/>
          <w:spacing w:val="-4"/>
          <w:sz w:val="32"/>
          <w:szCs w:val="32"/>
          <w:highlight w:val="none"/>
          <w:lang w:val="en-US" w:eastAsia="zh-CN"/>
        </w:rPr>
        <w:t>2</w:t>
      </w:r>
      <w:r>
        <w:rPr>
          <w:rFonts w:hint="eastAsia" w:ascii="仿宋_GB2312" w:eastAsia="仿宋_GB2312"/>
          <w:color w:val="auto"/>
          <w:spacing w:val="-4"/>
          <w:sz w:val="32"/>
          <w:szCs w:val="32"/>
          <w:highlight w:val="none"/>
        </w:rPr>
        <w:t>年整体支出绩效目标</w:t>
      </w:r>
      <w:r>
        <w:rPr>
          <w:rFonts w:hint="eastAsia" w:ascii="仿宋_GB2312" w:eastAsia="仿宋_GB2312"/>
          <w:color w:val="auto"/>
          <w:spacing w:val="-4"/>
          <w:sz w:val="32"/>
          <w:szCs w:val="32"/>
          <w:highlight w:val="none"/>
          <w:lang w:eastAsia="zh-CN"/>
        </w:rPr>
        <w:t>中公用办公经费预算金额</w:t>
      </w:r>
      <w:r>
        <w:rPr>
          <w:rFonts w:hint="eastAsia" w:ascii="仿宋_GB2312" w:eastAsia="仿宋_GB2312"/>
          <w:color w:val="auto"/>
          <w:spacing w:val="-4"/>
          <w:sz w:val="32"/>
          <w:szCs w:val="32"/>
          <w:highlight w:val="none"/>
          <w:lang w:val="en-US" w:eastAsia="zh-CN"/>
        </w:rPr>
        <w:t>132.13万元，实际完成61.57万元，70.56万元被财政收回。</w:t>
      </w:r>
    </w:p>
    <w:p>
      <w:pPr>
        <w:pStyle w:val="3"/>
        <w:ind w:firstLine="640"/>
        <w:rPr>
          <w:rFonts w:ascii="黑体" w:hAnsi="黑体"/>
          <w:b w:val="0"/>
          <w:sz w:val="32"/>
          <w:szCs w:val="32"/>
        </w:rPr>
      </w:pPr>
      <w:r>
        <w:rPr>
          <w:rFonts w:hint="eastAsia" w:ascii="黑体" w:hAnsi="黑体"/>
          <w:b w:val="0"/>
          <w:sz w:val="32"/>
          <w:szCs w:val="32"/>
        </w:rPr>
        <w:t>七、改进措施和建议</w:t>
      </w:r>
    </w:p>
    <w:p>
      <w:pPr>
        <w:keepNext w:val="0"/>
        <w:keepLines w:val="0"/>
        <w:pageBreakBefore w:val="0"/>
        <w:widowControl w:val="0"/>
        <w:kinsoku/>
        <w:wordWrap/>
        <w:overflowPunct/>
        <w:topLinePunct w:val="0"/>
        <w:autoSpaceDE/>
        <w:autoSpaceDN/>
        <w:bidi w:val="0"/>
        <w:adjustRightInd/>
        <w:snapToGrid/>
        <w:spacing w:line="600" w:lineRule="exact"/>
        <w:ind w:left="0" w:right="0" w:firstLine="641" w:firstLineChars="0"/>
        <w:textAlignment w:val="auto"/>
        <w:outlineLvl w:val="9"/>
        <w:rPr>
          <w:rFonts w:hint="eastAsia" w:ascii="仿宋_GB2312" w:hAnsi="仿宋_GB2312" w:cs="仿宋_GB2312"/>
          <w:color w:val="auto"/>
          <w:sz w:val="32"/>
          <w:szCs w:val="32"/>
          <w:lang w:val="en-US" w:eastAsia="zh-CN"/>
        </w:rPr>
      </w:pPr>
      <w:r>
        <w:rPr>
          <w:rFonts w:hint="eastAsia" w:ascii="仿宋_GB2312" w:hAnsi="仿宋_GB2312" w:cs="仿宋_GB2312"/>
          <w:color w:val="auto"/>
          <w:sz w:val="32"/>
          <w:szCs w:val="32"/>
          <w:lang w:val="en-US" w:eastAsia="zh-CN"/>
        </w:rPr>
        <w:t>建议：一、多举行绩效评价报告培训，使大家互相学习，相互借鉴。</w:t>
      </w:r>
    </w:p>
    <w:p>
      <w:pPr>
        <w:pStyle w:val="2"/>
        <w:rPr>
          <w:rFonts w:hint="default"/>
          <w:b w:val="0"/>
          <w:bCs w:val="0"/>
          <w:lang w:val="en-US" w:eastAsia="zh-CN"/>
        </w:rPr>
      </w:pPr>
      <w:r>
        <w:rPr>
          <w:rFonts w:hint="eastAsia" w:ascii="仿宋_GB2312" w:hAnsi="仿宋_GB2312" w:cs="仿宋_GB2312"/>
          <w:color w:val="auto"/>
          <w:sz w:val="32"/>
          <w:szCs w:val="32"/>
          <w:lang w:val="en-US" w:eastAsia="zh-CN"/>
        </w:rPr>
        <w:t xml:space="preserve"> 二、</w:t>
      </w:r>
      <w:r>
        <w:rPr>
          <w:rFonts w:hint="eastAsia" w:ascii="仿宋_GB2312" w:hAnsi="仿宋_GB2312" w:cs="仿宋_GB2312"/>
          <w:b w:val="0"/>
          <w:bCs w:val="0"/>
          <w:color w:val="auto"/>
          <w:sz w:val="32"/>
          <w:szCs w:val="32"/>
          <w:lang w:val="en-US" w:eastAsia="zh-CN"/>
        </w:rPr>
        <w:t>绩效评价报告需要有对具体业务非常熟悉的相关人员进行编写。</w:t>
      </w:r>
    </w:p>
    <w:p>
      <w:pPr>
        <w:pStyle w:val="5"/>
      </w:pPr>
    </w:p>
    <w:p>
      <w:pPr>
        <w:pStyle w:val="3"/>
        <w:numPr>
          <w:ilvl w:val="0"/>
          <w:numId w:val="9"/>
        </w:numPr>
        <w:ind w:firstLine="640"/>
        <w:rPr>
          <w:rFonts w:hint="eastAsia" w:ascii="黑体" w:hAnsi="黑体"/>
          <w:b w:val="0"/>
          <w:sz w:val="32"/>
          <w:szCs w:val="32"/>
        </w:rPr>
      </w:pPr>
      <w:r>
        <w:rPr>
          <w:rFonts w:hint="eastAsia" w:ascii="黑体" w:hAnsi="黑体"/>
          <w:b w:val="0"/>
          <w:sz w:val="32"/>
          <w:szCs w:val="32"/>
        </w:rPr>
        <w:t>附表</w:t>
      </w:r>
    </w:p>
    <w:p>
      <w:pPr>
        <w:ind w:firstLine="640"/>
        <w:rPr>
          <w:rFonts w:hint="eastAsia" w:ascii="仿宋_GB2312" w:eastAsia="仿宋_GB2312"/>
          <w:sz w:val="32"/>
          <w:szCs w:val="32"/>
        </w:rPr>
      </w:pPr>
      <w:r>
        <w:rPr>
          <w:rFonts w:hint="eastAsia" w:ascii="仿宋_GB2312" w:eastAsia="仿宋_GB2312"/>
          <w:sz w:val="32"/>
          <w:szCs w:val="32"/>
        </w:rPr>
        <w:t>《部门整体支出绩效目标自评表》</w:t>
      </w:r>
    </w:p>
    <w:tbl>
      <w:tblPr>
        <w:tblW w:w="5000" w:type="pct"/>
        <w:tblInd w:w="0" w:type="dxa"/>
        <w:shd w:val="clear"/>
        <w:tblLayout w:type="autofit"/>
        <w:tblCellMar>
          <w:top w:w="0" w:type="dxa"/>
          <w:left w:w="0" w:type="dxa"/>
          <w:bottom w:w="0" w:type="dxa"/>
          <w:right w:w="0" w:type="dxa"/>
        </w:tblCellMar>
      </w:tblPr>
      <w:tblGrid>
        <w:gridCol w:w="621"/>
        <w:gridCol w:w="621"/>
        <w:gridCol w:w="623"/>
        <w:gridCol w:w="621"/>
        <w:gridCol w:w="1045"/>
        <w:gridCol w:w="1043"/>
        <w:gridCol w:w="706"/>
        <w:gridCol w:w="1213"/>
        <w:gridCol w:w="1043"/>
        <w:gridCol w:w="794"/>
      </w:tblGrid>
      <w:tr>
        <w:tblPrEx>
          <w:shd w:val="clear"/>
          <w:tblCellMar>
            <w:top w:w="0" w:type="dxa"/>
            <w:left w:w="0" w:type="dxa"/>
            <w:bottom w:w="0" w:type="dxa"/>
            <w:right w:w="0" w:type="dxa"/>
          </w:tblCellMar>
        </w:tblPrEx>
        <w:trPr>
          <w:trHeight w:val="800" w:hRule="atLeast"/>
        </w:trPr>
        <w:tc>
          <w:tcPr>
            <w:tcW w:w="5000" w:type="pct"/>
            <w:gridSpan w:val="10"/>
            <w:tcBorders>
              <w:top w:val="nil"/>
              <w:left w:val="nil"/>
              <w:bottom w:val="nil"/>
              <w:right w:val="nil"/>
            </w:tcBorders>
            <w:shd w:val="clear"/>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ascii="方正小标宋简体" w:hAnsi="方正小标宋简体" w:eastAsia="方正小标宋简体" w:cs="方正小标宋简体"/>
                <w:i w:val="0"/>
                <w:color w:val="000000"/>
                <w:sz w:val="40"/>
                <w:szCs w:val="40"/>
                <w:u w:val="none"/>
              </w:rPr>
            </w:pPr>
            <w:r>
              <w:rPr>
                <w:rFonts w:hint="default" w:ascii="方正小标宋简体" w:hAnsi="方正小标宋简体" w:eastAsia="方正小标宋简体" w:cs="方正小标宋简体"/>
                <w:i w:val="0"/>
                <w:color w:val="000000"/>
                <w:kern w:val="0"/>
                <w:sz w:val="40"/>
                <w:szCs w:val="40"/>
                <w:u w:val="none"/>
                <w:bdr w:val="none" w:color="auto" w:sz="0" w:space="0"/>
                <w:lang w:val="en-US" w:eastAsia="zh-CN" w:bidi="ar"/>
              </w:rPr>
              <w:t>部门整体支出绩效目标自评表</w:t>
            </w:r>
          </w:p>
        </w:tc>
      </w:tr>
      <w:tr>
        <w:tblPrEx>
          <w:shd w:val="clear"/>
          <w:tblCellMar>
            <w:top w:w="0" w:type="dxa"/>
            <w:left w:w="0" w:type="dxa"/>
            <w:bottom w:w="0" w:type="dxa"/>
            <w:right w:w="0" w:type="dxa"/>
          </w:tblCellMar>
        </w:tblPrEx>
        <w:trPr>
          <w:trHeight w:val="680" w:hRule="atLeast"/>
        </w:trPr>
        <w:tc>
          <w:tcPr>
            <w:tcW w:w="5000" w:type="pct"/>
            <w:gridSpan w:val="10"/>
            <w:tcBorders>
              <w:top w:val="nil"/>
              <w:left w:val="nil"/>
              <w:bottom w:val="single" w:color="000000" w:sz="4" w:space="0"/>
              <w:right w:val="nil"/>
            </w:tcBorders>
            <w:shd w:val="clear"/>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（2022年度）</w:t>
            </w:r>
          </w:p>
        </w:tc>
      </w:tr>
      <w:tr>
        <w:tblPrEx>
          <w:shd w:val="clear"/>
          <w:tblCellMar>
            <w:top w:w="0" w:type="dxa"/>
            <w:left w:w="0" w:type="dxa"/>
            <w:bottom w:w="0" w:type="dxa"/>
            <w:right w:w="0" w:type="dxa"/>
          </w:tblCellMar>
        </w:tblPrEx>
        <w:trPr>
          <w:trHeight w:val="540" w:hRule="atLeast"/>
        </w:trPr>
        <w:tc>
          <w:tcPr>
            <w:tcW w:w="1120" w:type="pct"/>
            <w:gridSpan w:val="3"/>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部门（单位）名称</w:t>
            </w:r>
          </w:p>
        </w:tc>
        <w:tc>
          <w:tcPr>
            <w:tcW w:w="3879" w:type="pct"/>
            <w:gridSpan w:val="7"/>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昌吉市园林绿化管理中心</w:t>
            </w:r>
          </w:p>
        </w:tc>
      </w:tr>
      <w:tr>
        <w:tblPrEx>
          <w:shd w:val="clear"/>
          <w:tblCellMar>
            <w:top w:w="0" w:type="dxa"/>
            <w:left w:w="0" w:type="dxa"/>
            <w:bottom w:w="0" w:type="dxa"/>
            <w:right w:w="0" w:type="dxa"/>
          </w:tblCellMar>
        </w:tblPrEx>
        <w:trPr>
          <w:trHeight w:val="560" w:hRule="atLeast"/>
        </w:trPr>
        <w:tc>
          <w:tcPr>
            <w:tcW w:w="373" w:type="pct"/>
            <w:vMerge w:val="restart"/>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年度主要任务</w:t>
            </w:r>
          </w:p>
        </w:tc>
        <w:tc>
          <w:tcPr>
            <w:tcW w:w="746" w:type="pct"/>
            <w:gridSpan w:val="2"/>
            <w:vMerge w:val="restart"/>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任务名称</w:t>
            </w:r>
          </w:p>
        </w:tc>
        <w:tc>
          <w:tcPr>
            <w:tcW w:w="373" w:type="pct"/>
            <w:vMerge w:val="restart"/>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主要内容</w:t>
            </w:r>
          </w:p>
        </w:tc>
        <w:tc>
          <w:tcPr>
            <w:tcW w:w="1677" w:type="pct"/>
            <w:gridSpan w:val="3"/>
            <w:tcBorders>
              <w:top w:val="single" w:color="000000" w:sz="4" w:space="0"/>
              <w:left w:val="nil"/>
              <w:bottom w:val="nil"/>
              <w:right w:val="nil"/>
            </w:tcBorders>
            <w:shd w:val="clear"/>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预算金额（万元）</w:t>
            </w:r>
          </w:p>
        </w:tc>
        <w:tc>
          <w:tcPr>
            <w:tcW w:w="1829" w:type="pct"/>
            <w:gridSpan w:val="3"/>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实际执行（万元）</w:t>
            </w:r>
          </w:p>
        </w:tc>
      </w:tr>
      <w:tr>
        <w:tblPrEx>
          <w:shd w:val="clear"/>
          <w:tblCellMar>
            <w:top w:w="0" w:type="dxa"/>
            <w:left w:w="0" w:type="dxa"/>
            <w:bottom w:w="0" w:type="dxa"/>
            <w:right w:w="0" w:type="dxa"/>
          </w:tblCellMar>
        </w:tblPrEx>
        <w:trPr>
          <w:trHeight w:val="840" w:hRule="atLeast"/>
        </w:trPr>
        <w:tc>
          <w:tcPr>
            <w:tcW w:w="373" w:type="pct"/>
            <w:vMerge w:val="continue"/>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color w:val="000000"/>
                <w:sz w:val="22"/>
                <w:szCs w:val="22"/>
                <w:u w:val="none"/>
              </w:rPr>
            </w:pPr>
          </w:p>
        </w:tc>
        <w:tc>
          <w:tcPr>
            <w:tcW w:w="746" w:type="pct"/>
            <w:gridSpan w:val="2"/>
            <w:vMerge w:val="continue"/>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color w:val="000000"/>
                <w:sz w:val="22"/>
                <w:szCs w:val="22"/>
                <w:u w:val="none"/>
              </w:rPr>
            </w:pPr>
          </w:p>
        </w:tc>
        <w:tc>
          <w:tcPr>
            <w:tcW w:w="373" w:type="pct"/>
            <w:vMerge w:val="continue"/>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color w:val="000000"/>
                <w:sz w:val="22"/>
                <w:szCs w:val="22"/>
                <w:u w:val="none"/>
              </w:rPr>
            </w:pPr>
          </w:p>
        </w:tc>
        <w:tc>
          <w:tcPr>
            <w:tcW w:w="626" w:type="pct"/>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总额</w:t>
            </w:r>
          </w:p>
        </w:tc>
        <w:tc>
          <w:tcPr>
            <w:tcW w:w="626" w:type="pct"/>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财政拨款</w:t>
            </w:r>
          </w:p>
        </w:tc>
        <w:tc>
          <w:tcPr>
            <w:tcW w:w="423" w:type="pct"/>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其他资金</w:t>
            </w:r>
          </w:p>
        </w:tc>
        <w:tc>
          <w:tcPr>
            <w:tcW w:w="728" w:type="pct"/>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总额</w:t>
            </w:r>
          </w:p>
        </w:tc>
        <w:tc>
          <w:tcPr>
            <w:tcW w:w="626" w:type="pct"/>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财政拨款</w:t>
            </w:r>
          </w:p>
        </w:tc>
        <w:tc>
          <w:tcPr>
            <w:tcW w:w="474" w:type="pct"/>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其他资金</w:t>
            </w:r>
          </w:p>
        </w:tc>
      </w:tr>
      <w:tr>
        <w:tblPrEx>
          <w:tblCellMar>
            <w:top w:w="0" w:type="dxa"/>
            <w:left w:w="0" w:type="dxa"/>
            <w:bottom w:w="0" w:type="dxa"/>
            <w:right w:w="0" w:type="dxa"/>
          </w:tblCellMar>
        </w:tblPrEx>
        <w:trPr>
          <w:trHeight w:val="700" w:hRule="atLeast"/>
        </w:trPr>
        <w:tc>
          <w:tcPr>
            <w:tcW w:w="373" w:type="pct"/>
            <w:vMerge w:val="continue"/>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color w:val="000000"/>
                <w:sz w:val="22"/>
                <w:szCs w:val="22"/>
                <w:u w:val="none"/>
              </w:rPr>
            </w:pPr>
          </w:p>
        </w:tc>
        <w:tc>
          <w:tcPr>
            <w:tcW w:w="746" w:type="pct"/>
            <w:gridSpan w:val="2"/>
            <w:tcBorders>
              <w:top w:val="single" w:color="000000" w:sz="4" w:space="0"/>
              <w:left w:val="single" w:color="000000" w:sz="4" w:space="0"/>
              <w:bottom w:val="single" w:color="000000" w:sz="4" w:space="0"/>
              <w:right w:val="nil"/>
            </w:tcBorders>
            <w:shd w:val="clear"/>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人员经费</w:t>
            </w:r>
          </w:p>
        </w:tc>
        <w:tc>
          <w:tcPr>
            <w:tcW w:w="373" w:type="pct"/>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主要发放员工工资、交纳社保、公积金等</w:t>
            </w:r>
          </w:p>
        </w:tc>
        <w:tc>
          <w:tcPr>
            <w:tcW w:w="626" w:type="pct"/>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3297.34</w:t>
            </w:r>
          </w:p>
        </w:tc>
        <w:tc>
          <w:tcPr>
            <w:tcW w:w="626" w:type="pct"/>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3297.34</w:t>
            </w:r>
          </w:p>
        </w:tc>
        <w:tc>
          <w:tcPr>
            <w:tcW w:w="423" w:type="pct"/>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0</w:t>
            </w:r>
          </w:p>
        </w:tc>
        <w:tc>
          <w:tcPr>
            <w:tcW w:w="728" w:type="pct"/>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3297.34</w:t>
            </w:r>
          </w:p>
        </w:tc>
        <w:tc>
          <w:tcPr>
            <w:tcW w:w="626" w:type="pct"/>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3297.34</w:t>
            </w:r>
          </w:p>
        </w:tc>
        <w:tc>
          <w:tcPr>
            <w:tcW w:w="474" w:type="pct"/>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0</w:t>
            </w:r>
          </w:p>
        </w:tc>
      </w:tr>
      <w:tr>
        <w:tblPrEx>
          <w:shd w:val="clear"/>
          <w:tblCellMar>
            <w:top w:w="0" w:type="dxa"/>
            <w:left w:w="0" w:type="dxa"/>
            <w:bottom w:w="0" w:type="dxa"/>
            <w:right w:w="0" w:type="dxa"/>
          </w:tblCellMar>
        </w:tblPrEx>
        <w:trPr>
          <w:trHeight w:val="960" w:hRule="atLeast"/>
        </w:trPr>
        <w:tc>
          <w:tcPr>
            <w:tcW w:w="373" w:type="pct"/>
            <w:vMerge w:val="continue"/>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color w:val="000000"/>
                <w:sz w:val="22"/>
                <w:szCs w:val="22"/>
                <w:u w:val="none"/>
              </w:rPr>
            </w:pPr>
          </w:p>
        </w:tc>
        <w:tc>
          <w:tcPr>
            <w:tcW w:w="746" w:type="pct"/>
            <w:gridSpan w:val="2"/>
            <w:tcBorders>
              <w:top w:val="single" w:color="000000" w:sz="4" w:space="0"/>
              <w:left w:val="single" w:color="000000" w:sz="4" w:space="0"/>
              <w:bottom w:val="single" w:color="000000" w:sz="4" w:space="0"/>
              <w:right w:val="nil"/>
            </w:tcBorders>
            <w:shd w:val="clear"/>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日常公用经费</w:t>
            </w:r>
          </w:p>
        </w:tc>
        <w:tc>
          <w:tcPr>
            <w:tcW w:w="373" w:type="pct"/>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主要用于日常办公经费、办公采䁔费、水电费、物业费等</w:t>
            </w:r>
          </w:p>
        </w:tc>
        <w:tc>
          <w:tcPr>
            <w:tcW w:w="626" w:type="pct"/>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132.13</w:t>
            </w:r>
          </w:p>
        </w:tc>
        <w:tc>
          <w:tcPr>
            <w:tcW w:w="626" w:type="pct"/>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132.13</w:t>
            </w:r>
          </w:p>
        </w:tc>
        <w:tc>
          <w:tcPr>
            <w:tcW w:w="423" w:type="pct"/>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0</w:t>
            </w:r>
          </w:p>
        </w:tc>
        <w:tc>
          <w:tcPr>
            <w:tcW w:w="728" w:type="pct"/>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61.57</w:t>
            </w:r>
          </w:p>
        </w:tc>
        <w:tc>
          <w:tcPr>
            <w:tcW w:w="626" w:type="pct"/>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61.57</w:t>
            </w:r>
          </w:p>
        </w:tc>
        <w:tc>
          <w:tcPr>
            <w:tcW w:w="474" w:type="pct"/>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0</w:t>
            </w:r>
          </w:p>
        </w:tc>
      </w:tr>
      <w:tr>
        <w:tblPrEx>
          <w:shd w:val="clear"/>
          <w:tblCellMar>
            <w:top w:w="0" w:type="dxa"/>
            <w:left w:w="0" w:type="dxa"/>
            <w:bottom w:w="0" w:type="dxa"/>
            <w:right w:w="0" w:type="dxa"/>
          </w:tblCellMar>
        </w:tblPrEx>
        <w:trPr>
          <w:trHeight w:val="700" w:hRule="atLeast"/>
        </w:trPr>
        <w:tc>
          <w:tcPr>
            <w:tcW w:w="373" w:type="pct"/>
            <w:vMerge w:val="continue"/>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color w:val="000000"/>
                <w:sz w:val="22"/>
                <w:szCs w:val="22"/>
                <w:u w:val="none"/>
              </w:rPr>
            </w:pPr>
          </w:p>
        </w:tc>
        <w:tc>
          <w:tcPr>
            <w:tcW w:w="746" w:type="pct"/>
            <w:gridSpan w:val="2"/>
            <w:tcBorders>
              <w:top w:val="single" w:color="000000" w:sz="4" w:space="0"/>
              <w:left w:val="single" w:color="000000" w:sz="4" w:space="0"/>
              <w:bottom w:val="single" w:color="000000" w:sz="4" w:space="0"/>
              <w:right w:val="nil"/>
            </w:tcBorders>
            <w:shd w:val="clear"/>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保运行项目经费</w:t>
            </w:r>
          </w:p>
        </w:tc>
        <w:tc>
          <w:tcPr>
            <w:tcW w:w="373" w:type="pct"/>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主要用于绿化电费、水费、绿化用车运行维护费</w:t>
            </w:r>
          </w:p>
        </w:tc>
        <w:tc>
          <w:tcPr>
            <w:tcW w:w="626" w:type="pct"/>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280</w:t>
            </w:r>
          </w:p>
        </w:tc>
        <w:tc>
          <w:tcPr>
            <w:tcW w:w="626" w:type="pct"/>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280</w:t>
            </w:r>
          </w:p>
        </w:tc>
        <w:tc>
          <w:tcPr>
            <w:tcW w:w="423" w:type="pct"/>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0</w:t>
            </w:r>
          </w:p>
        </w:tc>
        <w:tc>
          <w:tcPr>
            <w:tcW w:w="728" w:type="pct"/>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280</w:t>
            </w:r>
          </w:p>
        </w:tc>
        <w:tc>
          <w:tcPr>
            <w:tcW w:w="626" w:type="pct"/>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280</w:t>
            </w:r>
          </w:p>
        </w:tc>
        <w:tc>
          <w:tcPr>
            <w:tcW w:w="474" w:type="pct"/>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0</w:t>
            </w:r>
          </w:p>
        </w:tc>
      </w:tr>
      <w:tr>
        <w:tblPrEx>
          <w:shd w:val="clear"/>
          <w:tblCellMar>
            <w:top w:w="0" w:type="dxa"/>
            <w:left w:w="0" w:type="dxa"/>
            <w:bottom w:w="0" w:type="dxa"/>
            <w:right w:w="0" w:type="dxa"/>
          </w:tblCellMar>
        </w:tblPrEx>
        <w:trPr>
          <w:trHeight w:val="540" w:hRule="atLeast"/>
        </w:trPr>
        <w:tc>
          <w:tcPr>
            <w:tcW w:w="373" w:type="pct"/>
            <w:vMerge w:val="continue"/>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color w:val="000000"/>
                <w:sz w:val="22"/>
                <w:szCs w:val="22"/>
                <w:u w:val="none"/>
              </w:rPr>
            </w:pPr>
          </w:p>
        </w:tc>
        <w:tc>
          <w:tcPr>
            <w:tcW w:w="1120" w:type="pct"/>
            <w:gridSpan w:val="3"/>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合　计</w:t>
            </w:r>
          </w:p>
        </w:tc>
        <w:tc>
          <w:tcPr>
            <w:tcW w:w="626" w:type="pct"/>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3709.47</w:t>
            </w:r>
          </w:p>
        </w:tc>
        <w:tc>
          <w:tcPr>
            <w:tcW w:w="626" w:type="pct"/>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3709.47</w:t>
            </w:r>
          </w:p>
        </w:tc>
        <w:tc>
          <w:tcPr>
            <w:tcW w:w="423" w:type="pct"/>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0.0</w:t>
            </w:r>
          </w:p>
        </w:tc>
        <w:tc>
          <w:tcPr>
            <w:tcW w:w="728" w:type="pct"/>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3638.91</w:t>
            </w:r>
          </w:p>
        </w:tc>
        <w:tc>
          <w:tcPr>
            <w:tcW w:w="626" w:type="pct"/>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3638.91</w:t>
            </w:r>
          </w:p>
        </w:tc>
        <w:tc>
          <w:tcPr>
            <w:tcW w:w="474" w:type="pct"/>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0.0</w:t>
            </w:r>
          </w:p>
        </w:tc>
      </w:tr>
      <w:tr>
        <w:tblPrEx>
          <w:shd w:val="clear"/>
          <w:tblCellMar>
            <w:top w:w="0" w:type="dxa"/>
            <w:left w:w="0" w:type="dxa"/>
            <w:bottom w:w="0" w:type="dxa"/>
            <w:right w:w="0" w:type="dxa"/>
          </w:tblCellMar>
        </w:tblPrEx>
        <w:trPr>
          <w:trHeight w:val="465" w:hRule="atLeast"/>
        </w:trPr>
        <w:tc>
          <w:tcPr>
            <w:tcW w:w="373" w:type="pct"/>
            <w:vMerge w:val="restart"/>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年度总体目标</w:t>
            </w:r>
          </w:p>
        </w:tc>
        <w:tc>
          <w:tcPr>
            <w:tcW w:w="1746" w:type="pct"/>
            <w:gridSpan w:val="4"/>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预期目标</w:t>
            </w:r>
          </w:p>
        </w:tc>
        <w:tc>
          <w:tcPr>
            <w:tcW w:w="2879" w:type="pct"/>
            <w:gridSpan w:val="5"/>
            <w:tcBorders>
              <w:top w:val="single" w:color="000000" w:sz="4" w:space="0"/>
              <w:left w:val="nil"/>
              <w:bottom w:val="single" w:color="000000" w:sz="4" w:space="0"/>
              <w:right w:val="single" w:color="000000" w:sz="4" w:space="0"/>
            </w:tcBorders>
            <w:shd w:val="clear"/>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实际完成目标</w:t>
            </w:r>
          </w:p>
        </w:tc>
      </w:tr>
      <w:tr>
        <w:tblPrEx>
          <w:shd w:val="clear"/>
          <w:tblCellMar>
            <w:top w:w="0" w:type="dxa"/>
            <w:left w:w="0" w:type="dxa"/>
            <w:bottom w:w="0" w:type="dxa"/>
            <w:right w:w="0" w:type="dxa"/>
          </w:tblCellMar>
        </w:tblPrEx>
        <w:trPr>
          <w:trHeight w:val="2520" w:hRule="atLeast"/>
        </w:trPr>
        <w:tc>
          <w:tcPr>
            <w:tcW w:w="373" w:type="pct"/>
            <w:vMerge w:val="continue"/>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color w:val="000000"/>
                <w:sz w:val="22"/>
                <w:szCs w:val="22"/>
                <w:u w:val="none"/>
              </w:rPr>
            </w:pPr>
          </w:p>
        </w:tc>
        <w:tc>
          <w:tcPr>
            <w:tcW w:w="1746" w:type="pct"/>
            <w:gridSpan w:val="4"/>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本年度整体预算经费3709.47万元，其中人员经费3297.34万元，发放工资人数786人，发放工资次数12次；日常公用经费132.13万元，房屋建筑物供䁔面积10285平方米，公务保障用车数量9辆；保运行项目经费280万元，主要用于绿化电费、水费、绿化用车运行维护费等。园林中心主要负责全市绿地管养工作，通过提高管养质量进一步提升环境及空气质量，做好绿化道路、游园、公园、花卉、景观布置等，尽最大努力给广大群众一个宜居、舒适的生活环境。此项经费主要用于发放（补助）人数768人，发放（补助）次数12次；办公用房采䁔面积10285.93平方米；公务用车9辆；单位员工满意度98%。</w:t>
            </w:r>
          </w:p>
        </w:tc>
        <w:tc>
          <w:tcPr>
            <w:tcW w:w="2879" w:type="pct"/>
            <w:gridSpan w:val="5"/>
            <w:tcBorders>
              <w:top w:val="single" w:color="000000" w:sz="4" w:space="0"/>
              <w:left w:val="nil"/>
              <w:bottom w:val="single" w:color="000000" w:sz="4" w:space="0"/>
              <w:right w:val="single" w:color="000000" w:sz="4" w:space="0"/>
            </w:tcBorders>
            <w:shd w:val="clear"/>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昌吉市园林绿化管理中心主要负责市城区绿地管养工作，通过提高管养质量进一步提升环境及空气质量。我中心已完成工作人员经费3297.34万元，发放工资人数786人，发放工资次数12次；日常公用经费132.13万元，房屋建筑物供䁔面积10285平方米，公务保障用车数量9辆；保运行项目经费280万元，主要用于绿化电费、水费、绿化用车运行维护费等。园林中心主要负责全市绿地管养工作，通过提高管养质量进一步提升环境及空气质量，做好绿化道路、游园、公园、花卉、景观布置等，尽最大努力给广大群众一个宜居、舒适的生活环境。此项经费主要用于发放（补助）人数768人，发放（补助）次数12次；办公用房采䁔面积10285.93平方米。</w:t>
            </w:r>
          </w:p>
        </w:tc>
      </w:tr>
      <w:tr>
        <w:tblPrEx>
          <w:shd w:val="clear"/>
          <w:tblCellMar>
            <w:top w:w="0" w:type="dxa"/>
            <w:left w:w="0" w:type="dxa"/>
            <w:bottom w:w="0" w:type="dxa"/>
            <w:right w:w="0" w:type="dxa"/>
          </w:tblCellMar>
        </w:tblPrEx>
        <w:trPr>
          <w:trHeight w:val="780" w:hRule="atLeast"/>
        </w:trPr>
        <w:tc>
          <w:tcPr>
            <w:tcW w:w="373" w:type="pct"/>
            <w:vMerge w:val="restart"/>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年度绩效指标完成情况</w:t>
            </w:r>
          </w:p>
        </w:tc>
        <w:tc>
          <w:tcPr>
            <w:tcW w:w="373" w:type="pct"/>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一级指标</w:t>
            </w:r>
          </w:p>
        </w:tc>
        <w:tc>
          <w:tcPr>
            <w:tcW w:w="373" w:type="pct"/>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二级指标</w:t>
            </w:r>
          </w:p>
        </w:tc>
        <w:tc>
          <w:tcPr>
            <w:tcW w:w="1000" w:type="pct"/>
            <w:gridSpan w:val="2"/>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三级指标</w:t>
            </w:r>
          </w:p>
        </w:tc>
        <w:tc>
          <w:tcPr>
            <w:tcW w:w="1050" w:type="pct"/>
            <w:gridSpan w:val="2"/>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绩效目标值</w:t>
            </w:r>
          </w:p>
        </w:tc>
        <w:tc>
          <w:tcPr>
            <w:tcW w:w="728" w:type="pct"/>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实际完成值</w:t>
            </w:r>
          </w:p>
        </w:tc>
        <w:tc>
          <w:tcPr>
            <w:tcW w:w="626" w:type="pct"/>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指标分值</w:t>
            </w:r>
          </w:p>
        </w:tc>
        <w:tc>
          <w:tcPr>
            <w:tcW w:w="474" w:type="pct"/>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得分</w:t>
            </w:r>
          </w:p>
        </w:tc>
      </w:tr>
      <w:tr>
        <w:tblPrEx>
          <w:shd w:val="clear"/>
          <w:tblCellMar>
            <w:top w:w="0" w:type="dxa"/>
            <w:left w:w="0" w:type="dxa"/>
            <w:bottom w:w="0" w:type="dxa"/>
            <w:right w:w="0" w:type="dxa"/>
          </w:tblCellMar>
        </w:tblPrEx>
        <w:trPr>
          <w:trHeight w:val="880" w:hRule="atLeast"/>
        </w:trPr>
        <w:tc>
          <w:tcPr>
            <w:tcW w:w="373" w:type="pct"/>
            <w:vMerge w:val="continue"/>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color w:val="000000"/>
                <w:sz w:val="22"/>
                <w:szCs w:val="22"/>
                <w:u w:val="none"/>
              </w:rPr>
            </w:pPr>
          </w:p>
        </w:tc>
        <w:tc>
          <w:tcPr>
            <w:tcW w:w="373" w:type="pct"/>
            <w:vMerge w:val="restart"/>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项目完成</w:t>
            </w:r>
          </w:p>
        </w:tc>
        <w:tc>
          <w:tcPr>
            <w:tcW w:w="373" w:type="pct"/>
            <w:vMerge w:val="restart"/>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数量指标</w:t>
            </w:r>
          </w:p>
        </w:tc>
        <w:tc>
          <w:tcPr>
            <w:tcW w:w="1000" w:type="pct"/>
            <w:gridSpan w:val="2"/>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房屋建筑物供䁔面积</w:t>
            </w:r>
          </w:p>
        </w:tc>
        <w:tc>
          <w:tcPr>
            <w:tcW w:w="1050" w:type="pct"/>
            <w:gridSpan w:val="2"/>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=10285.93平方米</w:t>
            </w:r>
          </w:p>
        </w:tc>
        <w:tc>
          <w:tcPr>
            <w:tcW w:w="728" w:type="pct"/>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=10285.93平方米</w:t>
            </w:r>
          </w:p>
        </w:tc>
        <w:tc>
          <w:tcPr>
            <w:tcW w:w="626" w:type="pct"/>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5</w:t>
            </w:r>
          </w:p>
        </w:tc>
        <w:tc>
          <w:tcPr>
            <w:tcW w:w="474" w:type="pct"/>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5</w:t>
            </w:r>
          </w:p>
        </w:tc>
      </w:tr>
      <w:tr>
        <w:tblPrEx>
          <w:shd w:val="clear"/>
          <w:tblCellMar>
            <w:top w:w="0" w:type="dxa"/>
            <w:left w:w="0" w:type="dxa"/>
            <w:bottom w:w="0" w:type="dxa"/>
            <w:right w:w="0" w:type="dxa"/>
          </w:tblCellMar>
        </w:tblPrEx>
        <w:trPr>
          <w:trHeight w:val="880" w:hRule="atLeast"/>
        </w:trPr>
        <w:tc>
          <w:tcPr>
            <w:tcW w:w="373" w:type="pct"/>
            <w:vMerge w:val="continue"/>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color w:val="000000"/>
                <w:sz w:val="22"/>
                <w:szCs w:val="22"/>
                <w:u w:val="none"/>
              </w:rPr>
            </w:pPr>
          </w:p>
        </w:tc>
        <w:tc>
          <w:tcPr>
            <w:tcW w:w="373" w:type="pct"/>
            <w:vMerge w:val="continue"/>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color w:val="000000"/>
                <w:sz w:val="22"/>
                <w:szCs w:val="22"/>
                <w:u w:val="none"/>
              </w:rPr>
            </w:pPr>
          </w:p>
        </w:tc>
        <w:tc>
          <w:tcPr>
            <w:tcW w:w="373" w:type="pct"/>
            <w:vMerge w:val="continue"/>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color w:val="000000"/>
                <w:sz w:val="22"/>
                <w:szCs w:val="22"/>
                <w:u w:val="none"/>
              </w:rPr>
            </w:pPr>
          </w:p>
        </w:tc>
        <w:tc>
          <w:tcPr>
            <w:tcW w:w="1000" w:type="pct"/>
            <w:gridSpan w:val="2"/>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公务保障用车数量</w:t>
            </w:r>
          </w:p>
        </w:tc>
        <w:tc>
          <w:tcPr>
            <w:tcW w:w="1050" w:type="pct"/>
            <w:gridSpan w:val="2"/>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=9.00辆</w:t>
            </w:r>
          </w:p>
        </w:tc>
        <w:tc>
          <w:tcPr>
            <w:tcW w:w="728" w:type="pct"/>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=9辆</w:t>
            </w:r>
          </w:p>
        </w:tc>
        <w:tc>
          <w:tcPr>
            <w:tcW w:w="626" w:type="pct"/>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5</w:t>
            </w:r>
          </w:p>
        </w:tc>
        <w:tc>
          <w:tcPr>
            <w:tcW w:w="474" w:type="pct"/>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5</w:t>
            </w:r>
          </w:p>
        </w:tc>
      </w:tr>
      <w:tr>
        <w:tblPrEx>
          <w:shd w:val="clear"/>
          <w:tblCellMar>
            <w:top w:w="0" w:type="dxa"/>
            <w:left w:w="0" w:type="dxa"/>
            <w:bottom w:w="0" w:type="dxa"/>
            <w:right w:w="0" w:type="dxa"/>
          </w:tblCellMar>
        </w:tblPrEx>
        <w:trPr>
          <w:trHeight w:val="880" w:hRule="atLeast"/>
        </w:trPr>
        <w:tc>
          <w:tcPr>
            <w:tcW w:w="373" w:type="pct"/>
            <w:vMerge w:val="continue"/>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color w:val="000000"/>
                <w:sz w:val="22"/>
                <w:szCs w:val="22"/>
                <w:u w:val="none"/>
              </w:rPr>
            </w:pPr>
          </w:p>
        </w:tc>
        <w:tc>
          <w:tcPr>
            <w:tcW w:w="373" w:type="pct"/>
            <w:vMerge w:val="continue"/>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color w:val="000000"/>
                <w:sz w:val="22"/>
                <w:szCs w:val="22"/>
                <w:u w:val="none"/>
              </w:rPr>
            </w:pPr>
          </w:p>
        </w:tc>
        <w:tc>
          <w:tcPr>
            <w:tcW w:w="373" w:type="pct"/>
            <w:vMerge w:val="continue"/>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color w:val="000000"/>
                <w:sz w:val="22"/>
                <w:szCs w:val="22"/>
                <w:u w:val="none"/>
              </w:rPr>
            </w:pPr>
          </w:p>
        </w:tc>
        <w:tc>
          <w:tcPr>
            <w:tcW w:w="1000" w:type="pct"/>
            <w:gridSpan w:val="2"/>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发放工资次数</w:t>
            </w:r>
          </w:p>
        </w:tc>
        <w:tc>
          <w:tcPr>
            <w:tcW w:w="1050" w:type="pct"/>
            <w:gridSpan w:val="2"/>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=12.00次</w:t>
            </w:r>
          </w:p>
        </w:tc>
        <w:tc>
          <w:tcPr>
            <w:tcW w:w="728" w:type="pct"/>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=12次</w:t>
            </w:r>
          </w:p>
        </w:tc>
        <w:tc>
          <w:tcPr>
            <w:tcW w:w="626" w:type="pct"/>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5</w:t>
            </w:r>
          </w:p>
        </w:tc>
        <w:tc>
          <w:tcPr>
            <w:tcW w:w="474" w:type="pct"/>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5</w:t>
            </w:r>
          </w:p>
        </w:tc>
      </w:tr>
      <w:tr>
        <w:tblPrEx>
          <w:shd w:val="clear"/>
          <w:tblCellMar>
            <w:top w:w="0" w:type="dxa"/>
            <w:left w:w="0" w:type="dxa"/>
            <w:bottom w:w="0" w:type="dxa"/>
            <w:right w:w="0" w:type="dxa"/>
          </w:tblCellMar>
        </w:tblPrEx>
        <w:trPr>
          <w:trHeight w:val="880" w:hRule="atLeast"/>
        </w:trPr>
        <w:tc>
          <w:tcPr>
            <w:tcW w:w="373" w:type="pct"/>
            <w:vMerge w:val="continue"/>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color w:val="000000"/>
                <w:sz w:val="22"/>
                <w:szCs w:val="22"/>
                <w:u w:val="none"/>
              </w:rPr>
            </w:pPr>
          </w:p>
        </w:tc>
        <w:tc>
          <w:tcPr>
            <w:tcW w:w="373" w:type="pct"/>
            <w:vMerge w:val="continue"/>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color w:val="000000"/>
                <w:sz w:val="22"/>
                <w:szCs w:val="22"/>
                <w:u w:val="none"/>
              </w:rPr>
            </w:pPr>
          </w:p>
        </w:tc>
        <w:tc>
          <w:tcPr>
            <w:tcW w:w="373" w:type="pct"/>
            <w:vMerge w:val="continue"/>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color w:val="000000"/>
                <w:sz w:val="22"/>
                <w:szCs w:val="22"/>
                <w:u w:val="none"/>
              </w:rPr>
            </w:pPr>
          </w:p>
        </w:tc>
        <w:tc>
          <w:tcPr>
            <w:tcW w:w="1000" w:type="pct"/>
            <w:gridSpan w:val="2"/>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发放工资人数</w:t>
            </w:r>
          </w:p>
        </w:tc>
        <w:tc>
          <w:tcPr>
            <w:tcW w:w="1050" w:type="pct"/>
            <w:gridSpan w:val="2"/>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=768.00人</w:t>
            </w:r>
          </w:p>
        </w:tc>
        <w:tc>
          <w:tcPr>
            <w:tcW w:w="728" w:type="pct"/>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=768人</w:t>
            </w:r>
          </w:p>
        </w:tc>
        <w:tc>
          <w:tcPr>
            <w:tcW w:w="626" w:type="pct"/>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5</w:t>
            </w:r>
          </w:p>
        </w:tc>
        <w:tc>
          <w:tcPr>
            <w:tcW w:w="474" w:type="pct"/>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5</w:t>
            </w:r>
          </w:p>
        </w:tc>
      </w:tr>
      <w:tr>
        <w:tblPrEx>
          <w:shd w:val="clear"/>
          <w:tblCellMar>
            <w:top w:w="0" w:type="dxa"/>
            <w:left w:w="0" w:type="dxa"/>
            <w:bottom w:w="0" w:type="dxa"/>
            <w:right w:w="0" w:type="dxa"/>
          </w:tblCellMar>
        </w:tblPrEx>
        <w:trPr>
          <w:trHeight w:val="880" w:hRule="atLeast"/>
        </w:trPr>
        <w:tc>
          <w:tcPr>
            <w:tcW w:w="373" w:type="pct"/>
            <w:vMerge w:val="continue"/>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color w:val="000000"/>
                <w:sz w:val="22"/>
                <w:szCs w:val="22"/>
                <w:u w:val="none"/>
              </w:rPr>
            </w:pPr>
          </w:p>
        </w:tc>
        <w:tc>
          <w:tcPr>
            <w:tcW w:w="373" w:type="pct"/>
            <w:vMerge w:val="continue"/>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color w:val="000000"/>
                <w:sz w:val="22"/>
                <w:szCs w:val="22"/>
                <w:u w:val="none"/>
              </w:rPr>
            </w:pPr>
          </w:p>
        </w:tc>
        <w:tc>
          <w:tcPr>
            <w:tcW w:w="373" w:type="pct"/>
            <w:vMerge w:val="continue"/>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color w:val="000000"/>
                <w:sz w:val="22"/>
                <w:szCs w:val="22"/>
                <w:u w:val="none"/>
              </w:rPr>
            </w:pPr>
          </w:p>
        </w:tc>
        <w:tc>
          <w:tcPr>
            <w:tcW w:w="1000" w:type="pct"/>
            <w:gridSpan w:val="2"/>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园林绿化用车</w:t>
            </w:r>
          </w:p>
        </w:tc>
        <w:tc>
          <w:tcPr>
            <w:tcW w:w="1050" w:type="pct"/>
            <w:gridSpan w:val="2"/>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&gt;=43.00辆</w:t>
            </w:r>
          </w:p>
        </w:tc>
        <w:tc>
          <w:tcPr>
            <w:tcW w:w="728" w:type="pct"/>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&gt;=43辆</w:t>
            </w:r>
          </w:p>
        </w:tc>
        <w:tc>
          <w:tcPr>
            <w:tcW w:w="626" w:type="pct"/>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5</w:t>
            </w:r>
          </w:p>
        </w:tc>
        <w:tc>
          <w:tcPr>
            <w:tcW w:w="474" w:type="pct"/>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5</w:t>
            </w:r>
          </w:p>
        </w:tc>
      </w:tr>
      <w:tr>
        <w:tblPrEx>
          <w:tblCellMar>
            <w:top w:w="0" w:type="dxa"/>
            <w:left w:w="0" w:type="dxa"/>
            <w:bottom w:w="0" w:type="dxa"/>
            <w:right w:w="0" w:type="dxa"/>
          </w:tblCellMar>
        </w:tblPrEx>
        <w:trPr>
          <w:trHeight w:val="880" w:hRule="atLeast"/>
        </w:trPr>
        <w:tc>
          <w:tcPr>
            <w:tcW w:w="373" w:type="pct"/>
            <w:vMerge w:val="continue"/>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color w:val="000000"/>
                <w:sz w:val="22"/>
                <w:szCs w:val="22"/>
                <w:u w:val="none"/>
              </w:rPr>
            </w:pPr>
          </w:p>
        </w:tc>
        <w:tc>
          <w:tcPr>
            <w:tcW w:w="373" w:type="pct"/>
            <w:vMerge w:val="continue"/>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color w:val="000000"/>
                <w:sz w:val="22"/>
                <w:szCs w:val="22"/>
                <w:u w:val="none"/>
              </w:rPr>
            </w:pPr>
          </w:p>
        </w:tc>
        <w:tc>
          <w:tcPr>
            <w:tcW w:w="373" w:type="pct"/>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质量指标</w:t>
            </w:r>
          </w:p>
        </w:tc>
        <w:tc>
          <w:tcPr>
            <w:tcW w:w="1000" w:type="pct"/>
            <w:gridSpan w:val="2"/>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资金使用合规率</w:t>
            </w:r>
          </w:p>
        </w:tc>
        <w:tc>
          <w:tcPr>
            <w:tcW w:w="1050" w:type="pct"/>
            <w:gridSpan w:val="2"/>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&gt;=98.00%</w:t>
            </w:r>
          </w:p>
        </w:tc>
        <w:tc>
          <w:tcPr>
            <w:tcW w:w="728" w:type="pct"/>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&gt;=98%</w:t>
            </w:r>
          </w:p>
        </w:tc>
        <w:tc>
          <w:tcPr>
            <w:tcW w:w="626" w:type="pct"/>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5</w:t>
            </w:r>
          </w:p>
        </w:tc>
        <w:tc>
          <w:tcPr>
            <w:tcW w:w="474" w:type="pct"/>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5</w:t>
            </w:r>
          </w:p>
        </w:tc>
      </w:tr>
      <w:tr>
        <w:tblPrEx>
          <w:shd w:val="clear"/>
          <w:tblCellMar>
            <w:top w:w="0" w:type="dxa"/>
            <w:left w:w="0" w:type="dxa"/>
            <w:bottom w:w="0" w:type="dxa"/>
            <w:right w:w="0" w:type="dxa"/>
          </w:tblCellMar>
        </w:tblPrEx>
        <w:trPr>
          <w:trHeight w:val="880" w:hRule="atLeast"/>
        </w:trPr>
        <w:tc>
          <w:tcPr>
            <w:tcW w:w="373" w:type="pct"/>
            <w:vMerge w:val="continue"/>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color w:val="000000"/>
                <w:sz w:val="22"/>
                <w:szCs w:val="22"/>
                <w:u w:val="none"/>
              </w:rPr>
            </w:pPr>
          </w:p>
        </w:tc>
        <w:tc>
          <w:tcPr>
            <w:tcW w:w="373" w:type="pct"/>
            <w:vMerge w:val="continue"/>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color w:val="000000"/>
                <w:sz w:val="22"/>
                <w:szCs w:val="22"/>
                <w:u w:val="none"/>
              </w:rPr>
            </w:pPr>
          </w:p>
        </w:tc>
        <w:tc>
          <w:tcPr>
            <w:tcW w:w="373" w:type="pct"/>
            <w:vMerge w:val="restart"/>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时效指标</w:t>
            </w:r>
          </w:p>
        </w:tc>
        <w:tc>
          <w:tcPr>
            <w:tcW w:w="1000" w:type="pct"/>
            <w:gridSpan w:val="2"/>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工资发放及时率</w:t>
            </w:r>
          </w:p>
        </w:tc>
        <w:tc>
          <w:tcPr>
            <w:tcW w:w="1050" w:type="pct"/>
            <w:gridSpan w:val="2"/>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=100.00%</w:t>
            </w:r>
          </w:p>
        </w:tc>
        <w:tc>
          <w:tcPr>
            <w:tcW w:w="728" w:type="pct"/>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=100%</w:t>
            </w:r>
          </w:p>
        </w:tc>
        <w:tc>
          <w:tcPr>
            <w:tcW w:w="626" w:type="pct"/>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5</w:t>
            </w:r>
          </w:p>
        </w:tc>
        <w:tc>
          <w:tcPr>
            <w:tcW w:w="474" w:type="pct"/>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5</w:t>
            </w:r>
          </w:p>
        </w:tc>
      </w:tr>
      <w:tr>
        <w:tblPrEx>
          <w:shd w:val="clear"/>
          <w:tblCellMar>
            <w:top w:w="0" w:type="dxa"/>
            <w:left w:w="0" w:type="dxa"/>
            <w:bottom w:w="0" w:type="dxa"/>
            <w:right w:w="0" w:type="dxa"/>
          </w:tblCellMar>
        </w:tblPrEx>
        <w:trPr>
          <w:trHeight w:val="880" w:hRule="atLeast"/>
        </w:trPr>
        <w:tc>
          <w:tcPr>
            <w:tcW w:w="373" w:type="pct"/>
            <w:vMerge w:val="continue"/>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color w:val="000000"/>
                <w:sz w:val="22"/>
                <w:szCs w:val="22"/>
                <w:u w:val="none"/>
              </w:rPr>
            </w:pPr>
          </w:p>
        </w:tc>
        <w:tc>
          <w:tcPr>
            <w:tcW w:w="373" w:type="pct"/>
            <w:vMerge w:val="continue"/>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color w:val="000000"/>
                <w:sz w:val="22"/>
                <w:szCs w:val="22"/>
                <w:u w:val="none"/>
              </w:rPr>
            </w:pPr>
          </w:p>
        </w:tc>
        <w:tc>
          <w:tcPr>
            <w:tcW w:w="373" w:type="pct"/>
            <w:vMerge w:val="continue"/>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color w:val="000000"/>
                <w:sz w:val="22"/>
                <w:szCs w:val="22"/>
                <w:u w:val="none"/>
              </w:rPr>
            </w:pPr>
          </w:p>
        </w:tc>
        <w:tc>
          <w:tcPr>
            <w:tcW w:w="1000" w:type="pct"/>
            <w:gridSpan w:val="2"/>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公用经费支付及时率</w:t>
            </w:r>
          </w:p>
        </w:tc>
        <w:tc>
          <w:tcPr>
            <w:tcW w:w="1050" w:type="pct"/>
            <w:gridSpan w:val="2"/>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=100.00%</w:t>
            </w:r>
          </w:p>
        </w:tc>
        <w:tc>
          <w:tcPr>
            <w:tcW w:w="728" w:type="pct"/>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=100%</w:t>
            </w:r>
          </w:p>
        </w:tc>
        <w:tc>
          <w:tcPr>
            <w:tcW w:w="626" w:type="pct"/>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5</w:t>
            </w:r>
          </w:p>
        </w:tc>
        <w:tc>
          <w:tcPr>
            <w:tcW w:w="474" w:type="pct"/>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5</w:t>
            </w:r>
          </w:p>
        </w:tc>
      </w:tr>
      <w:tr>
        <w:tblPrEx>
          <w:shd w:val="clear"/>
          <w:tblCellMar>
            <w:top w:w="0" w:type="dxa"/>
            <w:left w:w="0" w:type="dxa"/>
            <w:bottom w:w="0" w:type="dxa"/>
            <w:right w:w="0" w:type="dxa"/>
          </w:tblCellMar>
        </w:tblPrEx>
        <w:trPr>
          <w:trHeight w:val="880" w:hRule="atLeast"/>
        </w:trPr>
        <w:tc>
          <w:tcPr>
            <w:tcW w:w="373" w:type="pct"/>
            <w:vMerge w:val="continue"/>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color w:val="000000"/>
                <w:sz w:val="22"/>
                <w:szCs w:val="22"/>
                <w:u w:val="none"/>
              </w:rPr>
            </w:pPr>
          </w:p>
        </w:tc>
        <w:tc>
          <w:tcPr>
            <w:tcW w:w="373" w:type="pct"/>
            <w:vMerge w:val="continue"/>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color w:val="000000"/>
                <w:sz w:val="22"/>
                <w:szCs w:val="22"/>
                <w:u w:val="none"/>
              </w:rPr>
            </w:pPr>
          </w:p>
        </w:tc>
        <w:tc>
          <w:tcPr>
            <w:tcW w:w="373" w:type="pct"/>
            <w:vMerge w:val="restart"/>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成本指标</w:t>
            </w:r>
          </w:p>
        </w:tc>
        <w:tc>
          <w:tcPr>
            <w:tcW w:w="1000" w:type="pct"/>
            <w:gridSpan w:val="2"/>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人员经费</w:t>
            </w:r>
          </w:p>
        </w:tc>
        <w:tc>
          <w:tcPr>
            <w:tcW w:w="1050" w:type="pct"/>
            <w:gridSpan w:val="2"/>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&lt;=3297.34万元</w:t>
            </w:r>
          </w:p>
        </w:tc>
        <w:tc>
          <w:tcPr>
            <w:tcW w:w="728" w:type="pct"/>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&lt;=3297.34万元</w:t>
            </w:r>
          </w:p>
        </w:tc>
        <w:tc>
          <w:tcPr>
            <w:tcW w:w="626" w:type="pct"/>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5</w:t>
            </w:r>
          </w:p>
        </w:tc>
        <w:tc>
          <w:tcPr>
            <w:tcW w:w="474" w:type="pct"/>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5</w:t>
            </w:r>
          </w:p>
        </w:tc>
      </w:tr>
      <w:tr>
        <w:tblPrEx>
          <w:shd w:val="clear"/>
          <w:tblCellMar>
            <w:top w:w="0" w:type="dxa"/>
            <w:left w:w="0" w:type="dxa"/>
            <w:bottom w:w="0" w:type="dxa"/>
            <w:right w:w="0" w:type="dxa"/>
          </w:tblCellMar>
        </w:tblPrEx>
        <w:trPr>
          <w:trHeight w:val="880" w:hRule="atLeast"/>
        </w:trPr>
        <w:tc>
          <w:tcPr>
            <w:tcW w:w="373" w:type="pct"/>
            <w:vMerge w:val="continue"/>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color w:val="000000"/>
                <w:sz w:val="22"/>
                <w:szCs w:val="22"/>
                <w:u w:val="none"/>
              </w:rPr>
            </w:pPr>
          </w:p>
        </w:tc>
        <w:tc>
          <w:tcPr>
            <w:tcW w:w="373" w:type="pct"/>
            <w:vMerge w:val="continue"/>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color w:val="000000"/>
                <w:sz w:val="22"/>
                <w:szCs w:val="22"/>
                <w:u w:val="none"/>
              </w:rPr>
            </w:pPr>
          </w:p>
        </w:tc>
        <w:tc>
          <w:tcPr>
            <w:tcW w:w="373" w:type="pct"/>
            <w:vMerge w:val="continue"/>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color w:val="000000"/>
                <w:sz w:val="22"/>
                <w:szCs w:val="22"/>
                <w:u w:val="none"/>
              </w:rPr>
            </w:pPr>
          </w:p>
        </w:tc>
        <w:tc>
          <w:tcPr>
            <w:tcW w:w="1000" w:type="pct"/>
            <w:gridSpan w:val="2"/>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日常公用经费</w:t>
            </w:r>
          </w:p>
        </w:tc>
        <w:tc>
          <w:tcPr>
            <w:tcW w:w="1050" w:type="pct"/>
            <w:gridSpan w:val="2"/>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&lt;=132.13万元</w:t>
            </w:r>
          </w:p>
        </w:tc>
        <w:tc>
          <w:tcPr>
            <w:tcW w:w="728" w:type="pct"/>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&lt;=61.57万元</w:t>
            </w:r>
          </w:p>
        </w:tc>
        <w:tc>
          <w:tcPr>
            <w:tcW w:w="626" w:type="pct"/>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5</w:t>
            </w:r>
          </w:p>
        </w:tc>
        <w:tc>
          <w:tcPr>
            <w:tcW w:w="474" w:type="pct"/>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2.33</w:t>
            </w:r>
          </w:p>
        </w:tc>
      </w:tr>
      <w:tr>
        <w:tblPrEx>
          <w:shd w:val="clear"/>
          <w:tblCellMar>
            <w:top w:w="0" w:type="dxa"/>
            <w:left w:w="0" w:type="dxa"/>
            <w:bottom w:w="0" w:type="dxa"/>
            <w:right w:w="0" w:type="dxa"/>
          </w:tblCellMar>
        </w:tblPrEx>
        <w:trPr>
          <w:trHeight w:val="880" w:hRule="atLeast"/>
        </w:trPr>
        <w:tc>
          <w:tcPr>
            <w:tcW w:w="373" w:type="pct"/>
            <w:vMerge w:val="continue"/>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color w:val="000000"/>
                <w:sz w:val="22"/>
                <w:szCs w:val="22"/>
                <w:u w:val="none"/>
              </w:rPr>
            </w:pPr>
          </w:p>
        </w:tc>
        <w:tc>
          <w:tcPr>
            <w:tcW w:w="373" w:type="pct"/>
            <w:vMerge w:val="continue"/>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color w:val="000000"/>
                <w:sz w:val="22"/>
                <w:szCs w:val="22"/>
                <w:u w:val="none"/>
              </w:rPr>
            </w:pPr>
          </w:p>
        </w:tc>
        <w:tc>
          <w:tcPr>
            <w:tcW w:w="373" w:type="pct"/>
            <w:vMerge w:val="continue"/>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color w:val="000000"/>
                <w:sz w:val="22"/>
                <w:szCs w:val="22"/>
                <w:u w:val="none"/>
              </w:rPr>
            </w:pPr>
          </w:p>
        </w:tc>
        <w:tc>
          <w:tcPr>
            <w:tcW w:w="1000" w:type="pct"/>
            <w:gridSpan w:val="2"/>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人均运转经费额</w:t>
            </w:r>
          </w:p>
        </w:tc>
        <w:tc>
          <w:tcPr>
            <w:tcW w:w="1050" w:type="pct"/>
            <w:gridSpan w:val="2"/>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&lt;=0.17元</w:t>
            </w:r>
          </w:p>
        </w:tc>
        <w:tc>
          <w:tcPr>
            <w:tcW w:w="728" w:type="pct"/>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&lt;=0.17元</w:t>
            </w:r>
          </w:p>
        </w:tc>
        <w:tc>
          <w:tcPr>
            <w:tcW w:w="626" w:type="pct"/>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5</w:t>
            </w:r>
          </w:p>
        </w:tc>
        <w:tc>
          <w:tcPr>
            <w:tcW w:w="474" w:type="pct"/>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5</w:t>
            </w:r>
          </w:p>
        </w:tc>
      </w:tr>
      <w:tr>
        <w:tblPrEx>
          <w:shd w:val="clear"/>
          <w:tblCellMar>
            <w:top w:w="0" w:type="dxa"/>
            <w:left w:w="0" w:type="dxa"/>
            <w:bottom w:w="0" w:type="dxa"/>
            <w:right w:w="0" w:type="dxa"/>
          </w:tblCellMar>
        </w:tblPrEx>
        <w:trPr>
          <w:trHeight w:val="880" w:hRule="atLeast"/>
        </w:trPr>
        <w:tc>
          <w:tcPr>
            <w:tcW w:w="373" w:type="pct"/>
            <w:vMerge w:val="continue"/>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color w:val="000000"/>
                <w:sz w:val="22"/>
                <w:szCs w:val="22"/>
                <w:u w:val="none"/>
              </w:rPr>
            </w:pPr>
          </w:p>
        </w:tc>
        <w:tc>
          <w:tcPr>
            <w:tcW w:w="373" w:type="pct"/>
            <w:vMerge w:val="continue"/>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color w:val="000000"/>
                <w:sz w:val="22"/>
                <w:szCs w:val="22"/>
                <w:u w:val="none"/>
              </w:rPr>
            </w:pPr>
          </w:p>
        </w:tc>
        <w:tc>
          <w:tcPr>
            <w:tcW w:w="373" w:type="pct"/>
            <w:vMerge w:val="continue"/>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color w:val="000000"/>
                <w:sz w:val="22"/>
                <w:szCs w:val="22"/>
                <w:u w:val="none"/>
              </w:rPr>
            </w:pPr>
          </w:p>
        </w:tc>
        <w:tc>
          <w:tcPr>
            <w:tcW w:w="1000" w:type="pct"/>
            <w:gridSpan w:val="2"/>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保运行项目经费</w:t>
            </w:r>
          </w:p>
        </w:tc>
        <w:tc>
          <w:tcPr>
            <w:tcW w:w="1050" w:type="pct"/>
            <w:gridSpan w:val="2"/>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=280.00万元</w:t>
            </w:r>
          </w:p>
        </w:tc>
        <w:tc>
          <w:tcPr>
            <w:tcW w:w="728" w:type="pct"/>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=280万元</w:t>
            </w:r>
          </w:p>
        </w:tc>
        <w:tc>
          <w:tcPr>
            <w:tcW w:w="626" w:type="pct"/>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5</w:t>
            </w:r>
          </w:p>
        </w:tc>
        <w:tc>
          <w:tcPr>
            <w:tcW w:w="474" w:type="pct"/>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5</w:t>
            </w:r>
          </w:p>
        </w:tc>
      </w:tr>
      <w:tr>
        <w:tblPrEx>
          <w:shd w:val="clear"/>
          <w:tblCellMar>
            <w:top w:w="0" w:type="dxa"/>
            <w:left w:w="0" w:type="dxa"/>
            <w:bottom w:w="0" w:type="dxa"/>
            <w:right w:w="0" w:type="dxa"/>
          </w:tblCellMar>
        </w:tblPrEx>
        <w:trPr>
          <w:trHeight w:val="880" w:hRule="atLeast"/>
        </w:trPr>
        <w:tc>
          <w:tcPr>
            <w:tcW w:w="373" w:type="pct"/>
            <w:vMerge w:val="continue"/>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color w:val="000000"/>
                <w:sz w:val="22"/>
                <w:szCs w:val="22"/>
                <w:u w:val="none"/>
              </w:rPr>
            </w:pPr>
          </w:p>
        </w:tc>
        <w:tc>
          <w:tcPr>
            <w:tcW w:w="373" w:type="pct"/>
            <w:vMerge w:val="restart"/>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项目效益</w:t>
            </w:r>
          </w:p>
        </w:tc>
        <w:tc>
          <w:tcPr>
            <w:tcW w:w="373" w:type="pct"/>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经济效益指标</w:t>
            </w:r>
          </w:p>
        </w:tc>
        <w:tc>
          <w:tcPr>
            <w:tcW w:w="1000" w:type="pct"/>
            <w:gridSpan w:val="2"/>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w:t>
            </w:r>
          </w:p>
        </w:tc>
        <w:tc>
          <w:tcPr>
            <w:tcW w:w="1050" w:type="pct"/>
            <w:gridSpan w:val="2"/>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w:t>
            </w:r>
          </w:p>
        </w:tc>
        <w:tc>
          <w:tcPr>
            <w:tcW w:w="728" w:type="pct"/>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w:t>
            </w:r>
          </w:p>
        </w:tc>
        <w:tc>
          <w:tcPr>
            <w:tcW w:w="626" w:type="pct"/>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w:t>
            </w:r>
          </w:p>
        </w:tc>
        <w:tc>
          <w:tcPr>
            <w:tcW w:w="474" w:type="pct"/>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w:t>
            </w:r>
          </w:p>
        </w:tc>
      </w:tr>
      <w:tr>
        <w:tblPrEx>
          <w:shd w:val="clear"/>
          <w:tblCellMar>
            <w:top w:w="0" w:type="dxa"/>
            <w:left w:w="0" w:type="dxa"/>
            <w:bottom w:w="0" w:type="dxa"/>
            <w:right w:w="0" w:type="dxa"/>
          </w:tblCellMar>
        </w:tblPrEx>
        <w:trPr>
          <w:trHeight w:val="880" w:hRule="atLeast"/>
        </w:trPr>
        <w:tc>
          <w:tcPr>
            <w:tcW w:w="373" w:type="pct"/>
            <w:vMerge w:val="continue"/>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color w:val="000000"/>
                <w:sz w:val="22"/>
                <w:szCs w:val="22"/>
                <w:u w:val="none"/>
              </w:rPr>
            </w:pPr>
          </w:p>
        </w:tc>
        <w:tc>
          <w:tcPr>
            <w:tcW w:w="373" w:type="pct"/>
            <w:vMerge w:val="continue"/>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color w:val="000000"/>
                <w:sz w:val="22"/>
                <w:szCs w:val="22"/>
                <w:u w:val="none"/>
              </w:rPr>
            </w:pPr>
          </w:p>
        </w:tc>
        <w:tc>
          <w:tcPr>
            <w:tcW w:w="373" w:type="pct"/>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社会效益指标</w:t>
            </w:r>
          </w:p>
        </w:tc>
        <w:tc>
          <w:tcPr>
            <w:tcW w:w="1000" w:type="pct"/>
            <w:gridSpan w:val="2"/>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改善生活环境质量，提高群众幸福感</w:t>
            </w:r>
          </w:p>
        </w:tc>
        <w:tc>
          <w:tcPr>
            <w:tcW w:w="1050" w:type="pct"/>
            <w:gridSpan w:val="2"/>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有力保障</w:t>
            </w:r>
          </w:p>
        </w:tc>
        <w:tc>
          <w:tcPr>
            <w:tcW w:w="728" w:type="pct"/>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100</w:t>
            </w:r>
          </w:p>
        </w:tc>
        <w:tc>
          <w:tcPr>
            <w:tcW w:w="626" w:type="pct"/>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15</w:t>
            </w:r>
          </w:p>
        </w:tc>
        <w:tc>
          <w:tcPr>
            <w:tcW w:w="474" w:type="pct"/>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15</w:t>
            </w:r>
          </w:p>
        </w:tc>
      </w:tr>
      <w:tr>
        <w:tblPrEx>
          <w:shd w:val="clear"/>
          <w:tblCellMar>
            <w:top w:w="0" w:type="dxa"/>
            <w:left w:w="0" w:type="dxa"/>
            <w:bottom w:w="0" w:type="dxa"/>
            <w:right w:w="0" w:type="dxa"/>
          </w:tblCellMar>
        </w:tblPrEx>
        <w:trPr>
          <w:trHeight w:val="880" w:hRule="atLeast"/>
        </w:trPr>
        <w:tc>
          <w:tcPr>
            <w:tcW w:w="373" w:type="pct"/>
            <w:vMerge w:val="continue"/>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color w:val="000000"/>
                <w:sz w:val="22"/>
                <w:szCs w:val="22"/>
                <w:u w:val="none"/>
              </w:rPr>
            </w:pPr>
          </w:p>
        </w:tc>
        <w:tc>
          <w:tcPr>
            <w:tcW w:w="373" w:type="pct"/>
            <w:vMerge w:val="continue"/>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color w:val="000000"/>
                <w:sz w:val="22"/>
                <w:szCs w:val="22"/>
                <w:u w:val="none"/>
              </w:rPr>
            </w:pPr>
          </w:p>
        </w:tc>
        <w:tc>
          <w:tcPr>
            <w:tcW w:w="373" w:type="pct"/>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生态效益指标</w:t>
            </w:r>
          </w:p>
        </w:tc>
        <w:tc>
          <w:tcPr>
            <w:tcW w:w="1000" w:type="pct"/>
            <w:gridSpan w:val="2"/>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道路游园种植乔灌木保护环境</w:t>
            </w:r>
          </w:p>
        </w:tc>
        <w:tc>
          <w:tcPr>
            <w:tcW w:w="1050" w:type="pct"/>
            <w:gridSpan w:val="2"/>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有效保障</w:t>
            </w:r>
          </w:p>
        </w:tc>
        <w:tc>
          <w:tcPr>
            <w:tcW w:w="728" w:type="pct"/>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100</w:t>
            </w:r>
          </w:p>
        </w:tc>
        <w:tc>
          <w:tcPr>
            <w:tcW w:w="626" w:type="pct"/>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15</w:t>
            </w:r>
          </w:p>
        </w:tc>
        <w:tc>
          <w:tcPr>
            <w:tcW w:w="474" w:type="pct"/>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15</w:t>
            </w:r>
          </w:p>
        </w:tc>
      </w:tr>
      <w:tr>
        <w:tblPrEx>
          <w:shd w:val="clear"/>
          <w:tblCellMar>
            <w:top w:w="0" w:type="dxa"/>
            <w:left w:w="0" w:type="dxa"/>
            <w:bottom w:w="0" w:type="dxa"/>
            <w:right w:w="0" w:type="dxa"/>
          </w:tblCellMar>
        </w:tblPrEx>
        <w:trPr>
          <w:trHeight w:val="880" w:hRule="atLeast"/>
        </w:trPr>
        <w:tc>
          <w:tcPr>
            <w:tcW w:w="373" w:type="pct"/>
            <w:vMerge w:val="continue"/>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color w:val="000000"/>
                <w:sz w:val="22"/>
                <w:szCs w:val="22"/>
                <w:u w:val="none"/>
              </w:rPr>
            </w:pPr>
          </w:p>
        </w:tc>
        <w:tc>
          <w:tcPr>
            <w:tcW w:w="373" w:type="pct"/>
            <w:vMerge w:val="continue"/>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color w:val="000000"/>
                <w:sz w:val="22"/>
                <w:szCs w:val="22"/>
                <w:u w:val="none"/>
              </w:rPr>
            </w:pPr>
          </w:p>
        </w:tc>
        <w:tc>
          <w:tcPr>
            <w:tcW w:w="373" w:type="pct"/>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可持续影响指标</w:t>
            </w:r>
          </w:p>
        </w:tc>
        <w:tc>
          <w:tcPr>
            <w:tcW w:w="1000" w:type="pct"/>
            <w:gridSpan w:val="2"/>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w:t>
            </w:r>
          </w:p>
        </w:tc>
        <w:tc>
          <w:tcPr>
            <w:tcW w:w="1050" w:type="pct"/>
            <w:gridSpan w:val="2"/>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w:t>
            </w:r>
          </w:p>
        </w:tc>
        <w:tc>
          <w:tcPr>
            <w:tcW w:w="728" w:type="pct"/>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w:t>
            </w:r>
          </w:p>
        </w:tc>
        <w:tc>
          <w:tcPr>
            <w:tcW w:w="626" w:type="pct"/>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w:t>
            </w:r>
          </w:p>
        </w:tc>
        <w:tc>
          <w:tcPr>
            <w:tcW w:w="474" w:type="pct"/>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w:t>
            </w:r>
          </w:p>
        </w:tc>
      </w:tr>
      <w:tr>
        <w:tblPrEx>
          <w:shd w:val="clear"/>
          <w:tblCellMar>
            <w:top w:w="0" w:type="dxa"/>
            <w:left w:w="0" w:type="dxa"/>
            <w:bottom w:w="0" w:type="dxa"/>
            <w:right w:w="0" w:type="dxa"/>
          </w:tblCellMar>
        </w:tblPrEx>
        <w:trPr>
          <w:trHeight w:val="880" w:hRule="atLeast"/>
        </w:trPr>
        <w:tc>
          <w:tcPr>
            <w:tcW w:w="373" w:type="pct"/>
            <w:vMerge w:val="continue"/>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color w:val="000000"/>
                <w:sz w:val="22"/>
                <w:szCs w:val="22"/>
                <w:u w:val="none"/>
              </w:rPr>
            </w:pPr>
          </w:p>
        </w:tc>
        <w:tc>
          <w:tcPr>
            <w:tcW w:w="373" w:type="pct"/>
            <w:vMerge w:val="restart"/>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满意度指标</w:t>
            </w:r>
          </w:p>
        </w:tc>
        <w:tc>
          <w:tcPr>
            <w:tcW w:w="373" w:type="pct"/>
            <w:vMerge w:val="restart"/>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满意度指标</w:t>
            </w:r>
          </w:p>
        </w:tc>
        <w:tc>
          <w:tcPr>
            <w:tcW w:w="1000" w:type="pct"/>
            <w:gridSpan w:val="2"/>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群众满意度</w:t>
            </w:r>
          </w:p>
        </w:tc>
        <w:tc>
          <w:tcPr>
            <w:tcW w:w="1050" w:type="pct"/>
            <w:gridSpan w:val="2"/>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&gt;=98.00%</w:t>
            </w:r>
          </w:p>
        </w:tc>
        <w:tc>
          <w:tcPr>
            <w:tcW w:w="728" w:type="pct"/>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&gt;=98%</w:t>
            </w:r>
          </w:p>
        </w:tc>
        <w:tc>
          <w:tcPr>
            <w:tcW w:w="626" w:type="pct"/>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5</w:t>
            </w:r>
          </w:p>
        </w:tc>
        <w:tc>
          <w:tcPr>
            <w:tcW w:w="474" w:type="pct"/>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5</w:t>
            </w:r>
          </w:p>
        </w:tc>
      </w:tr>
      <w:tr>
        <w:tblPrEx>
          <w:shd w:val="clear"/>
          <w:tblCellMar>
            <w:top w:w="0" w:type="dxa"/>
            <w:left w:w="0" w:type="dxa"/>
            <w:bottom w:w="0" w:type="dxa"/>
            <w:right w:w="0" w:type="dxa"/>
          </w:tblCellMar>
        </w:tblPrEx>
        <w:trPr>
          <w:trHeight w:val="880" w:hRule="atLeast"/>
        </w:trPr>
        <w:tc>
          <w:tcPr>
            <w:tcW w:w="373" w:type="pct"/>
            <w:vMerge w:val="continue"/>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color w:val="000000"/>
                <w:sz w:val="22"/>
                <w:szCs w:val="22"/>
                <w:u w:val="none"/>
              </w:rPr>
            </w:pPr>
          </w:p>
        </w:tc>
        <w:tc>
          <w:tcPr>
            <w:tcW w:w="373" w:type="pct"/>
            <w:vMerge w:val="continue"/>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color w:val="000000"/>
                <w:sz w:val="22"/>
                <w:szCs w:val="22"/>
                <w:u w:val="none"/>
              </w:rPr>
            </w:pPr>
          </w:p>
        </w:tc>
        <w:tc>
          <w:tcPr>
            <w:tcW w:w="373" w:type="pct"/>
            <w:vMerge w:val="continue"/>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color w:val="000000"/>
                <w:sz w:val="22"/>
                <w:szCs w:val="22"/>
                <w:u w:val="none"/>
              </w:rPr>
            </w:pPr>
          </w:p>
        </w:tc>
        <w:tc>
          <w:tcPr>
            <w:tcW w:w="1000" w:type="pct"/>
            <w:gridSpan w:val="2"/>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单位员工满意度</w:t>
            </w:r>
          </w:p>
        </w:tc>
        <w:tc>
          <w:tcPr>
            <w:tcW w:w="1050" w:type="pct"/>
            <w:gridSpan w:val="2"/>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&gt;=98.00%</w:t>
            </w:r>
          </w:p>
        </w:tc>
        <w:tc>
          <w:tcPr>
            <w:tcW w:w="728" w:type="pct"/>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&gt;=98%</w:t>
            </w:r>
          </w:p>
        </w:tc>
        <w:tc>
          <w:tcPr>
            <w:tcW w:w="626" w:type="pct"/>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5</w:t>
            </w:r>
          </w:p>
        </w:tc>
        <w:tc>
          <w:tcPr>
            <w:tcW w:w="474" w:type="pct"/>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5</w:t>
            </w:r>
          </w:p>
        </w:tc>
      </w:tr>
    </w:tbl>
    <w:p>
      <w:pPr>
        <w:pStyle w:val="2"/>
      </w:pPr>
    </w:p>
    <w:sectPr>
      <w:headerReference r:id="rId5" w:type="first"/>
      <w:footerReference r:id="rId8" w:type="first"/>
      <w:headerReference r:id="rId3" w:type="default"/>
      <w:footerReference r:id="rId6" w:type="default"/>
      <w:headerReference r:id="rId4" w:type="even"/>
      <w:footerReference r:id="rId7" w:type="even"/>
      <w:pgSz w:w="11906" w:h="16838"/>
      <w:pgMar w:top="1440" w:right="1800" w:bottom="1440" w:left="1800" w:header="851" w:footer="992" w:gutter="0"/>
      <w:cols w:space="425" w:num="1"/>
      <w:titlePg/>
      <w:docGrid w:type="lines" w:linePitch="381"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仿宋_GB2312">
    <w:altName w:val="仿宋"/>
    <w:panose1 w:val="020B0604020202020204"/>
    <w:charset w:val="86"/>
    <w:family w:val="modern"/>
    <w:pitch w:val="default"/>
    <w:sig w:usb0="00000000" w:usb1="00000000" w:usb2="00000000" w:usb3="00000000" w:csb0="00040000" w:csb1="00000000"/>
  </w:font>
  <w:font w:name="MS Sans Serif">
    <w:altName w:val="Arial"/>
    <w:panose1 w:val="00000000000000000000"/>
    <w:charset w:val="00"/>
    <w:family w:val="swiss"/>
    <w:pitch w:val="default"/>
    <w:sig w:usb0="00000000" w:usb1="00000000" w:usb2="00000000" w:usb3="00000000" w:csb0="00000001"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20B0604020202020204"/>
    <w:charset w:val="86"/>
    <w:family w:val="script"/>
    <w:pitch w:val="default"/>
    <w:sig w:usb0="00000000" w:usb1="00000000" w:usb2="00000010" w:usb3="00000000" w:csb0="00040000" w:csb1="00000000"/>
  </w:font>
  <w:font w:name="Malgun Gothic Semilight">
    <w:panose1 w:val="020B0502040204020203"/>
    <w:charset w:val="80"/>
    <w:family w:val="swiss"/>
    <w:pitch w:val="default"/>
    <w:sig w:usb0="900002AF" w:usb1="01D77CFB" w:usb2="00000012" w:usb3="00000000" w:csb0="203E01BD" w:csb1="D7FF0000"/>
  </w:font>
  <w:font w:name="楷体_GB2312">
    <w:altName w:val="楷体"/>
    <w:panose1 w:val="020B0604020202020204"/>
    <w:charset w:val="86"/>
    <w:family w:val="modern"/>
    <w:pitch w:val="default"/>
    <w:sig w:usb0="00000000" w:usb1="00000000" w:usb2="00000000" w:usb3="00000000" w:csb0="00040000" w:csb1="00000000"/>
  </w:font>
  <w:font w:name="仿宋GB2312">
    <w:altName w:val="仿宋"/>
    <w:panose1 w:val="00000000000000000000"/>
    <w:charset w:val="00"/>
    <w:family w:val="auto"/>
    <w:pitch w:val="default"/>
    <w:sig w:usb0="00000000" w:usb1="00000000" w:usb2="00000000" w:usb3="00000000" w:csb0="00000000" w:csb1="00000000"/>
  </w:font>
  <w:font w:name="Cambria">
    <w:panose1 w:val="02040503050406030204"/>
    <w:charset w:val="00"/>
    <w:family w:val="roman"/>
    <w:pitch w:val="default"/>
    <w:sig w:usb0="E00006FF" w:usb1="420024FF" w:usb2="02000000" w:usb3="00000000" w:csb0="2000019F" w:csb1="00000000"/>
  </w:font>
  <w:font w:name="方正小标宋简体">
    <w:altName w:val="方正舒体"/>
    <w:panose1 w:val="00000000000000000000"/>
    <w:charset w:val="00"/>
    <w:family w:val="auto"/>
    <w:pitch w:val="default"/>
    <w:sig w:usb0="00000000" w:usb1="00000000" w:usb2="00000000" w:usb3="00000000" w:csb0="00000000" w:csb1="00000000"/>
  </w:font>
  <w:font w:name="微软雅黑">
    <w:panose1 w:val="020B0503020204020204"/>
    <w:charset w:val="86"/>
    <w:family w:val="auto"/>
    <w:pitch w:val="default"/>
    <w:sig w:usb0="80000287" w:usb1="2ACF3C50" w:usb2="00000016" w:usb3="00000000" w:csb0="0004001F" w:csb1="00000000"/>
  </w:font>
  <w:font w:name="Arial">
    <w:panose1 w:val="020B0604020202020204"/>
    <w:charset w:val="00"/>
    <w:family w:val="swiss"/>
    <w:pitch w:val="default"/>
    <w:sig w:usb0="E0002EFF" w:usb1="C000785B" w:usb2="00000009" w:usb3="00000000" w:csb0="400001FF" w:csb1="FFFF0000"/>
  </w:font>
  <w:font w:name="方正舒体">
    <w:panose1 w:val="02010601030101010101"/>
    <w:charset w:val="86"/>
    <w:family w:val="auto"/>
    <w:pitch w:val="default"/>
    <w:sig w:usb0="00000003"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5194959"/>
      <w:docPartObj>
        <w:docPartGallery w:val="autotext"/>
      </w:docPartObj>
    </w:sdtPr>
    <w:sdtContent>
      <w:p>
        <w:pPr>
          <w:pStyle w:val="8"/>
          <w:ind w:firstLine="360"/>
          <w:jc w:val="right"/>
        </w:pPr>
        <w:r>
          <w:rPr>
            <w:lang w:val="zh-CN"/>
          </w:rPr>
          <w:fldChar w:fldCharType="begin"/>
        </w:r>
        <w:r>
          <w:rPr>
            <w:lang w:val="zh-CN"/>
          </w:rPr>
          <w:instrText xml:space="preserve"> PAGE   \* MERGEFORMAT </w:instrText>
        </w:r>
        <w:r>
          <w:rPr>
            <w:lang w:val="zh-CN"/>
          </w:rPr>
          <w:fldChar w:fldCharType="separate"/>
        </w:r>
        <w:r>
          <w:rPr>
            <w:lang w:val="zh-CN"/>
          </w:rPr>
          <w:t>6</w:t>
        </w:r>
        <w:r>
          <w:rPr>
            <w:lang w:val="zh-CN"/>
          </w:rPr>
          <w:fldChar w:fldCharType="end"/>
        </w:r>
      </w:p>
    </w:sdtContent>
  </w:sdt>
  <w:p>
    <w:pPr>
      <w:pStyle w:val="8"/>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ind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ind w:left="560" w:firstLine="0" w:firstLineChars="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ind w:left="560" w:firstLine="0" w:firstLineChars="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6D29B09"/>
    <w:multiLevelType w:val="singleLevel"/>
    <w:tmpl w:val="96D29B09"/>
    <w:lvl w:ilvl="0" w:tentative="0">
      <w:start w:val="1"/>
      <w:numFmt w:val="chineseCounting"/>
      <w:suff w:val="nothing"/>
      <w:lvlText w:val="（%1）"/>
      <w:lvlJc w:val="left"/>
      <w:pPr>
        <w:ind w:left="0" w:firstLine="420"/>
      </w:pPr>
      <w:rPr>
        <w:rFonts w:hint="eastAsia"/>
      </w:rPr>
    </w:lvl>
  </w:abstractNum>
  <w:abstractNum w:abstractNumId="1">
    <w:nsid w:val="C30CD17E"/>
    <w:multiLevelType w:val="singleLevel"/>
    <w:tmpl w:val="C30CD17E"/>
    <w:lvl w:ilvl="0" w:tentative="0">
      <w:start w:val="5"/>
      <w:numFmt w:val="chineseCounting"/>
      <w:suff w:val="nothing"/>
      <w:lvlText w:val="%1、"/>
      <w:lvlJc w:val="left"/>
      <w:rPr>
        <w:rFonts w:hint="eastAsia"/>
      </w:rPr>
    </w:lvl>
  </w:abstractNum>
  <w:abstractNum w:abstractNumId="2">
    <w:nsid w:val="F68CBA3B"/>
    <w:multiLevelType w:val="singleLevel"/>
    <w:tmpl w:val="F68CBA3B"/>
    <w:lvl w:ilvl="0" w:tentative="0">
      <w:start w:val="2"/>
      <w:numFmt w:val="decimal"/>
      <w:suff w:val="nothing"/>
      <w:lvlText w:val="（%1）"/>
      <w:lvlJc w:val="left"/>
    </w:lvl>
  </w:abstractNum>
  <w:abstractNum w:abstractNumId="3">
    <w:nsid w:val="F6B52E37"/>
    <w:multiLevelType w:val="singleLevel"/>
    <w:tmpl w:val="F6B52E37"/>
    <w:lvl w:ilvl="0" w:tentative="0">
      <w:start w:val="2"/>
      <w:numFmt w:val="chineseCounting"/>
      <w:suff w:val="nothing"/>
      <w:lvlText w:val="（%1）"/>
      <w:lvlJc w:val="left"/>
      <w:rPr>
        <w:rFonts w:hint="eastAsia"/>
      </w:rPr>
    </w:lvl>
  </w:abstractNum>
  <w:abstractNum w:abstractNumId="4">
    <w:nsid w:val="FB7AFB3F"/>
    <w:multiLevelType w:val="singleLevel"/>
    <w:tmpl w:val="FB7AFB3F"/>
    <w:lvl w:ilvl="0" w:tentative="0">
      <w:start w:val="2"/>
      <w:numFmt w:val="decimal"/>
      <w:suff w:val="nothing"/>
      <w:lvlText w:val="%1."/>
      <w:lvlJc w:val="left"/>
    </w:lvl>
  </w:abstractNum>
  <w:abstractNum w:abstractNumId="5">
    <w:nsid w:val="225C8922"/>
    <w:multiLevelType w:val="singleLevel"/>
    <w:tmpl w:val="225C8922"/>
    <w:lvl w:ilvl="0" w:tentative="0">
      <w:start w:val="1"/>
      <w:numFmt w:val="decimal"/>
      <w:suff w:val="space"/>
      <w:lvlText w:val="%1."/>
      <w:lvlJc w:val="left"/>
    </w:lvl>
  </w:abstractNum>
  <w:abstractNum w:abstractNumId="6">
    <w:nsid w:val="282FBCCD"/>
    <w:multiLevelType w:val="singleLevel"/>
    <w:tmpl w:val="282FBCCD"/>
    <w:lvl w:ilvl="0" w:tentative="0">
      <w:start w:val="3"/>
      <w:numFmt w:val="chineseCounting"/>
      <w:suff w:val="nothing"/>
      <w:lvlText w:val="（%1）"/>
      <w:lvlJc w:val="left"/>
      <w:rPr>
        <w:rFonts w:hint="eastAsia"/>
      </w:rPr>
    </w:lvl>
  </w:abstractNum>
  <w:abstractNum w:abstractNumId="7">
    <w:nsid w:val="2DF647DA"/>
    <w:multiLevelType w:val="singleLevel"/>
    <w:tmpl w:val="2DF647DA"/>
    <w:lvl w:ilvl="0" w:tentative="0">
      <w:start w:val="1"/>
      <w:numFmt w:val="chineseCounting"/>
      <w:suff w:val="nothing"/>
      <w:lvlText w:val="（%1）"/>
      <w:lvlJc w:val="left"/>
      <w:pPr>
        <w:ind w:left="0" w:firstLine="420"/>
      </w:pPr>
      <w:rPr>
        <w:rFonts w:hint="eastAsia"/>
      </w:rPr>
    </w:lvl>
  </w:abstractNum>
  <w:abstractNum w:abstractNumId="8">
    <w:nsid w:val="6D120F07"/>
    <w:multiLevelType w:val="singleLevel"/>
    <w:tmpl w:val="6D120F07"/>
    <w:lvl w:ilvl="0" w:tentative="0">
      <w:start w:val="8"/>
      <w:numFmt w:val="chineseCounting"/>
      <w:suff w:val="nothing"/>
      <w:lvlText w:val="%1、"/>
      <w:lvlJc w:val="left"/>
      <w:rPr>
        <w:rFonts w:hint="eastAsia"/>
      </w:rPr>
    </w:lvl>
  </w:abstractNum>
  <w:num w:numId="1">
    <w:abstractNumId w:val="4"/>
  </w:num>
  <w:num w:numId="2">
    <w:abstractNumId w:val="6"/>
  </w:num>
  <w:num w:numId="3">
    <w:abstractNumId w:val="5"/>
  </w:num>
  <w:num w:numId="4">
    <w:abstractNumId w:val="7"/>
  </w:num>
  <w:num w:numId="5">
    <w:abstractNumId w:val="3"/>
  </w:num>
  <w:num w:numId="6">
    <w:abstractNumId w:val="0"/>
  </w:num>
  <w:num w:numId="7">
    <w:abstractNumId w:val="1"/>
  </w:num>
  <w:num w:numId="8">
    <w:abstractNumId w:val="2"/>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HorizontalSpacing w:val="140"/>
  <w:drawingGridVerticalSpacing w:val="381"/>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5736CA"/>
    <w:rsid w:val="00012408"/>
    <w:rsid w:val="000127F0"/>
    <w:rsid w:val="00012F5F"/>
    <w:rsid w:val="00201A4A"/>
    <w:rsid w:val="002153DD"/>
    <w:rsid w:val="002640E4"/>
    <w:rsid w:val="00266868"/>
    <w:rsid w:val="003B184C"/>
    <w:rsid w:val="003F473D"/>
    <w:rsid w:val="00455E2F"/>
    <w:rsid w:val="00485980"/>
    <w:rsid w:val="004D4927"/>
    <w:rsid w:val="004E4CA7"/>
    <w:rsid w:val="005736CA"/>
    <w:rsid w:val="005A124E"/>
    <w:rsid w:val="005D3F17"/>
    <w:rsid w:val="005E5D6E"/>
    <w:rsid w:val="005F7A93"/>
    <w:rsid w:val="00601640"/>
    <w:rsid w:val="00617C63"/>
    <w:rsid w:val="00722410"/>
    <w:rsid w:val="0077571A"/>
    <w:rsid w:val="007A1B0F"/>
    <w:rsid w:val="007B6305"/>
    <w:rsid w:val="008A09A7"/>
    <w:rsid w:val="008A1C5E"/>
    <w:rsid w:val="008D5E7B"/>
    <w:rsid w:val="0090615A"/>
    <w:rsid w:val="00931A42"/>
    <w:rsid w:val="009443DA"/>
    <w:rsid w:val="00961F8B"/>
    <w:rsid w:val="009D6347"/>
    <w:rsid w:val="009E68A2"/>
    <w:rsid w:val="00A7110C"/>
    <w:rsid w:val="00A720BD"/>
    <w:rsid w:val="00A85EC6"/>
    <w:rsid w:val="00A87301"/>
    <w:rsid w:val="00A95478"/>
    <w:rsid w:val="00AE0359"/>
    <w:rsid w:val="00B00384"/>
    <w:rsid w:val="00B40102"/>
    <w:rsid w:val="00BC7E1D"/>
    <w:rsid w:val="00C11C70"/>
    <w:rsid w:val="00C5695F"/>
    <w:rsid w:val="00CA0283"/>
    <w:rsid w:val="00CD147B"/>
    <w:rsid w:val="00D2747D"/>
    <w:rsid w:val="00D34758"/>
    <w:rsid w:val="00D81057"/>
    <w:rsid w:val="00D816FD"/>
    <w:rsid w:val="00D8792A"/>
    <w:rsid w:val="00DB3723"/>
    <w:rsid w:val="00DC7874"/>
    <w:rsid w:val="00E122EB"/>
    <w:rsid w:val="00E65EF1"/>
    <w:rsid w:val="00E76F6F"/>
    <w:rsid w:val="00EA0F2D"/>
    <w:rsid w:val="012D3D63"/>
    <w:rsid w:val="01330A6C"/>
    <w:rsid w:val="01487A18"/>
    <w:rsid w:val="014D13CE"/>
    <w:rsid w:val="01720865"/>
    <w:rsid w:val="0189003F"/>
    <w:rsid w:val="01AF3FEA"/>
    <w:rsid w:val="01C42D66"/>
    <w:rsid w:val="023F1E2B"/>
    <w:rsid w:val="02BB307E"/>
    <w:rsid w:val="02C15BF6"/>
    <w:rsid w:val="02F6459B"/>
    <w:rsid w:val="03673532"/>
    <w:rsid w:val="0379691F"/>
    <w:rsid w:val="03BE7262"/>
    <w:rsid w:val="04313FCA"/>
    <w:rsid w:val="046072C6"/>
    <w:rsid w:val="048C34B8"/>
    <w:rsid w:val="04993586"/>
    <w:rsid w:val="049D20FD"/>
    <w:rsid w:val="04B430F9"/>
    <w:rsid w:val="04B94C68"/>
    <w:rsid w:val="04C156E8"/>
    <w:rsid w:val="04C42719"/>
    <w:rsid w:val="04DF6C0B"/>
    <w:rsid w:val="050D0377"/>
    <w:rsid w:val="05560765"/>
    <w:rsid w:val="056F2CA3"/>
    <w:rsid w:val="058D51FF"/>
    <w:rsid w:val="06222B2B"/>
    <w:rsid w:val="06401D70"/>
    <w:rsid w:val="06586D46"/>
    <w:rsid w:val="065A4860"/>
    <w:rsid w:val="065E7EB2"/>
    <w:rsid w:val="06662B98"/>
    <w:rsid w:val="067565EE"/>
    <w:rsid w:val="067716E0"/>
    <w:rsid w:val="06A65D1E"/>
    <w:rsid w:val="06C060E1"/>
    <w:rsid w:val="06DE0B3E"/>
    <w:rsid w:val="06F301EC"/>
    <w:rsid w:val="06F61BCB"/>
    <w:rsid w:val="07012CA8"/>
    <w:rsid w:val="07014925"/>
    <w:rsid w:val="072A342C"/>
    <w:rsid w:val="073C28DF"/>
    <w:rsid w:val="073D47DD"/>
    <w:rsid w:val="07AA43ED"/>
    <w:rsid w:val="07CA63EE"/>
    <w:rsid w:val="07D07530"/>
    <w:rsid w:val="08170519"/>
    <w:rsid w:val="08436556"/>
    <w:rsid w:val="08464768"/>
    <w:rsid w:val="0856616F"/>
    <w:rsid w:val="08622524"/>
    <w:rsid w:val="086A7EAD"/>
    <w:rsid w:val="08881A41"/>
    <w:rsid w:val="08E604A1"/>
    <w:rsid w:val="08EF03CC"/>
    <w:rsid w:val="092A7B57"/>
    <w:rsid w:val="092D6339"/>
    <w:rsid w:val="097A0CA3"/>
    <w:rsid w:val="09DA2AA5"/>
    <w:rsid w:val="0A570F00"/>
    <w:rsid w:val="0AD23979"/>
    <w:rsid w:val="0AE14729"/>
    <w:rsid w:val="0B2E1FAE"/>
    <w:rsid w:val="0B4635B9"/>
    <w:rsid w:val="0B6C582B"/>
    <w:rsid w:val="0B735A1E"/>
    <w:rsid w:val="0B927CE4"/>
    <w:rsid w:val="0BB6664C"/>
    <w:rsid w:val="0BCB7079"/>
    <w:rsid w:val="0BCC05A7"/>
    <w:rsid w:val="0C1D3D6A"/>
    <w:rsid w:val="0C31391D"/>
    <w:rsid w:val="0C8959A0"/>
    <w:rsid w:val="0C9B591B"/>
    <w:rsid w:val="0CA72E77"/>
    <w:rsid w:val="0CC024A2"/>
    <w:rsid w:val="0CCE78A0"/>
    <w:rsid w:val="0CDD02FC"/>
    <w:rsid w:val="0CE67E95"/>
    <w:rsid w:val="0D2C01B6"/>
    <w:rsid w:val="0D5973A7"/>
    <w:rsid w:val="0D703DA4"/>
    <w:rsid w:val="0D706869"/>
    <w:rsid w:val="0D7C06D5"/>
    <w:rsid w:val="0D7C2CF2"/>
    <w:rsid w:val="0DD643ED"/>
    <w:rsid w:val="0DF75868"/>
    <w:rsid w:val="0E1400AD"/>
    <w:rsid w:val="0E1B1D88"/>
    <w:rsid w:val="0E34227A"/>
    <w:rsid w:val="0E343D9E"/>
    <w:rsid w:val="0E9E33B0"/>
    <w:rsid w:val="0EF905AA"/>
    <w:rsid w:val="0F140AC0"/>
    <w:rsid w:val="0F14215B"/>
    <w:rsid w:val="0F3247C9"/>
    <w:rsid w:val="0F3C74C6"/>
    <w:rsid w:val="0F5804BF"/>
    <w:rsid w:val="0F790A78"/>
    <w:rsid w:val="0F8853E5"/>
    <w:rsid w:val="0FE06440"/>
    <w:rsid w:val="1049193F"/>
    <w:rsid w:val="10566744"/>
    <w:rsid w:val="10625CF9"/>
    <w:rsid w:val="10950DBA"/>
    <w:rsid w:val="10B52A92"/>
    <w:rsid w:val="10C93FC2"/>
    <w:rsid w:val="10D40475"/>
    <w:rsid w:val="113051CE"/>
    <w:rsid w:val="114E5553"/>
    <w:rsid w:val="118B06E0"/>
    <w:rsid w:val="118B62C7"/>
    <w:rsid w:val="1193547A"/>
    <w:rsid w:val="1199679A"/>
    <w:rsid w:val="11B513B1"/>
    <w:rsid w:val="11C51460"/>
    <w:rsid w:val="11F472A6"/>
    <w:rsid w:val="12160F32"/>
    <w:rsid w:val="12457638"/>
    <w:rsid w:val="12703CC3"/>
    <w:rsid w:val="129C5FBF"/>
    <w:rsid w:val="12D6288A"/>
    <w:rsid w:val="132A631E"/>
    <w:rsid w:val="13332723"/>
    <w:rsid w:val="13336BAF"/>
    <w:rsid w:val="134D7FF4"/>
    <w:rsid w:val="135B7259"/>
    <w:rsid w:val="13A27094"/>
    <w:rsid w:val="13A522B3"/>
    <w:rsid w:val="13B42D72"/>
    <w:rsid w:val="13D06674"/>
    <w:rsid w:val="13D44D7F"/>
    <w:rsid w:val="140F7E25"/>
    <w:rsid w:val="14120FE1"/>
    <w:rsid w:val="142C48EB"/>
    <w:rsid w:val="143E5526"/>
    <w:rsid w:val="14703A03"/>
    <w:rsid w:val="1493153C"/>
    <w:rsid w:val="14B33F8F"/>
    <w:rsid w:val="14F81E1D"/>
    <w:rsid w:val="15343BE6"/>
    <w:rsid w:val="15357338"/>
    <w:rsid w:val="153612FD"/>
    <w:rsid w:val="154136C6"/>
    <w:rsid w:val="15530DDD"/>
    <w:rsid w:val="156F1B1C"/>
    <w:rsid w:val="16050D98"/>
    <w:rsid w:val="163B4844"/>
    <w:rsid w:val="164D645C"/>
    <w:rsid w:val="16523D94"/>
    <w:rsid w:val="167B52F3"/>
    <w:rsid w:val="16811A70"/>
    <w:rsid w:val="168E18F7"/>
    <w:rsid w:val="16D97F04"/>
    <w:rsid w:val="16DC79A8"/>
    <w:rsid w:val="16F4505A"/>
    <w:rsid w:val="16FC4656"/>
    <w:rsid w:val="17136C0E"/>
    <w:rsid w:val="172751EA"/>
    <w:rsid w:val="17360B9D"/>
    <w:rsid w:val="17383D5F"/>
    <w:rsid w:val="177D3D5F"/>
    <w:rsid w:val="17986543"/>
    <w:rsid w:val="17AE78DD"/>
    <w:rsid w:val="17C573FD"/>
    <w:rsid w:val="1806084D"/>
    <w:rsid w:val="18142FD5"/>
    <w:rsid w:val="18647115"/>
    <w:rsid w:val="187B711C"/>
    <w:rsid w:val="187E4514"/>
    <w:rsid w:val="18B44DAA"/>
    <w:rsid w:val="18C44CD5"/>
    <w:rsid w:val="191D76ED"/>
    <w:rsid w:val="193D3C42"/>
    <w:rsid w:val="1955265D"/>
    <w:rsid w:val="195864BB"/>
    <w:rsid w:val="198F257D"/>
    <w:rsid w:val="19B05D52"/>
    <w:rsid w:val="19E869C2"/>
    <w:rsid w:val="19FC0A98"/>
    <w:rsid w:val="1A0D43A0"/>
    <w:rsid w:val="1A50150C"/>
    <w:rsid w:val="1A7342AE"/>
    <w:rsid w:val="1AE12836"/>
    <w:rsid w:val="1AE925F4"/>
    <w:rsid w:val="1B234950"/>
    <w:rsid w:val="1B2706B9"/>
    <w:rsid w:val="1B421E7E"/>
    <w:rsid w:val="1B64461F"/>
    <w:rsid w:val="1B6B7B31"/>
    <w:rsid w:val="1B710E4F"/>
    <w:rsid w:val="1B9C3AE1"/>
    <w:rsid w:val="1C0E12CD"/>
    <w:rsid w:val="1C186E48"/>
    <w:rsid w:val="1C3C0819"/>
    <w:rsid w:val="1C5A6A79"/>
    <w:rsid w:val="1C603202"/>
    <w:rsid w:val="1C9A0200"/>
    <w:rsid w:val="1C9A7FC5"/>
    <w:rsid w:val="1CCE5055"/>
    <w:rsid w:val="1CD170C5"/>
    <w:rsid w:val="1CD529D6"/>
    <w:rsid w:val="1CDD4A7E"/>
    <w:rsid w:val="1D147EFF"/>
    <w:rsid w:val="1DCA7DF9"/>
    <w:rsid w:val="1DEB6607"/>
    <w:rsid w:val="1DED007E"/>
    <w:rsid w:val="1DFB6F14"/>
    <w:rsid w:val="1E47773B"/>
    <w:rsid w:val="1E4B6E86"/>
    <w:rsid w:val="1E511E83"/>
    <w:rsid w:val="1E8A5E76"/>
    <w:rsid w:val="1E9200E1"/>
    <w:rsid w:val="1F0539AE"/>
    <w:rsid w:val="1F074FF2"/>
    <w:rsid w:val="1F3C2565"/>
    <w:rsid w:val="1F7D50C8"/>
    <w:rsid w:val="1F893367"/>
    <w:rsid w:val="1F913424"/>
    <w:rsid w:val="1FCB3375"/>
    <w:rsid w:val="1FE173B4"/>
    <w:rsid w:val="1FE72E58"/>
    <w:rsid w:val="1FFB4123"/>
    <w:rsid w:val="200667A3"/>
    <w:rsid w:val="20173A7C"/>
    <w:rsid w:val="203B1607"/>
    <w:rsid w:val="20783813"/>
    <w:rsid w:val="20F25F2A"/>
    <w:rsid w:val="20F27184"/>
    <w:rsid w:val="20FD2AE8"/>
    <w:rsid w:val="21167B62"/>
    <w:rsid w:val="212F5EEF"/>
    <w:rsid w:val="213A4AC2"/>
    <w:rsid w:val="214164E8"/>
    <w:rsid w:val="218738BE"/>
    <w:rsid w:val="21B21339"/>
    <w:rsid w:val="21BF20AD"/>
    <w:rsid w:val="21C43928"/>
    <w:rsid w:val="21F330F9"/>
    <w:rsid w:val="22235E02"/>
    <w:rsid w:val="228C2437"/>
    <w:rsid w:val="22AA70CA"/>
    <w:rsid w:val="22B725DA"/>
    <w:rsid w:val="23004F3A"/>
    <w:rsid w:val="232E3FE3"/>
    <w:rsid w:val="2350006A"/>
    <w:rsid w:val="23585C4E"/>
    <w:rsid w:val="236A7EFE"/>
    <w:rsid w:val="23765811"/>
    <w:rsid w:val="23805685"/>
    <w:rsid w:val="23880F1A"/>
    <w:rsid w:val="23A43F46"/>
    <w:rsid w:val="23BA6588"/>
    <w:rsid w:val="23DC635E"/>
    <w:rsid w:val="23DF7B59"/>
    <w:rsid w:val="248879F4"/>
    <w:rsid w:val="24A97FDF"/>
    <w:rsid w:val="24B87012"/>
    <w:rsid w:val="24BC01CD"/>
    <w:rsid w:val="24C25CD7"/>
    <w:rsid w:val="24CA5EAF"/>
    <w:rsid w:val="24D73DEE"/>
    <w:rsid w:val="24D96D65"/>
    <w:rsid w:val="24E04C2E"/>
    <w:rsid w:val="25452366"/>
    <w:rsid w:val="256E5D87"/>
    <w:rsid w:val="258917A9"/>
    <w:rsid w:val="25A82154"/>
    <w:rsid w:val="25FC1269"/>
    <w:rsid w:val="25FC4174"/>
    <w:rsid w:val="2608337D"/>
    <w:rsid w:val="260C06F0"/>
    <w:rsid w:val="2620433E"/>
    <w:rsid w:val="26455637"/>
    <w:rsid w:val="26523603"/>
    <w:rsid w:val="267F3C6C"/>
    <w:rsid w:val="269D5137"/>
    <w:rsid w:val="26A16A1E"/>
    <w:rsid w:val="26AC7497"/>
    <w:rsid w:val="26B745B1"/>
    <w:rsid w:val="26BD3A0A"/>
    <w:rsid w:val="26BE70D6"/>
    <w:rsid w:val="26C301BC"/>
    <w:rsid w:val="26D424C1"/>
    <w:rsid w:val="26E81C8F"/>
    <w:rsid w:val="26F02D0C"/>
    <w:rsid w:val="26FD226B"/>
    <w:rsid w:val="27006B49"/>
    <w:rsid w:val="27367DFA"/>
    <w:rsid w:val="273C2CA3"/>
    <w:rsid w:val="27556EA6"/>
    <w:rsid w:val="277371F3"/>
    <w:rsid w:val="278E79B1"/>
    <w:rsid w:val="27C51152"/>
    <w:rsid w:val="284171EC"/>
    <w:rsid w:val="286B4689"/>
    <w:rsid w:val="289F2164"/>
    <w:rsid w:val="28B60026"/>
    <w:rsid w:val="29350CD3"/>
    <w:rsid w:val="29784CA5"/>
    <w:rsid w:val="29B3208B"/>
    <w:rsid w:val="29B80C93"/>
    <w:rsid w:val="29BB20D2"/>
    <w:rsid w:val="29D44C7C"/>
    <w:rsid w:val="29F33C34"/>
    <w:rsid w:val="2A380298"/>
    <w:rsid w:val="2A76302C"/>
    <w:rsid w:val="2A7B46E1"/>
    <w:rsid w:val="2A8805C5"/>
    <w:rsid w:val="2A886FA9"/>
    <w:rsid w:val="2AC64A60"/>
    <w:rsid w:val="2AEF50AF"/>
    <w:rsid w:val="2AF12D0E"/>
    <w:rsid w:val="2B203764"/>
    <w:rsid w:val="2B380A4C"/>
    <w:rsid w:val="2BA75E5D"/>
    <w:rsid w:val="2BC04A80"/>
    <w:rsid w:val="2BDA6B00"/>
    <w:rsid w:val="2C085CD5"/>
    <w:rsid w:val="2C5033C5"/>
    <w:rsid w:val="2C5C6A3E"/>
    <w:rsid w:val="2C757BAF"/>
    <w:rsid w:val="2C8606C5"/>
    <w:rsid w:val="2C8C2E69"/>
    <w:rsid w:val="2C974E3D"/>
    <w:rsid w:val="2CE37287"/>
    <w:rsid w:val="2D07338F"/>
    <w:rsid w:val="2D2E1348"/>
    <w:rsid w:val="2D2F7996"/>
    <w:rsid w:val="2D78571E"/>
    <w:rsid w:val="2DB93477"/>
    <w:rsid w:val="2DE20407"/>
    <w:rsid w:val="2DF65048"/>
    <w:rsid w:val="2DF6638F"/>
    <w:rsid w:val="2E165B2D"/>
    <w:rsid w:val="2E9C69DA"/>
    <w:rsid w:val="2EBA1BFB"/>
    <w:rsid w:val="2EC052F3"/>
    <w:rsid w:val="2EE84ED3"/>
    <w:rsid w:val="2F047E61"/>
    <w:rsid w:val="2F062134"/>
    <w:rsid w:val="2F21289E"/>
    <w:rsid w:val="2F822A4B"/>
    <w:rsid w:val="2F8507EF"/>
    <w:rsid w:val="2F912F13"/>
    <w:rsid w:val="2F977629"/>
    <w:rsid w:val="2F9E6A09"/>
    <w:rsid w:val="30315A18"/>
    <w:rsid w:val="304C41D6"/>
    <w:rsid w:val="308C4C8C"/>
    <w:rsid w:val="309B7BFA"/>
    <w:rsid w:val="30A14448"/>
    <w:rsid w:val="31121DE6"/>
    <w:rsid w:val="314D3726"/>
    <w:rsid w:val="31793EC1"/>
    <w:rsid w:val="31877607"/>
    <w:rsid w:val="31E32D5C"/>
    <w:rsid w:val="31F242FB"/>
    <w:rsid w:val="31F82192"/>
    <w:rsid w:val="32025E0E"/>
    <w:rsid w:val="32031EA3"/>
    <w:rsid w:val="321C166B"/>
    <w:rsid w:val="32245D2B"/>
    <w:rsid w:val="3279224D"/>
    <w:rsid w:val="32805979"/>
    <w:rsid w:val="32E66065"/>
    <w:rsid w:val="331160AA"/>
    <w:rsid w:val="33346D53"/>
    <w:rsid w:val="33436432"/>
    <w:rsid w:val="335D23DB"/>
    <w:rsid w:val="33952FEB"/>
    <w:rsid w:val="33A34B5F"/>
    <w:rsid w:val="33A764C0"/>
    <w:rsid w:val="33AE0918"/>
    <w:rsid w:val="33CB3AED"/>
    <w:rsid w:val="34054358"/>
    <w:rsid w:val="3417608E"/>
    <w:rsid w:val="342E7F12"/>
    <w:rsid w:val="343E7569"/>
    <w:rsid w:val="34496D65"/>
    <w:rsid w:val="345459E1"/>
    <w:rsid w:val="346976B5"/>
    <w:rsid w:val="346B7F37"/>
    <w:rsid w:val="34A94CBA"/>
    <w:rsid w:val="34B92F28"/>
    <w:rsid w:val="35031EB5"/>
    <w:rsid w:val="35D05058"/>
    <w:rsid w:val="35DE49C0"/>
    <w:rsid w:val="35FA7EA7"/>
    <w:rsid w:val="360B50CB"/>
    <w:rsid w:val="363B291C"/>
    <w:rsid w:val="363E1F63"/>
    <w:rsid w:val="363E394A"/>
    <w:rsid w:val="364856A4"/>
    <w:rsid w:val="37206D7C"/>
    <w:rsid w:val="372C553B"/>
    <w:rsid w:val="375B421F"/>
    <w:rsid w:val="37905AF3"/>
    <w:rsid w:val="37A34800"/>
    <w:rsid w:val="37B611D4"/>
    <w:rsid w:val="37E02280"/>
    <w:rsid w:val="37F346DF"/>
    <w:rsid w:val="38026202"/>
    <w:rsid w:val="383B1C65"/>
    <w:rsid w:val="38764896"/>
    <w:rsid w:val="388C5786"/>
    <w:rsid w:val="388D632D"/>
    <w:rsid w:val="38962C73"/>
    <w:rsid w:val="38C05FA5"/>
    <w:rsid w:val="38CD3EED"/>
    <w:rsid w:val="38DF1F43"/>
    <w:rsid w:val="390339EB"/>
    <w:rsid w:val="39225DE1"/>
    <w:rsid w:val="39590D35"/>
    <w:rsid w:val="3983685A"/>
    <w:rsid w:val="39D66640"/>
    <w:rsid w:val="39DD0BB8"/>
    <w:rsid w:val="3A29375F"/>
    <w:rsid w:val="3A3453FF"/>
    <w:rsid w:val="3A5C0A17"/>
    <w:rsid w:val="3A8248E0"/>
    <w:rsid w:val="3AF76DD0"/>
    <w:rsid w:val="3B1D07BC"/>
    <w:rsid w:val="3B2A4F56"/>
    <w:rsid w:val="3B447872"/>
    <w:rsid w:val="3B474B41"/>
    <w:rsid w:val="3B7D3E08"/>
    <w:rsid w:val="3B8D4322"/>
    <w:rsid w:val="3B9508B7"/>
    <w:rsid w:val="3B9828B7"/>
    <w:rsid w:val="3BCE13F3"/>
    <w:rsid w:val="3BD2350C"/>
    <w:rsid w:val="3C071D01"/>
    <w:rsid w:val="3C2C0346"/>
    <w:rsid w:val="3C463454"/>
    <w:rsid w:val="3CDF1FAA"/>
    <w:rsid w:val="3CFC0EF8"/>
    <w:rsid w:val="3D1026F3"/>
    <w:rsid w:val="3D3977CB"/>
    <w:rsid w:val="3D5A7E39"/>
    <w:rsid w:val="3D7E50B2"/>
    <w:rsid w:val="3D967B2A"/>
    <w:rsid w:val="3DB561A7"/>
    <w:rsid w:val="3E5049D6"/>
    <w:rsid w:val="3E507DBB"/>
    <w:rsid w:val="3E6F122B"/>
    <w:rsid w:val="3E7865FD"/>
    <w:rsid w:val="3E7F0D7D"/>
    <w:rsid w:val="3E880E32"/>
    <w:rsid w:val="3EC65777"/>
    <w:rsid w:val="3F191C39"/>
    <w:rsid w:val="3F24659E"/>
    <w:rsid w:val="3F2E2C76"/>
    <w:rsid w:val="3F3B5C85"/>
    <w:rsid w:val="3F3E0088"/>
    <w:rsid w:val="3F6E51CB"/>
    <w:rsid w:val="40006CAB"/>
    <w:rsid w:val="40071BAC"/>
    <w:rsid w:val="40085D42"/>
    <w:rsid w:val="402E562B"/>
    <w:rsid w:val="4046343E"/>
    <w:rsid w:val="40463EAA"/>
    <w:rsid w:val="405007A0"/>
    <w:rsid w:val="4061544C"/>
    <w:rsid w:val="40710710"/>
    <w:rsid w:val="40C8568F"/>
    <w:rsid w:val="40E17653"/>
    <w:rsid w:val="40F61FC7"/>
    <w:rsid w:val="40FB191D"/>
    <w:rsid w:val="410A06F9"/>
    <w:rsid w:val="4125037B"/>
    <w:rsid w:val="413357D7"/>
    <w:rsid w:val="41447D45"/>
    <w:rsid w:val="41977304"/>
    <w:rsid w:val="41CD393D"/>
    <w:rsid w:val="41F949FB"/>
    <w:rsid w:val="420D2004"/>
    <w:rsid w:val="421630C6"/>
    <w:rsid w:val="422B5E31"/>
    <w:rsid w:val="4252595A"/>
    <w:rsid w:val="426A2727"/>
    <w:rsid w:val="42742CEE"/>
    <w:rsid w:val="427E6BDE"/>
    <w:rsid w:val="42E073FA"/>
    <w:rsid w:val="432F74AE"/>
    <w:rsid w:val="43826A74"/>
    <w:rsid w:val="4389139C"/>
    <w:rsid w:val="43B22635"/>
    <w:rsid w:val="43DC59FD"/>
    <w:rsid w:val="44016A8B"/>
    <w:rsid w:val="440F123C"/>
    <w:rsid w:val="441B763D"/>
    <w:rsid w:val="441E2ECA"/>
    <w:rsid w:val="443F0A8A"/>
    <w:rsid w:val="44483F56"/>
    <w:rsid w:val="444C0E2A"/>
    <w:rsid w:val="446A04AF"/>
    <w:rsid w:val="44703E7E"/>
    <w:rsid w:val="44867A3B"/>
    <w:rsid w:val="44E72C92"/>
    <w:rsid w:val="44FD5F6B"/>
    <w:rsid w:val="450C3B52"/>
    <w:rsid w:val="450F1ADE"/>
    <w:rsid w:val="45103FCB"/>
    <w:rsid w:val="4512666F"/>
    <w:rsid w:val="452A5AA6"/>
    <w:rsid w:val="45852FD0"/>
    <w:rsid w:val="458E7F08"/>
    <w:rsid w:val="45B242B5"/>
    <w:rsid w:val="45E33D03"/>
    <w:rsid w:val="45E74559"/>
    <w:rsid w:val="46751144"/>
    <w:rsid w:val="46D17A2C"/>
    <w:rsid w:val="470109B9"/>
    <w:rsid w:val="47067546"/>
    <w:rsid w:val="474801E9"/>
    <w:rsid w:val="476D3355"/>
    <w:rsid w:val="477232C8"/>
    <w:rsid w:val="478C46CC"/>
    <w:rsid w:val="47AF67A7"/>
    <w:rsid w:val="47B339B4"/>
    <w:rsid w:val="47CB1091"/>
    <w:rsid w:val="48035F02"/>
    <w:rsid w:val="485512EA"/>
    <w:rsid w:val="4860434A"/>
    <w:rsid w:val="48655419"/>
    <w:rsid w:val="48D908C8"/>
    <w:rsid w:val="490010A1"/>
    <w:rsid w:val="493537CF"/>
    <w:rsid w:val="49460D45"/>
    <w:rsid w:val="49717B24"/>
    <w:rsid w:val="4A2B5351"/>
    <w:rsid w:val="4A363EE1"/>
    <w:rsid w:val="4A3A4E79"/>
    <w:rsid w:val="4A74195A"/>
    <w:rsid w:val="4A7A3D76"/>
    <w:rsid w:val="4A8B6AB4"/>
    <w:rsid w:val="4A9F3033"/>
    <w:rsid w:val="4AAE190E"/>
    <w:rsid w:val="4AE70AB8"/>
    <w:rsid w:val="4B341E94"/>
    <w:rsid w:val="4B7E595B"/>
    <w:rsid w:val="4BB07602"/>
    <w:rsid w:val="4BF32BD8"/>
    <w:rsid w:val="4C421049"/>
    <w:rsid w:val="4C5411D7"/>
    <w:rsid w:val="4C546F81"/>
    <w:rsid w:val="4C552345"/>
    <w:rsid w:val="4C564361"/>
    <w:rsid w:val="4C5904F7"/>
    <w:rsid w:val="4C697768"/>
    <w:rsid w:val="4C99363E"/>
    <w:rsid w:val="4C9C4F4D"/>
    <w:rsid w:val="4CB96723"/>
    <w:rsid w:val="4CE4471C"/>
    <w:rsid w:val="4D8C30FA"/>
    <w:rsid w:val="4D960495"/>
    <w:rsid w:val="4DB0737C"/>
    <w:rsid w:val="4E171405"/>
    <w:rsid w:val="4E1A2AF8"/>
    <w:rsid w:val="4E3E44C6"/>
    <w:rsid w:val="4E417C64"/>
    <w:rsid w:val="4E9D6C5F"/>
    <w:rsid w:val="4EA51ED4"/>
    <w:rsid w:val="4ED065C7"/>
    <w:rsid w:val="4ED60D0E"/>
    <w:rsid w:val="4F322D93"/>
    <w:rsid w:val="4F5E0911"/>
    <w:rsid w:val="4F6C7D95"/>
    <w:rsid w:val="4F7B7863"/>
    <w:rsid w:val="4F841462"/>
    <w:rsid w:val="4FBC77EB"/>
    <w:rsid w:val="4FBD4AFA"/>
    <w:rsid w:val="4FE96F77"/>
    <w:rsid w:val="50206576"/>
    <w:rsid w:val="50303A7C"/>
    <w:rsid w:val="503E78BC"/>
    <w:rsid w:val="50453781"/>
    <w:rsid w:val="50955A7D"/>
    <w:rsid w:val="50A26FF3"/>
    <w:rsid w:val="50F46190"/>
    <w:rsid w:val="5130618A"/>
    <w:rsid w:val="51525315"/>
    <w:rsid w:val="515C17D5"/>
    <w:rsid w:val="519223A8"/>
    <w:rsid w:val="51B45CF8"/>
    <w:rsid w:val="51CB5559"/>
    <w:rsid w:val="520F3713"/>
    <w:rsid w:val="52CF7054"/>
    <w:rsid w:val="52EA6EF6"/>
    <w:rsid w:val="52FD6971"/>
    <w:rsid w:val="530F3865"/>
    <w:rsid w:val="53223E56"/>
    <w:rsid w:val="53275AB8"/>
    <w:rsid w:val="536D4628"/>
    <w:rsid w:val="537D5DC6"/>
    <w:rsid w:val="5388089F"/>
    <w:rsid w:val="5399295B"/>
    <w:rsid w:val="53B05A8D"/>
    <w:rsid w:val="53D745FA"/>
    <w:rsid w:val="53DD2286"/>
    <w:rsid w:val="53E40714"/>
    <w:rsid w:val="53EE3C97"/>
    <w:rsid w:val="53FD29C3"/>
    <w:rsid w:val="541F5ED8"/>
    <w:rsid w:val="54467244"/>
    <w:rsid w:val="54511C79"/>
    <w:rsid w:val="54520573"/>
    <w:rsid w:val="547D34B8"/>
    <w:rsid w:val="548C7E28"/>
    <w:rsid w:val="548D7C01"/>
    <w:rsid w:val="54942775"/>
    <w:rsid w:val="549C23F0"/>
    <w:rsid w:val="54B8713B"/>
    <w:rsid w:val="55132799"/>
    <w:rsid w:val="55A768F4"/>
    <w:rsid w:val="55B62452"/>
    <w:rsid w:val="55FE78A0"/>
    <w:rsid w:val="56253786"/>
    <w:rsid w:val="562D3283"/>
    <w:rsid w:val="566C0CF7"/>
    <w:rsid w:val="569156EC"/>
    <w:rsid w:val="56960931"/>
    <w:rsid w:val="56AC7BCF"/>
    <w:rsid w:val="56CE2C6C"/>
    <w:rsid w:val="56E95104"/>
    <w:rsid w:val="56F54693"/>
    <w:rsid w:val="571924B2"/>
    <w:rsid w:val="572109E0"/>
    <w:rsid w:val="5747400E"/>
    <w:rsid w:val="575751FD"/>
    <w:rsid w:val="578A3F51"/>
    <w:rsid w:val="57CC6BA1"/>
    <w:rsid w:val="57CE3E29"/>
    <w:rsid w:val="581B6FA6"/>
    <w:rsid w:val="582724AC"/>
    <w:rsid w:val="58F37117"/>
    <w:rsid w:val="594D3747"/>
    <w:rsid w:val="596F52DD"/>
    <w:rsid w:val="59783883"/>
    <w:rsid w:val="59BE14BB"/>
    <w:rsid w:val="59E91E58"/>
    <w:rsid w:val="5A0207F8"/>
    <w:rsid w:val="5A0F7C73"/>
    <w:rsid w:val="5A100CE1"/>
    <w:rsid w:val="5A1256F7"/>
    <w:rsid w:val="5A132397"/>
    <w:rsid w:val="5A2E42CD"/>
    <w:rsid w:val="5A773239"/>
    <w:rsid w:val="5A7F37F9"/>
    <w:rsid w:val="5A837878"/>
    <w:rsid w:val="5A9E7D61"/>
    <w:rsid w:val="5AB5421F"/>
    <w:rsid w:val="5B0C31BE"/>
    <w:rsid w:val="5B135A2E"/>
    <w:rsid w:val="5B767297"/>
    <w:rsid w:val="5B887615"/>
    <w:rsid w:val="5BBC41DB"/>
    <w:rsid w:val="5BFF2AD9"/>
    <w:rsid w:val="5C016066"/>
    <w:rsid w:val="5C044AD5"/>
    <w:rsid w:val="5C1138CE"/>
    <w:rsid w:val="5C1459ED"/>
    <w:rsid w:val="5C41460B"/>
    <w:rsid w:val="5C57182F"/>
    <w:rsid w:val="5C73505B"/>
    <w:rsid w:val="5C890F37"/>
    <w:rsid w:val="5CAE7A7D"/>
    <w:rsid w:val="5CBE1F4B"/>
    <w:rsid w:val="5CE65356"/>
    <w:rsid w:val="5CF72BB2"/>
    <w:rsid w:val="5D27565F"/>
    <w:rsid w:val="5D6A538C"/>
    <w:rsid w:val="5D8627AD"/>
    <w:rsid w:val="5DAA0B93"/>
    <w:rsid w:val="5DCE0E18"/>
    <w:rsid w:val="5E2A4BFC"/>
    <w:rsid w:val="5EAC236D"/>
    <w:rsid w:val="5EDB0D8B"/>
    <w:rsid w:val="5F3732A8"/>
    <w:rsid w:val="5FCC33D8"/>
    <w:rsid w:val="60033350"/>
    <w:rsid w:val="602266C7"/>
    <w:rsid w:val="603B7C36"/>
    <w:rsid w:val="60534AA3"/>
    <w:rsid w:val="60680187"/>
    <w:rsid w:val="60832CD9"/>
    <w:rsid w:val="60A41861"/>
    <w:rsid w:val="60CB1B4D"/>
    <w:rsid w:val="60DC42D6"/>
    <w:rsid w:val="60EA447E"/>
    <w:rsid w:val="60EF2677"/>
    <w:rsid w:val="61217D14"/>
    <w:rsid w:val="613172F2"/>
    <w:rsid w:val="61332F70"/>
    <w:rsid w:val="6142313B"/>
    <w:rsid w:val="614D3BC8"/>
    <w:rsid w:val="618F1CE4"/>
    <w:rsid w:val="61A22962"/>
    <w:rsid w:val="61B454B8"/>
    <w:rsid w:val="61B9511D"/>
    <w:rsid w:val="61CE240F"/>
    <w:rsid w:val="61D23BCD"/>
    <w:rsid w:val="62302D5E"/>
    <w:rsid w:val="62A43EEF"/>
    <w:rsid w:val="63277530"/>
    <w:rsid w:val="6352384A"/>
    <w:rsid w:val="64340981"/>
    <w:rsid w:val="644B1C20"/>
    <w:rsid w:val="646928DF"/>
    <w:rsid w:val="6471055F"/>
    <w:rsid w:val="64AE7D1C"/>
    <w:rsid w:val="64B97E4E"/>
    <w:rsid w:val="64C303D9"/>
    <w:rsid w:val="652B7127"/>
    <w:rsid w:val="655D683D"/>
    <w:rsid w:val="656B579F"/>
    <w:rsid w:val="656E592B"/>
    <w:rsid w:val="657A003D"/>
    <w:rsid w:val="65A165E9"/>
    <w:rsid w:val="65C14A06"/>
    <w:rsid w:val="65C15488"/>
    <w:rsid w:val="660D76B4"/>
    <w:rsid w:val="667136F9"/>
    <w:rsid w:val="66841ED9"/>
    <w:rsid w:val="66B24A2C"/>
    <w:rsid w:val="67024FEA"/>
    <w:rsid w:val="671073D1"/>
    <w:rsid w:val="678E06CE"/>
    <w:rsid w:val="679A602D"/>
    <w:rsid w:val="67BE2C68"/>
    <w:rsid w:val="67E028BC"/>
    <w:rsid w:val="68435C14"/>
    <w:rsid w:val="68440B34"/>
    <w:rsid w:val="68537B47"/>
    <w:rsid w:val="68620DC9"/>
    <w:rsid w:val="6890273A"/>
    <w:rsid w:val="68A9552D"/>
    <w:rsid w:val="68C330AE"/>
    <w:rsid w:val="68D52CCF"/>
    <w:rsid w:val="68E45DE3"/>
    <w:rsid w:val="691D1344"/>
    <w:rsid w:val="6934149F"/>
    <w:rsid w:val="6958671E"/>
    <w:rsid w:val="698E17F2"/>
    <w:rsid w:val="6A281A45"/>
    <w:rsid w:val="6A3B618C"/>
    <w:rsid w:val="6AA103CB"/>
    <w:rsid w:val="6AA75408"/>
    <w:rsid w:val="6AD05467"/>
    <w:rsid w:val="6AE30A31"/>
    <w:rsid w:val="6B182CCA"/>
    <w:rsid w:val="6B2560EF"/>
    <w:rsid w:val="6B4D19C5"/>
    <w:rsid w:val="6B5F2BF8"/>
    <w:rsid w:val="6B737395"/>
    <w:rsid w:val="6BD55D0B"/>
    <w:rsid w:val="6BD83CC4"/>
    <w:rsid w:val="6BD86170"/>
    <w:rsid w:val="6BDC47ED"/>
    <w:rsid w:val="6BF1112B"/>
    <w:rsid w:val="6BF76F4D"/>
    <w:rsid w:val="6BFC101E"/>
    <w:rsid w:val="6C0A4626"/>
    <w:rsid w:val="6C1B3303"/>
    <w:rsid w:val="6C1B55BA"/>
    <w:rsid w:val="6C3E28BF"/>
    <w:rsid w:val="6C3F33CD"/>
    <w:rsid w:val="6C7A7040"/>
    <w:rsid w:val="6C8132A9"/>
    <w:rsid w:val="6C9E6020"/>
    <w:rsid w:val="6CAA4D6A"/>
    <w:rsid w:val="6CC70826"/>
    <w:rsid w:val="6CD77821"/>
    <w:rsid w:val="6D0A6DBB"/>
    <w:rsid w:val="6D40311C"/>
    <w:rsid w:val="6D77341F"/>
    <w:rsid w:val="6DB167DD"/>
    <w:rsid w:val="6DB43590"/>
    <w:rsid w:val="6DB84EBA"/>
    <w:rsid w:val="6E0403F0"/>
    <w:rsid w:val="6E206AE8"/>
    <w:rsid w:val="6E285EB0"/>
    <w:rsid w:val="6E2D7393"/>
    <w:rsid w:val="6E6E6F1D"/>
    <w:rsid w:val="6E985F27"/>
    <w:rsid w:val="6EA63453"/>
    <w:rsid w:val="6EBA2489"/>
    <w:rsid w:val="6EFE042C"/>
    <w:rsid w:val="6F1C4DB2"/>
    <w:rsid w:val="6F293DA9"/>
    <w:rsid w:val="6F465824"/>
    <w:rsid w:val="6F49229B"/>
    <w:rsid w:val="6F5203DB"/>
    <w:rsid w:val="6F6A53B1"/>
    <w:rsid w:val="6FC83C68"/>
    <w:rsid w:val="6FCE226C"/>
    <w:rsid w:val="6FE10480"/>
    <w:rsid w:val="6FF67EDB"/>
    <w:rsid w:val="70037EDA"/>
    <w:rsid w:val="706747BD"/>
    <w:rsid w:val="707165D4"/>
    <w:rsid w:val="70A93F9B"/>
    <w:rsid w:val="70BF78D7"/>
    <w:rsid w:val="70E95E6A"/>
    <w:rsid w:val="71047C6D"/>
    <w:rsid w:val="712F11E7"/>
    <w:rsid w:val="71790E9D"/>
    <w:rsid w:val="717A6C89"/>
    <w:rsid w:val="71AC1A5C"/>
    <w:rsid w:val="71CD17F6"/>
    <w:rsid w:val="71D4229F"/>
    <w:rsid w:val="72105750"/>
    <w:rsid w:val="72117E7E"/>
    <w:rsid w:val="723B41CF"/>
    <w:rsid w:val="728971FB"/>
    <w:rsid w:val="72D06024"/>
    <w:rsid w:val="733878DA"/>
    <w:rsid w:val="734779C2"/>
    <w:rsid w:val="7372294D"/>
    <w:rsid w:val="73BF73C1"/>
    <w:rsid w:val="73C23920"/>
    <w:rsid w:val="73C86AF9"/>
    <w:rsid w:val="73F201AA"/>
    <w:rsid w:val="73F56F27"/>
    <w:rsid w:val="745E33A9"/>
    <w:rsid w:val="745E6332"/>
    <w:rsid w:val="74802249"/>
    <w:rsid w:val="748B1436"/>
    <w:rsid w:val="74EB4810"/>
    <w:rsid w:val="75155729"/>
    <w:rsid w:val="75266207"/>
    <w:rsid w:val="75497694"/>
    <w:rsid w:val="75763149"/>
    <w:rsid w:val="75F5233E"/>
    <w:rsid w:val="765D19FC"/>
    <w:rsid w:val="7662634A"/>
    <w:rsid w:val="76913389"/>
    <w:rsid w:val="769B14BB"/>
    <w:rsid w:val="76AA596C"/>
    <w:rsid w:val="76CF0956"/>
    <w:rsid w:val="76DF2EC8"/>
    <w:rsid w:val="76EB0D54"/>
    <w:rsid w:val="76EE4D97"/>
    <w:rsid w:val="77045F8B"/>
    <w:rsid w:val="771C6744"/>
    <w:rsid w:val="77644BBE"/>
    <w:rsid w:val="7771110B"/>
    <w:rsid w:val="77782D28"/>
    <w:rsid w:val="77C20123"/>
    <w:rsid w:val="77F538F8"/>
    <w:rsid w:val="788A3DEB"/>
    <w:rsid w:val="789B2454"/>
    <w:rsid w:val="78AE7DD3"/>
    <w:rsid w:val="78D6469A"/>
    <w:rsid w:val="78D82626"/>
    <w:rsid w:val="78E21B95"/>
    <w:rsid w:val="79111AC7"/>
    <w:rsid w:val="794E098B"/>
    <w:rsid w:val="799E36F7"/>
    <w:rsid w:val="79F3334C"/>
    <w:rsid w:val="79FF0CB1"/>
    <w:rsid w:val="7A150EF7"/>
    <w:rsid w:val="7A2E1812"/>
    <w:rsid w:val="7A7029D6"/>
    <w:rsid w:val="7A73006B"/>
    <w:rsid w:val="7A751437"/>
    <w:rsid w:val="7AB2209C"/>
    <w:rsid w:val="7ACB6E73"/>
    <w:rsid w:val="7AFF00E5"/>
    <w:rsid w:val="7B033D7C"/>
    <w:rsid w:val="7B233171"/>
    <w:rsid w:val="7B3943CF"/>
    <w:rsid w:val="7B3F08E7"/>
    <w:rsid w:val="7B634CE1"/>
    <w:rsid w:val="7B9C2512"/>
    <w:rsid w:val="7BFB110F"/>
    <w:rsid w:val="7C09409A"/>
    <w:rsid w:val="7C287D7E"/>
    <w:rsid w:val="7C3825FA"/>
    <w:rsid w:val="7D0C6E8E"/>
    <w:rsid w:val="7D4B33BB"/>
    <w:rsid w:val="7D7C4CEA"/>
    <w:rsid w:val="7D866779"/>
    <w:rsid w:val="7D8C0384"/>
    <w:rsid w:val="7D9F3F02"/>
    <w:rsid w:val="7DF43E49"/>
    <w:rsid w:val="7E5F0EE8"/>
    <w:rsid w:val="7E7506DB"/>
    <w:rsid w:val="7E851F96"/>
    <w:rsid w:val="7EAB0E13"/>
    <w:rsid w:val="7EB2667C"/>
    <w:rsid w:val="7EC854AC"/>
    <w:rsid w:val="7EF90802"/>
    <w:rsid w:val="7F191C23"/>
    <w:rsid w:val="7F4B3656"/>
    <w:rsid w:val="7F961180"/>
    <w:rsid w:val="7FD25BD3"/>
    <w:rsid w:val="7FDC49AB"/>
  </w:rsids>
  <m:mathPr>
    <m:mathFont m:val="Cambria Math"/>
    <m:brkBin m:val="before"/>
    <m:brkBinSub m:val="--"/>
    <m:smallFrac m:val="1"/>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nhideWhenUsed="0" w:uiPriority="0" w:semiHidden="0" w:name="annotation text"/>
    <w:lsdException w:qFormat="1" w:uiPriority="99" w:semiHidden="0" w:name="header"/>
    <w:lsdException w:qFormat="1" w:unhideWhenUsed="0" w:uiPriority="99"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qFormat="1" w:unhideWhenUsed="0" w:uiPriority="99" w:semiHidden="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qFormat="1" w:unhideWhenUsed="0" w:uiPriority="99"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iPriority="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560" w:lineRule="exact"/>
      <w:ind w:firstLine="200" w:firstLineChars="200"/>
      <w:jc w:val="both"/>
    </w:pPr>
    <w:rPr>
      <w:rFonts w:ascii="仿宋" w:hAnsi="仿宋" w:eastAsia="仿宋" w:cs="Times New Roman"/>
      <w:kern w:val="2"/>
      <w:sz w:val="28"/>
      <w:szCs w:val="24"/>
      <w:lang w:val="en-US" w:eastAsia="zh-CN" w:bidi="ar-SA"/>
    </w:rPr>
  </w:style>
  <w:style w:type="paragraph" w:styleId="3">
    <w:name w:val="heading 1"/>
    <w:basedOn w:val="1"/>
    <w:next w:val="1"/>
    <w:qFormat/>
    <w:uiPriority w:val="0"/>
    <w:pPr>
      <w:keepNext/>
      <w:keepLines/>
      <w:jc w:val="left"/>
      <w:outlineLvl w:val="0"/>
    </w:pPr>
    <w:rPr>
      <w:rFonts w:ascii="宋体" w:hAnsi="宋体" w:eastAsia="黑体"/>
      <w:b/>
      <w:bCs/>
      <w:kern w:val="44"/>
      <w:szCs w:val="44"/>
    </w:rPr>
  </w:style>
  <w:style w:type="paragraph" w:styleId="4">
    <w:name w:val="heading 2"/>
    <w:basedOn w:val="1"/>
    <w:next w:val="1"/>
    <w:unhideWhenUsed/>
    <w:qFormat/>
    <w:uiPriority w:val="0"/>
    <w:pPr>
      <w:keepNext/>
      <w:keepLines/>
      <w:outlineLvl w:val="1"/>
    </w:pPr>
    <w:rPr>
      <w:rFonts w:ascii="Arial" w:hAnsi="Arial" w:eastAsia="楷体"/>
      <w:b/>
      <w:sz w:val="32"/>
    </w:rPr>
  </w:style>
  <w:style w:type="paragraph" w:styleId="5">
    <w:name w:val="heading 3"/>
    <w:basedOn w:val="1"/>
    <w:next w:val="1"/>
    <w:qFormat/>
    <w:uiPriority w:val="0"/>
    <w:pPr>
      <w:keepNext/>
      <w:keepLines/>
      <w:outlineLvl w:val="2"/>
    </w:pPr>
    <w:rPr>
      <w:rFonts w:ascii="仿宋_GB2312" w:hAnsi="仿宋_GB2312" w:eastAsia="仿宋_GB2312"/>
      <w:b/>
      <w:bCs/>
      <w:szCs w:val="32"/>
    </w:rPr>
  </w:style>
  <w:style w:type="character" w:default="1" w:styleId="12">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2">
    <w:name w:val="Title"/>
    <w:basedOn w:val="1"/>
    <w:next w:val="1"/>
    <w:qFormat/>
    <w:uiPriority w:val="0"/>
    <w:pPr>
      <w:jc w:val="left"/>
      <w:outlineLvl w:val="0"/>
    </w:pPr>
    <w:rPr>
      <w:rFonts w:ascii="MS Sans Serif" w:hAnsi="MS Sans Serif" w:cs="MS Sans Serif"/>
      <w:b/>
      <w:bCs/>
      <w:sz w:val="24"/>
      <w:szCs w:val="32"/>
    </w:rPr>
  </w:style>
  <w:style w:type="paragraph" w:styleId="6">
    <w:name w:val="annotation text"/>
    <w:basedOn w:val="1"/>
    <w:qFormat/>
    <w:uiPriority w:val="0"/>
    <w:pPr>
      <w:jc w:val="left"/>
    </w:pPr>
  </w:style>
  <w:style w:type="paragraph" w:styleId="7">
    <w:name w:val="Body Text"/>
    <w:basedOn w:val="1"/>
    <w:qFormat/>
    <w:uiPriority w:val="99"/>
    <w:pPr>
      <w:spacing w:after="120"/>
    </w:pPr>
    <w:rPr>
      <w:rFonts w:ascii="Times New Roman" w:hAnsi="Times New Roman" w:eastAsia="宋体"/>
    </w:rPr>
  </w:style>
  <w:style w:type="paragraph" w:styleId="8">
    <w:name w:val="footer"/>
    <w:basedOn w:val="1"/>
    <w:link w:val="21"/>
    <w:qFormat/>
    <w:uiPriority w:val="99"/>
    <w:pPr>
      <w:tabs>
        <w:tab w:val="center" w:pos="4153"/>
        <w:tab w:val="right" w:pos="8306"/>
      </w:tabs>
      <w:snapToGrid w:val="0"/>
      <w:jc w:val="left"/>
    </w:pPr>
    <w:rPr>
      <w:rFonts w:ascii="Times New Roman" w:hAnsi="Times New Roman"/>
      <w:sz w:val="18"/>
    </w:rPr>
  </w:style>
  <w:style w:type="paragraph" w:styleId="9">
    <w:name w:val="header"/>
    <w:basedOn w:val="1"/>
    <w:link w:val="19"/>
    <w:unhideWhenUsed/>
    <w:qFormat/>
    <w:uiPriority w:val="99"/>
    <w:pPr>
      <w:pBdr>
        <w:bottom w:val="single" w:color="auto" w:sz="6" w:space="1"/>
      </w:pBdr>
      <w:tabs>
        <w:tab w:val="center" w:pos="4153"/>
        <w:tab w:val="right" w:pos="8306"/>
      </w:tabs>
      <w:snapToGrid w:val="0"/>
      <w:jc w:val="center"/>
    </w:pPr>
    <w:rPr>
      <w:sz w:val="18"/>
      <w:szCs w:val="18"/>
    </w:rPr>
  </w:style>
  <w:style w:type="paragraph" w:styleId="10">
    <w:name w:val="Normal (Web)"/>
    <w:basedOn w:val="1"/>
    <w:qFormat/>
    <w:uiPriority w:val="99"/>
    <w:pPr>
      <w:spacing w:before="100" w:beforeAutospacing="1" w:after="100" w:afterAutospacing="1"/>
      <w:jc w:val="left"/>
    </w:pPr>
    <w:rPr>
      <w:sz w:val="24"/>
    </w:rPr>
  </w:style>
  <w:style w:type="character" w:styleId="13">
    <w:name w:val="Strong"/>
    <w:basedOn w:val="12"/>
    <w:qFormat/>
    <w:uiPriority w:val="0"/>
    <w:rPr>
      <w:b/>
      <w:bCs/>
    </w:rPr>
  </w:style>
  <w:style w:type="paragraph" w:customStyle="1" w:styleId="14">
    <w:name w:val="正文A"/>
    <w:basedOn w:val="1"/>
    <w:qFormat/>
    <w:uiPriority w:val="4"/>
    <w:pPr>
      <w:widowControl/>
      <w:spacing w:line="580" w:lineRule="exact"/>
      <w:ind w:firstLine="640"/>
      <w:jc w:val="left"/>
    </w:pPr>
    <w:rPr>
      <w:rFonts w:ascii="仿宋_GB2312" w:hAnsi="仿宋_GB2312" w:eastAsia="仿宋_GB2312" w:cs="宋体"/>
      <w:sz w:val="32"/>
      <w:szCs w:val="32"/>
    </w:rPr>
  </w:style>
  <w:style w:type="paragraph" w:styleId="15">
    <w:name w:val="List Paragraph"/>
    <w:basedOn w:val="1"/>
    <w:unhideWhenUsed/>
    <w:qFormat/>
    <w:uiPriority w:val="99"/>
    <w:pPr>
      <w:ind w:firstLine="420"/>
    </w:pPr>
  </w:style>
  <w:style w:type="paragraph" w:customStyle="1" w:styleId="16">
    <w:name w:val="样式1"/>
    <w:basedOn w:val="1"/>
    <w:link w:val="18"/>
    <w:qFormat/>
    <w:uiPriority w:val="0"/>
    <w:pPr>
      <w:ind w:firstLine="560"/>
    </w:pPr>
  </w:style>
  <w:style w:type="paragraph" w:customStyle="1" w:styleId="17">
    <w:name w:val="样式2"/>
    <w:basedOn w:val="9"/>
    <w:link w:val="20"/>
    <w:qFormat/>
    <w:uiPriority w:val="0"/>
    <w:pPr>
      <w:pBdr>
        <w:bottom w:val="none" w:color="auto" w:sz="0" w:space="0"/>
      </w:pBdr>
      <w:ind w:firstLine="360"/>
    </w:pPr>
  </w:style>
  <w:style w:type="character" w:customStyle="1" w:styleId="18">
    <w:name w:val="样式1 Char"/>
    <w:basedOn w:val="12"/>
    <w:link w:val="16"/>
    <w:qFormat/>
    <w:uiPriority w:val="0"/>
    <w:rPr>
      <w:rFonts w:ascii="仿宋" w:hAnsi="仿宋" w:eastAsia="仿宋"/>
      <w:kern w:val="2"/>
      <w:sz w:val="28"/>
      <w:szCs w:val="24"/>
    </w:rPr>
  </w:style>
  <w:style w:type="character" w:customStyle="1" w:styleId="19">
    <w:name w:val="页眉 字符"/>
    <w:basedOn w:val="12"/>
    <w:link w:val="9"/>
    <w:qFormat/>
    <w:uiPriority w:val="99"/>
    <w:rPr>
      <w:rFonts w:ascii="仿宋" w:hAnsi="仿宋" w:eastAsia="仿宋"/>
      <w:kern w:val="2"/>
      <w:sz w:val="18"/>
      <w:szCs w:val="18"/>
    </w:rPr>
  </w:style>
  <w:style w:type="character" w:customStyle="1" w:styleId="20">
    <w:name w:val="样式2 Char"/>
    <w:basedOn w:val="19"/>
    <w:link w:val="17"/>
    <w:qFormat/>
    <w:uiPriority w:val="0"/>
    <w:rPr>
      <w:rFonts w:ascii="仿宋" w:hAnsi="仿宋" w:eastAsia="仿宋"/>
      <w:kern w:val="2"/>
      <w:sz w:val="18"/>
      <w:szCs w:val="18"/>
    </w:rPr>
  </w:style>
  <w:style w:type="character" w:customStyle="1" w:styleId="21">
    <w:name w:val="页脚 字符"/>
    <w:basedOn w:val="12"/>
    <w:link w:val="8"/>
    <w:qFormat/>
    <w:uiPriority w:val="99"/>
    <w:rPr>
      <w:rFonts w:eastAsia="仿宋"/>
      <w:kern w:val="2"/>
      <w:sz w:val="18"/>
      <w:szCs w:val="24"/>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numbering" Target="numbering.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china</Company>
  <Pages>16</Pages>
  <Words>999</Words>
  <Characters>5700</Characters>
  <Lines>47</Lines>
  <Paragraphs>13</Paragraphs>
  <TotalTime>24</TotalTime>
  <ScaleCrop>false</ScaleCrop>
  <LinksUpToDate>false</LinksUpToDate>
  <CharactersWithSpaces>6686</CharactersWithSpaces>
  <Application>WPS Office_11.1.0.9192_F1E327BC-269C-435d-A152-05C5408002CA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86130</cp:lastModifiedBy>
  <dcterms:modified xsi:type="dcterms:W3CDTF">2023-02-17T05:29:50Z</dcterms:modified>
  <cp:revision>22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2052-11.1.0.9192</vt:lpwstr>
  </property>
</Properties>
</file>