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昌吉市部门单位整体支出绩效</w:t>
      </w: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部门单位名称（公章）：昌吉市人民武装部</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填报时间：202</w:t>
      </w:r>
      <w:r>
        <w:rPr>
          <w:rFonts w:hint="eastAsia" w:ascii="黑体" w:hAnsi="黑体" w:eastAsia="黑体" w:cs="黑体"/>
          <w:bCs/>
          <w:color w:val="auto"/>
          <w:sz w:val="36"/>
          <w:szCs w:val="36"/>
          <w:highlight w:val="none"/>
          <w:lang w:val="en-US" w:eastAsia="zh-CN"/>
        </w:rPr>
        <w:t>3</w:t>
      </w:r>
      <w:r>
        <w:rPr>
          <w:rFonts w:hint="eastAsia" w:ascii="黑体" w:hAnsi="黑体" w:eastAsia="黑体" w:cs="黑体"/>
          <w:bCs/>
          <w:color w:val="auto"/>
          <w:sz w:val="36"/>
          <w:szCs w:val="36"/>
          <w:highlight w:val="none"/>
        </w:rPr>
        <w:t xml:space="preserve">  年 2 月</w:t>
      </w:r>
      <w:r>
        <w:rPr>
          <w:rFonts w:hint="eastAsia" w:ascii="黑体" w:hAnsi="黑体" w:eastAsia="黑体" w:cs="黑体"/>
          <w:bCs/>
          <w:color w:val="auto"/>
          <w:sz w:val="36"/>
          <w:szCs w:val="36"/>
          <w:highlight w:val="none"/>
          <w:lang w:val="en-US" w:eastAsia="zh-CN"/>
        </w:rPr>
        <w:t>10</w:t>
      </w:r>
      <w:r>
        <w:rPr>
          <w:rFonts w:hint="eastAsia" w:ascii="黑体" w:hAnsi="黑体" w:eastAsia="黑体" w:cs="黑体"/>
          <w:bCs/>
          <w:color w:val="auto"/>
          <w:sz w:val="36"/>
          <w:szCs w:val="36"/>
          <w:highlight w:val="none"/>
        </w:rPr>
        <w:t xml:space="preserve">  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3"/>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snapToGrid w:val="0"/>
        <w:spacing w:line="520" w:lineRule="exact"/>
        <w:ind w:firstLine="627" w:firstLineChars="196"/>
        <w:rPr>
          <w:color w:val="auto"/>
          <w:sz w:val="32"/>
          <w:szCs w:val="32"/>
          <w:highlight w:val="none"/>
        </w:rPr>
      </w:pPr>
      <w:r>
        <w:rPr>
          <w:rFonts w:hint="eastAsia"/>
          <w:color w:val="auto"/>
          <w:sz w:val="32"/>
          <w:szCs w:val="32"/>
          <w:highlight w:val="none"/>
        </w:rPr>
        <w:t>人武部内设三个科室，分别是军事科、政治工作科、保障科。本单位编制数 1</w:t>
      </w:r>
      <w:r>
        <w:rPr>
          <w:rFonts w:hint="eastAsia"/>
          <w:color w:val="auto"/>
          <w:sz w:val="32"/>
          <w:szCs w:val="32"/>
          <w:highlight w:val="none"/>
          <w:lang w:val="en-US" w:eastAsia="zh-CN"/>
        </w:rPr>
        <w:t>5</w:t>
      </w:r>
      <w:r>
        <w:rPr>
          <w:rFonts w:hint="eastAsia"/>
          <w:color w:val="auto"/>
          <w:sz w:val="32"/>
          <w:szCs w:val="32"/>
          <w:highlight w:val="none"/>
        </w:rPr>
        <w:t>人，实有人 15人，其中：在职1</w:t>
      </w:r>
      <w:r>
        <w:rPr>
          <w:rFonts w:hint="eastAsia"/>
          <w:color w:val="auto"/>
          <w:sz w:val="32"/>
          <w:szCs w:val="32"/>
          <w:highlight w:val="none"/>
          <w:lang w:val="en-US" w:eastAsia="zh-CN"/>
        </w:rPr>
        <w:t>3</w:t>
      </w:r>
      <w:r>
        <w:rPr>
          <w:rFonts w:hint="eastAsia"/>
          <w:color w:val="auto"/>
          <w:sz w:val="32"/>
          <w:szCs w:val="32"/>
          <w:highlight w:val="none"/>
        </w:rPr>
        <w:t>人，退休人数</w:t>
      </w:r>
      <w:r>
        <w:rPr>
          <w:rFonts w:hint="eastAsia"/>
          <w:color w:val="auto"/>
          <w:sz w:val="32"/>
          <w:szCs w:val="32"/>
          <w:highlight w:val="none"/>
          <w:lang w:val="en-US" w:eastAsia="zh-CN"/>
        </w:rPr>
        <w:t>2</w:t>
      </w:r>
      <w:r>
        <w:rPr>
          <w:rFonts w:hint="eastAsia"/>
          <w:color w:val="auto"/>
          <w:sz w:val="32"/>
          <w:szCs w:val="32"/>
          <w:highlight w:val="none"/>
        </w:rPr>
        <w:t xml:space="preserve"> 人移交社保局管理。</w:t>
      </w:r>
    </w:p>
    <w:p>
      <w:pPr>
        <w:numPr>
          <w:ilvl w:val="0"/>
          <w:numId w:val="1"/>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14"/>
        <w:spacing w:line="600" w:lineRule="exact"/>
        <w:ind w:left="420" w:leftChars="150" w:firstLine="320" w:firstLineChars="100"/>
        <w:rPr>
          <w:rFonts w:cs="仿宋"/>
          <w:color w:val="auto"/>
          <w:sz w:val="32"/>
          <w:szCs w:val="32"/>
          <w:highlight w:val="none"/>
        </w:rPr>
      </w:pPr>
      <w:r>
        <w:rPr>
          <w:rFonts w:hint="eastAsia" w:ascii="仿宋_GB2312" w:eastAsia="仿宋_GB2312" w:hAnsiTheme="minorEastAsia"/>
          <w:color w:val="auto"/>
          <w:sz w:val="32"/>
          <w:szCs w:val="32"/>
          <w:highlight w:val="none"/>
        </w:rPr>
        <w:t>昌吉市人武部隶属于昌吉军分区，</w:t>
      </w:r>
      <w:r>
        <w:rPr>
          <w:rFonts w:hint="eastAsia" w:cs="仿宋"/>
          <w:color w:val="auto"/>
          <w:sz w:val="32"/>
          <w:szCs w:val="32"/>
          <w:highlight w:val="none"/>
        </w:rPr>
        <w:t>本单位承担的职能共五项，具体是：</w:t>
      </w:r>
    </w:p>
    <w:p>
      <w:pPr>
        <w:pStyle w:val="14"/>
        <w:snapToGrid w:val="0"/>
        <w:spacing w:line="600" w:lineRule="exact"/>
        <w:ind w:left="420" w:firstLine="0" w:firstLineChars="0"/>
        <w:rPr>
          <w:color w:val="auto"/>
          <w:sz w:val="32"/>
          <w:szCs w:val="32"/>
          <w:highlight w:val="none"/>
        </w:rPr>
      </w:pPr>
      <w:r>
        <w:rPr>
          <w:rFonts w:hint="eastAsia"/>
          <w:color w:val="auto"/>
          <w:sz w:val="32"/>
          <w:szCs w:val="32"/>
          <w:highlight w:val="none"/>
        </w:rPr>
        <w:t>（1）完成了军地两地下达的年度征兵任务。</w:t>
      </w:r>
    </w:p>
    <w:p>
      <w:pPr>
        <w:pStyle w:val="14"/>
        <w:snapToGrid w:val="0"/>
        <w:spacing w:line="600" w:lineRule="exact"/>
        <w:ind w:left="420" w:firstLine="0" w:firstLineChars="0"/>
        <w:rPr>
          <w:color w:val="auto"/>
          <w:sz w:val="32"/>
          <w:szCs w:val="32"/>
          <w:highlight w:val="none"/>
        </w:rPr>
      </w:pPr>
      <w:r>
        <w:rPr>
          <w:rFonts w:hint="eastAsia"/>
          <w:color w:val="auto"/>
          <w:sz w:val="32"/>
          <w:szCs w:val="32"/>
          <w:highlight w:val="none"/>
        </w:rPr>
        <w:t>（2）按规定完成了民兵整组任务。</w:t>
      </w:r>
    </w:p>
    <w:p>
      <w:pPr>
        <w:pStyle w:val="14"/>
        <w:snapToGrid w:val="0"/>
        <w:spacing w:line="600" w:lineRule="exact"/>
        <w:ind w:left="420" w:firstLine="0" w:firstLineChars="0"/>
        <w:rPr>
          <w:color w:val="auto"/>
          <w:sz w:val="32"/>
          <w:szCs w:val="32"/>
          <w:highlight w:val="none"/>
        </w:rPr>
      </w:pPr>
      <w:r>
        <w:rPr>
          <w:rFonts w:hint="eastAsia"/>
          <w:color w:val="auto"/>
          <w:sz w:val="32"/>
          <w:szCs w:val="32"/>
          <w:highlight w:val="none"/>
        </w:rPr>
        <w:t>（3）完成了军地及上级部门下达的各项任务。</w:t>
      </w:r>
    </w:p>
    <w:p>
      <w:pPr>
        <w:pStyle w:val="14"/>
        <w:snapToGrid w:val="0"/>
        <w:spacing w:line="600" w:lineRule="exact"/>
        <w:ind w:left="420" w:firstLine="0" w:firstLineChars="0"/>
        <w:rPr>
          <w:color w:val="auto"/>
          <w:sz w:val="32"/>
          <w:szCs w:val="32"/>
          <w:highlight w:val="none"/>
        </w:rPr>
      </w:pPr>
      <w:r>
        <w:rPr>
          <w:rFonts w:hint="eastAsia"/>
          <w:color w:val="auto"/>
          <w:sz w:val="32"/>
          <w:szCs w:val="32"/>
          <w:highlight w:val="none"/>
        </w:rPr>
        <w:t>（4）有效地配合地方政府完成各项任务。</w:t>
      </w:r>
    </w:p>
    <w:p>
      <w:pPr>
        <w:pStyle w:val="14"/>
        <w:snapToGrid w:val="0"/>
        <w:spacing w:line="600" w:lineRule="exact"/>
        <w:ind w:left="420" w:firstLine="0" w:firstLineChars="0"/>
        <w:rPr>
          <w:color w:val="auto"/>
          <w:sz w:val="32"/>
          <w:szCs w:val="32"/>
          <w:highlight w:val="none"/>
        </w:rPr>
      </w:pPr>
      <w:r>
        <w:rPr>
          <w:rFonts w:hint="eastAsia"/>
          <w:color w:val="auto"/>
          <w:sz w:val="32"/>
          <w:szCs w:val="32"/>
          <w:highlight w:val="none"/>
        </w:rPr>
        <w:t>（5）按规定完成了各类宣传及培训工作。</w:t>
      </w:r>
    </w:p>
    <w:p>
      <w:pPr>
        <w:numPr>
          <w:ilvl w:val="0"/>
          <w:numId w:val="1"/>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年度重点工作计划</w:t>
      </w:r>
    </w:p>
    <w:p>
      <w:pPr>
        <w:pStyle w:val="9"/>
        <w:shd w:val="clear" w:color="auto" w:fill="FFFFFF"/>
        <w:spacing w:before="0" w:beforeAutospacing="0" w:after="0" w:afterAutospacing="0" w:line="440" w:lineRule="atLeast"/>
        <w:ind w:left="199" w:leftChars="71" w:firstLine="320" w:firstLineChars="100"/>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rPr>
        <w:t>（1） 年度总体工作为征兵、集训、考核、执勤及突发事件。</w:t>
      </w:r>
    </w:p>
    <w:p>
      <w:pPr>
        <w:pStyle w:val="9"/>
        <w:shd w:val="clear" w:color="auto" w:fill="FFFFFF"/>
        <w:spacing w:before="0" w:beforeAutospacing="0" w:after="0" w:afterAutospacing="0" w:line="440" w:lineRule="atLeast"/>
        <w:ind w:firstLineChars="0"/>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rPr>
        <w:t xml:space="preserve">  （2）每年一次春季征兵，根据指示开展民兵定期、不定期数次集中训练。</w:t>
      </w:r>
    </w:p>
    <w:p>
      <w:pPr>
        <w:pStyle w:val="9"/>
        <w:shd w:val="clear" w:color="auto" w:fill="FFFFFF"/>
        <w:spacing w:before="0" w:beforeAutospacing="0" w:after="0" w:afterAutospacing="0" w:line="440" w:lineRule="atLeast"/>
        <w:ind w:left="200" w:firstLine="0" w:firstLineChars="0"/>
        <w:rPr>
          <w:rFonts w:ascii="仿宋_GB2312" w:eastAsia="仿宋_GB2312" w:hAnsiTheme="minorEastAsia"/>
          <w:color w:val="auto"/>
          <w:sz w:val="32"/>
          <w:szCs w:val="32"/>
          <w:highlight w:val="none"/>
        </w:rPr>
      </w:pPr>
      <w:r>
        <w:rPr>
          <w:rFonts w:hint="eastAsia" w:ascii="仿宋_GB2312" w:eastAsia="仿宋_GB2312" w:hAnsiTheme="minorEastAsia"/>
          <w:color w:val="auto"/>
          <w:sz w:val="32"/>
          <w:szCs w:val="32"/>
          <w:highlight w:val="none"/>
        </w:rPr>
        <w:t xml:space="preserve">  （3）</w:t>
      </w:r>
      <w:r>
        <w:rPr>
          <w:rFonts w:hint="eastAsia"/>
          <w:color w:val="auto"/>
          <w:sz w:val="32"/>
          <w:szCs w:val="32"/>
          <w:highlight w:val="none"/>
        </w:rPr>
        <w:t>完成一年一度民兵整组任务，军地及上级部门下达的各项任务，有效地配合地方政府完成各项任务。</w:t>
      </w:r>
    </w:p>
    <w:p>
      <w:pPr>
        <w:pStyle w:val="2"/>
        <w:ind w:firstLine="0" w:firstLineChars="0"/>
        <w:rPr>
          <w:color w:val="auto"/>
          <w:sz w:val="32"/>
          <w:highlight w:val="none"/>
        </w:rPr>
      </w:pPr>
    </w:p>
    <w:p>
      <w:pPr>
        <w:pStyle w:val="4"/>
        <w:tabs>
          <w:tab w:val="left" w:pos="6195"/>
        </w:tabs>
        <w:ind w:firstLine="643"/>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决策机制根据行政事业单位内部控制体系建设相关要求，逐步完善《昌吉市人民武装部党组会议、办公会议议事规则》，根据《中华人民共和国征兵工作条例》征集新兵，加强部队建设保卫国家安全。依据军委国防动员部署和《民兵军事训练大纲》加强民兵队伍建设。依据国防动员 委员会《加强国防动员配套建设的指导意见》进行部位事项决策。</w:t>
      </w:r>
    </w:p>
    <w:p>
      <w:pPr>
        <w:pStyle w:val="4"/>
        <w:numPr>
          <w:ilvl w:val="0"/>
          <w:numId w:val="2"/>
        </w:numPr>
        <w:ind w:firstLine="643"/>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3"/>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根据</w:t>
      </w:r>
      <w:r>
        <w:rPr>
          <w:rFonts w:hint="eastAsia" w:ascii="仿宋_GB2312" w:eastAsia="仿宋_GB2312" w:cs="仿宋"/>
          <w:color w:val="auto"/>
          <w:sz w:val="32"/>
          <w:szCs w:val="32"/>
          <w:highlight w:val="none"/>
          <w:lang w:eastAsia="zh-CN"/>
        </w:rPr>
        <w:t>2022年</w:t>
      </w:r>
      <w:r>
        <w:rPr>
          <w:rFonts w:hint="eastAsia" w:ascii="仿宋_GB2312" w:eastAsia="仿宋_GB2312" w:cs="仿宋"/>
          <w:color w:val="auto"/>
          <w:sz w:val="32"/>
          <w:szCs w:val="32"/>
          <w:highlight w:val="none"/>
        </w:rPr>
        <w:t>部门预算编制及市财政下达的预算批复，本单位年度预算数为一般公共预算财政拨款，基本支出根据单位人员编制、实有人数、年度计划等要素进行预算编制，</w:t>
      </w:r>
      <w:r>
        <w:rPr>
          <w:rFonts w:hint="eastAsia" w:ascii="仿宋_GB2312" w:eastAsia="仿宋_GB2312" w:cs="仿宋"/>
          <w:color w:val="auto"/>
          <w:sz w:val="32"/>
          <w:szCs w:val="32"/>
          <w:highlight w:val="none"/>
        </w:rPr>
        <w:t>年初预算数</w:t>
      </w:r>
      <w:r>
        <w:rPr>
          <w:rFonts w:hint="eastAsia" w:ascii="仿宋_GB2312" w:eastAsia="仿宋_GB2312" w:cs="仿宋"/>
          <w:color w:val="auto"/>
          <w:sz w:val="32"/>
          <w:szCs w:val="32"/>
          <w:highlight w:val="none"/>
          <w:lang w:eastAsia="zh-CN"/>
        </w:rPr>
        <w:t>205.72</w:t>
      </w:r>
      <w:r>
        <w:rPr>
          <w:rFonts w:hint="eastAsia" w:ascii="仿宋_GB2312" w:eastAsia="仿宋_GB2312" w:cs="仿宋"/>
          <w:color w:val="auto"/>
          <w:sz w:val="32"/>
          <w:szCs w:val="32"/>
          <w:highlight w:val="none"/>
        </w:rPr>
        <w:t>万元</w:t>
      </w:r>
      <w:r>
        <w:rPr>
          <w:rFonts w:hint="eastAsia" w:ascii="仿宋_GB2312" w:eastAsia="仿宋_GB2312" w:cs="仿宋"/>
          <w:color w:val="auto"/>
          <w:sz w:val="32"/>
          <w:szCs w:val="32"/>
          <w:highlight w:val="none"/>
        </w:rPr>
        <w:t>，预算批复后，严格按照财政部门批复的预算和绩效目标执行。</w:t>
      </w:r>
    </w:p>
    <w:p>
      <w:pPr>
        <w:widowControl/>
        <w:ind w:firstLine="643"/>
        <w:jc w:val="left"/>
        <w:rPr>
          <w:rFonts w:hint="eastAsia"/>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本年度本单位预算未安排重点项目。</w:t>
      </w:r>
      <w:r>
        <w:rPr>
          <w:rFonts w:hint="eastAsia"/>
          <w:color w:val="auto"/>
          <w:sz w:val="32"/>
          <w:szCs w:val="32"/>
          <w:highlight w:val="none"/>
        </w:rPr>
        <w:t>部门单位整体支出规模、使用方法和主要内容、涉及范围</w:t>
      </w:r>
    </w:p>
    <w:p>
      <w:pPr>
        <w:pStyle w:val="4"/>
        <w:numPr>
          <w:ilvl w:val="0"/>
          <w:numId w:val="2"/>
        </w:numPr>
        <w:ind w:firstLine="640"/>
        <w:rPr>
          <w:color w:val="auto"/>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度，</w:t>
      </w:r>
      <w:r>
        <w:rPr>
          <w:rFonts w:hint="eastAsia" w:ascii="仿宋_GB2312" w:eastAsia="仿宋_GB2312"/>
          <w:bCs/>
          <w:color w:val="auto"/>
          <w:sz w:val="32"/>
          <w:szCs w:val="32"/>
          <w:highlight w:val="none"/>
        </w:rPr>
        <w:t>昌吉市人民武装部部门单位部门单位整体支出年初预算金额为</w:t>
      </w:r>
      <w:r>
        <w:rPr>
          <w:rFonts w:hint="eastAsia" w:ascii="仿宋_GB2312" w:eastAsia="仿宋_GB2312"/>
          <w:color w:val="auto"/>
          <w:sz w:val="32"/>
          <w:szCs w:val="32"/>
          <w:highlight w:val="none"/>
          <w:lang w:val="en-US" w:eastAsia="zh-CN"/>
        </w:rPr>
        <w:t>205.72</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205.72</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rPr>
        <w:t>执行率</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其中：政府采购年初预算</w:t>
      </w:r>
      <w:r>
        <w:rPr>
          <w:rFonts w:hint="eastAsia" w:ascii="仿宋_GB2312" w:eastAsia="仿宋_GB2312"/>
          <w:color w:val="auto"/>
          <w:sz w:val="32"/>
          <w:szCs w:val="32"/>
          <w:highlight w:val="none"/>
        </w:rPr>
        <w:t>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45.53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综上，我单位部门单位整体预算总额</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251.25</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251.25</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pStyle w:val="2"/>
        <w:ind w:firstLine="643"/>
        <w:rPr>
          <w:color w:val="auto"/>
          <w:sz w:val="32"/>
          <w:highlight w:val="none"/>
        </w:rPr>
      </w:pPr>
      <w:r>
        <w:rPr>
          <w:rFonts w:hint="eastAsia"/>
          <w:color w:val="auto"/>
          <w:sz w:val="32"/>
          <w:highlight w:val="none"/>
        </w:rPr>
        <w:t>2.部门单位整体支出自评使用方法、主要内容、涉及范围</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度我单位部门整体支出开展绩效自评。本次自评主要内容和涉及范围：一是部门单位整体支出管理及使用情况，具体涉及预算管理、基本支出和专项支出的管理及使用情况；二是部门单位基本支出专项组织实施情况，具体涉及专项组织情况分析和管理情况分析；三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单位内部财务规定》和财务规定管理办法（制度），并严格按照此管理办法（制度）管理使用预算资金，严格按照政府信息公开有关规定及财政部门要求公开相关预决算信</w:t>
      </w:r>
      <w:r>
        <w:rPr>
          <w:rFonts w:hint="eastAsia" w:ascii="仿宋_GB2312" w:eastAsia="仿宋_GB2312"/>
          <w:color w:val="auto"/>
          <w:sz w:val="32"/>
          <w:szCs w:val="32"/>
          <w:highlight w:val="none"/>
        </w:rPr>
        <w:t>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，昌吉市人民武装部基本支出年初预算金额为</w:t>
      </w:r>
      <w:r>
        <w:rPr>
          <w:rFonts w:hint="eastAsia" w:ascii="仿宋_GB2312" w:eastAsia="仿宋_GB2312"/>
          <w:color w:val="auto"/>
          <w:sz w:val="32"/>
          <w:szCs w:val="32"/>
          <w:highlight w:val="none"/>
          <w:lang w:eastAsia="zh-CN"/>
        </w:rPr>
        <w:t>205.72</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eastAsia="zh-CN"/>
        </w:rPr>
        <w:t>205.72</w:t>
      </w:r>
      <w:r>
        <w:rPr>
          <w:rFonts w:hint="eastAsia" w:ascii="仿宋_GB2312" w:eastAsia="仿宋_GB2312"/>
          <w:color w:val="auto"/>
          <w:sz w:val="32"/>
          <w:szCs w:val="32"/>
          <w:highlight w:val="none"/>
        </w:rPr>
        <w:t>万元，执行率为100</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26.15</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231.87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231.87</w:t>
      </w:r>
      <w:r>
        <w:rPr>
          <w:rFonts w:hint="eastAsia" w:ascii="仿宋_GB2312" w:eastAsia="仿宋_GB2312"/>
          <w:color w:val="auto"/>
          <w:sz w:val="32"/>
          <w:szCs w:val="32"/>
          <w:highlight w:val="none"/>
        </w:rPr>
        <w:t>万元，预算总执行率为100</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210.80</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21.07</w:t>
      </w:r>
      <w:r>
        <w:rPr>
          <w:rFonts w:hint="eastAsia" w:ascii="仿宋_GB2312" w:eastAsia="仿宋_GB2312"/>
          <w:color w:val="auto"/>
          <w:sz w:val="32"/>
          <w:szCs w:val="32"/>
          <w:highlight w:val="none"/>
          <w:lang w:eastAsia="zh-CN"/>
        </w:rPr>
        <w:t>万元</w:t>
      </w:r>
      <w:r>
        <w:rPr>
          <w:rFonts w:hint="eastAsia" w:ascii="仿宋_GB2312" w:eastAsia="仿宋_GB2312"/>
          <w:color w:val="auto"/>
          <w:sz w:val="32"/>
          <w:szCs w:val="32"/>
          <w:highlight w:val="none"/>
        </w:rPr>
        <w:t>。</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2022年</w:t>
      </w:r>
      <w:r>
        <w:rPr>
          <w:rFonts w:hint="eastAsia" w:ascii="仿宋_GB2312" w:eastAsia="仿宋_GB2312" w:cs="宋体"/>
          <w:color w:val="auto"/>
          <w:sz w:val="32"/>
          <w:szCs w:val="32"/>
          <w:highlight w:val="none"/>
        </w:rPr>
        <w:t>“三公”经费预算数为2.6万元，其中：因公出国（境）费</w:t>
      </w:r>
      <w:r>
        <w:rPr>
          <w:rFonts w:hint="eastAsia" w:ascii="仿宋_GB2312" w:eastAsia="仿宋_GB2312" w:cs="宋体"/>
          <w:color w:val="auto"/>
          <w:sz w:val="32"/>
          <w:szCs w:val="32"/>
          <w:highlight w:val="none"/>
          <w:lang w:eastAsia="zh-CN"/>
        </w:rPr>
        <w:t>0.00万元</w:t>
      </w:r>
      <w:r>
        <w:rPr>
          <w:rFonts w:hint="eastAsia" w:ascii="仿宋_GB2312" w:eastAsia="仿宋_GB2312" w:cs="宋体"/>
          <w:color w:val="auto"/>
          <w:sz w:val="32"/>
          <w:szCs w:val="32"/>
          <w:highlight w:val="none"/>
        </w:rPr>
        <w:t>，公务用车购置及运行费2.6万元（其中公务用车购置为</w:t>
      </w:r>
      <w:r>
        <w:rPr>
          <w:rFonts w:hint="eastAsia" w:ascii="仿宋_GB2312" w:eastAsia="仿宋_GB2312" w:cs="宋体"/>
          <w:color w:val="auto"/>
          <w:sz w:val="32"/>
          <w:szCs w:val="32"/>
          <w:highlight w:val="none"/>
          <w:lang w:eastAsia="zh-CN"/>
        </w:rPr>
        <w:t>0.00万元</w:t>
      </w:r>
      <w:r>
        <w:rPr>
          <w:rFonts w:hint="eastAsia" w:ascii="仿宋_GB2312" w:eastAsia="仿宋_GB2312" w:cs="宋体"/>
          <w:color w:val="auto"/>
          <w:sz w:val="32"/>
          <w:szCs w:val="32"/>
          <w:highlight w:val="none"/>
        </w:rPr>
        <w:t>），公务接待费</w:t>
      </w:r>
      <w:r>
        <w:rPr>
          <w:rFonts w:hint="eastAsia" w:ascii="仿宋_GB2312" w:eastAsia="仿宋_GB2312" w:cs="宋体"/>
          <w:color w:val="auto"/>
          <w:sz w:val="32"/>
          <w:szCs w:val="32"/>
          <w:highlight w:val="none"/>
          <w:lang w:eastAsia="zh-CN"/>
        </w:rPr>
        <w:t>0.00万元</w:t>
      </w:r>
      <w:r>
        <w:rPr>
          <w:rFonts w:hint="eastAsia" w:ascii="仿宋_GB2312" w:eastAsia="仿宋_GB2312" w:cs="宋体"/>
          <w:color w:val="auto"/>
          <w:sz w:val="32"/>
          <w:szCs w:val="32"/>
          <w:highlight w:val="none"/>
        </w:rPr>
        <w:t>。</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2022年</w:t>
      </w:r>
      <w:r>
        <w:rPr>
          <w:rFonts w:hint="eastAsia" w:ascii="仿宋_GB2312" w:eastAsia="仿宋_GB2312" w:cs="宋体"/>
          <w:color w:val="auto"/>
          <w:sz w:val="32"/>
          <w:szCs w:val="32"/>
          <w:highlight w:val="none"/>
        </w:rPr>
        <w:t>，全年“三公”经费决算支出2.82万元，其中：因公出国（境）费用</w:t>
      </w:r>
      <w:r>
        <w:rPr>
          <w:rFonts w:hint="eastAsia" w:ascii="仿宋_GB2312" w:eastAsia="仿宋_GB2312" w:cs="宋体"/>
          <w:color w:val="auto"/>
          <w:sz w:val="32"/>
          <w:szCs w:val="32"/>
          <w:highlight w:val="none"/>
          <w:lang w:eastAsia="zh-CN"/>
        </w:rPr>
        <w:t>0.00万元</w:t>
      </w:r>
      <w:r>
        <w:rPr>
          <w:rFonts w:hint="eastAsia" w:ascii="仿宋_GB2312" w:eastAsia="仿宋_GB2312" w:cs="宋体"/>
          <w:color w:val="auto"/>
          <w:sz w:val="32"/>
          <w:szCs w:val="32"/>
          <w:highlight w:val="none"/>
        </w:rPr>
        <w:t>、公务用车购置及运行费2.82万元（其中公务用车购置为</w:t>
      </w:r>
      <w:r>
        <w:rPr>
          <w:rFonts w:hint="eastAsia" w:ascii="仿宋_GB2312" w:eastAsia="仿宋_GB2312" w:cs="宋体"/>
          <w:color w:val="auto"/>
          <w:sz w:val="32"/>
          <w:szCs w:val="32"/>
          <w:highlight w:val="none"/>
          <w:lang w:eastAsia="zh-CN"/>
        </w:rPr>
        <w:t>0.00万元</w:t>
      </w:r>
      <w:r>
        <w:rPr>
          <w:rFonts w:hint="eastAsia" w:ascii="仿宋_GB2312" w:eastAsia="仿宋_GB2312" w:cs="宋体"/>
          <w:color w:val="auto"/>
          <w:sz w:val="32"/>
          <w:szCs w:val="32"/>
          <w:highlight w:val="none"/>
        </w:rPr>
        <w:t>）、公务接待费</w:t>
      </w:r>
      <w:r>
        <w:rPr>
          <w:rFonts w:hint="eastAsia" w:ascii="仿宋_GB2312" w:eastAsia="仿宋_GB2312" w:cs="宋体"/>
          <w:color w:val="auto"/>
          <w:sz w:val="32"/>
          <w:szCs w:val="32"/>
          <w:highlight w:val="none"/>
          <w:lang w:eastAsia="zh-CN"/>
        </w:rPr>
        <w:t>0.00万元</w:t>
      </w:r>
      <w:r>
        <w:rPr>
          <w:rFonts w:hint="eastAsia" w:ascii="仿宋_GB2312" w:eastAsia="仿宋_GB2312" w:cs="宋体"/>
          <w:color w:val="auto"/>
          <w:sz w:val="32"/>
          <w:szCs w:val="32"/>
          <w:highlight w:val="none"/>
        </w:rPr>
        <w:t>。较上年“三公”经费决算支出2.79万元，增加0.03万元，增长1.07%,原因为车辆旧运行维护费增加。</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2"/>
        <w:ind w:firstLine="640"/>
        <w:rPr>
          <w:b w:val="0"/>
          <w:bCs w:val="0"/>
          <w:color w:val="auto"/>
          <w:sz w:val="32"/>
          <w:highlight w:val="none"/>
        </w:rPr>
      </w:pPr>
      <w:r>
        <w:rPr>
          <w:rFonts w:hint="eastAsia"/>
          <w:b w:val="0"/>
          <w:bCs w:val="0"/>
          <w:color w:val="auto"/>
          <w:sz w:val="32"/>
          <w:highlight w:val="none"/>
          <w:lang w:eastAsia="zh-CN"/>
        </w:rPr>
        <w:t>2022年</w:t>
      </w:r>
      <w:r>
        <w:rPr>
          <w:rFonts w:hint="eastAsia"/>
          <w:b w:val="0"/>
          <w:bCs w:val="0"/>
          <w:color w:val="auto"/>
          <w:sz w:val="32"/>
          <w:highlight w:val="none"/>
        </w:rPr>
        <w:t>，</w:t>
      </w:r>
      <w:r>
        <w:rPr>
          <w:rFonts w:hint="eastAsia"/>
          <w:b w:val="0"/>
          <w:bCs w:val="0"/>
          <w:color w:val="auto"/>
          <w:sz w:val="32"/>
          <w:highlight w:val="none"/>
        </w:rPr>
        <w:t>昌吉市人民武装部</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0.00</w:t>
      </w:r>
      <w:r>
        <w:rPr>
          <w:rFonts w:hint="eastAsia"/>
          <w:b w:val="0"/>
          <w:bCs w:val="0"/>
          <w:color w:val="auto"/>
          <w:sz w:val="32"/>
          <w:highlight w:val="none"/>
        </w:rPr>
        <w:t>万元，执行率为</w:t>
      </w:r>
      <w:r>
        <w:rPr>
          <w:rFonts w:hint="eastAsia"/>
          <w:b w:val="0"/>
          <w:bCs w:val="0"/>
          <w:color w:val="auto"/>
          <w:sz w:val="32"/>
          <w:highlight w:val="none"/>
          <w:lang w:val="en-US" w:eastAsia="zh-CN"/>
        </w:rPr>
        <w:t>0.0</w:t>
      </w:r>
      <w:r>
        <w:rPr>
          <w:rFonts w:hint="eastAsia"/>
          <w:b w:val="0"/>
          <w:bCs w:val="0"/>
          <w:color w:val="auto"/>
          <w:sz w:val="32"/>
          <w:highlight w:val="none"/>
        </w:rPr>
        <w:t>%，</w:t>
      </w:r>
      <w:r>
        <w:rPr>
          <w:rFonts w:hint="eastAsia"/>
          <w:b w:val="0"/>
          <w:bCs w:val="0"/>
          <w:color w:val="auto"/>
          <w:sz w:val="32"/>
          <w:highlight w:val="none"/>
        </w:rPr>
        <w:t>年中调整预算金额为</w:t>
      </w:r>
      <w:r>
        <w:rPr>
          <w:rFonts w:hint="eastAsia"/>
          <w:b w:val="0"/>
          <w:bCs w:val="0"/>
          <w:color w:val="auto"/>
          <w:sz w:val="32"/>
          <w:highlight w:val="none"/>
          <w:lang w:val="en-US" w:eastAsia="zh-CN"/>
        </w:rPr>
        <w:t>19.38</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19.38</w:t>
      </w:r>
      <w:r>
        <w:rPr>
          <w:rFonts w:hint="eastAsia"/>
          <w:b w:val="0"/>
          <w:bCs w:val="0"/>
          <w:color w:val="auto"/>
          <w:sz w:val="32"/>
          <w:highlight w:val="none"/>
        </w:rPr>
        <w:t>万元，支出总额为</w:t>
      </w:r>
      <w:r>
        <w:rPr>
          <w:rFonts w:hint="eastAsia"/>
          <w:b w:val="0"/>
          <w:bCs w:val="0"/>
          <w:color w:val="auto"/>
          <w:sz w:val="32"/>
          <w:highlight w:val="none"/>
          <w:lang w:val="en-US" w:eastAsia="zh-CN"/>
        </w:rPr>
        <w:t>19.38</w:t>
      </w:r>
      <w:r>
        <w:rPr>
          <w:rFonts w:hint="eastAsia"/>
          <w:b w:val="0"/>
          <w:bCs w:val="0"/>
          <w:color w:val="auto"/>
          <w:sz w:val="32"/>
          <w:highlight w:val="none"/>
        </w:rPr>
        <w:t>万元，预算总执行率为</w:t>
      </w:r>
      <w:r>
        <w:rPr>
          <w:rFonts w:hint="eastAsia"/>
          <w:b w:val="0"/>
          <w:bCs w:val="0"/>
          <w:color w:val="auto"/>
          <w:sz w:val="32"/>
          <w:highlight w:val="none"/>
          <w:lang w:val="en-US" w:eastAsia="zh-CN"/>
        </w:rPr>
        <w:t>100.0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昌吉市人民武装部</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ind w:firstLine="420"/>
        <w:jc w:val="right"/>
        <w:rPr>
          <w:color w:val="auto"/>
          <w:sz w:val="21"/>
          <w:szCs w:val="21"/>
          <w:highlight w:val="none"/>
        </w:rPr>
      </w:pPr>
      <w:r>
        <w:rPr>
          <w:rFonts w:hint="eastAsia"/>
          <w:color w:val="auto"/>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2022年征兵工作经费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19.38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19.38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19.38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19.38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　</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　</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pStyle w:val="2"/>
        <w:ind w:firstLine="640"/>
        <w:rPr>
          <w:rFonts w:hint="eastAsia" w:eastAsia="仿宋_GB2312"/>
          <w:b w:val="0"/>
          <w:bCs w:val="0"/>
          <w:color w:val="auto"/>
          <w:sz w:val="32"/>
          <w:highlight w:val="none"/>
          <w:lang w:eastAsia="zh-CN"/>
        </w:rPr>
      </w:pPr>
      <w:r>
        <w:rPr>
          <w:rFonts w:hint="eastAsia" w:cs="仿宋"/>
          <w:b w:val="0"/>
          <w:bCs w:val="0"/>
          <w:color w:val="auto"/>
          <w:sz w:val="32"/>
          <w:highlight w:val="none"/>
        </w:rPr>
        <w:t>本</w:t>
      </w:r>
      <w:r>
        <w:rPr>
          <w:rFonts w:hint="eastAsia" w:cs="仿宋"/>
          <w:b w:val="0"/>
          <w:bCs w:val="0"/>
          <w:color w:val="auto"/>
          <w:sz w:val="32"/>
          <w:highlight w:val="none"/>
          <w:lang w:val="en-US" w:eastAsia="zh-CN"/>
        </w:rPr>
        <w:t>单位未安排</w:t>
      </w:r>
      <w:r>
        <w:rPr>
          <w:rFonts w:hint="eastAsia" w:cs="仿宋"/>
          <w:b w:val="0"/>
          <w:bCs w:val="0"/>
          <w:color w:val="auto"/>
          <w:sz w:val="32"/>
          <w:highlight w:val="none"/>
        </w:rPr>
        <w:t>专项资金</w:t>
      </w:r>
      <w:r>
        <w:rPr>
          <w:rFonts w:hint="eastAsia" w:cs="仿宋"/>
          <w:b w:val="0"/>
          <w:bCs w:val="0"/>
          <w:color w:val="auto"/>
          <w:sz w:val="32"/>
          <w:highlight w:val="none"/>
          <w:lang w:eastAsia="zh-CN"/>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5"/>
        </w:numPr>
        <w:ind w:firstLine="643"/>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情况说明：本单位为部队化管理，流动资产、固定资产由部队垂直管理。</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12月31日，我单位资产账面总额为</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，年初资产总额</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，其中：</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初，流动资产总额为</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，年末总额为</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，较年初流动资产</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持平。</w:t>
      </w:r>
      <w:r>
        <w:rPr>
          <w:rFonts w:hint="eastAsia" w:ascii="仿宋_GB2312" w:eastAsia="仿宋_GB2312"/>
          <w:color w:val="auto"/>
          <w:sz w:val="32"/>
          <w:szCs w:val="32"/>
          <w:highlight w:val="none"/>
          <w:lang w:eastAsia="zh-CN"/>
        </w:rPr>
        <w:t>2022年</w:t>
      </w:r>
      <w:r>
        <w:rPr>
          <w:rFonts w:hint="eastAsia" w:ascii="仿宋_GB2312" w:eastAsia="仿宋_GB2312"/>
          <w:color w:val="auto"/>
          <w:sz w:val="32"/>
          <w:szCs w:val="32"/>
          <w:highlight w:val="none"/>
        </w:rPr>
        <w:t>初，固定资产总额为</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，年末总额为</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，较年初固定资产</w:t>
      </w:r>
      <w:r>
        <w:rPr>
          <w:rFonts w:hint="eastAsia" w:ascii="仿宋_GB2312" w:eastAsia="仿宋_GB2312"/>
          <w:color w:val="auto"/>
          <w:sz w:val="32"/>
          <w:szCs w:val="32"/>
          <w:highlight w:val="none"/>
          <w:lang w:eastAsia="zh-CN"/>
        </w:rPr>
        <w:t>0.00万元</w:t>
      </w:r>
      <w:r>
        <w:rPr>
          <w:rFonts w:hint="eastAsia" w:ascii="仿宋_GB2312" w:eastAsia="仿宋_GB2312"/>
          <w:color w:val="auto"/>
          <w:sz w:val="32"/>
          <w:szCs w:val="32"/>
          <w:highlight w:val="none"/>
        </w:rPr>
        <w:t>持平。</w:t>
      </w:r>
    </w:p>
    <w:p>
      <w:pPr>
        <w:ind w:firstLine="643"/>
        <w:rPr>
          <w:rFonts w:ascii="楷体_GB2312" w:eastAsia="楷体_GB2312"/>
          <w:b/>
          <w:color w:val="auto"/>
          <w:sz w:val="32"/>
          <w:szCs w:val="32"/>
          <w:highlight w:val="none"/>
        </w:rPr>
      </w:pPr>
      <w:r>
        <w:rPr>
          <w:rFonts w:hint="eastAsia" w:ascii="楷体_GB2312" w:eastAsia="楷体_GB2312"/>
          <w:b/>
          <w:color w:val="auto"/>
          <w:sz w:val="32"/>
          <w:szCs w:val="32"/>
          <w:highlight w:val="none"/>
        </w:rPr>
        <w:t>（二）资产管理规范性分析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color w:val="auto"/>
          <w:kern w:val="1"/>
          <w:sz w:val="32"/>
          <w:szCs w:val="32"/>
          <w:highlight w:val="none"/>
        </w:rPr>
        <w:t>本单位为军事化体制单位，资产管理均由军分区统一管控，资产管理体制和制度建设方面、运行机制和管理方式、信息化建设方面、流动资产的管理、固定资产的管理均由军分区统一管控。</w:t>
      </w:r>
    </w:p>
    <w:p>
      <w:pPr>
        <w:ind w:firstLine="640"/>
        <w:jc w:val="left"/>
        <w:rPr>
          <w:rFonts w:ascii="黑体" w:hAnsi="黑体" w:eastAsia="黑体"/>
          <w:b/>
          <w:color w:val="auto"/>
          <w:sz w:val="32"/>
          <w:szCs w:val="32"/>
          <w:highlight w:val="none"/>
        </w:rPr>
      </w:pPr>
      <w:r>
        <w:rPr>
          <w:rFonts w:hint="eastAsia" w:ascii="黑体" w:hAnsi="黑体" w:eastAsia="黑体"/>
          <w:color w:val="auto"/>
          <w:sz w:val="32"/>
          <w:szCs w:val="32"/>
          <w:highlight w:val="none"/>
        </w:rPr>
        <w:t>五、部门单位整体支出绩效情况</w:t>
      </w:r>
    </w:p>
    <w:p>
      <w:pPr>
        <w:adjustRightInd w:val="0"/>
        <w:snapToGrid w:val="0"/>
        <w:ind w:firstLine="640"/>
        <w:rPr>
          <w:rFonts w:hint="eastAsia" w:ascii="仿宋_GB2312" w:eastAsia="仿宋_GB2312"/>
          <w:bCs/>
          <w:color w:val="auto"/>
          <w:spacing w:val="-4"/>
          <w:sz w:val="32"/>
          <w:szCs w:val="32"/>
          <w:highlight w:val="none"/>
        </w:rPr>
      </w:pPr>
      <w:r>
        <w:rPr>
          <w:rFonts w:hint="eastAsia" w:ascii="仿宋_GB2312" w:hAnsi="宋体" w:eastAsia="仿宋_GB2312" w:cs="宋体"/>
          <w:color w:val="auto"/>
          <w:kern w:val="0"/>
          <w:sz w:val="32"/>
          <w:szCs w:val="32"/>
          <w:highlight w:val="none"/>
          <w:lang w:val="en-US" w:eastAsia="zh-CN"/>
        </w:rPr>
        <w:t>本单位</w:t>
      </w:r>
      <w:r>
        <w:rPr>
          <w:rFonts w:hint="eastAsia" w:ascii="仿宋_GB2312" w:hAnsi="宋体" w:eastAsia="仿宋_GB2312" w:cs="宋体"/>
          <w:color w:val="auto"/>
          <w:kern w:val="0"/>
          <w:sz w:val="32"/>
          <w:szCs w:val="32"/>
          <w:highlight w:val="none"/>
        </w:rPr>
        <w:t>按照规定要求，对本市所属民兵的集训已全部展开，并能按照各项训练技能、进展要求、时间节点等重点因素，每位集训人员都能严以律己各负其责。为有效维护社会安全稳定，维护集体和个人的利益提供了充分的武装力量保障。</w:t>
      </w:r>
    </w:p>
    <w:p>
      <w:pPr>
        <w:adjustRightInd w:val="0"/>
        <w:snapToGrid w:val="0"/>
        <w:ind w:firstLine="640"/>
        <w:rPr>
          <w:rFonts w:hint="eastAsia" w:ascii="仿宋_GB2312" w:eastAsia="仿宋_GB2312"/>
          <w:bCs/>
          <w:color w:val="auto"/>
          <w:spacing w:val="-4"/>
          <w:sz w:val="32"/>
          <w:szCs w:val="32"/>
          <w:highlight w:val="none"/>
        </w:rPr>
      </w:pPr>
      <w:r>
        <w:rPr>
          <w:rFonts w:hint="eastAsia" w:ascii="仿宋_GB2312" w:hAnsi="宋体" w:eastAsia="仿宋_GB2312" w:cs="宋体"/>
          <w:color w:val="auto"/>
          <w:kern w:val="0"/>
          <w:sz w:val="32"/>
          <w:szCs w:val="32"/>
          <w:highlight w:val="none"/>
        </w:rPr>
        <w:t>组织和管理人武部年度财政预算、决算的编制、管理和监督各项财政收支，为市人武部各项工作顺利开展提供坚强有力的服务和保障，不断提高群众满意度。</w:t>
      </w:r>
    </w:p>
    <w:p>
      <w:pPr>
        <w:adjustRightInd w:val="0"/>
        <w:snapToGrid w:val="0"/>
        <w:ind w:firstLine="640"/>
        <w:rPr>
          <w:rFonts w:hint="eastAsia" w:ascii="仿宋_GB2312" w:eastAsia="仿宋_GB2312"/>
          <w:bCs/>
          <w:color w:val="auto"/>
          <w:spacing w:val="-4"/>
          <w:sz w:val="32"/>
          <w:szCs w:val="32"/>
          <w:highlight w:val="none"/>
        </w:rPr>
      </w:pPr>
      <w:r>
        <w:rPr>
          <w:rFonts w:hint="eastAsia" w:ascii="仿宋_GB2312" w:hAnsi="宋体" w:eastAsia="仿宋_GB2312" w:cs="宋体"/>
          <w:color w:val="auto"/>
          <w:kern w:val="0"/>
          <w:sz w:val="32"/>
          <w:szCs w:val="32"/>
          <w:highlight w:val="none"/>
        </w:rPr>
        <w:t>对政资金支出状况和绩效目标实现过程进行监控和管理，及时了解资金使用效益，及时对绩效目标进行纠偏，强化财政支出管理，促进绩效目标的实现，提高资金使用效率。</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2022年</w:t>
      </w:r>
      <w:r>
        <w:rPr>
          <w:rFonts w:hint="eastAsia" w:ascii="仿宋_GB2312" w:eastAsia="仿宋_GB2312"/>
          <w:bCs/>
          <w:color w:val="auto"/>
          <w:spacing w:val="-4"/>
          <w:sz w:val="32"/>
          <w:szCs w:val="32"/>
          <w:highlight w:val="none"/>
        </w:rPr>
        <w:t>度，</w:t>
      </w:r>
      <w:r>
        <w:rPr>
          <w:rFonts w:hint="eastAsia" w:ascii="仿宋_GB2312" w:eastAsia="仿宋_GB2312"/>
          <w:color w:val="auto"/>
          <w:sz w:val="32"/>
          <w:szCs w:val="32"/>
          <w:highlight w:val="none"/>
        </w:rPr>
        <w:t>昌吉市人民武装部</w:t>
      </w:r>
      <w:r>
        <w:rPr>
          <w:rFonts w:hint="eastAsia" w:ascii="仿宋_GB2312" w:eastAsia="仿宋_GB2312"/>
          <w:bCs/>
          <w:color w:val="auto"/>
          <w:spacing w:val="-4"/>
          <w:sz w:val="32"/>
          <w:szCs w:val="32"/>
          <w:highlight w:val="none"/>
        </w:rPr>
        <w:t>部门单位整体支出绩效目标共设置一级指标3个，二级指标8个，三级指标1</w:t>
      </w:r>
      <w:r>
        <w:rPr>
          <w:rFonts w:hint="eastAsia" w:ascii="仿宋_GB2312" w:eastAsia="仿宋_GB2312"/>
          <w:bCs/>
          <w:color w:val="auto"/>
          <w:spacing w:val="-4"/>
          <w:sz w:val="32"/>
          <w:szCs w:val="32"/>
          <w:highlight w:val="none"/>
          <w:lang w:val="en-US" w:eastAsia="zh-CN"/>
        </w:rPr>
        <w:t>4</w:t>
      </w:r>
      <w:r>
        <w:rPr>
          <w:rFonts w:hint="eastAsia" w:ascii="仿宋_GB2312" w:eastAsia="仿宋_GB2312"/>
          <w:bCs/>
          <w:color w:val="auto"/>
          <w:spacing w:val="-4"/>
          <w:sz w:val="32"/>
          <w:szCs w:val="32"/>
          <w:highlight w:val="none"/>
        </w:rPr>
        <w:t>个，其中：已完成三级指标1</w:t>
      </w:r>
      <w:r>
        <w:rPr>
          <w:rFonts w:hint="eastAsia" w:ascii="仿宋_GB2312" w:eastAsia="仿宋_GB2312"/>
          <w:bCs/>
          <w:color w:val="auto"/>
          <w:spacing w:val="-4"/>
          <w:sz w:val="32"/>
          <w:szCs w:val="32"/>
          <w:highlight w:val="none"/>
          <w:lang w:val="en-US" w:eastAsia="zh-CN"/>
        </w:rPr>
        <w:t>4</w:t>
      </w:r>
      <w:r>
        <w:rPr>
          <w:rFonts w:hint="eastAsia" w:ascii="仿宋_GB2312" w:eastAsia="仿宋_GB2312"/>
          <w:bCs/>
          <w:color w:val="auto"/>
          <w:spacing w:val="-4"/>
          <w:sz w:val="32"/>
          <w:szCs w:val="32"/>
          <w:highlight w:val="none"/>
        </w:rPr>
        <w:t>个，指标完成率为100%。</w:t>
      </w:r>
    </w:p>
    <w:p>
      <w:pPr>
        <w:pStyle w:val="2"/>
        <w:ind w:firstLine="643"/>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完成军地两地下达的年度征兵任务(次)</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≥2次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2次</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left="0" w:leftChars="0"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“房屋建筑物供暖面积”指标：预期指标值为“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3709.00平方米”，实际完成指标值为“3709.00平方米”的全部运行，指标完成率为100%。</w:t>
      </w:r>
    </w:p>
    <w:p>
      <w:pPr>
        <w:ind w:left="0" w:leftChars="0"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“保障办公人员数量”指标：预期指标值为“15人”，实际完成指标值为“15人”的全部运行，指标完成率为100%。</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“民兵整组人数”指标：</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en-US" w:eastAsia="zh-CN"/>
        </w:rPr>
        <w:t>600.00人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600.00人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6"/>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“完成征兵、民兵整组任务”：</w:t>
      </w:r>
      <w:r>
        <w:rPr>
          <w:rFonts w:hint="eastAsia" w:ascii="仿宋_GB2312" w:eastAsia="仿宋_GB2312"/>
          <w:color w:val="auto"/>
          <w:sz w:val="32"/>
          <w:szCs w:val="32"/>
          <w:highlight w:val="none"/>
        </w:rPr>
        <w:t>预期指标值为“</w:t>
      </w:r>
      <w:r>
        <w:rPr>
          <w:rFonts w:hint="eastAsia" w:ascii="仿宋_GB2312" w:eastAsia="仿宋_GB2312"/>
          <w:color w:val="auto"/>
          <w:sz w:val="32"/>
          <w:szCs w:val="32"/>
          <w:highlight w:val="none"/>
          <w:lang w:val="en-US" w:eastAsia="zh-CN"/>
        </w:rPr>
        <w:t>≥1次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1次</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6"/>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rPr>
        <w:t>公用经费支付及时率</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100%”，实际完成指标值为“100%”，指标完成率为100%</w:t>
      </w:r>
      <w:r>
        <w:rPr>
          <w:rFonts w:hint="eastAsia" w:ascii="仿宋_GB2312" w:hAnsi="宋体" w:eastAsia="仿宋_GB2312" w:cs="宋体"/>
          <w:color w:val="auto"/>
          <w:kern w:val="0"/>
          <w:sz w:val="32"/>
          <w:szCs w:val="32"/>
          <w:highlight w:val="none"/>
        </w:rPr>
        <w:t>；</w:t>
      </w:r>
    </w:p>
    <w:p>
      <w:pPr>
        <w:numPr>
          <w:ilvl w:val="0"/>
          <w:numId w:val="6"/>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rPr>
        <w:t>“年度征兵任务成本”指标：预期指标值为“</w:t>
      </w:r>
      <w:r>
        <w:rPr>
          <w:rFonts w:hint="eastAsia" w:ascii="仿宋_GB2312" w:hAnsi="仿宋_GB2312" w:eastAsia="仿宋_GB2312" w:cs="仿宋_GB2312"/>
          <w:color w:val="auto"/>
          <w:sz w:val="32"/>
          <w:szCs w:val="32"/>
          <w:highlight w:val="none"/>
        </w:rPr>
        <w:t>≤</w:t>
      </w:r>
      <w:r>
        <w:rPr>
          <w:rFonts w:hint="eastAsia" w:ascii="仿宋_GB2312" w:eastAsia="仿宋_GB2312"/>
          <w:color w:val="auto"/>
          <w:sz w:val="32"/>
          <w:szCs w:val="32"/>
          <w:highlight w:val="none"/>
          <w:lang w:val="en-US" w:eastAsia="zh-CN"/>
        </w:rPr>
        <w:t>20.00万元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20.00万元</w:t>
      </w:r>
      <w:r>
        <w:rPr>
          <w:rFonts w:hint="eastAsia" w:ascii="仿宋_GB2312" w:eastAsia="仿宋_GB2312"/>
          <w:color w:val="auto"/>
          <w:sz w:val="32"/>
          <w:szCs w:val="32"/>
          <w:highlight w:val="none"/>
        </w:rPr>
        <w:t>”，指标完成率为100%</w:t>
      </w:r>
      <w:r>
        <w:rPr>
          <w:rFonts w:hint="eastAsia" w:ascii="仿宋_GB2312" w:hAnsi="宋体" w:eastAsia="仿宋_GB2312" w:cs="宋体"/>
          <w:color w:val="auto"/>
          <w:kern w:val="0"/>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“民兵整租任务成本”指标：预期指标值为“</w:t>
      </w:r>
      <w:r>
        <w:rPr>
          <w:rFonts w:hint="eastAsia" w:ascii="仿宋_GB2312" w:hAnsi="仿宋_GB2312" w:eastAsia="仿宋_GB2312" w:cs="仿宋_GB2312"/>
          <w:color w:val="auto"/>
          <w:sz w:val="32"/>
          <w:szCs w:val="32"/>
          <w:highlight w:val="none"/>
        </w:rPr>
        <w:t>≤</w:t>
      </w:r>
      <w:r>
        <w:rPr>
          <w:rFonts w:hint="eastAsia" w:ascii="仿宋_GB2312" w:eastAsia="仿宋_GB2312"/>
          <w:color w:val="auto"/>
          <w:sz w:val="32"/>
          <w:szCs w:val="32"/>
          <w:highlight w:val="none"/>
          <w:lang w:val="en-US" w:eastAsia="zh-CN"/>
        </w:rPr>
        <w:t>9.50万元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9.50万元</w:t>
      </w:r>
      <w:r>
        <w:rPr>
          <w:rFonts w:hint="eastAsia" w:ascii="仿宋_GB2312" w:eastAsia="仿宋_GB2312"/>
          <w:color w:val="auto"/>
          <w:sz w:val="32"/>
          <w:szCs w:val="32"/>
          <w:highlight w:val="none"/>
        </w:rPr>
        <w:t>”，指标完成率为100%</w:t>
      </w:r>
      <w:r>
        <w:rPr>
          <w:rFonts w:hint="eastAsia" w:ascii="仿宋_GB2312" w:hAnsi="宋体" w:eastAsia="仿宋_GB2312" w:cs="宋体"/>
          <w:color w:val="auto"/>
          <w:kern w:val="0"/>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“人员运转保障经费成本”指标：预期指标值为“</w:t>
      </w:r>
      <w:r>
        <w:rPr>
          <w:rFonts w:hint="eastAsia" w:ascii="仿宋_GB2312" w:hAnsi="仿宋_GB2312" w:eastAsia="仿宋_GB2312" w:cs="仿宋_GB2312"/>
          <w:color w:val="auto"/>
          <w:sz w:val="32"/>
          <w:szCs w:val="32"/>
          <w:highlight w:val="none"/>
        </w:rPr>
        <w:t>≤</w:t>
      </w:r>
      <w:r>
        <w:rPr>
          <w:rFonts w:hint="eastAsia" w:ascii="仿宋_GB2312" w:eastAsia="仿宋_GB2312"/>
          <w:color w:val="auto"/>
          <w:sz w:val="32"/>
          <w:szCs w:val="32"/>
          <w:highlight w:val="none"/>
          <w:lang w:val="en-US" w:eastAsia="zh-CN"/>
        </w:rPr>
        <w:t>174.25万元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174.25万元</w:t>
      </w:r>
      <w:r>
        <w:rPr>
          <w:rFonts w:hint="eastAsia" w:ascii="仿宋_GB2312" w:eastAsia="仿宋_GB2312"/>
          <w:color w:val="auto"/>
          <w:sz w:val="32"/>
          <w:szCs w:val="32"/>
          <w:highlight w:val="none"/>
        </w:rPr>
        <w:t>”，指标完成率为100%</w:t>
      </w:r>
      <w:r>
        <w:rPr>
          <w:rFonts w:hint="eastAsia" w:ascii="仿宋_GB2312" w:hAnsi="宋体" w:eastAsia="仿宋_GB2312" w:cs="宋体"/>
          <w:color w:val="auto"/>
          <w:kern w:val="0"/>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“公务运转保障经费成本”指标：预期指标值为“</w:t>
      </w:r>
      <w:r>
        <w:rPr>
          <w:rFonts w:hint="eastAsia" w:ascii="仿宋_GB2312" w:hAnsi="仿宋_GB2312" w:eastAsia="仿宋_GB2312" w:cs="仿宋_GB2312"/>
          <w:color w:val="auto"/>
          <w:sz w:val="32"/>
          <w:szCs w:val="32"/>
          <w:highlight w:val="none"/>
        </w:rPr>
        <w:t>≤</w:t>
      </w:r>
      <w:r>
        <w:rPr>
          <w:rFonts w:hint="eastAsia" w:ascii="仿宋_GB2312" w:eastAsia="仿宋_GB2312"/>
          <w:color w:val="auto"/>
          <w:sz w:val="32"/>
          <w:szCs w:val="32"/>
          <w:highlight w:val="none"/>
          <w:lang w:val="en-US" w:eastAsia="zh-CN"/>
        </w:rPr>
        <w:t>1.97万元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1.97万元</w:t>
      </w:r>
      <w:r>
        <w:rPr>
          <w:rFonts w:hint="eastAsia" w:ascii="仿宋_GB2312" w:eastAsia="仿宋_GB2312"/>
          <w:color w:val="auto"/>
          <w:sz w:val="32"/>
          <w:szCs w:val="32"/>
          <w:highlight w:val="none"/>
        </w:rPr>
        <w:t>”，指标完成率为100%</w:t>
      </w:r>
      <w:r>
        <w:rPr>
          <w:rFonts w:hint="eastAsia" w:ascii="仿宋_GB2312" w:hAnsi="宋体" w:eastAsia="仿宋_GB2312" w:cs="宋体"/>
          <w:color w:val="auto"/>
          <w:kern w:val="0"/>
          <w:sz w:val="32"/>
          <w:szCs w:val="32"/>
          <w:highlight w:val="none"/>
        </w:rPr>
        <w:t>；</w:t>
      </w:r>
    </w:p>
    <w:p>
      <w:pPr>
        <w:pStyle w:val="2"/>
        <w:ind w:firstLine="643"/>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保障社会有序发展</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保障社会有序发展</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保障社会有序发展</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各项工作的可持续影响时间</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长期</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长期</w:t>
      </w:r>
      <w:r>
        <w:rPr>
          <w:rFonts w:hint="eastAsia" w:ascii="仿宋_GB2312" w:eastAsia="仿宋_GB2312"/>
          <w:color w:val="auto"/>
          <w:sz w:val="32"/>
          <w:szCs w:val="32"/>
          <w:highlight w:val="none"/>
        </w:rPr>
        <w:t>”;</w:t>
      </w:r>
    </w:p>
    <w:p>
      <w:pPr>
        <w:pStyle w:val="2"/>
        <w:ind w:firstLine="643"/>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群众</w:t>
      </w:r>
      <w:r>
        <w:rPr>
          <w:rFonts w:hint="eastAsia" w:ascii="仿宋_GB2312" w:eastAsia="仿宋_GB2312"/>
          <w:color w:val="auto"/>
          <w:sz w:val="32"/>
          <w:szCs w:val="32"/>
          <w:highlight w:val="none"/>
        </w:rPr>
        <w:t>满意度”指标：预期指标值为“群众满意度≥9</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%”，实际完成指标值为</w:t>
      </w:r>
      <w:bookmarkStart w:id="0" w:name="_GoBack"/>
      <w:bookmarkEnd w:id="0"/>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99</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职工满意度</w:t>
      </w:r>
      <w:r>
        <w:rPr>
          <w:rFonts w:hint="eastAsia" w:ascii="仿宋_GB2312" w:eastAsia="仿宋_GB2312"/>
          <w:color w:val="auto"/>
          <w:sz w:val="32"/>
          <w:szCs w:val="32"/>
          <w:highlight w:val="none"/>
        </w:rPr>
        <w:t>”指标：预期指标值为“职工满意度≥9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97</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adjustRightInd w:val="0"/>
        <w:snapToGrid w:val="0"/>
        <w:ind w:firstLine="624"/>
        <w:rPr>
          <w:rFonts w:ascii="仿宋_GB2312" w:eastAsia="仿宋_GB2312"/>
          <w:color w:val="auto"/>
          <w:spacing w:val="-4"/>
          <w:sz w:val="32"/>
          <w:szCs w:val="32"/>
          <w:highlight w:val="none"/>
        </w:rPr>
      </w:pPr>
      <w:r>
        <w:rPr>
          <w:rFonts w:hint="eastAsia" w:ascii="仿宋_GB2312" w:eastAsia="仿宋_GB2312"/>
          <w:color w:val="auto"/>
          <w:spacing w:val="-4"/>
          <w:sz w:val="32"/>
          <w:szCs w:val="32"/>
          <w:highlight w:val="none"/>
        </w:rPr>
        <w:t xml:space="preserve"> </w:t>
      </w:r>
      <w:r>
        <w:rPr>
          <w:rFonts w:hint="eastAsia" w:ascii="仿宋_GB2312" w:eastAsia="仿宋_GB2312"/>
          <w:color w:val="auto"/>
          <w:spacing w:val="-4"/>
          <w:sz w:val="32"/>
          <w:szCs w:val="32"/>
          <w:highlight w:val="none"/>
          <w:lang w:eastAsia="zh-CN"/>
        </w:rPr>
        <w:t>2022年</w:t>
      </w:r>
      <w:r>
        <w:rPr>
          <w:rFonts w:hint="eastAsia" w:ascii="仿宋_GB2312" w:eastAsia="仿宋_GB2312"/>
          <w:color w:val="auto"/>
          <w:spacing w:val="-4"/>
          <w:sz w:val="32"/>
          <w:szCs w:val="32"/>
          <w:highlight w:val="none"/>
        </w:rPr>
        <w:t>本单位整体支出绩效目标全部达成，不存在未完成原因分析。</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napToGrid w:val="0"/>
        <w:ind w:firstLine="624"/>
        <w:rPr>
          <w:rFonts w:ascii="仿宋_GB2312" w:eastAsia="仿宋_GB2312" w:hAnsiTheme="minorEastAsia"/>
          <w:color w:val="auto"/>
          <w:sz w:val="32"/>
          <w:szCs w:val="32"/>
          <w:highlight w:val="none"/>
          <w:shd w:val="clear" w:color="auto" w:fill="FFFFFF"/>
        </w:rPr>
      </w:pPr>
      <w:r>
        <w:rPr>
          <w:rFonts w:hint="eastAsia" w:ascii="仿宋_GB2312" w:eastAsia="仿宋_GB2312"/>
          <w:color w:val="auto"/>
          <w:spacing w:val="-4"/>
          <w:sz w:val="32"/>
          <w:szCs w:val="32"/>
          <w:highlight w:val="none"/>
        </w:rPr>
        <w:t>昌吉市人武部将在2022</w:t>
      </w:r>
      <w:r>
        <w:rPr>
          <w:rFonts w:hint="eastAsia" w:ascii="仿宋_GB2312" w:eastAsia="仿宋_GB2312" w:hAnsiTheme="minorEastAsia"/>
          <w:color w:val="auto"/>
          <w:sz w:val="32"/>
          <w:szCs w:val="32"/>
          <w:highlight w:val="none"/>
          <w:shd w:val="clear" w:color="auto" w:fill="FFFFFF"/>
        </w:rPr>
        <w:t>年</w:t>
      </w:r>
      <w:r>
        <w:rPr>
          <w:rFonts w:hint="eastAsia"/>
          <w:color w:val="auto"/>
          <w:sz w:val="32"/>
          <w:szCs w:val="32"/>
          <w:highlight w:val="none"/>
        </w:rPr>
        <w:t>单位整体支出绩效目标中</w:t>
      </w:r>
      <w:r>
        <w:rPr>
          <w:rFonts w:hint="eastAsia" w:ascii="仿宋_GB2312" w:eastAsia="仿宋_GB2312" w:hAnsiTheme="minorEastAsia"/>
          <w:color w:val="auto"/>
          <w:sz w:val="32"/>
          <w:szCs w:val="32"/>
          <w:highlight w:val="none"/>
          <w:shd w:val="clear" w:color="auto" w:fill="FFFFFF"/>
        </w:rPr>
        <w:t>，合理、规范地反映年度主要任务、年度总体目标、年度绩效指标，准确把握各指标及指标值的目标、进度，提高整体支出绩效目标的准确性，并且做好各项资金支出的合理安排，争取每一笔财政拨款都能按时、按计划支出，财尽其用。</w:t>
      </w:r>
    </w:p>
    <w:p>
      <w:pPr>
        <w:adjustRightInd w:val="0"/>
        <w:snapToGrid w:val="0"/>
        <w:ind w:firstLine="627"/>
        <w:rPr>
          <w:rStyle w:val="12"/>
          <w:rFonts w:ascii="仿宋_GB2312" w:eastAsia="仿宋_GB2312"/>
          <w:bCs w:val="0"/>
          <w:color w:val="auto"/>
          <w:spacing w:val="-4"/>
          <w:sz w:val="32"/>
          <w:szCs w:val="32"/>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45"/>
        <w:gridCol w:w="774"/>
        <w:gridCol w:w="920"/>
        <w:gridCol w:w="1225"/>
        <w:gridCol w:w="876"/>
        <w:gridCol w:w="876"/>
        <w:gridCol w:w="589"/>
        <w:gridCol w:w="1206"/>
        <w:gridCol w:w="876"/>
        <w:gridCol w:w="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auto"/>
                <w:sz w:val="40"/>
                <w:szCs w:val="40"/>
                <w:highlight w:val="none"/>
                <w:u w:val="none"/>
              </w:rPr>
            </w:pPr>
            <w:r>
              <w:rPr>
                <w:rFonts w:hint="default" w:ascii="方正小标宋简体" w:hAnsi="方正小标宋简体" w:eastAsia="方正小标宋简体" w:cs="方正小标宋简体"/>
                <w:i w:val="0"/>
                <w:iCs w:val="0"/>
                <w:color w:val="auto"/>
                <w:kern w:val="0"/>
                <w:sz w:val="40"/>
                <w:szCs w:val="40"/>
                <w:highlight w:val="none"/>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4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部门（单位）名称</w:t>
            </w:r>
          </w:p>
        </w:tc>
        <w:tc>
          <w:tcPr>
            <w:tcW w:w="3452"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中国人民解放军新疆昌吉军分区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年度主要任务</w:t>
            </w:r>
          </w:p>
        </w:tc>
        <w:tc>
          <w:tcPr>
            <w:tcW w:w="114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任务名称</w:t>
            </w:r>
          </w:p>
        </w:tc>
        <w:tc>
          <w:tcPr>
            <w:tcW w:w="7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主要内容</w:t>
            </w:r>
          </w:p>
        </w:tc>
        <w:tc>
          <w:tcPr>
            <w:tcW w:w="1311"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预算金额（万元）</w:t>
            </w:r>
          </w:p>
        </w:tc>
        <w:tc>
          <w:tcPr>
            <w:tcW w:w="134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14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7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总额</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财政拨款</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其他资金</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总额</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财政拨款</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14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完成军地两地下达的年度征兵任务</w:t>
            </w:r>
          </w:p>
        </w:tc>
        <w:tc>
          <w:tcPr>
            <w:tcW w:w="7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完成一年二次的征兵任务</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14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完成民兵整组任务</w:t>
            </w:r>
          </w:p>
        </w:tc>
        <w:tc>
          <w:tcPr>
            <w:tcW w:w="7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每年约600余人组成民兵分队进行年度训练</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9.5</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9.5</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9.5</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9.5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14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人员运转保障经费</w:t>
            </w:r>
          </w:p>
        </w:tc>
        <w:tc>
          <w:tcPr>
            <w:tcW w:w="7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用于保障单位人员发放工资支出及对个人家庭补助</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174.25</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174.25</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174.25</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174.25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14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公务运转保障经费</w:t>
            </w:r>
          </w:p>
        </w:tc>
        <w:tc>
          <w:tcPr>
            <w:tcW w:w="7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用于日常办公费及其它商品服务支出</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1.97</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1.97</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1.97</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1.97</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94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合　计</w:t>
            </w:r>
          </w:p>
        </w:tc>
        <w:tc>
          <w:tcPr>
            <w:tcW w:w="45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205.72</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205.72</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205.72</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205.72</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年度总体目标</w:t>
            </w:r>
          </w:p>
        </w:tc>
        <w:tc>
          <w:tcPr>
            <w:tcW w:w="239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预期目标</w:t>
            </w:r>
          </w:p>
        </w:tc>
        <w:tc>
          <w:tcPr>
            <w:tcW w:w="2206"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239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 xml:space="preserve">中国人民解放军新疆昌吉军分区2022年年度预算金额合计为205.72万元，其中主要分为：“完成军地两地下达的年度征兵任务20万元，完成民兵整租任务9.5万元，人员运转保障经费174.25万元，公务运转保障经费1.97万元”，保障了完成军地两地下达的年度征兵任务、保障房屋建筑物供暖面积3709平方米以及15名办公人员，完成民兵整组人数600人。资金预算的使用保障了本单位的正常运转，配合市政府各类任务执行，为突发事件做好准备。       </w:t>
            </w:r>
          </w:p>
        </w:tc>
        <w:tc>
          <w:tcPr>
            <w:tcW w:w="2206"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中国人民解放军新疆昌吉军分区完成了上级军地下达的年度征兵任务20万元，完成了民兵整组任务9.5万元，人员运转保障经费开支了174.25万元，公务运转保障经费开支了1.97万元，顺利完成了2022年度征兵任务，完成民兵整组、民兵训练600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年度绩效指标完成情况</w:t>
            </w:r>
          </w:p>
        </w:tc>
        <w:tc>
          <w:tcPr>
            <w:tcW w:w="53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一级指标</w:t>
            </w: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二级指标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三级指标</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绩效目标值</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实际完成值</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指标分值</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项目完成</w:t>
            </w:r>
          </w:p>
        </w:tc>
        <w:tc>
          <w:tcPr>
            <w:tcW w:w="6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数量指标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完成军地两地下达的年度征兵任务(次)</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&gt;=2.00次</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&gt;=2次</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房屋建筑物供暖面积</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&gt;=3709.00平方米</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&gt;=3709.00平方米</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保障办公人员数量</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&gt;=15.00人</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&gt;=3709.00人</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民兵整组人数</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&gt;=600.00人</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&gt;=600.00人</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质量指标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完成征兵、民兵整组任务</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&gt;=1.00次</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&gt;=1次</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时效指标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公用经费支付及时率</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=100.00%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成本指标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年度征兵任务成本</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&lt;=20.00万元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&lt;=20万元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民兵整租任务成本</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&lt;=9.50万元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&lt;=9.5万元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人员运转保障经费成本</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&lt;=174.25万元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&lt;=174.25万元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公务运转保障经费成本</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&lt;=1.97万元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&lt;=1.97万元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项目效益</w:t>
            </w: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经济效益指标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社会效益指标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保障社会有序发展</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保障社会有序发展</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保障社会有序发展</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生态效益指标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可持续影响指标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各项工作的可持续影响时间</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长期</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长期</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满意度指标</w:t>
            </w:r>
          </w:p>
        </w:tc>
        <w:tc>
          <w:tcPr>
            <w:tcW w:w="6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满意度指标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群众满意度</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&gt;=98.00%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&gt;=99%</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auto"/>
                <w:sz w:val="22"/>
                <w:szCs w:val="22"/>
                <w:highlight w:val="none"/>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职工满意度</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&gt;=95.00%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&gt;=97%</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bdr w:val="none" w:color="auto" w:sz="0" w:space="0"/>
                <w:lang w:val="en-US" w:eastAsia="zh-CN" w:bidi="ar"/>
              </w:rPr>
              <w:t>5</w:t>
            </w:r>
          </w:p>
        </w:tc>
      </w:tr>
    </w:tbl>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2</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F68CBA3B"/>
    <w:multiLevelType w:val="singleLevel"/>
    <w:tmpl w:val="F68CBA3B"/>
    <w:lvl w:ilvl="0" w:tentative="0">
      <w:start w:val="2"/>
      <w:numFmt w:val="decimal"/>
      <w:suff w:val="nothing"/>
      <w:lvlText w:val="（%1）"/>
      <w:lvlJc w:val="left"/>
    </w:lvl>
  </w:abstractNum>
  <w:abstractNum w:abstractNumId="2">
    <w:nsid w:val="FB7AFB3F"/>
    <w:multiLevelType w:val="singleLevel"/>
    <w:tmpl w:val="FB7AFB3F"/>
    <w:lvl w:ilvl="0" w:tentative="0">
      <w:start w:val="2"/>
      <w:numFmt w:val="decimal"/>
      <w:suff w:val="nothing"/>
      <w:lvlText w:val="%1."/>
      <w:lvlJc w:val="left"/>
    </w:lvl>
  </w:abstractNum>
  <w:abstractNum w:abstractNumId="3">
    <w:nsid w:val="225C8922"/>
    <w:multiLevelType w:val="singleLevel"/>
    <w:tmpl w:val="225C8922"/>
    <w:lvl w:ilvl="0" w:tentative="0">
      <w:start w:val="1"/>
      <w:numFmt w:val="decimal"/>
      <w:suff w:val="space"/>
      <w:lvlText w:val="%1."/>
      <w:lvlJc w:val="left"/>
    </w:lvl>
  </w:abstractNum>
  <w:abstractNum w:abstractNumId="4">
    <w:nsid w:val="282FBCCD"/>
    <w:multiLevelType w:val="singleLevel"/>
    <w:tmpl w:val="282FBCCD"/>
    <w:lvl w:ilvl="0" w:tentative="0">
      <w:start w:val="3"/>
      <w:numFmt w:val="chineseCounting"/>
      <w:suff w:val="nothing"/>
      <w:lvlText w:val="（%1）"/>
      <w:lvlJc w:val="left"/>
      <w:rPr>
        <w:rFonts w:hint="eastAsia"/>
      </w:r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091216"/>
    <w:rsid w:val="000A1850"/>
    <w:rsid w:val="00177CB7"/>
    <w:rsid w:val="001E51AE"/>
    <w:rsid w:val="00201A4A"/>
    <w:rsid w:val="002153DD"/>
    <w:rsid w:val="002622F1"/>
    <w:rsid w:val="002640E4"/>
    <w:rsid w:val="00266868"/>
    <w:rsid w:val="00273827"/>
    <w:rsid w:val="003A103E"/>
    <w:rsid w:val="003B184C"/>
    <w:rsid w:val="003F473D"/>
    <w:rsid w:val="00424CD8"/>
    <w:rsid w:val="00455E2F"/>
    <w:rsid w:val="00485980"/>
    <w:rsid w:val="004B5660"/>
    <w:rsid w:val="004D4927"/>
    <w:rsid w:val="004E4CA7"/>
    <w:rsid w:val="00536AD8"/>
    <w:rsid w:val="005736CA"/>
    <w:rsid w:val="005868B5"/>
    <w:rsid w:val="005A124E"/>
    <w:rsid w:val="005B3EB1"/>
    <w:rsid w:val="005C5C92"/>
    <w:rsid w:val="005D3F17"/>
    <w:rsid w:val="005E5D6E"/>
    <w:rsid w:val="005F2C9E"/>
    <w:rsid w:val="005F7A93"/>
    <w:rsid w:val="00601640"/>
    <w:rsid w:val="00617C63"/>
    <w:rsid w:val="00657519"/>
    <w:rsid w:val="00692E1D"/>
    <w:rsid w:val="00717D32"/>
    <w:rsid w:val="00722410"/>
    <w:rsid w:val="0072796F"/>
    <w:rsid w:val="0077571A"/>
    <w:rsid w:val="007A1B0F"/>
    <w:rsid w:val="007B5840"/>
    <w:rsid w:val="007B6305"/>
    <w:rsid w:val="008A09A7"/>
    <w:rsid w:val="008A1C5E"/>
    <w:rsid w:val="008C4259"/>
    <w:rsid w:val="008D2343"/>
    <w:rsid w:val="008D5E7B"/>
    <w:rsid w:val="0090615A"/>
    <w:rsid w:val="00931A42"/>
    <w:rsid w:val="009443DA"/>
    <w:rsid w:val="00944FE8"/>
    <w:rsid w:val="0095731F"/>
    <w:rsid w:val="00961F8B"/>
    <w:rsid w:val="00971378"/>
    <w:rsid w:val="009768CF"/>
    <w:rsid w:val="009A40E3"/>
    <w:rsid w:val="009D6347"/>
    <w:rsid w:val="009E68A2"/>
    <w:rsid w:val="00A7110C"/>
    <w:rsid w:val="00A720BD"/>
    <w:rsid w:val="00A85EC6"/>
    <w:rsid w:val="00A87301"/>
    <w:rsid w:val="00A879AB"/>
    <w:rsid w:val="00A95478"/>
    <w:rsid w:val="00AC39FB"/>
    <w:rsid w:val="00AE0359"/>
    <w:rsid w:val="00AF3274"/>
    <w:rsid w:val="00B00384"/>
    <w:rsid w:val="00B2171E"/>
    <w:rsid w:val="00B40102"/>
    <w:rsid w:val="00B62055"/>
    <w:rsid w:val="00B81F55"/>
    <w:rsid w:val="00BC7E1D"/>
    <w:rsid w:val="00C0728C"/>
    <w:rsid w:val="00C11C70"/>
    <w:rsid w:val="00C5695F"/>
    <w:rsid w:val="00C703AF"/>
    <w:rsid w:val="00CA0283"/>
    <w:rsid w:val="00CA4D03"/>
    <w:rsid w:val="00CD147B"/>
    <w:rsid w:val="00CD4BE0"/>
    <w:rsid w:val="00D2747D"/>
    <w:rsid w:val="00D34758"/>
    <w:rsid w:val="00D81057"/>
    <w:rsid w:val="00D816FD"/>
    <w:rsid w:val="00D8792A"/>
    <w:rsid w:val="00DB3723"/>
    <w:rsid w:val="00DC0F2F"/>
    <w:rsid w:val="00DC7874"/>
    <w:rsid w:val="00DD0746"/>
    <w:rsid w:val="00E122EB"/>
    <w:rsid w:val="00E4786E"/>
    <w:rsid w:val="00E65EF1"/>
    <w:rsid w:val="00E76F6F"/>
    <w:rsid w:val="00EA0F2D"/>
    <w:rsid w:val="00EF4412"/>
    <w:rsid w:val="00F04B25"/>
    <w:rsid w:val="00F60F90"/>
    <w:rsid w:val="00F82C67"/>
    <w:rsid w:val="00FA387F"/>
    <w:rsid w:val="00FD4BD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66B09"/>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226406"/>
    <w:rsid w:val="18647115"/>
    <w:rsid w:val="187B711C"/>
    <w:rsid w:val="18B44DAA"/>
    <w:rsid w:val="18C44CD5"/>
    <w:rsid w:val="18F90336"/>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2D7498"/>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0A63AE"/>
    <w:rsid w:val="284171EC"/>
    <w:rsid w:val="286B4689"/>
    <w:rsid w:val="289F2164"/>
    <w:rsid w:val="28B60026"/>
    <w:rsid w:val="29350CD3"/>
    <w:rsid w:val="29784CA5"/>
    <w:rsid w:val="29B80C93"/>
    <w:rsid w:val="29BB20D2"/>
    <w:rsid w:val="29D44C7C"/>
    <w:rsid w:val="29F33C34"/>
    <w:rsid w:val="2A380298"/>
    <w:rsid w:val="2A7B46E1"/>
    <w:rsid w:val="2A886FA9"/>
    <w:rsid w:val="2AC64A60"/>
    <w:rsid w:val="2BA7772C"/>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860F23"/>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D35612"/>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B41A41"/>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D66029"/>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D8040E"/>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CFE5C6F"/>
    <w:rsid w:val="6D0A6DBB"/>
    <w:rsid w:val="6D40311C"/>
    <w:rsid w:val="6DB167DD"/>
    <w:rsid w:val="6DB43590"/>
    <w:rsid w:val="6DB84EBA"/>
    <w:rsid w:val="6E2D7393"/>
    <w:rsid w:val="6E6E6F1D"/>
    <w:rsid w:val="6E985F27"/>
    <w:rsid w:val="6EA63453"/>
    <w:rsid w:val="6EC661DB"/>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Char"/>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Char"/>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13</Pages>
  <Words>4650</Words>
  <Characters>5319</Characters>
  <Lines>28</Lines>
  <Paragraphs>8</Paragraphs>
  <TotalTime>3</TotalTime>
  <ScaleCrop>false</ScaleCrop>
  <LinksUpToDate>false</LinksUpToDate>
  <CharactersWithSpaces>5352</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2023-02-22T11:12:57Z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B378DF17BD764813BCC2CC6F59D770CC</vt:lpwstr>
  </property>
</Properties>
</file>