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kern w:val="0"/>
          <w:sz w:val="52"/>
          <w:szCs w:val="52"/>
          <w:lang w:eastAsia="zh-CN"/>
        </w:rPr>
      </w:pPr>
    </w:p>
    <w:p>
      <w:pPr>
        <w:pStyle w:val="2"/>
        <w:rPr>
          <w:rFonts w:hint="eastAsia"/>
          <w:lang w:eastAsia="zh-CN"/>
        </w:rPr>
      </w:pP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昌吉市电影发行放映管理站部门单位整体支出绩效自评报告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ascii="黑体" w:hAnsi="黑体" w:eastAsia="黑体" w:cs="黑体"/>
          <w:bCs/>
          <w:sz w:val="36"/>
          <w:szCs w:val="36"/>
        </w:rPr>
      </w:pPr>
      <w:r>
        <w:rPr>
          <w:rFonts w:hint="eastAsia" w:ascii="黑体" w:hAnsi="黑体" w:eastAsia="黑体" w:cs="黑体"/>
          <w:bCs/>
          <w:sz w:val="36"/>
          <w:szCs w:val="36"/>
        </w:rPr>
        <w:t>部门单位名称（公章）：昌吉市电影发行放映管理站</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填报时间：2023年2月15日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ind w:firstLine="640"/>
        <w:outlineLvl w:val="0"/>
        <w:rPr>
          <w:rFonts w:ascii="黑体" w:hAnsi="黑体" w:eastAsia="黑体" w:cs="黑体"/>
          <w:sz w:val="32"/>
          <w:szCs w:val="32"/>
        </w:rPr>
      </w:pPr>
      <w:r>
        <w:rPr>
          <w:rFonts w:hint="eastAsia" w:ascii="黑体" w:hAnsi="黑体" w:eastAsia="黑体" w:cs="黑体"/>
          <w:sz w:val="32"/>
          <w:szCs w:val="32"/>
        </w:rPr>
        <w:t>一、基本概况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ind w:firstLine="640"/>
        <w:rPr>
          <w:rFonts w:ascii="仿宋_GB2312" w:eastAsia="仿宋_GB2312"/>
          <w:sz w:val="32"/>
          <w:szCs w:val="32"/>
        </w:rPr>
      </w:pPr>
      <w:r>
        <w:rPr>
          <w:rFonts w:hint="eastAsia" w:ascii="仿宋_GB2312" w:eastAsia="仿宋_GB2312"/>
          <w:sz w:val="32"/>
          <w:szCs w:val="32"/>
        </w:rPr>
        <w:t>昌吉市电影发行放映管理站无内设科，核定事业编制7名，在职在编6人，退休人员7人。</w:t>
      </w:r>
    </w:p>
    <w:p>
      <w:pPr>
        <w:ind w:firstLine="643"/>
        <w:rPr>
          <w:rFonts w:ascii="仿宋_GB2312" w:eastAsia="仿宋_GB2312"/>
          <w:b/>
          <w:bCs/>
          <w:sz w:val="32"/>
          <w:szCs w:val="32"/>
        </w:rPr>
      </w:pPr>
      <w:r>
        <w:rPr>
          <w:rFonts w:hint="eastAsia" w:ascii="仿宋_GB2312" w:eastAsia="仿宋_GB2312"/>
          <w:b/>
          <w:bCs/>
          <w:sz w:val="32"/>
          <w:szCs w:val="32"/>
        </w:rPr>
        <w:t>2.主要职能</w:t>
      </w:r>
    </w:p>
    <w:p>
      <w:pPr>
        <w:ind w:firstLine="640"/>
        <w:rPr>
          <w:rFonts w:ascii="仿宋_GB2312" w:eastAsia="仿宋_GB2312"/>
          <w:sz w:val="32"/>
          <w:szCs w:val="32"/>
        </w:rPr>
      </w:pPr>
      <w:r>
        <w:rPr>
          <w:rFonts w:hint="eastAsia" w:ascii="仿宋_GB2312" w:eastAsia="仿宋_GB2312"/>
          <w:sz w:val="32"/>
          <w:szCs w:val="32"/>
        </w:rPr>
        <w:t>昌吉市电影发行放映管理站系全额拨款独立核算的事业单位，属一级预算单位，执行事业单位会计制度。</w:t>
      </w:r>
    </w:p>
    <w:p>
      <w:pPr>
        <w:ind w:firstLine="640"/>
        <w:rPr>
          <w:rFonts w:ascii="仿宋_GB2312" w:eastAsia="仿宋_GB2312"/>
          <w:sz w:val="32"/>
          <w:szCs w:val="32"/>
        </w:rPr>
      </w:pPr>
      <w:r>
        <w:rPr>
          <w:rFonts w:hint="eastAsia" w:ascii="仿宋_GB2312" w:eastAsia="仿宋_GB2312"/>
          <w:sz w:val="32"/>
          <w:szCs w:val="32"/>
        </w:rPr>
        <w:t>（1）贯彻执行国家关于电影发行放映的政策、法规和规定。</w:t>
      </w:r>
    </w:p>
    <w:p>
      <w:pPr>
        <w:ind w:firstLine="640"/>
        <w:rPr>
          <w:rFonts w:ascii="仿宋_GB2312" w:eastAsia="仿宋_GB2312"/>
          <w:sz w:val="32"/>
          <w:szCs w:val="32"/>
        </w:rPr>
      </w:pPr>
      <w:r>
        <w:rPr>
          <w:rFonts w:hint="eastAsia" w:ascii="仿宋_GB2312" w:eastAsia="仿宋_GB2312"/>
          <w:sz w:val="32"/>
          <w:szCs w:val="32"/>
        </w:rPr>
        <w:t>（2）负责全市农牧区电影的发行放映管理。</w:t>
      </w:r>
    </w:p>
    <w:p>
      <w:pPr>
        <w:ind w:firstLine="640"/>
        <w:rPr>
          <w:rFonts w:ascii="仿宋_GB2312" w:eastAsia="仿宋_GB2312"/>
          <w:sz w:val="32"/>
          <w:szCs w:val="32"/>
        </w:rPr>
      </w:pPr>
      <w:r>
        <w:rPr>
          <w:rFonts w:hint="eastAsia" w:ascii="仿宋_GB2312" w:eastAsia="仿宋_GB2312"/>
          <w:sz w:val="32"/>
          <w:szCs w:val="32"/>
        </w:rPr>
        <w:t>（3）负责电影发行放映基础设施的管理、经营、增值工作。</w:t>
      </w:r>
    </w:p>
    <w:p>
      <w:pPr>
        <w:ind w:firstLine="640"/>
        <w:rPr>
          <w:rFonts w:ascii="仿宋_GB2312" w:eastAsia="仿宋_GB2312"/>
          <w:sz w:val="32"/>
          <w:szCs w:val="32"/>
        </w:rPr>
      </w:pPr>
      <w:r>
        <w:rPr>
          <w:rFonts w:hint="eastAsia" w:ascii="仿宋_GB2312" w:eastAsia="仿宋_GB2312"/>
          <w:sz w:val="32"/>
          <w:szCs w:val="32"/>
        </w:rPr>
        <w:t>（4）负责全市农牧区放映技术人员的培训及设备维修工作。</w:t>
      </w:r>
    </w:p>
    <w:p>
      <w:pPr>
        <w:ind w:firstLine="640"/>
        <w:rPr>
          <w:rFonts w:ascii="仿宋_GB2312" w:eastAsia="仿宋_GB2312"/>
          <w:sz w:val="32"/>
          <w:szCs w:val="32"/>
        </w:rPr>
      </w:pPr>
      <w:r>
        <w:rPr>
          <w:rFonts w:hint="eastAsia" w:ascii="仿宋_GB2312" w:eastAsia="仿宋_GB2312"/>
          <w:sz w:val="32"/>
          <w:szCs w:val="32"/>
        </w:rPr>
        <w:t>（5）完成主管部门安排的各项工作任务。</w:t>
      </w:r>
    </w:p>
    <w:p>
      <w:pPr>
        <w:ind w:firstLine="640"/>
        <w:rPr>
          <w:rFonts w:ascii="仿宋_GB2312" w:eastAsia="仿宋_GB2312"/>
          <w:sz w:val="32"/>
          <w:szCs w:val="32"/>
        </w:rPr>
      </w:pPr>
      <w:r>
        <w:rPr>
          <w:rFonts w:hint="eastAsia" w:ascii="仿宋_GB2312" w:eastAsia="仿宋_GB2312"/>
          <w:sz w:val="32"/>
          <w:szCs w:val="32"/>
        </w:rPr>
        <w:t>（6）文化娱乐服务、电影艺术经营（相关社会服务）。</w:t>
      </w:r>
    </w:p>
    <w:p>
      <w:pPr>
        <w:ind w:firstLine="643"/>
        <w:rPr>
          <w:rFonts w:ascii="仿宋_GB2312" w:eastAsia="仿宋_GB2312"/>
          <w:b/>
          <w:bCs/>
          <w:sz w:val="32"/>
          <w:szCs w:val="32"/>
        </w:rPr>
      </w:pPr>
      <w:r>
        <w:rPr>
          <w:rFonts w:hint="eastAsia" w:ascii="仿宋_GB2312" w:eastAsia="仿宋_GB2312"/>
          <w:b/>
          <w:bCs/>
          <w:sz w:val="32"/>
          <w:szCs w:val="32"/>
        </w:rPr>
        <w:t>3.年度重点工作计划</w:t>
      </w:r>
    </w:p>
    <w:p>
      <w:pPr>
        <w:ind w:firstLine="643"/>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（1）推进标准化放映，完善内部管理，优化岗位能力。</w:t>
      </w:r>
    </w:p>
    <w:p>
      <w:pPr>
        <w:ind w:right="-483" w:firstLine="672"/>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加强映前宣传，在电影数字节目交易平台进行放映计划公示，利用宣传喇叭等设备播放当日电影信息；悬挂流动公示牌，方便群众及时了解电影放映信息；与电影放映人员签订了《农村数字电影放映设备安全责任书》，要求严格按照《自治区党委宣传部农村公益电影放映规范》进行放映，进一步规范和明确了责任，确保放映标准化。为确保疫情期间农村电公益电影工作健康有序发展，我站从内部管理入手，教育和引导全体干部职工不忘初心勇于吃苦，牢记使命甘于奉献，为各项工作顺利推进提供了良好的保障。一是抓部署。根据区州电影工作会议精神，我站及时组织召开会议进行研究部署，规范放映工作，确保放映质量，并实现“三个结合”放映机制，即：结合“喜迎二十大 ”“我们的节日”等主题活动开展电影放映活动；结合村级“党员干部夜校”“主题党日”开展电影放映活动；结合党委政府中心工作开展“民族团结一家亲等主题电影放映活动”，形成了“工作有部署、实施有抓手、放映有效果”的良好态势。二是抓维护。因疫情做到确保疫情防控安全放映，检修设备，更新放映电源线、制作手动卷轴银幕、定购影片确保设备无故障运行。三是抓保障。严格公车管理和运营维护，落实单车核算制度，定点维修制度，确保安全运行。四是抓技能培训。为提升单位管理水平及放映技能，1月初对放映人员进行了集中培训，确保管理及放映水平的提高，同时日常也强化对放映技能的交流提高。五是抓工作落实。制定切实可行的年度工作计划及相关主题放映活动方案，为进一步提高电影传播力和影响力，我站在选片定片时充分听取电影放映人员和群众意见建议，把组织满意、群众喜爱、寓教于乐作为影片订购和放映标准，确保年度放映工作在做好疫情防控同时有序开展。全年共订购影片3O次58部，其中公益影片420场次、商业影片280场次、科教片320场次，受益观众41000人次。</w:t>
      </w:r>
    </w:p>
    <w:p>
      <w:pPr>
        <w:spacing w:line="240" w:lineRule="auto"/>
        <w:ind w:firstLine="0" w:firstLineChars="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（2）推动农村电影放映优化升级，创新放映新技术，助力实施乡村振兴。</w:t>
      </w:r>
    </w:p>
    <w:p>
      <w:pPr>
        <w:ind w:firstLine="643"/>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 1、创新放映新技术，推动室内固定放映又好又快发展。</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为推动农村公益电影由“流动转固定、室外转室内”扎实推进。充分挖掘利用现有数字电影流动播放器的音视频输出功能，整合社会公共资源，通过视频采集卡、DVI转VGA接头、DVI转高清接头、音频大小插头转换、集VGA、HDMI一体的三合一转接设备等新技术实现了数字电影流动播放器同村文化室、校园多功能厅、社区文化室投影设备、功放音响设备连接放映，从根本上解决了过去放映设备多、重量大、架设费工费时的问题，使广大放映员工作更方便快捷。由于投影设备和功放音响设备的固定，从而也提高了放映效率。</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 2、“红色影院”“红色电影广场”文化新阵地建设同新时代文明站、所、点有机结合，优势互补推动农村电影放映优化升级，助力实施乡村振兴。昌吉市电影站在全疆乡镇、村、社区、校园率先打造红色文化传播阵地，着力改善观影条件，充分整合资源，合理利用农村公益电影补贴等资金，已投入资金15万元完成六工镇四户坝村、二六工镇下六工村、榆树沟镇榆树沟村三座红色影院建设，同时也建成了二六工镇下六工村、二六工镇幸福村、北京南路街道新科园社区3座红色电影广场，发挥“红色影院”“红色电影广场”阵地作用，传播红色文化，传承红色基因丰富群众的精神文化生活，助力实施乡村振兴。</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大屏电影”成为电影放映新亮点：为进一步提升观影效果，我站组织技术人员攻坚克难成功的将现有流动数字电影播放器同LED大屏连接播放，二六工镇幸福村红色电影广场“大屏电影”的成功放映为今后农村公益电影发展提供了新的思路。</w:t>
      </w:r>
    </w:p>
    <w:p>
      <w:pPr>
        <w:ind w:firstLine="643"/>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（3）创新开展主题放映活动，促进电影文化供给，推动电影宣传力度。</w:t>
      </w:r>
    </w:p>
    <w:p>
      <w:pPr>
        <w:ind w:firstLine="643"/>
        <w:textAlignment w:val="baseline"/>
        <w:outlineLvl w:val="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1、“爱国主义影片”弘扬社会正能量。</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为有效发挥优秀爱国主义影视作品在服务社会稳定和长治久安总目标的积极作用，从2020年12月开始我站及时选定《夺冠》《金刚川》《遵义会议》《红色圩场》等系列爱国主义影片，在全市10个乡镇3个涉农街道66个行政村进行巡回放映，实现了乡镇村组全覆盖。</w:t>
      </w:r>
    </w:p>
    <w:p>
      <w:pPr>
        <w:ind w:firstLine="643"/>
        <w:textAlignment w:val="baseline"/>
        <w:outlineLvl w:val="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2、“史话新疆”系列片正本清源提升爱国热情。</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今年，我站把电影放映与“两项群众工作”有机结合，及时选定了“史话新疆”系列片及一批民族团结教育影片和“去极端化”宣传教育片，通过以史为鉴、正本清源提升广大群众爱国热情，起到了良好的宣传效果。</w:t>
      </w:r>
    </w:p>
    <w:p>
      <w:pPr>
        <w:ind w:firstLine="643"/>
        <w:textAlignment w:val="baseline"/>
        <w:outlineLvl w:val="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3、“科普教育影片”引导健康生活。</w:t>
      </w:r>
    </w:p>
    <w:p>
      <w:pPr>
        <w:ind w:firstLine="640"/>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    我站在电影放映中及时征求群众意见建议，针对不同人群订购了健康保健类、交通安全类、扫黑除恶、安全生产类以及戒毒等不同种类的科学教育影片，有效配合了昌吉市“文明城市复审”等工作，为广大群众提供了多种知识宣传教育平台。</w:t>
      </w:r>
    </w:p>
    <w:p>
      <w:pPr>
        <w:ind w:firstLine="643"/>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（4）开展喜迎党的二十大 全国公益电影“时代楷模”主题影片展映等活动铸牢中华民族共同体意识，弘扬社会主义核心价值观。</w:t>
      </w:r>
    </w:p>
    <w:p>
      <w:pPr>
        <w:pStyle w:val="10"/>
        <w:spacing w:before="0" w:beforeAutospacing="0" w:after="300" w:afterAutospacing="0"/>
        <w:ind w:firstLine="640"/>
        <w:jc w:val="both"/>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1、1月5日启动昌吉市“红色记忆 光影诉说”主题电影放映活动，使广大党员群众在光影世界中重温历史经典，进一步激发爱党、爱国、爱社会主义的深切情感，通过播放红色经典，唱响中国共产党好的主旋律，推动党史学习教育深入群众，深入基层，深入人心。</w:t>
      </w:r>
    </w:p>
    <w:p>
      <w:pPr>
        <w:ind w:firstLine="640"/>
        <w:jc w:val="left"/>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2、1月16日启动喜迎党的二十大 全国公益电影“时代楷模”主题影片展映活动，通过电影这种方式将时代楷模的奉献精神送到百姓家门口，更好地弘扬正能量，弘扬爱国主义精神，激发广大人民爱党爱国、爱社会主义的热情。                           </w:t>
      </w:r>
    </w:p>
    <w:p>
      <w:pPr>
        <w:ind w:firstLine="480" w:firstLineChars="150"/>
        <w:jc w:val="left"/>
        <w:textAlignment w:val="baseline"/>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3、充分利用冬季乡村党员学习、主题党日、农民夜校等活动1月20日启动“史话新疆”主题放映活动，以陶冶群众情操，弘扬优秀文化，增强民族认同感。组织六支电影小分队在全市十个乡镇、三个涉农街道办事处及社区巡回放映。</w:t>
      </w:r>
    </w:p>
    <w:p>
      <w:pPr>
        <w:ind w:firstLine="64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4、5月28日昌吉市电影发行放映管理站牵头组织相关单位和志愿服务团队，在昌吉市二六工镇幸福村红色电影广场开展了“品味端午  守护明天  传承经典”电影志愿服务活动。让广大群众感受全党全社会崇尚道德、传承弘扬中华传统文化和革命精神的深远意义。</w:t>
      </w:r>
    </w:p>
    <w:p>
      <w:pPr>
        <w:ind w:firstLine="480" w:firstLineChars="150"/>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5、5月在昌吉市开展了“民族团结教育优秀影片”展映活动，通过各类宣传丰富了宣传内容，扩大了电影在群众中的传播力和影响力，传播了民族团结正能量，使民族团结之花进一步深入人心。 </w:t>
      </w:r>
    </w:p>
    <w:p>
      <w:pPr>
        <w:pStyle w:val="10"/>
        <w:spacing w:before="0" w:beforeAutospacing="0" w:after="300" w:afterAutospacing="0"/>
        <w:ind w:firstLine="640"/>
        <w:jc w:val="both"/>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 xml:space="preserve">6、6月28日启动昌吉市庆祝建党101周年 喜迎二十大优秀影片展映活动在榆树沟镇榆树沟村启动。通过电影这种群众喜闻乐见的形式传递党和政府的声音，活跃群众的文化生活，持续推动喜迎党的二十大系列放映活动，喜迎党的二十大胜利召开。                                    </w:t>
      </w:r>
    </w:p>
    <w:p>
      <w:pPr>
        <w:pStyle w:val="10"/>
        <w:spacing w:before="0" w:beforeAutospacing="0" w:after="300" w:afterAutospacing="0"/>
        <w:ind w:firstLine="640"/>
        <w:jc w:val="both"/>
        <w:rPr>
          <w:rFonts w:hint="eastAsia" w:ascii="仿宋_GB2312" w:hAnsi="仿宋" w:eastAsia="仿宋_GB2312" w:cs="Times New Roman"/>
          <w:kern w:val="2"/>
          <w:sz w:val="32"/>
          <w:szCs w:val="32"/>
          <w:lang w:val="en-US" w:eastAsia="zh-CN" w:bidi="ar-SA"/>
        </w:rPr>
      </w:pPr>
      <w:r>
        <w:rPr>
          <w:rFonts w:hint="eastAsia" w:ascii="仿宋_GB2312" w:hAnsi="仿宋" w:eastAsia="仿宋_GB2312" w:cs="Times New Roman"/>
          <w:kern w:val="2"/>
          <w:sz w:val="32"/>
          <w:szCs w:val="32"/>
          <w:lang w:val="en-US" w:eastAsia="zh-CN" w:bidi="ar-SA"/>
        </w:rPr>
        <w:t>7、7月6日启动昌吉市喜迎二十大  红色电影夏令营放映活动。通过使广大学生在暑假通过看红色电影的形式，弘扬中华民族的伟大民族精神和时代精神，增强民族自豪感和自信心。</w:t>
      </w:r>
    </w:p>
    <w:p>
      <w:pPr>
        <w:pStyle w:val="10"/>
        <w:spacing w:before="0" w:beforeAutospacing="0" w:after="300" w:afterAutospacing="0"/>
        <w:ind w:firstLine="643"/>
        <w:jc w:val="both"/>
        <w:rPr>
          <w:rFonts w:hint="eastAsia" w:ascii="楷体" w:hAnsi="楷体" w:eastAsia="楷体" w:cs="楷体"/>
          <w:b/>
          <w:bCs/>
          <w:sz w:val="32"/>
          <w:szCs w:val="32"/>
        </w:rPr>
      </w:pPr>
      <w:r>
        <w:rPr>
          <w:rFonts w:hint="eastAsia" w:ascii="楷体" w:hAnsi="楷体" w:eastAsia="楷体" w:cs="楷体"/>
          <w:b/>
          <w:bCs/>
          <w:sz w:val="32"/>
          <w:szCs w:val="32"/>
        </w:rPr>
        <w:t>（二）单位决策机制</w:t>
      </w:r>
    </w:p>
    <w:p>
      <w:pPr>
        <w:pStyle w:val="10"/>
        <w:spacing w:before="0" w:beforeAutospacing="0" w:after="300" w:afterAutospacing="0"/>
        <w:ind w:firstLine="640"/>
        <w:jc w:val="both"/>
        <w:rPr>
          <w:rFonts w:asciiTheme="majorEastAsia" w:hAnsiTheme="majorEastAsia" w:eastAsiaTheme="majorEastAsia"/>
          <w:sz w:val="32"/>
          <w:szCs w:val="32"/>
        </w:rPr>
      </w:pPr>
      <w:r>
        <w:rPr>
          <w:rFonts w:hint="eastAsia" w:ascii="仿宋_GB2312" w:eastAsia="仿宋_GB2312"/>
          <w:sz w:val="32"/>
          <w:szCs w:val="32"/>
        </w:rPr>
        <w:t>我单位决策机制根据行政事业单位内部控制体系建设相关要求，逐步完善《昌吉市电影发行放映管理站（局党委、党组会议、办公会议等按单位自身实际决策制度填写）议事规则》、《三重一大会议制度》（按单位自身实际决策制度填写），根据制度规定“详述本单位决策制度规范具体内容”进行单位事项决策。</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（三）单位资金分配情况</w:t>
      </w:r>
    </w:p>
    <w:p>
      <w:pPr>
        <w:widowControl/>
        <w:ind w:firstLine="643"/>
        <w:jc w:val="left"/>
        <w:rPr>
          <w:rFonts w:ascii="仿宋_GB2312" w:eastAsia="仿宋_GB2312" w:cs="仿宋"/>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jc w:val="left"/>
        <w:rPr>
          <w:rFonts w:ascii="仿宋_GB2312" w:eastAsia="仿宋_GB2312" w:cs="仿宋"/>
          <w:sz w:val="32"/>
          <w:szCs w:val="32"/>
          <w:highlight w:val="none"/>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w:t>
      </w:r>
      <w:r>
        <w:rPr>
          <w:rFonts w:hint="eastAsia" w:ascii="仿宋_GB2312" w:eastAsia="仿宋_GB2312" w:cs="仿宋"/>
          <w:sz w:val="32"/>
          <w:szCs w:val="32"/>
          <w:highlight w:val="none"/>
        </w:rPr>
        <w:t>目1个，预算安排的重点项目支出金额为</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万元，部门项目总支出金额为</w:t>
      </w:r>
      <w:r>
        <w:rPr>
          <w:rFonts w:hint="eastAsia" w:ascii="仿宋_GB2312" w:eastAsia="仿宋_GB2312" w:cs="仿宋"/>
          <w:sz w:val="32"/>
          <w:szCs w:val="32"/>
          <w:highlight w:val="none"/>
          <w:lang w:val="en-US" w:eastAsia="zh-CN"/>
        </w:rPr>
        <w:t>7.68</w:t>
      </w:r>
      <w:r>
        <w:rPr>
          <w:rFonts w:hint="eastAsia" w:ascii="仿宋_GB2312" w:eastAsia="仿宋_GB2312" w:cs="仿宋"/>
          <w:sz w:val="32"/>
          <w:szCs w:val="32"/>
          <w:highlight w:val="none"/>
        </w:rPr>
        <w:t>万元，则重点项目支出占项目总支出的比率为</w:t>
      </w:r>
      <w:r>
        <w:rPr>
          <w:rFonts w:hint="eastAsia" w:ascii="仿宋_GB2312" w:eastAsia="仿宋_GB2312" w:cs="仿宋"/>
          <w:sz w:val="32"/>
          <w:szCs w:val="32"/>
          <w:highlight w:val="none"/>
          <w:lang w:val="en-US" w:eastAsia="zh-CN"/>
        </w:rPr>
        <w:t>0.00</w:t>
      </w:r>
      <w:r>
        <w:rPr>
          <w:rFonts w:hint="eastAsia" w:ascii="仿宋_GB2312" w:eastAsia="仿宋_GB2312" w:cs="仿宋"/>
          <w:sz w:val="32"/>
          <w:szCs w:val="32"/>
          <w:highlight w:val="none"/>
        </w:rPr>
        <w:t>%。</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（四）部门单位整体支出规模、使用方法和主要内容、涉及范围</w:t>
      </w:r>
    </w:p>
    <w:p>
      <w:pPr>
        <w:ind w:firstLine="643"/>
        <w:rPr>
          <w:rFonts w:ascii="仿宋_GB2312" w:eastAsia="仿宋_GB2312"/>
          <w:b/>
          <w:bCs/>
          <w:sz w:val="32"/>
          <w:szCs w:val="32"/>
        </w:rPr>
      </w:pPr>
      <w:r>
        <w:rPr>
          <w:rFonts w:hint="eastAsia" w:ascii="仿宋_GB2312" w:eastAsia="仿宋_GB2312"/>
          <w:b/>
          <w:bCs/>
          <w:sz w:val="32"/>
          <w:szCs w:val="32"/>
        </w:rPr>
        <w:t>1.部门单位整体支出规模</w:t>
      </w:r>
    </w:p>
    <w:p>
      <w:pPr>
        <w:ind w:firstLine="640"/>
        <w:rPr>
          <w:rFonts w:ascii="仿宋_GB2312" w:eastAsia="仿宋_GB2312"/>
          <w:sz w:val="32"/>
          <w:szCs w:val="32"/>
        </w:rPr>
      </w:pPr>
      <w:r>
        <w:rPr>
          <w:rFonts w:hint="eastAsia" w:ascii="仿宋_GB2312" w:eastAsia="仿宋_GB2312"/>
          <w:sz w:val="32"/>
          <w:szCs w:val="32"/>
        </w:rPr>
        <w:t>2022年度，昌吉市电影发行放映管理站</w:t>
      </w:r>
      <w:r>
        <w:rPr>
          <w:rFonts w:hint="eastAsia" w:ascii="仿宋_GB2312" w:eastAsia="仿宋_GB2312"/>
          <w:bCs/>
          <w:sz w:val="32"/>
          <w:szCs w:val="32"/>
        </w:rPr>
        <w:t>部门单位整体支出年初预算金额为</w:t>
      </w:r>
      <w:r>
        <w:rPr>
          <w:rFonts w:hint="eastAsia" w:ascii="仿宋_GB2312" w:eastAsia="仿宋_GB2312"/>
          <w:sz w:val="32"/>
          <w:szCs w:val="32"/>
        </w:rPr>
        <w:t>99.77万元，支出金额为121.58万元，执行率为121.86%，其中：政府采购年初预算金额为0.00万元，支出金额为0.00万元，执行率为0.0%。年中调增预算金额21.82万元，预算调整率为17.94%。综上，我单位部门单位整体预算总额为121.58万元，支出总额为121.58万元，预算总执行率为</w:t>
      </w:r>
      <w:r>
        <w:rPr>
          <w:rFonts w:hint="eastAsia" w:ascii="仿宋_GB2312" w:eastAsia="仿宋_GB2312"/>
          <w:sz w:val="32"/>
          <w:szCs w:val="32"/>
          <w:lang w:val="en-US" w:eastAsia="zh-CN"/>
        </w:rPr>
        <w:t>100.0</w:t>
      </w:r>
      <w:r>
        <w:rPr>
          <w:rFonts w:hint="eastAsia" w:ascii="仿宋_GB2312" w:eastAsia="仿宋_GB2312"/>
          <w:sz w:val="32"/>
          <w:szCs w:val="32"/>
        </w:rPr>
        <w:t>%。</w:t>
      </w:r>
    </w:p>
    <w:p>
      <w:pPr>
        <w:ind w:firstLine="643"/>
        <w:rPr>
          <w:rFonts w:ascii="仿宋_GB2312" w:eastAsia="仿宋_GB2312"/>
          <w:b/>
          <w:bCs/>
          <w:sz w:val="32"/>
          <w:szCs w:val="32"/>
        </w:rPr>
      </w:pPr>
      <w:r>
        <w:rPr>
          <w:rFonts w:hint="eastAsia" w:ascii="仿宋_GB2312" w:eastAsia="仿宋_GB2312"/>
          <w:b/>
          <w:bCs/>
          <w:sz w:val="32"/>
          <w:szCs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3"/>
        <w:rPr>
          <w:rFonts w:ascii="仿宋_GB2312" w:eastAsia="仿宋_GB2312"/>
          <w:b/>
          <w:bCs/>
          <w:sz w:val="32"/>
          <w:szCs w:val="32"/>
        </w:rPr>
      </w:pPr>
      <w:r>
        <w:rPr>
          <w:rFonts w:hint="eastAsia" w:ascii="仿宋_GB2312" w:eastAsia="仿宋_GB2312"/>
          <w:b/>
          <w:bCs/>
          <w:sz w:val="32"/>
          <w:szCs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ascii="黑体" w:hAnsi="黑体" w:eastAsia="黑体" w:cs="黑体"/>
          <w:sz w:val="32"/>
          <w:szCs w:val="32"/>
        </w:rPr>
      </w:pPr>
      <w:r>
        <w:rPr>
          <w:rFonts w:hint="eastAsia" w:ascii="黑体" w:hAnsi="黑体" w:eastAsia="黑体" w:cs="黑体"/>
          <w:sz w:val="32"/>
          <w:szCs w:val="32"/>
        </w:rPr>
        <w:t>二、部门单位整体支出管理及使用情况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我单位为加强预算管理、规范财务行为、加强内部控制体系建设，制定了预算管理办法，并严格按照此管理办法（制度）管理使用预算资金，严格按照政府信息公开有关规定及财政部门要求公开相关预决算信息。</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2022年，昌吉市电影发行放映管理站基本支出年初预算金额为99.77万元，支出金额为121.58万元，增幅为21.87%，年中调增预算金额21.81万元。综上，我单位基本支出预算总额为121.58万元，支出总额为121.58万元，预算总执行率为</w:t>
      </w:r>
      <w:r>
        <w:rPr>
          <w:rFonts w:hint="eastAsia" w:ascii="仿宋_GB2312" w:eastAsia="仿宋_GB2312"/>
          <w:sz w:val="32"/>
          <w:szCs w:val="32"/>
          <w:lang w:val="en-US" w:eastAsia="zh-CN"/>
        </w:rPr>
        <w:t>100.0</w:t>
      </w:r>
      <w:r>
        <w:rPr>
          <w:rFonts w:hint="eastAsia" w:ascii="仿宋_GB2312" w:eastAsia="仿宋_GB2312"/>
          <w:sz w:val="32"/>
          <w:szCs w:val="32"/>
        </w:rPr>
        <w:t>%，其中人员经费110.15万元，公用经费3.75万元，项目支出7.68万元。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2.4万元，其中：因公出国（境）费0.00万元，公务用车购置及运行费2.4万元（其中公务用车购置为0.00万元），公务接待费0.00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1.48万元，其中：因公出国（境）费用0.00万元、公务用车购置及运行费1.48万元（其中公务用车购置为0.00万元）、公务接待费0.00万元。较上年“三公”经费决算支出1.95万元，减少0.47万元，下降24.45%。</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（三）项目支出预算安排及支出情况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1.项目支出情况</w:t>
      </w:r>
    </w:p>
    <w:p>
      <w:pPr>
        <w:ind w:firstLine="640"/>
        <w:rPr>
          <w:rFonts w:hint="default" w:ascii="仿宋_GB2312" w:eastAsia="仿宋_GB2312"/>
          <w:sz w:val="32"/>
          <w:szCs w:val="32"/>
          <w:highlight w:val="none"/>
          <w:lang w:val="en-US" w:eastAsia="zh-CN"/>
        </w:rPr>
      </w:pPr>
      <w:r>
        <w:rPr>
          <w:rFonts w:hint="eastAsia" w:ascii="仿宋_GB2312" w:eastAsia="仿宋_GB2312"/>
          <w:sz w:val="32"/>
          <w:szCs w:val="32"/>
          <w:highlight w:val="none"/>
        </w:rPr>
        <w:t>2022年本单位全年安排中央及自治区专项资金支出预算1个</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2022年中央补助地方公共文化服务体系建设补助资金项目。</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2.专项资金总投入及实际使用情况分析</w:t>
      </w:r>
    </w:p>
    <w:p>
      <w:pPr>
        <w:ind w:firstLine="640"/>
        <w:rPr>
          <w:rFonts w:hint="default" w:ascii="仿宋_GB2312" w:eastAsia="仿宋_GB2312" w:cs="仿宋"/>
          <w:sz w:val="32"/>
          <w:szCs w:val="32"/>
          <w:lang w:val="en-US" w:eastAsia="zh-CN"/>
        </w:rPr>
      </w:pPr>
      <w:r>
        <w:rPr>
          <w:rFonts w:hint="eastAsia" w:ascii="仿宋_GB2312" w:eastAsia="仿宋_GB2312"/>
          <w:sz w:val="32"/>
          <w:szCs w:val="32"/>
          <w:highlight w:val="none"/>
          <w:lang w:val="en-US" w:eastAsia="zh-CN"/>
        </w:rPr>
        <w:t>2022年中央补助地方公共文化服务体系建设补助资金</w:t>
      </w:r>
      <w:r>
        <w:rPr>
          <w:rFonts w:hint="eastAsia" w:ascii="仿宋_GB2312" w:eastAsia="仿宋_GB2312" w:cs="仿宋"/>
          <w:sz w:val="32"/>
          <w:szCs w:val="32"/>
          <w:highlight w:val="none"/>
        </w:rPr>
        <w:t>预算安排专项资金</w:t>
      </w:r>
      <w:r>
        <w:rPr>
          <w:rFonts w:hint="eastAsia" w:ascii="仿宋_GB2312" w:eastAsia="仿宋_GB2312" w:cs="仿宋"/>
          <w:sz w:val="32"/>
          <w:szCs w:val="32"/>
          <w:highlight w:val="none"/>
          <w:lang w:val="en-US" w:eastAsia="zh-CN"/>
        </w:rPr>
        <w:t>15.12</w:t>
      </w:r>
      <w:r>
        <w:rPr>
          <w:rFonts w:hint="eastAsia" w:ascii="仿宋_GB2312" w:eastAsia="仿宋_GB2312" w:cs="仿宋"/>
          <w:sz w:val="32"/>
          <w:szCs w:val="32"/>
          <w:highlight w:val="none"/>
        </w:rPr>
        <w:t>万元，实际使用7.68万元，</w:t>
      </w:r>
      <w:r>
        <w:rPr>
          <w:rFonts w:hint="eastAsia" w:ascii="仿宋_GB2312" w:eastAsia="仿宋_GB2312" w:cs="仿宋"/>
          <w:sz w:val="32"/>
          <w:szCs w:val="32"/>
          <w:highlight w:val="none"/>
          <w:lang w:val="en-US" w:eastAsia="zh-CN"/>
        </w:rPr>
        <w:t>预算</w:t>
      </w:r>
      <w:r>
        <w:rPr>
          <w:rFonts w:hint="eastAsia" w:ascii="仿宋_GB2312" w:eastAsia="仿宋_GB2312" w:cs="仿宋"/>
          <w:sz w:val="32"/>
          <w:szCs w:val="32"/>
          <w:lang w:val="en-US" w:eastAsia="zh-CN"/>
        </w:rPr>
        <w:t>执行率为50.79%。</w:t>
      </w:r>
    </w:p>
    <w:p>
      <w:pPr>
        <w:ind w:firstLine="640"/>
        <w:outlineLvl w:val="0"/>
        <w:rPr>
          <w:rFonts w:ascii="黑体" w:hAnsi="黑体" w:eastAsia="黑体" w:cs="黑体"/>
          <w:sz w:val="32"/>
          <w:szCs w:val="32"/>
        </w:rPr>
      </w:pPr>
      <w:r>
        <w:rPr>
          <w:rFonts w:hint="eastAsia" w:ascii="黑体" w:hAnsi="黑体" w:eastAsia="黑体" w:cs="黑体"/>
          <w:sz w:val="32"/>
          <w:szCs w:val="32"/>
        </w:rPr>
        <w:t>三、部门单位专项组织实施情况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（一）专项组织情况分析</w:t>
      </w:r>
    </w:p>
    <w:p>
      <w:pPr>
        <w:ind w:firstLine="643"/>
        <w:rPr>
          <w:rFonts w:ascii="仿宋_GB2312" w:eastAsia="仿宋_GB2312"/>
          <w:b/>
          <w:bCs/>
          <w:sz w:val="32"/>
          <w:szCs w:val="32"/>
        </w:rPr>
      </w:pPr>
      <w:r>
        <w:rPr>
          <w:rFonts w:hint="eastAsia" w:ascii="仿宋_GB2312" w:eastAsia="仿宋_GB2312"/>
          <w:b/>
          <w:bCs/>
          <w:sz w:val="32"/>
          <w:szCs w:val="32"/>
        </w:rPr>
        <w:t>1.前期准备</w:t>
      </w:r>
    </w:p>
    <w:p>
      <w:pPr>
        <w:ind w:firstLine="640"/>
        <w:rPr>
          <w:rFonts w:ascii="仿宋_GB2312" w:eastAsia="仿宋_GB2312"/>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（二）专项管理情况分析</w:t>
      </w:r>
    </w:p>
    <w:p>
      <w:pPr>
        <w:ind w:firstLine="640"/>
        <w:rPr>
          <w:rFonts w:hint="default" w:ascii="仿宋_GB2312" w:eastAsia="仿宋_GB2312" w:cs="仿宋"/>
          <w:sz w:val="32"/>
          <w:szCs w:val="32"/>
          <w:lang w:val="en-US" w:eastAsia="zh-CN"/>
        </w:rPr>
      </w:pPr>
      <w:r>
        <w:rPr>
          <w:rFonts w:hint="eastAsia" w:ascii="仿宋_GB2312" w:eastAsia="仿宋_GB2312"/>
          <w:sz w:val="32"/>
          <w:szCs w:val="32"/>
          <w:highlight w:val="none"/>
          <w:lang w:val="en-US" w:eastAsia="zh-CN"/>
        </w:rPr>
        <w:t>2022年中央补助地方公共文化服务体系建设补助资金</w:t>
      </w:r>
      <w:r>
        <w:rPr>
          <w:rFonts w:hint="eastAsia" w:ascii="仿宋_GB2312" w:eastAsia="仿宋_GB2312" w:cs="仿宋"/>
          <w:sz w:val="32"/>
          <w:szCs w:val="32"/>
        </w:rPr>
        <w:t>预算安排专项资金</w:t>
      </w:r>
      <w:r>
        <w:rPr>
          <w:rFonts w:hint="eastAsia" w:ascii="仿宋_GB2312" w:eastAsia="仿宋_GB2312" w:cs="仿宋"/>
          <w:sz w:val="32"/>
          <w:szCs w:val="32"/>
          <w:lang w:val="en-US" w:eastAsia="zh-CN"/>
        </w:rPr>
        <w:t>15.12</w:t>
      </w:r>
      <w:r>
        <w:rPr>
          <w:rFonts w:hint="eastAsia" w:ascii="仿宋_GB2312" w:eastAsia="仿宋_GB2312" w:cs="仿宋"/>
          <w:sz w:val="32"/>
          <w:szCs w:val="32"/>
        </w:rPr>
        <w:t>万元，实际使用7.68万元，</w:t>
      </w:r>
      <w:r>
        <w:rPr>
          <w:rFonts w:hint="eastAsia" w:ascii="仿宋_GB2312" w:eastAsia="仿宋_GB2312" w:cs="仿宋"/>
          <w:sz w:val="32"/>
          <w:szCs w:val="32"/>
          <w:lang w:val="en-US" w:eastAsia="zh-CN"/>
        </w:rPr>
        <w:t>预算执行率为50.79%。</w:t>
      </w:r>
    </w:p>
    <w:p>
      <w:pPr>
        <w:ind w:firstLine="640"/>
        <w:outlineLvl w:val="0"/>
        <w:rPr>
          <w:rFonts w:ascii="黑体" w:hAnsi="黑体" w:eastAsia="黑体" w:cs="黑体"/>
          <w:sz w:val="32"/>
          <w:szCs w:val="32"/>
        </w:rPr>
      </w:pPr>
      <w:r>
        <w:rPr>
          <w:rFonts w:hint="eastAsia" w:ascii="黑体" w:hAnsi="黑体" w:eastAsia="黑体" w:cs="黑体"/>
          <w:sz w:val="32"/>
          <w:szCs w:val="32"/>
        </w:rPr>
        <w:t>四、资产管理情况</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（一）资产情况及固定资产利用情况</w:t>
      </w:r>
    </w:p>
    <w:p>
      <w:pPr>
        <w:ind w:firstLine="640"/>
        <w:rPr>
          <w:rFonts w:ascii="仿宋_GB2312" w:eastAsia="仿宋_GB2312"/>
          <w:sz w:val="32"/>
          <w:szCs w:val="32"/>
        </w:rPr>
      </w:pPr>
      <w:r>
        <w:rPr>
          <w:rFonts w:hint="eastAsia" w:ascii="仿宋_GB2312" w:eastAsia="仿宋_GB2312"/>
          <w:sz w:val="32"/>
          <w:szCs w:val="32"/>
        </w:rPr>
        <w:t>截止2022年12月31日，我单位资产账面总额为88.72万元，较年初资产总额增加13.47万元，上升15.18%，其中：</w:t>
      </w:r>
    </w:p>
    <w:p>
      <w:pPr>
        <w:ind w:firstLine="640"/>
        <w:rPr>
          <w:rFonts w:ascii="仿宋_GB2312" w:eastAsia="仿宋_GB2312"/>
          <w:sz w:val="32"/>
          <w:szCs w:val="32"/>
          <w:highlight w:val="none"/>
        </w:rPr>
      </w:pPr>
      <w:r>
        <w:rPr>
          <w:rFonts w:hint="eastAsia" w:ascii="仿宋_GB2312" w:eastAsia="仿宋_GB2312"/>
          <w:sz w:val="32"/>
          <w:szCs w:val="32"/>
          <w:highlight w:val="none"/>
        </w:rPr>
        <w:t>2022年初，流动</w:t>
      </w:r>
      <w:bookmarkStart w:id="0" w:name="_GoBack"/>
      <w:bookmarkEnd w:id="0"/>
      <w:r>
        <w:rPr>
          <w:rFonts w:hint="eastAsia" w:ascii="仿宋_GB2312" w:eastAsia="仿宋_GB2312"/>
          <w:sz w:val="32"/>
          <w:szCs w:val="32"/>
          <w:highlight w:val="none"/>
        </w:rPr>
        <w:t>资产总额为8.84万元，年末总额为9.29万元，较年初流动资产增加0.45万元，上升4.84%，主要变动原因是：银行存款增加；</w:t>
      </w:r>
    </w:p>
    <w:p>
      <w:pPr>
        <w:ind w:firstLine="640"/>
        <w:rPr>
          <w:rFonts w:ascii="仿宋_GB2312" w:eastAsia="仿宋_GB2312"/>
          <w:sz w:val="32"/>
          <w:szCs w:val="32"/>
          <w:highlight w:val="none"/>
        </w:rPr>
      </w:pPr>
      <w:r>
        <w:rPr>
          <w:rFonts w:hint="eastAsia" w:ascii="仿宋_GB2312" w:eastAsia="仿宋_GB2312"/>
          <w:sz w:val="32"/>
          <w:szCs w:val="32"/>
          <w:highlight w:val="none"/>
        </w:rPr>
        <w:t>2022年初，固定资产总额为</w:t>
      </w:r>
      <w:r>
        <w:rPr>
          <w:rFonts w:hint="eastAsia" w:ascii="仿宋_GB2312" w:eastAsia="仿宋_GB2312"/>
          <w:sz w:val="32"/>
          <w:szCs w:val="32"/>
          <w:highlight w:val="none"/>
          <w:lang w:val="en-US" w:eastAsia="zh-CN"/>
        </w:rPr>
        <w:t>79.43</w:t>
      </w:r>
      <w:r>
        <w:rPr>
          <w:rFonts w:hint="eastAsia" w:ascii="仿宋_GB2312" w:eastAsia="仿宋_GB2312"/>
          <w:sz w:val="32"/>
          <w:szCs w:val="32"/>
          <w:highlight w:val="none"/>
        </w:rPr>
        <w:t>万元，较年初固定资产增加</w:t>
      </w:r>
      <w:r>
        <w:rPr>
          <w:rFonts w:hint="eastAsia" w:ascii="仿宋_GB2312" w:eastAsia="仿宋_GB2312"/>
          <w:sz w:val="32"/>
          <w:szCs w:val="32"/>
          <w:highlight w:val="none"/>
          <w:lang w:val="en-US" w:eastAsia="zh-CN"/>
        </w:rPr>
        <w:t>13.02</w:t>
      </w:r>
      <w:r>
        <w:rPr>
          <w:rFonts w:hint="eastAsia" w:ascii="仿宋_GB2312" w:eastAsia="仿宋_GB2312"/>
          <w:sz w:val="32"/>
          <w:szCs w:val="32"/>
          <w:highlight w:val="none"/>
        </w:rPr>
        <w:t>万元，上升</w:t>
      </w:r>
      <w:r>
        <w:rPr>
          <w:rFonts w:hint="eastAsia" w:ascii="仿宋_GB2312" w:eastAsia="仿宋_GB2312"/>
          <w:sz w:val="32"/>
          <w:szCs w:val="32"/>
          <w:highlight w:val="none"/>
          <w:lang w:val="en-US" w:eastAsia="zh-CN"/>
        </w:rPr>
        <w:t>16.39</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66.41</w:t>
      </w:r>
      <w:r>
        <w:rPr>
          <w:rFonts w:hint="eastAsia" w:ascii="仿宋_GB2312" w:eastAsia="仿宋_GB2312"/>
          <w:sz w:val="32"/>
          <w:szCs w:val="32"/>
          <w:highlight w:val="none"/>
        </w:rPr>
        <w:t>万元，年末总额为主要变动原因是：</w:t>
      </w:r>
      <w:r>
        <w:rPr>
          <w:rFonts w:hint="eastAsia" w:ascii="仿宋_GB2312" w:eastAsia="仿宋_GB2312"/>
          <w:sz w:val="32"/>
          <w:szCs w:val="32"/>
          <w:highlight w:val="none"/>
          <w:lang w:val="en-US" w:eastAsia="zh-CN"/>
        </w:rPr>
        <w:t>购进了固定资产</w:t>
      </w:r>
      <w:r>
        <w:rPr>
          <w:rFonts w:hint="eastAsia" w:ascii="仿宋_GB2312" w:eastAsia="仿宋_GB2312"/>
          <w:sz w:val="32"/>
          <w:szCs w:val="32"/>
          <w:highlight w:val="none"/>
        </w:rPr>
        <w:t>。</w:t>
      </w:r>
    </w:p>
    <w:p>
      <w:pPr>
        <w:ind w:firstLine="643"/>
        <w:outlineLvl w:val="1"/>
        <w:rPr>
          <w:rFonts w:ascii="楷体" w:hAnsi="楷体" w:eastAsia="楷体" w:cs="楷体"/>
          <w:b/>
          <w:bCs/>
          <w:sz w:val="32"/>
          <w:szCs w:val="32"/>
        </w:rPr>
      </w:pPr>
      <w:r>
        <w:rPr>
          <w:rFonts w:hint="eastAsia" w:ascii="楷体" w:hAnsi="楷体" w:eastAsia="楷体" w:cs="楷体"/>
          <w:b/>
          <w:bCs/>
          <w:sz w:val="32"/>
          <w:szCs w:val="32"/>
        </w:rPr>
        <w:t>（二）资产管理规范性分析</w:t>
      </w:r>
    </w:p>
    <w:p>
      <w:pPr>
        <w:ind w:firstLine="643"/>
        <w:jc w:val="left"/>
        <w:rPr>
          <w:rFonts w:ascii="仿宋_GB2312" w:eastAsia="仿宋_GB2312" w:cs="仿宋_GB2312"/>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rPr>
          <w:rFonts w:ascii="仿宋_GB2312" w:eastAsia="仿宋_GB2312"/>
          <w:b/>
          <w:bCs/>
          <w:sz w:val="32"/>
          <w:szCs w:val="32"/>
        </w:rPr>
      </w:pPr>
      <w:r>
        <w:rPr>
          <w:rFonts w:hint="eastAsia" w:ascii="仿宋_GB2312" w:eastAsia="仿宋_GB2312"/>
          <w:b/>
          <w:bCs/>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rPr>
          <w:rFonts w:ascii="仿宋_GB2312" w:eastAsia="仿宋_GB2312"/>
          <w:b/>
          <w:bCs/>
          <w:sz w:val="32"/>
          <w:szCs w:val="32"/>
        </w:rPr>
      </w:pPr>
      <w:r>
        <w:rPr>
          <w:rFonts w:hint="eastAsia" w:ascii="仿宋_GB2312" w:eastAsia="仿宋_GB2312"/>
          <w:b/>
          <w:bCs/>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rPr>
          <w:rFonts w:ascii="仿宋_GB2312" w:eastAsia="仿宋_GB2312"/>
          <w:b/>
          <w:bCs/>
          <w:sz w:val="32"/>
          <w:szCs w:val="32"/>
        </w:rPr>
      </w:pPr>
      <w:r>
        <w:rPr>
          <w:rFonts w:hint="eastAsia" w:ascii="仿宋_GB2312" w:eastAsia="仿宋_GB2312"/>
          <w:b/>
          <w:bCs/>
          <w:sz w:val="32"/>
          <w:szCs w:val="32"/>
        </w:rPr>
        <w:t>4.流动资产的管理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rPr>
          <w:rFonts w:ascii="仿宋_GB2312" w:eastAsia="仿宋_GB2312"/>
          <w:b/>
          <w:bCs/>
          <w:sz w:val="32"/>
          <w:szCs w:val="32"/>
        </w:rPr>
      </w:pPr>
      <w:r>
        <w:rPr>
          <w:rFonts w:hint="eastAsia" w:ascii="仿宋_GB2312" w:eastAsia="仿宋_GB2312"/>
          <w:b/>
          <w:bCs/>
          <w:sz w:val="32"/>
          <w:szCs w:val="32"/>
        </w:rPr>
        <w:t>5.固定资产的管理</w:t>
      </w:r>
    </w:p>
    <w:p>
      <w:pPr>
        <w:pStyle w:val="10"/>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ind w:firstLine="640"/>
        <w:outlineLvl w:val="0"/>
        <w:rPr>
          <w:rFonts w:ascii="仿宋_GB2312" w:eastAsia="仿宋_GB2312"/>
          <w:b/>
          <w:bCs/>
          <w:sz w:val="32"/>
          <w:szCs w:val="32"/>
        </w:rPr>
      </w:pPr>
      <w:r>
        <w:rPr>
          <w:rFonts w:hint="eastAsia" w:ascii="黑体" w:hAnsi="黑体" w:eastAsia="黑体" w:cs="黑体"/>
          <w:sz w:val="32"/>
          <w:szCs w:val="32"/>
        </w:rPr>
        <w:t>五、部门单位整体支出绩效情况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2022年度，昌吉市电影发行放映管理站部门单位整体支出绩效目标共设置一级指标3个，二级指标9个，三级指标10个，其中：已完成三级指标10个，指标完成率为100.0%。</w:t>
      </w:r>
    </w:p>
    <w:p>
      <w:pPr>
        <w:ind w:firstLine="643"/>
        <w:rPr>
          <w:rFonts w:ascii="仿宋_GB2312" w:eastAsia="仿宋_GB2312"/>
          <w:b/>
          <w:bCs/>
          <w:sz w:val="32"/>
          <w:szCs w:val="32"/>
        </w:rPr>
      </w:pPr>
      <w:r>
        <w:rPr>
          <w:rFonts w:hint="eastAsia" w:ascii="仿宋_GB2312" w:eastAsia="仿宋_GB2312"/>
          <w:b/>
          <w:bCs/>
          <w:sz w:val="32"/>
          <w:szCs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rPr>
      </w:pPr>
      <w:r>
        <w:rPr>
          <w:rFonts w:hint="eastAsia" w:ascii="仿宋_GB2312" w:eastAsia="仿宋_GB2312"/>
          <w:sz w:val="32"/>
          <w:szCs w:val="32"/>
        </w:rPr>
        <w:t>“放映乡镇”指标：预期指标值为“=10.00个”，实际完成指标值为“10个”，指标完成率为100.0%;</w:t>
      </w:r>
    </w:p>
    <w:p>
      <w:pPr>
        <w:ind w:firstLine="640"/>
        <w:rPr>
          <w:rFonts w:ascii="仿宋_GB2312" w:eastAsia="仿宋_GB2312"/>
          <w:sz w:val="32"/>
          <w:szCs w:val="32"/>
        </w:rPr>
      </w:pPr>
      <w:r>
        <w:rPr>
          <w:rFonts w:hint="eastAsia" w:ascii="仿宋_GB2312" w:eastAsia="仿宋_GB2312"/>
          <w:sz w:val="32"/>
          <w:szCs w:val="32"/>
        </w:rPr>
        <w:t>“放映涉农街道”指标：预期指标值为“=3.00个”，实际完成指标值为“3个”，指标完成率为100.0%;</w:t>
      </w:r>
    </w:p>
    <w:p>
      <w:pPr>
        <w:ind w:firstLine="640"/>
        <w:rPr>
          <w:rFonts w:ascii="仿宋_GB2312" w:eastAsia="仿宋_GB2312"/>
          <w:sz w:val="32"/>
          <w:szCs w:val="32"/>
        </w:rPr>
      </w:pPr>
      <w:r>
        <w:rPr>
          <w:rFonts w:hint="eastAsia" w:ascii="仿宋_GB2312" w:eastAsia="仿宋_GB2312"/>
          <w:sz w:val="32"/>
          <w:szCs w:val="32"/>
        </w:rPr>
        <w:t>“放映行政村”指标：预期指标值为“=66.00个”，实际完成指标值为“66个”，指标完成率为100.0%;</w:t>
      </w:r>
    </w:p>
    <w:p>
      <w:pPr>
        <w:numPr>
          <w:ilvl w:val="0"/>
          <w:numId w:val="1"/>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ascii="仿宋_GB2312" w:eastAsia="仿宋_GB2312"/>
          <w:sz w:val="32"/>
          <w:szCs w:val="32"/>
        </w:rPr>
      </w:pPr>
      <w:r>
        <w:rPr>
          <w:rFonts w:hint="eastAsia" w:ascii="仿宋_GB2312" w:eastAsia="仿宋_GB2312"/>
          <w:sz w:val="32"/>
          <w:szCs w:val="32"/>
        </w:rPr>
        <w:t>“全年放映完成率”指标：预期指标值为“&gt;=100.00%”，实际完成指标值为“100%”，指标完成率为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numPr>
          <w:ilvl w:val="0"/>
          <w:numId w:val="1"/>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ascii="仿宋_GB2312" w:eastAsia="仿宋_GB2312"/>
          <w:sz w:val="32"/>
          <w:szCs w:val="32"/>
        </w:rPr>
      </w:pPr>
      <w:r>
        <w:rPr>
          <w:rFonts w:hint="eastAsia" w:ascii="仿宋_GB2312" w:eastAsia="仿宋_GB2312"/>
          <w:sz w:val="32"/>
          <w:szCs w:val="32"/>
        </w:rPr>
        <w:t>“完成时限”指标：预期指标值为“2022年1月1日-2022年12月31日”，实际完成指标值为“2022年1月1日-2022年12月31日”，指标完成率为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numPr>
          <w:ilvl w:val="0"/>
          <w:numId w:val="1"/>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rPr>
        <w:t>“全市城乡公益电影的放映工作成本”指标：预期指标值为“=99.77万元”，实际完成指标值为“</w:t>
      </w:r>
      <w:r>
        <w:rPr>
          <w:rFonts w:hint="eastAsia" w:ascii="仿宋_GB2312" w:eastAsia="仿宋_GB2312"/>
          <w:sz w:val="32"/>
          <w:szCs w:val="32"/>
          <w:highlight w:val="none"/>
          <w:lang w:val="en-US" w:eastAsia="zh-CN"/>
        </w:rPr>
        <w:t>110.15</w:t>
      </w:r>
      <w:r>
        <w:rPr>
          <w:rFonts w:hint="eastAsia" w:ascii="仿宋_GB2312" w:eastAsia="仿宋_GB2312"/>
          <w:sz w:val="32"/>
          <w:szCs w:val="32"/>
          <w:highlight w:val="none"/>
        </w:rPr>
        <w:t>万元”，指标完成率为</w:t>
      </w:r>
      <w:r>
        <w:rPr>
          <w:rFonts w:hint="eastAsia" w:ascii="仿宋_GB2312" w:eastAsia="仿宋_GB2312"/>
          <w:bCs/>
          <w:spacing w:val="-4"/>
          <w:sz w:val="32"/>
          <w:szCs w:val="32"/>
          <w:highlight w:val="none"/>
        </w:rPr>
        <w:t>121.86</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“以电影发行放映，促进社会经济文化发展成本”指标：预期指标值为“=8.02万元”，实际完成指标值为“11.43万元”，指标完成率为</w:t>
      </w:r>
      <w:r>
        <w:rPr>
          <w:rFonts w:hint="eastAsia" w:ascii="仿宋_GB2312" w:eastAsia="仿宋_GB2312"/>
          <w:bCs/>
          <w:spacing w:val="-4"/>
          <w:sz w:val="32"/>
          <w:szCs w:val="32"/>
          <w:highlight w:val="none"/>
        </w:rPr>
        <w:t>142.52</w:t>
      </w:r>
      <w:r>
        <w:rPr>
          <w:rFonts w:hint="eastAsia" w:ascii="仿宋_GB2312" w:eastAsia="仿宋_GB2312"/>
          <w:sz w:val="32"/>
          <w:szCs w:val="32"/>
          <w:highlight w:val="none"/>
        </w:rPr>
        <w:t>%;</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rPr>
        <w:t>“电影让各族群众及时收看到党的各项惠民政策，传播文明、传播正能量、提高电影传播力和影响力”指标：预期指标值为“逐步提高”，实际完成指标值为“逐步提高”，指标完成率为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eastAsia="仿宋_GB2312"/>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eastAsia="仿宋_GB2312"/>
          <w:sz w:val="32"/>
          <w:szCs w:val="32"/>
        </w:rPr>
        <w:t>“继续做好设备维护，保证放映质量及场次，提高社会电影宣传度”指标：预期指标值为“有效提高”，实际完成指标值为“有效提高”，指标完成率为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3"/>
        <w:rPr>
          <w:rFonts w:ascii="仿宋_GB2312" w:eastAsia="仿宋_GB2312"/>
          <w:b/>
          <w:bCs/>
          <w:sz w:val="32"/>
          <w:szCs w:val="32"/>
        </w:rPr>
      </w:pPr>
      <w:r>
        <w:rPr>
          <w:rFonts w:hint="eastAsia" w:ascii="仿宋_GB2312" w:eastAsia="仿宋_GB2312"/>
          <w:b/>
          <w:bCs/>
          <w:sz w:val="32"/>
          <w:szCs w:val="32"/>
        </w:rPr>
        <w:t>3.满意度指标完成情况分析</w:t>
      </w:r>
    </w:p>
    <w:p>
      <w:pPr>
        <w:ind w:firstLine="640"/>
        <w:rPr>
          <w:rFonts w:ascii="仿宋_GB2312" w:eastAsia="仿宋_GB2312"/>
          <w:sz w:val="32"/>
          <w:szCs w:val="32"/>
        </w:rPr>
      </w:pPr>
      <w:r>
        <w:rPr>
          <w:rFonts w:hint="eastAsia" w:ascii="仿宋_GB2312" w:eastAsia="仿宋_GB2312"/>
          <w:sz w:val="32"/>
          <w:szCs w:val="32"/>
        </w:rPr>
        <w:t>“群众满意度”指标：预期指标值为“&gt;=95.00%”，实际完成指标值为“96%”，指标完成率为</w:t>
      </w:r>
      <w:r>
        <w:rPr>
          <w:rFonts w:hint="eastAsia" w:ascii="仿宋_GB2312" w:eastAsia="仿宋_GB2312"/>
          <w:bCs/>
          <w:spacing w:val="-4"/>
          <w:sz w:val="32"/>
          <w:szCs w:val="32"/>
        </w:rPr>
        <w:t>100.0</w:t>
      </w:r>
      <w:r>
        <w:rPr>
          <w:rFonts w:hint="eastAsia" w:ascii="仿宋_GB2312" w:eastAsia="仿宋_GB2312"/>
          <w:sz w:val="32"/>
          <w:szCs w:val="32"/>
        </w:rPr>
        <w:t>%。</w:t>
      </w:r>
    </w:p>
    <w:p>
      <w:pPr>
        <w:ind w:firstLine="640"/>
        <w:outlineLvl w:val="0"/>
        <w:rPr>
          <w:rFonts w:ascii="黑体" w:hAnsi="黑体" w:eastAsia="黑体" w:cs="黑体"/>
          <w:sz w:val="32"/>
          <w:szCs w:val="32"/>
        </w:rPr>
      </w:pPr>
      <w:r>
        <w:rPr>
          <w:rFonts w:hint="eastAsia" w:ascii="黑体" w:hAnsi="黑体" w:eastAsia="黑体" w:cs="黑体"/>
          <w:sz w:val="32"/>
          <w:szCs w:val="32"/>
        </w:rPr>
        <w:t>六、存在的主要问题</w:t>
      </w:r>
    </w:p>
    <w:p>
      <w:pPr>
        <w:adjustRightInd w:val="0"/>
        <w:snapToGrid w:val="0"/>
        <w:ind w:firstLine="624"/>
        <w:rPr>
          <w:rFonts w:ascii="仿宋_GB2312" w:eastAsia="仿宋_GB2312"/>
          <w:spacing w:val="-4"/>
          <w:sz w:val="32"/>
          <w:szCs w:val="32"/>
        </w:rPr>
      </w:pPr>
      <w:r>
        <w:rPr>
          <w:rFonts w:hint="eastAsia" w:ascii="仿宋_GB2312" w:eastAsia="仿宋_GB2312"/>
          <w:spacing w:val="-4"/>
          <w:sz w:val="32"/>
          <w:szCs w:val="32"/>
        </w:rPr>
        <w:t>因系统未设置调整金额，本项目实际执行率为100.0%，2022年本单位整体支出绩效目标全部达成，不存在未完成原因分析。</w:t>
      </w:r>
    </w:p>
    <w:p>
      <w:pPr>
        <w:ind w:firstLine="640"/>
        <w:outlineLvl w:val="0"/>
        <w:rPr>
          <w:rFonts w:ascii="黑体" w:hAnsi="黑体" w:eastAsia="黑体" w:cs="黑体"/>
          <w:sz w:val="32"/>
          <w:szCs w:val="32"/>
        </w:rPr>
      </w:pPr>
      <w:r>
        <w:rPr>
          <w:rFonts w:hint="eastAsia" w:ascii="黑体" w:hAnsi="黑体" w:eastAsia="黑体" w:cs="黑体"/>
          <w:sz w:val="32"/>
          <w:szCs w:val="32"/>
        </w:rPr>
        <w:t>七、改进措施和建议</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一）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二）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ind w:firstLine="640"/>
        <w:jc w:val="left"/>
        <w:rPr>
          <w:rFonts w:ascii="仿宋_GB2312" w:hAnsi="仿宋_GB2312" w:eastAsia="仿宋_GB2312" w:cs="仿宋_GB2312"/>
          <w:bCs/>
          <w:sz w:val="32"/>
          <w:szCs w:val="32"/>
        </w:rPr>
      </w:pPr>
      <w:r>
        <w:rPr>
          <w:rFonts w:hint="eastAsia" w:ascii="仿宋_GB2312" w:hAnsi="宋体" w:eastAsia="仿宋_GB2312" w:cs="宋体"/>
          <w:kern w:val="0"/>
          <w:sz w:val="32"/>
          <w:szCs w:val="32"/>
        </w:rPr>
        <w:t>（三）不定期进行绩效过程监控，及时发现问题及时调整。</w:t>
      </w:r>
      <w:r>
        <w:rPr>
          <w:rFonts w:ascii="仿宋_GB2312" w:hAnsi="仿宋_GB2312" w:eastAsia="仿宋_GB2312" w:cs="仿宋_GB2312"/>
          <w:bCs/>
          <w:sz w:val="32"/>
          <w:szCs w:val="32"/>
        </w:rPr>
        <w:t>建议财政部门加大业务知识培训力度，组织预算单位学习《预算法》等相关法律法规，学习现代财政预算管理体系，提高单位领导对全面预算管理的重视程度，增强财务人员的预算意识，树立预算绩效管理支出理念</w:t>
      </w:r>
      <w:r>
        <w:rPr>
          <w:rFonts w:hint="eastAsia" w:ascii="仿宋_GB2312" w:hAnsi="仿宋_GB2312" w:eastAsia="仿宋_GB2312" w:cs="仿宋_GB2312"/>
          <w:bCs/>
          <w:sz w:val="32"/>
          <w:szCs w:val="32"/>
        </w:rPr>
        <w:t>。</w:t>
      </w:r>
    </w:p>
    <w:p>
      <w:pPr>
        <w:snapToGrid w:val="0"/>
        <w:ind w:firstLine="640"/>
        <w:rPr>
          <w:rFonts w:ascii="仿宋_GB2312" w:eastAsia="仿宋_GB2312"/>
          <w:bCs/>
          <w:spacing w:val="-4"/>
          <w:sz w:val="32"/>
          <w:szCs w:val="32"/>
        </w:rPr>
      </w:pPr>
      <w:r>
        <w:rPr>
          <w:rFonts w:hint="eastAsia" w:ascii="仿宋_GB2312" w:eastAsia="仿宋_GB2312" w:hAnsiTheme="minorEastAsia"/>
          <w:sz w:val="32"/>
          <w:szCs w:val="32"/>
          <w:shd w:val="clear" w:color="auto" w:fill="FFFFFF"/>
        </w:rPr>
        <w:t>我单位将会在2022年预算编制中细化各项预算科目，在合理、规范地编制预算的基础上，加强对所需资金的预估，增强预算的准确性，并且做好预算资金支出的进度安排，争取每一笔财政拨款都能按时、按计划支出，财尽其用。</w:t>
      </w:r>
    </w:p>
    <w:p>
      <w:pPr>
        <w:ind w:firstLine="640"/>
        <w:outlineLvl w:val="0"/>
        <w:rPr>
          <w:rFonts w:ascii="黑体" w:hAnsi="黑体" w:eastAsia="黑体" w:cs="黑体"/>
          <w:sz w:val="32"/>
          <w:szCs w:val="32"/>
        </w:rPr>
      </w:pPr>
      <w:r>
        <w:rPr>
          <w:rFonts w:hint="eastAsia" w:ascii="黑体" w:hAnsi="黑体" w:eastAsia="黑体" w:cs="黑体"/>
          <w:sz w:val="32"/>
          <w:szCs w:val="32"/>
        </w:rPr>
        <w:t>八、附表</w:t>
      </w:r>
    </w:p>
    <w:p>
      <w:pPr>
        <w:ind w:firstLine="640"/>
        <w:rPr>
          <w:rFonts w:ascii="仿宋_GB2312" w:eastAsia="仿宋_GB2312"/>
          <w:sz w:val="32"/>
          <w:szCs w:val="32"/>
        </w:rPr>
      </w:pPr>
      <w:r>
        <w:rPr>
          <w:rFonts w:hint="eastAsia" w:ascii="仿宋_GB2312" w:eastAsia="仿宋_GB2312"/>
          <w:sz w:val="32"/>
          <w:szCs w:val="32"/>
        </w:rPr>
        <w:t>《部门整体支出绩效目标自评表》</w:t>
      </w:r>
    </w:p>
    <w:tbl>
      <w:tblPr>
        <w:tblStyle w:val="11"/>
        <w:tblW w:w="0" w:type="auto"/>
        <w:tblInd w:w="0" w:type="dxa"/>
        <w:tblLayout w:type="autofit"/>
        <w:tblCellMar>
          <w:top w:w="0" w:type="dxa"/>
          <w:left w:w="108" w:type="dxa"/>
          <w:bottom w:w="0" w:type="dxa"/>
          <w:right w:w="108" w:type="dxa"/>
        </w:tblCellMar>
      </w:tblPr>
      <w:tblGrid>
        <w:gridCol w:w="573"/>
        <w:gridCol w:w="529"/>
        <w:gridCol w:w="571"/>
        <w:gridCol w:w="1211"/>
        <w:gridCol w:w="797"/>
        <w:gridCol w:w="899"/>
        <w:gridCol w:w="694"/>
        <w:gridCol w:w="1552"/>
        <w:gridCol w:w="1002"/>
        <w:gridCol w:w="694"/>
      </w:tblGrid>
      <w:tr>
        <w:tblPrEx>
          <w:tblCellMar>
            <w:top w:w="0" w:type="dxa"/>
            <w:left w:w="108" w:type="dxa"/>
            <w:bottom w:w="0" w:type="dxa"/>
            <w:right w:w="108" w:type="dxa"/>
          </w:tblCellMar>
        </w:tblPrEx>
        <w:trPr>
          <w:trHeight w:val="800" w:hRule="atLeast"/>
        </w:trPr>
        <w:tc>
          <w:tcPr>
            <w:tcW w:w="0" w:type="auto"/>
            <w:gridSpan w:val="10"/>
            <w:tcBorders>
              <w:top w:val="nil"/>
              <w:left w:val="nil"/>
              <w:bottom w:val="nil"/>
              <w:right w:val="nil"/>
            </w:tcBorders>
            <w:shd w:val="clear" w:color="auto" w:fill="auto"/>
            <w:vAlign w:val="center"/>
          </w:tcPr>
          <w:p>
            <w:pPr>
              <w:widowControl/>
              <w:spacing w:line="360" w:lineRule="auto"/>
              <w:ind w:firstLine="0" w:firstLineChars="0"/>
              <w:jc w:val="center"/>
              <w:textAlignment w:val="center"/>
              <w:rPr>
                <w:rFonts w:cs="仿宋"/>
                <w:sz w:val="40"/>
                <w:szCs w:val="40"/>
              </w:rPr>
            </w:pPr>
            <w:r>
              <w:rPr>
                <w:rFonts w:hint="eastAsia" w:cs="仿宋"/>
                <w:kern w:val="0"/>
                <w:sz w:val="40"/>
                <w:szCs w:val="40"/>
              </w:rPr>
              <w:t>部门整体支出绩效目标自评表</w:t>
            </w:r>
          </w:p>
        </w:tc>
      </w:tr>
      <w:tr>
        <w:tblPrEx>
          <w:tblCellMar>
            <w:top w:w="0" w:type="dxa"/>
            <w:left w:w="108" w:type="dxa"/>
            <w:bottom w:w="0" w:type="dxa"/>
            <w:right w:w="108" w:type="dxa"/>
          </w:tblCellMar>
        </w:tblPrEx>
        <w:trPr>
          <w:trHeight w:val="680" w:hRule="atLeast"/>
        </w:trPr>
        <w:tc>
          <w:tcPr>
            <w:tcW w:w="0" w:type="auto"/>
            <w:gridSpan w:val="10"/>
            <w:tcBorders>
              <w:top w:val="nil"/>
              <w:left w:val="nil"/>
              <w:bottom w:val="single" w:color="000000" w:sz="4" w:space="0"/>
              <w:right w:val="nil"/>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（2022年度）</w:t>
            </w:r>
          </w:p>
        </w:tc>
      </w:tr>
      <w:tr>
        <w:tblPrEx>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昌吉市电影发行放映管理站</w:t>
            </w:r>
          </w:p>
        </w:tc>
      </w:tr>
      <w:tr>
        <w:tblPrEx>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主要内容</w:t>
            </w:r>
          </w:p>
        </w:tc>
        <w:tc>
          <w:tcPr>
            <w:tcW w:w="0" w:type="auto"/>
            <w:gridSpan w:val="3"/>
            <w:tcBorders>
              <w:top w:val="single" w:color="000000" w:sz="4" w:space="0"/>
              <w:left w:val="nil"/>
              <w:bottom w:val="nil"/>
              <w:right w:val="nil"/>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实际执行（万元）</w:t>
            </w:r>
          </w:p>
        </w:tc>
      </w:tr>
      <w:tr>
        <w:tblPrEx>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其他资金</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全市城乡公益电影的放映工作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按照国家“一村一月一场”公益电影放映标准进行放映</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91.75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91.75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110.15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110.15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w:t>
            </w:r>
          </w:p>
        </w:tc>
      </w:tr>
      <w:tr>
        <w:tblPrEx>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以电影发行放映，促进社会经济文化发展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完成全年792场次公益电影放映任务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8.02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11.43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w:t>
            </w:r>
          </w:p>
        </w:tc>
      </w:tr>
      <w:tr>
        <w:tblPrEx>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99.77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99.77</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121.58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121.58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0.0</w:t>
            </w:r>
          </w:p>
        </w:tc>
      </w:tr>
      <w:tr>
        <w:tblPrEx>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实际完成目标</w:t>
            </w:r>
          </w:p>
        </w:tc>
      </w:tr>
      <w:tr>
        <w:tblPrEx>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left"/>
              <w:textAlignment w:val="center"/>
              <w:rPr>
                <w:rFonts w:hint="eastAsia" w:eastAsia="仿宋" w:cs="仿宋"/>
                <w:kern w:val="0"/>
                <w:sz w:val="22"/>
                <w:szCs w:val="22"/>
                <w:lang w:eastAsia="zh-CN"/>
              </w:rPr>
            </w:pPr>
            <w:r>
              <w:rPr>
                <w:rFonts w:hint="eastAsia" w:cs="仿宋"/>
                <w:kern w:val="0"/>
                <w:sz w:val="22"/>
                <w:szCs w:val="22"/>
              </w:rPr>
              <w:t xml:space="preserve">2022年电影发行放映管理站工作主要内容和绩效目标包括： </w:t>
            </w:r>
          </w:p>
          <w:p>
            <w:pPr>
              <w:widowControl/>
              <w:spacing w:line="360" w:lineRule="auto"/>
              <w:ind w:firstLine="0" w:firstLineChars="0"/>
              <w:jc w:val="left"/>
              <w:textAlignment w:val="center"/>
              <w:rPr>
                <w:rFonts w:hint="eastAsia" w:eastAsia="仿宋" w:cs="仿宋"/>
                <w:kern w:val="0"/>
                <w:sz w:val="22"/>
                <w:szCs w:val="22"/>
                <w:lang w:eastAsia="zh-CN"/>
              </w:rPr>
            </w:pPr>
            <w:r>
              <w:rPr>
                <w:rFonts w:hint="eastAsia" w:cs="仿宋"/>
                <w:kern w:val="0"/>
                <w:sz w:val="22"/>
                <w:szCs w:val="22"/>
              </w:rPr>
              <w:t xml:space="preserve">负责全市城乡公益电影的发行放映管理，城乡电影基础设施的管理、经营、增值工作。 </w:t>
            </w:r>
          </w:p>
          <w:p>
            <w:pPr>
              <w:widowControl/>
              <w:spacing w:line="360" w:lineRule="auto"/>
              <w:ind w:firstLine="0" w:firstLineChars="0"/>
              <w:jc w:val="left"/>
              <w:textAlignment w:val="center"/>
              <w:rPr>
                <w:rFonts w:hint="eastAsia" w:eastAsia="仿宋" w:cs="仿宋"/>
                <w:kern w:val="0"/>
                <w:sz w:val="22"/>
                <w:szCs w:val="22"/>
                <w:lang w:eastAsia="zh-CN"/>
              </w:rPr>
            </w:pPr>
            <w:r>
              <w:rPr>
                <w:rFonts w:hint="eastAsia" w:cs="仿宋"/>
                <w:kern w:val="0"/>
                <w:sz w:val="22"/>
                <w:szCs w:val="22"/>
              </w:rPr>
              <w:t xml:space="preserve">目标1：2022年度预期目标完成792场次放映任务。 </w:t>
            </w:r>
          </w:p>
          <w:p>
            <w:pPr>
              <w:widowControl/>
              <w:spacing w:line="360" w:lineRule="auto"/>
              <w:ind w:firstLine="0" w:firstLineChars="0"/>
              <w:jc w:val="left"/>
              <w:textAlignment w:val="center"/>
              <w:rPr>
                <w:rFonts w:cs="仿宋"/>
                <w:sz w:val="22"/>
                <w:szCs w:val="22"/>
              </w:rPr>
            </w:pPr>
            <w:r>
              <w:rPr>
                <w:rFonts w:hint="eastAsia" w:cs="仿宋"/>
                <w:kern w:val="0"/>
                <w:sz w:val="22"/>
                <w:szCs w:val="22"/>
              </w:rPr>
              <w:t xml:space="preserve">目标2：保证放映质量，丰富群众文化生活。 </w:t>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360" w:lineRule="auto"/>
              <w:ind w:firstLine="0" w:firstLineChars="0"/>
              <w:jc w:val="left"/>
              <w:textAlignment w:val="center"/>
              <w:rPr>
                <w:rFonts w:cs="仿宋"/>
                <w:sz w:val="22"/>
                <w:szCs w:val="22"/>
              </w:rPr>
            </w:pPr>
            <w:r>
              <w:rPr>
                <w:rFonts w:hint="eastAsia" w:cs="仿宋"/>
                <w:kern w:val="0"/>
                <w:sz w:val="22"/>
                <w:szCs w:val="22"/>
              </w:rPr>
              <w:t>2022年昌吉市电影发行放映管理站已完成10个乡镇、3个涉农街道、66个行政村的电影放映任务，全年放映完成率已达到100%，保证了放映质量及场次，提高了社会电影宣传度，群众满意度达到了95%。</w:t>
            </w:r>
          </w:p>
        </w:tc>
      </w:tr>
      <w:tr>
        <w:tblPrEx>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得分</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放映乡镇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=10.00个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放映涉农街道</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=3.00个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=3个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放映行政村</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=66.00个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=66个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全年放映完成率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&gt;=100.00%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&gt;=100%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完成时限</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2022年1月1日-2022年12月31日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2022年1月1日-2022年12月31日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全市城乡公益电影的放映工作成本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=91.75万元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=110.15万元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以电影发行放映，促进社会经济文化发展成本。</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=8.02万元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=11.43万元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8</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电影让各族群众及时收看到党的各项惠民政策，传播文明、传播正能量、提高电影传播力和影响力。</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逐步提高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逐步提高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继续做好设备维护，保证放映质量及场次，提高社会电影宣传度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rPr>
                <w:rFonts w:cs="仿宋"/>
                <w:sz w:val="22"/>
                <w:szCs w:val="22"/>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群众满意度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&gt;=96%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360" w:lineRule="auto"/>
              <w:ind w:firstLine="0" w:firstLineChars="0"/>
              <w:jc w:val="center"/>
              <w:textAlignment w:val="center"/>
              <w:rPr>
                <w:rFonts w:cs="仿宋"/>
                <w:sz w:val="22"/>
                <w:szCs w:val="22"/>
              </w:rPr>
            </w:pPr>
            <w:r>
              <w:rPr>
                <w:rFonts w:hint="eastAsia" w:cs="仿宋"/>
                <w:kern w:val="0"/>
                <w:sz w:val="22"/>
                <w:szCs w:val="22"/>
              </w:rPr>
              <w:t>10</w:t>
            </w:r>
          </w:p>
        </w:tc>
      </w:tr>
    </w:tbl>
    <w:p>
      <w:pPr>
        <w:pStyle w:val="4"/>
        <w:ind w:firstLine="56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17</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8CBA3B"/>
    <w:multiLevelType w:val="singleLevel"/>
    <w:tmpl w:val="F68CBA3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M5YjgwMzgzNTUxOWJmNjQxNTVlOGRlYmNlMjI0MGEifQ=="/>
  </w:docVars>
  <w:rsids>
    <w:rsidRoot w:val="005736CA"/>
    <w:rsid w:val="00012408"/>
    <w:rsid w:val="000127F0"/>
    <w:rsid w:val="00012F5F"/>
    <w:rsid w:val="001369EB"/>
    <w:rsid w:val="00201A4A"/>
    <w:rsid w:val="002153DD"/>
    <w:rsid w:val="0023446C"/>
    <w:rsid w:val="0024393F"/>
    <w:rsid w:val="002640E4"/>
    <w:rsid w:val="00266868"/>
    <w:rsid w:val="002A2CF1"/>
    <w:rsid w:val="003919DC"/>
    <w:rsid w:val="003A1BA8"/>
    <w:rsid w:val="003B184C"/>
    <w:rsid w:val="003F473D"/>
    <w:rsid w:val="00455E2F"/>
    <w:rsid w:val="00485980"/>
    <w:rsid w:val="004D4927"/>
    <w:rsid w:val="004E4CA7"/>
    <w:rsid w:val="005736CA"/>
    <w:rsid w:val="005A124E"/>
    <w:rsid w:val="005B1AE6"/>
    <w:rsid w:val="005C6775"/>
    <w:rsid w:val="005D3F17"/>
    <w:rsid w:val="005E5D6E"/>
    <w:rsid w:val="005F7A93"/>
    <w:rsid w:val="00601640"/>
    <w:rsid w:val="00617C63"/>
    <w:rsid w:val="00722410"/>
    <w:rsid w:val="00760C2B"/>
    <w:rsid w:val="0077571A"/>
    <w:rsid w:val="007A1B0F"/>
    <w:rsid w:val="007B6305"/>
    <w:rsid w:val="00845D12"/>
    <w:rsid w:val="00861855"/>
    <w:rsid w:val="008A09A7"/>
    <w:rsid w:val="008A1C5E"/>
    <w:rsid w:val="008D5E7B"/>
    <w:rsid w:val="0090615A"/>
    <w:rsid w:val="00931A42"/>
    <w:rsid w:val="009443DA"/>
    <w:rsid w:val="00961F8B"/>
    <w:rsid w:val="00973372"/>
    <w:rsid w:val="009B4BC3"/>
    <w:rsid w:val="009C556C"/>
    <w:rsid w:val="009D6347"/>
    <w:rsid w:val="009E68A2"/>
    <w:rsid w:val="00A241A0"/>
    <w:rsid w:val="00A2707D"/>
    <w:rsid w:val="00A7110C"/>
    <w:rsid w:val="00A720BD"/>
    <w:rsid w:val="00A85EC6"/>
    <w:rsid w:val="00A87301"/>
    <w:rsid w:val="00A95478"/>
    <w:rsid w:val="00AC40A8"/>
    <w:rsid w:val="00AE0359"/>
    <w:rsid w:val="00B00384"/>
    <w:rsid w:val="00B11DD3"/>
    <w:rsid w:val="00B40102"/>
    <w:rsid w:val="00BA6F56"/>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B1E90"/>
    <w:rsid w:val="00F57B6F"/>
    <w:rsid w:val="00FF3FFB"/>
    <w:rsid w:val="012D3D63"/>
    <w:rsid w:val="01330A6C"/>
    <w:rsid w:val="01403C81"/>
    <w:rsid w:val="01487A18"/>
    <w:rsid w:val="01720865"/>
    <w:rsid w:val="0189003F"/>
    <w:rsid w:val="01C42D66"/>
    <w:rsid w:val="01EE084F"/>
    <w:rsid w:val="024141DC"/>
    <w:rsid w:val="024261A6"/>
    <w:rsid w:val="02C15BF6"/>
    <w:rsid w:val="03673532"/>
    <w:rsid w:val="0379691F"/>
    <w:rsid w:val="03BE7262"/>
    <w:rsid w:val="0401695B"/>
    <w:rsid w:val="04044295"/>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6A5F83"/>
    <w:rsid w:val="07CA63EE"/>
    <w:rsid w:val="07D07530"/>
    <w:rsid w:val="08170519"/>
    <w:rsid w:val="08436556"/>
    <w:rsid w:val="0856616F"/>
    <w:rsid w:val="08622524"/>
    <w:rsid w:val="086A7EAD"/>
    <w:rsid w:val="08881A41"/>
    <w:rsid w:val="08E604A1"/>
    <w:rsid w:val="08EF03CC"/>
    <w:rsid w:val="092D6339"/>
    <w:rsid w:val="097A0CA3"/>
    <w:rsid w:val="098239EA"/>
    <w:rsid w:val="09DA2AA5"/>
    <w:rsid w:val="0A570F00"/>
    <w:rsid w:val="0AD23979"/>
    <w:rsid w:val="0AE14729"/>
    <w:rsid w:val="0B4635B9"/>
    <w:rsid w:val="0B6C582B"/>
    <w:rsid w:val="0B735A1E"/>
    <w:rsid w:val="0B927CE4"/>
    <w:rsid w:val="0BA1208D"/>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950DBA"/>
    <w:rsid w:val="10B52A92"/>
    <w:rsid w:val="10D40475"/>
    <w:rsid w:val="11194089"/>
    <w:rsid w:val="113051CE"/>
    <w:rsid w:val="114E5553"/>
    <w:rsid w:val="1193547A"/>
    <w:rsid w:val="1199679A"/>
    <w:rsid w:val="11B513B1"/>
    <w:rsid w:val="11C51460"/>
    <w:rsid w:val="12160F32"/>
    <w:rsid w:val="129C5FB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73336A"/>
    <w:rsid w:val="1493153C"/>
    <w:rsid w:val="14A60FE7"/>
    <w:rsid w:val="14B33F8F"/>
    <w:rsid w:val="14D9271D"/>
    <w:rsid w:val="14F81E1D"/>
    <w:rsid w:val="15343BE6"/>
    <w:rsid w:val="15357338"/>
    <w:rsid w:val="153612FD"/>
    <w:rsid w:val="154136C6"/>
    <w:rsid w:val="15530DDD"/>
    <w:rsid w:val="156F1B1C"/>
    <w:rsid w:val="15A42F15"/>
    <w:rsid w:val="15B97C29"/>
    <w:rsid w:val="15FA6724"/>
    <w:rsid w:val="15FE0438"/>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8F14A83"/>
    <w:rsid w:val="191D76ED"/>
    <w:rsid w:val="193D3C42"/>
    <w:rsid w:val="195864BB"/>
    <w:rsid w:val="197A72B5"/>
    <w:rsid w:val="197B7F71"/>
    <w:rsid w:val="19B05D52"/>
    <w:rsid w:val="19FC0A98"/>
    <w:rsid w:val="1A0D43A0"/>
    <w:rsid w:val="1A50150C"/>
    <w:rsid w:val="1AE12836"/>
    <w:rsid w:val="1AE925F4"/>
    <w:rsid w:val="1B234950"/>
    <w:rsid w:val="1B2706B9"/>
    <w:rsid w:val="1B421E7E"/>
    <w:rsid w:val="1B64461F"/>
    <w:rsid w:val="1B6B7B31"/>
    <w:rsid w:val="1B9309AA"/>
    <w:rsid w:val="1B9C3AE1"/>
    <w:rsid w:val="1BBF7E22"/>
    <w:rsid w:val="1BE93DF5"/>
    <w:rsid w:val="1C0E12CD"/>
    <w:rsid w:val="1C1A23FD"/>
    <w:rsid w:val="1C3C0819"/>
    <w:rsid w:val="1C5A6A79"/>
    <w:rsid w:val="1C603202"/>
    <w:rsid w:val="1C9A0200"/>
    <w:rsid w:val="1CCE5055"/>
    <w:rsid w:val="1CD529D6"/>
    <w:rsid w:val="1DE67354"/>
    <w:rsid w:val="1DEB6607"/>
    <w:rsid w:val="1DED007E"/>
    <w:rsid w:val="1DFB6F14"/>
    <w:rsid w:val="1E47773B"/>
    <w:rsid w:val="1E4B6E86"/>
    <w:rsid w:val="1EDB742B"/>
    <w:rsid w:val="1F0539AE"/>
    <w:rsid w:val="1F71011D"/>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A4C53"/>
    <w:rsid w:val="21BF20AD"/>
    <w:rsid w:val="21C43928"/>
    <w:rsid w:val="21CB51A2"/>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7D131DB"/>
    <w:rsid w:val="284171EC"/>
    <w:rsid w:val="286B4689"/>
    <w:rsid w:val="289F2164"/>
    <w:rsid w:val="28B60026"/>
    <w:rsid w:val="29350CD3"/>
    <w:rsid w:val="29784CA5"/>
    <w:rsid w:val="29981FA2"/>
    <w:rsid w:val="29B80C93"/>
    <w:rsid w:val="29BB20D2"/>
    <w:rsid w:val="29D44C7C"/>
    <w:rsid w:val="29F33C34"/>
    <w:rsid w:val="2A380298"/>
    <w:rsid w:val="2A7B46E1"/>
    <w:rsid w:val="2A886FA9"/>
    <w:rsid w:val="2AC64A60"/>
    <w:rsid w:val="2C085CD5"/>
    <w:rsid w:val="2C1136AA"/>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2FEF6776"/>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652038"/>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51676C"/>
    <w:rsid w:val="35DE49C0"/>
    <w:rsid w:val="35FA7EA7"/>
    <w:rsid w:val="363B291C"/>
    <w:rsid w:val="363E1F63"/>
    <w:rsid w:val="36C15877"/>
    <w:rsid w:val="37206D7C"/>
    <w:rsid w:val="375B421F"/>
    <w:rsid w:val="37905AF3"/>
    <w:rsid w:val="37A34800"/>
    <w:rsid w:val="37E02280"/>
    <w:rsid w:val="38026202"/>
    <w:rsid w:val="383B1C65"/>
    <w:rsid w:val="386B5C33"/>
    <w:rsid w:val="38764896"/>
    <w:rsid w:val="388D632D"/>
    <w:rsid w:val="38962C73"/>
    <w:rsid w:val="38C05FA5"/>
    <w:rsid w:val="38CD3EED"/>
    <w:rsid w:val="38DF1F43"/>
    <w:rsid w:val="390339EB"/>
    <w:rsid w:val="39D66640"/>
    <w:rsid w:val="3A3453FF"/>
    <w:rsid w:val="3A5C0A17"/>
    <w:rsid w:val="3A8248E0"/>
    <w:rsid w:val="3AF76DD0"/>
    <w:rsid w:val="3B1D07BC"/>
    <w:rsid w:val="3B304812"/>
    <w:rsid w:val="3B447872"/>
    <w:rsid w:val="3B474B41"/>
    <w:rsid w:val="3B8D4322"/>
    <w:rsid w:val="3B9508B7"/>
    <w:rsid w:val="3BCE13F3"/>
    <w:rsid w:val="3BD2350C"/>
    <w:rsid w:val="3C071D01"/>
    <w:rsid w:val="3C463454"/>
    <w:rsid w:val="3CDF1FAA"/>
    <w:rsid w:val="3CFC0EF8"/>
    <w:rsid w:val="3D1026F3"/>
    <w:rsid w:val="3DB561A7"/>
    <w:rsid w:val="3DF633C5"/>
    <w:rsid w:val="3E4E5C04"/>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6311E6"/>
    <w:rsid w:val="40710710"/>
    <w:rsid w:val="409928E5"/>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0429E0"/>
    <w:rsid w:val="440D4A0E"/>
    <w:rsid w:val="441B763D"/>
    <w:rsid w:val="443F0A8A"/>
    <w:rsid w:val="44483F56"/>
    <w:rsid w:val="444C0E2A"/>
    <w:rsid w:val="44703E7E"/>
    <w:rsid w:val="447420B9"/>
    <w:rsid w:val="44867A3B"/>
    <w:rsid w:val="44FD5F6B"/>
    <w:rsid w:val="450C3B52"/>
    <w:rsid w:val="450F1ADE"/>
    <w:rsid w:val="45103FCB"/>
    <w:rsid w:val="4512666F"/>
    <w:rsid w:val="45502C29"/>
    <w:rsid w:val="45852FD0"/>
    <w:rsid w:val="458E7F08"/>
    <w:rsid w:val="45B242B5"/>
    <w:rsid w:val="45E33D03"/>
    <w:rsid w:val="45F07CA2"/>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9F730F"/>
    <w:rsid w:val="49D54843"/>
    <w:rsid w:val="4A74195A"/>
    <w:rsid w:val="4A7A3D76"/>
    <w:rsid w:val="4A8B6AB4"/>
    <w:rsid w:val="4A9F3033"/>
    <w:rsid w:val="4AAE190E"/>
    <w:rsid w:val="4AE70AB8"/>
    <w:rsid w:val="4B6F07EE"/>
    <w:rsid w:val="4B7E595B"/>
    <w:rsid w:val="4BB07602"/>
    <w:rsid w:val="4BE66665"/>
    <w:rsid w:val="4BF32BD8"/>
    <w:rsid w:val="4C421049"/>
    <w:rsid w:val="4C5411D7"/>
    <w:rsid w:val="4C546F81"/>
    <w:rsid w:val="4C564361"/>
    <w:rsid w:val="4C5904F7"/>
    <w:rsid w:val="4C99363E"/>
    <w:rsid w:val="4C9C4F4D"/>
    <w:rsid w:val="4CB9218D"/>
    <w:rsid w:val="4CB96723"/>
    <w:rsid w:val="4CE4471C"/>
    <w:rsid w:val="4D0A2F51"/>
    <w:rsid w:val="4D1F402B"/>
    <w:rsid w:val="4D8C30FA"/>
    <w:rsid w:val="4D960495"/>
    <w:rsid w:val="4D9C5D37"/>
    <w:rsid w:val="4E1A2AF8"/>
    <w:rsid w:val="4E3E44C6"/>
    <w:rsid w:val="4E9D6C5F"/>
    <w:rsid w:val="4ED065C7"/>
    <w:rsid w:val="4ED60D0E"/>
    <w:rsid w:val="4EFE1CAD"/>
    <w:rsid w:val="4F5E0911"/>
    <w:rsid w:val="4F6C7D95"/>
    <w:rsid w:val="4F7B7863"/>
    <w:rsid w:val="4FBC77EB"/>
    <w:rsid w:val="4FBD4AFA"/>
    <w:rsid w:val="501D667F"/>
    <w:rsid w:val="50206576"/>
    <w:rsid w:val="50303A7C"/>
    <w:rsid w:val="50453781"/>
    <w:rsid w:val="50A26FF3"/>
    <w:rsid w:val="51525315"/>
    <w:rsid w:val="515C17D5"/>
    <w:rsid w:val="519223A8"/>
    <w:rsid w:val="51B45CF8"/>
    <w:rsid w:val="51CB5559"/>
    <w:rsid w:val="51CF316D"/>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70492"/>
    <w:rsid w:val="547D34B8"/>
    <w:rsid w:val="548D7C01"/>
    <w:rsid w:val="54942775"/>
    <w:rsid w:val="549930BD"/>
    <w:rsid w:val="549C23F0"/>
    <w:rsid w:val="54B8713B"/>
    <w:rsid w:val="54ED50CA"/>
    <w:rsid w:val="55132799"/>
    <w:rsid w:val="55355F31"/>
    <w:rsid w:val="55A768F4"/>
    <w:rsid w:val="55B62452"/>
    <w:rsid w:val="55F8121C"/>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9E2733"/>
    <w:rsid w:val="58B42480"/>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7C6372"/>
    <w:rsid w:val="5B887615"/>
    <w:rsid w:val="5BBC41DB"/>
    <w:rsid w:val="5BFF2AD9"/>
    <w:rsid w:val="5C016066"/>
    <w:rsid w:val="5C044AD5"/>
    <w:rsid w:val="5C1138CE"/>
    <w:rsid w:val="5C1459ED"/>
    <w:rsid w:val="5C41460B"/>
    <w:rsid w:val="5C57182F"/>
    <w:rsid w:val="5C73505B"/>
    <w:rsid w:val="5C890F37"/>
    <w:rsid w:val="5CAC7233"/>
    <w:rsid w:val="5CBE1F4B"/>
    <w:rsid w:val="5CE65356"/>
    <w:rsid w:val="5CF72BB2"/>
    <w:rsid w:val="5D27565F"/>
    <w:rsid w:val="5D6A538C"/>
    <w:rsid w:val="5D8627AD"/>
    <w:rsid w:val="5D9C760D"/>
    <w:rsid w:val="5DAA0B93"/>
    <w:rsid w:val="5DCE0E18"/>
    <w:rsid w:val="5E2A4BFC"/>
    <w:rsid w:val="5EAC236D"/>
    <w:rsid w:val="5EB34C8F"/>
    <w:rsid w:val="5EDB0D8B"/>
    <w:rsid w:val="5F3732A8"/>
    <w:rsid w:val="5FA15CB6"/>
    <w:rsid w:val="5FB05672"/>
    <w:rsid w:val="5FCC33D8"/>
    <w:rsid w:val="5FD85351"/>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1E909C7"/>
    <w:rsid w:val="62007435"/>
    <w:rsid w:val="62302D5E"/>
    <w:rsid w:val="62A24C86"/>
    <w:rsid w:val="62A43EEF"/>
    <w:rsid w:val="62D1104F"/>
    <w:rsid w:val="63277530"/>
    <w:rsid w:val="6352384A"/>
    <w:rsid w:val="64340981"/>
    <w:rsid w:val="644B1C20"/>
    <w:rsid w:val="64670632"/>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81964"/>
    <w:rsid w:val="6809591F"/>
    <w:rsid w:val="68110733"/>
    <w:rsid w:val="68537B47"/>
    <w:rsid w:val="68620DC9"/>
    <w:rsid w:val="68A9552D"/>
    <w:rsid w:val="68C330AE"/>
    <w:rsid w:val="68D52CCF"/>
    <w:rsid w:val="68E45DE3"/>
    <w:rsid w:val="691D1344"/>
    <w:rsid w:val="6934149F"/>
    <w:rsid w:val="69461986"/>
    <w:rsid w:val="6958671E"/>
    <w:rsid w:val="698005B8"/>
    <w:rsid w:val="6A0468FA"/>
    <w:rsid w:val="6A1D02B0"/>
    <w:rsid w:val="6A281A45"/>
    <w:rsid w:val="6A3B618C"/>
    <w:rsid w:val="6AA103CB"/>
    <w:rsid w:val="6AA75408"/>
    <w:rsid w:val="6AE30A31"/>
    <w:rsid w:val="6AE44A46"/>
    <w:rsid w:val="6AFA54F7"/>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0B4228"/>
    <w:rsid w:val="6D40311C"/>
    <w:rsid w:val="6DB167DD"/>
    <w:rsid w:val="6DB43590"/>
    <w:rsid w:val="6DB84EBA"/>
    <w:rsid w:val="6DBE2814"/>
    <w:rsid w:val="6E2D7393"/>
    <w:rsid w:val="6E6E6F1D"/>
    <w:rsid w:val="6E985F27"/>
    <w:rsid w:val="6EA63453"/>
    <w:rsid w:val="6F1379EB"/>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A46DBE"/>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C4371FA"/>
    <w:rsid w:val="7D2A2168"/>
    <w:rsid w:val="7D4B33BB"/>
    <w:rsid w:val="7D600006"/>
    <w:rsid w:val="7D7C4CEA"/>
    <w:rsid w:val="7D866779"/>
    <w:rsid w:val="7D9F3F02"/>
    <w:rsid w:val="7E5F0EE8"/>
    <w:rsid w:val="7E7506DB"/>
    <w:rsid w:val="7E851F96"/>
    <w:rsid w:val="7EAB0E13"/>
    <w:rsid w:val="7EB2667C"/>
    <w:rsid w:val="7EC854AC"/>
    <w:rsid w:val="7EDA196C"/>
    <w:rsid w:val="7EDB7D0A"/>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2"/>
    <w:semiHidden/>
    <w:unhideWhenUsed/>
    <w:uiPriority w:val="0"/>
    <w:pPr>
      <w:spacing w:line="240" w:lineRule="auto"/>
    </w:pPr>
    <w:rPr>
      <w:sz w:val="18"/>
      <w:szCs w:val="18"/>
    </w:rPr>
  </w:style>
  <w:style w:type="paragraph" w:styleId="8">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100" w:beforeAutospacing="1" w:after="100" w:afterAutospacing="1"/>
      <w:jc w:val="left"/>
    </w:pPr>
    <w:rPr>
      <w:sz w:val="24"/>
    </w:rPr>
  </w:style>
  <w:style w:type="character" w:styleId="13">
    <w:name w:val="Strong"/>
    <w:basedOn w:val="12"/>
    <w:qFormat/>
    <w:uiPriority w:val="0"/>
    <w:rPr>
      <w:b/>
      <w:bCs/>
    </w:r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9"/>
    <w:link w:val="20"/>
    <w:qFormat/>
    <w:uiPriority w:val="0"/>
    <w:pPr>
      <w:pBdr>
        <w:bottom w:val="none" w:color="auto" w:sz="0" w:space="0"/>
      </w:pBdr>
      <w:ind w:firstLine="360"/>
    </w:pPr>
  </w:style>
  <w:style w:type="character" w:customStyle="1" w:styleId="18">
    <w:name w:val="样式1 Char"/>
    <w:basedOn w:val="12"/>
    <w:link w:val="16"/>
    <w:qFormat/>
    <w:uiPriority w:val="0"/>
    <w:rPr>
      <w:rFonts w:ascii="仿宋" w:hAnsi="仿宋" w:eastAsia="仿宋"/>
      <w:kern w:val="2"/>
      <w:sz w:val="28"/>
      <w:szCs w:val="24"/>
    </w:rPr>
  </w:style>
  <w:style w:type="character" w:customStyle="1" w:styleId="19">
    <w:name w:val="页眉 Char"/>
    <w:basedOn w:val="12"/>
    <w:link w:val="9"/>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Char"/>
    <w:basedOn w:val="12"/>
    <w:link w:val="8"/>
    <w:qFormat/>
    <w:uiPriority w:val="99"/>
    <w:rPr>
      <w:rFonts w:eastAsia="仿宋"/>
      <w:kern w:val="2"/>
      <w:sz w:val="18"/>
      <w:szCs w:val="24"/>
    </w:rPr>
  </w:style>
  <w:style w:type="character" w:customStyle="1" w:styleId="22">
    <w:name w:val="批注框文本 Char"/>
    <w:basedOn w:val="12"/>
    <w:link w:val="7"/>
    <w:semiHidden/>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21</Pages>
  <Words>8200</Words>
  <Characters>8857</Characters>
  <Lines>65</Lines>
  <Paragraphs>18</Paragraphs>
  <TotalTime>1</TotalTime>
  <ScaleCrop>false</ScaleCrop>
  <LinksUpToDate>false</LinksUpToDate>
  <CharactersWithSpaces>8943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2023-02-15T09:01:00Z</dcterms:created>
  <dc:creator>Administrator</dc:creator>
  <cp:lastModifiedBy>Administrator</cp:lastModifiedBy>
  <dcterms:modified xsi:type="dcterms:W3CDTF">2023-02-17T10:07:40Z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07EDA25C55CA40AB99C2D384BDFE6448</vt:lpwstr>
  </property>
</Properties>
</file>