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hint="eastAsia" w:ascii="华文中宋" w:hAnsi="华文中宋" w:eastAsia="华文中宋" w:cs="宋体"/>
          <w:b/>
          <w:kern w:val="0"/>
          <w:sz w:val="52"/>
          <w:szCs w:val="52"/>
          <w:lang w:eastAsia="zh-CN"/>
        </w:rPr>
      </w:pPr>
    </w:p>
    <w:p>
      <w:pPr>
        <w:pStyle w:val="5"/>
        <w:rPr>
          <w:rFonts w:hint="eastAsia"/>
          <w:lang w:eastAsia="zh-CN"/>
        </w:rPr>
      </w:pP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eastAsia="zh-CN"/>
        </w:rPr>
        <w:t>昌吉市市政养护管理中心</w:t>
      </w:r>
      <w:r>
        <w:rPr>
          <w:rFonts w:hint="eastAsia" w:ascii="方正小标宋_GBK" w:hAnsi="华文中宋" w:eastAsia="方正小标宋_GBK" w:cs="宋体"/>
          <w:kern w:val="0"/>
          <w:sz w:val="48"/>
          <w:szCs w:val="48"/>
        </w:rPr>
        <w:t>部门单位整</w:t>
      </w:r>
      <w:r>
        <w:rPr>
          <w:rFonts w:hint="eastAsia" w:ascii="方正小标宋_GBK" w:hAnsi="华文中宋" w:eastAsia="方正小标宋_GBK" w:cs="宋体"/>
          <w:kern w:val="0"/>
          <w:sz w:val="48"/>
          <w:szCs w:val="48"/>
          <w:lang w:eastAsia="zh-CN"/>
        </w:rPr>
        <w:t>体</w:t>
      </w:r>
      <w:r>
        <w:rPr>
          <w:rFonts w:hint="eastAsia" w:ascii="方正小标宋_GBK" w:hAnsi="华文中宋" w:eastAsia="方正小标宋_GBK" w:cs="宋体"/>
          <w:kern w:val="0"/>
          <w:sz w:val="48"/>
          <w:szCs w:val="48"/>
        </w:rPr>
        <w:t>支出绩效自评报告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left="0" w:leftChars="0" w:firstLine="0" w:firstLineChars="0"/>
        <w:rPr>
          <w:rFonts w:hint="eastAsia" w:ascii="黑体" w:hAnsi="黑体" w:eastAsia="黑体" w:cs="黑体"/>
          <w:bCs/>
          <w:sz w:val="36"/>
          <w:szCs w:val="36"/>
          <w:lang w:eastAsia="zh-CN"/>
        </w:rPr>
      </w:pPr>
      <w:r>
        <w:rPr>
          <w:rFonts w:hint="eastAsia" w:ascii="黑体" w:hAnsi="黑体" w:eastAsia="黑体" w:cs="黑体"/>
          <w:bCs/>
          <w:sz w:val="36"/>
          <w:szCs w:val="36"/>
        </w:rPr>
        <w:t>部门单位名称（公章）：</w:t>
      </w:r>
      <w:r>
        <w:rPr>
          <w:rFonts w:hint="eastAsia" w:ascii="黑体" w:hAnsi="黑体" w:eastAsia="黑体" w:cs="黑体"/>
          <w:bCs/>
          <w:sz w:val="36"/>
          <w:szCs w:val="36"/>
          <w:lang w:eastAsia="zh-CN"/>
        </w:rPr>
        <w:t>昌吉市市政养护管理中心</w:t>
      </w:r>
    </w:p>
    <w:p>
      <w:pPr>
        <w:spacing w:line="600" w:lineRule="exact"/>
        <w:ind w:left="0" w:leftChars="0" w:firstLine="0" w:firstLineChars="0"/>
        <w:rPr>
          <w:rFonts w:ascii="黑体" w:hAnsi="黑体" w:eastAsia="黑体" w:cs="黑体"/>
          <w:bCs/>
          <w:sz w:val="36"/>
          <w:szCs w:val="36"/>
        </w:rPr>
      </w:pPr>
      <w:r>
        <w:rPr>
          <w:rFonts w:hint="eastAsia" w:ascii="黑体" w:hAnsi="黑体" w:eastAsia="黑体" w:cs="黑体"/>
          <w:bCs/>
          <w:sz w:val="36"/>
          <w:szCs w:val="36"/>
        </w:rPr>
        <w:t>填报时间：</w:t>
      </w:r>
      <w:r>
        <w:rPr>
          <w:rFonts w:hint="eastAsia" w:ascii="黑体" w:hAnsi="黑体" w:eastAsia="黑体" w:cs="黑体"/>
          <w:bCs/>
          <w:sz w:val="36"/>
          <w:szCs w:val="36"/>
          <w:lang w:val="en-US" w:eastAsia="zh-CN"/>
        </w:rPr>
        <w:t>2023</w:t>
      </w:r>
      <w:r>
        <w:rPr>
          <w:rFonts w:hint="eastAsia" w:ascii="黑体" w:hAnsi="黑体" w:eastAsia="黑体" w:cs="黑体"/>
          <w:bCs/>
          <w:sz w:val="36"/>
          <w:szCs w:val="36"/>
        </w:rPr>
        <w:t>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月</w:t>
      </w:r>
      <w:r>
        <w:rPr>
          <w:rFonts w:hint="eastAsia" w:ascii="黑体" w:hAnsi="黑体" w:eastAsia="黑体" w:cs="黑体"/>
          <w:bCs/>
          <w:sz w:val="36"/>
          <w:szCs w:val="36"/>
          <w:lang w:val="en-US" w:eastAsia="zh-CN"/>
        </w:rPr>
        <w:t>14</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4"/>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numPr>
          <w:ilvl w:val="0"/>
          <w:numId w:val="0"/>
        </w:numPr>
        <w:spacing w:line="560" w:lineRule="exact"/>
        <w:ind w:firstLine="640" w:firstLineChars="200"/>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昌吉市市政养护管理中心无下属预算单位，下设5个科室，分别是：综合办公室、市政管理科、财务预算科、公共照明科、工程科。</w:t>
      </w:r>
    </w:p>
    <w:p>
      <w:pPr>
        <w:pStyle w:val="5"/>
        <w:ind w:firstLine="640"/>
        <w:rPr>
          <w:rFonts w:hint="eastAsia" w:ascii="仿宋_GB2312" w:hAnsi="宋体" w:eastAsia="仿宋_GB2312" w:cs="宋体"/>
          <w:b w:val="0"/>
          <w:bCs w:val="0"/>
          <w:kern w:val="0"/>
          <w:sz w:val="32"/>
          <w:szCs w:val="32"/>
          <w:lang w:val="en-US" w:eastAsia="zh-CN" w:bidi="ar-SA"/>
        </w:rPr>
      </w:pPr>
      <w:r>
        <w:rPr>
          <w:rFonts w:hint="eastAsia" w:ascii="仿宋_GB2312" w:hAnsi="宋体" w:eastAsia="仿宋_GB2312" w:cs="宋体"/>
          <w:b w:val="0"/>
          <w:bCs w:val="0"/>
          <w:kern w:val="0"/>
          <w:sz w:val="32"/>
          <w:szCs w:val="32"/>
          <w:lang w:val="en-US" w:eastAsia="zh-CN" w:bidi="ar-SA"/>
        </w:rPr>
        <w:t>昌吉市市政养护管理中心编制数45人，实有人数42人，其中：在职42人，退休2</w:t>
      </w:r>
      <w:r>
        <w:rPr>
          <w:rFonts w:hint="eastAsia" w:hAnsi="宋体" w:cs="宋体"/>
          <w:b w:val="0"/>
          <w:bCs w:val="0"/>
          <w:kern w:val="0"/>
          <w:sz w:val="32"/>
          <w:szCs w:val="32"/>
          <w:lang w:val="en-US" w:eastAsia="zh-CN" w:bidi="ar-SA"/>
        </w:rPr>
        <w:t>3</w:t>
      </w:r>
      <w:r>
        <w:rPr>
          <w:rFonts w:hint="eastAsia" w:ascii="仿宋_GB2312" w:hAnsi="宋体" w:eastAsia="仿宋_GB2312" w:cs="宋体"/>
          <w:b w:val="0"/>
          <w:bCs w:val="0"/>
          <w:kern w:val="0"/>
          <w:sz w:val="32"/>
          <w:szCs w:val="32"/>
          <w:lang w:val="en-US" w:eastAsia="zh-CN" w:bidi="ar-SA"/>
        </w:rPr>
        <w:t>人，增加1人。</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numPr>
          <w:ilvl w:val="0"/>
          <w:numId w:val="0"/>
        </w:numPr>
        <w:spacing w:line="560" w:lineRule="exact"/>
        <w:ind w:firstLine="640" w:firstLineChars="200"/>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eastAsia="zh-CN"/>
        </w:rPr>
        <w:t>昌吉市市政养护管理中心办公地点位于昌吉市健康西路 19号，始建于 1990 年，砖混结构，建筑面积 859 平方米，一楼为车库及库房，二楼为办公用房，三楼为会议室、智能化监控室和档案室。其中二楼实际办公面积不足 200 平方米，共有办公室14 间。现有各类车辆 26 辆，其中高空作业车 8 辆，皮卡车 6辆，货车 3 辆，凯帆路面养护车 1 辆，江淮越野车 1 辆，小轿车3 辆，东风自卸车车 1 辆，龙工压路机 2 辆，凯斯挖掘装载机 1辆。</w:t>
      </w:r>
    </w:p>
    <w:p>
      <w:pPr>
        <w:numPr>
          <w:ilvl w:val="0"/>
          <w:numId w:val="0"/>
        </w:numPr>
        <w:spacing w:line="560" w:lineRule="exact"/>
        <w:ind w:firstLine="640" w:firstLineChars="200"/>
        <w:rPr>
          <w:sz w:val="32"/>
        </w:rPr>
      </w:pPr>
      <w:r>
        <w:rPr>
          <w:rFonts w:hint="eastAsia" w:ascii="仿宋_GB2312" w:hAnsi="宋体" w:eastAsia="仿宋_GB2312" w:cs="宋体"/>
          <w:kern w:val="0"/>
          <w:sz w:val="32"/>
          <w:szCs w:val="32"/>
          <w:lang w:eastAsia="zh-CN"/>
        </w:rPr>
        <w:t xml:space="preserve">主要职能：为全市生产生活正常提供市政工程设施维护管理，城市道路、桥梁、隧道，城市街道与小区照明维护管理，城市防洪设施维护管理。 </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szCs w:val="32"/>
        </w:rPr>
      </w:pPr>
      <w:r>
        <w:rPr>
          <w:rFonts w:hint="eastAsia" w:ascii="仿宋_GB2312" w:hAnsi="仿宋_GB2312" w:eastAsia="仿宋_GB2312" w:cs="仿宋_GB2312"/>
          <w:sz w:val="32"/>
          <w:szCs w:val="32"/>
          <w:lang w:val="en-US" w:eastAsia="zh-CN"/>
        </w:rPr>
        <w:t>2022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养护中心</w:t>
      </w:r>
      <w:r>
        <w:rPr>
          <w:rFonts w:hint="eastAsia" w:ascii="仿宋_GB2312" w:hAnsi="仿宋_GB2312" w:eastAsia="仿宋_GB2312" w:cs="仿宋_GB2312"/>
          <w:sz w:val="32"/>
          <w:szCs w:val="32"/>
        </w:rPr>
        <w:t>将再接再厉，积极做好市政设施管理养护工作，更好的完成各项任务。</w:t>
      </w:r>
      <w:r>
        <w:rPr>
          <w:rFonts w:hint="eastAsia" w:ascii="仿宋_GB2312" w:hAnsi="仿宋_GB2312" w:eastAsia="仿宋_GB2312" w:cs="仿宋_GB2312"/>
          <w:color w:val="000000"/>
          <w:sz w:val="32"/>
          <w:szCs w:val="32"/>
          <w:lang w:eastAsia="zh-CN"/>
        </w:rPr>
        <w:t>一是</w:t>
      </w:r>
      <w:r>
        <w:rPr>
          <w:rFonts w:hint="eastAsia" w:ascii="仿宋_GB2312" w:hAnsi="仿宋_GB2312" w:eastAsia="仿宋_GB2312" w:cs="仿宋_GB2312"/>
          <w:color w:val="000000"/>
          <w:sz w:val="32"/>
          <w:szCs w:val="32"/>
        </w:rPr>
        <w:t>按照20</w:t>
      </w:r>
      <w:r>
        <w:rPr>
          <w:rFonts w:hint="eastAsia" w:ascii="仿宋_GB2312" w:hAnsi="仿宋_GB2312" w:eastAsia="仿宋_GB2312" w:cs="仿宋_GB2312"/>
          <w:color w:val="000000"/>
          <w:sz w:val="32"/>
          <w:szCs w:val="32"/>
          <w:lang w:val="en-US" w:eastAsia="zh-CN"/>
        </w:rPr>
        <w:t>22年</w:t>
      </w:r>
      <w:r>
        <w:rPr>
          <w:rFonts w:hint="eastAsia" w:ascii="仿宋_GB2312" w:hAnsi="仿宋_GB2312" w:eastAsia="仿宋_GB2312" w:cs="仿宋_GB2312"/>
          <w:color w:val="000000"/>
          <w:sz w:val="32"/>
          <w:szCs w:val="32"/>
        </w:rPr>
        <w:t>城建计划，正常维护道路、人行道，井盖子雨水篦子更换、路沿石更换、石凳子、挡车栏</w:t>
      </w:r>
      <w:r>
        <w:rPr>
          <w:rFonts w:hint="eastAsia" w:ascii="仿宋_GB2312" w:hAnsi="仿宋_GB2312" w:eastAsia="仿宋_GB2312" w:cs="仿宋_GB2312"/>
          <w:color w:val="000000"/>
          <w:sz w:val="32"/>
          <w:szCs w:val="32"/>
          <w:lang w:eastAsia="zh-CN"/>
        </w:rPr>
        <w:t>的</w:t>
      </w:r>
      <w:r>
        <w:rPr>
          <w:rFonts w:hint="eastAsia" w:ascii="仿宋_GB2312" w:hAnsi="仿宋_GB2312" w:eastAsia="仿宋_GB2312" w:cs="仿宋_GB2312"/>
          <w:color w:val="000000"/>
          <w:sz w:val="32"/>
          <w:szCs w:val="32"/>
        </w:rPr>
        <w:t>维护</w:t>
      </w:r>
      <w:r>
        <w:rPr>
          <w:rFonts w:hint="eastAsia" w:ascii="仿宋_GB2312" w:hAnsi="仿宋_GB2312" w:eastAsia="仿宋_GB2312" w:cs="仿宋_GB2312"/>
          <w:color w:val="000000"/>
          <w:sz w:val="32"/>
          <w:szCs w:val="32"/>
          <w:lang w:eastAsia="zh-CN"/>
        </w:rPr>
        <w:t>等市区零星工程。二是继续</w:t>
      </w:r>
      <w:r>
        <w:rPr>
          <w:rFonts w:hint="eastAsia" w:ascii="仿宋_GB2312" w:hAnsi="仿宋_GB2312" w:eastAsia="仿宋_GB2312" w:cs="仿宋_GB2312"/>
          <w:sz w:val="32"/>
          <w:szCs w:val="32"/>
          <w:lang w:val="en-US" w:eastAsia="zh-CN"/>
        </w:rPr>
        <w:t>做好2022年市区防洪防汛工作。</w:t>
      </w:r>
      <w:r>
        <w:rPr>
          <w:rFonts w:hint="eastAsia" w:ascii="仿宋_GB2312" w:hAnsi="仿宋_GB2312" w:eastAsia="仿宋_GB2312" w:cs="仿宋_GB2312"/>
          <w:b w:val="0"/>
          <w:bCs w:val="0"/>
          <w:color w:val="000000"/>
          <w:sz w:val="32"/>
          <w:szCs w:val="32"/>
          <w:lang w:val="en-US" w:eastAsia="zh-CN"/>
        </w:rPr>
        <w:t>三是早谋划，重节俭，提前与传媒企业积极对接2022年牛年春节氛围营造计划。四是</w:t>
      </w:r>
      <w:r>
        <w:rPr>
          <w:rFonts w:hint="eastAsia" w:ascii="仿宋_GB2312" w:hAnsi="仿宋_GB2312" w:eastAsia="仿宋_GB2312" w:cs="仿宋_GB2312"/>
          <w:sz w:val="32"/>
          <w:szCs w:val="32"/>
          <w:lang w:val="en-US" w:eastAsia="zh-CN"/>
        </w:rPr>
        <w:t>做好昌吉市各节日零星应急保障工作。五是</w:t>
      </w:r>
      <w:r>
        <w:rPr>
          <w:rFonts w:hint="eastAsia" w:ascii="仿宋_GB2312" w:hAnsi="仿宋_GB2312" w:eastAsia="仿宋_GB2312" w:cs="仿宋_GB2312"/>
          <w:sz w:val="32"/>
          <w:szCs w:val="32"/>
        </w:rPr>
        <w:t>加强业务学习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提升精细化管理水平，确保市政道路平整，市政设施完好，对市区存在重大隐患薄弱环节涉及到我科室的问题提出整改措施，逐步进行整改落实</w:t>
      </w:r>
      <w:r>
        <w:rPr>
          <w:rFonts w:hint="eastAsia" w:ascii="仿宋_GB2312" w:hAnsi="仿宋_GB2312" w:eastAsia="仿宋_GB2312" w:cs="仿宋_GB2312"/>
          <w:sz w:val="32"/>
          <w:szCs w:val="32"/>
          <w:lang w:eastAsia="zh-CN"/>
        </w:rPr>
        <w:t>。</w:t>
      </w:r>
    </w:p>
    <w:p>
      <w:pPr>
        <w:pStyle w:val="4"/>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ascii="仿宋_GB2312" w:eastAsia="仿宋_GB2312"/>
          <w:b/>
          <w:bCs/>
          <w:color w:val="auto"/>
          <w:sz w:val="32"/>
          <w:szCs w:val="32"/>
        </w:rPr>
      </w:pPr>
      <w:r>
        <w:rPr>
          <w:rFonts w:hint="eastAsia" w:ascii="仿宋_GB2312" w:eastAsia="仿宋_GB2312"/>
          <w:color w:val="auto"/>
          <w:sz w:val="32"/>
          <w:szCs w:val="32"/>
        </w:rPr>
        <w:t>我</w:t>
      </w:r>
      <w:r>
        <w:rPr>
          <w:rFonts w:hint="eastAsia" w:ascii="仿宋_GB2312" w:eastAsia="仿宋_GB2312"/>
          <w:color w:val="auto"/>
          <w:sz w:val="32"/>
          <w:szCs w:val="32"/>
          <w:lang w:eastAsia="zh-CN"/>
        </w:rPr>
        <w:t>中心</w:t>
      </w:r>
      <w:r>
        <w:rPr>
          <w:rFonts w:hint="eastAsia" w:ascii="仿宋_GB2312" w:eastAsia="仿宋_GB2312"/>
          <w:color w:val="auto"/>
          <w:sz w:val="32"/>
          <w:szCs w:val="32"/>
        </w:rPr>
        <w:t>决策机制根据行政事业单位内部控制体系建设相关要求，逐步完善《</w:t>
      </w:r>
      <w:r>
        <w:rPr>
          <w:rFonts w:hint="eastAsia" w:ascii="仿宋_GB2312" w:eastAsia="仿宋_GB2312"/>
          <w:color w:val="auto"/>
          <w:sz w:val="32"/>
          <w:szCs w:val="32"/>
          <w:lang w:eastAsia="zh-CN"/>
        </w:rPr>
        <w:t>昌吉市市政养护管理中心</w:t>
      </w:r>
      <w:r>
        <w:rPr>
          <w:rFonts w:hint="eastAsia" w:ascii="仿宋_GB2312" w:eastAsia="仿宋_GB2312"/>
          <w:color w:val="auto"/>
          <w:sz w:val="32"/>
          <w:szCs w:val="32"/>
        </w:rPr>
        <w:t>（</w:t>
      </w:r>
      <w:r>
        <w:rPr>
          <w:rFonts w:hint="eastAsia" w:ascii="仿宋_GB2312" w:eastAsia="仿宋_GB2312"/>
          <w:color w:val="auto"/>
          <w:sz w:val="32"/>
          <w:szCs w:val="32"/>
          <w:lang w:eastAsia="zh-CN"/>
        </w:rPr>
        <w:t>党支部</w:t>
      </w:r>
      <w:r>
        <w:rPr>
          <w:rFonts w:hint="eastAsia" w:ascii="仿宋_GB2312" w:eastAsia="仿宋_GB2312"/>
          <w:color w:val="auto"/>
          <w:sz w:val="32"/>
          <w:szCs w:val="32"/>
        </w:rPr>
        <w:t>、办公会议等）议事规则》、《三重一大会议制度》，</w:t>
      </w:r>
      <w:r>
        <w:rPr>
          <w:rFonts w:hint="eastAsia" w:ascii="仿宋_GB2312" w:eastAsia="仿宋_GB2312"/>
          <w:color w:val="auto"/>
          <w:sz w:val="32"/>
          <w:szCs w:val="32"/>
          <w:lang w:val="en-US" w:eastAsia="zh-CN"/>
        </w:rPr>
        <w:t>5000元已上支出报城管局财经领导小组会议决定是否支付</w:t>
      </w:r>
      <w:r>
        <w:rPr>
          <w:rFonts w:hint="eastAsia" w:ascii="仿宋_GB2312" w:eastAsia="仿宋_GB2312"/>
          <w:color w:val="auto"/>
          <w:sz w:val="32"/>
          <w:szCs w:val="32"/>
          <w:lang w:eastAsia="zh-CN"/>
        </w:rPr>
        <w:t>等规定，将</w:t>
      </w:r>
      <w:r>
        <w:rPr>
          <w:rFonts w:hint="eastAsia" w:ascii="仿宋_GB2312" w:eastAsia="仿宋_GB2312"/>
          <w:color w:val="auto"/>
          <w:sz w:val="32"/>
          <w:szCs w:val="32"/>
        </w:rPr>
        <w:t>单位</w:t>
      </w:r>
      <w:r>
        <w:rPr>
          <w:rFonts w:hint="eastAsia" w:ascii="仿宋_GB2312" w:eastAsia="仿宋_GB2312"/>
          <w:color w:val="auto"/>
          <w:sz w:val="32"/>
          <w:szCs w:val="32"/>
          <w:lang w:eastAsia="zh-CN"/>
        </w:rPr>
        <w:t>重大</w:t>
      </w:r>
      <w:r>
        <w:rPr>
          <w:rFonts w:hint="eastAsia" w:ascii="仿宋_GB2312" w:eastAsia="仿宋_GB2312"/>
          <w:color w:val="auto"/>
          <w:sz w:val="32"/>
          <w:szCs w:val="32"/>
        </w:rPr>
        <w:t>事项</w:t>
      </w:r>
      <w:r>
        <w:rPr>
          <w:rFonts w:hint="eastAsia" w:ascii="仿宋_GB2312" w:eastAsia="仿宋_GB2312"/>
          <w:color w:val="auto"/>
          <w:sz w:val="32"/>
          <w:szCs w:val="32"/>
          <w:lang w:eastAsia="zh-CN"/>
        </w:rPr>
        <w:t>进行</w:t>
      </w:r>
      <w:r>
        <w:rPr>
          <w:rFonts w:hint="eastAsia" w:ascii="仿宋_GB2312" w:eastAsia="仿宋_GB2312"/>
          <w:color w:val="auto"/>
          <w:sz w:val="32"/>
          <w:szCs w:val="32"/>
        </w:rPr>
        <w:t>决策。</w:t>
      </w:r>
    </w:p>
    <w:p>
      <w:pPr>
        <w:pStyle w:val="4"/>
        <w:numPr>
          <w:ilvl w:val="0"/>
          <w:numId w:val="2"/>
        </w:numPr>
        <w:ind w:firstLine="640"/>
        <w:rPr>
          <w:rFonts w:ascii="楷体_GB2312" w:eastAsia="楷体_GB2312"/>
          <w:szCs w:val="32"/>
        </w:rPr>
      </w:pPr>
      <w:r>
        <w:rPr>
          <w:rFonts w:hint="eastAsia" w:ascii="楷体_GB2312" w:eastAsia="楷体_GB2312"/>
          <w:szCs w:val="32"/>
        </w:rPr>
        <w:t>单位资金分配情况</w:t>
      </w:r>
    </w:p>
    <w:p>
      <w:pPr>
        <w:widowControl/>
        <w:ind w:firstLine="640"/>
        <w:jc w:val="left"/>
        <w:rPr>
          <w:rFonts w:ascii="仿宋_GB2312" w:eastAsia="仿宋_GB2312" w:cs="仿宋"/>
          <w:color w:val="auto"/>
          <w:sz w:val="32"/>
          <w:szCs w:val="32"/>
        </w:rPr>
      </w:pPr>
      <w:r>
        <w:rPr>
          <w:rFonts w:hint="eastAsia" w:ascii="仿宋_GB2312" w:eastAsia="仿宋_GB2312" w:cs="仿宋"/>
          <w:b/>
          <w:sz w:val="32"/>
          <w:szCs w:val="32"/>
        </w:rPr>
        <w:t>1.分配依据及结果。</w:t>
      </w:r>
      <w:r>
        <w:rPr>
          <w:rFonts w:hint="eastAsia" w:ascii="仿宋_GB2312" w:eastAsia="仿宋_GB2312" w:cs="仿宋"/>
          <w:color w:val="auto"/>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2.</w:t>
      </w:r>
      <w:r>
        <w:rPr>
          <w:rFonts w:hint="eastAsia" w:ascii="仿宋_GB2312" w:eastAsia="仿宋_GB2312"/>
          <w:b/>
          <w:color w:val="auto"/>
          <w:sz w:val="32"/>
          <w:szCs w:val="32"/>
        </w:rPr>
        <w:t>重点支出保障情况。</w:t>
      </w:r>
      <w:r>
        <w:rPr>
          <w:rFonts w:hint="eastAsia" w:ascii="仿宋_GB2312" w:eastAsia="仿宋_GB2312" w:cs="仿宋"/>
          <w:color w:val="auto"/>
          <w:sz w:val="32"/>
          <w:szCs w:val="32"/>
        </w:rPr>
        <w:t>本年度本单位预算安排的重点项目</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个，预算安排的重点项目支出金额为</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万元，部门项目总支出金额为</w:t>
      </w:r>
      <w:r>
        <w:rPr>
          <w:rFonts w:hint="eastAsia" w:ascii="仿宋_GB2312" w:eastAsia="仿宋_GB2312" w:cs="仿宋"/>
          <w:color w:val="auto"/>
          <w:sz w:val="32"/>
          <w:szCs w:val="32"/>
          <w:highlight w:val="yellow"/>
          <w:lang w:val="en-US" w:eastAsia="zh-CN"/>
        </w:rPr>
        <w:t>1404.14</w:t>
      </w:r>
      <w:r>
        <w:rPr>
          <w:rFonts w:hint="eastAsia" w:ascii="仿宋_GB2312" w:eastAsia="仿宋_GB2312" w:cs="仿宋"/>
          <w:color w:val="auto"/>
          <w:sz w:val="32"/>
          <w:szCs w:val="32"/>
        </w:rPr>
        <w:t>万元，则重点项目支出占项目总支出的比率为</w:t>
      </w:r>
      <w:r>
        <w:rPr>
          <w:rFonts w:hint="eastAsia" w:ascii="仿宋_GB2312" w:eastAsia="仿宋_GB2312" w:cs="仿宋"/>
          <w:color w:val="auto"/>
          <w:sz w:val="32"/>
          <w:szCs w:val="32"/>
          <w:lang w:val="en-US" w:eastAsia="zh-CN"/>
        </w:rPr>
        <w:t>0.0</w:t>
      </w:r>
      <w:r>
        <w:rPr>
          <w:rFonts w:hint="eastAsia" w:ascii="仿宋_GB2312" w:eastAsia="仿宋_GB2312" w:cs="仿宋"/>
          <w:color w:val="auto"/>
          <w:sz w:val="32"/>
          <w:szCs w:val="32"/>
        </w:rPr>
        <w:t>%。</w:t>
      </w:r>
    </w:p>
    <w:p>
      <w:pPr>
        <w:pStyle w:val="4"/>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年度，</w:t>
      </w:r>
      <w:r>
        <w:rPr>
          <w:rFonts w:hint="eastAsia" w:ascii="仿宋_GB2312" w:eastAsia="仿宋_GB2312"/>
          <w:bCs/>
          <w:color w:val="auto"/>
          <w:sz w:val="32"/>
          <w:szCs w:val="32"/>
          <w:highlight w:val="none"/>
          <w:lang w:eastAsia="zh-CN"/>
        </w:rPr>
        <w:t>昌吉市市政养护管理中心</w:t>
      </w:r>
      <w:r>
        <w:rPr>
          <w:rFonts w:hint="eastAsia" w:ascii="仿宋_GB2312" w:eastAsia="仿宋_GB2312"/>
          <w:bCs/>
          <w:color w:val="auto"/>
          <w:sz w:val="32"/>
          <w:szCs w:val="32"/>
          <w:highlight w:val="none"/>
        </w:rPr>
        <w:t>部门单位整体支出年初预算金额为</w:t>
      </w:r>
      <w:r>
        <w:rPr>
          <w:rFonts w:hint="eastAsia" w:ascii="仿宋_GB2312" w:eastAsia="仿宋_GB2312"/>
          <w:bCs/>
          <w:color w:val="auto"/>
          <w:sz w:val="32"/>
          <w:szCs w:val="32"/>
          <w:highlight w:val="none"/>
          <w:lang w:val="en-US" w:eastAsia="zh-CN"/>
        </w:rPr>
        <w:t>692.58</w:t>
      </w:r>
      <w:r>
        <w:rPr>
          <w:rFonts w:hint="eastAsia" w:ascii="仿宋_GB2312" w:eastAsia="仿宋_GB2312"/>
          <w:color w:val="auto"/>
          <w:sz w:val="32"/>
          <w:szCs w:val="32"/>
          <w:highlight w:val="none"/>
        </w:rPr>
        <w:t>万元，支出金额为</w:t>
      </w:r>
      <w:r>
        <w:rPr>
          <w:rFonts w:hint="eastAsia" w:ascii="仿宋_GB2312" w:eastAsia="仿宋_GB2312"/>
          <w:bCs/>
          <w:color w:val="auto"/>
          <w:sz w:val="32"/>
          <w:szCs w:val="32"/>
          <w:highlight w:val="none"/>
          <w:lang w:val="en-US" w:eastAsia="zh-CN"/>
        </w:rPr>
        <w:t>692.58</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%，其中：政府采购年初预算金额为</w:t>
      </w:r>
      <w:r>
        <w:rPr>
          <w:rFonts w:hint="eastAsia" w:ascii="仿宋_GB2312" w:eastAsia="仿宋_GB2312"/>
          <w:color w:val="auto"/>
          <w:sz w:val="32"/>
          <w:szCs w:val="32"/>
          <w:highlight w:val="none"/>
          <w:lang w:val="en-US" w:eastAsia="zh-CN"/>
        </w:rPr>
        <w:t>15.00</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15.00</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1486.66</w:t>
      </w:r>
      <w:r>
        <w:rPr>
          <w:rFonts w:hint="eastAsia" w:ascii="仿宋_GB2312" w:eastAsia="仿宋_GB2312"/>
          <w:color w:val="auto"/>
          <w:sz w:val="32"/>
          <w:szCs w:val="32"/>
          <w:highlight w:val="none"/>
        </w:rPr>
        <w:t>万元，预算调整率为</w:t>
      </w:r>
      <w:r>
        <w:rPr>
          <w:rFonts w:hint="eastAsia" w:ascii="仿宋_GB2312" w:eastAsia="仿宋_GB2312"/>
          <w:color w:val="auto"/>
          <w:sz w:val="32"/>
          <w:szCs w:val="32"/>
          <w:highlight w:val="none"/>
          <w:lang w:val="en-US" w:eastAsia="zh-CN"/>
        </w:rPr>
        <w:t>214.65</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2179.24</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2179.24</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pStyle w:val="5"/>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5"/>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ascii="仿宋_GB2312" w:eastAsia="仿宋_GB2312"/>
          <w:sz w:val="32"/>
          <w:szCs w:val="32"/>
        </w:rPr>
        <w:t>1</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4"/>
        <w:numPr>
          <w:ilvl w:val="0"/>
          <w:numId w:val="4"/>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color w:val="FF0000"/>
          <w:sz w:val="32"/>
          <w:szCs w:val="32"/>
        </w:rPr>
      </w:pPr>
      <w:r>
        <w:rPr>
          <w:rFonts w:hint="eastAsia" w:ascii="仿宋_GB2312" w:eastAsia="仿宋_GB2312"/>
          <w:color w:val="auto"/>
          <w:sz w:val="32"/>
          <w:szCs w:val="32"/>
        </w:rPr>
        <w:t>我单位为加强预算管理、规范财务行为、加强内部控制体系建设，制定了</w:t>
      </w:r>
      <w:r>
        <w:rPr>
          <w:rFonts w:hint="eastAsia" w:ascii="仿宋_GB2312" w:eastAsia="仿宋_GB2312"/>
          <w:color w:val="auto"/>
          <w:sz w:val="32"/>
          <w:szCs w:val="32"/>
          <w:lang w:eastAsia="zh-CN"/>
        </w:rPr>
        <w:t>事业单位预算</w:t>
      </w:r>
      <w:r>
        <w:rPr>
          <w:rFonts w:hint="eastAsia" w:ascii="仿宋_GB2312" w:eastAsia="仿宋_GB2312"/>
          <w:color w:val="auto"/>
          <w:sz w:val="32"/>
          <w:szCs w:val="32"/>
        </w:rPr>
        <w:t>管理办法（制度），并严格按照此管理办法（制度）管理使用预算资金，严格按照政府信息公开有关规定及财政部门要求公开相关预决算信息。</w:t>
      </w:r>
    </w:p>
    <w:p>
      <w:pPr>
        <w:pStyle w:val="4"/>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ascii="仿宋_GB2312" w:eastAsia="仿宋_GB2312"/>
          <w:color w:val="auto"/>
          <w:sz w:val="32"/>
          <w:szCs w:val="32"/>
          <w:highlight w:val="yellow"/>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昌吉市市政养护管理中心</w:t>
      </w:r>
      <w:r>
        <w:rPr>
          <w:rFonts w:hint="eastAsia" w:ascii="仿宋_GB2312" w:eastAsia="仿宋_GB2312"/>
          <w:color w:val="auto"/>
          <w:sz w:val="32"/>
          <w:szCs w:val="32"/>
          <w:highlight w:val="none"/>
        </w:rPr>
        <w:t>基本支出年初预算金额为</w:t>
      </w:r>
      <w:r>
        <w:rPr>
          <w:rFonts w:hint="eastAsia" w:ascii="仿宋_GB2312" w:eastAsia="仿宋_GB2312"/>
          <w:color w:val="auto"/>
          <w:sz w:val="32"/>
          <w:szCs w:val="32"/>
          <w:highlight w:val="none"/>
          <w:lang w:val="en-US" w:eastAsia="zh-CN"/>
        </w:rPr>
        <w:t>692.58</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692.58</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63.06</w:t>
      </w:r>
      <w:r>
        <w:rPr>
          <w:rFonts w:hint="eastAsia" w:ascii="仿宋_GB2312" w:eastAsia="仿宋_GB2312"/>
          <w:color w:val="auto"/>
          <w:sz w:val="32"/>
          <w:szCs w:val="32"/>
          <w:highlight w:val="none"/>
        </w:rPr>
        <w:t>万元。综上，我单位基本支出预算总额为</w:t>
      </w:r>
      <w:r>
        <w:rPr>
          <w:rFonts w:hint="eastAsia" w:ascii="仿宋_GB2312" w:eastAsia="仿宋_GB2312"/>
          <w:color w:val="auto"/>
          <w:sz w:val="32"/>
          <w:szCs w:val="32"/>
          <w:highlight w:val="yellow"/>
          <w:lang w:val="en-US" w:eastAsia="zh-CN"/>
        </w:rPr>
        <w:t>629.52</w:t>
      </w:r>
      <w:r>
        <w:rPr>
          <w:rFonts w:hint="eastAsia" w:ascii="仿宋_GB2312" w:eastAsia="仿宋_GB2312"/>
          <w:color w:val="auto"/>
          <w:sz w:val="32"/>
          <w:szCs w:val="32"/>
          <w:highlight w:val="yellow"/>
        </w:rPr>
        <w:t>万元，支出总额为</w:t>
      </w:r>
      <w:r>
        <w:rPr>
          <w:rFonts w:hint="eastAsia" w:ascii="仿宋_GB2312" w:eastAsia="仿宋_GB2312"/>
          <w:color w:val="auto"/>
          <w:sz w:val="32"/>
          <w:szCs w:val="32"/>
          <w:highlight w:val="yellow"/>
          <w:lang w:val="en-US" w:eastAsia="zh-CN"/>
        </w:rPr>
        <w:t>629.52</w:t>
      </w:r>
      <w:r>
        <w:rPr>
          <w:rFonts w:hint="eastAsia" w:ascii="仿宋_GB2312" w:eastAsia="仿宋_GB2312"/>
          <w:color w:val="auto"/>
          <w:sz w:val="32"/>
          <w:szCs w:val="32"/>
          <w:highlight w:val="yellow"/>
        </w:rPr>
        <w:t>万元，预算总执行率为</w:t>
      </w:r>
      <w:r>
        <w:rPr>
          <w:rFonts w:hint="eastAsia" w:ascii="仿宋_GB2312" w:eastAsia="仿宋_GB2312"/>
          <w:color w:val="auto"/>
          <w:sz w:val="32"/>
          <w:szCs w:val="32"/>
          <w:highlight w:val="yellow"/>
          <w:lang w:val="en-US" w:eastAsia="zh-CN"/>
        </w:rPr>
        <w:t>100.0</w:t>
      </w:r>
      <w:r>
        <w:rPr>
          <w:rFonts w:hint="eastAsia" w:ascii="仿宋_GB2312" w:eastAsia="仿宋_GB2312"/>
          <w:color w:val="auto"/>
          <w:sz w:val="32"/>
          <w:szCs w:val="32"/>
          <w:highlight w:val="yellow"/>
        </w:rPr>
        <w:t>%，其中人员经费</w:t>
      </w:r>
      <w:r>
        <w:rPr>
          <w:rFonts w:hint="eastAsia" w:ascii="仿宋_GB2312" w:eastAsia="仿宋_GB2312"/>
          <w:color w:val="auto"/>
          <w:sz w:val="32"/>
          <w:szCs w:val="32"/>
          <w:highlight w:val="yellow"/>
          <w:lang w:val="en-US" w:eastAsia="zh-CN"/>
        </w:rPr>
        <w:t>581.02</w:t>
      </w:r>
      <w:r>
        <w:rPr>
          <w:rFonts w:hint="eastAsia" w:ascii="仿宋_GB2312" w:eastAsia="仿宋_GB2312"/>
          <w:color w:val="auto"/>
          <w:sz w:val="32"/>
          <w:szCs w:val="32"/>
          <w:highlight w:val="yellow"/>
        </w:rPr>
        <w:t>万元，公用经费</w:t>
      </w:r>
      <w:r>
        <w:rPr>
          <w:rFonts w:hint="eastAsia" w:ascii="仿宋_GB2312" w:eastAsia="仿宋_GB2312"/>
          <w:color w:val="auto"/>
          <w:sz w:val="32"/>
          <w:szCs w:val="32"/>
          <w:highlight w:val="yellow"/>
          <w:lang w:val="en-US" w:eastAsia="zh-CN"/>
        </w:rPr>
        <w:t>48.50</w:t>
      </w:r>
      <w:r>
        <w:rPr>
          <w:rFonts w:hint="eastAsia" w:ascii="仿宋_GB2312" w:eastAsia="仿宋_GB2312"/>
          <w:color w:val="auto"/>
          <w:sz w:val="32"/>
          <w:szCs w:val="32"/>
          <w:highlight w:val="yellow"/>
        </w:rPr>
        <w:t>万元。</w:t>
      </w:r>
    </w:p>
    <w:p>
      <w:pPr>
        <w:ind w:firstLine="640"/>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color w:val="auto"/>
          <w:sz w:val="32"/>
          <w:szCs w:val="32"/>
        </w:rPr>
      </w:pPr>
      <w:r>
        <w:rPr>
          <w:rFonts w:hint="eastAsia" w:ascii="仿宋_GB2312" w:eastAsia="仿宋_GB2312" w:cs="宋体"/>
          <w:color w:val="auto"/>
          <w:sz w:val="32"/>
          <w:szCs w:val="32"/>
        </w:rPr>
        <w:t>我单位认真贯彻落实中央关于厉行节约的有关规定，严格执行《党政机关厉行节约反对浪费条例》，202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2.40</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2.40</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w:t>
      </w:r>
    </w:p>
    <w:p>
      <w:pPr>
        <w:ind w:firstLine="681" w:firstLineChars="213"/>
        <w:jc w:val="left"/>
        <w:rPr>
          <w:rFonts w:ascii="仿宋_GB2312" w:eastAsia="仿宋_GB2312" w:cs="宋体"/>
          <w:color w:val="auto"/>
          <w:sz w:val="32"/>
          <w:szCs w:val="32"/>
        </w:rPr>
      </w:pPr>
      <w:r>
        <w:rPr>
          <w:rFonts w:hint="eastAsia" w:ascii="仿宋_GB2312" w:eastAsia="仿宋_GB2312" w:cs="宋体"/>
          <w:color w:val="auto"/>
          <w:sz w:val="32"/>
          <w:szCs w:val="32"/>
        </w:rPr>
        <w:t>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年，全年“三公”经费决算支出</w:t>
      </w:r>
      <w:r>
        <w:rPr>
          <w:rFonts w:hint="eastAsia" w:ascii="仿宋_GB2312" w:eastAsia="仿宋_GB2312" w:cs="宋体"/>
          <w:color w:val="auto"/>
          <w:sz w:val="32"/>
          <w:szCs w:val="32"/>
          <w:lang w:val="en-US" w:eastAsia="zh-CN"/>
        </w:rPr>
        <w:t>2.4</w:t>
      </w:r>
      <w:r>
        <w:rPr>
          <w:rFonts w:hint="eastAsia" w:ascii="仿宋_GB2312" w:eastAsia="仿宋_GB2312" w:cs="宋体"/>
          <w:color w:val="auto"/>
          <w:sz w:val="32"/>
          <w:szCs w:val="32"/>
        </w:rPr>
        <w:t>万元，其中：因公出国（境）费用</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2.40</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万元。较上年“三公”经费决算支出</w:t>
      </w:r>
      <w:r>
        <w:rPr>
          <w:rFonts w:hint="eastAsia" w:ascii="仿宋_GB2312" w:eastAsia="仿宋_GB2312" w:cs="宋体"/>
          <w:color w:val="auto"/>
          <w:sz w:val="32"/>
          <w:szCs w:val="32"/>
          <w:lang w:val="en-US" w:eastAsia="zh-CN"/>
        </w:rPr>
        <w:t>2.40</w:t>
      </w:r>
      <w:r>
        <w:rPr>
          <w:rFonts w:hint="eastAsia" w:ascii="仿宋_GB2312" w:eastAsia="仿宋_GB2312" w:cs="宋体"/>
          <w:color w:val="auto"/>
          <w:sz w:val="32"/>
          <w:szCs w:val="32"/>
        </w:rPr>
        <w:t>万元，增加</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万元，增长</w:t>
      </w:r>
      <w:r>
        <w:rPr>
          <w:rFonts w:hint="eastAsia" w:ascii="仿宋_GB2312" w:eastAsia="仿宋_GB2312" w:cs="宋体"/>
          <w:color w:val="auto"/>
          <w:sz w:val="32"/>
          <w:szCs w:val="32"/>
          <w:lang w:val="en-US" w:eastAsia="zh-CN"/>
        </w:rPr>
        <w:t>0.0</w:t>
      </w:r>
      <w:r>
        <w:rPr>
          <w:rFonts w:hint="eastAsia" w:ascii="仿宋_GB2312" w:eastAsia="仿宋_GB2312" w:cs="宋体"/>
          <w:color w:val="auto"/>
          <w:sz w:val="32"/>
          <w:szCs w:val="32"/>
        </w:rPr>
        <w:t>%。</w:t>
      </w:r>
    </w:p>
    <w:p>
      <w:pPr>
        <w:pStyle w:val="4"/>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0"/>
        <w:rPr>
          <w:rFonts w:hint="eastAsia" w:ascii="仿宋_GB2312" w:eastAsia="仿宋_GB2312"/>
          <w:b/>
          <w:bCs/>
          <w:sz w:val="32"/>
          <w:szCs w:val="32"/>
        </w:rPr>
      </w:pPr>
      <w:r>
        <w:rPr>
          <w:rFonts w:hint="eastAsia" w:ascii="仿宋_GB2312" w:eastAsia="仿宋_GB2312"/>
          <w:b/>
          <w:bCs/>
          <w:sz w:val="32"/>
          <w:szCs w:val="32"/>
        </w:rPr>
        <w:t>1.项目支出情况</w:t>
      </w:r>
    </w:p>
    <w:p>
      <w:pPr>
        <w:pStyle w:val="2"/>
        <w:ind w:left="0" w:leftChars="0" w:firstLine="0" w:firstLineChars="0"/>
        <w:jc w:val="both"/>
      </w:pPr>
    </w:p>
    <w:p>
      <w:pPr>
        <w:pStyle w:val="5"/>
        <w:ind w:firstLine="640"/>
        <w:rPr>
          <w:b w:val="0"/>
          <w:bCs w:val="0"/>
          <w:color w:val="auto"/>
          <w:sz w:val="32"/>
        </w:rPr>
      </w:pPr>
      <w:r>
        <w:rPr>
          <w:rFonts w:hint="eastAsia"/>
          <w:b w:val="0"/>
          <w:bCs w:val="0"/>
          <w:color w:val="auto"/>
          <w:sz w:val="32"/>
        </w:rPr>
        <w:t>202</w:t>
      </w:r>
      <w:r>
        <w:rPr>
          <w:rFonts w:hint="eastAsia"/>
          <w:b w:val="0"/>
          <w:bCs w:val="0"/>
          <w:color w:val="auto"/>
          <w:sz w:val="32"/>
          <w:lang w:val="en-US" w:eastAsia="zh-CN"/>
        </w:rPr>
        <w:t>2</w:t>
      </w:r>
      <w:r>
        <w:rPr>
          <w:rFonts w:hint="eastAsia"/>
          <w:b w:val="0"/>
          <w:bCs w:val="0"/>
          <w:color w:val="auto"/>
          <w:sz w:val="32"/>
        </w:rPr>
        <w:t>年，</w:t>
      </w:r>
      <w:r>
        <w:rPr>
          <w:rFonts w:hint="eastAsia"/>
          <w:b w:val="0"/>
          <w:bCs w:val="0"/>
          <w:color w:val="auto"/>
          <w:sz w:val="32"/>
          <w:lang w:eastAsia="zh-CN"/>
        </w:rPr>
        <w:t>昌吉市市政养护管理中心</w:t>
      </w:r>
      <w:r>
        <w:rPr>
          <w:rFonts w:hint="eastAsia"/>
          <w:b w:val="0"/>
          <w:bCs w:val="0"/>
          <w:color w:val="auto"/>
          <w:sz w:val="32"/>
        </w:rPr>
        <w:t>项目支出年初预算金额为</w:t>
      </w:r>
      <w:r>
        <w:rPr>
          <w:rFonts w:hint="eastAsia"/>
          <w:b w:val="0"/>
          <w:bCs w:val="0"/>
          <w:color w:val="auto"/>
          <w:sz w:val="32"/>
          <w:lang w:val="en-US" w:eastAsia="zh-CN"/>
        </w:rPr>
        <w:t>30.00</w:t>
      </w:r>
      <w:r>
        <w:rPr>
          <w:rFonts w:hint="eastAsia"/>
          <w:b w:val="0"/>
          <w:bCs w:val="0"/>
          <w:color w:val="auto"/>
          <w:sz w:val="32"/>
        </w:rPr>
        <w:t>万元，支出金额为</w:t>
      </w:r>
      <w:r>
        <w:rPr>
          <w:rFonts w:hint="eastAsia"/>
          <w:b w:val="0"/>
          <w:bCs w:val="0"/>
          <w:color w:val="auto"/>
          <w:sz w:val="32"/>
          <w:lang w:val="en-US" w:eastAsia="zh-CN"/>
        </w:rPr>
        <w:t>1398.63</w:t>
      </w:r>
      <w:r>
        <w:rPr>
          <w:rFonts w:hint="eastAsia"/>
          <w:b w:val="0"/>
          <w:bCs w:val="0"/>
          <w:color w:val="auto"/>
          <w:sz w:val="32"/>
        </w:rPr>
        <w:t>万元，执行率为</w:t>
      </w:r>
      <w:r>
        <w:rPr>
          <w:rFonts w:hint="eastAsia"/>
          <w:b w:val="0"/>
          <w:bCs w:val="0"/>
          <w:color w:val="auto"/>
          <w:sz w:val="32"/>
          <w:lang w:val="en-US" w:eastAsia="zh-CN"/>
        </w:rPr>
        <w:t>100.0</w:t>
      </w:r>
      <w:r>
        <w:rPr>
          <w:rFonts w:hint="eastAsia"/>
          <w:b w:val="0"/>
          <w:bCs w:val="0"/>
          <w:color w:val="auto"/>
          <w:sz w:val="32"/>
        </w:rPr>
        <w:t>%，年中调整预算金额为</w:t>
      </w:r>
      <w:r>
        <w:rPr>
          <w:rFonts w:hint="eastAsia"/>
          <w:b w:val="0"/>
          <w:bCs w:val="0"/>
          <w:color w:val="auto"/>
          <w:sz w:val="32"/>
          <w:lang w:val="en-US" w:eastAsia="zh-CN"/>
        </w:rPr>
        <w:t>1368.63</w:t>
      </w:r>
      <w:r>
        <w:rPr>
          <w:rFonts w:hint="eastAsia"/>
          <w:b w:val="0"/>
          <w:bCs w:val="0"/>
          <w:color w:val="auto"/>
          <w:sz w:val="32"/>
        </w:rPr>
        <w:t>万元。综上，我单位项目支出预算总额为</w:t>
      </w:r>
      <w:r>
        <w:rPr>
          <w:rFonts w:hint="eastAsia"/>
          <w:b w:val="0"/>
          <w:bCs w:val="0"/>
          <w:color w:val="auto"/>
          <w:sz w:val="32"/>
          <w:lang w:val="en-US" w:eastAsia="zh-CN"/>
        </w:rPr>
        <w:t>1404.14</w:t>
      </w:r>
      <w:r>
        <w:rPr>
          <w:rFonts w:hint="eastAsia"/>
          <w:b w:val="0"/>
          <w:bCs w:val="0"/>
          <w:color w:val="auto"/>
          <w:sz w:val="32"/>
        </w:rPr>
        <w:t>万元，支出总额为</w:t>
      </w:r>
      <w:r>
        <w:rPr>
          <w:rFonts w:hint="eastAsia"/>
          <w:b w:val="0"/>
          <w:bCs w:val="0"/>
          <w:color w:val="auto"/>
          <w:sz w:val="32"/>
          <w:lang w:val="en-US" w:eastAsia="zh-CN"/>
        </w:rPr>
        <w:t>1398.63</w:t>
      </w:r>
      <w:r>
        <w:rPr>
          <w:rFonts w:hint="eastAsia"/>
          <w:b w:val="0"/>
          <w:bCs w:val="0"/>
          <w:color w:val="auto"/>
          <w:sz w:val="32"/>
        </w:rPr>
        <w:t>万元，预算总执行率为</w:t>
      </w:r>
      <w:r>
        <w:rPr>
          <w:rFonts w:hint="eastAsia"/>
          <w:b w:val="0"/>
          <w:bCs w:val="0"/>
          <w:color w:val="auto"/>
          <w:sz w:val="32"/>
          <w:lang w:val="en-US" w:eastAsia="zh-CN"/>
        </w:rPr>
        <w:t>99.6</w:t>
      </w:r>
      <w:r>
        <w:rPr>
          <w:rFonts w:hint="eastAsia"/>
          <w:b w:val="0"/>
          <w:bCs w:val="0"/>
          <w:color w:val="auto"/>
          <w:sz w:val="32"/>
        </w:rPr>
        <w:t>%</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eastAsia="zh-CN"/>
        </w:rPr>
        <w:t>昌吉市市政养护管理中心</w:t>
      </w:r>
      <w:r>
        <w:rPr>
          <w:rFonts w:hint="eastAsia" w:ascii="仿宋_GB2312" w:eastAsia="仿宋_GB2312"/>
          <w:color w:val="auto"/>
          <w:sz w:val="32"/>
          <w:szCs w:val="32"/>
        </w:rPr>
        <w:t>共有</w:t>
      </w:r>
      <w:r>
        <w:rPr>
          <w:rFonts w:hint="eastAsia" w:ascii="仿宋_GB2312" w:eastAsia="仿宋_GB2312"/>
          <w:color w:val="auto"/>
          <w:sz w:val="32"/>
          <w:szCs w:val="32"/>
          <w:lang w:val="en-US" w:eastAsia="zh-CN"/>
        </w:rPr>
        <w:t>18</w:t>
      </w:r>
      <w:r>
        <w:rPr>
          <w:rFonts w:hint="eastAsia" w:ascii="仿宋_GB2312" w:eastAsia="仿宋_GB2312"/>
          <w:color w:val="auto"/>
          <w:sz w:val="32"/>
          <w:szCs w:val="32"/>
        </w:rPr>
        <w:t>个中央、自治区、地区、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本级财力安排项目，已完成项目数量</w:t>
      </w:r>
      <w:r>
        <w:rPr>
          <w:rFonts w:hint="eastAsia" w:ascii="仿宋_GB2312" w:eastAsia="仿宋_GB2312"/>
          <w:color w:val="auto"/>
          <w:sz w:val="32"/>
          <w:szCs w:val="32"/>
          <w:lang w:val="en-US" w:eastAsia="zh-CN"/>
        </w:rPr>
        <w:t>18</w:t>
      </w:r>
      <w:r>
        <w:rPr>
          <w:rFonts w:hint="eastAsia" w:ascii="仿宋_GB2312" w:eastAsia="仿宋_GB2312"/>
          <w:color w:val="auto"/>
          <w:sz w:val="32"/>
          <w:szCs w:val="32"/>
        </w:rPr>
        <w:t>个、未完成项目数量</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个。202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本级财力安排项目预算及执行情况见下表：</w:t>
      </w:r>
    </w:p>
    <w:p>
      <w:pPr>
        <w:ind w:firstLine="420"/>
        <w:jc w:val="right"/>
        <w:rPr>
          <w:sz w:val="21"/>
          <w:szCs w:val="21"/>
        </w:rPr>
      </w:pPr>
      <w:r>
        <w:rPr>
          <w:rFonts w:hint="eastAsia"/>
          <w:sz w:val="21"/>
          <w:szCs w:val="21"/>
        </w:rPr>
        <w:t>单位：万元</w:t>
      </w:r>
    </w:p>
    <w:tbl>
      <w:tblPr>
        <w:tblStyle w:val="13"/>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tblPrEx>
          <w:tblLayout w:type="fixed"/>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85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both"/>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市政养护管理中心历年工程欠款</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185</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179.51</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97.03%</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202</w:t>
            </w:r>
            <w:r>
              <w:rPr>
                <w:rFonts w:hint="eastAsia" w:ascii="仿宋_GB2312" w:hAnsi="宋体" w:eastAsia="仿宋_GB2312" w:cs="宋体"/>
                <w:kern w:val="0"/>
                <w:sz w:val="21"/>
                <w:szCs w:val="21"/>
                <w:lang w:val="en-US" w:eastAsia="zh-CN"/>
              </w:rPr>
              <w:t>1</w:t>
            </w:r>
            <w:r>
              <w:rPr>
                <w:rFonts w:hint="eastAsia" w:ascii="仿宋_GB2312" w:hAnsi="宋体" w:eastAsia="仿宋_GB2312" w:cs="宋体"/>
                <w:kern w:val="0"/>
                <w:sz w:val="21"/>
                <w:szCs w:val="21"/>
              </w:rPr>
              <w:t>年春节氛围营造布展项目施工工程</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both"/>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中小企业欠款化解资金（第四批）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157.02</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157.02</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both"/>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中小企业欠款化解资金（第二批）（昌吉市城市基础设施维护工程项目第一标段）</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2021年全年城市基本运行维护费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eastAsia="zh-CN"/>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both"/>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中小企业欠款化解资金（第四批）（昌吉市华联建筑安装工程有限公司）</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both"/>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中小企业欠款化解资金（第二批）（昌吉市城市基础设施维护工程项目第一标段）</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both"/>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2022年“访惠聚”驻村（社区）工作经费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both"/>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2022年自治区“访惠聚”驻村工作专项经费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both"/>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2013年-2014年昌吉市城市基础设施维护项目</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中小企业欠款化解资金（第三批）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347.38</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347.37</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否</w:t>
            </w:r>
          </w:p>
        </w:tc>
      </w:tr>
      <w:tr>
        <w:tblPrEx>
          <w:tblLayout w:type="fixed"/>
          <w:tblCellMar>
            <w:top w:w="0" w:type="dxa"/>
            <w:left w:w="108" w:type="dxa"/>
            <w:bottom w:w="0" w:type="dxa"/>
            <w:right w:w="108" w:type="dxa"/>
          </w:tblCellMar>
        </w:tblPrEx>
        <w:trPr>
          <w:trHeight w:val="90"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中小企业欠款化解资金（第三批）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347.42</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347.41</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否</w:t>
            </w:r>
          </w:p>
        </w:tc>
      </w:tr>
      <w:tr>
        <w:tblPrEx>
          <w:tblLayout w:type="fixed"/>
          <w:tblCellMar>
            <w:top w:w="0" w:type="dxa"/>
            <w:left w:w="108" w:type="dxa"/>
            <w:bottom w:w="0" w:type="dxa"/>
            <w:right w:w="108" w:type="dxa"/>
          </w:tblCellMar>
        </w:tblPrEx>
        <w:trPr>
          <w:trHeight w:val="480"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both"/>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中小企业欠款化解资金（第一批）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72.16</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72.16</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中小企业欠款化解资金（第一批）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72.16</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72.16</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highlight w:val="yellow"/>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合计</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1404.14</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1398.63</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99.6%</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highlight w:val="yellow"/>
              </w:rPr>
            </w:pP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rPr>
            </w:pPr>
          </w:p>
        </w:tc>
      </w:tr>
    </w:tbl>
    <w:p>
      <w:pPr>
        <w:numPr>
          <w:ilvl w:val="0"/>
          <w:numId w:val="3"/>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10"/>
        <w:widowControl/>
        <w:spacing w:before="40" w:beforeAutospacing="0" w:after="0" w:afterAutospacing="0"/>
        <w:ind w:firstLine="640"/>
        <w:jc w:val="both"/>
        <w:rPr>
          <w:rFonts w:hint="eastAsia" w:ascii="仿宋_GB2312" w:eastAsia="仿宋_GB2312" w:cs="仿宋"/>
          <w:color w:val="FF0000"/>
          <w:sz w:val="32"/>
          <w:szCs w:val="32"/>
          <w:lang w:eastAsia="zh-CN"/>
        </w:rPr>
      </w:pP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年，预算</w:t>
      </w:r>
      <w:r>
        <w:rPr>
          <w:rFonts w:hint="eastAsia" w:ascii="仿宋_GB2312" w:eastAsia="仿宋_GB2312" w:cs="仿宋"/>
          <w:sz w:val="32"/>
          <w:szCs w:val="32"/>
          <w:lang w:eastAsia="zh-CN"/>
        </w:rPr>
        <w:t>未</w:t>
      </w:r>
      <w:r>
        <w:rPr>
          <w:rFonts w:hint="eastAsia" w:ascii="仿宋_GB2312" w:eastAsia="仿宋_GB2312" w:cs="仿宋"/>
          <w:sz w:val="32"/>
          <w:szCs w:val="32"/>
        </w:rPr>
        <w:t>安排专项资金</w:t>
      </w:r>
      <w:r>
        <w:rPr>
          <w:rFonts w:hint="eastAsia" w:ascii="仿宋_GB2312" w:eastAsia="仿宋_GB2312" w:cs="仿宋"/>
          <w:sz w:val="32"/>
          <w:szCs w:val="32"/>
          <w:lang w:eastAsia="zh-CN"/>
        </w:rPr>
        <w:t>。</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4"/>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4"/>
        <w:numPr>
          <w:ilvl w:val="0"/>
          <w:numId w:val="5"/>
        </w:numPr>
        <w:ind w:firstLine="640"/>
        <w:rPr>
          <w:rFonts w:ascii="楷体_GB2312" w:eastAsia="楷体_GB2312"/>
          <w:szCs w:val="32"/>
        </w:rPr>
      </w:pPr>
      <w:r>
        <w:rPr>
          <w:rFonts w:hint="eastAsia" w:ascii="楷体_GB2312" w:eastAsia="楷体_GB2312"/>
          <w:szCs w:val="32"/>
        </w:rPr>
        <w:t>专项管理情况分析</w:t>
      </w:r>
    </w:p>
    <w:p>
      <w:pPr>
        <w:ind w:firstLine="640"/>
        <w:rPr>
          <w:rFonts w:hint="eastAsia" w:ascii="仿宋_GB2312" w:eastAsia="仿宋_GB2312" w:cs="Times New Roman"/>
          <w:color w:val="auto"/>
          <w:sz w:val="32"/>
          <w:szCs w:val="32"/>
        </w:rPr>
      </w:pPr>
      <w:r>
        <w:rPr>
          <w:rFonts w:hint="eastAsia" w:ascii="仿宋_GB2312" w:eastAsia="仿宋_GB2312" w:cs="Times New Roman"/>
          <w:color w:val="auto"/>
          <w:sz w:val="32"/>
          <w:szCs w:val="32"/>
        </w:rPr>
        <w:t>202</w:t>
      </w:r>
      <w:r>
        <w:rPr>
          <w:rFonts w:hint="eastAsia" w:ascii="仿宋_GB2312" w:eastAsia="仿宋_GB2312" w:cs="Times New Roman"/>
          <w:color w:val="auto"/>
          <w:sz w:val="32"/>
          <w:szCs w:val="32"/>
          <w:lang w:val="en-US" w:eastAsia="zh-CN"/>
        </w:rPr>
        <w:t>2</w:t>
      </w:r>
      <w:r>
        <w:rPr>
          <w:rFonts w:hint="eastAsia" w:ascii="仿宋_GB2312" w:eastAsia="仿宋_GB2312" w:cs="Times New Roman"/>
          <w:color w:val="auto"/>
          <w:sz w:val="32"/>
          <w:szCs w:val="32"/>
        </w:rPr>
        <w:t>年本单位全年未安排中央及自治区专项资金支出项目。</w:t>
      </w:r>
    </w:p>
    <w:p>
      <w:pPr>
        <w:pStyle w:val="3"/>
        <w:ind w:firstLine="640"/>
        <w:rPr>
          <w:rFonts w:ascii="黑体" w:hAnsi="黑体"/>
          <w:b w:val="0"/>
          <w:sz w:val="32"/>
          <w:szCs w:val="32"/>
        </w:rPr>
      </w:pPr>
      <w:r>
        <w:rPr>
          <w:rFonts w:hint="eastAsia" w:ascii="黑体" w:hAnsi="黑体"/>
          <w:b w:val="0"/>
          <w:sz w:val="32"/>
          <w:szCs w:val="32"/>
        </w:rPr>
        <w:t>四、资产管理情况</w:t>
      </w:r>
    </w:p>
    <w:p>
      <w:pPr>
        <w:pStyle w:val="4"/>
        <w:numPr>
          <w:ilvl w:val="0"/>
          <w:numId w:val="6"/>
        </w:numPr>
        <w:ind w:firstLine="640"/>
        <w:rPr>
          <w:rFonts w:ascii="楷体_GB2312" w:eastAsia="楷体_GB2312"/>
          <w:szCs w:val="32"/>
        </w:rPr>
      </w:pPr>
      <w:r>
        <w:rPr>
          <w:rFonts w:hint="eastAsia" w:ascii="楷体_GB2312" w:eastAsia="楷体_GB2312"/>
          <w:szCs w:val="32"/>
        </w:rPr>
        <w:t>资产情况及固定资产利用情况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截止202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年12月31日，我单位资产账面总额为</w:t>
      </w:r>
      <w:r>
        <w:rPr>
          <w:rFonts w:hint="eastAsia" w:ascii="仿宋_GB2312" w:eastAsia="仿宋_GB2312"/>
          <w:color w:val="auto"/>
          <w:sz w:val="32"/>
          <w:szCs w:val="32"/>
          <w:highlight w:val="none"/>
          <w:lang w:val="en-US" w:eastAsia="zh-CN"/>
        </w:rPr>
        <w:t>5011.78</w:t>
      </w:r>
      <w:r>
        <w:rPr>
          <w:rFonts w:hint="eastAsia" w:ascii="仿宋_GB2312" w:eastAsia="仿宋_GB2312"/>
          <w:color w:val="auto"/>
          <w:sz w:val="32"/>
          <w:szCs w:val="32"/>
          <w:highlight w:val="none"/>
        </w:rPr>
        <w:t>万元，较年初资产总额</w:t>
      </w:r>
      <w:r>
        <w:rPr>
          <w:rFonts w:hint="eastAsia" w:ascii="仿宋_GB2312" w:eastAsia="仿宋_GB2312"/>
          <w:color w:val="auto"/>
          <w:sz w:val="32"/>
          <w:szCs w:val="32"/>
          <w:highlight w:val="none"/>
          <w:lang w:val="en-US" w:eastAsia="zh-CN"/>
        </w:rPr>
        <w:t>减少1850.78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下降26.97</w:t>
      </w:r>
      <w:r>
        <w:rPr>
          <w:rFonts w:hint="eastAsia" w:ascii="仿宋_GB2312" w:eastAsia="仿宋_GB2312"/>
          <w:color w:val="auto"/>
          <w:sz w:val="32"/>
          <w:szCs w:val="32"/>
          <w:highlight w:val="none"/>
        </w:rPr>
        <w:t>%，其中：</w:t>
      </w:r>
    </w:p>
    <w:p>
      <w:pPr>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年初，流动资产总额为</w:t>
      </w:r>
      <w:r>
        <w:rPr>
          <w:rFonts w:hint="eastAsia" w:ascii="仿宋_GB2312" w:eastAsia="仿宋_GB2312"/>
          <w:color w:val="auto"/>
          <w:sz w:val="32"/>
          <w:szCs w:val="32"/>
          <w:highlight w:val="none"/>
          <w:lang w:val="en-US" w:eastAsia="zh-CN"/>
        </w:rPr>
        <w:t>125.16</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124.89</w:t>
      </w:r>
      <w:r>
        <w:rPr>
          <w:rFonts w:hint="eastAsia" w:ascii="仿宋_GB2312" w:eastAsia="仿宋_GB2312"/>
          <w:color w:val="auto"/>
          <w:sz w:val="32"/>
          <w:szCs w:val="32"/>
          <w:highlight w:val="none"/>
        </w:rPr>
        <w:t>万元，较年初流动资产减少</w:t>
      </w:r>
      <w:r>
        <w:rPr>
          <w:rFonts w:hint="eastAsia" w:ascii="仿宋_GB2312" w:eastAsia="仿宋_GB2312"/>
          <w:color w:val="auto"/>
          <w:sz w:val="32"/>
          <w:szCs w:val="32"/>
          <w:highlight w:val="none"/>
          <w:lang w:val="en-US" w:eastAsia="zh-CN"/>
        </w:rPr>
        <w:t>0.27</w:t>
      </w:r>
      <w:r>
        <w:rPr>
          <w:rFonts w:hint="eastAsia" w:ascii="仿宋_GB2312" w:eastAsia="仿宋_GB2312"/>
          <w:color w:val="auto"/>
          <w:sz w:val="32"/>
          <w:szCs w:val="32"/>
          <w:highlight w:val="none"/>
        </w:rPr>
        <w:t>万元，下降</w:t>
      </w:r>
      <w:r>
        <w:rPr>
          <w:rFonts w:hint="eastAsia" w:ascii="仿宋_GB2312" w:eastAsia="仿宋_GB2312"/>
          <w:color w:val="auto"/>
          <w:sz w:val="32"/>
          <w:szCs w:val="32"/>
          <w:highlight w:val="none"/>
          <w:lang w:val="en-US" w:eastAsia="zh-CN"/>
        </w:rPr>
        <w:t>0.22</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银行存款减少</w:t>
      </w:r>
      <w:r>
        <w:rPr>
          <w:rFonts w:hint="eastAsia" w:ascii="仿宋_GB2312" w:eastAsia="仿宋_GB2312"/>
          <w:color w:val="auto"/>
          <w:sz w:val="32"/>
          <w:szCs w:val="32"/>
          <w:highlight w:val="none"/>
          <w:lang w:eastAsia="zh-CN"/>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年初，固定资产总额为</w:t>
      </w:r>
      <w:r>
        <w:rPr>
          <w:rFonts w:hint="eastAsia" w:ascii="仿宋_GB2312" w:eastAsia="仿宋_GB2312"/>
          <w:color w:val="auto"/>
          <w:sz w:val="32"/>
          <w:szCs w:val="32"/>
          <w:highlight w:val="none"/>
          <w:lang w:val="en-US" w:eastAsia="zh-CN"/>
        </w:rPr>
        <w:t>6773.05</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6774.16</w:t>
      </w:r>
      <w:r>
        <w:rPr>
          <w:rFonts w:hint="eastAsia" w:ascii="仿宋_GB2312" w:eastAsia="仿宋_GB2312"/>
          <w:color w:val="auto"/>
          <w:sz w:val="32"/>
          <w:szCs w:val="32"/>
          <w:highlight w:val="none"/>
        </w:rPr>
        <w:t>万元，较年初固定资产</w:t>
      </w:r>
      <w:r>
        <w:rPr>
          <w:rFonts w:hint="eastAsia" w:ascii="仿宋_GB2312" w:eastAsia="仿宋_GB2312"/>
          <w:color w:val="auto"/>
          <w:sz w:val="32"/>
          <w:szCs w:val="32"/>
          <w:highlight w:val="none"/>
          <w:lang w:val="en-US" w:eastAsia="zh-CN"/>
        </w:rPr>
        <w:t>增加1.11</w:t>
      </w:r>
      <w:r>
        <w:rPr>
          <w:rFonts w:hint="eastAsia" w:ascii="仿宋_GB2312" w:eastAsia="仿宋_GB2312"/>
          <w:color w:val="auto"/>
          <w:sz w:val="32"/>
          <w:szCs w:val="32"/>
          <w:highlight w:val="none"/>
        </w:rPr>
        <w:t>万元，增长</w:t>
      </w:r>
      <w:r>
        <w:rPr>
          <w:rFonts w:hint="eastAsia" w:ascii="仿宋_GB2312" w:eastAsia="仿宋_GB2312"/>
          <w:color w:val="auto"/>
          <w:sz w:val="32"/>
          <w:szCs w:val="32"/>
          <w:highlight w:val="none"/>
          <w:lang w:val="en-US" w:eastAsia="zh-CN"/>
        </w:rPr>
        <w:t>0.02</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eastAsia="zh-CN"/>
        </w:rPr>
        <w:t>新增</w:t>
      </w:r>
      <w:r>
        <w:rPr>
          <w:rFonts w:hint="eastAsia" w:ascii="仿宋_GB2312" w:eastAsia="仿宋_GB2312"/>
          <w:color w:val="auto"/>
          <w:sz w:val="32"/>
          <w:szCs w:val="32"/>
          <w:highlight w:val="none"/>
          <w:lang w:val="en-US" w:eastAsia="zh-CN"/>
        </w:rPr>
        <w:t>办公用</w:t>
      </w:r>
      <w:r>
        <w:rPr>
          <w:rFonts w:hint="eastAsia" w:ascii="仿宋_GB2312" w:eastAsia="仿宋_GB2312"/>
          <w:color w:val="auto"/>
          <w:sz w:val="32"/>
          <w:szCs w:val="32"/>
          <w:highlight w:val="none"/>
          <w:lang w:eastAsia="zh-CN"/>
        </w:rPr>
        <w:t>固定资产</w:t>
      </w:r>
      <w:r>
        <w:rPr>
          <w:rFonts w:hint="eastAsia" w:ascii="仿宋_GB2312" w:eastAsia="仿宋_GB2312"/>
          <w:color w:val="auto"/>
          <w:sz w:val="32"/>
          <w:szCs w:val="32"/>
          <w:highlight w:val="none"/>
        </w:rPr>
        <w:t>。</w:t>
      </w:r>
    </w:p>
    <w:p>
      <w:pPr>
        <w:pStyle w:val="4"/>
        <w:numPr>
          <w:ilvl w:val="0"/>
          <w:numId w:val="6"/>
        </w:numPr>
        <w:ind w:firstLine="640"/>
        <w:rPr>
          <w:rFonts w:ascii="楷体_GB2312" w:eastAsia="楷体_GB2312"/>
          <w:szCs w:val="32"/>
        </w:rPr>
      </w:pPr>
      <w:r>
        <w:rPr>
          <w:rFonts w:hint="eastAsia" w:ascii="楷体_GB2312" w:eastAsia="楷体_GB2312"/>
          <w:szCs w:val="32"/>
        </w:rPr>
        <w:t>资产管理规范性分析</w:t>
      </w:r>
    </w:p>
    <w:p>
      <w:pPr>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pPr>
        <w:pStyle w:val="10"/>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10"/>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ascii="仿宋_GB2312" w:eastAsia="仿宋_GB2312"/>
          <w:bCs/>
          <w:color w:val="000000" w:themeColor="text1"/>
          <w:spacing w:val="-4"/>
          <w:sz w:val="32"/>
          <w:szCs w:val="32"/>
          <w14:textFill>
            <w14:solidFill>
              <w14:schemeClr w14:val="tx1"/>
            </w14:solidFill>
          </w14:textFill>
        </w:rPr>
      </w:pPr>
      <w:r>
        <w:rPr>
          <w:rFonts w:hint="eastAsia" w:ascii="仿宋_GB2312" w:eastAsia="仿宋_GB2312"/>
          <w:bCs/>
          <w:color w:val="000000" w:themeColor="text1"/>
          <w:spacing w:val="-4"/>
          <w:sz w:val="32"/>
          <w:szCs w:val="32"/>
          <w14:textFill>
            <w14:solidFill>
              <w14:schemeClr w14:val="tx1"/>
            </w14:solidFill>
          </w14:textFill>
        </w:rPr>
        <w:t>202</w:t>
      </w:r>
      <w:r>
        <w:rPr>
          <w:rFonts w:hint="eastAsia" w:ascii="仿宋_GB2312" w:eastAsia="仿宋_GB2312"/>
          <w:bCs/>
          <w:color w:val="000000" w:themeColor="text1"/>
          <w:spacing w:val="-4"/>
          <w:sz w:val="32"/>
          <w:szCs w:val="32"/>
          <w:lang w:val="en-US" w:eastAsia="zh-CN"/>
          <w14:textFill>
            <w14:solidFill>
              <w14:schemeClr w14:val="tx1"/>
            </w14:solidFill>
          </w14:textFill>
        </w:rPr>
        <w:t>2</w:t>
      </w:r>
      <w:r>
        <w:rPr>
          <w:rFonts w:hint="eastAsia" w:ascii="仿宋_GB2312" w:eastAsia="仿宋_GB2312"/>
          <w:bCs/>
          <w:color w:val="000000" w:themeColor="text1"/>
          <w:spacing w:val="-4"/>
          <w:sz w:val="32"/>
          <w:szCs w:val="32"/>
          <w14:textFill>
            <w14:solidFill>
              <w14:schemeClr w14:val="tx1"/>
            </w14:solidFill>
          </w14:textFill>
        </w:rPr>
        <w:t>年度，</w:t>
      </w:r>
      <w:r>
        <w:rPr>
          <w:rFonts w:hint="eastAsia" w:ascii="仿宋_GB2312" w:eastAsia="仿宋_GB2312"/>
          <w:color w:val="000000" w:themeColor="text1"/>
          <w:sz w:val="32"/>
          <w:szCs w:val="32"/>
          <w:lang w:eastAsia="zh-CN"/>
          <w14:textFill>
            <w14:solidFill>
              <w14:schemeClr w14:val="tx1"/>
            </w14:solidFill>
          </w14:textFill>
        </w:rPr>
        <w:t>昌吉市市政养护管理中心</w:t>
      </w:r>
      <w:r>
        <w:rPr>
          <w:rFonts w:hint="eastAsia" w:ascii="仿宋_GB2312" w:eastAsia="仿宋_GB2312"/>
          <w:bCs/>
          <w:color w:val="000000" w:themeColor="text1"/>
          <w:spacing w:val="-4"/>
          <w:sz w:val="32"/>
          <w:szCs w:val="32"/>
          <w14:textFill>
            <w14:solidFill>
              <w14:schemeClr w14:val="tx1"/>
            </w14:solidFill>
          </w14:textFill>
        </w:rPr>
        <w:t>部门单位整体支出绩效目标共设置一级指标3个，二级指标</w:t>
      </w:r>
      <w:r>
        <w:rPr>
          <w:rFonts w:hint="eastAsia" w:ascii="仿宋_GB2312" w:eastAsia="仿宋_GB2312"/>
          <w:bCs/>
          <w:color w:val="000000" w:themeColor="text1"/>
          <w:spacing w:val="-4"/>
          <w:sz w:val="32"/>
          <w:szCs w:val="32"/>
          <w:lang w:val="en-US" w:eastAsia="zh-CN"/>
          <w14:textFill>
            <w14:solidFill>
              <w14:schemeClr w14:val="tx1"/>
            </w14:solidFill>
          </w14:textFill>
        </w:rPr>
        <w:t>7</w:t>
      </w:r>
      <w:r>
        <w:rPr>
          <w:rFonts w:hint="eastAsia" w:ascii="仿宋_GB2312" w:eastAsia="仿宋_GB2312"/>
          <w:bCs/>
          <w:color w:val="000000" w:themeColor="text1"/>
          <w:spacing w:val="-4"/>
          <w:sz w:val="32"/>
          <w:szCs w:val="32"/>
          <w14:textFill>
            <w14:solidFill>
              <w14:schemeClr w14:val="tx1"/>
            </w14:solidFill>
          </w14:textFill>
        </w:rPr>
        <w:t>个，三级指标</w:t>
      </w:r>
      <w:r>
        <w:rPr>
          <w:rFonts w:hint="eastAsia" w:ascii="仿宋_GB2312" w:eastAsia="仿宋_GB2312"/>
          <w:bCs/>
          <w:color w:val="000000" w:themeColor="text1"/>
          <w:spacing w:val="-4"/>
          <w:sz w:val="32"/>
          <w:szCs w:val="32"/>
          <w:lang w:val="en-US" w:eastAsia="zh-CN"/>
          <w14:textFill>
            <w14:solidFill>
              <w14:schemeClr w14:val="tx1"/>
            </w14:solidFill>
          </w14:textFill>
        </w:rPr>
        <w:t>13</w:t>
      </w:r>
      <w:r>
        <w:rPr>
          <w:rFonts w:hint="eastAsia" w:ascii="仿宋_GB2312" w:eastAsia="仿宋_GB2312"/>
          <w:bCs/>
          <w:color w:val="000000" w:themeColor="text1"/>
          <w:spacing w:val="-4"/>
          <w:sz w:val="32"/>
          <w:szCs w:val="32"/>
          <w14:textFill>
            <w14:solidFill>
              <w14:schemeClr w14:val="tx1"/>
            </w14:solidFill>
          </w14:textFill>
        </w:rPr>
        <w:t>个，其中：已完成三级指标</w:t>
      </w:r>
      <w:r>
        <w:rPr>
          <w:rFonts w:hint="eastAsia" w:ascii="仿宋_GB2312" w:eastAsia="仿宋_GB2312"/>
          <w:bCs/>
          <w:color w:val="000000" w:themeColor="text1"/>
          <w:spacing w:val="-4"/>
          <w:sz w:val="32"/>
          <w:szCs w:val="32"/>
          <w:lang w:val="en-US" w:eastAsia="zh-CN"/>
          <w14:textFill>
            <w14:solidFill>
              <w14:schemeClr w14:val="tx1"/>
            </w14:solidFill>
          </w14:textFill>
        </w:rPr>
        <w:t>13</w:t>
      </w:r>
      <w:r>
        <w:rPr>
          <w:rFonts w:hint="eastAsia" w:ascii="仿宋_GB2312" w:eastAsia="仿宋_GB2312"/>
          <w:bCs/>
          <w:color w:val="000000" w:themeColor="text1"/>
          <w:spacing w:val="-4"/>
          <w:sz w:val="32"/>
          <w:szCs w:val="32"/>
          <w14:textFill>
            <w14:solidFill>
              <w14:schemeClr w14:val="tx1"/>
            </w14:solidFill>
          </w14:textFill>
        </w:rPr>
        <w:t>个，指标完成率为</w:t>
      </w:r>
      <w:r>
        <w:rPr>
          <w:rFonts w:hint="eastAsia" w:ascii="仿宋_GB2312" w:eastAsia="仿宋_GB2312"/>
          <w:bCs/>
          <w:color w:val="000000" w:themeColor="text1"/>
          <w:spacing w:val="-4"/>
          <w:sz w:val="32"/>
          <w:szCs w:val="32"/>
          <w:lang w:val="en-US" w:eastAsia="zh-CN"/>
          <w14:textFill>
            <w14:solidFill>
              <w14:schemeClr w14:val="tx1"/>
            </w14:solidFill>
          </w14:textFill>
        </w:rPr>
        <w:t>100</w:t>
      </w:r>
      <w:r>
        <w:rPr>
          <w:rFonts w:hint="eastAsia" w:ascii="仿宋_GB2312" w:eastAsia="仿宋_GB2312"/>
          <w:bCs/>
          <w:color w:val="000000" w:themeColor="text1"/>
          <w:spacing w:val="-4"/>
          <w:sz w:val="32"/>
          <w:szCs w:val="32"/>
          <w14:textFill>
            <w14:solidFill>
              <w14:schemeClr w14:val="tx1"/>
            </w14:solidFill>
          </w14:textFill>
        </w:rPr>
        <w:t>%。</w:t>
      </w:r>
    </w:p>
    <w:p>
      <w:pPr>
        <w:pStyle w:val="5"/>
        <w:ind w:firstLine="640"/>
        <w:rPr>
          <w:color w:val="000000" w:themeColor="text1"/>
          <w:sz w:val="32"/>
          <w14:textFill>
            <w14:solidFill>
              <w14:schemeClr w14:val="tx1"/>
            </w14:solidFill>
          </w14:textFill>
        </w:rPr>
      </w:pPr>
      <w:r>
        <w:rPr>
          <w:rFonts w:hint="eastAsia"/>
          <w:color w:val="000000" w:themeColor="text1"/>
          <w:sz w:val="32"/>
          <w14:textFill>
            <w14:solidFill>
              <w14:schemeClr w14:val="tx1"/>
            </w14:solidFill>
          </w14:textFill>
        </w:rPr>
        <w:t>1.产出指标完成情况分析</w:t>
      </w:r>
    </w:p>
    <w:p>
      <w:pPr>
        <w:ind w:firstLine="640"/>
        <w:rPr>
          <w:rFonts w:ascii="仿宋_GB2312" w:eastAsia="仿宋_GB2312"/>
          <w:sz w:val="32"/>
          <w:szCs w:val="32"/>
        </w:rPr>
      </w:pPr>
      <w:r>
        <w:rPr>
          <w:rFonts w:hint="eastAsia" w:ascii="仿宋_GB2312" w:eastAsia="仿宋_GB2312"/>
          <w:sz w:val="32"/>
          <w:szCs w:val="32"/>
        </w:rPr>
        <w:t>（1）数量指标</w:t>
      </w:r>
    </w:p>
    <w:p>
      <w:pPr>
        <w:ind w:firstLine="64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“房屋建筑物供暖面积”指标：预期指标值为“</w:t>
      </w:r>
      <w:r>
        <w:rPr>
          <w:rFonts w:hint="eastAsia" w:ascii="仿宋_GB2312" w:eastAsia="仿宋_GB2312"/>
          <w:color w:val="000000" w:themeColor="text1"/>
          <w:sz w:val="32"/>
          <w:szCs w:val="32"/>
          <w:lang w:val="en-US" w:eastAsia="zh-CN"/>
          <w14:textFill>
            <w14:solidFill>
              <w14:schemeClr w14:val="tx1"/>
            </w14:solidFill>
          </w14:textFill>
        </w:rPr>
        <w:t>=859平方</w:t>
      </w:r>
      <w:r>
        <w:rPr>
          <w:rFonts w:hint="eastAsia" w:ascii="仿宋_GB2312" w:eastAsia="仿宋_GB2312"/>
          <w:color w:val="000000" w:themeColor="text1"/>
          <w:sz w:val="32"/>
          <w:szCs w:val="32"/>
          <w14:textFill>
            <w14:solidFill>
              <w14:schemeClr w14:val="tx1"/>
            </w14:solidFill>
          </w14:textFill>
        </w:rPr>
        <w:t>”，实际完成指标值为“</w:t>
      </w:r>
      <w:r>
        <w:rPr>
          <w:rFonts w:hint="eastAsia" w:ascii="仿宋_GB2312" w:eastAsia="仿宋_GB2312"/>
          <w:color w:val="000000" w:themeColor="text1"/>
          <w:sz w:val="32"/>
          <w:szCs w:val="32"/>
          <w:lang w:val="en-US" w:eastAsia="zh-CN"/>
          <w14:textFill>
            <w14:solidFill>
              <w14:schemeClr w14:val="tx1"/>
            </w14:solidFill>
          </w14:textFill>
        </w:rPr>
        <w:t>859平方米</w:t>
      </w:r>
      <w:r>
        <w:rPr>
          <w:rFonts w:hint="eastAsia" w:ascii="仿宋_GB2312" w:eastAsia="仿宋_GB2312"/>
          <w:color w:val="000000" w:themeColor="text1"/>
          <w:sz w:val="32"/>
          <w:szCs w:val="32"/>
          <w14:textFill>
            <w14:solidFill>
              <w14:schemeClr w14:val="tx1"/>
            </w14:solidFill>
          </w14:textFill>
        </w:rPr>
        <w:t>”，指标完成率为</w:t>
      </w:r>
      <w:r>
        <w:rPr>
          <w:rFonts w:hint="eastAsia" w:ascii="仿宋_GB2312" w:eastAsia="仿宋_GB2312"/>
          <w:bCs/>
          <w:color w:val="000000" w:themeColor="text1"/>
          <w:spacing w:val="-4"/>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w:t>
      </w:r>
    </w:p>
    <w:p>
      <w:pPr>
        <w:ind w:firstLine="64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“公务保障用车数量”指标：预期指标值为“≥</w:t>
      </w:r>
      <w:r>
        <w:rPr>
          <w:rFonts w:hint="eastAsia" w:ascii="仿宋_GB2312" w:eastAsia="仿宋_GB2312"/>
          <w:color w:val="000000" w:themeColor="text1"/>
          <w:sz w:val="32"/>
          <w:szCs w:val="32"/>
          <w:lang w:val="en-US" w:eastAsia="zh-CN"/>
          <w14:textFill>
            <w14:solidFill>
              <w14:schemeClr w14:val="tx1"/>
            </w14:solidFill>
          </w14:textFill>
        </w:rPr>
        <w:t>1辆</w:t>
      </w:r>
      <w:r>
        <w:rPr>
          <w:rFonts w:hint="eastAsia" w:ascii="仿宋_GB2312" w:eastAsia="仿宋_GB2312"/>
          <w:color w:val="000000" w:themeColor="text1"/>
          <w:sz w:val="32"/>
          <w:szCs w:val="32"/>
          <w14:textFill>
            <w14:solidFill>
              <w14:schemeClr w14:val="tx1"/>
            </w14:solidFill>
          </w14:textFill>
        </w:rPr>
        <w:t>”，实际完成指标值为“</w:t>
      </w:r>
      <w:r>
        <w:rPr>
          <w:rFonts w:hint="eastAsia" w:ascii="仿宋_GB2312" w:eastAsia="仿宋_GB2312"/>
          <w:color w:val="000000" w:themeColor="text1"/>
          <w:sz w:val="32"/>
          <w:szCs w:val="32"/>
          <w:lang w:val="en-US" w:eastAsia="zh-CN"/>
          <w14:textFill>
            <w14:solidFill>
              <w14:schemeClr w14:val="tx1"/>
            </w14:solidFill>
          </w14:textFill>
        </w:rPr>
        <w:t>1辆</w:t>
      </w:r>
      <w:r>
        <w:rPr>
          <w:rFonts w:hint="eastAsia" w:ascii="仿宋_GB2312" w:eastAsia="仿宋_GB2312"/>
          <w:color w:val="000000" w:themeColor="text1"/>
          <w:sz w:val="32"/>
          <w:szCs w:val="32"/>
          <w14:textFill>
            <w14:solidFill>
              <w14:schemeClr w14:val="tx1"/>
            </w14:solidFill>
          </w14:textFill>
        </w:rPr>
        <w:t>”，指标完成率为</w:t>
      </w:r>
      <w:r>
        <w:rPr>
          <w:rFonts w:hint="eastAsia" w:ascii="仿宋_GB2312" w:eastAsia="仿宋_GB2312"/>
          <w:bCs/>
          <w:color w:val="000000" w:themeColor="text1"/>
          <w:spacing w:val="-4"/>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w:t>
      </w:r>
    </w:p>
    <w:p>
      <w:pPr>
        <w:ind w:firstLine="64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保障办公人员数量</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指标：预期指标值为“≥</w:t>
      </w:r>
      <w:r>
        <w:rPr>
          <w:rFonts w:hint="eastAsia" w:ascii="仿宋_GB2312" w:eastAsia="仿宋_GB2312"/>
          <w:color w:val="000000" w:themeColor="text1"/>
          <w:sz w:val="32"/>
          <w:szCs w:val="32"/>
          <w:lang w:val="en-US" w:eastAsia="zh-CN"/>
          <w14:textFill>
            <w14:solidFill>
              <w14:schemeClr w14:val="tx1"/>
            </w14:solidFill>
          </w14:textFill>
        </w:rPr>
        <w:t>42人</w:t>
      </w:r>
      <w:r>
        <w:rPr>
          <w:rFonts w:hint="eastAsia" w:ascii="仿宋_GB2312" w:eastAsia="仿宋_GB2312"/>
          <w:color w:val="000000" w:themeColor="text1"/>
          <w:sz w:val="32"/>
          <w:szCs w:val="32"/>
          <w14:textFill>
            <w14:solidFill>
              <w14:schemeClr w14:val="tx1"/>
            </w14:solidFill>
          </w14:textFill>
        </w:rPr>
        <w:t>”，实际完成指标值为“</w:t>
      </w:r>
      <w:r>
        <w:rPr>
          <w:rFonts w:hint="eastAsia" w:ascii="仿宋_GB2312" w:eastAsia="仿宋_GB2312"/>
          <w:color w:val="000000" w:themeColor="text1"/>
          <w:sz w:val="32"/>
          <w:szCs w:val="32"/>
          <w:lang w:val="en-US" w:eastAsia="zh-CN"/>
          <w14:textFill>
            <w14:solidFill>
              <w14:schemeClr w14:val="tx1"/>
            </w14:solidFill>
          </w14:textFill>
        </w:rPr>
        <w:t>42人</w:t>
      </w:r>
      <w:r>
        <w:rPr>
          <w:rFonts w:hint="eastAsia" w:ascii="仿宋_GB2312" w:eastAsia="仿宋_GB2312"/>
          <w:color w:val="000000" w:themeColor="text1"/>
          <w:sz w:val="32"/>
          <w:szCs w:val="32"/>
          <w14:textFill>
            <w14:solidFill>
              <w14:schemeClr w14:val="tx1"/>
            </w14:solidFill>
          </w14:textFill>
        </w:rPr>
        <w:t>”，指标完成率为</w:t>
      </w:r>
      <w:r>
        <w:rPr>
          <w:rFonts w:hint="eastAsia" w:ascii="仿宋_GB2312" w:eastAsia="仿宋_GB2312"/>
          <w:bCs/>
          <w:color w:val="000000" w:themeColor="text1"/>
          <w:spacing w:val="-4"/>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w:t>
      </w:r>
    </w:p>
    <w:p>
      <w:pPr>
        <w:pStyle w:val="2"/>
        <w:jc w:val="both"/>
      </w:pPr>
    </w:p>
    <w:p>
      <w:pPr>
        <w:numPr>
          <w:ilvl w:val="0"/>
          <w:numId w:val="8"/>
        </w:numPr>
        <w:ind w:firstLine="640"/>
        <w:rPr>
          <w:rFonts w:ascii="仿宋_GB2312" w:eastAsia="仿宋_GB2312"/>
          <w:sz w:val="32"/>
          <w:szCs w:val="32"/>
        </w:rPr>
      </w:pPr>
      <w:r>
        <w:rPr>
          <w:rFonts w:hint="eastAsia" w:ascii="仿宋_GB2312" w:eastAsia="仿宋_GB2312"/>
          <w:sz w:val="32"/>
          <w:szCs w:val="32"/>
        </w:rPr>
        <w:t>质量指标</w:t>
      </w:r>
    </w:p>
    <w:p>
      <w:pPr>
        <w:ind w:firstLine="64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“资金使用合规率”指标：预期指标值为“</w:t>
      </w:r>
      <w:r>
        <w:rPr>
          <w:rFonts w:hint="eastAsia" w:ascii="仿宋_GB2312" w:eastAsia="仿宋_GB2312"/>
          <w:color w:val="000000" w:themeColor="text1"/>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”，实际完成指标值为“</w:t>
      </w:r>
      <w:r>
        <w:rPr>
          <w:rFonts w:hint="eastAsia" w:ascii="仿宋_GB2312" w:eastAsia="仿宋_GB2312"/>
          <w:color w:val="000000" w:themeColor="text1"/>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”，指标完成率为</w:t>
      </w:r>
      <w:r>
        <w:rPr>
          <w:rFonts w:hint="eastAsia" w:ascii="仿宋_GB2312" w:eastAsia="仿宋_GB2312"/>
          <w:bCs/>
          <w:color w:val="000000" w:themeColor="text1"/>
          <w:spacing w:val="-4"/>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w:t>
      </w:r>
    </w:p>
    <w:p>
      <w:pPr>
        <w:numPr>
          <w:ilvl w:val="0"/>
          <w:numId w:val="8"/>
        </w:numPr>
        <w:ind w:firstLine="640"/>
        <w:rPr>
          <w:rFonts w:ascii="仿宋_GB2312" w:eastAsia="仿宋_GB2312"/>
          <w:sz w:val="32"/>
          <w:szCs w:val="32"/>
        </w:rPr>
      </w:pPr>
      <w:r>
        <w:rPr>
          <w:rFonts w:hint="eastAsia" w:ascii="仿宋_GB2312" w:eastAsia="仿宋_GB2312"/>
          <w:sz w:val="32"/>
          <w:szCs w:val="32"/>
        </w:rPr>
        <w:t>时效指标</w:t>
      </w:r>
    </w:p>
    <w:p>
      <w:pPr>
        <w:ind w:firstLine="640"/>
        <w:rPr>
          <w:rFonts w:hint="eastAsia" w:ascii="仿宋_GB2312" w:eastAsia="仿宋_GB2312"/>
          <w:color w:val="auto"/>
          <w:sz w:val="32"/>
          <w:szCs w:val="32"/>
        </w:rPr>
      </w:pP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项目完成时间</w:t>
      </w:r>
      <w:r>
        <w:rPr>
          <w:rFonts w:hint="eastAsia" w:ascii="仿宋_GB2312" w:eastAsia="仿宋_GB2312"/>
          <w:color w:val="000000" w:themeColor="text1"/>
          <w:sz w:val="32"/>
          <w:szCs w:val="32"/>
          <w14:textFill>
            <w14:solidFill>
              <w14:schemeClr w14:val="tx1"/>
            </w14:solidFill>
          </w14:textFill>
        </w:rPr>
        <w:t>”指标：预期指标值为“</w:t>
      </w:r>
      <w:r>
        <w:rPr>
          <w:rFonts w:hint="eastAsia" w:ascii="仿宋_GB2312" w:eastAsia="仿宋_GB2312"/>
          <w:color w:val="000000" w:themeColor="text1"/>
          <w:sz w:val="32"/>
          <w:szCs w:val="32"/>
          <w:lang w:val="en-US" w:eastAsia="zh-CN"/>
          <w14:textFill>
            <w14:solidFill>
              <w14:schemeClr w14:val="tx1"/>
            </w14:solidFill>
          </w14:textFill>
        </w:rPr>
        <w:t>2022年1月至2022年12月</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2022年1月至2022年12月</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pStyle w:val="2"/>
        <w:jc w:val="both"/>
      </w:pPr>
      <w:r>
        <w:rPr>
          <w:rFonts w:hint="eastAsia" w:ascii="仿宋_GB2312" w:eastAsia="仿宋_GB2312"/>
          <w:color w:val="000000" w:themeColor="text1"/>
          <w:sz w:val="32"/>
          <w:szCs w:val="32"/>
          <w14:textFill>
            <w14:solidFill>
              <w14:schemeClr w14:val="tx1"/>
            </w14:solidFill>
          </w14:textFill>
        </w:rPr>
        <w:t>“公用经费支付及时率”指标：预期指标值为“</w:t>
      </w:r>
      <w:r>
        <w:rPr>
          <w:rFonts w:hint="eastAsia" w:ascii="仿宋_GB2312" w:eastAsia="仿宋_GB2312"/>
          <w:color w:val="000000" w:themeColor="text1"/>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成本指标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“人员经费成本”指标：预期指标值为“</w:t>
      </w:r>
      <w:r>
        <w:rPr>
          <w:rFonts w:hint="eastAsia" w:ascii="仿宋_GB2312" w:eastAsia="仿宋_GB2312"/>
          <w:color w:val="auto"/>
          <w:sz w:val="32"/>
          <w:szCs w:val="32"/>
          <w:highlight w:val="none"/>
          <w:lang w:val="en-US" w:eastAsia="zh-CN"/>
        </w:rPr>
        <w:t>=692.58万元</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692.58万元</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“公用经费成本”指标：预期指标值为“</w:t>
      </w:r>
      <w:r>
        <w:rPr>
          <w:rFonts w:hint="eastAsia" w:ascii="仿宋_GB2312" w:eastAsia="仿宋_GB2312"/>
          <w:color w:val="auto"/>
          <w:sz w:val="32"/>
          <w:szCs w:val="32"/>
          <w:highlight w:val="none"/>
          <w:lang w:val="en-US" w:eastAsia="zh-CN"/>
        </w:rPr>
        <w:t>=38.09万元</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38.09万元</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项目经费</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=30.00万元</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30万元”</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rPr>
          <w:rFonts w:hint="eastAsia"/>
        </w:rPr>
      </w:pPr>
    </w:p>
    <w:p>
      <w:pPr>
        <w:rPr>
          <w:rFonts w:hint="eastAsia"/>
        </w:rPr>
      </w:pPr>
    </w:p>
    <w:p/>
    <w:p>
      <w:pPr>
        <w:pStyle w:val="5"/>
        <w:ind w:firstLine="640"/>
        <w:rPr>
          <w:color w:val="auto"/>
          <w:sz w:val="32"/>
        </w:rPr>
      </w:pPr>
      <w:r>
        <w:rPr>
          <w:rFonts w:hint="eastAsia"/>
          <w:color w:val="auto"/>
          <w:sz w:val="32"/>
        </w:rPr>
        <w:t>2.效益指标完成情况分析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（1）经济效益</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无此项指标</w:t>
      </w:r>
    </w:p>
    <w:p>
      <w:pPr>
        <w:ind w:firstLine="640"/>
        <w:rPr>
          <w:rFonts w:ascii="仿宋_GB2312" w:eastAsia="仿宋_GB2312"/>
          <w:sz w:val="32"/>
          <w:szCs w:val="32"/>
        </w:rPr>
      </w:pPr>
      <w:r>
        <w:rPr>
          <w:rFonts w:hint="eastAsia" w:ascii="仿宋_GB2312" w:eastAsia="仿宋_GB2312"/>
          <w:sz w:val="32"/>
          <w:szCs w:val="32"/>
        </w:rPr>
        <w:t>（2）社会效益</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提高市政设施管理能力</w:t>
      </w:r>
      <w:r>
        <w:rPr>
          <w:rFonts w:hint="eastAsia" w:ascii="仿宋_GB2312" w:eastAsia="仿宋_GB2312"/>
          <w:color w:val="000000" w:themeColor="text1"/>
          <w:sz w:val="32"/>
          <w:szCs w:val="32"/>
          <w14:textFill>
            <w14:solidFill>
              <w14:schemeClr w14:val="tx1"/>
            </w14:solidFill>
          </w14:textFill>
        </w:rPr>
        <w:t>”指标：预期指标值为“</w:t>
      </w:r>
      <w:r>
        <w:rPr>
          <w:rFonts w:hint="eastAsia" w:ascii="仿宋_GB2312" w:eastAsia="仿宋_GB2312"/>
          <w:color w:val="000000" w:themeColor="text1"/>
          <w:sz w:val="32"/>
          <w:szCs w:val="32"/>
          <w:lang w:eastAsia="zh-CN"/>
          <w14:textFill>
            <w14:solidFill>
              <w14:schemeClr w14:val="tx1"/>
            </w14:solidFill>
          </w14:textFill>
        </w:rPr>
        <w:t>逐步提升</w:t>
      </w:r>
      <w:r>
        <w:rPr>
          <w:rFonts w:hint="eastAsia" w:ascii="仿宋_GB2312" w:eastAsia="仿宋_GB2312"/>
          <w:color w:val="000000" w:themeColor="text1"/>
          <w:sz w:val="32"/>
          <w:szCs w:val="32"/>
          <w14:textFill>
            <w14:solidFill>
              <w14:schemeClr w14:val="tx1"/>
            </w14:solidFill>
          </w14:textFill>
        </w:rPr>
        <w:t>”，实际完成指标值为“</w:t>
      </w:r>
      <w:r>
        <w:rPr>
          <w:rFonts w:hint="eastAsia" w:ascii="仿宋_GB2312" w:eastAsia="仿宋_GB2312"/>
          <w:color w:val="000000" w:themeColor="text1"/>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”，指标完成率为</w:t>
      </w:r>
      <w:r>
        <w:rPr>
          <w:rFonts w:hint="eastAsia" w:ascii="仿宋_GB2312" w:eastAsia="仿宋_GB2312"/>
          <w:bCs/>
          <w:color w:val="000000" w:themeColor="text1"/>
          <w:spacing w:val="-4"/>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w:t>
      </w:r>
    </w:p>
    <w:p>
      <w:pPr>
        <w:ind w:firstLine="640"/>
        <w:rPr>
          <w:rFonts w:ascii="仿宋_GB2312" w:eastAsia="仿宋_GB2312"/>
          <w:sz w:val="32"/>
          <w:szCs w:val="32"/>
        </w:rPr>
      </w:pPr>
      <w:r>
        <w:rPr>
          <w:rFonts w:hint="eastAsia" w:ascii="仿宋_GB2312" w:eastAsia="仿宋_GB2312"/>
          <w:sz w:val="32"/>
          <w:szCs w:val="32"/>
        </w:rPr>
        <w:t>（3）生态效益</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无此项指标</w:t>
      </w:r>
    </w:p>
    <w:p>
      <w:pPr>
        <w:ind w:firstLine="640"/>
        <w:rPr>
          <w:rFonts w:ascii="仿宋_GB2312" w:eastAsia="仿宋_GB2312"/>
          <w:sz w:val="32"/>
          <w:szCs w:val="32"/>
        </w:rPr>
      </w:pPr>
      <w:r>
        <w:rPr>
          <w:rFonts w:hint="eastAsia" w:ascii="仿宋_GB2312" w:eastAsia="仿宋_GB2312"/>
          <w:sz w:val="32"/>
          <w:szCs w:val="32"/>
        </w:rPr>
        <w:t>（4）可持续影响</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延长市政设施使用年限</w:t>
      </w:r>
      <w:r>
        <w:rPr>
          <w:rFonts w:hint="eastAsia" w:ascii="仿宋_GB2312" w:eastAsia="仿宋_GB2312"/>
          <w:color w:val="000000" w:themeColor="text1"/>
          <w:sz w:val="32"/>
          <w:szCs w:val="32"/>
          <w14:textFill>
            <w14:solidFill>
              <w14:schemeClr w14:val="tx1"/>
            </w14:solidFill>
          </w14:textFill>
        </w:rPr>
        <w:t>”指标：预期指标值为“</w:t>
      </w:r>
      <w:r>
        <w:rPr>
          <w:rFonts w:hint="eastAsia" w:ascii="仿宋_GB2312" w:eastAsia="仿宋_GB2312"/>
          <w:color w:val="000000" w:themeColor="text1"/>
          <w:sz w:val="32"/>
          <w:szCs w:val="32"/>
          <w:lang w:eastAsia="zh-CN"/>
          <w14:textFill>
            <w14:solidFill>
              <w14:schemeClr w14:val="tx1"/>
            </w14:solidFill>
          </w14:textFill>
        </w:rPr>
        <w:t>长期</w:t>
      </w:r>
      <w:r>
        <w:rPr>
          <w:rFonts w:hint="eastAsia" w:ascii="仿宋_GB2312" w:eastAsia="仿宋_GB2312"/>
          <w:color w:val="000000" w:themeColor="text1"/>
          <w:sz w:val="32"/>
          <w:szCs w:val="32"/>
          <w14:textFill>
            <w14:solidFill>
              <w14:schemeClr w14:val="tx1"/>
            </w14:solidFill>
          </w14:textFill>
        </w:rPr>
        <w:t>”，实际完成指标值为“</w:t>
      </w:r>
      <w:r>
        <w:rPr>
          <w:rFonts w:hint="eastAsia" w:ascii="仿宋_GB2312" w:eastAsia="仿宋_GB2312"/>
          <w:color w:val="000000" w:themeColor="text1"/>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”，指标完成率为</w:t>
      </w:r>
      <w:r>
        <w:rPr>
          <w:rFonts w:hint="eastAsia" w:ascii="仿宋_GB2312" w:eastAsia="仿宋_GB2312"/>
          <w:bCs/>
          <w:color w:val="000000" w:themeColor="text1"/>
          <w:spacing w:val="-4"/>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w:t>
      </w:r>
    </w:p>
    <w:p>
      <w:pPr>
        <w:pStyle w:val="5"/>
        <w:ind w:firstLine="640"/>
        <w:rPr>
          <w:sz w:val="32"/>
        </w:rPr>
      </w:pPr>
      <w:r>
        <w:rPr>
          <w:rFonts w:hint="eastAsia"/>
          <w:sz w:val="32"/>
        </w:rPr>
        <w:t>3.满意度指标完成情况分析</w:t>
      </w:r>
    </w:p>
    <w:p>
      <w:pPr>
        <w:ind w:firstLine="64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市民满意度</w:t>
      </w:r>
      <w:r>
        <w:rPr>
          <w:rFonts w:hint="eastAsia" w:ascii="仿宋_GB2312" w:eastAsia="仿宋_GB2312"/>
          <w:color w:val="000000" w:themeColor="text1"/>
          <w:sz w:val="32"/>
          <w:szCs w:val="32"/>
          <w14:textFill>
            <w14:solidFill>
              <w14:schemeClr w14:val="tx1"/>
            </w14:solidFill>
          </w14:textFill>
        </w:rPr>
        <w:t>”指标：预期指标值为“≥</w:t>
      </w:r>
      <w:r>
        <w:rPr>
          <w:rFonts w:hint="eastAsia" w:ascii="仿宋_GB2312" w:eastAsia="仿宋_GB2312"/>
          <w:color w:val="000000" w:themeColor="text1"/>
          <w:sz w:val="32"/>
          <w:szCs w:val="32"/>
          <w:lang w:val="en-US" w:eastAsia="zh-CN"/>
          <w14:textFill>
            <w14:solidFill>
              <w14:schemeClr w14:val="tx1"/>
            </w14:solidFill>
          </w14:textFill>
        </w:rPr>
        <w:t>95%</w:t>
      </w:r>
      <w:r>
        <w:rPr>
          <w:rFonts w:hint="eastAsia" w:ascii="仿宋_GB2312" w:eastAsia="仿宋_GB2312"/>
          <w:color w:val="000000" w:themeColor="text1"/>
          <w:sz w:val="32"/>
          <w:szCs w:val="32"/>
          <w14:textFill>
            <w14:solidFill>
              <w14:schemeClr w14:val="tx1"/>
            </w14:solidFill>
          </w14:textFill>
        </w:rPr>
        <w:t>”，实际完成指标值为“</w:t>
      </w:r>
      <w:r>
        <w:rPr>
          <w:rFonts w:hint="eastAsia" w:ascii="仿宋_GB2312" w:eastAsia="仿宋_GB2312"/>
          <w:color w:val="000000" w:themeColor="text1"/>
          <w:sz w:val="32"/>
          <w:szCs w:val="32"/>
          <w:lang w:val="en-US" w:eastAsia="zh-CN"/>
          <w14:textFill>
            <w14:solidFill>
              <w14:schemeClr w14:val="tx1"/>
            </w14:solidFill>
          </w14:textFill>
        </w:rPr>
        <w:t>95%</w:t>
      </w:r>
      <w:r>
        <w:rPr>
          <w:rFonts w:hint="eastAsia" w:ascii="仿宋_GB2312" w:eastAsia="仿宋_GB2312"/>
          <w:color w:val="000000" w:themeColor="text1"/>
          <w:sz w:val="32"/>
          <w:szCs w:val="32"/>
          <w14:textFill>
            <w14:solidFill>
              <w14:schemeClr w14:val="tx1"/>
            </w14:solidFill>
          </w14:textFill>
        </w:rPr>
        <w:t>”，指标完成率为</w:t>
      </w:r>
      <w:r>
        <w:rPr>
          <w:rFonts w:hint="eastAsia" w:ascii="仿宋_GB2312" w:eastAsia="仿宋_GB2312"/>
          <w:bCs/>
          <w:color w:val="000000" w:themeColor="text1"/>
          <w:spacing w:val="-4"/>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职工满意度</w:t>
      </w:r>
      <w:r>
        <w:rPr>
          <w:rFonts w:hint="eastAsia" w:ascii="仿宋_GB2312" w:eastAsia="仿宋_GB2312"/>
          <w:color w:val="000000" w:themeColor="text1"/>
          <w:sz w:val="32"/>
          <w:szCs w:val="32"/>
          <w14:textFill>
            <w14:solidFill>
              <w14:schemeClr w14:val="tx1"/>
            </w14:solidFill>
          </w14:textFill>
        </w:rPr>
        <w:t>”指标：预期指标值为“≥</w:t>
      </w:r>
      <w:r>
        <w:rPr>
          <w:rFonts w:hint="eastAsia" w:ascii="仿宋_GB2312" w:eastAsia="仿宋_GB2312"/>
          <w:color w:val="000000" w:themeColor="text1"/>
          <w:sz w:val="32"/>
          <w:szCs w:val="32"/>
          <w:lang w:val="en-US" w:eastAsia="zh-CN"/>
          <w14:textFill>
            <w14:solidFill>
              <w14:schemeClr w14:val="tx1"/>
            </w14:solidFill>
          </w14:textFill>
        </w:rPr>
        <w:t>95%</w:t>
      </w:r>
      <w:r>
        <w:rPr>
          <w:rFonts w:hint="eastAsia" w:ascii="仿宋_GB2312" w:eastAsia="仿宋_GB2312"/>
          <w:color w:val="000000" w:themeColor="text1"/>
          <w:sz w:val="32"/>
          <w:szCs w:val="32"/>
          <w14:textFill>
            <w14:solidFill>
              <w14:schemeClr w14:val="tx1"/>
            </w14:solidFill>
          </w14:textFill>
        </w:rPr>
        <w:t>”，实际完成指标值为“</w:t>
      </w:r>
      <w:r>
        <w:rPr>
          <w:rFonts w:hint="eastAsia" w:ascii="仿宋_GB2312" w:eastAsia="仿宋_GB2312"/>
          <w:color w:val="000000" w:themeColor="text1"/>
          <w:sz w:val="32"/>
          <w:szCs w:val="32"/>
          <w:lang w:val="en-US" w:eastAsia="zh-CN"/>
          <w14:textFill>
            <w14:solidFill>
              <w14:schemeClr w14:val="tx1"/>
            </w14:solidFill>
          </w14:textFill>
        </w:rPr>
        <w:t>95%</w:t>
      </w:r>
      <w:r>
        <w:rPr>
          <w:rFonts w:hint="eastAsia" w:ascii="仿宋_GB2312" w:eastAsia="仿宋_GB2312"/>
          <w:color w:val="000000" w:themeColor="text1"/>
          <w:sz w:val="32"/>
          <w:szCs w:val="32"/>
          <w14:textFill>
            <w14:solidFill>
              <w14:schemeClr w14:val="tx1"/>
            </w14:solidFill>
          </w14:textFill>
        </w:rPr>
        <w:t>”，指标完成率为</w:t>
      </w:r>
      <w:r>
        <w:rPr>
          <w:rFonts w:hint="eastAsia" w:ascii="仿宋_GB2312" w:eastAsia="仿宋_GB2312"/>
          <w:bCs/>
          <w:color w:val="000000" w:themeColor="text1"/>
          <w:spacing w:val="-4"/>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w:t>
      </w:r>
    </w:p>
    <w:p>
      <w:pPr>
        <w:pStyle w:val="2"/>
        <w:jc w:val="both"/>
      </w:pPr>
    </w:p>
    <w:p>
      <w:pPr>
        <w:pStyle w:val="3"/>
        <w:ind w:firstLine="640"/>
        <w:rPr>
          <w:rFonts w:ascii="黑体" w:hAnsi="黑体"/>
          <w:b w:val="0"/>
          <w:sz w:val="32"/>
          <w:szCs w:val="32"/>
        </w:rPr>
      </w:pPr>
      <w:r>
        <w:rPr>
          <w:rFonts w:hint="eastAsia" w:ascii="黑体" w:hAnsi="黑体"/>
          <w:b w:val="0"/>
          <w:sz w:val="32"/>
          <w:szCs w:val="32"/>
        </w:rPr>
        <w:t>六、存在的主要问题</w:t>
      </w:r>
    </w:p>
    <w:p>
      <w:pPr>
        <w:adjustRightInd w:val="0"/>
        <w:snapToGrid w:val="0"/>
        <w:ind w:firstLine="624"/>
        <w:rPr>
          <w:rFonts w:hint="eastAsia" w:ascii="仿宋_GB2312" w:eastAsia="仿宋_GB2312"/>
          <w:color w:val="FF0000"/>
          <w:spacing w:val="-4"/>
          <w:sz w:val="32"/>
          <w:szCs w:val="32"/>
          <w:lang w:val="en-US" w:eastAsia="zh-CN"/>
        </w:rPr>
      </w:pPr>
      <w:r>
        <w:rPr>
          <w:rFonts w:hint="eastAsia" w:ascii="仿宋_GB2312" w:eastAsia="仿宋_GB2312"/>
          <w:color w:val="auto"/>
          <w:sz w:val="32"/>
          <w:szCs w:val="32"/>
          <w:lang w:eastAsia="zh-CN"/>
        </w:rPr>
        <w:t>本单位</w:t>
      </w:r>
      <w:r>
        <w:rPr>
          <w:rFonts w:hint="eastAsia" w:ascii="仿宋_GB2312" w:eastAsia="仿宋_GB2312"/>
          <w:color w:val="auto"/>
          <w:sz w:val="32"/>
          <w:szCs w:val="32"/>
          <w:lang w:val="en-US" w:eastAsia="zh-CN"/>
        </w:rPr>
        <w:t>2022年绩效目标全部完成，不存在未完成原因分析。</w:t>
      </w:r>
    </w:p>
    <w:p>
      <w:pPr>
        <w:pStyle w:val="3"/>
        <w:ind w:firstLine="640"/>
        <w:rPr>
          <w:rFonts w:ascii="黑体" w:hAnsi="黑体"/>
          <w:b w:val="0"/>
          <w:sz w:val="32"/>
          <w:szCs w:val="32"/>
        </w:rPr>
      </w:pPr>
      <w:r>
        <w:rPr>
          <w:rFonts w:hint="eastAsia" w:ascii="黑体" w:hAnsi="黑体"/>
          <w:b w:val="0"/>
          <w:sz w:val="32"/>
          <w:szCs w:val="32"/>
        </w:rPr>
        <w:t>七、改进措施和建议</w:t>
      </w:r>
    </w:p>
    <w:p>
      <w:pPr>
        <w:pStyle w:val="3"/>
        <w:ind w:firstLine="640"/>
        <w:rPr>
          <w:rFonts w:hint="eastAsia" w:ascii="仿宋_GB2312" w:hAnsi="仿宋" w:eastAsia="仿宋_GB2312" w:cs="Times New Roman"/>
          <w:b w:val="0"/>
          <w:bCs w:val="0"/>
          <w:color w:val="auto"/>
          <w:kern w:val="2"/>
          <w:sz w:val="32"/>
          <w:szCs w:val="32"/>
          <w:lang w:val="en-US" w:eastAsia="zh-CN" w:bidi="ar-SA"/>
        </w:rPr>
      </w:pPr>
      <w:r>
        <w:rPr>
          <w:rFonts w:hint="eastAsia" w:ascii="仿宋_GB2312" w:hAnsi="仿宋" w:eastAsia="仿宋_GB2312" w:cs="Times New Roman"/>
          <w:b w:val="0"/>
          <w:bCs w:val="0"/>
          <w:color w:val="auto"/>
          <w:kern w:val="2"/>
          <w:sz w:val="32"/>
          <w:szCs w:val="32"/>
          <w:lang w:val="en-US" w:eastAsia="zh-CN" w:bidi="ar-SA"/>
        </w:rPr>
        <w:t>建议加大预算管理理论及实际操作培训力度，加强人才储备，一要加大理论研究力度</w:t>
      </w:r>
      <w:bookmarkStart w:id="0" w:name="_GoBack"/>
      <w:bookmarkEnd w:id="0"/>
      <w:r>
        <w:rPr>
          <w:rFonts w:hint="eastAsia" w:ascii="仿宋_GB2312" w:hAnsi="仿宋" w:eastAsia="仿宋_GB2312" w:cs="Times New Roman"/>
          <w:b w:val="0"/>
          <w:bCs w:val="0"/>
          <w:color w:val="auto"/>
          <w:kern w:val="2"/>
          <w:sz w:val="32"/>
          <w:szCs w:val="32"/>
          <w:lang w:val="en-US" w:eastAsia="zh-CN" w:bidi="ar-SA"/>
        </w:rPr>
        <w:t>。对预算绩效管理进行系统性研究，形成好的意见和建议，为预算绩效管理提供理论上的支持。</w:t>
      </w:r>
    </w:p>
    <w:p>
      <w:pPr>
        <w:pStyle w:val="3"/>
        <w:ind w:firstLine="64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tbl>
      <w:tblPr>
        <w:tblW w:w="8336" w:type="dxa"/>
        <w:tblInd w:w="0" w:type="dxa"/>
        <w:shd w:val="clear"/>
        <w:tblLayout w:type="fixed"/>
        <w:tblCellMar>
          <w:top w:w="0" w:type="dxa"/>
          <w:left w:w="0" w:type="dxa"/>
          <w:bottom w:w="0" w:type="dxa"/>
          <w:right w:w="0" w:type="dxa"/>
        </w:tblCellMar>
      </w:tblPr>
      <w:tblGrid>
        <w:gridCol w:w="658"/>
        <w:gridCol w:w="880"/>
        <w:gridCol w:w="1018"/>
        <w:gridCol w:w="1322"/>
        <w:gridCol w:w="754"/>
        <w:gridCol w:w="733"/>
        <w:gridCol w:w="700"/>
        <w:gridCol w:w="800"/>
        <w:gridCol w:w="733"/>
        <w:gridCol w:w="738"/>
      </w:tblGrid>
      <w:tr>
        <w:tblPrEx>
          <w:shd w:val="clear"/>
          <w:tblLayout w:type="fixed"/>
          <w:tblCellMar>
            <w:top w:w="0" w:type="dxa"/>
            <w:left w:w="0" w:type="dxa"/>
            <w:bottom w:w="0" w:type="dxa"/>
            <w:right w:w="0" w:type="dxa"/>
          </w:tblCellMar>
        </w:tblPrEx>
        <w:trPr>
          <w:trHeight w:val="800" w:hRule="atLeast"/>
        </w:trPr>
        <w:tc>
          <w:tcPr>
            <w:tcW w:w="8336" w:type="dxa"/>
            <w:gridSpan w:val="10"/>
            <w:tcBorders>
              <w:top w:val="nil"/>
              <w:left w:val="nil"/>
              <w:bottom w:val="nil"/>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方正小标宋简体" w:hAnsi="方正小标宋简体" w:eastAsia="方正小标宋简体" w:cs="方正小标宋简体"/>
                <w:i w:val="0"/>
                <w:color w:val="000000"/>
                <w:sz w:val="40"/>
                <w:szCs w:val="40"/>
                <w:u w:val="none"/>
              </w:rPr>
            </w:pPr>
            <w:r>
              <w:rPr>
                <w:rFonts w:hint="default" w:ascii="方正小标宋简体" w:hAnsi="方正小标宋简体" w:eastAsia="方正小标宋简体" w:cs="方正小标宋简体"/>
                <w:i w:val="0"/>
                <w:color w:val="000000"/>
                <w:kern w:val="0"/>
                <w:sz w:val="40"/>
                <w:szCs w:val="40"/>
                <w:u w:val="none"/>
                <w:bdr w:val="none" w:color="auto" w:sz="0" w:space="0"/>
                <w:lang w:val="en-US" w:eastAsia="zh-CN" w:bidi="ar"/>
              </w:rPr>
              <w:t>部门整体支出绩效目标自评表</w:t>
            </w:r>
          </w:p>
        </w:tc>
      </w:tr>
      <w:tr>
        <w:tblPrEx>
          <w:tblLayout w:type="fixed"/>
          <w:tblCellMar>
            <w:top w:w="0" w:type="dxa"/>
            <w:left w:w="0" w:type="dxa"/>
            <w:bottom w:w="0" w:type="dxa"/>
            <w:right w:w="0" w:type="dxa"/>
          </w:tblCellMar>
        </w:tblPrEx>
        <w:trPr>
          <w:trHeight w:val="680" w:hRule="atLeast"/>
        </w:trPr>
        <w:tc>
          <w:tcPr>
            <w:tcW w:w="8336" w:type="dxa"/>
            <w:gridSpan w:val="10"/>
            <w:tcBorders>
              <w:top w:val="nil"/>
              <w:left w:val="nil"/>
              <w:bottom w:val="single" w:color="000000" w:sz="4" w:space="0"/>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（2022年度）</w:t>
            </w:r>
          </w:p>
        </w:tc>
      </w:tr>
      <w:tr>
        <w:tblPrEx>
          <w:tblLayout w:type="fixed"/>
          <w:tblCellMar>
            <w:top w:w="0" w:type="dxa"/>
            <w:left w:w="0" w:type="dxa"/>
            <w:bottom w:w="0" w:type="dxa"/>
            <w:right w:w="0" w:type="dxa"/>
          </w:tblCellMar>
        </w:tblPrEx>
        <w:trPr>
          <w:trHeight w:val="540" w:hRule="atLeast"/>
        </w:trPr>
        <w:tc>
          <w:tcPr>
            <w:tcW w:w="2556"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部门（单位）名称</w:t>
            </w:r>
          </w:p>
        </w:tc>
        <w:tc>
          <w:tcPr>
            <w:tcW w:w="5780" w:type="dxa"/>
            <w:gridSpan w:val="7"/>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昌吉市市政养护管理中心</w:t>
            </w:r>
          </w:p>
        </w:tc>
      </w:tr>
      <w:tr>
        <w:tblPrEx>
          <w:tblLayout w:type="fixed"/>
          <w:tblCellMar>
            <w:top w:w="0" w:type="dxa"/>
            <w:left w:w="0" w:type="dxa"/>
            <w:bottom w:w="0" w:type="dxa"/>
            <w:right w:w="0" w:type="dxa"/>
          </w:tblCellMar>
        </w:tblPrEx>
        <w:trPr>
          <w:trHeight w:val="560" w:hRule="atLeast"/>
        </w:trPr>
        <w:tc>
          <w:tcPr>
            <w:tcW w:w="65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年度主要任务</w:t>
            </w:r>
          </w:p>
        </w:tc>
        <w:tc>
          <w:tcPr>
            <w:tcW w:w="1898"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任务名称</w:t>
            </w:r>
          </w:p>
        </w:tc>
        <w:tc>
          <w:tcPr>
            <w:tcW w:w="1322"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主要内容</w:t>
            </w:r>
          </w:p>
        </w:tc>
        <w:tc>
          <w:tcPr>
            <w:tcW w:w="2187" w:type="dxa"/>
            <w:gridSpan w:val="3"/>
            <w:tcBorders>
              <w:top w:val="single" w:color="000000" w:sz="4" w:space="0"/>
              <w:left w:val="nil"/>
              <w:bottom w:val="nil"/>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预算金额（万元）</w:t>
            </w:r>
          </w:p>
        </w:tc>
        <w:tc>
          <w:tcPr>
            <w:tcW w:w="2271"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实际执行（万元）</w:t>
            </w:r>
          </w:p>
        </w:tc>
      </w:tr>
      <w:tr>
        <w:tblPrEx>
          <w:tblLayout w:type="fixed"/>
          <w:tblCellMar>
            <w:top w:w="0" w:type="dxa"/>
            <w:left w:w="0" w:type="dxa"/>
            <w:bottom w:w="0" w:type="dxa"/>
            <w:right w:w="0" w:type="dxa"/>
          </w:tblCellMar>
        </w:tblPrEx>
        <w:trPr>
          <w:trHeight w:val="840" w:hRule="atLeast"/>
        </w:trPr>
        <w:tc>
          <w:tcPr>
            <w:tcW w:w="6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1898"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1322"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7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总额</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财政拨款</w:t>
            </w:r>
          </w:p>
        </w:tc>
        <w:tc>
          <w:tcPr>
            <w:tcW w:w="7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其他资金</w:t>
            </w:r>
          </w:p>
        </w:tc>
        <w:tc>
          <w:tcPr>
            <w:tcW w:w="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总额</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财政拨款</w:t>
            </w:r>
          </w:p>
        </w:tc>
        <w:tc>
          <w:tcPr>
            <w:tcW w:w="7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其他资金</w:t>
            </w:r>
          </w:p>
        </w:tc>
      </w:tr>
      <w:tr>
        <w:tblPrEx>
          <w:tblLayout w:type="fixed"/>
          <w:tblCellMar>
            <w:top w:w="0" w:type="dxa"/>
            <w:left w:w="0" w:type="dxa"/>
            <w:bottom w:w="0" w:type="dxa"/>
            <w:right w:w="0" w:type="dxa"/>
          </w:tblCellMar>
        </w:tblPrEx>
        <w:trPr>
          <w:trHeight w:val="700" w:hRule="atLeast"/>
        </w:trPr>
        <w:tc>
          <w:tcPr>
            <w:tcW w:w="6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1898" w:type="dxa"/>
            <w:gridSpan w:val="2"/>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人员经费</w:t>
            </w:r>
          </w:p>
        </w:tc>
        <w:tc>
          <w:tcPr>
            <w:tcW w:w="13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保障职工工资、社保、公积金等经费</w:t>
            </w:r>
          </w:p>
        </w:tc>
        <w:tc>
          <w:tcPr>
            <w:tcW w:w="7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624.49</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624.49</w:t>
            </w:r>
          </w:p>
        </w:tc>
        <w:tc>
          <w:tcPr>
            <w:tcW w:w="7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624.49</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624.49</w:t>
            </w:r>
          </w:p>
        </w:tc>
        <w:tc>
          <w:tcPr>
            <w:tcW w:w="7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r>
      <w:tr>
        <w:tblPrEx>
          <w:tblLayout w:type="fixed"/>
          <w:tblCellMar>
            <w:top w:w="0" w:type="dxa"/>
            <w:left w:w="0" w:type="dxa"/>
            <w:bottom w:w="0" w:type="dxa"/>
            <w:right w:w="0" w:type="dxa"/>
          </w:tblCellMar>
        </w:tblPrEx>
        <w:trPr>
          <w:trHeight w:val="700" w:hRule="atLeast"/>
        </w:trPr>
        <w:tc>
          <w:tcPr>
            <w:tcW w:w="6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1898" w:type="dxa"/>
            <w:gridSpan w:val="2"/>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公用经费</w:t>
            </w:r>
          </w:p>
        </w:tc>
        <w:tc>
          <w:tcPr>
            <w:tcW w:w="13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保障单位正常办公经费、公务用车经费等</w:t>
            </w:r>
          </w:p>
        </w:tc>
        <w:tc>
          <w:tcPr>
            <w:tcW w:w="7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38.09</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38.09</w:t>
            </w:r>
          </w:p>
        </w:tc>
        <w:tc>
          <w:tcPr>
            <w:tcW w:w="7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38.09</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38.09</w:t>
            </w:r>
          </w:p>
        </w:tc>
        <w:tc>
          <w:tcPr>
            <w:tcW w:w="7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r>
      <w:tr>
        <w:tblPrEx>
          <w:tblLayout w:type="fixed"/>
          <w:tblCellMar>
            <w:top w:w="0" w:type="dxa"/>
            <w:left w:w="0" w:type="dxa"/>
            <w:bottom w:w="0" w:type="dxa"/>
            <w:right w:w="0" w:type="dxa"/>
          </w:tblCellMar>
        </w:tblPrEx>
        <w:trPr>
          <w:trHeight w:val="540" w:hRule="atLeast"/>
        </w:trPr>
        <w:tc>
          <w:tcPr>
            <w:tcW w:w="6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1898" w:type="dxa"/>
            <w:gridSpan w:val="2"/>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项目经费</w:t>
            </w:r>
          </w:p>
        </w:tc>
        <w:tc>
          <w:tcPr>
            <w:tcW w:w="13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保运行项目经费</w:t>
            </w:r>
          </w:p>
        </w:tc>
        <w:tc>
          <w:tcPr>
            <w:tcW w:w="75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30</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30</w:t>
            </w:r>
          </w:p>
        </w:tc>
        <w:tc>
          <w:tcPr>
            <w:tcW w:w="7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30</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30</w:t>
            </w:r>
          </w:p>
        </w:tc>
        <w:tc>
          <w:tcPr>
            <w:tcW w:w="7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r>
      <w:tr>
        <w:tblPrEx>
          <w:tblLayout w:type="fixed"/>
          <w:tblCellMar>
            <w:top w:w="0" w:type="dxa"/>
            <w:left w:w="0" w:type="dxa"/>
            <w:bottom w:w="0" w:type="dxa"/>
            <w:right w:w="0" w:type="dxa"/>
          </w:tblCellMar>
        </w:tblPrEx>
        <w:trPr>
          <w:trHeight w:val="540" w:hRule="atLeast"/>
        </w:trPr>
        <w:tc>
          <w:tcPr>
            <w:tcW w:w="6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3220"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合　计</w:t>
            </w:r>
          </w:p>
        </w:tc>
        <w:tc>
          <w:tcPr>
            <w:tcW w:w="754"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692.58</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692.58</w:t>
            </w:r>
          </w:p>
        </w:tc>
        <w:tc>
          <w:tcPr>
            <w:tcW w:w="7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w:t>
            </w:r>
          </w:p>
        </w:tc>
        <w:tc>
          <w:tcPr>
            <w:tcW w:w="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692.58</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692.58</w:t>
            </w:r>
          </w:p>
        </w:tc>
        <w:tc>
          <w:tcPr>
            <w:tcW w:w="7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w:t>
            </w:r>
          </w:p>
        </w:tc>
      </w:tr>
      <w:tr>
        <w:tblPrEx>
          <w:tblLayout w:type="fixed"/>
          <w:tblCellMar>
            <w:top w:w="0" w:type="dxa"/>
            <w:left w:w="0" w:type="dxa"/>
            <w:bottom w:w="0" w:type="dxa"/>
            <w:right w:w="0" w:type="dxa"/>
          </w:tblCellMar>
        </w:tblPrEx>
        <w:trPr>
          <w:trHeight w:val="465" w:hRule="atLeast"/>
        </w:trPr>
        <w:tc>
          <w:tcPr>
            <w:tcW w:w="65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年度总体目标</w:t>
            </w:r>
          </w:p>
        </w:tc>
        <w:tc>
          <w:tcPr>
            <w:tcW w:w="3974"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预期目标</w:t>
            </w:r>
          </w:p>
        </w:tc>
        <w:tc>
          <w:tcPr>
            <w:tcW w:w="3704" w:type="dxa"/>
            <w:gridSpan w:val="5"/>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实际完成目标</w:t>
            </w:r>
          </w:p>
        </w:tc>
      </w:tr>
      <w:tr>
        <w:tblPrEx>
          <w:tblLayout w:type="fixed"/>
          <w:tblCellMar>
            <w:top w:w="0" w:type="dxa"/>
            <w:left w:w="0" w:type="dxa"/>
            <w:bottom w:w="0" w:type="dxa"/>
            <w:right w:w="0" w:type="dxa"/>
          </w:tblCellMar>
        </w:tblPrEx>
        <w:trPr>
          <w:trHeight w:val="1740" w:hRule="atLeast"/>
        </w:trPr>
        <w:tc>
          <w:tcPr>
            <w:tcW w:w="6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3974"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本年度计划安排692.58万元，用于保证单位的人员经费和公用经费，完成2021年城市建设各项工作任务，包括：办公人数42人，公务用车数量1辆，办公供暖面积859平方米。为全市生产生活正常提供市政工程设施维护管理，城市道路、桥梁、隧道、城市街道与小区照明管理，城市防洪设施维护管理。全面开创市政养护管理事业的新局面。重点做好路灯、道路、及市政设施的养护维修工作。</w:t>
            </w:r>
          </w:p>
        </w:tc>
        <w:tc>
          <w:tcPr>
            <w:tcW w:w="3704" w:type="dxa"/>
            <w:gridSpan w:val="5"/>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本年度已使用629.52万元，保障单位的人员经费和公用经费，完成2022年城市建设各项工作任务，包括：办公人数42人，公务用车数量1辆，办公供暖面积859平方米。保障全市生产生活正常提供市政工程设施维护管理，城市道路、桥梁、隧道、城市街道与小区照明管理，城市防洪设施维护管理。实现全面开创市政养护管理事业的新局面。完成了路灯、道路、及市政设施的养护维修工作。</w:t>
            </w:r>
          </w:p>
        </w:tc>
      </w:tr>
      <w:tr>
        <w:tblPrEx>
          <w:tblLayout w:type="fixed"/>
          <w:tblCellMar>
            <w:top w:w="0" w:type="dxa"/>
            <w:left w:w="0" w:type="dxa"/>
            <w:bottom w:w="0" w:type="dxa"/>
            <w:right w:w="0" w:type="dxa"/>
          </w:tblCellMar>
        </w:tblPrEx>
        <w:trPr>
          <w:trHeight w:val="780" w:hRule="atLeast"/>
        </w:trPr>
        <w:tc>
          <w:tcPr>
            <w:tcW w:w="65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年度绩效指标完成情况</w:t>
            </w:r>
          </w:p>
        </w:tc>
        <w:tc>
          <w:tcPr>
            <w:tcW w:w="8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一级指标</w:t>
            </w:r>
          </w:p>
        </w:tc>
        <w:tc>
          <w:tcPr>
            <w:tcW w:w="101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二级指标</w:t>
            </w:r>
          </w:p>
        </w:tc>
        <w:tc>
          <w:tcPr>
            <w:tcW w:w="20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三级指标</w:t>
            </w:r>
          </w:p>
        </w:tc>
        <w:tc>
          <w:tcPr>
            <w:tcW w:w="14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绩效目标值</w:t>
            </w:r>
          </w:p>
        </w:tc>
        <w:tc>
          <w:tcPr>
            <w:tcW w:w="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实际完成值</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指标分值</w:t>
            </w:r>
          </w:p>
        </w:tc>
        <w:tc>
          <w:tcPr>
            <w:tcW w:w="7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得分</w:t>
            </w:r>
          </w:p>
        </w:tc>
      </w:tr>
      <w:tr>
        <w:tblPrEx>
          <w:tblLayout w:type="fixed"/>
          <w:tblCellMar>
            <w:top w:w="0" w:type="dxa"/>
            <w:left w:w="0" w:type="dxa"/>
            <w:bottom w:w="0" w:type="dxa"/>
            <w:right w:w="0" w:type="dxa"/>
          </w:tblCellMar>
        </w:tblPrEx>
        <w:trPr>
          <w:trHeight w:val="880" w:hRule="atLeast"/>
        </w:trPr>
        <w:tc>
          <w:tcPr>
            <w:tcW w:w="6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88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项目完成</w:t>
            </w:r>
          </w:p>
        </w:tc>
        <w:tc>
          <w:tcPr>
            <w:tcW w:w="101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数量指标</w:t>
            </w:r>
          </w:p>
        </w:tc>
        <w:tc>
          <w:tcPr>
            <w:tcW w:w="20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房屋建筑物供暖面积</w:t>
            </w:r>
          </w:p>
        </w:tc>
        <w:tc>
          <w:tcPr>
            <w:tcW w:w="14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=859.00平方米</w:t>
            </w:r>
          </w:p>
        </w:tc>
        <w:tc>
          <w:tcPr>
            <w:tcW w:w="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=859平方米</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c>
          <w:tcPr>
            <w:tcW w:w="7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r>
      <w:tr>
        <w:tblPrEx>
          <w:tblLayout w:type="fixed"/>
          <w:tblCellMar>
            <w:top w:w="0" w:type="dxa"/>
            <w:left w:w="0" w:type="dxa"/>
            <w:bottom w:w="0" w:type="dxa"/>
            <w:right w:w="0" w:type="dxa"/>
          </w:tblCellMar>
        </w:tblPrEx>
        <w:trPr>
          <w:trHeight w:val="880" w:hRule="atLeast"/>
        </w:trPr>
        <w:tc>
          <w:tcPr>
            <w:tcW w:w="6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20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公务保障用车数量</w:t>
            </w:r>
          </w:p>
        </w:tc>
        <w:tc>
          <w:tcPr>
            <w:tcW w:w="14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=1.00辆</w:t>
            </w:r>
          </w:p>
        </w:tc>
        <w:tc>
          <w:tcPr>
            <w:tcW w:w="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=1辆</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c>
          <w:tcPr>
            <w:tcW w:w="7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r>
      <w:tr>
        <w:tblPrEx>
          <w:tblLayout w:type="fixed"/>
          <w:tblCellMar>
            <w:top w:w="0" w:type="dxa"/>
            <w:left w:w="0" w:type="dxa"/>
            <w:bottom w:w="0" w:type="dxa"/>
            <w:right w:w="0" w:type="dxa"/>
          </w:tblCellMar>
        </w:tblPrEx>
        <w:trPr>
          <w:trHeight w:val="880" w:hRule="atLeast"/>
        </w:trPr>
        <w:tc>
          <w:tcPr>
            <w:tcW w:w="6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20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保障办公人员数量</w:t>
            </w:r>
          </w:p>
        </w:tc>
        <w:tc>
          <w:tcPr>
            <w:tcW w:w="14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=42.00人</w:t>
            </w:r>
          </w:p>
        </w:tc>
        <w:tc>
          <w:tcPr>
            <w:tcW w:w="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=42人</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c>
          <w:tcPr>
            <w:tcW w:w="7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r>
      <w:tr>
        <w:tblPrEx>
          <w:tblLayout w:type="fixed"/>
          <w:tblCellMar>
            <w:top w:w="0" w:type="dxa"/>
            <w:left w:w="0" w:type="dxa"/>
            <w:bottom w:w="0" w:type="dxa"/>
            <w:right w:w="0" w:type="dxa"/>
          </w:tblCellMar>
        </w:tblPrEx>
        <w:trPr>
          <w:trHeight w:val="880" w:hRule="atLeast"/>
        </w:trPr>
        <w:tc>
          <w:tcPr>
            <w:tcW w:w="6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质量指标</w:t>
            </w:r>
          </w:p>
        </w:tc>
        <w:tc>
          <w:tcPr>
            <w:tcW w:w="20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资金使用合规率</w:t>
            </w:r>
          </w:p>
        </w:tc>
        <w:tc>
          <w:tcPr>
            <w:tcW w:w="14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=100.00%</w:t>
            </w:r>
          </w:p>
        </w:tc>
        <w:tc>
          <w:tcPr>
            <w:tcW w:w="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c>
          <w:tcPr>
            <w:tcW w:w="7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r>
      <w:tr>
        <w:tblPrEx>
          <w:tblLayout w:type="fixed"/>
          <w:tblCellMar>
            <w:top w:w="0" w:type="dxa"/>
            <w:left w:w="0" w:type="dxa"/>
            <w:bottom w:w="0" w:type="dxa"/>
            <w:right w:w="0" w:type="dxa"/>
          </w:tblCellMar>
        </w:tblPrEx>
        <w:trPr>
          <w:trHeight w:val="880" w:hRule="atLeast"/>
        </w:trPr>
        <w:tc>
          <w:tcPr>
            <w:tcW w:w="6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101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时效指标</w:t>
            </w:r>
          </w:p>
        </w:tc>
        <w:tc>
          <w:tcPr>
            <w:tcW w:w="20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项目完成时间</w:t>
            </w:r>
          </w:p>
        </w:tc>
        <w:tc>
          <w:tcPr>
            <w:tcW w:w="14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2022年12月31日</w:t>
            </w:r>
          </w:p>
        </w:tc>
        <w:tc>
          <w:tcPr>
            <w:tcW w:w="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2022年12月31日</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c>
          <w:tcPr>
            <w:tcW w:w="7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r>
      <w:tr>
        <w:tblPrEx>
          <w:tblLayout w:type="fixed"/>
          <w:tblCellMar>
            <w:top w:w="0" w:type="dxa"/>
            <w:left w:w="0" w:type="dxa"/>
            <w:bottom w:w="0" w:type="dxa"/>
            <w:right w:w="0" w:type="dxa"/>
          </w:tblCellMar>
        </w:tblPrEx>
        <w:trPr>
          <w:trHeight w:val="880" w:hRule="atLeast"/>
        </w:trPr>
        <w:tc>
          <w:tcPr>
            <w:tcW w:w="6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20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公用经费支付及时率</w:t>
            </w:r>
          </w:p>
        </w:tc>
        <w:tc>
          <w:tcPr>
            <w:tcW w:w="14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=100.00%</w:t>
            </w:r>
          </w:p>
        </w:tc>
        <w:tc>
          <w:tcPr>
            <w:tcW w:w="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c>
          <w:tcPr>
            <w:tcW w:w="7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r>
      <w:tr>
        <w:tblPrEx>
          <w:tblLayout w:type="fixed"/>
          <w:tblCellMar>
            <w:top w:w="0" w:type="dxa"/>
            <w:left w:w="0" w:type="dxa"/>
            <w:bottom w:w="0" w:type="dxa"/>
            <w:right w:w="0" w:type="dxa"/>
          </w:tblCellMar>
        </w:tblPrEx>
        <w:trPr>
          <w:trHeight w:val="880" w:hRule="atLeast"/>
        </w:trPr>
        <w:tc>
          <w:tcPr>
            <w:tcW w:w="6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101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成本指标</w:t>
            </w:r>
          </w:p>
        </w:tc>
        <w:tc>
          <w:tcPr>
            <w:tcW w:w="20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人员经费成本</w:t>
            </w:r>
          </w:p>
        </w:tc>
        <w:tc>
          <w:tcPr>
            <w:tcW w:w="14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=624.49万元</w:t>
            </w:r>
          </w:p>
        </w:tc>
        <w:tc>
          <w:tcPr>
            <w:tcW w:w="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=624.49万元</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c>
          <w:tcPr>
            <w:tcW w:w="7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r>
      <w:tr>
        <w:tblPrEx>
          <w:tblLayout w:type="fixed"/>
          <w:tblCellMar>
            <w:top w:w="0" w:type="dxa"/>
            <w:left w:w="0" w:type="dxa"/>
            <w:bottom w:w="0" w:type="dxa"/>
            <w:right w:w="0" w:type="dxa"/>
          </w:tblCellMar>
        </w:tblPrEx>
        <w:trPr>
          <w:trHeight w:val="880" w:hRule="atLeast"/>
        </w:trPr>
        <w:tc>
          <w:tcPr>
            <w:tcW w:w="6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20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公用经费成本</w:t>
            </w:r>
          </w:p>
        </w:tc>
        <w:tc>
          <w:tcPr>
            <w:tcW w:w="14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=38.09万元</w:t>
            </w:r>
          </w:p>
        </w:tc>
        <w:tc>
          <w:tcPr>
            <w:tcW w:w="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=38.09万元</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c>
          <w:tcPr>
            <w:tcW w:w="7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r>
      <w:tr>
        <w:tblPrEx>
          <w:tblLayout w:type="fixed"/>
          <w:tblCellMar>
            <w:top w:w="0" w:type="dxa"/>
            <w:left w:w="0" w:type="dxa"/>
            <w:bottom w:w="0" w:type="dxa"/>
            <w:right w:w="0" w:type="dxa"/>
          </w:tblCellMar>
        </w:tblPrEx>
        <w:trPr>
          <w:trHeight w:val="880" w:hRule="atLeast"/>
        </w:trPr>
        <w:tc>
          <w:tcPr>
            <w:tcW w:w="6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20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项目经费</w:t>
            </w:r>
          </w:p>
        </w:tc>
        <w:tc>
          <w:tcPr>
            <w:tcW w:w="14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&lt;=30.00万元</w:t>
            </w:r>
          </w:p>
        </w:tc>
        <w:tc>
          <w:tcPr>
            <w:tcW w:w="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&lt;=30万元</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c>
          <w:tcPr>
            <w:tcW w:w="7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r>
      <w:tr>
        <w:tblPrEx>
          <w:tblLayout w:type="fixed"/>
          <w:tblCellMar>
            <w:top w:w="0" w:type="dxa"/>
            <w:left w:w="0" w:type="dxa"/>
            <w:bottom w:w="0" w:type="dxa"/>
            <w:right w:w="0" w:type="dxa"/>
          </w:tblCellMar>
        </w:tblPrEx>
        <w:trPr>
          <w:trHeight w:val="880" w:hRule="atLeast"/>
        </w:trPr>
        <w:tc>
          <w:tcPr>
            <w:tcW w:w="6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88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项目效益</w:t>
            </w:r>
          </w:p>
        </w:tc>
        <w:tc>
          <w:tcPr>
            <w:tcW w:w="101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经济效益指标</w:t>
            </w:r>
          </w:p>
        </w:tc>
        <w:tc>
          <w:tcPr>
            <w:tcW w:w="20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4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7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blPrEx>
          <w:tblLayout w:type="fixed"/>
          <w:tblCellMar>
            <w:top w:w="0" w:type="dxa"/>
            <w:left w:w="0" w:type="dxa"/>
            <w:bottom w:w="0" w:type="dxa"/>
            <w:right w:w="0" w:type="dxa"/>
          </w:tblCellMar>
        </w:tblPrEx>
        <w:trPr>
          <w:trHeight w:val="880" w:hRule="atLeast"/>
        </w:trPr>
        <w:tc>
          <w:tcPr>
            <w:tcW w:w="6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社会效益指标</w:t>
            </w:r>
          </w:p>
        </w:tc>
        <w:tc>
          <w:tcPr>
            <w:tcW w:w="20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提高市政设施管理能力</w:t>
            </w:r>
          </w:p>
        </w:tc>
        <w:tc>
          <w:tcPr>
            <w:tcW w:w="14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逐步提高</w:t>
            </w:r>
          </w:p>
        </w:tc>
        <w:tc>
          <w:tcPr>
            <w:tcW w:w="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c>
          <w:tcPr>
            <w:tcW w:w="7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r>
      <w:tr>
        <w:tblPrEx>
          <w:tblLayout w:type="fixed"/>
          <w:tblCellMar>
            <w:top w:w="0" w:type="dxa"/>
            <w:left w:w="0" w:type="dxa"/>
            <w:bottom w:w="0" w:type="dxa"/>
            <w:right w:w="0" w:type="dxa"/>
          </w:tblCellMar>
        </w:tblPrEx>
        <w:trPr>
          <w:trHeight w:val="880" w:hRule="atLeast"/>
        </w:trPr>
        <w:tc>
          <w:tcPr>
            <w:tcW w:w="6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生态效益指标</w:t>
            </w:r>
          </w:p>
        </w:tc>
        <w:tc>
          <w:tcPr>
            <w:tcW w:w="20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4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7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blPrEx>
          <w:tblLayout w:type="fixed"/>
          <w:tblCellMar>
            <w:top w:w="0" w:type="dxa"/>
            <w:left w:w="0" w:type="dxa"/>
            <w:bottom w:w="0" w:type="dxa"/>
            <w:right w:w="0" w:type="dxa"/>
          </w:tblCellMar>
        </w:tblPrEx>
        <w:trPr>
          <w:trHeight w:val="880" w:hRule="atLeast"/>
        </w:trPr>
        <w:tc>
          <w:tcPr>
            <w:tcW w:w="6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101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可持续影响指标</w:t>
            </w:r>
          </w:p>
        </w:tc>
        <w:tc>
          <w:tcPr>
            <w:tcW w:w="20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延长市政设施使用年限</w:t>
            </w:r>
          </w:p>
        </w:tc>
        <w:tc>
          <w:tcPr>
            <w:tcW w:w="14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长期</w:t>
            </w:r>
          </w:p>
        </w:tc>
        <w:tc>
          <w:tcPr>
            <w:tcW w:w="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c>
          <w:tcPr>
            <w:tcW w:w="7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r>
      <w:tr>
        <w:tblPrEx>
          <w:tblLayout w:type="fixed"/>
          <w:tblCellMar>
            <w:top w:w="0" w:type="dxa"/>
            <w:left w:w="0" w:type="dxa"/>
            <w:bottom w:w="0" w:type="dxa"/>
            <w:right w:w="0" w:type="dxa"/>
          </w:tblCellMar>
        </w:tblPrEx>
        <w:trPr>
          <w:trHeight w:val="880" w:hRule="atLeast"/>
        </w:trPr>
        <w:tc>
          <w:tcPr>
            <w:tcW w:w="6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88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满意度指标</w:t>
            </w:r>
          </w:p>
        </w:tc>
        <w:tc>
          <w:tcPr>
            <w:tcW w:w="101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满意度指标</w:t>
            </w:r>
          </w:p>
        </w:tc>
        <w:tc>
          <w:tcPr>
            <w:tcW w:w="20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市民满意度</w:t>
            </w:r>
          </w:p>
        </w:tc>
        <w:tc>
          <w:tcPr>
            <w:tcW w:w="14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&gt;=95.00%</w:t>
            </w:r>
          </w:p>
        </w:tc>
        <w:tc>
          <w:tcPr>
            <w:tcW w:w="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&gt;=95%</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7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tblLayout w:type="fixed"/>
          <w:tblCellMar>
            <w:top w:w="0" w:type="dxa"/>
            <w:left w:w="0" w:type="dxa"/>
            <w:bottom w:w="0" w:type="dxa"/>
            <w:right w:w="0" w:type="dxa"/>
          </w:tblCellMar>
        </w:tblPrEx>
        <w:trPr>
          <w:trHeight w:val="880" w:hRule="atLeast"/>
        </w:trPr>
        <w:tc>
          <w:tcPr>
            <w:tcW w:w="6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color w:val="000000"/>
                <w:sz w:val="22"/>
                <w:szCs w:val="22"/>
                <w:u w:val="none"/>
              </w:rPr>
            </w:pPr>
          </w:p>
        </w:tc>
        <w:tc>
          <w:tcPr>
            <w:tcW w:w="207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职工满意度</w:t>
            </w:r>
          </w:p>
        </w:tc>
        <w:tc>
          <w:tcPr>
            <w:tcW w:w="14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&gt;=95.00%</w:t>
            </w:r>
          </w:p>
        </w:tc>
        <w:tc>
          <w:tcPr>
            <w:tcW w:w="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&gt;=95%</w:t>
            </w:r>
          </w:p>
        </w:tc>
        <w:tc>
          <w:tcPr>
            <w:tcW w:w="7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7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bl>
    <w:p>
      <w:pPr>
        <w:pStyle w:val="2"/>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altName w:val="Malgun Gothic"/>
    <w:panose1 w:val="020B0502040204020203"/>
    <w:charset w:val="80"/>
    <w:family w:val="swiss"/>
    <w:pitch w:val="default"/>
    <w:sig w:usb0="00000000" w:usb1="00000000"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0000000000000000000"/>
    <w:charset w:val="00"/>
    <w:family w:val="auto"/>
    <w:pitch w:val="default"/>
    <w:sig w:usb0="00000000" w:usb1="00000000" w:usb2="00000000" w:usb3="00000000" w:csb0="00000000" w:csb1="00000000"/>
  </w:font>
  <w:font w:name="Malgun Gothic">
    <w:panose1 w:val="020B0503020000020004"/>
    <w:charset w:val="81"/>
    <w:family w:val="auto"/>
    <w:pitch w:val="default"/>
    <w:sig w:usb0="900002AF" w:usb1="01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5F9491A"/>
    <w:rsid w:val="06222B2B"/>
    <w:rsid w:val="06401D70"/>
    <w:rsid w:val="06586D46"/>
    <w:rsid w:val="065A4860"/>
    <w:rsid w:val="06662B98"/>
    <w:rsid w:val="067565EE"/>
    <w:rsid w:val="067716E0"/>
    <w:rsid w:val="06871095"/>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2671FD"/>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2CB701C"/>
    <w:rsid w:val="132A631E"/>
    <w:rsid w:val="13332723"/>
    <w:rsid w:val="13336BAF"/>
    <w:rsid w:val="134D7FF4"/>
    <w:rsid w:val="139A1401"/>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530C3B"/>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B078DA"/>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9E7A96"/>
    <w:rsid w:val="25A82154"/>
    <w:rsid w:val="25FC1269"/>
    <w:rsid w:val="2608337D"/>
    <w:rsid w:val="260C06F0"/>
    <w:rsid w:val="2620433E"/>
    <w:rsid w:val="269D5137"/>
    <w:rsid w:val="26BD3A0A"/>
    <w:rsid w:val="26BE70D6"/>
    <w:rsid w:val="26C301BC"/>
    <w:rsid w:val="26D424C1"/>
    <w:rsid w:val="26E81C8F"/>
    <w:rsid w:val="26F02D0C"/>
    <w:rsid w:val="26FD226B"/>
    <w:rsid w:val="27006B49"/>
    <w:rsid w:val="270A1FEA"/>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3F0D4B"/>
    <w:rsid w:val="2A7B46E1"/>
    <w:rsid w:val="2A886FA9"/>
    <w:rsid w:val="2A981D2D"/>
    <w:rsid w:val="2AC64A60"/>
    <w:rsid w:val="2BEC36A9"/>
    <w:rsid w:val="2C085CD5"/>
    <w:rsid w:val="2C5033C5"/>
    <w:rsid w:val="2C5C6A3E"/>
    <w:rsid w:val="2C6A4084"/>
    <w:rsid w:val="2C757BAF"/>
    <w:rsid w:val="2C8606C5"/>
    <w:rsid w:val="2C8C2E69"/>
    <w:rsid w:val="2C974E3D"/>
    <w:rsid w:val="2CD21D51"/>
    <w:rsid w:val="2D07338F"/>
    <w:rsid w:val="2DB93477"/>
    <w:rsid w:val="2DF65048"/>
    <w:rsid w:val="2E165B2D"/>
    <w:rsid w:val="2E7B482E"/>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0A67EE"/>
    <w:rsid w:val="3417608E"/>
    <w:rsid w:val="342E7F12"/>
    <w:rsid w:val="343E7569"/>
    <w:rsid w:val="34496D65"/>
    <w:rsid w:val="345459E1"/>
    <w:rsid w:val="346976B5"/>
    <w:rsid w:val="346B7F37"/>
    <w:rsid w:val="34A94CBA"/>
    <w:rsid w:val="34B92F28"/>
    <w:rsid w:val="35031EB5"/>
    <w:rsid w:val="35DE49C0"/>
    <w:rsid w:val="35FA7EA7"/>
    <w:rsid w:val="363B291C"/>
    <w:rsid w:val="363E1F63"/>
    <w:rsid w:val="364B26CF"/>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0B7707"/>
    <w:rsid w:val="3A3453FF"/>
    <w:rsid w:val="3A5C0A17"/>
    <w:rsid w:val="3A8248E0"/>
    <w:rsid w:val="3AF76DD0"/>
    <w:rsid w:val="3B1D07BC"/>
    <w:rsid w:val="3B447872"/>
    <w:rsid w:val="3B474B41"/>
    <w:rsid w:val="3B58369F"/>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0C53D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111E67"/>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0049BD"/>
    <w:rsid w:val="581B6FA6"/>
    <w:rsid w:val="58F37117"/>
    <w:rsid w:val="592B7F6F"/>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CD1455"/>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40748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59775D"/>
    <w:rsid w:val="6F6A53B1"/>
    <w:rsid w:val="6FC83C68"/>
    <w:rsid w:val="6FCE226C"/>
    <w:rsid w:val="6FE8727E"/>
    <w:rsid w:val="6FF67EDB"/>
    <w:rsid w:val="706747BD"/>
    <w:rsid w:val="707165D4"/>
    <w:rsid w:val="70A93F9B"/>
    <w:rsid w:val="70BF78D7"/>
    <w:rsid w:val="70E95E6A"/>
    <w:rsid w:val="712F11E7"/>
    <w:rsid w:val="715358CC"/>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BD1B3B"/>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23992"/>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5">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Heading2"/>
    <w:basedOn w:val="1"/>
    <w:next w:val="1"/>
    <w:qFormat/>
    <w:uiPriority w:val="0"/>
    <w:pPr>
      <w:keepNext/>
      <w:keepLines/>
      <w:snapToGrid w:val="0"/>
      <w:spacing w:line="560" w:lineRule="exact"/>
      <w:jc w:val="center"/>
      <w:textAlignment w:val="baseline"/>
    </w:pPr>
    <w:rPr>
      <w:rFonts w:ascii="Cambria" w:hAnsi="Cambria" w:eastAsia="方正小标宋简体" w:cs="Times New Roman"/>
      <w:bCs/>
      <w:kern w:val="2"/>
      <w:sz w:val="36"/>
      <w:szCs w:val="32"/>
      <w:lang w:val="en-US" w:eastAsia="zh-CN" w:bidi="ar-SA"/>
    </w:rPr>
  </w:style>
  <w:style w:type="paragraph" w:styleId="6">
    <w:name w:val="annotation text"/>
    <w:basedOn w:val="1"/>
    <w:qFormat/>
    <w:uiPriority w:val="0"/>
    <w:pPr>
      <w:jc w:val="left"/>
    </w:pPr>
  </w:style>
  <w:style w:type="paragraph" w:styleId="7">
    <w:name w:val="Body Text"/>
    <w:basedOn w:val="1"/>
    <w:qFormat/>
    <w:uiPriority w:val="99"/>
    <w:pPr>
      <w:spacing w:after="120"/>
    </w:pPr>
    <w:rPr>
      <w:rFonts w:ascii="Times New Roman" w:hAnsi="Times New Roman" w:eastAsia="宋体"/>
    </w:rPr>
  </w:style>
  <w:style w:type="paragraph" w:styleId="8">
    <w:name w:val="footer"/>
    <w:basedOn w:val="1"/>
    <w:link w:val="21"/>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5">
    <w:name w:val="List Paragraph"/>
    <w:basedOn w:val="1"/>
    <w:unhideWhenUsed/>
    <w:qFormat/>
    <w:uiPriority w:val="99"/>
    <w:pPr>
      <w:ind w:firstLine="420"/>
    </w:pPr>
  </w:style>
  <w:style w:type="paragraph" w:customStyle="1" w:styleId="16">
    <w:name w:val="样式1"/>
    <w:basedOn w:val="1"/>
    <w:link w:val="18"/>
    <w:qFormat/>
    <w:uiPriority w:val="0"/>
    <w:pPr>
      <w:ind w:firstLine="560"/>
    </w:pPr>
  </w:style>
  <w:style w:type="paragraph" w:customStyle="1" w:styleId="17">
    <w:name w:val="样式2"/>
    <w:basedOn w:val="9"/>
    <w:link w:val="20"/>
    <w:qFormat/>
    <w:uiPriority w:val="0"/>
    <w:pPr>
      <w:pBdr>
        <w:bottom w:val="none" w:color="auto" w:sz="0" w:space="0"/>
      </w:pBdr>
      <w:ind w:firstLine="360"/>
    </w:pPr>
  </w:style>
  <w:style w:type="character" w:customStyle="1" w:styleId="18">
    <w:name w:val="样式1 Char"/>
    <w:basedOn w:val="11"/>
    <w:link w:val="16"/>
    <w:qFormat/>
    <w:uiPriority w:val="0"/>
    <w:rPr>
      <w:rFonts w:ascii="仿宋" w:hAnsi="仿宋" w:eastAsia="仿宋"/>
      <w:kern w:val="2"/>
      <w:sz w:val="28"/>
      <w:szCs w:val="24"/>
    </w:rPr>
  </w:style>
  <w:style w:type="character" w:customStyle="1" w:styleId="19">
    <w:name w:val="页眉 字符"/>
    <w:basedOn w:val="11"/>
    <w:link w:val="9"/>
    <w:qFormat/>
    <w:uiPriority w:val="99"/>
    <w:rPr>
      <w:rFonts w:ascii="仿宋" w:hAnsi="仿宋" w:eastAsia="仿宋"/>
      <w:kern w:val="2"/>
      <w:sz w:val="18"/>
      <w:szCs w:val="18"/>
    </w:rPr>
  </w:style>
  <w:style w:type="character" w:customStyle="1" w:styleId="20">
    <w:name w:val="样式2 Char"/>
    <w:basedOn w:val="19"/>
    <w:link w:val="17"/>
    <w:qFormat/>
    <w:uiPriority w:val="0"/>
    <w:rPr>
      <w:rFonts w:ascii="仿宋" w:hAnsi="仿宋" w:eastAsia="仿宋"/>
      <w:kern w:val="2"/>
      <w:sz w:val="18"/>
      <w:szCs w:val="18"/>
    </w:rPr>
  </w:style>
  <w:style w:type="character" w:customStyle="1" w:styleId="21">
    <w:name w:val="页脚 字符"/>
    <w:basedOn w:val="11"/>
    <w:link w:val="8"/>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999</Words>
  <Characters>5700</Characters>
  <Lines>47</Lines>
  <Paragraphs>13</Paragraphs>
  <TotalTime>1</TotalTime>
  <ScaleCrop>false</ScaleCrop>
  <LinksUpToDate>false</LinksUpToDate>
  <CharactersWithSpaces>6686</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赵超</cp:lastModifiedBy>
  <dcterms:modified xsi:type="dcterms:W3CDTF">2023-02-16T04:06:37Z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B40C235CDED5488EA654B8BBB846B2EE</vt:lpwstr>
  </property>
</Properties>
</file>