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hint="eastAsia"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lang w:eastAsia="zh-CN"/>
        </w:rPr>
        <w:t>昌吉市工商业联合会</w:t>
      </w:r>
      <w:r>
        <w:rPr>
          <w:rFonts w:hint="eastAsia" w:ascii="方正小标宋_GBK" w:hAnsi="华文中宋" w:eastAsia="方正小标宋_GBK" w:cs="宋体"/>
          <w:color w:val="auto"/>
          <w:kern w:val="0"/>
          <w:sz w:val="48"/>
          <w:szCs w:val="48"/>
        </w:rPr>
        <w:t>整体支出绩效</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（202</w:t>
      </w:r>
      <w:r>
        <w:rPr>
          <w:rFonts w:hint="eastAsia" w:ascii="仿宋_GB2312" w:hAnsi="宋体" w:eastAsia="仿宋_GB2312" w:cs="宋体"/>
          <w:color w:val="auto"/>
          <w:kern w:val="0"/>
          <w:sz w:val="36"/>
          <w:szCs w:val="36"/>
          <w:lang w:val="en-US" w:eastAsia="zh-CN"/>
        </w:rPr>
        <w:t>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部门单位名称（公章）：</w:t>
      </w:r>
      <w:r>
        <w:rPr>
          <w:rFonts w:hint="eastAsia" w:ascii="黑体" w:hAnsi="黑体" w:eastAsia="黑体" w:cs="黑体"/>
          <w:bCs/>
          <w:color w:val="auto"/>
          <w:sz w:val="36"/>
          <w:szCs w:val="36"/>
          <w:lang w:eastAsia="zh-CN"/>
        </w:rPr>
        <w:t>昌吉市工商业联合会</w:t>
      </w: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 xml:space="preserve">填报时间：  </w:t>
      </w:r>
      <w:r>
        <w:rPr>
          <w:rFonts w:hint="eastAsia" w:ascii="黑体" w:hAnsi="黑体" w:eastAsia="黑体" w:cs="黑体"/>
          <w:bCs/>
          <w:color w:val="auto"/>
          <w:sz w:val="36"/>
          <w:szCs w:val="36"/>
          <w:lang w:val="en-US" w:eastAsia="zh-CN"/>
        </w:rPr>
        <w:t>2023</w:t>
      </w:r>
      <w:r>
        <w:rPr>
          <w:rFonts w:hint="eastAsia" w:ascii="黑体" w:hAnsi="黑体" w:eastAsia="黑体" w:cs="黑体"/>
          <w:bCs/>
          <w:color w:val="auto"/>
          <w:sz w:val="36"/>
          <w:szCs w:val="36"/>
        </w:rPr>
        <w:t xml:space="preserve">年 </w:t>
      </w:r>
      <w:r>
        <w:rPr>
          <w:rFonts w:hint="eastAsia" w:ascii="黑体" w:hAnsi="黑体" w:eastAsia="黑体" w:cs="黑体"/>
          <w:bCs/>
          <w:color w:val="auto"/>
          <w:sz w:val="36"/>
          <w:szCs w:val="36"/>
          <w:lang w:val="en-US" w:eastAsia="zh-CN"/>
        </w:rPr>
        <w:t>2</w:t>
      </w:r>
      <w:r>
        <w:rPr>
          <w:rFonts w:hint="eastAsia" w:ascii="黑体" w:hAnsi="黑体" w:eastAsia="黑体" w:cs="黑体"/>
          <w:bCs/>
          <w:color w:val="auto"/>
          <w:sz w:val="36"/>
          <w:szCs w:val="36"/>
        </w:rPr>
        <w:t xml:space="preserve">月 </w:t>
      </w:r>
      <w:r>
        <w:rPr>
          <w:rFonts w:hint="eastAsia" w:ascii="黑体" w:hAnsi="黑体" w:eastAsia="黑体" w:cs="黑体"/>
          <w:bCs/>
          <w:color w:val="auto"/>
          <w:sz w:val="36"/>
          <w:szCs w:val="36"/>
          <w:lang w:val="en-US" w:eastAsia="zh-CN"/>
        </w:rPr>
        <w:t>16</w:t>
      </w:r>
      <w:r>
        <w:rPr>
          <w:rFonts w:hint="eastAsia" w:ascii="黑体" w:hAnsi="黑体" w:eastAsia="黑体" w:cs="黑体"/>
          <w:bCs/>
          <w:color w:val="auto"/>
          <w:sz w:val="36"/>
          <w:szCs w:val="36"/>
        </w:rPr>
        <w:t>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0"/>
        <w:rPr>
          <w:rFonts w:ascii="楷体_GB2312" w:eastAsia="楷体_GB2312"/>
          <w:color w:val="auto"/>
          <w:szCs w:val="32"/>
        </w:rPr>
      </w:pPr>
      <w:r>
        <w:rPr>
          <w:rFonts w:hint="eastAsia" w:ascii="楷体_GB2312" w:eastAsia="楷体_GB2312"/>
          <w:color w:val="auto"/>
          <w:szCs w:val="32"/>
        </w:rPr>
        <w:t>（一）单位基本情况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spacing w:line="560" w:lineRule="exact"/>
        <w:ind w:firstLine="627" w:firstLineChars="196"/>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工商联根据工作职责和人员编制情况，按照“精简、统一、效能”的原则，不设内设机构，实行综合管理，人员定岗定责。</w:t>
      </w:r>
    </w:p>
    <w:p>
      <w:pPr>
        <w:widowControl/>
        <w:spacing w:line="560" w:lineRule="exact"/>
        <w:ind w:firstLine="640"/>
        <w:jc w:val="left"/>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编制人数6人，其中：行政编制5人，工勤编制1人。实有在职人数</w:t>
      </w:r>
      <w:r>
        <w:rPr>
          <w:rFonts w:hint="eastAsia" w:ascii="仿宋_GB2312" w:hAnsi="宋体" w:eastAsia="仿宋_GB2312" w:cs="宋体"/>
          <w:color w:val="auto"/>
          <w:kern w:val="0"/>
          <w:sz w:val="32"/>
          <w:szCs w:val="32"/>
          <w:lang w:val="en-US" w:eastAsia="zh-CN"/>
        </w:rPr>
        <w:t>10</w:t>
      </w:r>
      <w:r>
        <w:rPr>
          <w:rFonts w:hint="eastAsia" w:ascii="仿宋_GB2312" w:hAnsi="宋体" w:eastAsia="仿宋_GB2312" w:cs="宋体"/>
          <w:color w:val="auto"/>
          <w:kern w:val="0"/>
          <w:sz w:val="32"/>
          <w:szCs w:val="32"/>
        </w:rPr>
        <w:t>人，行政在职</w:t>
      </w:r>
      <w:r>
        <w:rPr>
          <w:rFonts w:hint="eastAsia" w:ascii="仿宋_GB2312" w:hAnsi="宋体" w:eastAsia="仿宋_GB2312" w:cs="宋体"/>
          <w:color w:val="auto"/>
          <w:kern w:val="0"/>
          <w:sz w:val="32"/>
          <w:szCs w:val="32"/>
          <w:lang w:val="en-US" w:eastAsia="zh-CN"/>
        </w:rPr>
        <w:t>9</w:t>
      </w:r>
      <w:r>
        <w:rPr>
          <w:rFonts w:hint="eastAsia" w:ascii="仿宋_GB2312" w:hAnsi="宋体" w:eastAsia="仿宋_GB2312" w:cs="宋体"/>
          <w:color w:val="auto"/>
          <w:kern w:val="0"/>
          <w:sz w:val="32"/>
          <w:szCs w:val="32"/>
        </w:rPr>
        <w:t>人，工勤在职1人，退休人员</w:t>
      </w:r>
      <w:r>
        <w:rPr>
          <w:rFonts w:hint="eastAsia" w:ascii="仿宋_GB2312" w:hAnsi="宋体" w:eastAsia="仿宋_GB2312" w:cs="宋体"/>
          <w:color w:val="auto"/>
          <w:kern w:val="0"/>
          <w:sz w:val="32"/>
          <w:szCs w:val="32"/>
          <w:lang w:val="en-US" w:eastAsia="zh-CN"/>
        </w:rPr>
        <w:t>5</w:t>
      </w:r>
      <w:r>
        <w:rPr>
          <w:rFonts w:hint="eastAsia" w:ascii="仿宋_GB2312" w:hAnsi="宋体" w:eastAsia="仿宋_GB2312" w:cs="宋体"/>
          <w:color w:val="auto"/>
          <w:kern w:val="0"/>
          <w:sz w:val="32"/>
          <w:szCs w:val="32"/>
        </w:rPr>
        <w:t>人。</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主要职能</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昌吉市工商业联合会是昌吉市党委领导的全市工商联界组成的具有统战性、经济性、民间性的人民团体和民间商会，是党和政府联系非公有制经济人士的桥梁和纽带，是政府管理非公有制经济的助手。</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依据《中国工商业联合会章程》，贯彻执行昌吉市工商联执委会、常委会决议。</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做好昌吉市工商联履行政治协商、参政议政、民主监督职能的有关工作。</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lang w:eastAsia="zh-CN"/>
        </w:rPr>
        <w:t>宣传党和国家的方针政策，开展非公有制经济人士思想政治工作。做好非公有制经济代表人士的日常联系、考察、培养工作，协助做好政治安排推荐的有关工作。</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lang w:eastAsia="zh-CN"/>
        </w:rPr>
        <w:t xml:space="preserve">负责昌吉市商会具体工作，加强与政府部门及有关经济组织的联系，为会员企业开展经济活动提供服务。   </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lang w:eastAsia="zh-CN"/>
        </w:rPr>
        <w:t>依照法律和《中国工商业联合会章程》，维护会员的合法权利；反映会员的意见、建议，为会员提供服务，帮助解决生产经营中的实际问题。</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加强对外联系，促进经济、技术和贸易合作，协助引进资金、技术、人才。</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7、</w:t>
      </w:r>
      <w:r>
        <w:rPr>
          <w:rFonts w:hint="eastAsia" w:ascii="仿宋_GB2312" w:hAnsi="仿宋_GB2312" w:eastAsia="仿宋_GB2312" w:cs="仿宋_GB2312"/>
          <w:color w:val="auto"/>
          <w:sz w:val="32"/>
          <w:szCs w:val="32"/>
          <w:lang w:eastAsia="zh-CN"/>
        </w:rPr>
        <w:t>开展工商专业培训，帮助会员改善经营管理，提高生产技术和产品质量。</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8、</w:t>
      </w:r>
      <w:r>
        <w:rPr>
          <w:rFonts w:hint="eastAsia" w:ascii="仿宋_GB2312" w:hAnsi="仿宋_GB2312" w:eastAsia="仿宋_GB2312" w:cs="仿宋_GB2312"/>
          <w:color w:val="auto"/>
          <w:sz w:val="32"/>
          <w:szCs w:val="32"/>
          <w:lang w:eastAsia="zh-CN"/>
        </w:rPr>
        <w:t>对基层工商联工作进行业务指导。</w:t>
      </w:r>
    </w:p>
    <w:p>
      <w:pPr>
        <w:spacing w:line="50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9、承担昌吉市党委、人民政府授权和交办的其他工作。</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spacing w:line="50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开展联系、走访、指导4家行业商会工作；走访调研15家会员企业；解决企业和商会困难。</w:t>
      </w:r>
    </w:p>
    <w:p>
      <w:pPr>
        <w:pStyle w:val="4"/>
        <w:tabs>
          <w:tab w:val="left" w:pos="6195"/>
        </w:tabs>
        <w:ind w:firstLine="640"/>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eastAsia="zh-CN"/>
        </w:rPr>
        <w:t>昌吉市工商联</w:t>
      </w:r>
      <w:r>
        <w:rPr>
          <w:rFonts w:hint="eastAsia" w:ascii="仿宋_GB2312" w:eastAsia="仿宋_GB2312"/>
          <w:color w:val="auto"/>
          <w:sz w:val="32"/>
          <w:szCs w:val="32"/>
        </w:rPr>
        <w:t>党组会议、办公会议议事规则》、《三重一大会议制度》，根据制度规定“详述本单位决策制度规范具体内容”进行单位事项决策。</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eastAsia="zh-CN"/>
        </w:rPr>
        <w:t>昌吉市工商业联合会</w:t>
      </w:r>
      <w:r>
        <w:rPr>
          <w:rFonts w:hint="eastAsia" w:ascii="仿宋_GB2312" w:eastAsia="仿宋_GB2312"/>
          <w:bCs/>
          <w:color w:val="auto"/>
          <w:sz w:val="32"/>
          <w:szCs w:val="32"/>
        </w:rPr>
        <w:t>部门单位整体支出年初预算金额为</w:t>
      </w:r>
      <w:r>
        <w:rPr>
          <w:rFonts w:hint="eastAsia" w:ascii="仿宋_GB2312" w:eastAsia="仿宋_GB2312"/>
          <w:color w:val="auto"/>
          <w:sz w:val="32"/>
          <w:szCs w:val="32"/>
          <w:lang w:val="en-US" w:eastAsia="zh-CN"/>
        </w:rPr>
        <w:t>129.49</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129.49</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5.78</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5.78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66.91</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51.67</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196.4</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196.4</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w:t>
      </w:r>
      <w:r>
        <w:rPr>
          <w:rFonts w:hint="eastAsia" w:ascii="仿宋_GB2312" w:eastAsia="仿宋_GB2312"/>
          <w:color w:val="auto"/>
          <w:sz w:val="32"/>
          <w:szCs w:val="32"/>
          <w:lang w:eastAsia="zh-CN"/>
        </w:rPr>
        <w:t>2022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工商业联合会部门预算管理办法</w:t>
      </w:r>
      <w:r>
        <w:rPr>
          <w:rFonts w:hint="eastAsia" w:ascii="仿宋_GB2312" w:eastAsia="仿宋_GB2312"/>
          <w:color w:val="auto"/>
          <w:sz w:val="32"/>
          <w:szCs w:val="32"/>
        </w:rPr>
        <w:t>和</w:t>
      </w:r>
      <w:r>
        <w:rPr>
          <w:rFonts w:hint="eastAsia" w:ascii="仿宋_GB2312" w:eastAsia="仿宋_GB2312"/>
          <w:color w:val="auto"/>
          <w:sz w:val="32"/>
          <w:szCs w:val="32"/>
          <w:lang w:eastAsia="zh-CN"/>
        </w:rPr>
        <w:t>工商业联合会内部控制</w:t>
      </w:r>
      <w:r>
        <w:rPr>
          <w:rFonts w:hint="eastAsia" w:ascii="仿宋_GB2312" w:eastAsia="仿宋_GB2312"/>
          <w:color w:val="auto"/>
          <w:sz w:val="32"/>
          <w:szCs w:val="32"/>
        </w:rPr>
        <w:t>制度，并严格按照此管理办法</w:t>
      </w:r>
      <w:r>
        <w:rPr>
          <w:rFonts w:hint="eastAsia" w:ascii="仿宋_GB2312" w:eastAsia="仿宋_GB2312"/>
          <w:color w:val="auto"/>
          <w:sz w:val="32"/>
          <w:szCs w:val="32"/>
          <w:lang w:eastAsia="zh-CN"/>
        </w:rPr>
        <w:t>和</w:t>
      </w:r>
      <w:r>
        <w:rPr>
          <w:rFonts w:hint="eastAsia" w:ascii="仿宋_GB2312" w:eastAsia="仿宋_GB2312"/>
          <w:color w:val="auto"/>
          <w:sz w:val="32"/>
          <w:szCs w:val="32"/>
        </w:rPr>
        <w:t>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昌吉市工商业联合会</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129.49</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129.49</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52.9</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196.40</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196.40</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177.28</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19.11</w:t>
      </w:r>
      <w:r>
        <w:rPr>
          <w:rFonts w:hint="eastAsia" w:ascii="仿宋_GB2312" w:eastAsia="仿宋_GB2312"/>
          <w:color w:val="auto"/>
          <w:sz w:val="32"/>
          <w:szCs w:val="32"/>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注：本段反映部门因公出国（境）费、公务用车购置及运行费、公务接待费用的控制情况是否符合财政部门当年的预算要求和相关管理制度要求。</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w:t>
      </w:r>
      <w:r>
        <w:rPr>
          <w:rFonts w:hint="eastAsia" w:ascii="仿宋_GB2312" w:eastAsia="仿宋_GB2312" w:cs="宋体"/>
          <w:color w:val="auto"/>
          <w:sz w:val="32"/>
          <w:szCs w:val="32"/>
          <w:lang w:eastAsia="zh-CN"/>
        </w:rPr>
        <w:t>2022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lang w:eastAsia="zh-CN"/>
        </w:rPr>
        <w:t>2022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1.71</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1.71</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eastAsia="zh-CN"/>
        </w:rPr>
        <w:t>减少</w:t>
      </w:r>
      <w:r>
        <w:rPr>
          <w:rFonts w:hint="eastAsia" w:ascii="仿宋_GB2312" w:eastAsia="仿宋_GB2312" w:cs="宋体"/>
          <w:color w:val="auto"/>
          <w:sz w:val="32"/>
          <w:szCs w:val="32"/>
          <w:lang w:val="en-US" w:eastAsia="zh-CN"/>
        </w:rPr>
        <w:t>0.46</w:t>
      </w:r>
      <w:r>
        <w:rPr>
          <w:rFonts w:hint="eastAsia" w:ascii="仿宋_GB2312" w:eastAsia="仿宋_GB2312" w:cs="宋体"/>
          <w:color w:val="auto"/>
          <w:sz w:val="32"/>
          <w:szCs w:val="32"/>
        </w:rPr>
        <w:t>万元，增加</w:t>
      </w:r>
      <w:r>
        <w:rPr>
          <w:rFonts w:hint="eastAsia" w:ascii="仿宋_GB2312" w:eastAsia="仿宋_GB2312" w:cs="宋体"/>
          <w:color w:val="auto"/>
          <w:sz w:val="32"/>
          <w:szCs w:val="32"/>
          <w:lang w:val="en-US" w:eastAsia="zh-CN"/>
        </w:rPr>
        <w:t>0.31</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下降</w:t>
      </w:r>
      <w:r>
        <w:rPr>
          <w:rFonts w:hint="eastAsia" w:ascii="仿宋_GB2312" w:eastAsia="仿宋_GB2312" w:cs="宋体"/>
          <w:color w:val="auto"/>
          <w:sz w:val="32"/>
          <w:szCs w:val="32"/>
          <w:lang w:val="en-US" w:eastAsia="zh-CN"/>
        </w:rPr>
        <w:t>21.2</w:t>
      </w:r>
      <w:r>
        <w:rPr>
          <w:rFonts w:hint="eastAsia" w:ascii="仿宋_GB2312" w:eastAsia="仿宋_GB2312" w:cs="宋体"/>
          <w:color w:val="auto"/>
          <w:sz w:val="32"/>
          <w:szCs w:val="32"/>
        </w:rPr>
        <w:t>%。</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ind w:firstLine="640"/>
        <w:rPr>
          <w:rFonts w:hint="eastAsia" w:eastAsia="仿宋_GB2312"/>
          <w:b w:val="0"/>
          <w:bCs w:val="0"/>
          <w:color w:val="000000" w:themeColor="text1"/>
          <w:sz w:val="32"/>
          <w:highlight w:val="none"/>
          <w:lang w:val="en-US" w:eastAsia="zh-CN"/>
          <w14:textFill>
            <w14:solidFill>
              <w14:schemeClr w14:val="tx1"/>
            </w14:solidFill>
          </w14:textFill>
        </w:rPr>
      </w:pPr>
      <w:r>
        <w:rPr>
          <w:rFonts w:hint="eastAsia"/>
          <w:b w:val="0"/>
          <w:bCs w:val="0"/>
          <w:color w:val="000000" w:themeColor="text1"/>
          <w:sz w:val="32"/>
          <w:highlight w:val="none"/>
          <w14:textFill>
            <w14:solidFill>
              <w14:schemeClr w14:val="tx1"/>
            </w14:solidFill>
          </w14:textFill>
        </w:rPr>
        <w:t>202</w:t>
      </w:r>
      <w:r>
        <w:rPr>
          <w:rFonts w:hint="eastAsia"/>
          <w:b w:val="0"/>
          <w:bCs w:val="0"/>
          <w:color w:val="000000" w:themeColor="text1"/>
          <w:sz w:val="32"/>
          <w:highlight w:val="none"/>
          <w:lang w:val="en-US" w:eastAsia="zh-CN"/>
          <w14:textFill>
            <w14:solidFill>
              <w14:schemeClr w14:val="tx1"/>
            </w14:solidFill>
          </w14:textFill>
        </w:rPr>
        <w:t>2</w:t>
      </w:r>
      <w:r>
        <w:rPr>
          <w:rFonts w:hint="eastAsia"/>
          <w:b w:val="0"/>
          <w:bCs w:val="0"/>
          <w:color w:val="000000" w:themeColor="text1"/>
          <w:sz w:val="32"/>
          <w:highlight w:val="none"/>
          <w14:textFill>
            <w14:solidFill>
              <w14:schemeClr w14:val="tx1"/>
            </w14:solidFill>
          </w14:textFill>
        </w:rPr>
        <w:t>年</w:t>
      </w:r>
      <w:r>
        <w:rPr>
          <w:rFonts w:hint="eastAsia"/>
          <w:b w:val="0"/>
          <w:bCs w:val="0"/>
          <w:color w:val="000000" w:themeColor="text1"/>
          <w:sz w:val="32"/>
          <w:highlight w:val="none"/>
          <w:lang w:val="en-US" w:eastAsia="zh-CN"/>
          <w14:textFill>
            <w14:solidFill>
              <w14:schemeClr w14:val="tx1"/>
            </w14:solidFill>
          </w14:textFill>
        </w:rPr>
        <w:t>,昌吉市工商联</w:t>
      </w:r>
      <w:r>
        <w:rPr>
          <w:rFonts w:hint="eastAsia"/>
          <w:b w:val="0"/>
          <w:bCs w:val="0"/>
          <w:color w:val="000000" w:themeColor="text1"/>
          <w:sz w:val="32"/>
          <w:highlight w:val="none"/>
          <w14:textFill>
            <w14:solidFill>
              <w14:schemeClr w14:val="tx1"/>
            </w14:solidFill>
          </w14:textFill>
        </w:rPr>
        <w:t>项目支出年初预算金额为</w:t>
      </w:r>
      <w:r>
        <w:rPr>
          <w:rFonts w:hint="eastAsia"/>
          <w:b w:val="0"/>
          <w:bCs w:val="0"/>
          <w:color w:val="000000" w:themeColor="text1"/>
          <w:sz w:val="32"/>
          <w:highlight w:val="none"/>
          <w:lang w:val="en-US" w:eastAsia="zh-CN"/>
          <w14:textFill>
            <w14:solidFill>
              <w14:schemeClr w14:val="tx1"/>
            </w14:solidFill>
          </w14:textFill>
        </w:rPr>
        <w:t>0.00</w:t>
      </w:r>
      <w:r>
        <w:rPr>
          <w:rFonts w:hint="eastAsia"/>
          <w:b w:val="0"/>
          <w:bCs w:val="0"/>
          <w:color w:val="000000" w:themeColor="text1"/>
          <w:sz w:val="32"/>
          <w:highlight w:val="none"/>
          <w14:textFill>
            <w14:solidFill>
              <w14:schemeClr w14:val="tx1"/>
            </w14:solidFill>
          </w14:textFill>
        </w:rPr>
        <w:t>万元，支出金额为</w:t>
      </w:r>
      <w:r>
        <w:rPr>
          <w:rFonts w:hint="eastAsia"/>
          <w:b w:val="0"/>
          <w:bCs w:val="0"/>
          <w:color w:val="000000" w:themeColor="text1"/>
          <w:sz w:val="32"/>
          <w:highlight w:val="none"/>
          <w:lang w:val="en-US" w:eastAsia="zh-CN"/>
          <w14:textFill>
            <w14:solidFill>
              <w14:schemeClr w14:val="tx1"/>
            </w14:solidFill>
          </w14:textFill>
        </w:rPr>
        <w:t>0.00</w:t>
      </w:r>
      <w:r>
        <w:rPr>
          <w:rFonts w:hint="eastAsia"/>
          <w:b w:val="0"/>
          <w:bCs w:val="0"/>
          <w:color w:val="000000" w:themeColor="text1"/>
          <w:sz w:val="32"/>
          <w:highlight w:val="none"/>
          <w14:textFill>
            <w14:solidFill>
              <w14:schemeClr w14:val="tx1"/>
            </w14:solidFill>
          </w14:textFill>
        </w:rPr>
        <w:t>万元，执行率为</w:t>
      </w:r>
      <w:r>
        <w:rPr>
          <w:rFonts w:hint="eastAsia"/>
          <w:b w:val="0"/>
          <w:bCs w:val="0"/>
          <w:color w:val="000000" w:themeColor="text1"/>
          <w:sz w:val="32"/>
          <w:highlight w:val="none"/>
          <w:lang w:val="en-US" w:eastAsia="zh-CN"/>
          <w14:textFill>
            <w14:solidFill>
              <w14:schemeClr w14:val="tx1"/>
            </w14:solidFill>
          </w14:textFill>
        </w:rPr>
        <w:t>0.0</w:t>
      </w:r>
      <w:r>
        <w:rPr>
          <w:rFonts w:hint="eastAsia"/>
          <w:b w:val="0"/>
          <w:bCs w:val="0"/>
          <w:color w:val="000000" w:themeColor="text1"/>
          <w:sz w:val="32"/>
          <w:highlight w:val="none"/>
          <w14:textFill>
            <w14:solidFill>
              <w14:schemeClr w14:val="tx1"/>
            </w14:solidFill>
          </w14:textFill>
        </w:rPr>
        <w:t>%，年中调整预算金额为</w:t>
      </w:r>
      <w:r>
        <w:rPr>
          <w:rFonts w:hint="eastAsia"/>
          <w:b w:val="0"/>
          <w:bCs w:val="0"/>
          <w:color w:val="000000" w:themeColor="text1"/>
          <w:sz w:val="32"/>
          <w:highlight w:val="none"/>
          <w:lang w:val="en-US" w:eastAsia="zh-CN"/>
          <w14:textFill>
            <w14:solidFill>
              <w14:schemeClr w14:val="tx1"/>
            </w14:solidFill>
          </w14:textFill>
        </w:rPr>
        <w:t>14</w:t>
      </w:r>
      <w:r>
        <w:rPr>
          <w:rFonts w:hint="eastAsia"/>
          <w:b w:val="0"/>
          <w:bCs w:val="0"/>
          <w:color w:val="000000" w:themeColor="text1"/>
          <w:sz w:val="32"/>
          <w:highlight w:val="none"/>
          <w14:textFill>
            <w14:solidFill>
              <w14:schemeClr w14:val="tx1"/>
            </w14:solidFill>
          </w14:textFill>
        </w:rPr>
        <w:t>万元。综上，我单位项目支出预算总额为</w:t>
      </w:r>
      <w:r>
        <w:rPr>
          <w:rFonts w:hint="eastAsia"/>
          <w:b w:val="0"/>
          <w:bCs w:val="0"/>
          <w:color w:val="000000" w:themeColor="text1"/>
          <w:sz w:val="32"/>
          <w:highlight w:val="none"/>
          <w:lang w:val="en-US" w:eastAsia="zh-CN"/>
          <w14:textFill>
            <w14:solidFill>
              <w14:schemeClr w14:val="tx1"/>
            </w14:solidFill>
          </w14:textFill>
        </w:rPr>
        <w:t>14</w:t>
      </w:r>
      <w:r>
        <w:rPr>
          <w:rFonts w:hint="eastAsia"/>
          <w:b w:val="0"/>
          <w:bCs w:val="0"/>
          <w:color w:val="000000" w:themeColor="text1"/>
          <w:sz w:val="32"/>
          <w:highlight w:val="none"/>
          <w14:textFill>
            <w14:solidFill>
              <w14:schemeClr w14:val="tx1"/>
            </w14:solidFill>
          </w14:textFill>
        </w:rPr>
        <w:t>万元，支出总额为</w:t>
      </w:r>
      <w:r>
        <w:rPr>
          <w:rFonts w:hint="eastAsia"/>
          <w:b w:val="0"/>
          <w:bCs w:val="0"/>
          <w:color w:val="000000" w:themeColor="text1"/>
          <w:sz w:val="32"/>
          <w:highlight w:val="none"/>
          <w:lang w:val="en-US" w:eastAsia="zh-CN"/>
          <w14:textFill>
            <w14:solidFill>
              <w14:schemeClr w14:val="tx1"/>
            </w14:solidFill>
          </w14:textFill>
        </w:rPr>
        <w:t>14</w:t>
      </w:r>
      <w:r>
        <w:rPr>
          <w:rFonts w:hint="eastAsia"/>
          <w:b w:val="0"/>
          <w:bCs w:val="0"/>
          <w:color w:val="000000" w:themeColor="text1"/>
          <w:sz w:val="32"/>
          <w:highlight w:val="none"/>
          <w14:textFill>
            <w14:solidFill>
              <w14:schemeClr w14:val="tx1"/>
            </w14:solidFill>
          </w14:textFill>
        </w:rPr>
        <w:t>万元，预算总执行率为</w:t>
      </w:r>
      <w:r>
        <w:rPr>
          <w:rFonts w:hint="eastAsia"/>
          <w:b w:val="0"/>
          <w:bCs w:val="0"/>
          <w:color w:val="000000" w:themeColor="text1"/>
          <w:sz w:val="32"/>
          <w:highlight w:val="none"/>
          <w:lang w:val="en-US" w:eastAsia="zh-CN"/>
          <w14:textFill>
            <w14:solidFill>
              <w14:schemeClr w14:val="tx1"/>
            </w14:solidFill>
          </w14:textFill>
        </w:rPr>
        <w:t>100</w:t>
      </w:r>
      <w:r>
        <w:rPr>
          <w:rFonts w:hint="eastAsia"/>
          <w:b w:val="0"/>
          <w:bCs w:val="0"/>
          <w:color w:val="000000" w:themeColor="text1"/>
          <w:sz w:val="32"/>
          <w:highlight w:val="none"/>
          <w14:textFill>
            <w14:solidFill>
              <w14:schemeClr w14:val="tx1"/>
            </w14:solidFill>
          </w14:textFill>
        </w:rPr>
        <w:t>%</w:t>
      </w:r>
    </w:p>
    <w:p>
      <w:pPr>
        <w:ind w:firstLine="640"/>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lang w:eastAsia="zh-CN"/>
          <w14:textFill>
            <w14:solidFill>
              <w14:schemeClr w14:val="tx1"/>
            </w14:solidFill>
          </w14:textFill>
        </w:rPr>
        <w:t>昌吉市工商联</w:t>
      </w:r>
      <w:r>
        <w:rPr>
          <w:rFonts w:hint="eastAsia" w:ascii="仿宋_GB2312" w:eastAsia="仿宋_GB2312"/>
          <w:color w:val="000000" w:themeColor="text1"/>
          <w:sz w:val="32"/>
          <w:szCs w:val="32"/>
          <w:highlight w:val="none"/>
          <w:lang w:val="en-US" w:eastAsia="zh-CN"/>
          <w14:textFill>
            <w14:solidFill>
              <w14:schemeClr w14:val="tx1"/>
            </w14:solidFill>
          </w14:textFill>
        </w:rPr>
        <w:t>共有2个</w:t>
      </w:r>
      <w:r>
        <w:rPr>
          <w:rFonts w:hint="eastAsia" w:ascii="仿宋_GB2312" w:eastAsia="仿宋_GB2312"/>
          <w:color w:val="000000" w:themeColor="text1"/>
          <w:sz w:val="32"/>
          <w:szCs w:val="32"/>
          <w:highlight w:val="none"/>
          <w14:textFill>
            <w14:solidFill>
              <w14:schemeClr w14:val="tx1"/>
            </w14:solidFill>
          </w14:textFill>
        </w:rPr>
        <w:t>中央、自治区、地区、</w:t>
      </w:r>
      <w:r>
        <w:rPr>
          <w:rFonts w:ascii="仿宋_GB2312" w:eastAsia="仿宋_GB2312"/>
          <w:color w:val="000000" w:themeColor="text1"/>
          <w:sz w:val="32"/>
          <w:szCs w:val="32"/>
          <w:highlight w:val="none"/>
          <w14:textFill>
            <w14:solidFill>
              <w14:schemeClr w14:val="tx1"/>
            </w14:solidFill>
          </w14:textFill>
        </w:rPr>
        <w:t>县</w:t>
      </w:r>
      <w:r>
        <w:rPr>
          <w:rFonts w:hint="eastAsia" w:ascii="仿宋_GB2312" w:eastAsia="仿宋_GB2312"/>
          <w:color w:val="000000" w:themeColor="text1"/>
          <w:sz w:val="32"/>
          <w:szCs w:val="32"/>
          <w:highlight w:val="none"/>
          <w14:textFill>
            <w14:solidFill>
              <w14:schemeClr w14:val="tx1"/>
            </w14:solidFill>
          </w14:textFill>
        </w:rPr>
        <w:t>本级财力安排项目，已完成项目数量</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、未完成项目数量</w:t>
      </w:r>
      <w:r>
        <w:rPr>
          <w:rFonts w:hint="eastAsia" w:ascii="仿宋_GB2312" w:eastAsia="仿宋_GB2312"/>
          <w:color w:val="000000" w:themeColor="text1"/>
          <w:sz w:val="32"/>
          <w:szCs w:val="32"/>
          <w:highlight w:val="none"/>
          <w:lang w:val="en-US" w:eastAsia="zh-CN"/>
          <w14:textFill>
            <w14:solidFill>
              <w14:schemeClr w14:val="tx1"/>
            </w14:solidFill>
          </w14:textFill>
        </w:rPr>
        <w:t>0</w:t>
      </w:r>
      <w:r>
        <w:rPr>
          <w:rFonts w:hint="eastAsia" w:ascii="仿宋_GB2312" w:eastAsia="仿宋_GB2312"/>
          <w:color w:val="000000" w:themeColor="text1"/>
          <w:sz w:val="32"/>
          <w:szCs w:val="32"/>
          <w:highlight w:val="none"/>
          <w14:textFill>
            <w14:solidFill>
              <w14:schemeClr w14:val="tx1"/>
            </w14:solidFill>
          </w14:textFill>
        </w:rPr>
        <w:t>个。202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年度中央、自治区、地区、</w:t>
      </w:r>
      <w:r>
        <w:rPr>
          <w:rFonts w:ascii="仿宋_GB2312" w:eastAsia="仿宋_GB2312"/>
          <w:color w:val="000000" w:themeColor="text1"/>
          <w:sz w:val="32"/>
          <w:szCs w:val="32"/>
          <w:highlight w:val="none"/>
          <w14:textFill>
            <w14:solidFill>
              <w14:schemeClr w14:val="tx1"/>
            </w14:solidFill>
          </w14:textFill>
        </w:rPr>
        <w:t>县</w:t>
      </w:r>
      <w:r>
        <w:rPr>
          <w:rFonts w:hint="eastAsia" w:ascii="仿宋_GB2312" w:eastAsia="仿宋_GB2312"/>
          <w:color w:val="000000" w:themeColor="text1"/>
          <w:sz w:val="32"/>
          <w:szCs w:val="32"/>
          <w:highlight w:val="none"/>
          <w14:textFill>
            <w14:solidFill>
              <w14:schemeClr w14:val="tx1"/>
            </w14:solidFill>
          </w14:textFill>
        </w:rPr>
        <w:t>本级财力安排项目预算及执行情况见下表：</w:t>
      </w:r>
    </w:p>
    <w:p>
      <w:pPr>
        <w:ind w:firstLine="420"/>
        <w:jc w:val="right"/>
        <w:rPr>
          <w:color w:val="000000" w:themeColor="text1"/>
          <w:sz w:val="21"/>
          <w:szCs w:val="21"/>
          <w:highlight w:val="none"/>
          <w14:textFill>
            <w14:solidFill>
              <w14:schemeClr w14:val="tx1"/>
            </w14:solidFill>
          </w14:textFill>
        </w:rPr>
      </w:pPr>
      <w:r>
        <w:rPr>
          <w:rFonts w:hint="eastAsia"/>
          <w:color w:val="000000" w:themeColor="text1"/>
          <w:sz w:val="21"/>
          <w:szCs w:val="21"/>
          <w:highlight w:val="none"/>
          <w14:textFill>
            <w14:solidFill>
              <w14:schemeClr w14:val="tx1"/>
            </w14:solidFill>
          </w14:textFill>
        </w:rPr>
        <w:t>单位：万元</w:t>
      </w:r>
    </w:p>
    <w:tbl>
      <w:tblPr>
        <w:tblStyle w:val="10"/>
        <w:tblW w:w="8522" w:type="dxa"/>
        <w:tblInd w:w="0" w:type="dxa"/>
        <w:tblLayout w:type="fixed"/>
        <w:tblCellMar>
          <w:top w:w="0" w:type="dxa"/>
          <w:left w:w="108" w:type="dxa"/>
          <w:bottom w:w="0" w:type="dxa"/>
          <w:right w:w="108" w:type="dxa"/>
        </w:tblCellMar>
      </w:tblPr>
      <w:tblGrid>
        <w:gridCol w:w="3556"/>
        <w:gridCol w:w="1140"/>
        <w:gridCol w:w="1155"/>
        <w:gridCol w:w="945"/>
        <w:gridCol w:w="780"/>
        <w:gridCol w:w="946"/>
      </w:tblGrid>
      <w:tr>
        <w:tblPrEx>
          <w:tblLayout w:type="fixed"/>
          <w:tblCellMar>
            <w:top w:w="0" w:type="dxa"/>
            <w:left w:w="108" w:type="dxa"/>
            <w:bottom w:w="0" w:type="dxa"/>
            <w:right w:w="108" w:type="dxa"/>
          </w:tblCellMar>
        </w:tblPrEx>
        <w:trPr>
          <w:trHeight w:val="800" w:hRule="atLeast"/>
          <w:tblHeader/>
        </w:trPr>
        <w:tc>
          <w:tcPr>
            <w:tcW w:w="355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项目名称</w:t>
            </w:r>
          </w:p>
        </w:tc>
        <w:tc>
          <w:tcPr>
            <w:tcW w:w="114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预算金额</w:t>
            </w:r>
          </w:p>
        </w:tc>
        <w:tc>
          <w:tcPr>
            <w:tcW w:w="1155"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执行金额</w:t>
            </w:r>
          </w:p>
        </w:tc>
        <w:tc>
          <w:tcPr>
            <w:tcW w:w="945"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执行率</w:t>
            </w:r>
          </w:p>
        </w:tc>
        <w:tc>
          <w:tcPr>
            <w:tcW w:w="7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项目是否完成</w:t>
            </w:r>
          </w:p>
        </w:tc>
        <w:tc>
          <w:tcPr>
            <w:tcW w:w="946"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是否上级专项资金</w:t>
            </w:r>
          </w:p>
        </w:tc>
      </w:tr>
      <w:tr>
        <w:tblPrEx>
          <w:tblLayout w:type="fixed"/>
          <w:tblCellMar>
            <w:top w:w="0" w:type="dxa"/>
            <w:left w:w="108" w:type="dxa"/>
            <w:bottom w:w="0" w:type="dxa"/>
            <w:right w:w="108" w:type="dxa"/>
          </w:tblCellMar>
        </w:tblPrEx>
        <w:trPr>
          <w:trHeight w:val="657" w:hRule="atLeast"/>
        </w:trPr>
        <w:tc>
          <w:tcPr>
            <w:tcW w:w="355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eastAsia" w:cs="仿宋"/>
                <w:color w:val="000000" w:themeColor="text1"/>
                <w:kern w:val="0"/>
                <w:sz w:val="18"/>
                <w:szCs w:val="18"/>
                <w:highlight w:val="none"/>
                <w:lang w:val="en-US" w:eastAsia="zh-CN"/>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第七次会员代表大会专项经费</w:t>
            </w:r>
          </w:p>
        </w:tc>
        <w:tc>
          <w:tcPr>
            <w:tcW w:w="114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eastAsia" w:ascii="仿宋" w:hAnsi="仿宋" w:eastAsia="仿宋" w:cs="仿宋"/>
                <w:color w:val="000000" w:themeColor="text1"/>
                <w:kern w:val="0"/>
                <w:sz w:val="18"/>
                <w:szCs w:val="18"/>
                <w:highlight w:val="none"/>
                <w:lang w:val="en-US" w:eastAsia="zh-CN"/>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1</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default" w:ascii="仿宋" w:hAnsi="仿宋" w:eastAsia="仿宋" w:cs="仿宋"/>
                <w:color w:val="000000" w:themeColor="text1"/>
                <w:kern w:val="0"/>
                <w:sz w:val="18"/>
                <w:szCs w:val="18"/>
                <w:highlight w:val="none"/>
                <w:lang w:val="en-US" w:eastAsia="zh-CN" w:bidi="ar-SA"/>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1</w:t>
            </w:r>
          </w:p>
        </w:tc>
        <w:tc>
          <w:tcPr>
            <w:tcW w:w="94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 w:hAnsi="仿宋" w:eastAsia="仿宋" w:cs="仿宋"/>
                <w:color w:val="000000" w:themeColor="text1"/>
                <w:kern w:val="0"/>
                <w:sz w:val="18"/>
                <w:szCs w:val="18"/>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100.00%</w:t>
            </w:r>
          </w:p>
        </w:tc>
        <w:tc>
          <w:tcPr>
            <w:tcW w:w="7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pPr>
            <w: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t>是</w:t>
            </w:r>
          </w:p>
        </w:tc>
        <w:tc>
          <w:tcPr>
            <w:tcW w:w="94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000000" w:themeColor="text1"/>
                <w:kern w:val="0"/>
                <w:sz w:val="21"/>
                <w:szCs w:val="21"/>
                <w:highlight w:val="none"/>
                <w14:textFill>
                  <w14:solidFill>
                    <w14:schemeClr w14:val="tx1"/>
                  </w14:solidFill>
                </w14:textFill>
              </w:rPr>
            </w:pPr>
            <w: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t>否</w:t>
            </w:r>
          </w:p>
        </w:tc>
      </w:tr>
      <w:tr>
        <w:tblPrEx>
          <w:tblLayout w:type="fixed"/>
          <w:tblCellMar>
            <w:top w:w="0" w:type="dxa"/>
            <w:left w:w="108" w:type="dxa"/>
            <w:bottom w:w="0" w:type="dxa"/>
            <w:right w:w="108" w:type="dxa"/>
          </w:tblCellMar>
        </w:tblPrEx>
        <w:trPr>
          <w:trHeight w:val="397" w:hRule="atLeast"/>
        </w:trPr>
        <w:tc>
          <w:tcPr>
            <w:tcW w:w="355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eastAsia" w:cs="仿宋"/>
                <w:color w:val="000000" w:themeColor="text1"/>
                <w:kern w:val="0"/>
                <w:sz w:val="18"/>
                <w:szCs w:val="18"/>
                <w:highlight w:val="none"/>
                <w:lang w:val="en-US" w:eastAsia="zh-CN"/>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2022年“访惠聚”驻村（社区）工作经费</w:t>
            </w:r>
          </w:p>
        </w:tc>
        <w:tc>
          <w:tcPr>
            <w:tcW w:w="114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default" w:ascii="仿宋" w:hAnsi="仿宋" w:eastAsia="仿宋" w:cs="仿宋"/>
                <w:color w:val="000000" w:themeColor="text1"/>
                <w:kern w:val="0"/>
                <w:sz w:val="18"/>
                <w:szCs w:val="18"/>
                <w:highlight w:val="none"/>
                <w:lang w:val="en-US" w:eastAsia="zh-CN"/>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13</w:t>
            </w:r>
          </w:p>
        </w:tc>
        <w:tc>
          <w:tcPr>
            <w:tcW w:w="1155"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firstLine="360" w:firstLineChars="200"/>
              <w:jc w:val="center"/>
              <w:textAlignment w:val="center"/>
              <w:rPr>
                <w:rFonts w:hint="eastAsia" w:ascii="仿宋" w:hAnsi="仿宋" w:eastAsia="仿宋" w:cs="仿宋"/>
                <w:color w:val="000000" w:themeColor="text1"/>
                <w:kern w:val="0"/>
                <w:sz w:val="18"/>
                <w:szCs w:val="18"/>
                <w:highlight w:val="none"/>
                <w:lang w:val="en-US" w:eastAsia="zh-CN" w:bidi="ar-SA"/>
                <w14:textFill>
                  <w14:solidFill>
                    <w14:schemeClr w14:val="tx1"/>
                  </w14:solidFill>
                </w14:textFill>
              </w:rPr>
            </w:pPr>
            <w:r>
              <w:rPr>
                <w:rFonts w:hint="eastAsia" w:cs="仿宋"/>
                <w:color w:val="000000" w:themeColor="text1"/>
                <w:kern w:val="0"/>
                <w:sz w:val="18"/>
                <w:szCs w:val="18"/>
                <w:highlight w:val="none"/>
                <w:lang w:val="en-US" w:eastAsia="zh-CN"/>
                <w14:textFill>
                  <w14:solidFill>
                    <w14:schemeClr w14:val="tx1"/>
                  </w14:solidFill>
                </w14:textFill>
              </w:rPr>
              <w:t>13</w:t>
            </w:r>
          </w:p>
        </w:tc>
        <w:tc>
          <w:tcPr>
            <w:tcW w:w="945"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 w:hAnsi="仿宋" w:eastAsia="仿宋" w:cs="仿宋"/>
                <w:color w:val="000000" w:themeColor="text1"/>
                <w:kern w:val="0"/>
                <w:sz w:val="18"/>
                <w:szCs w:val="18"/>
                <w:highlight w:val="none"/>
                <w14:textFill>
                  <w14:solidFill>
                    <w14:schemeClr w14:val="tx1"/>
                  </w14:solidFill>
                </w14:textFill>
              </w:rPr>
            </w:pPr>
            <w:r>
              <w:rPr>
                <w:rFonts w:hint="eastAsia" w:ascii="仿宋_GB2312" w:hAnsi="宋体" w:eastAsia="仿宋_GB2312" w:cs="宋体"/>
                <w:color w:val="000000" w:themeColor="text1"/>
                <w:kern w:val="0"/>
                <w:sz w:val="18"/>
                <w:szCs w:val="18"/>
                <w:highlight w:val="none"/>
                <w:lang w:val="en-US" w:eastAsia="zh-CN"/>
                <w14:textFill>
                  <w14:solidFill>
                    <w14:schemeClr w14:val="tx1"/>
                  </w14:solidFill>
                </w14:textFill>
              </w:rPr>
              <w:t>100.00%</w:t>
            </w:r>
          </w:p>
        </w:tc>
        <w:tc>
          <w:tcPr>
            <w:tcW w:w="7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000000" w:themeColor="text1"/>
                <w:kern w:val="0"/>
                <w:sz w:val="21"/>
                <w:szCs w:val="21"/>
                <w:highlight w:val="none"/>
                <w14:textFill>
                  <w14:solidFill>
                    <w14:schemeClr w14:val="tx1"/>
                  </w14:solidFill>
                </w14:textFill>
              </w:rPr>
            </w:pPr>
            <w: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t>是</w:t>
            </w:r>
          </w:p>
        </w:tc>
        <w:tc>
          <w:tcPr>
            <w:tcW w:w="94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000000" w:themeColor="text1"/>
                <w:kern w:val="0"/>
                <w:sz w:val="21"/>
                <w:szCs w:val="21"/>
                <w:highlight w:val="none"/>
                <w14:textFill>
                  <w14:solidFill>
                    <w14:schemeClr w14:val="tx1"/>
                  </w14:solidFill>
                </w14:textFill>
              </w:rPr>
            </w:pPr>
            <w:r>
              <w:rPr>
                <w:rFonts w:hint="eastAsia" w:ascii="仿宋_GB2312" w:hAnsi="宋体" w:eastAsia="仿宋_GB2312" w:cs="宋体"/>
                <w:color w:val="000000" w:themeColor="text1"/>
                <w:kern w:val="0"/>
                <w:sz w:val="21"/>
                <w:szCs w:val="21"/>
                <w:highlight w:val="none"/>
                <w:lang w:eastAsia="zh-CN"/>
                <w14:textFill>
                  <w14:solidFill>
                    <w14:schemeClr w14:val="tx1"/>
                  </w14:solidFill>
                </w14:textFill>
              </w:rPr>
              <w:t>否</w:t>
            </w:r>
          </w:p>
        </w:tc>
      </w:tr>
      <w:tr>
        <w:tblPrEx>
          <w:tblLayout w:type="fixed"/>
          <w:tblCellMar>
            <w:top w:w="0" w:type="dxa"/>
            <w:left w:w="108" w:type="dxa"/>
            <w:bottom w:w="0" w:type="dxa"/>
            <w:right w:w="108" w:type="dxa"/>
          </w:tblCellMar>
        </w:tblPrEx>
        <w:trPr>
          <w:trHeight w:val="397" w:hRule="atLeast"/>
        </w:trPr>
        <w:tc>
          <w:tcPr>
            <w:tcW w:w="3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b/>
                <w:bCs/>
                <w:color w:val="000000" w:themeColor="text1"/>
                <w:kern w:val="0"/>
                <w:sz w:val="21"/>
                <w:szCs w:val="21"/>
                <w:highlight w:val="none"/>
                <w14:textFill>
                  <w14:solidFill>
                    <w14:schemeClr w14:val="tx1"/>
                  </w14:solidFill>
                </w14:textFill>
              </w:rPr>
            </w:pPr>
            <w:r>
              <w:rPr>
                <w:rFonts w:hint="eastAsia" w:ascii="仿宋_GB2312" w:hAnsi="宋体" w:eastAsia="仿宋_GB2312" w:cs="宋体"/>
                <w:b/>
                <w:bCs/>
                <w:color w:val="000000" w:themeColor="text1"/>
                <w:kern w:val="0"/>
                <w:sz w:val="21"/>
                <w:szCs w:val="21"/>
                <w:highlight w:val="none"/>
                <w14:textFill>
                  <w14:solidFill>
                    <w14:schemeClr w14:val="tx1"/>
                  </w14:solidFill>
                </w14:textFill>
              </w:rPr>
              <w:t>合计</w:t>
            </w:r>
          </w:p>
        </w:tc>
        <w:tc>
          <w:tcPr>
            <w:tcW w:w="11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1"/>
                <w:szCs w:val="21"/>
                <w:highlight w:val="none"/>
                <w:lang w:val="en-US" w:eastAsia="zh-CN"/>
                <w14:textFill>
                  <w14:solidFill>
                    <w14:schemeClr w14:val="tx1"/>
                  </w14:solidFill>
                </w14:textFill>
              </w:rPr>
              <w:t>14</w:t>
            </w:r>
          </w:p>
        </w:tc>
        <w:tc>
          <w:tcPr>
            <w:tcW w:w="11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1"/>
                <w:szCs w:val="21"/>
                <w:highlight w:val="none"/>
                <w:lang w:val="en-US" w:eastAsia="zh-CN"/>
                <w14:textFill>
                  <w14:solidFill>
                    <w14:schemeClr w14:val="tx1"/>
                  </w14:solidFill>
                </w14:textFill>
              </w:rPr>
              <w:t>14</w:t>
            </w:r>
          </w:p>
        </w:tc>
        <w:tc>
          <w:tcPr>
            <w:tcW w:w="94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000000" w:themeColor="text1"/>
                <w:kern w:val="0"/>
                <w:sz w:val="21"/>
                <w:szCs w:val="21"/>
                <w:highlight w:val="none"/>
                <w:lang w:val="en-US" w:eastAsia="zh-CN"/>
                <w14:textFill>
                  <w14:solidFill>
                    <w14:schemeClr w14:val="tx1"/>
                  </w14:solidFill>
                </w14:textFill>
              </w:rPr>
            </w:pPr>
            <w:r>
              <w:rPr>
                <w:rFonts w:hint="eastAsia" w:ascii="仿宋_GB2312" w:hAnsi="宋体" w:eastAsia="仿宋_GB2312" w:cs="宋体"/>
                <w:color w:val="000000" w:themeColor="text1"/>
                <w:kern w:val="0"/>
                <w:sz w:val="20"/>
                <w:szCs w:val="20"/>
                <w:highlight w:val="none"/>
                <w:lang w:val="en-US" w:eastAsia="zh-CN"/>
                <w14:textFill>
                  <w14:solidFill>
                    <w14:schemeClr w14:val="tx1"/>
                  </w14:solidFill>
                </w14:textFill>
              </w:rPr>
              <w:t>100.00%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color w:val="000000" w:themeColor="text1"/>
                <w:kern w:val="0"/>
                <w:sz w:val="21"/>
                <w:szCs w:val="21"/>
                <w:highlight w:val="none"/>
                <w14:textFill>
                  <w14:solidFill>
                    <w14:schemeClr w14:val="tx1"/>
                  </w14:solidFill>
                </w14:textFill>
              </w:rPr>
            </w:pPr>
          </w:p>
        </w:tc>
        <w:tc>
          <w:tcPr>
            <w:tcW w:w="94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000000" w:themeColor="text1"/>
                <w:kern w:val="0"/>
                <w:sz w:val="21"/>
                <w:szCs w:val="21"/>
                <w:highlight w:val="none"/>
                <w14:textFill>
                  <w14:solidFill>
                    <w14:schemeClr w14:val="tx1"/>
                  </w14:solidFill>
                </w14:textFill>
              </w:rPr>
            </w:pPr>
          </w:p>
        </w:tc>
      </w:tr>
    </w:tbl>
    <w:p>
      <w:pPr>
        <w:numPr>
          <w:ilvl w:val="0"/>
          <w:numId w:val="0"/>
        </w:numPr>
        <w:rPr>
          <w:rFonts w:ascii="仿宋_GB2312" w:eastAsia="仿宋_GB2312"/>
          <w:b/>
          <w:bCs/>
          <w:color w:val="auto"/>
          <w:sz w:val="32"/>
          <w:szCs w:val="32"/>
        </w:rPr>
      </w:pP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万元。结转项目主要为:</w:t>
      </w:r>
      <w:r>
        <w:rPr>
          <w:rFonts w:hint="eastAsia" w:ascii="仿宋_GB2312" w:eastAsia="仿宋_GB2312" w:cs="仿宋"/>
          <w:color w:val="auto"/>
          <w:sz w:val="32"/>
          <w:szCs w:val="32"/>
          <w:lang w:eastAsia="zh-CN"/>
        </w:rPr>
        <w:t>无。</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0"/>
        <w:rPr>
          <w:rFonts w:ascii="楷体_GB2312" w:eastAsia="楷体_GB2312"/>
          <w:color w:val="auto"/>
          <w:szCs w:val="32"/>
        </w:rPr>
      </w:pPr>
      <w:r>
        <w:rPr>
          <w:rFonts w:hint="eastAsia" w:ascii="楷体_GB2312" w:eastAsia="楷体_GB2312"/>
          <w:color w:val="auto"/>
          <w:szCs w:val="32"/>
        </w:rPr>
        <w:t>（一）专项组织情况分析</w:t>
      </w:r>
    </w:p>
    <w:p>
      <w:pPr>
        <w:ind w:firstLine="640"/>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pStyle w:val="6"/>
        <w:ind w:firstLine="640"/>
        <w:rPr>
          <w:rFonts w:ascii="仿宋_GB2312" w:eastAsia="仿宋_GB2312"/>
          <w:color w:val="auto"/>
          <w:sz w:val="32"/>
          <w:szCs w:val="32"/>
        </w:rPr>
      </w:pPr>
      <w:r>
        <w:rPr>
          <w:rFonts w:hint="eastAsia" w:ascii="仿宋_GB2312" w:eastAsia="仿宋_GB2312"/>
          <w:color w:val="auto"/>
          <w:sz w:val="32"/>
          <w:szCs w:val="32"/>
        </w:rPr>
        <w:t>注：以下数据需与决算报表数据保持一致</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12.64</w:t>
      </w:r>
      <w:r>
        <w:rPr>
          <w:rFonts w:hint="eastAsia" w:ascii="仿宋_GB2312" w:eastAsia="仿宋_GB2312"/>
          <w:color w:val="auto"/>
          <w:sz w:val="32"/>
          <w:szCs w:val="32"/>
        </w:rPr>
        <w:t>万元，较年初资产总额</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1.82</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上升</w:t>
      </w:r>
      <w:r>
        <w:rPr>
          <w:rFonts w:hint="eastAsia" w:ascii="仿宋_GB2312" w:eastAsia="仿宋_GB2312"/>
          <w:color w:val="auto"/>
          <w:sz w:val="32"/>
          <w:szCs w:val="32"/>
          <w:lang w:val="en-US" w:eastAsia="zh-CN"/>
        </w:rPr>
        <w:t>16.82</w:t>
      </w:r>
      <w:r>
        <w:rPr>
          <w:rFonts w:hint="eastAsia" w:ascii="仿宋_GB2312" w:eastAsia="仿宋_GB2312"/>
          <w:color w:val="auto"/>
          <w:sz w:val="32"/>
          <w:szCs w:val="32"/>
        </w:rPr>
        <w:t>%，其中：</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7.86</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6.27</w:t>
      </w:r>
      <w:r>
        <w:rPr>
          <w:rFonts w:hint="eastAsia" w:ascii="仿宋_GB2312" w:eastAsia="仿宋_GB2312"/>
          <w:color w:val="auto"/>
          <w:sz w:val="32"/>
          <w:szCs w:val="32"/>
        </w:rPr>
        <w:t>万元，较年初流动资产减少</w:t>
      </w:r>
      <w:r>
        <w:rPr>
          <w:rFonts w:hint="eastAsia" w:ascii="仿宋_GB2312" w:eastAsia="仿宋_GB2312"/>
          <w:color w:val="auto"/>
          <w:sz w:val="32"/>
          <w:szCs w:val="32"/>
          <w:lang w:val="en-US" w:eastAsia="zh-CN"/>
        </w:rPr>
        <w:t>1.59</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20.23</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业务工作增加。</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22.07</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25.12</w:t>
      </w:r>
      <w:r>
        <w:rPr>
          <w:rFonts w:hint="eastAsia" w:ascii="仿宋_GB2312" w:eastAsia="仿宋_GB2312"/>
          <w:color w:val="auto"/>
          <w:sz w:val="32"/>
          <w:szCs w:val="32"/>
        </w:rPr>
        <w:t>万元，较年初固定资产</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3.05</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上升</w:t>
      </w:r>
      <w:r>
        <w:rPr>
          <w:rFonts w:hint="eastAsia" w:ascii="仿宋_GB2312" w:eastAsia="仿宋_GB2312"/>
          <w:color w:val="auto"/>
          <w:sz w:val="32"/>
          <w:szCs w:val="32"/>
          <w:lang w:val="en-US" w:eastAsia="zh-CN"/>
        </w:rPr>
        <w:t>13.82</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工作队购买办公设备，价值</w:t>
      </w:r>
      <w:r>
        <w:rPr>
          <w:rFonts w:hint="eastAsia" w:ascii="仿宋_GB2312" w:eastAsia="仿宋_GB2312"/>
          <w:color w:val="auto"/>
          <w:sz w:val="32"/>
          <w:szCs w:val="32"/>
          <w:lang w:val="en-US" w:eastAsia="zh-CN"/>
        </w:rPr>
        <w:t>3万元</w:t>
      </w:r>
      <w:r>
        <w:rPr>
          <w:rFonts w:hint="eastAsia" w:ascii="仿宋_GB2312" w:eastAsia="仿宋_GB2312"/>
          <w:color w:val="auto"/>
          <w:sz w:val="32"/>
          <w:szCs w:val="32"/>
        </w:rPr>
        <w:t>。</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2022年度，昌吉市工商业联合会部门单位整体支出绩效目标共设置一级指标3个，二级指标7个，三级指标12个，其中：已完成三级指标12个，指标完成率为100.0%。</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1.产出指标完成情况分析</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（1）数量指标</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保障办公人员数量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=10.00人</w:t>
      </w:r>
      <w:r>
        <w:rPr>
          <w:rFonts w:hint="eastAsia" w:ascii="仿宋_GB2312" w:eastAsia="仿宋_GB2312"/>
          <w:color w:val="auto"/>
          <w:sz w:val="32"/>
          <w:szCs w:val="32"/>
          <w:highlight w:val="none"/>
        </w:rPr>
        <w:t>”，实际</w:t>
      </w:r>
      <w:r>
        <w:rPr>
          <w:rFonts w:hint="eastAsia" w:ascii="仿宋_GB2312" w:hAnsi="仿宋" w:eastAsia="仿宋_GB2312" w:cs="Times New Roman"/>
          <w:b w:val="0"/>
          <w:bCs w:val="0"/>
          <w:color w:val="auto"/>
          <w:kern w:val="2"/>
          <w:sz w:val="32"/>
          <w:szCs w:val="32"/>
          <w:highlight w:val="none"/>
          <w:lang w:val="en-US" w:eastAsia="zh-CN" w:bidi="ar-SA"/>
        </w:rPr>
        <w:t>完成指标值为“=10人”，指标完成率为100.0%;</w:t>
      </w:r>
    </w:p>
    <w:p>
      <w:pPr>
        <w:pStyle w:val="5"/>
        <w:rPr>
          <w:color w:val="auto"/>
          <w:highlight w:val="yellow"/>
        </w:rPr>
      </w:pPr>
      <w:r>
        <w:rPr>
          <w:rFonts w:hint="eastAsia" w:ascii="仿宋_GB2312" w:hAnsi="仿宋" w:eastAsia="仿宋_GB2312" w:cs="Times New Roman"/>
          <w:b w:val="0"/>
          <w:bCs w:val="0"/>
          <w:color w:val="auto"/>
          <w:kern w:val="2"/>
          <w:sz w:val="32"/>
          <w:szCs w:val="32"/>
          <w:highlight w:val="none"/>
          <w:lang w:val="en-US" w:eastAsia="zh-CN" w:bidi="ar-SA"/>
        </w:rPr>
        <w:t>“公务用车保障数量”指标：预期指标值为“=1.00辆”，实际完成指标值为“=1辆”，指标完成率为100.0%;</w:t>
      </w:r>
    </w:p>
    <w:p>
      <w:pPr>
        <w:numPr>
          <w:ilvl w:val="0"/>
          <w:numId w:val="8"/>
        </w:numPr>
        <w:ind w:left="-80" w:leftChars="0" w:firstLine="640" w:firstLineChars="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质量指标</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“资金有效使用率”指标：预期指标值为“≥100%”，实际完成指标值为“≥100%”，指标完成率为100.0%;</w:t>
      </w:r>
    </w:p>
    <w:p>
      <w:pPr>
        <w:pStyle w:val="2"/>
        <w:rPr>
          <w:rFonts w:hint="default" w:ascii="仿宋_GB2312" w:hAnsi="仿宋" w:eastAsia="仿宋_GB2312" w:cs="Times New Roman"/>
          <w:b w:val="0"/>
          <w:bCs w:val="0"/>
          <w:color w:val="auto"/>
          <w:kern w:val="2"/>
          <w:sz w:val="32"/>
          <w:szCs w:val="32"/>
          <w:highlight w:val="none"/>
          <w:lang w:val="en-US" w:eastAsia="zh-CN" w:bidi="ar-SA"/>
        </w:rPr>
      </w:pPr>
      <w:r>
        <w:rPr>
          <w:rFonts w:hint="default" w:ascii="仿宋_GB2312" w:hAnsi="仿宋" w:eastAsia="仿宋_GB2312" w:cs="Times New Roman"/>
          <w:b w:val="0"/>
          <w:bCs w:val="0"/>
          <w:color w:val="auto"/>
          <w:kern w:val="2"/>
          <w:sz w:val="32"/>
          <w:szCs w:val="32"/>
          <w:highlight w:val="none"/>
          <w:lang w:val="en-US" w:eastAsia="zh-CN" w:bidi="ar-SA"/>
        </w:rPr>
        <w:t>“补助足额发放率”</w:t>
      </w:r>
      <w:r>
        <w:rPr>
          <w:rFonts w:hint="eastAsia" w:ascii="仿宋_GB2312" w:hAnsi="仿宋" w:eastAsia="仿宋_GB2312" w:cs="Times New Roman"/>
          <w:b w:val="0"/>
          <w:bCs w:val="0"/>
          <w:color w:val="auto"/>
          <w:kern w:val="2"/>
          <w:sz w:val="32"/>
          <w:szCs w:val="32"/>
          <w:highlight w:val="none"/>
          <w:lang w:val="en-US" w:eastAsia="zh-CN" w:bidi="ar-SA"/>
        </w:rPr>
        <w:t>指标：预期指标值为“≥100%”，实际完成指标值为“≥100%”，指标完成率为100.0%;</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公用经费支付及时率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完成时间</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2022年12月31日</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人员保障经费</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=119.86万元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=119.86万元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运转保障经费</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&gt;=9.63万元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&gt;=9.63万元</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5"/>
        <w:rPr>
          <w:rFonts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促进商会和会员企业健康发展</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eastAsia="zh-CN"/>
        </w:rPr>
        <w:t>有效促进</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（3）生态效益</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无此项指标</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（4）可持续影响</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eastAsia="仿宋_GB2312"/>
          <w:color w:val="auto"/>
          <w:sz w:val="32"/>
          <w:szCs w:val="32"/>
          <w:highlight w:val="none"/>
          <w:lang w:eastAsia="zh-CN"/>
        </w:rPr>
        <w:t>“增强基层商会和会员企业可持续发展能力”指标：预期指标值为“有效增强”，实际完成指标值为“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eastAsia="zh-CN"/>
        </w:rPr>
        <w:t>”，指</w:t>
      </w:r>
      <w:r>
        <w:rPr>
          <w:rFonts w:hint="eastAsia" w:ascii="仿宋_GB2312" w:hAnsi="仿宋" w:eastAsia="仿宋_GB2312" w:cs="Times New Roman"/>
          <w:b w:val="0"/>
          <w:bCs w:val="0"/>
          <w:color w:val="auto"/>
          <w:kern w:val="2"/>
          <w:sz w:val="32"/>
          <w:szCs w:val="32"/>
          <w:highlight w:val="none"/>
          <w:lang w:val="en-US" w:eastAsia="zh-CN" w:bidi="ar-SA"/>
        </w:rPr>
        <w:t>标完成率为100.0%;</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商会及会员企业满意度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&gt;=98.00%</w:t>
      </w:r>
      <w:r>
        <w:rPr>
          <w:rFonts w:hint="eastAsia" w:ascii="仿宋_GB2312" w:eastAsia="仿宋_GB2312"/>
          <w:color w:val="auto"/>
          <w:sz w:val="32"/>
          <w:szCs w:val="32"/>
          <w:highlight w:val="none"/>
        </w:rPr>
        <w:t>”，实际完成指标值为“&gt;=100%”，指标完成率为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职工满意度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&gt;=98.00%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&gt;=100%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pP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rPr>
        <w:t>202</w:t>
      </w:r>
      <w:r>
        <w:rPr>
          <w:rFonts w:hint="eastAsia" w:ascii="仿宋_GB2312" w:eastAsia="仿宋_GB2312"/>
          <w:color w:val="auto"/>
          <w:spacing w:val="-4"/>
          <w:sz w:val="32"/>
          <w:szCs w:val="32"/>
          <w:lang w:val="en-US" w:eastAsia="zh-CN"/>
        </w:rPr>
        <w:t>2</w:t>
      </w:r>
      <w:r>
        <w:rPr>
          <w:rFonts w:hint="eastAsia" w:ascii="仿宋_GB2312" w:eastAsia="仿宋_GB2312"/>
          <w:color w:val="auto"/>
          <w:spacing w:val="-4"/>
          <w:sz w:val="32"/>
          <w:szCs w:val="32"/>
        </w:rPr>
        <w:t>年本单位整体支出绩效目标全部达成，不存在未完成原因分析。</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ind w:firstLine="624"/>
        <w:jc w:val="left"/>
        <w:rPr>
          <w:rFonts w:ascii="仿宋_GB2312" w:hAnsi="宋体" w:eastAsia="仿宋_GB2312" w:cs="宋体"/>
          <w:color w:val="auto"/>
          <w:kern w:val="0"/>
          <w:sz w:val="32"/>
          <w:szCs w:val="32"/>
        </w:rPr>
      </w:pPr>
      <w:r>
        <w:rPr>
          <w:rFonts w:hint="eastAsia" w:ascii="仿宋_GB2312" w:eastAsia="仿宋_GB2312"/>
          <w:bCs/>
          <w:color w:val="auto"/>
          <w:spacing w:val="-4"/>
          <w:sz w:val="32"/>
          <w:szCs w:val="32"/>
        </w:rPr>
        <w:t>存在的问题：在</w:t>
      </w:r>
      <w:r>
        <w:rPr>
          <w:rFonts w:hint="eastAsia" w:ascii="仿宋_GB2312" w:hAnsi="宋体" w:eastAsia="仿宋_GB2312" w:cs="宋体"/>
          <w:color w:val="auto"/>
          <w:kern w:val="0"/>
          <w:sz w:val="32"/>
          <w:szCs w:val="32"/>
        </w:rPr>
        <w:t>预算绩效实施过程中管理不够科学严谨，执行不够全面准确。</w:t>
      </w:r>
    </w:p>
    <w:p>
      <w:pPr>
        <w:ind w:firstLine="64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改进措施： 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pPr>
        <w:pStyle w:val="3"/>
        <w:ind w:firstLine="640"/>
        <w:rPr>
          <w:rFonts w:ascii="黑体" w:hAnsi="黑体"/>
          <w:b w:val="0"/>
          <w:color w:val="auto"/>
          <w:sz w:val="32"/>
          <w:szCs w:val="32"/>
        </w:rPr>
      </w:pPr>
      <w:r>
        <w:rPr>
          <w:rFonts w:hint="eastAsia" w:ascii="黑体" w:hAnsi="黑体"/>
          <w:b w:val="0"/>
          <w:color w:val="auto"/>
          <w:sz w:val="32"/>
          <w:szCs w:val="32"/>
        </w:rPr>
        <w:t>八、附表</w:t>
      </w:r>
    </w:p>
    <w:p>
      <w:pPr>
        <w:ind w:firstLine="640"/>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tbl>
      <w:tblPr>
        <w:tblStyle w:val="10"/>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64"/>
        <w:gridCol w:w="664"/>
        <w:gridCol w:w="664"/>
        <w:gridCol w:w="664"/>
        <w:gridCol w:w="1021"/>
        <w:gridCol w:w="1021"/>
        <w:gridCol w:w="753"/>
        <w:gridCol w:w="1111"/>
        <w:gridCol w:w="1021"/>
        <w:gridCol w:w="7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00" w:hRule="atLeast"/>
        </w:trPr>
        <w:tc>
          <w:tcPr>
            <w:tcW w:w="8336"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680" w:hRule="atLeast"/>
        </w:trPr>
        <w:tc>
          <w:tcPr>
            <w:tcW w:w="8336" w:type="dxa"/>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40" w:hRule="atLeast"/>
        </w:trPr>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6344"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昌吉市工商业联合会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13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2795" w:type="dxa"/>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288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4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3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328"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人员保障</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统筹协调保障人员经费</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119.86</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119.86</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119.86</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119.86</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0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328"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运转保障</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指导推进及保障部门日常工作</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9.63</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9.63</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9.63</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9.63</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992"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1021"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129.49</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129.49</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129.49</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129.49</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465"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3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4659" w:type="dxa"/>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6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301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昌吉市工商业联合会2022年度计划投入129.49万</w:t>
            </w:r>
            <w:bookmarkStart w:id="0" w:name="_GoBack"/>
            <w:bookmarkEnd w:id="0"/>
            <w:r>
              <w:rPr>
                <w:rFonts w:hint="eastAsia" w:ascii="宋体" w:hAnsi="宋体" w:eastAsia="宋体" w:cs="宋体"/>
                <w:i w:val="0"/>
                <w:color w:val="000000"/>
                <w:kern w:val="0"/>
                <w:sz w:val="22"/>
                <w:szCs w:val="22"/>
                <w:u w:val="none"/>
                <w:lang w:val="en-US" w:eastAsia="zh-CN" w:bidi="ar"/>
              </w:rPr>
              <w:t>元，主要用于保障在职人员10人的日常办公，及1辆公务用车的正常运转，群众满意度达到98%及以上。开展非公有制经济人士思想政治工作，深化理想信念教育实践活动；在非公有制企业和非公有制经济人士中宣传贯彻党的理论和路线方针政策，及时向政府反映非公有制经济发展动态和非公有制经济人士利益诉求，为非公有制经济健康发展营造良好环境；充分发挥在政治协商、参政议政、民主监督中的作用；引导非公有制经济人士投身光彩事业和公益慈善事业；为非公有制企业提供信息、法律、融资、技术、人才等方面服务。</w:t>
            </w:r>
          </w:p>
        </w:tc>
        <w:tc>
          <w:tcPr>
            <w:tcW w:w="4659" w:type="dxa"/>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工商业联合会2022年度使用129.49万元，主要用于保障在职人员10人的日常办公，及1辆公务用车的正常运转，群众满意度达到98%及以上。开展非公有制经济人士思想政治工作，深化理想信念教育实践活动；在非公有制企业和非公有制经济人士中宣传贯彻党的理论和路线方针政策，及时向政府反映非公有制经济发展动态和非公有制经济人士利益诉求，为非公有制经济健康发展营造良好环境；充分发挥在政治协商、参政议政、民主监督中的作用；引导非公有制经济人士投身光彩事业和公益慈善事业；为非公有制企业提供信息、法律、融资、技术、人才等方面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80" w:hRule="atLeast"/>
        </w:trPr>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保障办公人员数量</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=10.00人</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=10人</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公务用车保障数量</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=1.00辆</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=1辆</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资金有效使用率</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补助足额发放率</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&gt;=100.00%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公用经费支付及时率</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完成时间</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2022年12月31日</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人员保障经费</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=119.86万元</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=119.86万元</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运转保障经费</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&gt;=9.63万元</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&gt;=9.63万元</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促进商会和会员企业健康发展</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有效促进</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增强基层商会和会员企业可持续发展能力</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有效增强</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66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商会及会员企业满意度</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&gt;=98.00%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80" w:hRule="atLeast"/>
        </w:trPr>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66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16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职工满意度</w:t>
            </w:r>
          </w:p>
        </w:tc>
        <w:tc>
          <w:tcPr>
            <w:tcW w:w="177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&gt;=98.00%</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&gt;=100%</w:t>
            </w:r>
          </w:p>
        </w:tc>
        <w:tc>
          <w:tcPr>
            <w:tcW w:w="10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bl>
    <w:p>
      <w:pPr>
        <w:pStyle w:val="5"/>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pPr>
        <w:ind w:left="-80"/>
      </w:pPr>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3"/>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197598"/>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B43796"/>
    <w:rsid w:val="01C42D66"/>
    <w:rsid w:val="02C15BF6"/>
    <w:rsid w:val="02C47C12"/>
    <w:rsid w:val="033E7CA0"/>
    <w:rsid w:val="03673532"/>
    <w:rsid w:val="0379691F"/>
    <w:rsid w:val="03BE7262"/>
    <w:rsid w:val="04313FCA"/>
    <w:rsid w:val="046072C6"/>
    <w:rsid w:val="048C34B8"/>
    <w:rsid w:val="04993586"/>
    <w:rsid w:val="049D20FD"/>
    <w:rsid w:val="04C42719"/>
    <w:rsid w:val="04DF6C0B"/>
    <w:rsid w:val="04F97781"/>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88335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B0448"/>
    <w:rsid w:val="0E9E33B0"/>
    <w:rsid w:val="0EF905AA"/>
    <w:rsid w:val="0F140AC0"/>
    <w:rsid w:val="0F14215B"/>
    <w:rsid w:val="0F3C74C6"/>
    <w:rsid w:val="0FE06440"/>
    <w:rsid w:val="1049193F"/>
    <w:rsid w:val="10566744"/>
    <w:rsid w:val="10625CF9"/>
    <w:rsid w:val="10950DBA"/>
    <w:rsid w:val="10A035D8"/>
    <w:rsid w:val="10B52A92"/>
    <w:rsid w:val="10D40475"/>
    <w:rsid w:val="113051CE"/>
    <w:rsid w:val="114E5553"/>
    <w:rsid w:val="1193547A"/>
    <w:rsid w:val="1199679A"/>
    <w:rsid w:val="11B513B1"/>
    <w:rsid w:val="11C51460"/>
    <w:rsid w:val="12160F32"/>
    <w:rsid w:val="122912CF"/>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B532D6"/>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7A6E66"/>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562B0"/>
    <w:rsid w:val="23BA6588"/>
    <w:rsid w:val="23DC635E"/>
    <w:rsid w:val="23DF7B59"/>
    <w:rsid w:val="248879F4"/>
    <w:rsid w:val="24A97FDF"/>
    <w:rsid w:val="24BC01CD"/>
    <w:rsid w:val="24C25CD7"/>
    <w:rsid w:val="24D73DEE"/>
    <w:rsid w:val="24D96D65"/>
    <w:rsid w:val="24E04C2E"/>
    <w:rsid w:val="25452366"/>
    <w:rsid w:val="25543C1E"/>
    <w:rsid w:val="256E5D87"/>
    <w:rsid w:val="258917A9"/>
    <w:rsid w:val="25A82154"/>
    <w:rsid w:val="25FC1269"/>
    <w:rsid w:val="2608337D"/>
    <w:rsid w:val="260C06F0"/>
    <w:rsid w:val="2620433E"/>
    <w:rsid w:val="265B5408"/>
    <w:rsid w:val="269D5137"/>
    <w:rsid w:val="26BD3A0A"/>
    <w:rsid w:val="26BE70D6"/>
    <w:rsid w:val="26C301BC"/>
    <w:rsid w:val="26D424C1"/>
    <w:rsid w:val="26E81C8F"/>
    <w:rsid w:val="26F02D0C"/>
    <w:rsid w:val="26FD226B"/>
    <w:rsid w:val="27006B49"/>
    <w:rsid w:val="27367DFA"/>
    <w:rsid w:val="273C2CA3"/>
    <w:rsid w:val="275339B7"/>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F349FD"/>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1D0B20"/>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8265E4"/>
    <w:rsid w:val="40F61FC7"/>
    <w:rsid w:val="410A06F9"/>
    <w:rsid w:val="4125037B"/>
    <w:rsid w:val="413357D7"/>
    <w:rsid w:val="41447D45"/>
    <w:rsid w:val="41977304"/>
    <w:rsid w:val="41CD393D"/>
    <w:rsid w:val="41F949FB"/>
    <w:rsid w:val="42075D34"/>
    <w:rsid w:val="421630C6"/>
    <w:rsid w:val="42211A5C"/>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7CF12BD"/>
    <w:rsid w:val="48035F02"/>
    <w:rsid w:val="4860434A"/>
    <w:rsid w:val="48D908C8"/>
    <w:rsid w:val="490010A1"/>
    <w:rsid w:val="493537CF"/>
    <w:rsid w:val="49460D45"/>
    <w:rsid w:val="49DE7C64"/>
    <w:rsid w:val="4A74195A"/>
    <w:rsid w:val="4A7A3D76"/>
    <w:rsid w:val="4A8B6AB4"/>
    <w:rsid w:val="4A9F3033"/>
    <w:rsid w:val="4AAE190E"/>
    <w:rsid w:val="4AE70AB8"/>
    <w:rsid w:val="4B63711D"/>
    <w:rsid w:val="4B7E595B"/>
    <w:rsid w:val="4BB07602"/>
    <w:rsid w:val="4BF32BD8"/>
    <w:rsid w:val="4C421049"/>
    <w:rsid w:val="4C5411D7"/>
    <w:rsid w:val="4C546F81"/>
    <w:rsid w:val="4C564361"/>
    <w:rsid w:val="4C5904F7"/>
    <w:rsid w:val="4C99363E"/>
    <w:rsid w:val="4C9C4F4D"/>
    <w:rsid w:val="4CB96723"/>
    <w:rsid w:val="4CE4471C"/>
    <w:rsid w:val="4D8C30FA"/>
    <w:rsid w:val="4D960495"/>
    <w:rsid w:val="4DBF4009"/>
    <w:rsid w:val="4E1A2AF8"/>
    <w:rsid w:val="4E2C167D"/>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4272F"/>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6424A"/>
    <w:rsid w:val="5DAA0B93"/>
    <w:rsid w:val="5DB063E3"/>
    <w:rsid w:val="5DCE0E18"/>
    <w:rsid w:val="5E2A4BFC"/>
    <w:rsid w:val="5EAC236D"/>
    <w:rsid w:val="5EDB0D8B"/>
    <w:rsid w:val="5F3732A8"/>
    <w:rsid w:val="5FC22BFC"/>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1ED52FD"/>
    <w:rsid w:val="62302D5E"/>
    <w:rsid w:val="62A43EEF"/>
    <w:rsid w:val="63277530"/>
    <w:rsid w:val="6352384A"/>
    <w:rsid w:val="64340981"/>
    <w:rsid w:val="644B1C20"/>
    <w:rsid w:val="64613AEF"/>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0075C3"/>
    <w:rsid w:val="68537B47"/>
    <w:rsid w:val="68620DC9"/>
    <w:rsid w:val="68911033"/>
    <w:rsid w:val="68A9552D"/>
    <w:rsid w:val="68C330AE"/>
    <w:rsid w:val="68D52CCF"/>
    <w:rsid w:val="68E45DE3"/>
    <w:rsid w:val="691D1344"/>
    <w:rsid w:val="6934149F"/>
    <w:rsid w:val="6958671E"/>
    <w:rsid w:val="6A281A45"/>
    <w:rsid w:val="6A3B618C"/>
    <w:rsid w:val="6AA103CB"/>
    <w:rsid w:val="6AA75408"/>
    <w:rsid w:val="6AC00211"/>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0C4522"/>
    <w:rsid w:val="6D40311C"/>
    <w:rsid w:val="6DB167DD"/>
    <w:rsid w:val="6DB43590"/>
    <w:rsid w:val="6DB84EBA"/>
    <w:rsid w:val="6E2D7393"/>
    <w:rsid w:val="6E6E6F1D"/>
    <w:rsid w:val="6E82634E"/>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7F05D2"/>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AE84635"/>
    <w:rsid w:val="7B033D7C"/>
    <w:rsid w:val="7B233171"/>
    <w:rsid w:val="7B3423A3"/>
    <w:rsid w:val="7B3943CF"/>
    <w:rsid w:val="7B3B083C"/>
    <w:rsid w:val="7B634CE1"/>
    <w:rsid w:val="7B9C2512"/>
    <w:rsid w:val="7BFB110F"/>
    <w:rsid w:val="7C09409A"/>
    <w:rsid w:val="7C287D7E"/>
    <w:rsid w:val="7C3825FA"/>
    <w:rsid w:val="7CCF0E01"/>
    <w:rsid w:val="7D4B33BB"/>
    <w:rsid w:val="7D7C4CEA"/>
    <w:rsid w:val="7D866779"/>
    <w:rsid w:val="7D9F3F02"/>
    <w:rsid w:val="7DAC164C"/>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TotalTime>
  <ScaleCrop>false</ScaleCrop>
  <LinksUpToDate>false</LinksUpToDate>
  <CharactersWithSpaces>6686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2023-02-17T04:35:02Z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