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widowControl/>
        <w:spacing w:before="100" w:beforeAutospacing="1" w:after="100" w:afterAutospacing="1"/>
        <w:ind w:left="0" w:leftChars="0" w:firstLine="0" w:firstLineChars="0"/>
        <w:jc w:val="center"/>
        <w:outlineLvl w:val="1"/>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昌吉市城市管理局</w:t>
      </w:r>
      <w:r>
        <w:rPr>
          <w:rFonts w:hint="eastAsia" w:ascii="方正小标宋_GBK" w:hAnsi="华文中宋" w:eastAsia="方正小标宋_GBK" w:cs="宋体"/>
          <w:kern w:val="0"/>
          <w:sz w:val="48"/>
          <w:szCs w:val="48"/>
        </w:rPr>
        <w:t>整体支出绩效</w:t>
      </w:r>
    </w:p>
    <w:p>
      <w:pPr>
        <w:widowControl/>
        <w:spacing w:before="100" w:beforeAutospacing="1" w:after="100" w:afterAutospacing="1"/>
        <w:ind w:left="0" w:leftChars="0" w:firstLine="0" w:firstLineChars="0"/>
        <w:jc w:val="center"/>
        <w:outlineLvl w:val="1"/>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widowControl/>
        <w:spacing w:before="100" w:beforeAutospacing="1" w:after="100" w:afterAutospacing="1"/>
        <w:ind w:left="3960" w:leftChars="0" w:hanging="3960" w:hangingChars="1100"/>
        <w:jc w:val="both"/>
        <w:outlineLvl w:val="1"/>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昌吉市城市管理局</w:t>
      </w:r>
    </w:p>
    <w:p>
      <w:pPr>
        <w:spacing w:line="600" w:lineRule="exact"/>
        <w:ind w:left="0" w:leftChars="0" w:firstLine="0" w:firstLineChars="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14</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40" w:firstLineChars="20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昌吉市城市管理局本级下设</w:t>
      </w:r>
      <w:r>
        <w:rPr>
          <w:rFonts w:hint="default" w:ascii="Times New Roman" w:hAnsi="Times New Roman" w:eastAsia="仿宋_GB2312" w:cs="Times New Roman"/>
          <w:color w:val="auto"/>
          <w:sz w:val="32"/>
          <w:szCs w:val="32"/>
          <w:lang w:val="en-US" w:eastAsia="zh-CN"/>
        </w:rPr>
        <w:t>9</w:t>
      </w:r>
      <w:r>
        <w:rPr>
          <w:rFonts w:hint="eastAsia" w:ascii="仿宋_GB2312" w:eastAsia="仿宋_GB2312" w:cs="Times New Roman"/>
          <w:color w:val="auto"/>
          <w:sz w:val="32"/>
          <w:szCs w:val="32"/>
        </w:rPr>
        <w:t>个科室，分别是：党建办、办公室、法制科、督查室(信访办)、计划财务审计科、合同预算科（项目办）、市政公用科、供热燃气办、执法业务科(停车场办）。</w:t>
      </w:r>
    </w:p>
    <w:p>
      <w:pPr>
        <w:numPr>
          <w:ilvl w:val="0"/>
          <w:numId w:val="0"/>
        </w:numPr>
        <w:spacing w:line="5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本部门属</w:t>
      </w:r>
      <w:r>
        <w:rPr>
          <w:rFonts w:hint="eastAsia" w:ascii="仿宋_GB2312" w:hAnsi="宋体" w:eastAsia="仿宋_GB2312" w:cs="宋体"/>
          <w:color w:val="auto"/>
          <w:kern w:val="0"/>
          <w:sz w:val="32"/>
          <w:szCs w:val="32"/>
          <w:lang w:val="en-US" w:eastAsia="zh-CN"/>
        </w:rPr>
        <w:t>行政</w:t>
      </w:r>
      <w:r>
        <w:rPr>
          <w:rFonts w:hint="eastAsia" w:ascii="仿宋_GB2312" w:hAnsi="宋体" w:eastAsia="仿宋_GB2312" w:cs="宋体"/>
          <w:color w:val="auto"/>
          <w:kern w:val="0"/>
          <w:sz w:val="32"/>
          <w:szCs w:val="32"/>
        </w:rPr>
        <w:t>单位下属</w:t>
      </w:r>
      <w:r>
        <w:rPr>
          <w:rFonts w:hint="eastAsia" w:ascii="仿宋_GB2312" w:hAnsi="宋体" w:eastAsia="仿宋_GB2312" w:cs="宋体"/>
          <w:color w:val="auto"/>
          <w:kern w:val="0"/>
          <w:sz w:val="32"/>
          <w:szCs w:val="32"/>
          <w:lang w:val="en-US" w:eastAsia="zh-CN"/>
        </w:rPr>
        <w:t>事业</w:t>
      </w:r>
      <w:r>
        <w:rPr>
          <w:rFonts w:hint="eastAsia" w:ascii="仿宋_GB2312" w:hAnsi="宋体" w:eastAsia="仿宋_GB2312" w:cs="宋体"/>
          <w:color w:val="auto"/>
          <w:kern w:val="0"/>
          <w:sz w:val="32"/>
          <w:szCs w:val="32"/>
        </w:rPr>
        <w:t>单位</w:t>
      </w:r>
      <w:r>
        <w:rPr>
          <w:rFonts w:hint="default" w:ascii="Times New Roman" w:hAnsi="Times New Roman" w:eastAsia="仿宋_GB2312" w:cs="Times New Roman"/>
          <w:color w:val="auto"/>
          <w:kern w:val="0"/>
          <w:sz w:val="32"/>
          <w:szCs w:val="32"/>
          <w:lang w:val="en-US" w:eastAsia="zh-CN"/>
        </w:rPr>
        <w:t>8</w:t>
      </w:r>
      <w:r>
        <w:rPr>
          <w:rFonts w:hint="eastAsia" w:ascii="仿宋_GB2312" w:hAnsi="宋体" w:eastAsia="仿宋_GB2312" w:cs="宋体"/>
          <w:color w:val="auto"/>
          <w:kern w:val="0"/>
          <w:sz w:val="32"/>
          <w:szCs w:val="32"/>
        </w:rPr>
        <w:t>家,</w:t>
      </w:r>
      <w:r>
        <w:rPr>
          <w:rFonts w:hint="eastAsia" w:ascii="仿宋_GB2312" w:hAnsi="宋体" w:eastAsia="仿宋_GB2312" w:cs="宋体"/>
          <w:color w:val="auto"/>
          <w:kern w:val="0"/>
          <w:sz w:val="32"/>
          <w:szCs w:val="32"/>
          <w:lang w:val="en-US" w:eastAsia="zh-CN"/>
        </w:rPr>
        <w:t>其中昌吉市</w:t>
      </w:r>
      <w:r>
        <w:rPr>
          <w:rFonts w:hint="eastAsia" w:ascii="仿宋_GB2312" w:eastAsia="仿宋_GB2312" w:cs="Times New Roman"/>
          <w:color w:val="auto"/>
          <w:sz w:val="32"/>
          <w:szCs w:val="32"/>
        </w:rPr>
        <w:t>城市管理</w:t>
      </w:r>
      <w:r>
        <w:rPr>
          <w:rFonts w:hint="eastAsia" w:ascii="仿宋_GB2312" w:eastAsia="仿宋_GB2312" w:cs="Times New Roman"/>
          <w:color w:val="auto"/>
          <w:sz w:val="32"/>
          <w:szCs w:val="32"/>
          <w:lang w:val="en-US" w:eastAsia="zh-CN"/>
        </w:rPr>
        <w:t>综合</w:t>
      </w:r>
      <w:r>
        <w:rPr>
          <w:rFonts w:hint="eastAsia" w:ascii="仿宋_GB2312" w:eastAsia="仿宋_GB2312" w:cs="Times New Roman"/>
          <w:color w:val="auto"/>
          <w:sz w:val="32"/>
          <w:szCs w:val="32"/>
        </w:rPr>
        <w:t>执法大队</w:t>
      </w:r>
      <w:r>
        <w:rPr>
          <w:rFonts w:hint="eastAsia" w:ascii="仿宋_GB2312" w:eastAsia="仿宋_GB2312" w:cs="Times New Roman"/>
          <w:color w:val="auto"/>
          <w:sz w:val="32"/>
          <w:szCs w:val="32"/>
          <w:lang w:val="en-US" w:eastAsia="zh-CN"/>
        </w:rPr>
        <w:t>非预算单位，纳入本单位预算</w:t>
      </w:r>
      <w:r>
        <w:rPr>
          <w:rFonts w:hint="eastAsia" w:ascii="仿宋_GB2312" w:eastAsia="仿宋_GB2312" w:cs="Times New Roman"/>
          <w:color w:val="auto"/>
          <w:sz w:val="32"/>
          <w:szCs w:val="32"/>
          <w:lang w:eastAsia="zh-CN"/>
        </w:rPr>
        <w:t>，</w:t>
      </w:r>
      <w:r>
        <w:rPr>
          <w:rFonts w:hint="eastAsia" w:ascii="仿宋_GB2312" w:eastAsia="仿宋_GB2312" w:cs="Times New Roman"/>
          <w:color w:val="auto"/>
          <w:sz w:val="32"/>
          <w:szCs w:val="32"/>
          <w:lang w:val="en-US" w:eastAsia="zh-CN"/>
        </w:rPr>
        <w:t>其余</w:t>
      </w:r>
      <w:r>
        <w:rPr>
          <w:rFonts w:hint="default" w:ascii="Times New Roman" w:hAnsi="Times New Roman" w:eastAsia="仿宋_GB2312" w:cs="Times New Roman"/>
          <w:color w:val="auto"/>
          <w:kern w:val="0"/>
          <w:sz w:val="32"/>
          <w:szCs w:val="32"/>
          <w:lang w:val="en-US" w:eastAsia="zh-CN"/>
        </w:rPr>
        <w:t>7</w:t>
      </w:r>
      <w:r>
        <w:rPr>
          <w:rFonts w:hint="eastAsia" w:ascii="仿宋_GB2312" w:hAnsi="宋体" w:eastAsia="仿宋_GB2312" w:cs="宋体"/>
          <w:color w:val="auto"/>
          <w:kern w:val="0"/>
          <w:sz w:val="32"/>
          <w:szCs w:val="32"/>
          <w:lang w:val="en-US" w:eastAsia="zh-CN"/>
        </w:rPr>
        <w:t>家单位均</w:t>
      </w:r>
      <w:r>
        <w:rPr>
          <w:rFonts w:hint="eastAsia" w:ascii="仿宋_GB2312" w:hAnsi="宋体" w:eastAsia="仿宋_GB2312" w:cs="宋体"/>
          <w:color w:val="auto"/>
          <w:kern w:val="0"/>
          <w:sz w:val="32"/>
          <w:szCs w:val="32"/>
        </w:rPr>
        <w:t>为独立核算的一级预算单位包括：</w:t>
      </w:r>
    </w:p>
    <w:p>
      <w:pPr>
        <w:numPr>
          <w:ilvl w:val="0"/>
          <w:numId w:val="0"/>
        </w:num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（1）</w:t>
      </w:r>
      <w:r>
        <w:rPr>
          <w:rFonts w:hint="eastAsia" w:ascii="仿宋_GB2312" w:eastAsia="仿宋_GB2312" w:cs="Times New Roman"/>
          <w:color w:val="auto"/>
          <w:sz w:val="32"/>
          <w:szCs w:val="32"/>
        </w:rPr>
        <w:t>昌吉市市容环境卫生管理中心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（2）</w:t>
      </w:r>
      <w:r>
        <w:rPr>
          <w:rFonts w:hint="eastAsia" w:ascii="仿宋_GB2312" w:eastAsia="仿宋_GB2312" w:cs="Times New Roman"/>
          <w:color w:val="auto"/>
          <w:sz w:val="32"/>
          <w:szCs w:val="32"/>
        </w:rPr>
        <w:t>昌吉市园林绿化管理中心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（3）</w:t>
      </w:r>
      <w:r>
        <w:rPr>
          <w:rFonts w:hint="eastAsia" w:ascii="仿宋_GB2312" w:eastAsia="仿宋_GB2312" w:cs="Times New Roman"/>
          <w:color w:val="auto"/>
          <w:sz w:val="32"/>
          <w:szCs w:val="32"/>
        </w:rPr>
        <w:t>昌吉市市政养护管理中心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（4）</w:t>
      </w:r>
      <w:r>
        <w:rPr>
          <w:rFonts w:hint="eastAsia" w:ascii="仿宋_GB2312" w:eastAsia="仿宋_GB2312" w:cs="Times New Roman"/>
          <w:color w:val="auto"/>
          <w:sz w:val="32"/>
          <w:szCs w:val="32"/>
        </w:rPr>
        <w:t>昌吉市广场景观管理中心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（5）</w:t>
      </w:r>
      <w:r>
        <w:rPr>
          <w:rFonts w:hint="eastAsia" w:ascii="仿宋_GB2312" w:eastAsia="仿宋_GB2312" w:cs="Times New Roman"/>
          <w:color w:val="auto"/>
          <w:sz w:val="32"/>
          <w:szCs w:val="32"/>
        </w:rPr>
        <w:t>昌吉市公园管理服务中心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（6）</w:t>
      </w:r>
      <w:r>
        <w:rPr>
          <w:rFonts w:hint="eastAsia" w:ascii="仿宋_GB2312" w:eastAsia="仿宋_GB2312" w:cs="Times New Roman"/>
          <w:color w:val="auto"/>
          <w:sz w:val="32"/>
          <w:szCs w:val="32"/>
        </w:rPr>
        <w:t>昌吉市城市管理指挥中心</w:t>
      </w:r>
    </w:p>
    <w:p>
      <w:pPr>
        <w:spacing w:line="540" w:lineRule="exact"/>
        <w:ind w:firstLine="640" w:firstLineChars="200"/>
        <w:rPr>
          <w:rFonts w:hint="eastAsia" w:ascii="仿宋_GB2312" w:eastAsia="仿宋_GB2312" w:cs="Times New Roman"/>
          <w:color w:val="auto"/>
          <w:sz w:val="32"/>
          <w:szCs w:val="32"/>
          <w:lang w:eastAsia="zh-CN"/>
        </w:rPr>
      </w:pPr>
      <w:r>
        <w:rPr>
          <w:rFonts w:hint="eastAsia" w:ascii="Times New Roman" w:hAnsi="Times New Roman" w:eastAsia="仿宋_GB2312" w:cs="Times New Roman"/>
          <w:color w:val="auto"/>
          <w:sz w:val="32"/>
          <w:szCs w:val="32"/>
          <w:lang w:val="en-US" w:eastAsia="zh-CN"/>
        </w:rPr>
        <w:t>（7）</w:t>
      </w:r>
      <w:r>
        <w:rPr>
          <w:rFonts w:hint="eastAsia" w:ascii="仿宋_GB2312" w:eastAsia="仿宋_GB2312" w:cs="Times New Roman"/>
          <w:color w:val="auto"/>
          <w:sz w:val="32"/>
          <w:szCs w:val="32"/>
        </w:rPr>
        <w:t>昌吉市</w:t>
      </w:r>
      <w:r>
        <w:rPr>
          <w:rFonts w:hint="eastAsia" w:ascii="仿宋_GB2312" w:eastAsia="仿宋_GB2312" w:cs="Times New Roman"/>
          <w:color w:val="auto"/>
          <w:sz w:val="32"/>
          <w:szCs w:val="32"/>
          <w:lang w:val="en-US" w:eastAsia="zh-CN"/>
        </w:rPr>
        <w:t>城市</w:t>
      </w:r>
      <w:r>
        <w:rPr>
          <w:rFonts w:hint="eastAsia" w:ascii="仿宋_GB2312" w:eastAsia="仿宋_GB2312" w:cs="Times New Roman"/>
          <w:color w:val="auto"/>
          <w:sz w:val="32"/>
          <w:szCs w:val="32"/>
        </w:rPr>
        <w:t>建设档案馆</w:t>
      </w:r>
    </w:p>
    <w:p>
      <w:pPr>
        <w:spacing w:line="540" w:lineRule="exact"/>
        <w:ind w:firstLine="640" w:firstLineChars="200"/>
        <w:rPr>
          <w:sz w:val="32"/>
        </w:rPr>
      </w:pPr>
      <w:r>
        <w:rPr>
          <w:rFonts w:hint="eastAsia" w:ascii="Times New Roman" w:hAnsi="Times New Roman" w:eastAsia="仿宋_GB2312" w:cs="Times New Roman"/>
          <w:color w:val="auto"/>
          <w:sz w:val="32"/>
          <w:szCs w:val="32"/>
        </w:rPr>
        <w:t>昌吉市城市管理局编制数 122 人，实有人数 1</w:t>
      </w:r>
      <w:r>
        <w:rPr>
          <w:rFonts w:hint="eastAsia" w:ascii="Times New Roman" w:hAnsi="Times New Roman" w:eastAsia="仿宋_GB2312" w:cs="Times New Roman"/>
          <w:color w:val="auto"/>
          <w:sz w:val="32"/>
          <w:szCs w:val="32"/>
          <w:lang w:val="en-US" w:eastAsia="zh-CN"/>
        </w:rPr>
        <w:t>22</w:t>
      </w:r>
      <w:r>
        <w:rPr>
          <w:rFonts w:hint="eastAsia" w:ascii="Times New Roman" w:hAnsi="Times New Roman" w:eastAsia="仿宋_GB2312" w:cs="Times New Roman"/>
          <w:color w:val="auto"/>
          <w:sz w:val="32"/>
          <w:szCs w:val="32"/>
        </w:rPr>
        <w:t xml:space="preserve"> 人，其中：</w:t>
      </w:r>
      <w:r>
        <w:rPr>
          <w:rFonts w:hint="eastAsia" w:ascii="Times New Roman" w:hAnsi="Times New Roman" w:eastAsia="仿宋_GB2312" w:cs="Times New Roman"/>
          <w:color w:val="auto"/>
          <w:sz w:val="32"/>
          <w:szCs w:val="32"/>
          <w:lang w:val="en-US" w:eastAsia="zh-CN"/>
        </w:rPr>
        <w:t>在</w:t>
      </w:r>
      <w:r>
        <w:rPr>
          <w:rFonts w:hint="eastAsia" w:ascii="Times New Roman" w:hAnsi="Times New Roman" w:eastAsia="仿宋_GB2312" w:cs="Times New Roman"/>
          <w:color w:val="auto"/>
          <w:sz w:val="32"/>
          <w:szCs w:val="32"/>
        </w:rPr>
        <w:t xml:space="preserve">职 </w:t>
      </w:r>
      <w:r>
        <w:rPr>
          <w:rFonts w:hint="eastAsia" w:ascii="Times New Roman" w:hAnsi="Times New Roman" w:eastAsia="仿宋_GB2312" w:cs="Times New Roman"/>
          <w:color w:val="auto"/>
          <w:sz w:val="32"/>
          <w:szCs w:val="32"/>
          <w:lang w:val="en-US" w:eastAsia="zh-CN"/>
        </w:rPr>
        <w:t>99</w:t>
      </w:r>
      <w:r>
        <w:rPr>
          <w:rFonts w:hint="eastAsia" w:ascii="Times New Roman" w:hAnsi="Times New Roman" w:eastAsia="仿宋_GB2312" w:cs="Times New Roman"/>
          <w:color w:val="auto"/>
          <w:sz w:val="32"/>
          <w:szCs w:val="32"/>
        </w:rPr>
        <w:t>人，</w:t>
      </w:r>
      <w:r>
        <w:rPr>
          <w:rFonts w:hint="eastAsia" w:ascii="Times New Roman" w:hAnsi="Times New Roman" w:eastAsia="仿宋_GB2312" w:cs="Times New Roman"/>
          <w:color w:val="auto"/>
          <w:sz w:val="32"/>
          <w:szCs w:val="32"/>
          <w:lang w:val="en-US" w:eastAsia="zh-CN"/>
        </w:rPr>
        <w:t>减少</w:t>
      </w:r>
      <w:r>
        <w:rPr>
          <w:rFonts w:hint="eastAsia"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5</w:t>
      </w:r>
      <w:r>
        <w:rPr>
          <w:rFonts w:hint="eastAsia" w:ascii="Times New Roman" w:hAnsi="Times New Roman" w:eastAsia="仿宋_GB2312" w:cs="Times New Roman"/>
          <w:color w:val="auto"/>
          <w:sz w:val="32"/>
          <w:szCs w:val="32"/>
        </w:rPr>
        <w:t>人； 退休</w:t>
      </w:r>
      <w:r>
        <w:rPr>
          <w:rFonts w:hint="eastAsia" w:ascii="Times New Roman" w:hAnsi="Times New Roman" w:eastAsia="仿宋_GB2312" w:cs="Times New Roman"/>
          <w:color w:val="auto"/>
          <w:sz w:val="32"/>
          <w:szCs w:val="32"/>
          <w:lang w:val="en-US" w:eastAsia="zh-CN"/>
        </w:rPr>
        <w:t>23</w:t>
      </w:r>
      <w:r>
        <w:rPr>
          <w:rFonts w:hint="eastAsia" w:ascii="Times New Roman" w:hAnsi="Times New Roman" w:eastAsia="仿宋_GB2312" w:cs="Times New Roman"/>
          <w:color w:val="auto"/>
          <w:sz w:val="32"/>
          <w:szCs w:val="32"/>
        </w:rPr>
        <w:t xml:space="preserve">人，增加 </w:t>
      </w:r>
      <w:r>
        <w:rPr>
          <w:rFonts w:hint="eastAsia" w:ascii="Times New Roman" w:hAnsi="Times New Roman" w:eastAsia="仿宋_GB2312" w:cs="Times New Roman"/>
          <w:color w:val="auto"/>
          <w:sz w:val="32"/>
          <w:szCs w:val="32"/>
          <w:lang w:val="en-US" w:eastAsia="zh-CN"/>
        </w:rPr>
        <w:t>5</w:t>
      </w:r>
      <w:r>
        <w:rPr>
          <w:rFonts w:hint="eastAsia" w:ascii="Times New Roman" w:hAnsi="Times New Roman" w:eastAsia="仿宋_GB2312" w:cs="Times New Roman"/>
          <w:color w:val="auto"/>
          <w:sz w:val="32"/>
          <w:szCs w:val="32"/>
        </w:rPr>
        <w:t>人；离休 0 人，增加 0 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）贯彻执行国家、自治区、自治州有关城市管理和城市管理行政执法的法律、法规和方针、政策、措施。</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）负责编</w:t>
      </w:r>
      <w:r>
        <w:rPr>
          <w:rFonts w:hint="eastAsia" w:ascii="仿宋_GB2312" w:eastAsia="仿宋_GB2312"/>
          <w:sz w:val="32"/>
          <w:szCs w:val="32"/>
        </w:rPr>
        <w:t>制全市城市管理和城市管理行政执法中长期规划、年度工作计划并组织实施</w:t>
      </w:r>
      <w:r>
        <w:rPr>
          <w:rFonts w:hint="eastAsia"/>
        </w:rPr>
        <w:t>。</w:t>
      </w:r>
      <w:r>
        <w:rPr>
          <w:rFonts w:hint="eastAsia" w:ascii="仿宋_GB2312" w:eastAsia="仿宋_GB2312"/>
          <w:sz w:val="32"/>
          <w:szCs w:val="32"/>
        </w:rPr>
        <w:t>依托全市城市管理信息平台（</w:t>
      </w:r>
      <w:r>
        <w:rPr>
          <w:rFonts w:hint="default" w:ascii="Times New Roman" w:hAnsi="Times New Roman" w:eastAsia="仿宋_GB2312" w:cs="Times New Roman"/>
          <w:sz w:val="32"/>
          <w:szCs w:val="32"/>
        </w:rPr>
        <w:t>12319</w:t>
      </w:r>
      <w:r>
        <w:rPr>
          <w:rFonts w:hint="eastAsia" w:ascii="仿宋_GB2312" w:eastAsia="仿宋_GB2312"/>
          <w:sz w:val="32"/>
          <w:szCs w:val="32"/>
        </w:rPr>
        <w:t>城市管理热线、</w:t>
      </w:r>
      <w:r>
        <w:rPr>
          <w:rFonts w:hint="default" w:ascii="Times New Roman" w:hAnsi="Times New Roman" w:eastAsia="仿宋_GB2312" w:cs="Times New Roman"/>
          <w:sz w:val="32"/>
          <w:szCs w:val="32"/>
        </w:rPr>
        <w:t>12345</w:t>
      </w:r>
      <w:r>
        <w:rPr>
          <w:rFonts w:hint="eastAsia" w:ascii="仿宋_GB2312" w:eastAsia="仿宋_GB2312"/>
          <w:sz w:val="32"/>
          <w:szCs w:val="32"/>
        </w:rPr>
        <w:t>市长专线），指挥监督、考核评价全市城市管理工作。负责城市建设档案管理工作。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）组织开展城市管理综合整治和各项专项整治活动；</w:t>
      </w:r>
      <w:r>
        <w:rPr>
          <w:rFonts w:hint="eastAsia" w:ascii="仿宋_GB2312" w:eastAsia="仿宋_GB2312"/>
          <w:spacing w:val="-6"/>
          <w:sz w:val="32"/>
          <w:szCs w:val="32"/>
        </w:rPr>
        <w:t>依据法规和有关规定负责城市管理有关行政性费用的征收管理工作。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）负责城市市政公用设施运行管理。负责市区道路、桥梁（涵）、照明、道路排水排污等市政设施的养护、维修和管理工作。负责供热、燃气、垃圾处理等市政公用事业特许经营和监督管理工作。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5</w:t>
      </w:r>
      <w:r>
        <w:rPr>
          <w:rFonts w:hint="eastAsia" w:ascii="仿宋_GB2312" w:eastAsia="仿宋_GB2312"/>
          <w:sz w:val="32"/>
          <w:szCs w:val="32"/>
        </w:rPr>
        <w:t>）负责城市市容环境卫生管理。负责制定城市户外广告管理办法并组织实施；负责垃圾处理工作，对垃圾处理设施运营实施监管；负责城市宠物、犬只的监管工作。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6</w:t>
      </w:r>
      <w:r>
        <w:rPr>
          <w:rFonts w:hint="eastAsia" w:ascii="仿宋_GB2312" w:eastAsia="仿宋_GB2312"/>
          <w:sz w:val="32"/>
          <w:szCs w:val="32"/>
        </w:rPr>
        <w:t>）负责城市园林绿化养护管理。负责市区社会绿化工作;负责市区古树名木保护工作。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负责城市管理行政执法工作。负责全市城市管理执法队伍教育培训;负责城区范围执法巡查、监督及执法机构执法工作的业务指导;负责城市管理行政执法队伍的管理、考核和规范化建设工作;负责执法装备管理工作。牵头协调市直有关职能部门开展城市管理工作;负责城市管理行政执法与相关部门的协调工作。</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8</w:t>
      </w:r>
      <w:r>
        <w:rPr>
          <w:rFonts w:hint="eastAsia" w:ascii="仿宋_GB2312" w:eastAsia="仿宋_GB2312"/>
          <w:sz w:val="32"/>
          <w:szCs w:val="32"/>
        </w:rPr>
        <w:t>）负责行使市人民政府确定的城市管理相对集中行政处罚权。</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9</w:t>
      </w:r>
      <w:r>
        <w:rPr>
          <w:rFonts w:hint="eastAsia" w:ascii="仿宋_GB2312" w:eastAsia="仿宋_GB2312"/>
          <w:sz w:val="32"/>
          <w:szCs w:val="32"/>
        </w:rPr>
        <w:t>）负责指挥、调度城市管理方面的应急处置工作。负责城市防汛、道路清融雪、公园和广场应急避难场所管理；负责城市道路、桥梁、照明、园林绿化的应急保障和燃气、供热的应急指导工作。</w:t>
      </w:r>
    </w:p>
    <w:p>
      <w:pPr>
        <w:pStyle w:val="2"/>
        <w:rPr>
          <w:sz w:val="32"/>
        </w:rPr>
      </w:pPr>
      <w:r>
        <w:rPr>
          <w:rFonts w:hint="eastAsia" w:ascii="仿宋_GB2312" w:hAnsi="仿宋" w:eastAsia="仿宋_GB2312" w:cs="Times New Roman"/>
          <w:b w:val="0"/>
          <w:bCs w:val="0"/>
          <w:kern w:val="2"/>
          <w:sz w:val="32"/>
          <w:szCs w:val="32"/>
          <w:lang w:val="en-US" w:eastAsia="zh-CN" w:bidi="ar-SA"/>
        </w:rPr>
        <w:t>（</w:t>
      </w:r>
      <w:r>
        <w:rPr>
          <w:rFonts w:hint="eastAsia" w:hAnsi="仿宋" w:cs="Times New Roman"/>
          <w:b w:val="0"/>
          <w:bCs w:val="0"/>
          <w:kern w:val="2"/>
          <w:sz w:val="32"/>
          <w:szCs w:val="32"/>
          <w:lang w:val="en-US" w:eastAsia="zh-CN" w:bidi="ar-SA"/>
        </w:rPr>
        <w:t>10</w:t>
      </w:r>
      <w:r>
        <w:rPr>
          <w:rFonts w:hint="eastAsia" w:ascii="仿宋_GB2312" w:hAnsi="仿宋" w:eastAsia="仿宋_GB2312" w:cs="Times New Roman"/>
          <w:b w:val="0"/>
          <w:bCs w:val="0"/>
          <w:kern w:val="2"/>
          <w:sz w:val="32"/>
          <w:szCs w:val="32"/>
          <w:lang w:val="en-US" w:eastAsia="zh-CN" w:bidi="ar-SA"/>
        </w:rPr>
        <w:t>）完成市委、市人民政府交办的其他任务。　</w:t>
      </w:r>
    </w:p>
    <w:p>
      <w:pPr>
        <w:numPr>
          <w:ilvl w:val="0"/>
          <w:numId w:val="1"/>
        </w:numPr>
        <w:ind w:firstLine="640"/>
        <w:rPr>
          <w:rFonts w:hint="eastAsia" w:ascii="仿宋_GB2312" w:eastAsia="仿宋_GB2312" w:cs="Times New Roman"/>
          <w:b/>
          <w:bCs/>
          <w:sz w:val="32"/>
          <w:szCs w:val="32"/>
          <w:lang w:val="en-US" w:eastAsia="zh-CN"/>
        </w:rPr>
      </w:pPr>
      <w:r>
        <w:rPr>
          <w:rFonts w:hint="eastAsia" w:ascii="仿宋_GB2312" w:eastAsia="仿宋_GB2312" w:cs="Times New Roman"/>
          <w:b/>
          <w:bCs/>
          <w:sz w:val="32"/>
          <w:szCs w:val="32"/>
          <w:lang w:val="en-US" w:eastAsia="zh-CN"/>
        </w:rPr>
        <w:t>年度重点工作计划</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b w:val="0"/>
          <w:bCs w:val="0"/>
          <w:sz w:val="32"/>
          <w:szCs w:val="32"/>
          <w:lang w:val="en-US" w:eastAsia="zh-CN"/>
        </w:rPr>
        <w:t>（1）</w:t>
      </w:r>
      <w:r>
        <w:rPr>
          <w:rFonts w:hint="eastAsia" w:ascii="仿宋_GB2312" w:eastAsia="仿宋_GB2312" w:cs="Times New Roman"/>
          <w:b w:val="0"/>
          <w:bCs w:val="0"/>
          <w:sz w:val="32"/>
          <w:szCs w:val="32"/>
          <w:lang w:eastAsia="zh-CN"/>
        </w:rPr>
        <w:t>坚持不懈做好常态化疫情</w:t>
      </w:r>
      <w:r>
        <w:rPr>
          <w:rFonts w:hint="eastAsia" w:ascii="仿宋_GB2312" w:eastAsia="仿宋_GB2312" w:cs="Times New Roman"/>
          <w:b w:val="0"/>
          <w:bCs w:val="0"/>
          <w:sz w:val="32"/>
          <w:szCs w:val="32"/>
        </w:rPr>
        <w:t>防控。</w:t>
      </w:r>
      <w:r>
        <w:rPr>
          <w:rFonts w:hint="eastAsia" w:ascii="仿宋_GB2312" w:eastAsia="仿宋_GB2312" w:cs="Times New Roman"/>
          <w:sz w:val="32"/>
          <w:szCs w:val="32"/>
          <w:lang w:eastAsia="zh-CN"/>
        </w:rPr>
        <w:t>紧绷疫情防控责任线，进一步</w:t>
      </w:r>
      <w:r>
        <w:rPr>
          <w:rFonts w:hint="eastAsia" w:ascii="仿宋_GB2312" w:eastAsia="仿宋_GB2312" w:cs="Times New Roman"/>
          <w:sz w:val="32"/>
          <w:szCs w:val="32"/>
        </w:rPr>
        <w:t>深刻认识疫情防控的严峻性，增强责任感和紧迫感，</w:t>
      </w:r>
      <w:r>
        <w:rPr>
          <w:rFonts w:hint="eastAsia" w:ascii="仿宋_GB2312" w:eastAsia="仿宋_GB2312" w:cs="Times New Roman"/>
          <w:sz w:val="32"/>
          <w:szCs w:val="32"/>
          <w:lang w:eastAsia="zh-CN"/>
        </w:rPr>
        <w:t>再接再厉，持续抓好</w:t>
      </w:r>
      <w:r>
        <w:rPr>
          <w:rFonts w:hint="eastAsia" w:ascii="仿宋_GB2312" w:eastAsia="仿宋_GB2312" w:cs="Times New Roman"/>
          <w:sz w:val="32"/>
          <w:szCs w:val="32"/>
        </w:rPr>
        <w:t>外防输入、内防扩散，确保防控措施、重点人群管控、重点部位管控、履行责任落地落实。</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b w:val="0"/>
          <w:bCs w:val="0"/>
          <w:sz w:val="32"/>
          <w:szCs w:val="32"/>
          <w:lang w:val="en-US" w:eastAsia="zh-CN"/>
        </w:rPr>
        <w:t>（2）聚焦聚力强化“总目标”意识。</w:t>
      </w:r>
      <w:r>
        <w:rPr>
          <w:rFonts w:hint="eastAsia" w:ascii="仿宋_GB2312" w:eastAsia="仿宋_GB2312" w:cs="Times New Roman"/>
          <w:sz w:val="32"/>
          <w:szCs w:val="32"/>
        </w:rPr>
        <w:t>牢固树立“四个意识”，紧紧围绕社会稳定和长治久安总目标，对规范标准再学习、再领会，在思想认识上再深化、责任上再压实、压力上再传导，以更严、更细、更实的举措确保维稳措施落实。</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b w:val="0"/>
          <w:bCs w:val="0"/>
          <w:sz w:val="32"/>
          <w:szCs w:val="32"/>
          <w:highlight w:val="none"/>
          <w:lang w:val="en-US" w:eastAsia="zh-CN"/>
        </w:rPr>
        <w:t>（3）抓</w:t>
      </w:r>
      <w:r>
        <w:rPr>
          <w:rFonts w:hint="eastAsia" w:ascii="仿宋_GB2312" w:eastAsia="仿宋_GB2312" w:cs="Times New Roman"/>
          <w:b w:val="0"/>
          <w:bCs w:val="0"/>
          <w:sz w:val="32"/>
          <w:szCs w:val="32"/>
          <w:lang w:val="en-US" w:eastAsia="zh-CN"/>
        </w:rPr>
        <w:t>紧抓牢城市精细化管理主线。</w:t>
      </w:r>
      <w:r>
        <w:rPr>
          <w:rFonts w:hint="eastAsia" w:ascii="仿宋_GB2312" w:eastAsia="仿宋_GB2312" w:cs="Times New Roman"/>
          <w:sz w:val="32"/>
          <w:szCs w:val="32"/>
          <w:lang w:eastAsia="zh-CN"/>
        </w:rPr>
        <w:t>以顺利通过“国家卫生城市”复审为目标，</w:t>
      </w:r>
      <w:r>
        <w:rPr>
          <w:rFonts w:hint="eastAsia" w:ascii="仿宋_GB2312" w:eastAsia="仿宋_GB2312" w:cs="Times New Roman"/>
          <w:sz w:val="32"/>
          <w:szCs w:val="32"/>
        </w:rPr>
        <w:t>通过城市管理目标量化、标准细化、职责分工明晰化等方式，形成以“精致、细致、深入、规范”为内涵的城市管理模式</w:t>
      </w:r>
      <w:r>
        <w:rPr>
          <w:rFonts w:hint="eastAsia" w:ascii="仿宋_GB2312" w:eastAsia="仿宋_GB2312" w:cs="Times New Roman"/>
          <w:sz w:val="32"/>
          <w:szCs w:val="32"/>
          <w:lang w:eastAsia="zh-CN"/>
        </w:rPr>
        <w:t>，加强部门联动，</w:t>
      </w:r>
      <w:r>
        <w:rPr>
          <w:rFonts w:hint="eastAsia" w:ascii="仿宋_GB2312" w:eastAsia="仿宋_GB2312" w:cs="Times New Roman"/>
          <w:sz w:val="32"/>
          <w:szCs w:val="32"/>
        </w:rPr>
        <w:t>把精细化管理的理念、手段、标准落实到城市管理领域各项工作中，坚持对标先进、补齐短板、民生先行，突出抓好以“绿化、亮化、美化、净化、序化”提升为主要内容的城市精细化管理工作，</w:t>
      </w:r>
      <w:r>
        <w:rPr>
          <w:rFonts w:hint="eastAsia" w:ascii="仿宋_GB2312" w:eastAsia="仿宋_GB2312" w:cs="Times New Roman"/>
          <w:sz w:val="32"/>
          <w:szCs w:val="32"/>
          <w:lang w:val="en-US" w:eastAsia="zh-CN"/>
        </w:rPr>
        <w:t>逐步实现城市管理购买服务一体化运营模式，加快提升环卫保洁、园林绿化、市政养护等工作的精细化、专业化进程，</w:t>
      </w:r>
      <w:r>
        <w:rPr>
          <w:rFonts w:hint="eastAsia" w:ascii="仿宋_GB2312" w:eastAsia="仿宋_GB2312" w:cs="Times New Roman"/>
          <w:sz w:val="32"/>
          <w:szCs w:val="32"/>
        </w:rPr>
        <w:t>努力让城市更有序、更安全、更干净，满足人民日益增长的美好生活需要。</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Times New Roman"/>
          <w:sz w:val="32"/>
          <w:szCs w:val="32"/>
        </w:rPr>
      </w:pPr>
      <w:r>
        <w:rPr>
          <w:rFonts w:hint="eastAsia" w:ascii="仿宋_GB2312" w:eastAsia="仿宋_GB2312" w:cs="Times New Roman"/>
          <w:b w:val="0"/>
          <w:bCs w:val="0"/>
          <w:sz w:val="32"/>
          <w:szCs w:val="32"/>
          <w:lang w:val="en-US" w:eastAsia="zh-CN"/>
        </w:rPr>
        <w:t>（4）推动城市管理科学化智能化。</w:t>
      </w:r>
      <w:r>
        <w:rPr>
          <w:rFonts w:hint="eastAsia" w:ascii="仿宋_GB2312" w:eastAsia="仿宋_GB2312" w:cs="Times New Roman"/>
          <w:sz w:val="32"/>
          <w:szCs w:val="32"/>
        </w:rPr>
        <w:t>继续推进智慧城市建设步伐，搭建与百姓生活息息相关的智慧路灯、智慧交通、智慧管网、城市综合管理服务平台等平台，努力构建“一张网”，实现感知、分析、服务、指挥、监察“五位一体”，通过大数据、物联网、云计算等现代信息技术的建设和应用，构建智慧城市大格局，达到共建、共治、共享，促进城市现代化，满足人民群众对城市美好生活向往的需求，满足城市经济社会的发展需求。</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rPr>
      </w:pPr>
      <w:r>
        <w:rPr>
          <w:rFonts w:hint="eastAsia" w:ascii="仿宋_GB2312" w:eastAsia="仿宋_GB2312" w:cs="Times New Roman"/>
          <w:b w:val="0"/>
          <w:bCs w:val="0"/>
          <w:sz w:val="32"/>
          <w:szCs w:val="32"/>
          <w:lang w:val="en-US" w:eastAsia="zh-CN"/>
        </w:rPr>
        <w:t>(5)提升管理水平满足民生需求。</w:t>
      </w:r>
      <w:r>
        <w:rPr>
          <w:rFonts w:hint="eastAsia" w:ascii="仿宋_GB2312" w:eastAsia="仿宋_GB2312" w:cs="Times New Roman"/>
          <w:sz w:val="32"/>
          <w:szCs w:val="32"/>
        </w:rPr>
        <w:t>提升</w:t>
      </w:r>
      <w:r>
        <w:rPr>
          <w:rFonts w:hint="eastAsia" w:ascii="仿宋_GB2312" w:eastAsia="仿宋_GB2312" w:cs="Times New Roman"/>
          <w:sz w:val="32"/>
          <w:szCs w:val="32"/>
          <w:lang w:eastAsia="zh-CN"/>
        </w:rPr>
        <w:t>城市供应保障，提升群众幸福指数。以安全为准绳，提升供热供气质量。进一步完善供热、燃气行业安全管理制度，开展安全隐患大排查，建立防范、预警机制，修订应急预案，开展应急演练，以强有力的措施保障供热燃气行业安全。充分发挥供热指挥平台作用，合理调配热源，加大走访、接访、反馈工作力度，确保市民</w:t>
      </w:r>
      <w:r>
        <w:rPr>
          <w:rFonts w:hint="eastAsia" w:ascii="仿宋_GB2312" w:eastAsia="仿宋_GB2312" w:cs="Times New Roman"/>
          <w:sz w:val="32"/>
          <w:szCs w:val="32"/>
          <w:lang w:val="en-US" w:eastAsia="zh-CN"/>
        </w:rPr>
        <w:t>温暖过冬，屋暖</w:t>
      </w:r>
      <w:r>
        <w:rPr>
          <w:rFonts w:hint="eastAsia" w:ascii="仿宋_GB2312" w:eastAsia="仿宋_GB2312" w:cs="Times New Roman"/>
          <w:sz w:val="32"/>
          <w:szCs w:val="32"/>
          <w:lang w:eastAsia="zh-CN"/>
        </w:rPr>
        <w:t>心</w:t>
      </w:r>
      <w:r>
        <w:rPr>
          <w:rFonts w:hint="eastAsia" w:ascii="仿宋_GB2312" w:eastAsia="仿宋_GB2312" w:cs="Times New Roman"/>
          <w:sz w:val="32"/>
          <w:szCs w:val="32"/>
          <w:lang w:val="en-US" w:eastAsia="zh-CN"/>
        </w:rPr>
        <w:t>更</w:t>
      </w:r>
      <w:r>
        <w:rPr>
          <w:rFonts w:hint="eastAsia" w:ascii="仿宋_GB2312" w:eastAsia="仿宋_GB2312" w:cs="Times New Roman"/>
          <w:sz w:val="32"/>
          <w:szCs w:val="32"/>
          <w:lang w:eastAsia="zh-CN"/>
        </w:rPr>
        <w:t>暖。</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bidi w:val="0"/>
        <w:ind w:left="0" w:leftChars="0" w:firstLine="640" w:firstLineChars="200"/>
        <w:jc w:val="left"/>
      </w:pPr>
      <w:r>
        <w:rPr>
          <w:rFonts w:hint="eastAsia" w:ascii="仿宋_GB2312" w:eastAsia="仿宋_GB2312"/>
          <w:sz w:val="32"/>
          <w:szCs w:val="32"/>
        </w:rPr>
        <w:t>我单位决策机制根据行政事业单位内部控制体系建设相关要求，逐步完善《昌吉市城市</w:t>
      </w:r>
      <w:r>
        <w:rPr>
          <w:rFonts w:hint="eastAsia" w:ascii="仿宋_GB2312" w:eastAsia="仿宋_GB2312"/>
          <w:sz w:val="32"/>
          <w:szCs w:val="32"/>
          <w:lang w:val="en-US" w:eastAsia="zh-CN"/>
        </w:rPr>
        <w:t>管理局</w:t>
      </w:r>
      <w:r>
        <w:rPr>
          <w:rFonts w:hint="eastAsia" w:ascii="仿宋_GB2312" w:eastAsia="仿宋_GB2312"/>
          <w:sz w:val="32"/>
          <w:szCs w:val="32"/>
        </w:rPr>
        <w:t>党组会议议事规则》、《三重一大会议制度》</w:t>
      </w:r>
      <w:r>
        <w:rPr>
          <w:rFonts w:hint="eastAsia" w:ascii="仿宋_GB2312" w:eastAsia="仿宋_GB2312"/>
          <w:sz w:val="32"/>
          <w:szCs w:val="32"/>
          <w:lang w:val="en-US" w:eastAsia="zh-CN"/>
        </w:rPr>
        <w:t>等相关制度</w:t>
      </w:r>
      <w:r>
        <w:rPr>
          <w:rFonts w:hint="eastAsia" w:ascii="仿宋_GB2312" w:eastAsia="仿宋_GB2312"/>
          <w:sz w:val="32"/>
          <w:szCs w:val="32"/>
          <w:lang w:eastAsia="zh-CN"/>
        </w:rPr>
        <w:t>，</w:t>
      </w:r>
      <w:r>
        <w:rPr>
          <w:rFonts w:hint="eastAsia" w:ascii="仿宋_GB2312" w:eastAsia="仿宋_GB2312"/>
          <w:sz w:val="32"/>
          <w:szCs w:val="32"/>
          <w:lang w:val="en-US" w:eastAsia="zh-CN"/>
        </w:rPr>
        <w:t>按照内控工作要求</w:t>
      </w:r>
      <w:r>
        <w:rPr>
          <w:rFonts w:hint="eastAsia" w:ascii="仿宋_GB2312" w:eastAsia="仿宋_GB2312"/>
          <w:color w:val="auto"/>
          <w:sz w:val="32"/>
          <w:szCs w:val="32"/>
          <w:lang w:eastAsia="zh-CN"/>
        </w:rPr>
        <w:t>制订</w:t>
      </w:r>
      <w:r>
        <w:rPr>
          <w:rFonts w:hint="eastAsia" w:ascii="仿宋_GB2312" w:eastAsia="仿宋_GB2312"/>
          <w:color w:val="auto"/>
          <w:sz w:val="32"/>
          <w:szCs w:val="32"/>
          <w:lang w:val="en-US" w:eastAsia="zh-CN"/>
        </w:rPr>
        <w:t>完善</w:t>
      </w:r>
      <w:r>
        <w:rPr>
          <w:rFonts w:hint="eastAsia" w:ascii="仿宋_GB2312" w:eastAsia="仿宋_GB2312"/>
          <w:color w:val="auto"/>
          <w:sz w:val="32"/>
          <w:szCs w:val="32"/>
          <w:lang w:eastAsia="zh-CN"/>
        </w:rPr>
        <w:t>相关制度和办法，</w:t>
      </w:r>
      <w:r>
        <w:rPr>
          <w:rFonts w:hint="eastAsia" w:ascii="仿宋_GB2312" w:eastAsia="仿宋_GB2312"/>
          <w:color w:val="auto"/>
          <w:sz w:val="32"/>
          <w:szCs w:val="32"/>
          <w:lang w:val="en-US" w:eastAsia="zh-CN"/>
        </w:rPr>
        <w:t>例如：《</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color w:val="auto"/>
          <w:kern w:val="2"/>
          <w:sz w:val="32"/>
          <w:szCs w:val="32"/>
          <w:lang w:val="en-US" w:eastAsia="zh-CN" w:bidi="ar-SA"/>
        </w:rPr>
        <w:t>财务管理制度</w:t>
      </w:r>
      <w:r>
        <w:rPr>
          <w:rFonts w:hint="eastAsia" w:ascii="仿宋_GB2312" w:eastAsia="仿宋_GB2312"/>
          <w:color w:val="auto"/>
          <w:sz w:val="32"/>
          <w:szCs w:val="32"/>
          <w:lang w:val="en-US" w:eastAsia="zh-CN"/>
        </w:rPr>
        <w:t>》</w:t>
      </w:r>
      <w:r>
        <w:rPr>
          <w:rFonts w:hint="eastAsia" w:ascii="仿宋_GB2312" w:hAnsi="仿宋_GB2312" w:eastAsia="仿宋_GB2312" w:cs="仿宋_GB2312"/>
          <w:color w:val="auto"/>
          <w:kern w:val="2"/>
          <w:sz w:val="32"/>
          <w:szCs w:val="32"/>
          <w:lang w:val="en-US" w:eastAsia="zh-CN" w:bidi="ar-SA"/>
        </w:rPr>
        <w:t>、《</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color w:val="auto"/>
          <w:kern w:val="2"/>
          <w:sz w:val="32"/>
          <w:szCs w:val="32"/>
          <w:lang w:val="en-US" w:eastAsia="zh-CN" w:bidi="ar-SA"/>
        </w:rPr>
        <w:t>合</w:t>
      </w:r>
      <w:r>
        <w:rPr>
          <w:rFonts w:hint="eastAsia" w:ascii="仿宋_GB2312" w:hAnsi="仿宋_GB2312" w:eastAsia="仿宋_GB2312" w:cs="仿宋_GB2312"/>
          <w:kern w:val="2"/>
          <w:sz w:val="32"/>
          <w:szCs w:val="32"/>
          <w:lang w:val="en-US" w:eastAsia="zh-CN" w:bidi="ar-SA"/>
        </w:rPr>
        <w:t>同业务制度</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公务卡管理制度》、《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绩效管理制度》、《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决算管理制度》、《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收支业务制度》、《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预算业务管理制度》、《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政府采购制度》、《</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票据管理办法》、《</w:t>
      </w:r>
      <w:r>
        <w:rPr>
          <w:rFonts w:hint="eastAsia" w:ascii="仿宋_GB2312" w:eastAsia="仿宋_GB2312"/>
          <w:sz w:val="32"/>
          <w:szCs w:val="32"/>
        </w:rPr>
        <w:t>昌吉市城市</w:t>
      </w:r>
      <w:r>
        <w:rPr>
          <w:rFonts w:hint="eastAsia" w:ascii="仿宋_GB2312" w:eastAsia="仿宋_GB2312"/>
          <w:sz w:val="32"/>
          <w:szCs w:val="32"/>
          <w:lang w:val="en-US" w:eastAsia="zh-CN"/>
        </w:rPr>
        <w:t>管理局</w:t>
      </w:r>
      <w:r>
        <w:rPr>
          <w:rFonts w:hint="eastAsia" w:ascii="仿宋_GB2312" w:hAnsi="仿宋_GB2312" w:eastAsia="仿宋_GB2312" w:cs="仿宋_GB2312"/>
          <w:kern w:val="2"/>
          <w:sz w:val="32"/>
          <w:szCs w:val="32"/>
          <w:lang w:val="en-US" w:eastAsia="zh-CN" w:bidi="ar-SA"/>
        </w:rPr>
        <w:t>资产管理制度》等。</w:t>
      </w:r>
    </w:p>
    <w:p>
      <w:pPr>
        <w:ind w:firstLine="640"/>
        <w:rPr>
          <w:rFonts w:hint="eastAsia" w:ascii="楷体_GB2312" w:hAnsi="Arial" w:eastAsia="楷体_GB2312" w:cs="Times New Roman"/>
          <w:b/>
          <w:kern w:val="2"/>
          <w:sz w:val="32"/>
          <w:szCs w:val="32"/>
          <w:lang w:val="en-US" w:eastAsia="zh-CN" w:bidi="ar-SA"/>
        </w:rPr>
      </w:pPr>
      <w:r>
        <w:rPr>
          <w:rFonts w:hint="eastAsia" w:ascii="楷体_GB2312" w:hAnsi="Arial" w:eastAsia="楷体_GB2312" w:cs="Times New Roman"/>
          <w:b/>
          <w:kern w:val="2"/>
          <w:sz w:val="32"/>
          <w:szCs w:val="32"/>
          <w:lang w:val="en-US" w:eastAsia="zh-CN" w:bidi="ar-SA"/>
        </w:rPr>
        <w:t>（三）单位资金分配情况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30.00</w:t>
      </w:r>
      <w:r>
        <w:rPr>
          <w:rFonts w:hint="eastAsia" w:ascii="仿宋_GB2312" w:eastAsia="仿宋_GB2312" w:cs="仿宋"/>
          <w:color w:val="auto"/>
          <w:sz w:val="32"/>
          <w:szCs w:val="32"/>
        </w:rPr>
        <w:t>万元。</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部门单位整体支出规模</w:t>
      </w:r>
    </w:p>
    <w:p>
      <w:pPr>
        <w:ind w:firstLine="640"/>
        <w:rPr>
          <w:rFonts w:hint="eastAsia" w:ascii="仿宋_GB2312" w:eastAsia="仿宋_GB2312"/>
          <w:color w:val="auto"/>
          <w:sz w:val="32"/>
          <w:szCs w:val="32"/>
          <w:highlight w:val="none"/>
        </w:rPr>
      </w:pPr>
      <w:r>
        <w:rPr>
          <w:rFonts w:hint="eastAsia" w:ascii="仿宋_GB2312" w:eastAsia="仿宋_GB2312" w:cs="Times New Roman"/>
          <w:bCs/>
          <w:sz w:val="32"/>
          <w:szCs w:val="32"/>
          <w:highlight w:val="none"/>
        </w:rPr>
        <w:t>2</w:t>
      </w:r>
      <w:r>
        <w:rPr>
          <w:rFonts w:hint="eastAsia" w:ascii="仿宋_GB2312" w:eastAsia="仿宋_GB2312" w:cs="Times New Roman"/>
          <w:bCs/>
          <w:color w:val="auto"/>
          <w:sz w:val="32"/>
          <w:szCs w:val="32"/>
          <w:highlight w:val="none"/>
        </w:rPr>
        <w:t>02</w:t>
      </w:r>
      <w:r>
        <w:rPr>
          <w:rFonts w:hint="eastAsia" w:ascii="仿宋_GB2312" w:eastAsia="仿宋_GB2312" w:cs="Times New Roman"/>
          <w:bCs/>
          <w:color w:val="auto"/>
          <w:sz w:val="32"/>
          <w:szCs w:val="32"/>
          <w:highlight w:val="none"/>
          <w:lang w:val="en-US" w:eastAsia="zh-CN"/>
        </w:rPr>
        <w:t>2</w:t>
      </w:r>
      <w:r>
        <w:rPr>
          <w:rFonts w:hint="eastAsia" w:ascii="仿宋_GB2312" w:eastAsia="仿宋_GB2312" w:cs="Times New Roman"/>
          <w:bCs/>
          <w:color w:val="auto"/>
          <w:sz w:val="32"/>
          <w:szCs w:val="32"/>
          <w:highlight w:val="none"/>
        </w:rPr>
        <w:t>年度，</w:t>
      </w:r>
      <w:r>
        <w:rPr>
          <w:rFonts w:hint="eastAsia" w:ascii="仿宋_GB2312" w:eastAsia="仿宋_GB2312" w:cs="Times New Roman"/>
          <w:bCs/>
          <w:color w:val="auto"/>
          <w:sz w:val="32"/>
          <w:szCs w:val="32"/>
          <w:highlight w:val="none"/>
          <w:lang w:val="en-US" w:eastAsia="zh-CN"/>
        </w:rPr>
        <w:t>昌吉市城市管理局</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1811.17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1811.17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Times New Roman" w:hAnsi="Times New Roman" w:eastAsia="仿宋_GB2312" w:cs="宋体"/>
          <w:color w:val="auto"/>
          <w:kern w:val="0"/>
          <w:sz w:val="32"/>
          <w:szCs w:val="32"/>
          <w:lang w:val="en-US" w:eastAsia="zh-CN"/>
        </w:rPr>
        <w:t>53.60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20.52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38.3</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14931.14</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824.4</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16742.31万元</w:t>
      </w:r>
      <w:r>
        <w:rPr>
          <w:rFonts w:hint="eastAsia" w:ascii="仿宋_GB2312" w:eastAsia="仿宋_GB2312"/>
          <w:color w:val="auto"/>
          <w:sz w:val="32"/>
          <w:szCs w:val="32"/>
          <w:highlight w:val="none"/>
        </w:rPr>
        <w:t>，支出总额为</w:t>
      </w:r>
      <w:r>
        <w:rPr>
          <w:rFonts w:hint="eastAsia" w:ascii="仿宋_GB2312" w:eastAsia="仿宋_GB2312"/>
          <w:color w:val="auto"/>
          <w:sz w:val="32"/>
          <w:szCs w:val="32"/>
          <w:highlight w:val="none"/>
          <w:lang w:val="en-US" w:eastAsia="zh-CN"/>
        </w:rPr>
        <w:t>16742.31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numPr>
          <w:ilvl w:val="0"/>
          <w:numId w:val="0"/>
        </w:numPr>
        <w:ind w:firstLine="643" w:firstLineChars="200"/>
        <w:rPr>
          <w:rFonts w:hint="eastAsia" w:ascii="仿宋_GB2312" w:eastAsia="仿宋_GB2312"/>
          <w:b/>
          <w:bCs/>
          <w:sz w:val="32"/>
          <w:szCs w:val="32"/>
          <w:highlight w:val="none"/>
        </w:rPr>
      </w:pPr>
      <w:r>
        <w:rPr>
          <w:rFonts w:hint="eastAsia" w:ascii="仿宋_GB2312" w:eastAsia="仿宋_GB2312"/>
          <w:b/>
          <w:bCs/>
          <w:sz w:val="32"/>
          <w:szCs w:val="32"/>
          <w:highlight w:val="none"/>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sz w:val="32"/>
          <w:szCs w:val="32"/>
        </w:rPr>
        <w:t>我单位为加强预算管理、规范财务行为、加强内部控制体系建设，制定了支出和预算管理制度，并严格按照此管理制度管理使用预算资金，严格按照政府信息公开有关规定及财政部门要求公开相关预决算信息。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s="Times New Roman"/>
          <w:bCs/>
          <w:color w:val="auto"/>
          <w:sz w:val="32"/>
          <w:szCs w:val="32"/>
          <w:lang w:val="en-US" w:eastAsia="zh-CN"/>
        </w:rPr>
        <w:t>昌吉市城市管理局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1781.17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1781.17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w:t>
      </w:r>
      <w:r>
        <w:rPr>
          <w:rFonts w:hint="eastAsia" w:ascii="仿宋_GB2312" w:eastAsia="仿宋_GB2312"/>
          <w:color w:val="auto"/>
          <w:sz w:val="32"/>
          <w:szCs w:val="32"/>
          <w:lang w:val="en-US" w:eastAsia="zh-CN"/>
        </w:rPr>
        <w:t>调增280.69</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2061.86</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2061.86</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2018.03</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43.83</w:t>
      </w:r>
      <w:r>
        <w:rPr>
          <w:rFonts w:hint="eastAsia" w:ascii="仿宋_GB2312" w:eastAsia="仿宋_GB2312"/>
          <w:color w:val="auto"/>
          <w:sz w:val="32"/>
          <w:szCs w:val="32"/>
        </w:rPr>
        <w:t>万元。</w:t>
      </w:r>
    </w:p>
    <w:p>
      <w:pPr>
        <w:ind w:firstLine="640"/>
        <w:rPr>
          <w:rFonts w:ascii="仿宋_GB2312" w:eastAsia="仿宋_GB2312" w:cs="宋体"/>
          <w:color w:val="FF0000"/>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5.20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5.20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3.47</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3.47</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13.65</w:t>
      </w:r>
      <w:r>
        <w:rPr>
          <w:rFonts w:hint="eastAsia" w:ascii="仿宋_GB2312" w:eastAsia="仿宋_GB2312" w:cs="宋体"/>
          <w:color w:val="auto"/>
          <w:sz w:val="32"/>
          <w:szCs w:val="32"/>
        </w:rPr>
        <w:t>万元，增加</w:t>
      </w:r>
      <w:r>
        <w:rPr>
          <w:rFonts w:hint="eastAsia" w:ascii="仿宋_GB2312" w:eastAsia="仿宋_GB2312" w:cs="宋体"/>
          <w:color w:val="auto"/>
          <w:sz w:val="32"/>
          <w:szCs w:val="32"/>
          <w:lang w:val="en-US" w:eastAsia="zh-CN"/>
        </w:rPr>
        <w:t>10.17</w:t>
      </w:r>
      <w:r>
        <w:rPr>
          <w:rFonts w:hint="eastAsia" w:ascii="仿宋_GB2312" w:eastAsia="仿宋_GB2312" w:cs="宋体"/>
          <w:color w:val="auto"/>
          <w:sz w:val="32"/>
          <w:szCs w:val="32"/>
        </w:rPr>
        <w:t>万元，增长</w:t>
      </w:r>
      <w:r>
        <w:rPr>
          <w:rFonts w:hint="eastAsia" w:ascii="仿宋_GB2312" w:eastAsia="仿宋_GB2312" w:cs="宋体"/>
          <w:color w:val="auto"/>
          <w:sz w:val="32"/>
          <w:szCs w:val="32"/>
          <w:lang w:val="en-US" w:eastAsia="zh-CN"/>
        </w:rPr>
        <w:t>74.5</w:t>
      </w:r>
      <w:r>
        <w:rPr>
          <w:rFonts w:hint="eastAsia" w:ascii="仿宋_GB2312" w:eastAsia="仿宋_GB2312" w:cs="宋体"/>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2"/>
        <w:ind w:firstLine="640"/>
        <w:rPr>
          <w:rFonts w:hint="eastAsia" w:eastAsia="仿宋_GB2312"/>
          <w:b w:val="0"/>
          <w:bCs w:val="0"/>
          <w:color w:val="auto"/>
          <w:sz w:val="32"/>
          <w:highlight w:val="none"/>
          <w:lang w:val="en-US" w:eastAsia="zh-CN"/>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w:t>
      </w:r>
      <w:r>
        <w:rPr>
          <w:rFonts w:hint="eastAsia"/>
          <w:b w:val="0"/>
          <w:bCs w:val="0"/>
          <w:color w:val="auto"/>
          <w:sz w:val="32"/>
          <w:highlight w:val="none"/>
          <w:lang w:val="en-US" w:eastAsia="zh-CN"/>
        </w:rPr>
        <w:t>昌吉市城市管理局</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30.00</w:t>
      </w:r>
      <w:r>
        <w:rPr>
          <w:rFonts w:hint="eastAsia"/>
          <w:b w:val="0"/>
          <w:bCs w:val="0"/>
          <w:color w:val="auto"/>
          <w:sz w:val="32"/>
          <w:highlight w:val="none"/>
        </w:rPr>
        <w:t>万元，支出金额为</w:t>
      </w:r>
      <w:r>
        <w:rPr>
          <w:rFonts w:hint="eastAsia"/>
          <w:b w:val="0"/>
          <w:bCs w:val="0"/>
          <w:color w:val="auto"/>
          <w:sz w:val="32"/>
          <w:highlight w:val="none"/>
          <w:lang w:val="en-US" w:eastAsia="zh-CN"/>
        </w:rPr>
        <w:t>7.50</w:t>
      </w:r>
      <w:r>
        <w:rPr>
          <w:rFonts w:hint="eastAsia"/>
          <w:b w:val="0"/>
          <w:bCs w:val="0"/>
          <w:color w:val="auto"/>
          <w:sz w:val="32"/>
          <w:highlight w:val="none"/>
        </w:rPr>
        <w:t>万元，执行率为</w:t>
      </w:r>
      <w:r>
        <w:rPr>
          <w:rFonts w:hint="eastAsia"/>
          <w:b w:val="0"/>
          <w:bCs w:val="0"/>
          <w:color w:val="auto"/>
          <w:sz w:val="32"/>
          <w:highlight w:val="none"/>
          <w:lang w:val="en-US" w:eastAsia="zh-CN"/>
        </w:rPr>
        <w:t>25.0</w:t>
      </w:r>
      <w:r>
        <w:rPr>
          <w:rFonts w:hint="eastAsia"/>
          <w:b w:val="0"/>
          <w:bCs w:val="0"/>
          <w:color w:val="auto"/>
          <w:sz w:val="32"/>
          <w:highlight w:val="none"/>
        </w:rPr>
        <w:t>%，年中调整预算金额为</w:t>
      </w:r>
      <w:r>
        <w:rPr>
          <w:rFonts w:hint="eastAsia"/>
          <w:b w:val="0"/>
          <w:bCs w:val="0"/>
          <w:color w:val="auto"/>
          <w:sz w:val="32"/>
          <w:highlight w:val="none"/>
          <w:lang w:val="en-US" w:eastAsia="zh-CN"/>
        </w:rPr>
        <w:t>14672.95</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14680.45</w:t>
      </w:r>
      <w:r>
        <w:rPr>
          <w:rFonts w:hint="eastAsia"/>
          <w:b w:val="0"/>
          <w:bCs w:val="0"/>
          <w:color w:val="auto"/>
          <w:sz w:val="32"/>
          <w:highlight w:val="none"/>
        </w:rPr>
        <w:t>万元，支出总额为</w:t>
      </w:r>
      <w:r>
        <w:rPr>
          <w:rFonts w:hint="eastAsia"/>
          <w:b w:val="0"/>
          <w:bCs w:val="0"/>
          <w:color w:val="auto"/>
          <w:sz w:val="32"/>
          <w:highlight w:val="none"/>
          <w:lang w:val="en-US" w:eastAsia="zh-CN"/>
        </w:rPr>
        <w:t>14680.45</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r>
        <w:rPr>
          <w:rFonts w:hint="eastAsia"/>
          <w:b w:val="0"/>
          <w:bCs w:val="0"/>
          <w:color w:val="auto"/>
          <w:sz w:val="32"/>
          <w:highlight w:val="none"/>
          <w:lang w:eastAsia="zh-CN"/>
        </w:rPr>
        <w:t>。</w:t>
      </w:r>
    </w:p>
    <w:p>
      <w:pPr>
        <w:ind w:firstLine="640"/>
        <w:rPr>
          <w:rFonts w:hint="eastAsia"/>
          <w:color w:val="auto"/>
          <w:sz w:val="21"/>
          <w:szCs w:val="21"/>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lang w:val="en-US" w:eastAsia="zh-CN"/>
        </w:rPr>
        <w:t>昌吉市城市管理局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个自治区、地区、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15</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0"/>
        <w:tblW w:w="8683" w:type="dxa"/>
        <w:tblInd w:w="0" w:type="dxa"/>
        <w:tblLayout w:type="fixed"/>
        <w:tblCellMar>
          <w:top w:w="0" w:type="dxa"/>
          <w:left w:w="108" w:type="dxa"/>
          <w:bottom w:w="0" w:type="dxa"/>
          <w:right w:w="108" w:type="dxa"/>
        </w:tblCellMar>
      </w:tblPr>
      <w:tblGrid>
        <w:gridCol w:w="4219"/>
        <w:gridCol w:w="1068"/>
        <w:gridCol w:w="1080"/>
        <w:gridCol w:w="936"/>
        <w:gridCol w:w="660"/>
        <w:gridCol w:w="720"/>
      </w:tblGrid>
      <w:tr>
        <w:tblPrEx>
          <w:tblCellMar>
            <w:top w:w="0" w:type="dxa"/>
            <w:left w:w="108" w:type="dxa"/>
            <w:bottom w:w="0" w:type="dxa"/>
            <w:right w:w="108" w:type="dxa"/>
          </w:tblCellMar>
        </w:tblPrEx>
        <w:trPr>
          <w:trHeight w:val="1081" w:hRule="atLeast"/>
          <w:tblHeader/>
        </w:trPr>
        <w:tc>
          <w:tcPr>
            <w:tcW w:w="4219"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06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0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936"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6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2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rPr>
              <w:t>昌吉市城市管理综合执法大队2022年全年城市运行保障经费项目</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7.5</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7.5</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2022年自治区“访惠聚”驻村工作专项经费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11.21</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11.21</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2019-2020年采暖期天然气费用（热力公司）</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2019-2020年城市管理综合执法大队拆除违法建筑项目</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40</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40</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2019-2020年违法建设拆除（违建和广告牌匾）</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7</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7</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昌吉市头屯河沿岸综合整治工程区域内基础设施建设项目中介服务费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0.4</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0.4</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eastAsia="仿宋_GB2312" w:cs="Calibri"/>
                <w:kern w:val="0"/>
                <w:sz w:val="21"/>
                <w:szCs w:val="21"/>
                <w:lang w:val="en-US"/>
              </w:rPr>
            </w:pPr>
            <w:r>
              <w:rPr>
                <w:rFonts w:hint="eastAsia" w:ascii="仿宋_GB2312" w:hAnsi="宋体" w:eastAsia="仿宋_GB2312" w:cs="宋体"/>
                <w:kern w:val="0"/>
                <w:sz w:val="21"/>
                <w:szCs w:val="21"/>
                <w:lang w:val="en-US" w:eastAsia="zh-CN"/>
              </w:rPr>
              <w:t xml:space="preserve">否 </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历年项目欠款（前期中介服务费）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13.6</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13.6</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城管局智慧城管项目</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5</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5</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2022年昌吉市城区迎春灯饰项目经费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81</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81</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2022年“访惠聚”驻村（社区）工作经费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6</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6</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2022年自治区第三批地方政府债券（专项债）（昌吉市城区中水回用建设项目）</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3000</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3000</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2022年自治区第三批地方政府债券（专项债）（昌吉市垃圾分类处理建设项目）</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11000</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11000</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2022年地债项目施工审查费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1.01</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1.01</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校外培育培训机构户外广告牌匾拆除经费</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3.89</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3.89</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100.0%</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方舱医院内医疗保洁及医疗废物车辆及垃圾桶</w:t>
            </w:r>
          </w:p>
        </w:tc>
        <w:tc>
          <w:tcPr>
            <w:tcW w:w="10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50</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25.44</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50.9%</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219"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06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color w:val="auto"/>
                <w:kern w:val="0"/>
                <w:sz w:val="21"/>
                <w:szCs w:val="21"/>
                <w:lang w:val="en-US" w:eastAsia="zh-CN"/>
              </w:rPr>
              <w:t>14326.61</w:t>
            </w:r>
          </w:p>
        </w:tc>
        <w:tc>
          <w:tcPr>
            <w:tcW w:w="10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14302.05</w:t>
            </w:r>
          </w:p>
        </w:tc>
        <w:tc>
          <w:tcPr>
            <w:tcW w:w="93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99.8%</w:t>
            </w:r>
          </w:p>
        </w:tc>
        <w:tc>
          <w:tcPr>
            <w:tcW w:w="66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2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3"/>
        </w:numPr>
        <w:ind w:firstLine="640"/>
        <w:rPr>
          <w:b w:val="0"/>
          <w:bCs w:val="0"/>
          <w:sz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w:t>
      </w:r>
      <w:r>
        <w:rPr>
          <w:rFonts w:hint="eastAsia" w:ascii="仿宋_GB2312" w:eastAsia="仿宋_GB2312" w:cs="仿宋"/>
          <w:color w:val="auto"/>
          <w:sz w:val="32"/>
          <w:szCs w:val="32"/>
        </w:rPr>
        <w:t>预算安排专项资金</w:t>
      </w:r>
      <w:r>
        <w:rPr>
          <w:rFonts w:hint="eastAsia" w:ascii="仿宋_GB2312" w:eastAsia="仿宋_GB2312" w:cs="仿宋"/>
          <w:color w:val="auto"/>
          <w:sz w:val="32"/>
          <w:szCs w:val="32"/>
          <w:lang w:val="en-US" w:eastAsia="zh-CN"/>
        </w:rPr>
        <w:t>14000.00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14000.00</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w:t>
      </w:r>
      <w:r>
        <w:rPr>
          <w:rFonts w:hint="eastAsia" w:ascii="仿宋_GB2312" w:eastAsia="仿宋_GB2312" w:cs="仿宋"/>
          <w:sz w:val="32"/>
          <w:szCs w:val="32"/>
        </w:rPr>
        <w:t>元</w:t>
      </w:r>
      <w:r>
        <w:rPr>
          <w:rFonts w:hint="eastAsia" w:ascii="仿宋_GB2312" w:eastAsia="仿宋_GB2312" w:cs="仿宋"/>
          <w:sz w:val="32"/>
          <w:szCs w:val="32"/>
          <w:lang w:eastAsia="zh-CN"/>
        </w:rPr>
        <w:t>，</w:t>
      </w:r>
      <w:r>
        <w:rPr>
          <w:rFonts w:hint="eastAsia" w:ascii="仿宋_GB2312" w:eastAsia="仿宋_GB2312" w:cs="仿宋"/>
          <w:sz w:val="32"/>
          <w:szCs w:val="32"/>
          <w:lang w:val="en-US" w:eastAsia="zh-CN"/>
        </w:rPr>
        <w:t>结转项目无，结转原因无</w:t>
      </w:r>
      <w:r>
        <w:rPr>
          <w:rFonts w:hint="eastAsia" w:ascii="仿宋_GB2312" w:eastAsia="仿宋_GB2312" w:cs="仿宋"/>
          <w:sz w:val="32"/>
          <w:szCs w:val="32"/>
        </w:rPr>
        <w:t>。</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hint="eastAsia" w:ascii="仿宋_GB2312" w:eastAsia="仿宋_GB2312"/>
          <w:sz w:val="32"/>
          <w:szCs w:val="32"/>
          <w:lang w:val="zh-TW"/>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0"/>
        <w:rPr>
          <w:rFonts w:hint="eastAsia" w:ascii="楷体_GB2312" w:eastAsia="楷体_GB2312"/>
          <w:b/>
          <w:bCs/>
          <w:sz w:val="32"/>
          <w:szCs w:val="32"/>
        </w:rPr>
      </w:pPr>
      <w:r>
        <w:rPr>
          <w:rFonts w:hint="eastAsia" w:ascii="楷体_GB2312" w:eastAsia="楷体_GB2312"/>
          <w:b/>
          <w:bCs/>
          <w:sz w:val="32"/>
          <w:szCs w:val="32"/>
          <w:lang w:eastAsia="zh-CN"/>
        </w:rPr>
        <w:t>（</w:t>
      </w:r>
      <w:r>
        <w:rPr>
          <w:rFonts w:hint="eastAsia" w:ascii="楷体_GB2312" w:eastAsia="楷体_GB2312"/>
          <w:b/>
          <w:bCs/>
          <w:sz w:val="32"/>
          <w:szCs w:val="32"/>
          <w:lang w:val="en-US" w:eastAsia="zh-CN"/>
        </w:rPr>
        <w:t>二</w:t>
      </w:r>
      <w:r>
        <w:rPr>
          <w:rFonts w:hint="eastAsia" w:ascii="楷体_GB2312" w:eastAsia="楷体_GB2312"/>
          <w:b/>
          <w:bCs/>
          <w:sz w:val="32"/>
          <w:szCs w:val="32"/>
          <w:lang w:eastAsia="zh-CN"/>
        </w:rPr>
        <w:t>）</w:t>
      </w:r>
      <w:r>
        <w:rPr>
          <w:rFonts w:hint="eastAsia" w:ascii="楷体_GB2312" w:eastAsia="楷体_GB2312"/>
          <w:b/>
          <w:bCs/>
          <w:sz w:val="3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color w:val="auto"/>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1400</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14000.00</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color w:val="auto"/>
          <w:sz w:val="32"/>
          <w:szCs w:val="32"/>
        </w:rPr>
      </w:pPr>
      <w:r>
        <w:rPr>
          <w:rFonts w:hint="eastAsia" w:ascii="仿宋_GB2312" w:eastAsia="仿宋_GB2312"/>
          <w:sz w:val="32"/>
          <w:szCs w:val="32"/>
        </w:rPr>
        <w:t>（1）组织情况：</w:t>
      </w:r>
      <w:r>
        <w:rPr>
          <w:rFonts w:hint="eastAsia"/>
          <w:b w:val="0"/>
          <w:bCs w:val="0"/>
          <w:sz w:val="32"/>
          <w:lang w:val="en-US" w:eastAsia="zh-CN"/>
        </w:rPr>
        <w:t>昌吉市城市管理局</w:t>
      </w:r>
      <w:r>
        <w:rPr>
          <w:rFonts w:hint="eastAsia" w:ascii="仿宋_GB2312" w:eastAsia="仿宋_GB2312"/>
          <w:color w:val="auto"/>
          <w:sz w:val="32"/>
          <w:szCs w:val="32"/>
        </w:rPr>
        <w:t>建立专项项目领导小组，</w:t>
      </w:r>
      <w:r>
        <w:rPr>
          <w:rFonts w:hint="eastAsia" w:ascii="仿宋_GB2312" w:eastAsia="仿宋_GB2312"/>
          <w:color w:val="auto"/>
          <w:sz w:val="32"/>
          <w:szCs w:val="32"/>
          <w:lang w:val="en-US" w:eastAsia="zh-CN"/>
        </w:rPr>
        <w:t>具体事项由合同预算科负责，</w:t>
      </w:r>
      <w:r>
        <w:rPr>
          <w:rFonts w:hint="eastAsia" w:ascii="仿宋_GB2312" w:eastAsia="仿宋_GB2312"/>
          <w:color w:val="auto"/>
          <w:sz w:val="32"/>
          <w:szCs w:val="32"/>
        </w:rPr>
        <w:t>保证项目的实施。</w:t>
      </w:r>
    </w:p>
    <w:p>
      <w:pPr>
        <w:ind w:firstLine="640"/>
        <w:rPr>
          <w:rFonts w:ascii="仿宋_GB2312" w:eastAsia="仿宋_GB2312"/>
          <w:color w:val="auto"/>
          <w:sz w:val="32"/>
          <w:szCs w:val="32"/>
        </w:rPr>
      </w:pPr>
      <w:r>
        <w:rPr>
          <w:rFonts w:hint="eastAsia" w:ascii="仿宋_GB2312" w:eastAsia="仿宋_GB2312"/>
          <w:sz w:val="32"/>
          <w:szCs w:val="32"/>
        </w:rPr>
        <w:t>（2）管理情况：</w:t>
      </w:r>
      <w:r>
        <w:rPr>
          <w:rFonts w:hint="eastAsia"/>
          <w:b w:val="0"/>
          <w:bCs w:val="0"/>
          <w:sz w:val="32"/>
          <w:lang w:val="en-US" w:eastAsia="zh-CN"/>
        </w:rPr>
        <w:t>昌吉市城市管理</w:t>
      </w:r>
      <w:r>
        <w:rPr>
          <w:rFonts w:hint="eastAsia"/>
          <w:b w:val="0"/>
          <w:bCs w:val="0"/>
          <w:color w:val="auto"/>
          <w:sz w:val="32"/>
          <w:lang w:val="en-US" w:eastAsia="zh-CN"/>
        </w:rPr>
        <w:t>局</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sz w:val="32"/>
          <w:szCs w:val="32"/>
        </w:rPr>
        <w:t>（3）监管情况：</w:t>
      </w:r>
      <w:r>
        <w:rPr>
          <w:rFonts w:hint="eastAsia"/>
          <w:b w:val="0"/>
          <w:bCs w:val="0"/>
          <w:sz w:val="32"/>
          <w:lang w:val="en-US" w:eastAsia="zh-CN"/>
        </w:rPr>
        <w:t>昌吉市城市管理局</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2</w:t>
      </w:r>
      <w:r>
        <w:rPr>
          <w:rFonts w:hint="eastAsia" w:ascii="仿宋_GB2312" w:eastAsia="仿宋_GB2312"/>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sz w:val="32"/>
          <w:szCs w:val="32"/>
        </w:rPr>
        <w:t>（1）成本控制：</w:t>
      </w:r>
      <w:r>
        <w:rPr>
          <w:rFonts w:hint="eastAsia"/>
          <w:b w:val="0"/>
          <w:bCs w:val="0"/>
          <w:sz w:val="32"/>
          <w:lang w:val="en-US" w:eastAsia="zh-CN"/>
        </w:rPr>
        <w:t>昌吉市城市管理</w:t>
      </w:r>
      <w:r>
        <w:rPr>
          <w:rFonts w:hint="eastAsia"/>
          <w:b w:val="0"/>
          <w:bCs w:val="0"/>
          <w:color w:val="auto"/>
          <w:sz w:val="32"/>
          <w:lang w:val="en-US" w:eastAsia="zh-CN"/>
        </w:rPr>
        <w:t>局</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color w:val="auto"/>
          <w:sz w:val="32"/>
          <w:szCs w:val="32"/>
          <w:lang w:eastAsia="zh-CN"/>
        </w:rPr>
      </w:pPr>
      <w:r>
        <w:rPr>
          <w:rFonts w:hint="eastAsia" w:ascii="仿宋_GB2312" w:eastAsia="仿宋_GB2312"/>
          <w:sz w:val="32"/>
          <w:szCs w:val="32"/>
        </w:rPr>
        <w:t>（2）成本节约：</w:t>
      </w:r>
      <w:r>
        <w:rPr>
          <w:rFonts w:hint="eastAsia" w:ascii="仿宋_GB2312" w:eastAsia="仿宋_GB2312" w:cs="Times New Roman"/>
          <w:color w:val="auto"/>
          <w:sz w:val="32"/>
          <w:szCs w:val="32"/>
          <w:lang w:val="en-US" w:eastAsia="zh-CN"/>
        </w:rPr>
        <w:t>昌吉市城市管理局</w:t>
      </w:r>
      <w:r>
        <w:rPr>
          <w:rFonts w:hint="eastAsia" w:ascii="仿宋_GB2312" w:eastAsia="仿宋_GB2312" w:cs="Times New Roman"/>
          <w:color w:val="auto"/>
          <w:sz w:val="32"/>
          <w:szCs w:val="32"/>
          <w:lang w:eastAsia="zh-CN"/>
        </w:rPr>
        <w:t>在实施专项项目过程中，无相关成本节约情况</w:t>
      </w:r>
      <w:r>
        <w:rPr>
          <w:rFonts w:hint="eastAsia" w:ascii="仿宋_GB2312" w:eastAsia="仿宋_GB2312"/>
          <w:color w:val="auto"/>
          <w:sz w:val="32"/>
          <w:szCs w:val="32"/>
          <w:lang w:eastAsia="zh-CN"/>
        </w:rPr>
        <w:t>。</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2"/>
        <w:ind w:firstLine="640"/>
        <w:rPr>
          <w:rFonts w:hint="eastAsia" w:hAnsi="仿宋" w:eastAsia="仿宋_GB2312" w:cs="仿宋"/>
          <w:b w:val="0"/>
          <w:bCs w:val="0"/>
          <w:color w:val="auto"/>
          <w:sz w:val="32"/>
          <w:lang w:eastAsia="zh-CN"/>
        </w:rPr>
      </w:pPr>
      <w:r>
        <w:rPr>
          <w:rFonts w:hint="eastAsia" w:hAnsi="仿宋" w:cs="仿宋"/>
          <w:b w:val="0"/>
          <w:bCs w:val="0"/>
          <w:color w:val="auto"/>
          <w:sz w:val="32"/>
        </w:rPr>
        <w:t>（1）2022年自治区第三批地方政府债券（专项债）（昌吉市城区中水回用建设项目）项目已完成，实施进度为100</w:t>
      </w:r>
      <w:r>
        <w:rPr>
          <w:rFonts w:hint="eastAsia" w:hAnsi="仿宋" w:cs="仿宋"/>
          <w:b w:val="0"/>
          <w:bCs w:val="0"/>
          <w:color w:val="auto"/>
          <w:sz w:val="32"/>
          <w:lang w:val="en-US" w:eastAsia="zh-CN"/>
        </w:rPr>
        <w:t>.0</w:t>
      </w:r>
      <w:r>
        <w:rPr>
          <w:rFonts w:hint="eastAsia" w:hAnsi="仿宋" w:cs="仿宋"/>
          <w:b w:val="0"/>
          <w:bCs w:val="0"/>
          <w:color w:val="auto"/>
          <w:sz w:val="32"/>
        </w:rPr>
        <w:t>%，达到预期完成质量要求</w:t>
      </w:r>
      <w:r>
        <w:rPr>
          <w:rFonts w:hint="eastAsia" w:hAnsi="仿宋" w:cs="仿宋"/>
          <w:b w:val="0"/>
          <w:bCs w:val="0"/>
          <w:color w:val="auto"/>
          <w:sz w:val="32"/>
          <w:lang w:eastAsia="zh-CN"/>
        </w:rPr>
        <w:t>。</w:t>
      </w:r>
    </w:p>
    <w:p>
      <w:pPr>
        <w:pStyle w:val="2"/>
        <w:ind w:firstLine="640"/>
        <w:rPr>
          <w:rFonts w:hint="eastAsia" w:hAnsi="仿宋" w:eastAsia="仿宋_GB2312" w:cs="仿宋"/>
          <w:b w:val="0"/>
          <w:bCs w:val="0"/>
          <w:color w:val="auto"/>
          <w:sz w:val="32"/>
          <w:lang w:eastAsia="zh-CN"/>
        </w:rPr>
      </w:pPr>
      <w:r>
        <w:rPr>
          <w:rFonts w:hint="eastAsia" w:hAnsi="仿宋" w:cs="仿宋"/>
          <w:b w:val="0"/>
          <w:bCs w:val="0"/>
          <w:color w:val="auto"/>
          <w:sz w:val="32"/>
        </w:rPr>
        <w:t>（</w:t>
      </w:r>
      <w:r>
        <w:rPr>
          <w:rFonts w:hint="eastAsia" w:hAnsi="仿宋" w:cs="仿宋"/>
          <w:b w:val="0"/>
          <w:bCs w:val="0"/>
          <w:color w:val="auto"/>
          <w:sz w:val="32"/>
          <w:lang w:val="en-US" w:eastAsia="zh-CN"/>
        </w:rPr>
        <w:t>2</w:t>
      </w:r>
      <w:r>
        <w:rPr>
          <w:rFonts w:hint="eastAsia" w:hAnsi="仿宋" w:cs="仿宋"/>
          <w:b w:val="0"/>
          <w:bCs w:val="0"/>
          <w:color w:val="auto"/>
          <w:sz w:val="32"/>
        </w:rPr>
        <w:t>）</w:t>
      </w:r>
      <w:r>
        <w:rPr>
          <w:rFonts w:hint="eastAsia" w:hAnsi="仿宋" w:cs="仿宋"/>
          <w:b w:val="0"/>
          <w:bCs w:val="0"/>
          <w:color w:val="auto"/>
          <w:sz w:val="32"/>
          <w:lang w:val="en-US" w:eastAsia="zh-CN"/>
        </w:rPr>
        <w:t>2022年自治区第三批地方政府债券（专项债）（昌吉市垃圾分类处理建设项目）</w:t>
      </w:r>
      <w:r>
        <w:rPr>
          <w:rFonts w:hint="eastAsia" w:hAnsi="仿宋" w:cs="仿宋"/>
          <w:b w:val="0"/>
          <w:bCs w:val="0"/>
          <w:color w:val="auto"/>
          <w:sz w:val="32"/>
        </w:rPr>
        <w:t>项目已完成，实施进度为100</w:t>
      </w:r>
      <w:r>
        <w:rPr>
          <w:rFonts w:hint="eastAsia" w:hAnsi="仿宋" w:cs="仿宋"/>
          <w:b w:val="0"/>
          <w:bCs w:val="0"/>
          <w:color w:val="auto"/>
          <w:sz w:val="32"/>
          <w:lang w:val="en-US" w:eastAsia="zh-CN"/>
        </w:rPr>
        <w:t>.0</w:t>
      </w:r>
      <w:r>
        <w:rPr>
          <w:rFonts w:hint="eastAsia" w:hAnsi="仿宋" w:cs="仿宋"/>
          <w:b w:val="0"/>
          <w:bCs w:val="0"/>
          <w:color w:val="auto"/>
          <w:sz w:val="32"/>
        </w:rPr>
        <w:t>%，达到预期完成质量要求</w:t>
      </w:r>
      <w:r>
        <w:rPr>
          <w:rFonts w:hint="eastAsia" w:hAnsi="仿宋" w:cs="仿宋"/>
          <w:b w:val="0"/>
          <w:bCs w:val="0"/>
          <w:color w:val="auto"/>
          <w:sz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jc w:val="left"/>
        <w:textAlignment w:val="auto"/>
        <w:rPr>
          <w:rFonts w:hint="eastAsia" w:ascii="仿宋_GB2312" w:eastAsia="仿宋_GB2312" w:cs="仿宋"/>
          <w:color w:val="FF0000"/>
          <w:sz w:val="32"/>
          <w:szCs w:val="32"/>
        </w:rPr>
      </w:pPr>
      <w:r>
        <w:rPr>
          <w:rFonts w:hint="eastAsia" w:ascii="仿宋_GB2312" w:eastAsia="仿宋_GB2312"/>
          <w:b/>
          <w:bCs/>
          <w:sz w:val="32"/>
          <w:szCs w:val="32"/>
          <w:lang w:val="en-US" w:eastAsia="zh-CN"/>
        </w:rPr>
        <w:t>4.</w:t>
      </w:r>
      <w:r>
        <w:rPr>
          <w:rFonts w:hint="eastAsia" w:ascii="仿宋_GB2312" w:eastAsia="仿宋_GB2312"/>
          <w:b/>
          <w:bCs/>
          <w:sz w:val="32"/>
          <w:szCs w:val="32"/>
        </w:rPr>
        <w:t>项目效益性分析（预期目标完成程度、实施对经济和社会的影响）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hAnsi="仿宋" w:cs="仿宋"/>
          <w:b w:val="0"/>
          <w:bCs w:val="0"/>
          <w:color w:val="auto"/>
          <w:sz w:val="32"/>
          <w:lang w:val="en-US" w:eastAsia="zh-CN"/>
        </w:rPr>
      </w:pPr>
      <w:r>
        <w:rPr>
          <w:rFonts w:hint="eastAsia" w:hAnsi="仿宋" w:cs="仿宋"/>
          <w:b w:val="0"/>
          <w:bCs w:val="0"/>
          <w:color w:val="auto"/>
          <w:sz w:val="32"/>
        </w:rPr>
        <w:t>2022年自治区第三批地方政府债券（专项债）（昌吉市城区中水回用建设项目）</w:t>
      </w:r>
      <w:r>
        <w:rPr>
          <w:rFonts w:hint="eastAsia" w:hAnsi="仿宋" w:cs="仿宋"/>
          <w:b w:val="0"/>
          <w:bCs w:val="0"/>
          <w:color w:val="auto"/>
          <w:sz w:val="32"/>
          <w:lang w:val="en-US" w:eastAsia="zh-CN"/>
        </w:rPr>
        <w:t>项目，</w:t>
      </w:r>
      <w:r>
        <w:rPr>
          <w:rFonts w:hint="eastAsia" w:hAnsi="仿宋" w:cs="仿宋"/>
          <w:b w:val="0"/>
          <w:bCs w:val="0"/>
          <w:color w:val="auto"/>
          <w:sz w:val="32"/>
          <w:szCs w:val="32"/>
          <w:lang w:eastAsia="zh-CN"/>
        </w:rPr>
        <w:t>达到工程质量要求，资金支付率达到</w:t>
      </w:r>
      <w:r>
        <w:rPr>
          <w:rFonts w:hint="eastAsia" w:hAnsi="仿宋" w:cs="仿宋"/>
          <w:b w:val="0"/>
          <w:bCs w:val="0"/>
          <w:color w:val="auto"/>
          <w:sz w:val="32"/>
          <w:szCs w:val="32"/>
          <w:lang w:val="en-US" w:eastAsia="zh-CN"/>
        </w:rPr>
        <w:t>100.0%，</w:t>
      </w:r>
      <w:r>
        <w:rPr>
          <w:rFonts w:hint="eastAsia" w:cs="仿宋"/>
          <w:b w:val="0"/>
          <w:bCs w:val="0"/>
          <w:color w:val="auto"/>
          <w:sz w:val="32"/>
          <w:szCs w:val="32"/>
          <w:lang w:val="en-US" w:eastAsia="zh-CN"/>
        </w:rPr>
        <w:t>通过项目建设，</w:t>
      </w:r>
      <w:r>
        <w:rPr>
          <w:rFonts w:hint="eastAsia" w:hAnsi="仿宋" w:cs="仿宋"/>
          <w:b w:val="0"/>
          <w:bCs w:val="0"/>
          <w:color w:val="auto"/>
          <w:sz w:val="32"/>
        </w:rPr>
        <w:t>加强再生水资源利用，是生态文明建设的重要举措，关系广大市民的切身利益</w:t>
      </w:r>
      <w:r>
        <w:rPr>
          <w:rFonts w:hint="eastAsia" w:cs="仿宋"/>
          <w:b w:val="0"/>
          <w:bCs w:val="0"/>
          <w:color w:val="auto"/>
          <w:sz w:val="32"/>
          <w:lang w:eastAsia="zh-CN"/>
        </w:rPr>
        <w:t>，</w:t>
      </w:r>
      <w:r>
        <w:rPr>
          <w:rFonts w:hint="eastAsia" w:hAnsi="仿宋" w:cs="仿宋"/>
          <w:b w:val="0"/>
          <w:bCs w:val="0"/>
          <w:color w:val="auto"/>
          <w:sz w:val="32"/>
        </w:rPr>
        <w:t>不断提高再生水利用工作水平，改善昌吉市排水及污水处理再利用设施，保护自然生态，对促进昌吉市生态文明建设，推动当地社会经济快速发展，保障人民群众身体健康，对构建和谐社会，对完成各城市基础设施配套，提升居民生活条件、人居环境，更好的服务于昌吉市经济建设起到十分重要的作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hAnsi="仿宋" w:cs="仿宋"/>
          <w:b w:val="0"/>
          <w:bCs w:val="0"/>
          <w:color w:val="auto"/>
          <w:sz w:val="32"/>
          <w:szCs w:val="32"/>
          <w:lang w:eastAsia="zh-CN"/>
        </w:rPr>
      </w:pPr>
      <w:r>
        <w:rPr>
          <w:rFonts w:hint="eastAsia" w:hAnsi="仿宋" w:cs="仿宋"/>
          <w:b w:val="0"/>
          <w:bCs w:val="0"/>
          <w:color w:val="auto"/>
          <w:sz w:val="32"/>
          <w:lang w:val="en-US" w:eastAsia="zh-CN"/>
        </w:rPr>
        <w:t>2022年自治区第三批地方政府债券（专项债）（昌吉市垃圾分类处理建设项目）</w:t>
      </w:r>
      <w:r>
        <w:rPr>
          <w:rFonts w:hint="eastAsia" w:hAnsi="仿宋" w:cs="仿宋"/>
          <w:b w:val="0"/>
          <w:bCs w:val="0"/>
          <w:color w:val="auto"/>
          <w:sz w:val="32"/>
        </w:rPr>
        <w:t>项目</w:t>
      </w:r>
      <w:r>
        <w:rPr>
          <w:rFonts w:hint="eastAsia" w:cs="仿宋"/>
          <w:b w:val="0"/>
          <w:bCs w:val="0"/>
          <w:color w:val="auto"/>
          <w:sz w:val="32"/>
          <w:lang w:eastAsia="zh-CN"/>
        </w:rPr>
        <w:t>，</w:t>
      </w:r>
      <w:r>
        <w:rPr>
          <w:rFonts w:hint="eastAsia" w:hAnsi="仿宋" w:cs="仿宋"/>
          <w:b w:val="0"/>
          <w:bCs w:val="0"/>
          <w:color w:val="auto"/>
          <w:sz w:val="32"/>
          <w:szCs w:val="32"/>
          <w:lang w:eastAsia="zh-CN"/>
        </w:rPr>
        <w:t>达到工程质量要求，资金支付率达到</w:t>
      </w:r>
      <w:r>
        <w:rPr>
          <w:rFonts w:hint="eastAsia" w:hAnsi="仿宋" w:cs="仿宋"/>
          <w:b w:val="0"/>
          <w:bCs w:val="0"/>
          <w:color w:val="auto"/>
          <w:sz w:val="32"/>
          <w:szCs w:val="32"/>
          <w:lang w:val="en-US" w:eastAsia="zh-CN"/>
        </w:rPr>
        <w:t>100.0%</w:t>
      </w:r>
      <w:r>
        <w:rPr>
          <w:rFonts w:hint="eastAsia" w:cs="仿宋"/>
          <w:b w:val="0"/>
          <w:bCs w:val="0"/>
          <w:color w:val="auto"/>
          <w:sz w:val="32"/>
          <w:szCs w:val="32"/>
          <w:lang w:val="en-US" w:eastAsia="zh-CN"/>
        </w:rPr>
        <w:t>，通过项目建设，</w:t>
      </w:r>
      <w:r>
        <w:rPr>
          <w:rFonts w:hint="eastAsia" w:hAnsi="仿宋" w:cs="仿宋"/>
          <w:b w:val="0"/>
          <w:bCs w:val="0"/>
          <w:color w:val="auto"/>
          <w:sz w:val="32"/>
          <w:szCs w:val="32"/>
          <w:lang w:eastAsia="zh-CN"/>
        </w:rPr>
        <w:t>可以有效地缓解人口增长带来</w:t>
      </w:r>
      <w:r>
        <w:rPr>
          <w:rFonts w:hint="eastAsia" w:cs="仿宋"/>
          <w:b w:val="0"/>
          <w:bCs w:val="0"/>
          <w:color w:val="auto"/>
          <w:sz w:val="32"/>
          <w:szCs w:val="32"/>
          <w:lang w:val="en-US" w:eastAsia="zh-CN"/>
        </w:rPr>
        <w:t>的</w:t>
      </w:r>
      <w:r>
        <w:rPr>
          <w:rFonts w:hint="eastAsia" w:hAnsi="仿宋" w:cs="仿宋"/>
          <w:b w:val="0"/>
          <w:bCs w:val="0"/>
          <w:color w:val="auto"/>
          <w:sz w:val="32"/>
          <w:szCs w:val="32"/>
          <w:lang w:eastAsia="zh-CN"/>
        </w:rPr>
        <w:t>城市垃圾无序堆放引起的城区周边生态环境恶化，改善城市周边生态环境，增强昌吉市的城市载体功能，完善城市基础设施，美化城区，为城区人民创造洁净优美、生态环保的工作和生活环境，</w:t>
      </w:r>
      <w:r>
        <w:rPr>
          <w:rFonts w:hint="eastAsia" w:hAnsi="仿宋" w:cs="仿宋"/>
          <w:b w:val="0"/>
          <w:bCs w:val="0"/>
          <w:color w:val="auto"/>
          <w:sz w:val="32"/>
          <w:szCs w:val="32"/>
          <w:lang w:val="en-US" w:eastAsia="zh-CN"/>
        </w:rPr>
        <w:t>提高市民生活质量、促进城市良性发展，改善投资环境，为城市的可持续发展打好基础，城市管理效率、质量和水平得到提升。</w:t>
      </w:r>
    </w:p>
    <w:p>
      <w:pPr>
        <w:numPr>
          <w:ilvl w:val="0"/>
          <w:numId w:val="5"/>
        </w:numPr>
        <w:ind w:firstLine="640"/>
        <w:rPr>
          <w:rFonts w:hint="eastAsia" w:ascii="黑体" w:hAnsi="黑体" w:eastAsia="黑体" w:cs="Times New Roman"/>
          <w:b w:val="0"/>
          <w:bCs/>
          <w:kern w:val="44"/>
          <w:sz w:val="32"/>
          <w:szCs w:val="32"/>
          <w:lang w:val="en-US" w:eastAsia="zh-CN" w:bidi="ar-SA"/>
        </w:rPr>
      </w:pPr>
      <w:r>
        <w:rPr>
          <w:rFonts w:hint="eastAsia" w:ascii="黑体" w:hAnsi="黑体" w:eastAsia="黑体" w:cs="Times New Roman"/>
          <w:b w:val="0"/>
          <w:bCs/>
          <w:kern w:val="44"/>
          <w:sz w:val="32"/>
          <w:szCs w:val="32"/>
          <w:lang w:val="en-US" w:eastAsia="zh-CN" w:bidi="ar-SA"/>
        </w:rPr>
        <w:t>资产管理情况</w:t>
      </w:r>
    </w:p>
    <w:p>
      <w:pPr>
        <w:numPr>
          <w:ilvl w:val="0"/>
          <w:numId w:val="0"/>
        </w:numPr>
        <w:ind w:firstLine="321" w:firstLineChars="100"/>
        <w:rPr>
          <w:rFonts w:hint="eastAsia" w:ascii="楷体_GB2312" w:eastAsia="楷体_GB2312"/>
          <w:sz w:val="32"/>
          <w:szCs w:val="32"/>
        </w:rPr>
      </w:pPr>
      <w:r>
        <w:rPr>
          <w:rFonts w:hint="eastAsia" w:ascii="楷体_GB2312" w:eastAsia="楷体_GB2312"/>
          <w:b/>
          <w:bCs/>
          <w:sz w:val="32"/>
          <w:szCs w:val="32"/>
          <w:lang w:eastAsia="zh-CN"/>
        </w:rPr>
        <w:t>（</w:t>
      </w:r>
      <w:r>
        <w:rPr>
          <w:rFonts w:hint="eastAsia" w:ascii="楷体_GB2312" w:eastAsia="楷体_GB2312"/>
          <w:b/>
          <w:bCs/>
          <w:sz w:val="32"/>
          <w:szCs w:val="32"/>
          <w:lang w:val="en-US" w:eastAsia="zh-CN"/>
        </w:rPr>
        <w:t>一</w:t>
      </w:r>
      <w:r>
        <w:rPr>
          <w:rFonts w:hint="eastAsia" w:ascii="楷体_GB2312" w:eastAsia="楷体_GB2312"/>
          <w:b/>
          <w:bCs/>
          <w:sz w:val="32"/>
          <w:szCs w:val="32"/>
          <w:lang w:eastAsia="zh-CN"/>
        </w:rPr>
        <w:t>）</w:t>
      </w:r>
      <w:r>
        <w:rPr>
          <w:rFonts w:hint="eastAsia" w:ascii="楷体_GB2312" w:eastAsia="楷体_GB2312"/>
          <w:b/>
          <w:bCs/>
          <w:sz w:val="32"/>
          <w:szCs w:val="32"/>
        </w:rPr>
        <w:t>资产情况及固定资产利用情况</w:t>
      </w:r>
    </w:p>
    <w:p>
      <w:pPr>
        <w:numPr>
          <w:ilvl w:val="0"/>
          <w:numId w:val="0"/>
        </w:numPr>
        <w:ind w:firstLine="640" w:firstLineChars="200"/>
        <w:rPr>
          <w:rFonts w:ascii="仿宋_GB2312" w:eastAsia="仿宋_GB2312"/>
          <w:color w:val="auto"/>
          <w:sz w:val="32"/>
          <w:szCs w:val="32"/>
        </w:rPr>
      </w:pPr>
      <w:r>
        <w:rPr>
          <w:rFonts w:hint="eastAsia" w:ascii="仿宋_GB2312" w:eastAsia="仿宋_GB2312"/>
          <w:sz w:val="32"/>
          <w:szCs w:val="32"/>
        </w:rPr>
        <w:t>截止</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2383.60</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667.60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38.9</w:t>
      </w:r>
      <w:r>
        <w:rPr>
          <w:rFonts w:hint="eastAsia" w:ascii="仿宋_GB2312" w:eastAsia="仿宋_GB2312"/>
          <w:color w:val="auto"/>
          <w:sz w:val="32"/>
          <w:szCs w:val="32"/>
        </w:rPr>
        <w:t>%，其中：</w:t>
      </w:r>
    </w:p>
    <w:p>
      <w:pPr>
        <w:ind w:firstLine="640"/>
        <w:rPr>
          <w:rFonts w:hint="default" w:ascii="仿宋_GB2312" w:eastAsia="仿宋_GB2312"/>
          <w:color w:val="FF0000"/>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1097.40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1965.27</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867.87</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79.1</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代收2022年地债项目履约保证金。</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净值</w:t>
      </w:r>
      <w:r>
        <w:rPr>
          <w:rFonts w:hint="eastAsia" w:ascii="仿宋_GB2312" w:eastAsia="仿宋_GB2312"/>
          <w:color w:val="auto"/>
          <w:sz w:val="32"/>
          <w:szCs w:val="32"/>
          <w:lang w:eastAsia="zh-CN"/>
        </w:rPr>
        <w:t>）</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618.61</w:t>
      </w:r>
      <w:r>
        <w:rPr>
          <w:rFonts w:hint="eastAsia" w:ascii="仿宋_GB2312" w:eastAsia="仿宋_GB2312"/>
          <w:color w:val="auto"/>
          <w:sz w:val="32"/>
          <w:szCs w:val="32"/>
        </w:rPr>
        <w:t>万元，年末总额</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净值</w:t>
      </w:r>
      <w:r>
        <w:rPr>
          <w:rFonts w:hint="eastAsia" w:ascii="仿宋_GB2312" w:eastAsia="仿宋_GB2312"/>
          <w:color w:val="auto"/>
          <w:sz w:val="32"/>
          <w:szCs w:val="32"/>
          <w:lang w:eastAsia="zh-CN"/>
        </w:rPr>
        <w:t>）</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418.33</w:t>
      </w:r>
      <w:r>
        <w:rPr>
          <w:rFonts w:hint="eastAsia" w:ascii="仿宋_GB2312" w:eastAsia="仿宋_GB2312"/>
          <w:color w:val="auto"/>
          <w:sz w:val="32"/>
          <w:szCs w:val="32"/>
        </w:rPr>
        <w:t>万元，较年初固定资产</w:t>
      </w:r>
      <w:r>
        <w:rPr>
          <w:rFonts w:hint="eastAsia" w:ascii="仿宋_GB2312" w:eastAsia="仿宋_GB2312"/>
          <w:color w:val="auto"/>
          <w:sz w:val="32"/>
          <w:szCs w:val="32"/>
          <w:lang w:val="en-US" w:eastAsia="zh-CN"/>
        </w:rPr>
        <w:t>减少200.28</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减少32.40</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计提固定资产累计折旧，为便于资产管理，地债项目固定资产划拨二级单位</w:t>
      </w:r>
      <w:r>
        <w:rPr>
          <w:rFonts w:hint="eastAsia" w:ascii="仿宋_GB2312" w:eastAsia="仿宋_GB2312"/>
          <w:color w:val="auto"/>
          <w:sz w:val="32"/>
          <w:szCs w:val="32"/>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left="0" w:leftChars="0" w:firstLine="643" w:firstLineChars="20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81" w:firstLineChars="213"/>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无</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0"/>
        </w:numPr>
        <w:ind w:firstLine="640" w:firstLineChars="200"/>
        <w:rPr>
          <w:rFonts w:ascii="仿宋_GB2312" w:eastAsia="仿宋_GB2312"/>
          <w:b/>
          <w:bCs/>
          <w:color w:val="FF0000"/>
          <w:sz w:val="32"/>
          <w:szCs w:val="32"/>
        </w:rPr>
      </w:pPr>
      <w:r>
        <w:rPr>
          <w:rFonts w:hint="eastAsia" w:ascii="黑体" w:hAnsi="黑体"/>
          <w:b w:val="0"/>
          <w:sz w:val="32"/>
          <w:szCs w:val="32"/>
          <w:lang w:val="en-US" w:eastAsia="zh-CN"/>
        </w:rPr>
        <w:t>五、</w:t>
      </w: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b w:val="0"/>
          <w:bCs w:val="0"/>
          <w:sz w:val="32"/>
          <w:lang w:val="en-US" w:eastAsia="zh-CN"/>
        </w:rPr>
        <w:t>昌吉市城市管理局</w:t>
      </w:r>
      <w:r>
        <w:rPr>
          <w:rFonts w:hint="eastAsia" w:ascii="仿宋_GB2312" w:eastAsia="仿宋_GB2312"/>
          <w:bCs/>
          <w:spacing w:val="-4"/>
          <w:sz w:val="32"/>
          <w:szCs w:val="32"/>
        </w:rPr>
        <w:t>部门单位整体支出绩效目标共设置一级指标3个，</w:t>
      </w:r>
      <w:r>
        <w:rPr>
          <w:rFonts w:hint="eastAsia" w:ascii="仿宋_GB2312" w:eastAsia="仿宋_GB2312"/>
          <w:bCs/>
          <w:color w:val="auto"/>
          <w:spacing w:val="-4"/>
          <w:sz w:val="32"/>
          <w:szCs w:val="32"/>
        </w:rPr>
        <w:t>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22</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72.7</w:t>
      </w:r>
      <w:r>
        <w:rPr>
          <w:rFonts w:hint="eastAsia" w:ascii="仿宋_GB2312" w:eastAsia="仿宋_GB2312"/>
          <w:bCs/>
          <w:color w:val="auto"/>
          <w:spacing w:val="-4"/>
          <w:sz w:val="32"/>
          <w:szCs w:val="32"/>
        </w:rPr>
        <w:t>%</w:t>
      </w:r>
      <w:r>
        <w:rPr>
          <w:rFonts w:hint="eastAsia" w:ascii="仿宋_GB2312" w:eastAsia="仿宋_GB2312"/>
          <w:bCs/>
          <w:spacing w:val="-4"/>
          <w:sz w:val="32"/>
          <w:szCs w:val="32"/>
        </w:rPr>
        <w:t>。</w:t>
      </w:r>
    </w:p>
    <w:p>
      <w:pPr>
        <w:ind w:firstLine="640"/>
        <w:jc w:val="left"/>
        <w:rPr>
          <w:rFonts w:hint="eastAsia" w:ascii="仿宋_GB2312" w:eastAsia="仿宋_GB2312" w:cs="仿宋_GB2312"/>
          <w:b/>
          <w:kern w:val="1"/>
          <w:sz w:val="32"/>
          <w:szCs w:val="32"/>
        </w:rPr>
      </w:pPr>
      <w:r>
        <w:rPr>
          <w:rFonts w:hint="eastAsia" w:ascii="仿宋_GB2312" w:eastAsia="仿宋_GB2312" w:cs="仿宋_GB2312"/>
          <w:b/>
          <w:kern w:val="1"/>
          <w:sz w:val="32"/>
          <w:szCs w:val="32"/>
        </w:rPr>
        <w:t>1.产出指标完成情况分析</w:t>
      </w:r>
    </w:p>
    <w:p>
      <w:pPr>
        <w:ind w:firstLine="640"/>
        <w:jc w:val="left"/>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“保障办公人员数量”指标：预期指标值为“=104.00人”，实际完成指标值为“</w:t>
      </w:r>
      <w:r>
        <w:rPr>
          <w:rFonts w:hint="eastAsia" w:ascii="仿宋_GB2312" w:eastAsia="仿宋_GB2312"/>
          <w:color w:val="auto"/>
          <w:sz w:val="32"/>
          <w:szCs w:val="32"/>
          <w:lang w:val="en-US" w:eastAsia="zh-CN"/>
        </w:rPr>
        <w:t>99人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95.2</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“公务保障用车数量”指标：预期指标值为“</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“退休干部人数”指标：预期指标值为“</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23人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127.8</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遗属补助发放人数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聘用人员人数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=120</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76.7</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房屋建筑物供暖面积”</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=3176</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平方米</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3176平方米</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执法车辆</w:t>
      </w:r>
      <w:r>
        <w:rPr>
          <w:rFonts w:hint="eastAsia" w:ascii="仿宋_GB2312" w:eastAsia="仿宋_GB2312"/>
          <w:color w:val="auto"/>
          <w:sz w:val="32"/>
          <w:szCs w:val="32"/>
        </w:rPr>
        <w:t>数量”指标：预期指标值为“</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17辆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77.3</w:t>
      </w:r>
      <w:r>
        <w:rPr>
          <w:rFonts w:hint="eastAsia" w:ascii="仿宋_GB2312" w:eastAsia="仿宋_GB2312"/>
          <w:color w:val="auto"/>
          <w:sz w:val="32"/>
          <w:szCs w:val="32"/>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“保障工资及社保等各项缴费发放率”指标：预期指标值为“=100.00%”，实际完成指标值为“100.00%”，指标完成率为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“保障车辆运行维护及办公设备正常运转率”指标：预期指标值为“=100.00%”，实际完成指标值为“100.00%”，指标完成率为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“资金到位率”指标：预期指标值为“=100.00%”，实际完成指标值为“100.00%”，指标完成率为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pacing w:val="-23"/>
          <w:sz w:val="32"/>
          <w:szCs w:val="32"/>
        </w:rPr>
        <w:t>公用经费支付及时率”指标：预期指标值为“=</w:t>
      </w:r>
      <w:r>
        <w:rPr>
          <w:rFonts w:hint="eastAsia" w:ascii="仿宋_GB2312" w:eastAsia="仿宋_GB2312"/>
          <w:color w:val="auto"/>
          <w:spacing w:val="-23"/>
          <w:sz w:val="32"/>
          <w:szCs w:val="32"/>
          <w:lang w:val="en-US" w:eastAsia="zh-CN"/>
        </w:rPr>
        <w:t>100</w:t>
      </w:r>
      <w:r>
        <w:rPr>
          <w:rFonts w:hint="eastAsia" w:ascii="仿宋_GB2312" w:eastAsia="仿宋_GB2312"/>
          <w:color w:val="auto"/>
          <w:spacing w:val="-23"/>
          <w:sz w:val="32"/>
          <w:szCs w:val="32"/>
        </w:rPr>
        <w:t>.00</w:t>
      </w:r>
      <w:r>
        <w:rPr>
          <w:rFonts w:hint="eastAsia" w:ascii="仿宋_GB2312" w:eastAsia="仿宋_GB2312"/>
          <w:color w:val="auto"/>
          <w:spacing w:val="-23"/>
          <w:sz w:val="32"/>
          <w:szCs w:val="32"/>
          <w:lang w:val="en-US" w:eastAsia="zh-CN"/>
        </w:rPr>
        <w:t>%</w:t>
      </w:r>
      <w:r>
        <w:rPr>
          <w:rFonts w:hint="eastAsia" w:ascii="仿宋_GB2312" w:eastAsia="仿宋_GB2312"/>
          <w:color w:val="auto"/>
          <w:sz w:val="32"/>
          <w:szCs w:val="32"/>
        </w:rPr>
        <w:t>”，实际完成指标值为“100.00%”，，指标完成率为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“工资发放及时率”指标：预期指标值为“=100.00%”，实际完成指标值为“100.00%”，指标完成率为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“在职人员各项工资、福利、社保等人均成本”指标：预期指标值为“</w:t>
      </w:r>
      <w:r>
        <w:rPr>
          <w:rFonts w:hint="eastAsia" w:ascii="仿宋_GB2312" w:eastAsia="仿宋_GB2312"/>
          <w:color w:val="auto"/>
          <w:sz w:val="32"/>
          <w:szCs w:val="32"/>
          <w:lang w:val="en-US" w:eastAsia="zh-CN"/>
        </w:rPr>
        <w:t>&lt;=115386.25元/年/人</w:t>
      </w:r>
      <w:r>
        <w:rPr>
          <w:rFonts w:hint="eastAsia" w:ascii="仿宋_GB2312" w:eastAsia="仿宋_GB2312"/>
          <w:color w:val="auto"/>
          <w:sz w:val="32"/>
          <w:szCs w:val="32"/>
        </w:rPr>
        <w:t>”，实际完成指标值</w:t>
      </w:r>
      <w:r>
        <w:rPr>
          <w:rFonts w:hint="eastAsia" w:ascii="仿宋_GB2312" w:eastAsia="仿宋_GB2312"/>
          <w:color w:val="auto"/>
          <w:sz w:val="32"/>
          <w:szCs w:val="32"/>
          <w:lang w:val="en-US" w:eastAsia="zh-CN"/>
        </w:rPr>
        <w:t>为“&lt;=158283.95元/年/人”，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137.2</w:t>
      </w:r>
      <w:r>
        <w:rPr>
          <w:rFonts w:hint="eastAsia" w:ascii="仿宋_GB2312" w:eastAsia="仿宋_GB2312"/>
          <w:color w:val="auto"/>
          <w:sz w:val="32"/>
          <w:szCs w:val="32"/>
        </w:rPr>
        <w:t>%;</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“退休人员各项工资、福利人均成本”指标：预期指标值为“&lt;=9803.54元/年/人”，实际完成指标值为“&lt;=9637.13元/年/人”，指标完成率为98.3%;</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“聘用人员工资人均成本”指标：预期指标值为“&lt;=38769.90元/年/人”，实际完成指标值为“&lt;=46606.95元/年/人”，指标完成率为120.2%;</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“遗属补助发放人员人均成本”指标：预期指标值为“&lt;=672.00元/年/人”，实际完成指标值为“&lt;=672元/年/人”，指标完成率为100.0%;</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“人均运转经费数”指标：预期指标值为“&lt;=9442.31元/年/人”，实际完成指标值为“&lt;=3669.7元/年/人”，指标完成率为38.9%;</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“执法大队运行保障成本”指标：预期指标值为“&lt;=30.00万元”，实际完成指标值为“&lt;=7.5万元”，指标完成率为25.0%;</w:t>
      </w: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“保障市容市貌有序”指标：预期指标值为“有力保障”，实际完成指标值为“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rPr>
          <w:rFonts w:hint="eastAsia" w:ascii="仿宋_GB2312" w:eastAsia="仿宋_GB2312"/>
          <w:color w:val="auto"/>
          <w:sz w:val="32"/>
          <w:szCs w:val="32"/>
          <w:lang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eastAsia="zh-CN"/>
        </w:rPr>
        <w:t>。</w:t>
      </w:r>
    </w:p>
    <w:p>
      <w:pPr>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hint="eastAsia" w:ascii="仿宋_GB2312" w:eastAsia="仿宋_GB2312"/>
          <w:color w:val="auto"/>
          <w:sz w:val="32"/>
          <w:szCs w:val="32"/>
        </w:rPr>
      </w:pPr>
      <w:r>
        <w:rPr>
          <w:rFonts w:hint="eastAsia" w:ascii="仿宋_GB2312" w:eastAsia="仿宋_GB2312"/>
          <w:color w:val="auto"/>
          <w:sz w:val="32"/>
          <w:szCs w:val="32"/>
        </w:rPr>
        <w:t>“持续保障市容市貌工作”指标：预期指标值为“</w:t>
      </w:r>
      <w:r>
        <w:rPr>
          <w:rFonts w:hint="eastAsia" w:ascii="仿宋_GB2312" w:eastAsia="仿宋_GB2312"/>
          <w:color w:val="auto"/>
          <w:sz w:val="32"/>
          <w:szCs w:val="32"/>
          <w:lang w:val="en-US" w:eastAsia="zh-CN"/>
        </w:rPr>
        <w:t>持续保障</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b/>
          <w:bCs/>
          <w:color w:val="auto"/>
          <w:sz w:val="32"/>
        </w:rPr>
      </w:pPr>
      <w:r>
        <w:rPr>
          <w:rFonts w:hint="eastAsia"/>
          <w:b/>
          <w:bCs/>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“在职干部满意度”指标：预期指标值为“&gt;=95.00%”，实际完成指标值为“95%”，指标完成率为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color w:val="auto"/>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退休</w:t>
      </w:r>
      <w:r>
        <w:rPr>
          <w:rFonts w:hint="eastAsia" w:ascii="仿宋_GB2312" w:eastAsia="仿宋_GB2312"/>
          <w:color w:val="auto"/>
          <w:sz w:val="32"/>
          <w:szCs w:val="32"/>
        </w:rPr>
        <w:t>干部满意度”指标：预期指标值为“&gt;=95.00%”，实际完成指标值为“95%”，指标完成率为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hint="eastAsia" w:ascii="仿宋_GB2312" w:eastAsia="仿宋_GB2312"/>
          <w:color w:val="auto"/>
          <w:spacing w:val="-4"/>
          <w:sz w:val="32"/>
          <w:szCs w:val="32"/>
        </w:rPr>
      </w:pPr>
      <w:r>
        <w:rPr>
          <w:rFonts w:hint="eastAsia" w:ascii="仿宋_GB2312" w:eastAsia="仿宋_GB2312"/>
          <w:color w:val="auto"/>
          <w:spacing w:val="-4"/>
          <w:sz w:val="32"/>
          <w:szCs w:val="32"/>
          <w:lang w:val="en-US" w:eastAsia="zh-CN"/>
        </w:rPr>
        <w:t>因系统未设置预算调整金额，导致成本项扣分，自评得分为94.35分</w:t>
      </w:r>
      <w:r>
        <w:rPr>
          <w:rFonts w:hint="eastAsia" w:ascii="仿宋_GB2312" w:eastAsia="仿宋_GB2312"/>
          <w:color w:val="auto"/>
          <w:spacing w:val="-4"/>
          <w:sz w:val="32"/>
          <w:szCs w:val="32"/>
        </w:rPr>
        <w:t>。</w:t>
      </w:r>
    </w:p>
    <w:p>
      <w:pPr>
        <w:numPr>
          <w:ilvl w:val="0"/>
          <w:numId w:val="8"/>
        </w:numPr>
        <w:adjustRightInd w:val="0"/>
        <w:snapToGrid w:val="0"/>
        <w:ind w:firstLine="624"/>
        <w:rPr>
          <w:rFonts w:hint="eastAsia" w:ascii="黑体" w:hAnsi="黑体" w:eastAsia="黑体" w:cs="Times New Roman"/>
          <w:b w:val="0"/>
          <w:bCs/>
          <w:color w:val="auto"/>
          <w:kern w:val="44"/>
          <w:sz w:val="32"/>
          <w:szCs w:val="32"/>
          <w:lang w:val="en-US" w:eastAsia="zh-CN" w:bidi="ar-SA"/>
        </w:rPr>
      </w:pPr>
      <w:r>
        <w:rPr>
          <w:rFonts w:hint="eastAsia" w:ascii="黑体" w:hAnsi="黑体" w:eastAsia="黑体" w:cs="Times New Roman"/>
          <w:b w:val="0"/>
          <w:bCs/>
          <w:color w:val="auto"/>
          <w:kern w:val="44"/>
          <w:sz w:val="32"/>
          <w:szCs w:val="32"/>
          <w:lang w:val="en-US" w:eastAsia="zh-CN" w:bidi="ar-SA"/>
        </w:rPr>
        <w:t>改进措施和建议</w:t>
      </w:r>
    </w:p>
    <w:p>
      <w:pPr>
        <w:numPr>
          <w:ilvl w:val="0"/>
          <w:numId w:val="0"/>
        </w:numPr>
        <w:adjustRightInd w:val="0"/>
        <w:snapToGrid w:val="0"/>
        <w:ind w:firstLine="624" w:firstLineChars="200"/>
        <w:rPr>
          <w:rFonts w:ascii="仿宋_GB2312" w:hAnsi="仿宋" w:eastAsia="仿宋_GB2312"/>
          <w:b w:val="0"/>
          <w:bCs w:val="0"/>
          <w:spacing w:val="-4"/>
          <w:kern w:val="2"/>
          <w:sz w:val="32"/>
          <w:szCs w:val="32"/>
        </w:rPr>
      </w:pPr>
      <w:r>
        <w:rPr>
          <w:rFonts w:hint="eastAsia" w:ascii="仿宋_GB2312" w:hAnsi="仿宋" w:eastAsia="仿宋_GB2312"/>
          <w:b w:val="0"/>
          <w:bCs w:val="0"/>
          <w:spacing w:val="-4"/>
          <w:kern w:val="2"/>
          <w:sz w:val="32"/>
          <w:szCs w:val="32"/>
        </w:rPr>
        <w:t>（</w:t>
      </w:r>
      <w:r>
        <w:rPr>
          <w:rFonts w:hint="eastAsia" w:ascii="仿宋_GB2312" w:eastAsia="仿宋_GB2312"/>
          <w:b w:val="0"/>
          <w:bCs w:val="0"/>
          <w:spacing w:val="-4"/>
          <w:kern w:val="2"/>
          <w:sz w:val="32"/>
          <w:szCs w:val="32"/>
          <w:lang w:val="en-US" w:eastAsia="zh-CN"/>
        </w:rPr>
        <w:t>一</w:t>
      </w:r>
      <w:r>
        <w:rPr>
          <w:rFonts w:hint="eastAsia" w:ascii="仿宋_GB2312" w:hAnsi="仿宋" w:eastAsia="仿宋_GB2312"/>
          <w:b w:val="0"/>
          <w:bCs w:val="0"/>
          <w:spacing w:val="-4"/>
          <w:kern w:val="2"/>
          <w:sz w:val="32"/>
          <w:szCs w:val="32"/>
        </w:rPr>
        <w:t>）严格按照预算编制的相关制度和规定，根据年度决算加强支出分析，提高预算编制的科学性，加强内部</w:t>
      </w:r>
      <w:r>
        <w:rPr>
          <w:rFonts w:hint="eastAsia" w:ascii="仿宋_GB2312" w:eastAsia="仿宋_GB2312"/>
          <w:b w:val="0"/>
          <w:bCs w:val="0"/>
          <w:spacing w:val="-4"/>
          <w:kern w:val="2"/>
          <w:sz w:val="32"/>
          <w:szCs w:val="32"/>
          <w:lang w:val="en-US" w:eastAsia="zh-CN"/>
        </w:rPr>
        <w:t>控制</w:t>
      </w:r>
      <w:r>
        <w:rPr>
          <w:rFonts w:hint="eastAsia" w:ascii="仿宋_GB2312" w:hAnsi="仿宋" w:eastAsia="仿宋_GB2312"/>
          <w:b w:val="0"/>
          <w:bCs w:val="0"/>
          <w:spacing w:val="-4"/>
          <w:kern w:val="2"/>
          <w:sz w:val="32"/>
          <w:szCs w:val="32"/>
        </w:rPr>
        <w:t>，充分征求意见，根据</w:t>
      </w:r>
      <w:r>
        <w:rPr>
          <w:rFonts w:hint="eastAsia" w:ascii="仿宋_GB2312" w:eastAsia="仿宋_GB2312"/>
          <w:b w:val="0"/>
          <w:bCs w:val="0"/>
          <w:spacing w:val="-4"/>
          <w:kern w:val="2"/>
          <w:sz w:val="32"/>
          <w:szCs w:val="32"/>
          <w:lang w:val="en-US" w:eastAsia="zh-CN"/>
        </w:rPr>
        <w:t>单位</w:t>
      </w:r>
      <w:r>
        <w:rPr>
          <w:rFonts w:hint="eastAsia" w:ascii="仿宋_GB2312" w:hAnsi="仿宋" w:eastAsia="仿宋_GB2312"/>
          <w:b w:val="0"/>
          <w:bCs w:val="0"/>
          <w:spacing w:val="-4"/>
          <w:kern w:val="2"/>
          <w:sz w:val="32"/>
          <w:szCs w:val="32"/>
        </w:rPr>
        <w:t>的工作重点和年度工作计划，合理确定各项支出</w:t>
      </w:r>
      <w:r>
        <w:rPr>
          <w:rFonts w:hint="eastAsia" w:ascii="仿宋_GB2312" w:eastAsia="仿宋_GB2312"/>
          <w:b w:val="0"/>
          <w:bCs w:val="0"/>
          <w:spacing w:val="-4"/>
          <w:kern w:val="2"/>
          <w:sz w:val="32"/>
          <w:szCs w:val="32"/>
          <w:lang w:val="en-US" w:eastAsia="zh-CN"/>
        </w:rPr>
        <w:t>预算</w:t>
      </w:r>
      <w:r>
        <w:rPr>
          <w:rFonts w:hint="eastAsia" w:ascii="仿宋_GB2312" w:hAnsi="仿宋" w:eastAsia="仿宋_GB2312"/>
          <w:b w:val="0"/>
          <w:bCs w:val="0"/>
          <w:spacing w:val="-4"/>
          <w:kern w:val="2"/>
          <w:sz w:val="32"/>
          <w:szCs w:val="32"/>
        </w:rPr>
        <w:t>，提高预算编制的</w:t>
      </w:r>
      <w:r>
        <w:rPr>
          <w:rFonts w:hint="eastAsia" w:ascii="仿宋_GB2312" w:eastAsia="仿宋_GB2312"/>
          <w:b w:val="0"/>
          <w:bCs w:val="0"/>
          <w:spacing w:val="-4"/>
          <w:kern w:val="2"/>
          <w:sz w:val="32"/>
          <w:szCs w:val="32"/>
          <w:lang w:val="en-US" w:eastAsia="zh-CN"/>
        </w:rPr>
        <w:t>科学性、</w:t>
      </w:r>
      <w:r>
        <w:rPr>
          <w:rFonts w:hint="eastAsia" w:ascii="仿宋_GB2312" w:hAnsi="仿宋" w:eastAsia="仿宋_GB2312"/>
          <w:b w:val="0"/>
          <w:bCs w:val="0"/>
          <w:spacing w:val="-4"/>
          <w:kern w:val="2"/>
          <w:sz w:val="32"/>
          <w:szCs w:val="32"/>
        </w:rPr>
        <w:t>精准性，从严控制追加预算，减少资金结余。 </w:t>
      </w:r>
    </w:p>
    <w:p>
      <w:pPr>
        <w:adjustRightInd w:val="0"/>
        <w:snapToGrid w:val="0"/>
        <w:ind w:firstLine="624"/>
        <w:rPr>
          <w:rStyle w:val="12"/>
          <w:rFonts w:ascii="仿宋_GB2312" w:eastAsia="仿宋_GB2312"/>
          <w:bCs w:val="0"/>
          <w:color w:val="FF0000"/>
          <w:spacing w:val="-4"/>
          <w:sz w:val="32"/>
          <w:szCs w:val="32"/>
        </w:rPr>
      </w:pPr>
      <w:r>
        <w:rPr>
          <w:rFonts w:hint="eastAsia" w:ascii="仿宋_GB2312" w:hAnsi="仿宋" w:eastAsia="仿宋_GB2312"/>
          <w:b w:val="0"/>
          <w:bCs w:val="0"/>
          <w:spacing w:val="-4"/>
          <w:kern w:val="2"/>
          <w:sz w:val="32"/>
          <w:szCs w:val="32"/>
        </w:rPr>
        <w:t>（</w:t>
      </w:r>
      <w:r>
        <w:rPr>
          <w:rFonts w:hint="eastAsia" w:ascii="仿宋_GB2312" w:eastAsia="仿宋_GB2312"/>
          <w:b w:val="0"/>
          <w:bCs w:val="0"/>
          <w:spacing w:val="-4"/>
          <w:kern w:val="2"/>
          <w:sz w:val="32"/>
          <w:szCs w:val="32"/>
          <w:lang w:val="en-US" w:eastAsia="zh-CN"/>
        </w:rPr>
        <w:t>二</w:t>
      </w:r>
      <w:r>
        <w:rPr>
          <w:rFonts w:hint="eastAsia" w:ascii="仿宋_GB2312" w:hAnsi="仿宋" w:eastAsia="仿宋_GB2312"/>
          <w:b w:val="0"/>
          <w:bCs w:val="0"/>
          <w:spacing w:val="-4"/>
          <w:kern w:val="2"/>
          <w:sz w:val="32"/>
          <w:szCs w:val="32"/>
        </w:rPr>
        <w:t>）</w:t>
      </w:r>
      <w:r>
        <w:rPr>
          <w:rFonts w:hint="eastAsia" w:ascii="仿宋_GB2312" w:eastAsia="仿宋_GB2312"/>
          <w:kern w:val="0"/>
          <w:sz w:val="32"/>
          <w:szCs w:val="32"/>
        </w:rPr>
        <w:t>加强绩效评价力度，提高资金使用效益。根据</w:t>
      </w:r>
      <w:r>
        <w:rPr>
          <w:rFonts w:hint="eastAsia" w:ascii="仿宋_GB2312" w:eastAsia="仿宋_GB2312"/>
          <w:kern w:val="0"/>
          <w:sz w:val="32"/>
          <w:szCs w:val="32"/>
          <w:lang w:val="en-US" w:eastAsia="zh-CN"/>
        </w:rPr>
        <w:t>单位</w:t>
      </w:r>
      <w:r>
        <w:rPr>
          <w:rFonts w:hint="eastAsia" w:ascii="仿宋_GB2312" w:eastAsia="仿宋_GB2312"/>
          <w:kern w:val="0"/>
          <w:sz w:val="32"/>
          <w:szCs w:val="32"/>
        </w:rPr>
        <w:t>专项资金项目的特点，研究制定出更为科学、合理的绩效评价指标体系，针对性地加强对专项资金项目执行和经费使用情况的绩效评价考核，促进项目按要求出成果、出效益。</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rPr>
      </w:pPr>
      <w:r>
        <w:rPr>
          <w:rFonts w:hint="eastAsia" w:ascii="仿宋_GB2312" w:eastAsia="仿宋_GB2312"/>
          <w:sz w:val="32"/>
          <w:szCs w:val="32"/>
        </w:rPr>
        <w:t>《部门整体支出绩效目标自评表》</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bookmarkStart w:id="0" w:name="_GoBack"/>
      <w:bookmarkEnd w:id="0"/>
    </w:p>
    <w:tbl>
      <w:tblPr>
        <w:tblStyle w:val="10"/>
        <w:tblpPr w:leftFromText="180" w:rightFromText="180" w:vertAnchor="text" w:horzAnchor="page" w:tblpXSpec="center" w:tblpY="437"/>
        <w:tblOverlap w:val="never"/>
        <w:tblW w:w="105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3"/>
        <w:gridCol w:w="308"/>
        <w:gridCol w:w="736"/>
        <w:gridCol w:w="12"/>
        <w:gridCol w:w="1928"/>
        <w:gridCol w:w="1240"/>
        <w:gridCol w:w="20"/>
        <w:gridCol w:w="1056"/>
        <w:gridCol w:w="952"/>
        <w:gridCol w:w="20"/>
        <w:gridCol w:w="1648"/>
        <w:gridCol w:w="20"/>
        <w:gridCol w:w="1020"/>
        <w:gridCol w:w="244"/>
        <w:gridCol w:w="8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8" w:hRule="atLeast"/>
          <w:jc w:val="center"/>
        </w:trPr>
        <w:tc>
          <w:tcPr>
            <w:tcW w:w="10519" w:type="dxa"/>
            <w:gridSpan w:val="15"/>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jc w:val="center"/>
        </w:trPr>
        <w:tc>
          <w:tcPr>
            <w:tcW w:w="10519" w:type="dxa"/>
            <w:gridSpan w:val="15"/>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 w:hRule="atLeast"/>
          <w:jc w:val="center"/>
        </w:trPr>
        <w:tc>
          <w:tcPr>
            <w:tcW w:w="15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部门（单位）名称</w:t>
            </w:r>
          </w:p>
        </w:tc>
        <w:tc>
          <w:tcPr>
            <w:tcW w:w="896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昌吉市城市管理局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jc w:val="center"/>
        </w:trPr>
        <w:tc>
          <w:tcPr>
            <w:tcW w:w="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年度主要任务</w:t>
            </w:r>
          </w:p>
        </w:tc>
        <w:tc>
          <w:tcPr>
            <w:tcW w:w="105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任务名称</w:t>
            </w:r>
          </w:p>
        </w:tc>
        <w:tc>
          <w:tcPr>
            <w:tcW w:w="1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主要内容</w:t>
            </w:r>
          </w:p>
        </w:tc>
        <w:tc>
          <w:tcPr>
            <w:tcW w:w="3268" w:type="dxa"/>
            <w:gridSpan w:val="4"/>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预算金额（万元）</w:t>
            </w:r>
          </w:p>
        </w:tc>
        <w:tc>
          <w:tcPr>
            <w:tcW w:w="37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0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总额</w:t>
            </w:r>
          </w:p>
        </w:tc>
        <w:tc>
          <w:tcPr>
            <w:tcW w:w="1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150" w:firstLineChars="10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财政拨款</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其他资金</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总额</w:t>
            </w:r>
          </w:p>
        </w:tc>
        <w:tc>
          <w:tcPr>
            <w:tcW w:w="12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财政拨款</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05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人员保障</w:t>
            </w: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保障工资发放、福利及对个人和家庭补助支出预算编制内的工资</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1682.97</w:t>
            </w:r>
          </w:p>
        </w:tc>
        <w:tc>
          <w:tcPr>
            <w:tcW w:w="1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1682.97</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2018.03</w:t>
            </w:r>
          </w:p>
        </w:tc>
        <w:tc>
          <w:tcPr>
            <w:tcW w:w="12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2018.03</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05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运转保障</w:t>
            </w: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保障运转公用经费（车辆、商品和服务支出、办公用房取暖费、差旅费等）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98.2</w:t>
            </w:r>
          </w:p>
        </w:tc>
        <w:tc>
          <w:tcPr>
            <w:tcW w:w="1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98.2</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36.33</w:t>
            </w:r>
          </w:p>
        </w:tc>
        <w:tc>
          <w:tcPr>
            <w:tcW w:w="12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36.33</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9"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105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项目保障</w:t>
            </w:r>
          </w:p>
        </w:tc>
        <w:tc>
          <w:tcPr>
            <w:tcW w:w="1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保障项目实施，执法车辆运行维护、执法人员意外伤害保险购买、拖车费、法律咨询费支出，保障城市管理规范运行</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1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7.5</w:t>
            </w:r>
          </w:p>
        </w:tc>
        <w:tc>
          <w:tcPr>
            <w:tcW w:w="12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7.5</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29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合　计</w:t>
            </w:r>
          </w:p>
        </w:tc>
        <w:tc>
          <w:tcPr>
            <w:tcW w:w="1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1811.17</w:t>
            </w:r>
          </w:p>
        </w:tc>
        <w:tc>
          <w:tcPr>
            <w:tcW w:w="1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1811.17</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2061.86</w:t>
            </w:r>
          </w:p>
        </w:tc>
        <w:tc>
          <w:tcPr>
            <w:tcW w:w="12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2061.86</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jc w:val="center"/>
        </w:trPr>
        <w:tc>
          <w:tcPr>
            <w:tcW w:w="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年度总体目标</w:t>
            </w: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预期目标</w:t>
            </w:r>
          </w:p>
        </w:tc>
        <w:tc>
          <w:tcPr>
            <w:tcW w:w="5792" w:type="dxa"/>
            <w:gridSpan w:val="9"/>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9"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42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投入1811.17万元，其中人员保障支出1682.97万元，运转保障支出98.2万元，项目保障支出30万元，严格执行全年基本支出预算，保障在职104人、退休干部18人、聘用人员120人工资及遗属补助1人生活补助按时发放到位，社保、医保、公积金等及时缴纳。严格执行公用经费资金预算支出，保障办公经费及公务用车日常维护正常运转，保障项目实施，执法车辆运行维护、执法人员意外伤害保险购买、拖车费、法律咨询费支出，充分履行工作职责，有效治理违法建设，拆除示经审批的户外广告，有效治理破损广告的违规行为，加大城市建设力度，保障全市市容市貌有序。</w:t>
            </w:r>
          </w:p>
        </w:tc>
        <w:tc>
          <w:tcPr>
            <w:tcW w:w="5792" w:type="dxa"/>
            <w:gridSpan w:val="9"/>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度实际支出2061.86万元，主要完成工作有：保障在职99人、退休干部23人、聘用人员92人工资及遗属补助1人生活补助按时发放到位，社保、医保、公积金等及时缴纳，保障单位工作正常开展，公务用车正常运转，保障执法车辆正常运转、购买执法人员意外伤害保险，保障执法人员人身安全，充分履行工作职责，有效治理违法建设，加大城市执法力度，保障全市市容市貌有序，在职干部、退休干部满意度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759" w:hRule="atLeast"/>
          <w:jc w:val="center"/>
        </w:trPr>
        <w:tc>
          <w:tcPr>
            <w:tcW w:w="5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148" w:leftChars="53" w:firstLine="0" w:firstLineChars="0"/>
              <w:jc w:val="both"/>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年度绩效指标完成情况</w:t>
            </w:r>
          </w:p>
        </w:tc>
        <w:tc>
          <w:tcPr>
            <w:tcW w:w="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一级指标</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二级指标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三级指标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绩效目标值</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实际完成值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指标分值</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项目完成</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数量指标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保障办公人员数量</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=104.00人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=99人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公务保障用车数量</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=2.00辆</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退休干部人数</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=18.00人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遗属补助发放人数</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聘用人员人数</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=120.00人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=92人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房屋建筑物供暖面积</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=3176.00平方米</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=3176平方米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执法车辆数量</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=22.00辆</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质量指标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保障工资及社保等各项缴费发放率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71"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保障车辆运行维护及办公设备正常运转率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资金到位率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时效指标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公用经费支付及时率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工资发放及时率</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71"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成本指标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在职人员各项工资、福利、社保等人均成本</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&lt;=115386.25元/年/人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&lt;=158283.95元/年/人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退休人员各项工资、福利人均成本</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&lt;=9803.54元/年/人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&lt;=9637.13元/年/人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聘用人员工资人均成本</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&lt;=38769.90元/年/人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&lt;=46606.95元/年/人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遗属补助发放人员人均成本</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&lt;=672.00元/年/人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&lt;=672元/年/人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人均运转经费数</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&lt;=9442.31元/年/人</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&lt;=3669.7元/年/人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394"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执法大队运行保障成本</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&lt;=30.00万元</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&lt;=7.5万元</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71"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项目效益</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经济效益指标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83"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社会效益指标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保障市容市貌有序</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有力保障</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83"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生态效益指标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90"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可持续影响指标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持续保障市容市貌工作</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持续保障</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36"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满意度指标</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满意度指标</w:t>
            </w: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在职干部满意度</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&gt;=95.00%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&gt;=95%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652" w:hRule="atLeast"/>
          <w:jc w:val="center"/>
        </w:trPr>
        <w:tc>
          <w:tcPr>
            <w:tcW w:w="5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5"/>
                <w:szCs w:val="15"/>
                <w:u w:val="none"/>
              </w:rPr>
            </w:pPr>
          </w:p>
        </w:tc>
        <w:tc>
          <w:tcPr>
            <w:tcW w:w="32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退休干部满意度</w:t>
            </w:r>
          </w:p>
        </w:tc>
        <w:tc>
          <w:tcPr>
            <w:tcW w:w="2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&gt;=95.00%</w:t>
            </w:r>
          </w:p>
        </w:tc>
        <w:tc>
          <w:tcPr>
            <w:tcW w:w="1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&gt;=95%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w:t>
            </w:r>
          </w:p>
        </w:tc>
      </w:tr>
    </w:tbl>
    <w:p>
      <w:pPr>
        <w:pStyle w:val="2"/>
        <w:pageBreakBefore w:val="0"/>
        <w:kinsoku/>
        <w:wordWrap/>
        <w:overflowPunct/>
        <w:topLinePunct w:val="0"/>
        <w:autoSpaceDE/>
        <w:autoSpaceDN/>
        <w:bidi w:val="0"/>
        <w:adjustRightInd/>
        <w:snapToGrid/>
        <w:spacing w:line="240" w:lineRule="exact"/>
        <w:ind w:left="0" w:leftChars="0" w:firstLine="0" w:firstLineChars="0"/>
        <w:rPr>
          <w:sz w:val="15"/>
          <w:szCs w:val="15"/>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A0000287" w:usb1="28CF3C52" w:usb2="00000016" w:usb3="00000000" w:csb0="0004001F" w:csb1="00000000"/>
  </w:font>
  <w:font w:name="Malgun Gothic Semilight">
    <w:altName w:val="Malgun Gothic"/>
    <w:panose1 w:val="020B0502040204020203"/>
    <w:charset w:val="80"/>
    <w:family w:val="swiss"/>
    <w:pitch w:val="default"/>
    <w:sig w:usb0="00000000" w:usb1="00000000" w:usb2="00000012" w:usb3="00000000" w:csb0="203E01BD" w:csb1="D7FF0000"/>
  </w:font>
  <w:font w:name="Malgun Gothic">
    <w:panose1 w:val="020B0503020000020004"/>
    <w:charset w:val="81"/>
    <w:family w:val="auto"/>
    <w:pitch w:val="default"/>
    <w:sig w:usb0="9000002F" w:usb1="29D77CFB" w:usb2="00000012" w:usb3="00000000" w:csb0="0008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F68CBA3B"/>
    <w:multiLevelType w:val="singleLevel"/>
    <w:tmpl w:val="F68CBA3B"/>
    <w:lvl w:ilvl="0" w:tentative="0">
      <w:start w:val="2"/>
      <w:numFmt w:val="decimal"/>
      <w:suff w:val="nothing"/>
      <w:lvlText w:val="（%1）"/>
      <w:lvlJc w:val="left"/>
    </w:lvl>
  </w:abstractNum>
  <w:abstractNum w:abstractNumId="2">
    <w:nsid w:val="FB7AFB3F"/>
    <w:multiLevelType w:val="singleLevel"/>
    <w:tmpl w:val="FB7AFB3F"/>
    <w:lvl w:ilvl="0" w:tentative="0">
      <w:start w:val="2"/>
      <w:numFmt w:val="decimal"/>
      <w:suff w:val="nothing"/>
      <w:lvlText w:val="%1."/>
      <w:lvlJc w:val="left"/>
    </w:lvl>
  </w:abstractNum>
  <w:abstractNum w:abstractNumId="3">
    <w:nsid w:val="225C8922"/>
    <w:multiLevelType w:val="singleLevel"/>
    <w:tmpl w:val="225C8922"/>
    <w:lvl w:ilvl="0" w:tentative="0">
      <w:start w:val="1"/>
      <w:numFmt w:val="decimal"/>
      <w:suff w:val="space"/>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6">
    <w:nsid w:val="31D6D48B"/>
    <w:multiLevelType w:val="singleLevel"/>
    <w:tmpl w:val="31D6D48B"/>
    <w:lvl w:ilvl="0" w:tentative="0">
      <w:start w:val="4"/>
      <w:numFmt w:val="chineseCounting"/>
      <w:suff w:val="nothing"/>
      <w:lvlText w:val="%1、"/>
      <w:lvlJc w:val="left"/>
      <w:rPr>
        <w:rFonts w:hint="eastAsia"/>
      </w:rPr>
    </w:lvl>
  </w:abstractNum>
  <w:abstractNum w:abstractNumId="7">
    <w:nsid w:val="4D818EBE"/>
    <w:multiLevelType w:val="singleLevel"/>
    <w:tmpl w:val="4D818EBE"/>
    <w:lvl w:ilvl="0" w:tentative="0">
      <w:start w:val="7"/>
      <w:numFmt w:val="chineseCounting"/>
      <w:suff w:val="nothing"/>
      <w:lvlText w:val="%1、"/>
      <w:lvlJc w:val="left"/>
      <w:rPr>
        <w:rFonts w:hint="eastAsia"/>
      </w:rPr>
    </w:lvl>
  </w:abstractNum>
  <w:num w:numId="1">
    <w:abstractNumId w:val="2"/>
  </w:num>
  <w:num w:numId="2">
    <w:abstractNumId w:val="4"/>
  </w:num>
  <w:num w:numId="3">
    <w:abstractNumId w:val="3"/>
  </w:num>
  <w:num w:numId="4">
    <w:abstractNumId w:val="5"/>
  </w:num>
  <w:num w:numId="5">
    <w:abstractNumId w:val="6"/>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9A05CD"/>
    <w:rsid w:val="02C15BF6"/>
    <w:rsid w:val="02EA743B"/>
    <w:rsid w:val="03673532"/>
    <w:rsid w:val="0379691F"/>
    <w:rsid w:val="03A221A9"/>
    <w:rsid w:val="03BE7262"/>
    <w:rsid w:val="03E37AD5"/>
    <w:rsid w:val="04121B09"/>
    <w:rsid w:val="04313FCA"/>
    <w:rsid w:val="04510499"/>
    <w:rsid w:val="046072C6"/>
    <w:rsid w:val="048C34B8"/>
    <w:rsid w:val="04993586"/>
    <w:rsid w:val="049D20FD"/>
    <w:rsid w:val="04C42719"/>
    <w:rsid w:val="04DF6C0B"/>
    <w:rsid w:val="050D0377"/>
    <w:rsid w:val="05560765"/>
    <w:rsid w:val="058D51FF"/>
    <w:rsid w:val="059F646C"/>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0E6E2A"/>
    <w:rsid w:val="08170519"/>
    <w:rsid w:val="08436556"/>
    <w:rsid w:val="0856616F"/>
    <w:rsid w:val="08622524"/>
    <w:rsid w:val="086A7EAD"/>
    <w:rsid w:val="08881A41"/>
    <w:rsid w:val="08CB7C54"/>
    <w:rsid w:val="08E604A1"/>
    <w:rsid w:val="08EF03CC"/>
    <w:rsid w:val="092D6339"/>
    <w:rsid w:val="097A0CA3"/>
    <w:rsid w:val="09DA2AA5"/>
    <w:rsid w:val="0A3C2C9D"/>
    <w:rsid w:val="0A570F00"/>
    <w:rsid w:val="0AD23979"/>
    <w:rsid w:val="0AE14729"/>
    <w:rsid w:val="0B4635B9"/>
    <w:rsid w:val="0B6A3F1F"/>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0662C"/>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1E34292"/>
    <w:rsid w:val="12160F32"/>
    <w:rsid w:val="1246758B"/>
    <w:rsid w:val="129C5FBF"/>
    <w:rsid w:val="13101C79"/>
    <w:rsid w:val="132A631E"/>
    <w:rsid w:val="13332723"/>
    <w:rsid w:val="13336BAF"/>
    <w:rsid w:val="133948F9"/>
    <w:rsid w:val="134D7FF4"/>
    <w:rsid w:val="137408D3"/>
    <w:rsid w:val="13A27094"/>
    <w:rsid w:val="13B42D72"/>
    <w:rsid w:val="13D06674"/>
    <w:rsid w:val="13D44D7F"/>
    <w:rsid w:val="14120FE1"/>
    <w:rsid w:val="142C48EB"/>
    <w:rsid w:val="143E5526"/>
    <w:rsid w:val="14703A03"/>
    <w:rsid w:val="1493153C"/>
    <w:rsid w:val="14B33F8F"/>
    <w:rsid w:val="14F81E1D"/>
    <w:rsid w:val="152D3FF8"/>
    <w:rsid w:val="15343BE6"/>
    <w:rsid w:val="15357338"/>
    <w:rsid w:val="153612FD"/>
    <w:rsid w:val="154136C6"/>
    <w:rsid w:val="15530DDD"/>
    <w:rsid w:val="15646707"/>
    <w:rsid w:val="156F1B1C"/>
    <w:rsid w:val="16050D98"/>
    <w:rsid w:val="161F19D4"/>
    <w:rsid w:val="164D645C"/>
    <w:rsid w:val="167B52F3"/>
    <w:rsid w:val="16811A70"/>
    <w:rsid w:val="16D97F04"/>
    <w:rsid w:val="16DC79A8"/>
    <w:rsid w:val="16F4505A"/>
    <w:rsid w:val="17136C0E"/>
    <w:rsid w:val="17383D5F"/>
    <w:rsid w:val="177D3D5F"/>
    <w:rsid w:val="17C34B4C"/>
    <w:rsid w:val="17C573FD"/>
    <w:rsid w:val="18142FD5"/>
    <w:rsid w:val="181937E9"/>
    <w:rsid w:val="18647115"/>
    <w:rsid w:val="187B711C"/>
    <w:rsid w:val="18B44DAA"/>
    <w:rsid w:val="18C44CD5"/>
    <w:rsid w:val="191A649D"/>
    <w:rsid w:val="191D76ED"/>
    <w:rsid w:val="192E3745"/>
    <w:rsid w:val="193D3C42"/>
    <w:rsid w:val="195864BB"/>
    <w:rsid w:val="19B05D52"/>
    <w:rsid w:val="19FC0A98"/>
    <w:rsid w:val="1A0D43A0"/>
    <w:rsid w:val="1A50150C"/>
    <w:rsid w:val="1AC76349"/>
    <w:rsid w:val="1AE12836"/>
    <w:rsid w:val="1AE925F4"/>
    <w:rsid w:val="1B234950"/>
    <w:rsid w:val="1B2706B9"/>
    <w:rsid w:val="1B421E7E"/>
    <w:rsid w:val="1B5F1F8F"/>
    <w:rsid w:val="1B64461F"/>
    <w:rsid w:val="1B6B7B31"/>
    <w:rsid w:val="1B9C3AE1"/>
    <w:rsid w:val="1C0E12CD"/>
    <w:rsid w:val="1C2E7145"/>
    <w:rsid w:val="1C3C0819"/>
    <w:rsid w:val="1C5A6A79"/>
    <w:rsid w:val="1C603202"/>
    <w:rsid w:val="1C9A0200"/>
    <w:rsid w:val="1CCE5055"/>
    <w:rsid w:val="1CD529D6"/>
    <w:rsid w:val="1DD465A9"/>
    <w:rsid w:val="1DEB6607"/>
    <w:rsid w:val="1DED007E"/>
    <w:rsid w:val="1DEE5DB8"/>
    <w:rsid w:val="1DF21DFC"/>
    <w:rsid w:val="1DFB6F14"/>
    <w:rsid w:val="1E47773B"/>
    <w:rsid w:val="1E4B6E86"/>
    <w:rsid w:val="1F0539AE"/>
    <w:rsid w:val="1F7D50C8"/>
    <w:rsid w:val="1F893367"/>
    <w:rsid w:val="1F9132CC"/>
    <w:rsid w:val="1FCB3375"/>
    <w:rsid w:val="1FE173B4"/>
    <w:rsid w:val="1FE72E58"/>
    <w:rsid w:val="200667A3"/>
    <w:rsid w:val="20173A7C"/>
    <w:rsid w:val="203B1607"/>
    <w:rsid w:val="20783813"/>
    <w:rsid w:val="20F25F2A"/>
    <w:rsid w:val="20F27184"/>
    <w:rsid w:val="212F5EEF"/>
    <w:rsid w:val="213A4AC2"/>
    <w:rsid w:val="215A7BF5"/>
    <w:rsid w:val="218738BE"/>
    <w:rsid w:val="21B21339"/>
    <w:rsid w:val="21BE3770"/>
    <w:rsid w:val="21BF20AD"/>
    <w:rsid w:val="21C43928"/>
    <w:rsid w:val="21F330F9"/>
    <w:rsid w:val="220505CA"/>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00352"/>
    <w:rsid w:val="24B217C6"/>
    <w:rsid w:val="24BC01CD"/>
    <w:rsid w:val="24C25CD7"/>
    <w:rsid w:val="24D73DEE"/>
    <w:rsid w:val="24D96D65"/>
    <w:rsid w:val="24E04C2E"/>
    <w:rsid w:val="25074D45"/>
    <w:rsid w:val="25452366"/>
    <w:rsid w:val="256160D5"/>
    <w:rsid w:val="256E5D87"/>
    <w:rsid w:val="258917A9"/>
    <w:rsid w:val="25A82154"/>
    <w:rsid w:val="25FC1269"/>
    <w:rsid w:val="2608337D"/>
    <w:rsid w:val="260C06F0"/>
    <w:rsid w:val="2620433E"/>
    <w:rsid w:val="269D5137"/>
    <w:rsid w:val="26BD3A0A"/>
    <w:rsid w:val="26BE70D6"/>
    <w:rsid w:val="26C301BC"/>
    <w:rsid w:val="26D424C1"/>
    <w:rsid w:val="26E31D24"/>
    <w:rsid w:val="26E81C8F"/>
    <w:rsid w:val="26F02D0C"/>
    <w:rsid w:val="26FD226B"/>
    <w:rsid w:val="27006B49"/>
    <w:rsid w:val="27367DFA"/>
    <w:rsid w:val="273B711C"/>
    <w:rsid w:val="273C2CA3"/>
    <w:rsid w:val="277371F3"/>
    <w:rsid w:val="277B0EA2"/>
    <w:rsid w:val="278E79B1"/>
    <w:rsid w:val="27C51152"/>
    <w:rsid w:val="284171EC"/>
    <w:rsid w:val="286B4689"/>
    <w:rsid w:val="289F2164"/>
    <w:rsid w:val="28B60026"/>
    <w:rsid w:val="28C9476A"/>
    <w:rsid w:val="29350CD3"/>
    <w:rsid w:val="29784CA5"/>
    <w:rsid w:val="29B80C93"/>
    <w:rsid w:val="29BB20D2"/>
    <w:rsid w:val="29D44C7C"/>
    <w:rsid w:val="29F33C34"/>
    <w:rsid w:val="2A380298"/>
    <w:rsid w:val="2A7B46E1"/>
    <w:rsid w:val="2A886FA9"/>
    <w:rsid w:val="2AC64A60"/>
    <w:rsid w:val="2BE453F9"/>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2F9A7975"/>
    <w:rsid w:val="30315A18"/>
    <w:rsid w:val="307203B7"/>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52F50"/>
    <w:rsid w:val="3417608E"/>
    <w:rsid w:val="342E7F12"/>
    <w:rsid w:val="343E7569"/>
    <w:rsid w:val="34496D65"/>
    <w:rsid w:val="345459E1"/>
    <w:rsid w:val="346976B5"/>
    <w:rsid w:val="346B7F37"/>
    <w:rsid w:val="34A94CBA"/>
    <w:rsid w:val="34B92F28"/>
    <w:rsid w:val="35031EB5"/>
    <w:rsid w:val="35DE49C0"/>
    <w:rsid w:val="35FA7EA7"/>
    <w:rsid w:val="362142B5"/>
    <w:rsid w:val="363B291C"/>
    <w:rsid w:val="363E1F63"/>
    <w:rsid w:val="36897066"/>
    <w:rsid w:val="37206D7C"/>
    <w:rsid w:val="372D2792"/>
    <w:rsid w:val="375B421F"/>
    <w:rsid w:val="377F705B"/>
    <w:rsid w:val="37905AF3"/>
    <w:rsid w:val="37A34800"/>
    <w:rsid w:val="37E02280"/>
    <w:rsid w:val="38026202"/>
    <w:rsid w:val="383B1C65"/>
    <w:rsid w:val="38554BE5"/>
    <w:rsid w:val="38764896"/>
    <w:rsid w:val="388D632D"/>
    <w:rsid w:val="38962C73"/>
    <w:rsid w:val="38C05FA5"/>
    <w:rsid w:val="38CD3EED"/>
    <w:rsid w:val="38DF1F43"/>
    <w:rsid w:val="390339EB"/>
    <w:rsid w:val="39C7662A"/>
    <w:rsid w:val="39D66640"/>
    <w:rsid w:val="3A3453FF"/>
    <w:rsid w:val="3A5C0A17"/>
    <w:rsid w:val="3A8248E0"/>
    <w:rsid w:val="3AF76DD0"/>
    <w:rsid w:val="3B1D07BC"/>
    <w:rsid w:val="3B447872"/>
    <w:rsid w:val="3B474B41"/>
    <w:rsid w:val="3B8D4322"/>
    <w:rsid w:val="3B9508B7"/>
    <w:rsid w:val="3BCE13F3"/>
    <w:rsid w:val="3BD2350C"/>
    <w:rsid w:val="3C071D01"/>
    <w:rsid w:val="3C463454"/>
    <w:rsid w:val="3C58344F"/>
    <w:rsid w:val="3CA661BD"/>
    <w:rsid w:val="3CBD16B7"/>
    <w:rsid w:val="3CDF1FAA"/>
    <w:rsid w:val="3CED1A81"/>
    <w:rsid w:val="3CFC0EF8"/>
    <w:rsid w:val="3D1026F3"/>
    <w:rsid w:val="3DB561A7"/>
    <w:rsid w:val="3E490811"/>
    <w:rsid w:val="3E5049D6"/>
    <w:rsid w:val="3E6F122B"/>
    <w:rsid w:val="3E7865FD"/>
    <w:rsid w:val="3E7F0D7D"/>
    <w:rsid w:val="3E880E32"/>
    <w:rsid w:val="3E8F398E"/>
    <w:rsid w:val="3EC65777"/>
    <w:rsid w:val="3F24659E"/>
    <w:rsid w:val="3F2E2C76"/>
    <w:rsid w:val="3F3B5C85"/>
    <w:rsid w:val="3F3E0088"/>
    <w:rsid w:val="3F6E51CB"/>
    <w:rsid w:val="40006CAB"/>
    <w:rsid w:val="40085D42"/>
    <w:rsid w:val="402E562B"/>
    <w:rsid w:val="4046343E"/>
    <w:rsid w:val="40463EAA"/>
    <w:rsid w:val="405007A0"/>
    <w:rsid w:val="4061544C"/>
    <w:rsid w:val="406B195B"/>
    <w:rsid w:val="40710710"/>
    <w:rsid w:val="40F61FC7"/>
    <w:rsid w:val="410A06F9"/>
    <w:rsid w:val="41134775"/>
    <w:rsid w:val="4125037B"/>
    <w:rsid w:val="413357D7"/>
    <w:rsid w:val="413F40EC"/>
    <w:rsid w:val="41447D45"/>
    <w:rsid w:val="41977304"/>
    <w:rsid w:val="41CD393D"/>
    <w:rsid w:val="41F949FB"/>
    <w:rsid w:val="421630C6"/>
    <w:rsid w:val="422B5E31"/>
    <w:rsid w:val="4252595A"/>
    <w:rsid w:val="43342E95"/>
    <w:rsid w:val="43826A74"/>
    <w:rsid w:val="4389139C"/>
    <w:rsid w:val="43B22635"/>
    <w:rsid w:val="43DC59FD"/>
    <w:rsid w:val="44016A8B"/>
    <w:rsid w:val="440913E9"/>
    <w:rsid w:val="441B763D"/>
    <w:rsid w:val="443F0A8A"/>
    <w:rsid w:val="44483F56"/>
    <w:rsid w:val="444C0E2A"/>
    <w:rsid w:val="44703E7E"/>
    <w:rsid w:val="44867A3B"/>
    <w:rsid w:val="44DA2F11"/>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706789"/>
    <w:rsid w:val="48D908C8"/>
    <w:rsid w:val="490010A1"/>
    <w:rsid w:val="493537CF"/>
    <w:rsid w:val="49460D45"/>
    <w:rsid w:val="495F0ABC"/>
    <w:rsid w:val="496478CB"/>
    <w:rsid w:val="4A572A64"/>
    <w:rsid w:val="4A727B70"/>
    <w:rsid w:val="4A74195A"/>
    <w:rsid w:val="4A790B21"/>
    <w:rsid w:val="4A7A3D76"/>
    <w:rsid w:val="4A8B6AB4"/>
    <w:rsid w:val="4A9F3033"/>
    <w:rsid w:val="4AAE190E"/>
    <w:rsid w:val="4AE70AB8"/>
    <w:rsid w:val="4B251E2E"/>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60B52"/>
    <w:rsid w:val="4E3E44C6"/>
    <w:rsid w:val="4E7E4DA0"/>
    <w:rsid w:val="4E9D6C5F"/>
    <w:rsid w:val="4ED065C7"/>
    <w:rsid w:val="4ED60D0E"/>
    <w:rsid w:val="4F3F0A4C"/>
    <w:rsid w:val="4F4C04EE"/>
    <w:rsid w:val="4F5E0911"/>
    <w:rsid w:val="4F6C7D95"/>
    <w:rsid w:val="4F7243C3"/>
    <w:rsid w:val="4F7B7863"/>
    <w:rsid w:val="4FBC77EB"/>
    <w:rsid w:val="4FBD4AFA"/>
    <w:rsid w:val="4FC20717"/>
    <w:rsid w:val="50206576"/>
    <w:rsid w:val="50303A7C"/>
    <w:rsid w:val="50453781"/>
    <w:rsid w:val="50A26FF3"/>
    <w:rsid w:val="51525315"/>
    <w:rsid w:val="515C17D5"/>
    <w:rsid w:val="519223A8"/>
    <w:rsid w:val="51B45CF8"/>
    <w:rsid w:val="51CB5559"/>
    <w:rsid w:val="520F3713"/>
    <w:rsid w:val="524F69D1"/>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5B14DE"/>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8F7514"/>
    <w:rsid w:val="58F37117"/>
    <w:rsid w:val="594D3747"/>
    <w:rsid w:val="596F52DD"/>
    <w:rsid w:val="59783883"/>
    <w:rsid w:val="59BE14BB"/>
    <w:rsid w:val="59E91E58"/>
    <w:rsid w:val="5A0207F8"/>
    <w:rsid w:val="5A0F7C73"/>
    <w:rsid w:val="5A100CE1"/>
    <w:rsid w:val="5A1256F7"/>
    <w:rsid w:val="5A132397"/>
    <w:rsid w:val="5A2E42CD"/>
    <w:rsid w:val="5A557046"/>
    <w:rsid w:val="5A7F37F9"/>
    <w:rsid w:val="5A837878"/>
    <w:rsid w:val="5A9E7D61"/>
    <w:rsid w:val="5AB5421F"/>
    <w:rsid w:val="5B0C31BE"/>
    <w:rsid w:val="5B3F4A23"/>
    <w:rsid w:val="5B767297"/>
    <w:rsid w:val="5B887615"/>
    <w:rsid w:val="5BBC41DB"/>
    <w:rsid w:val="5BFF2AD9"/>
    <w:rsid w:val="5C016066"/>
    <w:rsid w:val="5C044AD5"/>
    <w:rsid w:val="5C1138CE"/>
    <w:rsid w:val="5C1459ED"/>
    <w:rsid w:val="5C2C0494"/>
    <w:rsid w:val="5C41460B"/>
    <w:rsid w:val="5C57182F"/>
    <w:rsid w:val="5C73505B"/>
    <w:rsid w:val="5C890F37"/>
    <w:rsid w:val="5CBE1F4B"/>
    <w:rsid w:val="5CE65356"/>
    <w:rsid w:val="5CF72BB2"/>
    <w:rsid w:val="5D27565F"/>
    <w:rsid w:val="5D637198"/>
    <w:rsid w:val="5D6A538C"/>
    <w:rsid w:val="5D8627AD"/>
    <w:rsid w:val="5DAA0B93"/>
    <w:rsid w:val="5DCE0E18"/>
    <w:rsid w:val="5DDC3160"/>
    <w:rsid w:val="5E2A4BFC"/>
    <w:rsid w:val="5EAC236D"/>
    <w:rsid w:val="5ECE0F54"/>
    <w:rsid w:val="5EDB0D8B"/>
    <w:rsid w:val="5F3732A8"/>
    <w:rsid w:val="5FCC33D8"/>
    <w:rsid w:val="60033350"/>
    <w:rsid w:val="602266C7"/>
    <w:rsid w:val="603B7C36"/>
    <w:rsid w:val="60534AA3"/>
    <w:rsid w:val="60680187"/>
    <w:rsid w:val="60832CD9"/>
    <w:rsid w:val="60CB1B4D"/>
    <w:rsid w:val="60DC42D6"/>
    <w:rsid w:val="60E72F41"/>
    <w:rsid w:val="60F9718F"/>
    <w:rsid w:val="61217D14"/>
    <w:rsid w:val="613172F2"/>
    <w:rsid w:val="6142313B"/>
    <w:rsid w:val="614D3BC8"/>
    <w:rsid w:val="616B2575"/>
    <w:rsid w:val="61756C34"/>
    <w:rsid w:val="618F1CE4"/>
    <w:rsid w:val="61B9511D"/>
    <w:rsid w:val="61CE240F"/>
    <w:rsid w:val="61D23BCD"/>
    <w:rsid w:val="62302D5E"/>
    <w:rsid w:val="629A316F"/>
    <w:rsid w:val="62A43EEF"/>
    <w:rsid w:val="63277530"/>
    <w:rsid w:val="6352384A"/>
    <w:rsid w:val="63C453AB"/>
    <w:rsid w:val="64340981"/>
    <w:rsid w:val="644B1C20"/>
    <w:rsid w:val="6471055F"/>
    <w:rsid w:val="64AE7D1C"/>
    <w:rsid w:val="64B97E4E"/>
    <w:rsid w:val="64C303D9"/>
    <w:rsid w:val="65281B09"/>
    <w:rsid w:val="652B7127"/>
    <w:rsid w:val="656B579F"/>
    <w:rsid w:val="656E592B"/>
    <w:rsid w:val="65A165E9"/>
    <w:rsid w:val="65C14A06"/>
    <w:rsid w:val="65C15488"/>
    <w:rsid w:val="660D76B4"/>
    <w:rsid w:val="6615791E"/>
    <w:rsid w:val="667136F9"/>
    <w:rsid w:val="66841ED9"/>
    <w:rsid w:val="66B24A2C"/>
    <w:rsid w:val="66DD0292"/>
    <w:rsid w:val="67024FEA"/>
    <w:rsid w:val="671073D1"/>
    <w:rsid w:val="67423DA0"/>
    <w:rsid w:val="678E06CE"/>
    <w:rsid w:val="67941FDE"/>
    <w:rsid w:val="679A602D"/>
    <w:rsid w:val="67C66DE2"/>
    <w:rsid w:val="67E028BC"/>
    <w:rsid w:val="68537B47"/>
    <w:rsid w:val="68620DC9"/>
    <w:rsid w:val="68A9552D"/>
    <w:rsid w:val="68C330AE"/>
    <w:rsid w:val="68CB7EDB"/>
    <w:rsid w:val="68D52CCF"/>
    <w:rsid w:val="68E45DE3"/>
    <w:rsid w:val="691D1344"/>
    <w:rsid w:val="6934149F"/>
    <w:rsid w:val="6958671E"/>
    <w:rsid w:val="69FF3460"/>
    <w:rsid w:val="6A20603D"/>
    <w:rsid w:val="6A281A45"/>
    <w:rsid w:val="6A3B618C"/>
    <w:rsid w:val="6AA103CB"/>
    <w:rsid w:val="6AA75408"/>
    <w:rsid w:val="6AB51854"/>
    <w:rsid w:val="6ADA31D4"/>
    <w:rsid w:val="6AE30A31"/>
    <w:rsid w:val="6B182CCA"/>
    <w:rsid w:val="6B2560EF"/>
    <w:rsid w:val="6B4D19C5"/>
    <w:rsid w:val="6B5F2BF8"/>
    <w:rsid w:val="6B737395"/>
    <w:rsid w:val="6B910A5B"/>
    <w:rsid w:val="6BD55D0B"/>
    <w:rsid w:val="6BD83CC4"/>
    <w:rsid w:val="6BDC47ED"/>
    <w:rsid w:val="6BF1112B"/>
    <w:rsid w:val="6BF76F4D"/>
    <w:rsid w:val="6C0A4626"/>
    <w:rsid w:val="6C1B3303"/>
    <w:rsid w:val="6C1B55BA"/>
    <w:rsid w:val="6C3E28BF"/>
    <w:rsid w:val="6C3F33CD"/>
    <w:rsid w:val="6C7A7040"/>
    <w:rsid w:val="6C8132A9"/>
    <w:rsid w:val="6C9E6020"/>
    <w:rsid w:val="6CAA4D6A"/>
    <w:rsid w:val="6CAE0A2F"/>
    <w:rsid w:val="6CC70826"/>
    <w:rsid w:val="6CD77821"/>
    <w:rsid w:val="6D0A6DBB"/>
    <w:rsid w:val="6D40311C"/>
    <w:rsid w:val="6DB167DD"/>
    <w:rsid w:val="6DB43590"/>
    <w:rsid w:val="6DB84EBA"/>
    <w:rsid w:val="6E2B4D2D"/>
    <w:rsid w:val="6E2D7393"/>
    <w:rsid w:val="6E6E6F1D"/>
    <w:rsid w:val="6E985F27"/>
    <w:rsid w:val="6EA63453"/>
    <w:rsid w:val="6F02503D"/>
    <w:rsid w:val="6F1C4DB2"/>
    <w:rsid w:val="6F293DA9"/>
    <w:rsid w:val="6F554C3F"/>
    <w:rsid w:val="6F6A53B1"/>
    <w:rsid w:val="6FC83C68"/>
    <w:rsid w:val="6FCE226C"/>
    <w:rsid w:val="6FF03D5E"/>
    <w:rsid w:val="6FF67EDB"/>
    <w:rsid w:val="706747BD"/>
    <w:rsid w:val="707165D4"/>
    <w:rsid w:val="70A93F9B"/>
    <w:rsid w:val="70BF78D7"/>
    <w:rsid w:val="70E95E6A"/>
    <w:rsid w:val="71276821"/>
    <w:rsid w:val="712F11E7"/>
    <w:rsid w:val="71790E9D"/>
    <w:rsid w:val="717A6C89"/>
    <w:rsid w:val="71AC1A5C"/>
    <w:rsid w:val="71C02A4B"/>
    <w:rsid w:val="71CD17F6"/>
    <w:rsid w:val="71D4229F"/>
    <w:rsid w:val="72117E7E"/>
    <w:rsid w:val="723B41CF"/>
    <w:rsid w:val="728971FB"/>
    <w:rsid w:val="72D06024"/>
    <w:rsid w:val="731B5890"/>
    <w:rsid w:val="733878DA"/>
    <w:rsid w:val="734779C2"/>
    <w:rsid w:val="7372294D"/>
    <w:rsid w:val="73742421"/>
    <w:rsid w:val="73BF73C1"/>
    <w:rsid w:val="73C23920"/>
    <w:rsid w:val="73F201AA"/>
    <w:rsid w:val="73F56F27"/>
    <w:rsid w:val="744F1762"/>
    <w:rsid w:val="745E33A9"/>
    <w:rsid w:val="74802249"/>
    <w:rsid w:val="74EB4810"/>
    <w:rsid w:val="75155729"/>
    <w:rsid w:val="75266207"/>
    <w:rsid w:val="7528557D"/>
    <w:rsid w:val="75763149"/>
    <w:rsid w:val="75F5233E"/>
    <w:rsid w:val="76391E08"/>
    <w:rsid w:val="765D19FC"/>
    <w:rsid w:val="769B14BB"/>
    <w:rsid w:val="76AA596C"/>
    <w:rsid w:val="76CF0956"/>
    <w:rsid w:val="76DF2EC8"/>
    <w:rsid w:val="76EB0D54"/>
    <w:rsid w:val="77045F8B"/>
    <w:rsid w:val="771C6744"/>
    <w:rsid w:val="7771110B"/>
    <w:rsid w:val="77782D28"/>
    <w:rsid w:val="77C20123"/>
    <w:rsid w:val="77F538F8"/>
    <w:rsid w:val="788A3DEB"/>
    <w:rsid w:val="78A24147"/>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D207EC"/>
    <w:rsid w:val="7BFB110F"/>
    <w:rsid w:val="7C09409A"/>
    <w:rsid w:val="7C287D7E"/>
    <w:rsid w:val="7C3825FA"/>
    <w:rsid w:val="7D375C18"/>
    <w:rsid w:val="7D4B33BB"/>
    <w:rsid w:val="7D7C4CEA"/>
    <w:rsid w:val="7D866779"/>
    <w:rsid w:val="7D9F3F02"/>
    <w:rsid w:val="7E5F0EE8"/>
    <w:rsid w:val="7E7506DB"/>
    <w:rsid w:val="7E851F96"/>
    <w:rsid w:val="7EAB0E13"/>
    <w:rsid w:val="7EB2667C"/>
    <w:rsid w:val="7EC854AC"/>
    <w:rsid w:val="7ED4170B"/>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45</TotalTime>
  <ScaleCrop>false</ScaleCrop>
  <LinksUpToDate>false</LinksUpToDate>
  <CharactersWithSpaces>6686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2023-02-17T04:16:56Z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78F88C23473B4EA089C59CEB479B6E54</vt:lpwstr>
  </property>
</Properties>
</file>