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1"/>
        <w:rPr>
          <w:rFonts w:ascii="华文中宋" w:hAnsi="华文中宋" w:eastAsia="华文中宋" w:cs="宋体"/>
          <w:b/>
          <w:kern w:val="0"/>
          <w:sz w:val="52"/>
          <w:szCs w:val="52"/>
          <w:highlight w:val="none"/>
        </w:rPr>
      </w:pPr>
    </w:p>
    <w:p>
      <w:pPr>
        <w:ind w:firstLine="0" w:firstLineChars="0"/>
        <w:jc w:val="center"/>
        <w:rPr>
          <w:rFonts w:ascii="华文中宋" w:hAnsi="华文中宋" w:eastAsia="华文中宋" w:cs="宋体"/>
          <w:b/>
          <w:kern w:val="0"/>
          <w:sz w:val="52"/>
          <w:szCs w:val="52"/>
          <w:highlight w:val="none"/>
        </w:rPr>
      </w:pPr>
    </w:p>
    <w:p>
      <w:pPr>
        <w:spacing w:line="540" w:lineRule="exact"/>
        <w:ind w:firstLine="960"/>
        <w:jc w:val="center"/>
        <w:rPr>
          <w:rFonts w:ascii="方正小标宋_GBK" w:hAnsi="华文中宋" w:eastAsia="方正小标宋_GBK" w:cs="宋体"/>
          <w:kern w:val="0"/>
          <w:sz w:val="48"/>
          <w:szCs w:val="48"/>
          <w:highlight w:val="none"/>
        </w:rPr>
      </w:pPr>
      <w:r>
        <w:rPr>
          <w:rFonts w:hint="eastAsia" w:ascii="方正小标宋_GBK" w:hAnsi="华文中宋" w:eastAsia="方正小标宋_GBK" w:cs="宋体"/>
          <w:kern w:val="0"/>
          <w:sz w:val="48"/>
          <w:szCs w:val="48"/>
          <w:highlight w:val="none"/>
        </w:rPr>
        <w:t>昌吉市图书馆部门单位整体支出绩效自评报告</w:t>
      </w:r>
    </w:p>
    <w:p>
      <w:pPr>
        <w:ind w:firstLine="0" w:firstLineChars="0"/>
        <w:jc w:val="center"/>
        <w:rPr>
          <w:rFonts w:ascii="华文中宋" w:hAnsi="华文中宋" w:eastAsia="华文中宋" w:cs="宋体"/>
          <w:b/>
          <w:kern w:val="0"/>
          <w:sz w:val="52"/>
          <w:szCs w:val="52"/>
          <w:highlight w:val="none"/>
        </w:rPr>
      </w:pPr>
    </w:p>
    <w:p>
      <w:pPr>
        <w:ind w:firstLine="0" w:firstLineChars="0"/>
        <w:jc w:val="center"/>
        <w:rPr>
          <w:rFonts w:ascii="仿宋_GB2312" w:hAnsi="宋体" w:eastAsia="仿宋_GB2312" w:cs="宋体"/>
          <w:kern w:val="0"/>
          <w:sz w:val="36"/>
          <w:szCs w:val="36"/>
          <w:highlight w:val="none"/>
        </w:rPr>
      </w:pPr>
      <w:r>
        <w:rPr>
          <w:rFonts w:hint="eastAsia" w:ascii="仿宋_GB2312" w:hAnsi="宋体" w:eastAsia="仿宋_GB2312" w:cs="宋体"/>
          <w:kern w:val="0"/>
          <w:sz w:val="36"/>
          <w:szCs w:val="36"/>
          <w:highlight w:val="none"/>
        </w:rPr>
        <w:t>（2022年度</w:t>
      </w:r>
      <w:r>
        <w:rPr>
          <w:rFonts w:hint="eastAsia" w:ascii="仿宋_GB2312" w:hAnsi="Malgun Gothic Semilight" w:eastAsia="仿宋_GB2312" w:cs="Malgun Gothic Semilight"/>
          <w:kern w:val="0"/>
          <w:sz w:val="36"/>
          <w:szCs w:val="36"/>
          <w:highlight w:val="none"/>
        </w:rPr>
        <w:t>）</w:t>
      </w:r>
    </w:p>
    <w:p>
      <w:pPr>
        <w:ind w:firstLine="600"/>
        <w:jc w:val="center"/>
        <w:rPr>
          <w:rFonts w:hAnsi="宋体" w:eastAsia="仿宋_GB2312" w:cs="宋体"/>
          <w:kern w:val="0"/>
          <w:sz w:val="30"/>
          <w:szCs w:val="30"/>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720"/>
        <w:jc w:val="center"/>
        <w:rPr>
          <w:rFonts w:ascii="方正小标宋_GBK" w:hAnsi="宋体" w:eastAsia="方正小标宋_GBK" w:cs="宋体"/>
          <w:kern w:val="0"/>
          <w:sz w:val="36"/>
          <w:szCs w:val="36"/>
          <w:highlight w:val="none"/>
        </w:rPr>
      </w:pPr>
    </w:p>
    <w:p>
      <w:pPr>
        <w:spacing w:line="540" w:lineRule="exact"/>
        <w:ind w:firstLine="720"/>
        <w:jc w:val="center"/>
        <w:rPr>
          <w:rFonts w:ascii="方正小标宋_GBK" w:hAnsi="宋体" w:eastAsia="方正小标宋_GBK" w:cs="宋体"/>
          <w:kern w:val="0"/>
          <w:sz w:val="36"/>
          <w:szCs w:val="36"/>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600"/>
        <w:jc w:val="center"/>
        <w:rPr>
          <w:rFonts w:hAnsi="宋体" w:eastAsia="仿宋_GB2312" w:cs="宋体"/>
          <w:kern w:val="0"/>
          <w:sz w:val="30"/>
          <w:szCs w:val="30"/>
          <w:highlight w:val="none"/>
        </w:rPr>
      </w:pPr>
    </w:p>
    <w:p>
      <w:pPr>
        <w:spacing w:line="540" w:lineRule="exact"/>
        <w:ind w:firstLine="600"/>
        <w:rPr>
          <w:rFonts w:hAnsi="宋体" w:eastAsia="仿宋_GB2312" w:cs="宋体"/>
          <w:kern w:val="0"/>
          <w:sz w:val="30"/>
          <w:szCs w:val="30"/>
          <w:highlight w:val="none"/>
        </w:rPr>
      </w:pPr>
    </w:p>
    <w:p>
      <w:pPr>
        <w:spacing w:line="700" w:lineRule="exact"/>
        <w:ind w:firstLine="720"/>
        <w:jc w:val="left"/>
        <w:rPr>
          <w:rFonts w:hAnsi="宋体" w:eastAsia="仿宋_GB2312" w:cs="宋体"/>
          <w:kern w:val="0"/>
          <w:sz w:val="36"/>
          <w:szCs w:val="36"/>
          <w:highlight w:val="none"/>
        </w:rPr>
      </w:pPr>
    </w:p>
    <w:p>
      <w:pPr>
        <w:spacing w:line="600" w:lineRule="exact"/>
        <w:ind w:firstLine="720"/>
        <w:rPr>
          <w:rFonts w:ascii="黑体" w:hAnsi="黑体" w:eastAsia="黑体" w:cs="黑体"/>
          <w:bCs/>
          <w:sz w:val="36"/>
          <w:szCs w:val="36"/>
          <w:highlight w:val="none"/>
        </w:rPr>
      </w:pPr>
      <w:r>
        <w:rPr>
          <w:rFonts w:hint="eastAsia" w:ascii="黑体" w:hAnsi="黑体" w:eastAsia="黑体" w:cs="黑体"/>
          <w:bCs/>
          <w:sz w:val="36"/>
          <w:szCs w:val="36"/>
          <w:highlight w:val="none"/>
        </w:rPr>
        <w:t>部门单位名称（公章）：昌吉市图书馆</w:t>
      </w:r>
    </w:p>
    <w:p>
      <w:pPr>
        <w:spacing w:line="600" w:lineRule="exact"/>
        <w:ind w:firstLine="720"/>
        <w:rPr>
          <w:rFonts w:ascii="黑体" w:hAnsi="黑体" w:eastAsia="黑体" w:cs="黑体"/>
          <w:bCs/>
          <w:sz w:val="36"/>
          <w:szCs w:val="36"/>
          <w:highlight w:val="none"/>
        </w:rPr>
      </w:pPr>
      <w:r>
        <w:rPr>
          <w:rFonts w:hint="eastAsia" w:ascii="黑体" w:hAnsi="黑体" w:eastAsia="黑体" w:cs="黑体"/>
          <w:bCs/>
          <w:sz w:val="36"/>
          <w:szCs w:val="36"/>
          <w:highlight w:val="none"/>
        </w:rPr>
        <w:t xml:space="preserve">填报时间： </w:t>
      </w:r>
      <w:r>
        <w:rPr>
          <w:rFonts w:ascii="黑体" w:hAnsi="黑体" w:eastAsia="黑体" w:cs="黑体"/>
          <w:bCs/>
          <w:sz w:val="36"/>
          <w:szCs w:val="36"/>
          <w:highlight w:val="none"/>
        </w:rPr>
        <w:t>202</w:t>
      </w:r>
      <w:r>
        <w:rPr>
          <w:rFonts w:hint="eastAsia" w:ascii="黑体" w:hAnsi="黑体" w:eastAsia="黑体" w:cs="黑体"/>
          <w:bCs/>
          <w:sz w:val="36"/>
          <w:szCs w:val="36"/>
          <w:highlight w:val="none"/>
          <w:lang w:val="en-US" w:eastAsia="zh-CN"/>
        </w:rPr>
        <w:t>3</w:t>
      </w:r>
      <w:r>
        <w:rPr>
          <w:rFonts w:hint="eastAsia" w:ascii="黑体" w:hAnsi="黑体" w:eastAsia="黑体" w:cs="黑体"/>
          <w:bCs/>
          <w:sz w:val="36"/>
          <w:szCs w:val="36"/>
          <w:highlight w:val="none"/>
        </w:rPr>
        <w:t xml:space="preserve"> 年  </w:t>
      </w:r>
      <w:r>
        <w:rPr>
          <w:rFonts w:hint="eastAsia" w:ascii="黑体" w:hAnsi="黑体" w:eastAsia="黑体" w:cs="黑体"/>
          <w:bCs/>
          <w:sz w:val="36"/>
          <w:szCs w:val="36"/>
          <w:highlight w:val="none"/>
          <w:lang w:val="en-US" w:eastAsia="zh-CN"/>
        </w:rPr>
        <w:t>2</w:t>
      </w:r>
      <w:r>
        <w:rPr>
          <w:rFonts w:hint="eastAsia" w:ascii="黑体" w:hAnsi="黑体" w:eastAsia="黑体" w:cs="黑体"/>
          <w:bCs/>
          <w:sz w:val="36"/>
          <w:szCs w:val="36"/>
          <w:highlight w:val="none"/>
        </w:rPr>
        <w:t xml:space="preserve">月 </w:t>
      </w:r>
      <w:r>
        <w:rPr>
          <w:rFonts w:hint="eastAsia" w:ascii="黑体" w:hAnsi="黑体" w:eastAsia="黑体" w:cs="黑体"/>
          <w:bCs/>
          <w:sz w:val="36"/>
          <w:szCs w:val="36"/>
          <w:highlight w:val="none"/>
          <w:lang w:val="en-US" w:eastAsia="zh-CN"/>
        </w:rPr>
        <w:t>16</w:t>
      </w:r>
      <w:r>
        <w:rPr>
          <w:rFonts w:hint="eastAsia" w:ascii="黑体" w:hAnsi="黑体" w:eastAsia="黑体" w:cs="黑体"/>
          <w:bCs/>
          <w:sz w:val="36"/>
          <w:szCs w:val="36"/>
          <w:highlight w:val="none"/>
        </w:rPr>
        <w:t xml:space="preserve"> 日</w:t>
      </w:r>
    </w:p>
    <w:p>
      <w:pPr>
        <w:spacing w:line="700" w:lineRule="exact"/>
        <w:ind w:firstLine="849" w:firstLineChars="236"/>
        <w:jc w:val="left"/>
        <w:rPr>
          <w:rFonts w:hAnsi="宋体" w:eastAsia="仿宋_GB2312" w:cs="宋体"/>
          <w:kern w:val="0"/>
          <w:sz w:val="36"/>
          <w:szCs w:val="36"/>
          <w:highlight w:val="none"/>
        </w:rPr>
      </w:pPr>
    </w:p>
    <w:p>
      <w:pPr>
        <w:ind w:firstLine="560"/>
        <w:rPr>
          <w:highlight w:val="none"/>
        </w:rPr>
      </w:pPr>
    </w:p>
    <w:p>
      <w:pPr>
        <w:ind w:firstLine="560"/>
        <w:rPr>
          <w:highlight w:val="none"/>
        </w:rPr>
      </w:pPr>
      <w:r>
        <w:rPr>
          <w:rFonts w:hint="eastAsia"/>
          <w:highlight w:val="none"/>
        </w:rPr>
        <w:br w:type="page"/>
      </w:r>
    </w:p>
    <w:p>
      <w:pPr>
        <w:ind w:firstLine="640"/>
        <w:outlineLvl w:val="0"/>
        <w:rPr>
          <w:rFonts w:ascii="黑体" w:hAnsi="黑体" w:eastAsia="黑体" w:cs="黑体"/>
          <w:sz w:val="32"/>
          <w:szCs w:val="32"/>
          <w:highlight w:val="none"/>
        </w:rPr>
      </w:pPr>
      <w:r>
        <w:rPr>
          <w:rFonts w:hint="eastAsia" w:ascii="黑体" w:hAnsi="黑体" w:eastAsia="黑体" w:cs="黑体"/>
          <w:sz w:val="32"/>
          <w:szCs w:val="32"/>
          <w:highlight w:val="none"/>
        </w:rPr>
        <w:t>一、基本概况</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（一）单位基本情况</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1.机构设置及人员情况</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昌吉市图书馆成立于1985年1月1日。隶属于昌吉市文化体育广播电视和旅游局，是全额财政拨款的公益性一类文化事业单位。2008年挂牌昌吉市文化信息资源共享工程支中心。</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图书馆下设二个处室，分别是：一、业务科室9个（分别为：采编室、参考咨询室、外借室、成人阅览室、少儿阅览室、少儿借阅室、电子阅览室、文化信息资源共享加工室、过刊过报室）</w:t>
      </w:r>
    </w:p>
    <w:p>
      <w:pPr>
        <w:widowControl/>
        <w:spacing w:line="58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昌吉市图书馆编制数10人，实有人数</w:t>
      </w:r>
      <w:r>
        <w:rPr>
          <w:rFonts w:hint="eastAsia" w:ascii="仿宋_GB2312" w:hAnsi="宋体" w:eastAsia="仿宋_GB2312" w:cs="宋体"/>
          <w:kern w:val="0"/>
          <w:sz w:val="32"/>
          <w:szCs w:val="32"/>
          <w:highlight w:val="none"/>
          <w:lang w:val="en-US" w:eastAsia="zh-CN"/>
        </w:rPr>
        <w:t>9</w:t>
      </w:r>
      <w:r>
        <w:rPr>
          <w:rFonts w:hint="eastAsia" w:ascii="仿宋_GB2312" w:hAnsi="宋体" w:eastAsia="仿宋_GB2312" w:cs="宋体"/>
          <w:kern w:val="0"/>
          <w:sz w:val="32"/>
          <w:szCs w:val="32"/>
          <w:highlight w:val="none"/>
        </w:rPr>
        <w:t>人，其中：在职</w:t>
      </w:r>
      <w:r>
        <w:rPr>
          <w:rFonts w:hint="eastAsia" w:ascii="仿宋_GB2312" w:hAnsi="宋体" w:eastAsia="仿宋_GB2312" w:cs="宋体"/>
          <w:kern w:val="0"/>
          <w:sz w:val="32"/>
          <w:szCs w:val="32"/>
          <w:highlight w:val="none"/>
          <w:lang w:val="en-US" w:eastAsia="zh-CN"/>
        </w:rPr>
        <w:t>9</w:t>
      </w:r>
      <w:r>
        <w:rPr>
          <w:rFonts w:hint="eastAsia" w:ascii="仿宋_GB2312" w:hAnsi="宋体" w:eastAsia="仿宋_GB2312" w:cs="宋体"/>
          <w:kern w:val="0"/>
          <w:sz w:val="32"/>
          <w:szCs w:val="32"/>
          <w:highlight w:val="none"/>
        </w:rPr>
        <w:t xml:space="preserve">人，退休 </w:t>
      </w:r>
      <w:r>
        <w:rPr>
          <w:rFonts w:hint="eastAsia" w:ascii="仿宋_GB2312" w:hAnsi="宋体" w:eastAsia="仿宋_GB2312" w:cs="宋体"/>
          <w:kern w:val="0"/>
          <w:sz w:val="32"/>
          <w:szCs w:val="32"/>
          <w:highlight w:val="none"/>
          <w:lang w:val="en-US" w:eastAsia="zh-CN"/>
        </w:rPr>
        <w:t>9</w:t>
      </w:r>
      <w:r>
        <w:rPr>
          <w:rFonts w:hint="eastAsia" w:ascii="仿宋_GB2312" w:hAnsi="宋体" w:eastAsia="仿宋_GB2312" w:cs="宋体"/>
          <w:kern w:val="0"/>
          <w:sz w:val="32"/>
          <w:szCs w:val="32"/>
          <w:highlight w:val="none"/>
        </w:rPr>
        <w:t>人。</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2.主要职能</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（1）保存人类文化遗产。图书馆的产生是保存人类文化遗产的需要。因为有了图书馆，人类的社会实践所取得的经验、文化、知识才得以系统地保存并流传下来，成为今天人类宝贵的文化遗产和精神财富。 </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2）开展社会教育。近代大工业的产生要求社会人有较多的劳动知识和劳动技能，图书馆从而真正走入平民百姓当中，担负起了对人的科学知识文化教育的任务。现代社会，图书馆成为继续教育、终身教育的基地，担负了更多的教育职能。 </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（3）传递科学情报。传递科学情报是现代图书馆的一个重要职能。图书馆丰富、系统、全面的图书信息资料，成为图书馆从事科学情报传递工作的物质条件。在信息社会，图书馆的科学情报功能将得到加强。 </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 xml:space="preserve">（4）开发智力资源。图书馆收藏的图书资料是人类长期积累的一种智力资源，图书馆对这些资源的加工、处理是对这种智力资源的开发。同时图书馆将这些图书资料提供利用，是开发图书馆用户的脑力资源。换言之，图书馆承担有人才培养的职能。 </w:t>
      </w:r>
    </w:p>
    <w:p>
      <w:pPr>
        <w:adjustRightInd w:val="0"/>
        <w:snapToGrid w:val="0"/>
        <w:spacing w:line="500" w:lineRule="exact"/>
        <w:ind w:firstLine="640"/>
        <w:jc w:val="left"/>
        <w:rPr>
          <w:rFonts w:ascii="仿宋_GB2312" w:eastAsia="仿宋_GB2312"/>
          <w:color w:val="FF0000"/>
          <w:sz w:val="32"/>
          <w:szCs w:val="32"/>
          <w:highlight w:val="none"/>
        </w:rPr>
      </w:pPr>
      <w:r>
        <w:rPr>
          <w:rFonts w:hint="eastAsia" w:ascii="仿宋_GB2312" w:hAnsi="宋体" w:eastAsia="仿宋_GB2312" w:cs="宋体"/>
          <w:kern w:val="0"/>
          <w:sz w:val="32"/>
          <w:szCs w:val="32"/>
          <w:highlight w:val="none"/>
        </w:rPr>
        <w:t>（5）提供文化娱乐。图书馆提供的服务满足了社会对文化娱乐的需要，丰富和活跃了人民群众的文化生活，在精神文明建设当中起到了不可或缺的作用。</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3.年度重点工作计划</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（1）图书馆数字化建设，巩固公共文化示范区创建的成果。全面铺开“一卡通”文化服务，实现区域文化共建共享。</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（2）完善图书馆“地方文献特色数据库”建设。利用建好的数据墙，为广大读者提供更好的宣传服务。</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（3）利用丰富的资源为昌吉市各族群众做好服务。</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（4）提高优质服务，提升公共文化服务质量。</w:t>
      </w:r>
    </w:p>
    <w:p>
      <w:pPr>
        <w:adjustRightInd w:val="0"/>
        <w:snapToGrid w:val="0"/>
        <w:spacing w:line="500" w:lineRule="exact"/>
        <w:ind w:firstLine="640"/>
        <w:jc w:val="left"/>
        <w:rPr>
          <w:rFonts w:ascii="仿宋_GB2312" w:hAnsi="宋体" w:eastAsia="仿宋_GB2312" w:cs="宋体"/>
          <w:kern w:val="0"/>
          <w:sz w:val="32"/>
          <w:szCs w:val="32"/>
          <w:highlight w:val="none"/>
        </w:rPr>
      </w:pPr>
      <w:r>
        <w:rPr>
          <w:rFonts w:hint="eastAsia" w:ascii="仿宋_GB2312" w:hAnsi="宋体" w:eastAsia="仿宋_GB2312" w:cs="宋体"/>
          <w:kern w:val="0"/>
          <w:sz w:val="32"/>
          <w:szCs w:val="32"/>
          <w:highlight w:val="none"/>
        </w:rPr>
        <w:t>（5）认真开展好流动服务工作。</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（二）单位决策机制</w:t>
      </w:r>
    </w:p>
    <w:p>
      <w:pPr>
        <w:ind w:firstLine="640"/>
        <w:rPr>
          <w:rFonts w:ascii="仿宋_GB2312" w:eastAsia="仿宋_GB2312"/>
          <w:sz w:val="32"/>
          <w:szCs w:val="32"/>
          <w:highlight w:val="none"/>
        </w:rPr>
      </w:pPr>
      <w:r>
        <w:rPr>
          <w:rFonts w:hint="eastAsia" w:ascii="仿宋_GB2312" w:eastAsia="仿宋_GB2312"/>
          <w:sz w:val="32"/>
          <w:szCs w:val="32"/>
          <w:highlight w:val="none"/>
        </w:rPr>
        <w:t>我单位决策机制根据行政事业单位内部控制体系建设相关要求，逐步完善《昌吉市图书馆财务报销管理制度》、《三重一大会议制度》。进一步加强对单位整体绩效的认识和重视，加强内部各科室之间的协作配合，尤其是负责项目实施的科室应当对项目实施制定详细的推进计划，确保项目按计划实施，提高资金使用效益。加强财务管理，严格财务审核，细化资金使用计划，并对整体支出进行跟踪监控。加强项目开展进度的跟踪，开展项目绩效评价，确保项目绩效目标的完成。完善各项制度的建设，根据各项制度进行单位事项决策。</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（三）单位资金分配情况</w:t>
      </w:r>
    </w:p>
    <w:p>
      <w:pPr>
        <w:widowControl/>
        <w:ind w:firstLine="643"/>
        <w:jc w:val="left"/>
        <w:rPr>
          <w:rFonts w:ascii="仿宋_GB2312" w:eastAsia="仿宋_GB2312" w:cs="仿宋"/>
          <w:sz w:val="32"/>
          <w:szCs w:val="32"/>
          <w:highlight w:val="none"/>
        </w:rPr>
      </w:pPr>
      <w:r>
        <w:rPr>
          <w:rFonts w:hint="eastAsia" w:ascii="仿宋_GB2312" w:eastAsia="仿宋_GB2312" w:cs="仿宋"/>
          <w:b/>
          <w:sz w:val="32"/>
          <w:szCs w:val="32"/>
          <w:highlight w:val="none"/>
        </w:rPr>
        <w:t>1.分配依据及结果。</w:t>
      </w:r>
      <w:r>
        <w:rPr>
          <w:rFonts w:hint="eastAsia" w:ascii="仿宋_GB2312" w:eastAsia="仿宋_GB2312" w:cs="仿宋"/>
          <w:sz w:val="32"/>
          <w:szCs w:val="32"/>
          <w:highlight w:val="none"/>
        </w:rPr>
        <w:t>基本支出根据单位人员编制、实有人数、资产情况等要素进行预算编制。预算批复后，严格按照财政部门批复的预算和绩效目标执行。</w:t>
      </w:r>
    </w:p>
    <w:p>
      <w:pPr>
        <w:widowControl/>
        <w:ind w:firstLine="643"/>
        <w:jc w:val="left"/>
        <w:rPr>
          <w:rFonts w:ascii="仿宋_GB2312" w:eastAsia="仿宋_GB2312"/>
          <w:b/>
          <w:sz w:val="32"/>
          <w:szCs w:val="32"/>
          <w:highlight w:val="none"/>
        </w:rPr>
      </w:pPr>
      <w:r>
        <w:rPr>
          <w:rFonts w:hint="eastAsia" w:ascii="仿宋_GB2312" w:eastAsia="仿宋_GB2312" w:cs="仿宋"/>
          <w:b/>
          <w:sz w:val="32"/>
          <w:szCs w:val="32"/>
          <w:highlight w:val="none"/>
        </w:rPr>
        <w:t>2.</w:t>
      </w:r>
      <w:r>
        <w:rPr>
          <w:rFonts w:hint="eastAsia" w:ascii="仿宋_GB2312" w:eastAsia="仿宋_GB2312"/>
          <w:b/>
          <w:sz w:val="32"/>
          <w:szCs w:val="32"/>
          <w:highlight w:val="none"/>
        </w:rPr>
        <w:t>重点支出保障情况。</w:t>
      </w:r>
    </w:p>
    <w:p>
      <w:pPr>
        <w:widowControl/>
        <w:ind w:firstLine="640"/>
        <w:jc w:val="left"/>
        <w:rPr>
          <w:rFonts w:ascii="仿宋_GB2312" w:eastAsia="仿宋_GB2312" w:cs="仿宋"/>
          <w:sz w:val="32"/>
          <w:szCs w:val="32"/>
          <w:highlight w:val="none"/>
        </w:rPr>
      </w:pPr>
      <w:r>
        <w:rPr>
          <w:rFonts w:hint="eastAsia" w:ascii="仿宋_GB2312" w:eastAsia="仿宋_GB2312" w:cs="仿宋"/>
          <w:sz w:val="32"/>
          <w:szCs w:val="32"/>
          <w:highlight w:val="none"/>
        </w:rPr>
        <w:t>本年度本单位预算安排的重点项目2个，预算安排的重点项目支出金额为20万元，部门项目总支出金额为19.14万元，则重点项目支出占项目总支出的比率为100%。</w:t>
      </w:r>
    </w:p>
    <w:p>
      <w:pPr>
        <w:ind w:firstLine="482" w:firstLineChars="150"/>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（四）部门单位整体支出规模、使用方法和主要内容、涉及范围</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1.部门单位整体支出规模</w:t>
      </w:r>
    </w:p>
    <w:p>
      <w:pPr>
        <w:ind w:firstLine="640"/>
        <w:rPr>
          <w:highlight w:val="none"/>
        </w:rPr>
      </w:pPr>
      <w:r>
        <w:rPr>
          <w:rFonts w:hint="eastAsia" w:ascii="仿宋_GB2312" w:eastAsia="仿宋_GB2312"/>
          <w:sz w:val="32"/>
          <w:szCs w:val="32"/>
          <w:highlight w:val="none"/>
        </w:rPr>
        <w:t>2022年度，</w:t>
      </w:r>
      <w:r>
        <w:rPr>
          <w:rFonts w:hint="eastAsia" w:ascii="仿宋_GB2312" w:hAnsi="宋体" w:eastAsia="仿宋_GB2312" w:cs="宋体"/>
          <w:kern w:val="0"/>
          <w:sz w:val="32"/>
          <w:szCs w:val="32"/>
          <w:highlight w:val="none"/>
        </w:rPr>
        <w:t>昌吉市图书馆</w:t>
      </w:r>
      <w:r>
        <w:rPr>
          <w:rFonts w:hint="eastAsia" w:ascii="仿宋_GB2312" w:eastAsia="仿宋_GB2312"/>
          <w:bCs/>
          <w:sz w:val="32"/>
          <w:szCs w:val="32"/>
          <w:highlight w:val="none"/>
        </w:rPr>
        <w:t>部门单位整体支出年初预算金额为</w:t>
      </w:r>
      <w:r>
        <w:rPr>
          <w:rFonts w:hint="eastAsia" w:ascii="仿宋_GB2312" w:eastAsia="仿宋_GB2312"/>
          <w:sz w:val="32"/>
          <w:szCs w:val="32"/>
          <w:highlight w:val="none"/>
        </w:rPr>
        <w:t>149.88万元，支出金额为149.88万元，执行率为100.0%，其中：政府采购年初预算金额为17.32万元，支出金额为17.32万元，执行率为100%。年中调整预算金额为43.14万元，预算调整率为28.78%。综上，我单位部门单位整体预算总额为193.02万元，支出总额为193.02万元，预算总执行率为100.0%。</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2.部门单位整体支出自评使用方法、主要内容、涉及范围</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（1）自评使用方法</w:t>
      </w:r>
    </w:p>
    <w:p>
      <w:pPr>
        <w:ind w:firstLine="640"/>
        <w:rPr>
          <w:rFonts w:ascii="仿宋_GB2312" w:eastAsia="仿宋_GB2312"/>
          <w:sz w:val="32"/>
          <w:szCs w:val="32"/>
          <w:highlight w:val="none"/>
        </w:rPr>
      </w:pPr>
      <w:r>
        <w:rPr>
          <w:rFonts w:hint="eastAsia" w:ascii="仿宋_GB2312" w:eastAsia="仿宋_GB2312"/>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（2）评价的主要内容和涉及范围</w:t>
      </w:r>
    </w:p>
    <w:p>
      <w:pPr>
        <w:ind w:firstLine="640"/>
        <w:rPr>
          <w:rFonts w:ascii="仿宋_GB2312" w:eastAsia="仿宋_GB2312"/>
          <w:sz w:val="32"/>
          <w:szCs w:val="32"/>
          <w:highlight w:val="none"/>
        </w:rPr>
      </w:pPr>
      <w:r>
        <w:rPr>
          <w:rFonts w:hint="eastAsia" w:ascii="仿宋_GB2312" w:eastAsia="仿宋_GB2312"/>
          <w:sz w:val="32"/>
          <w:szCs w:val="32"/>
          <w:highlight w:val="none"/>
        </w:rPr>
        <w:t>此次我单位根据</w:t>
      </w:r>
      <w:r>
        <w:rPr>
          <w:rFonts w:ascii="仿宋_GB2312" w:hAnsi="Arial" w:eastAsia="仿宋_GB2312" w:cs="宋体"/>
          <w:bCs/>
          <w:sz w:val="32"/>
          <w:szCs w:val="32"/>
          <w:highlight w:val="none"/>
        </w:rPr>
        <w:t>《预算法》、《财政支出绩效评价管理暂行办法》（财预〔2021〕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highlight w:val="none"/>
        </w:rPr>
        <w:t>等文件要求，对2022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ind w:firstLine="640"/>
        <w:outlineLvl w:val="0"/>
        <w:rPr>
          <w:rFonts w:ascii="黑体" w:hAnsi="黑体" w:eastAsia="黑体" w:cs="黑体"/>
          <w:sz w:val="32"/>
          <w:szCs w:val="32"/>
          <w:highlight w:val="none"/>
        </w:rPr>
      </w:pPr>
      <w:r>
        <w:rPr>
          <w:rFonts w:hint="eastAsia" w:ascii="黑体" w:hAnsi="黑体" w:eastAsia="黑体" w:cs="黑体"/>
          <w:sz w:val="32"/>
          <w:szCs w:val="32"/>
          <w:highlight w:val="none"/>
        </w:rPr>
        <w:t>二、部门单位整体支出管理及使用情况</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（一）预算管理情况</w:t>
      </w:r>
    </w:p>
    <w:p>
      <w:pPr>
        <w:ind w:firstLine="640"/>
        <w:rPr>
          <w:rFonts w:ascii="仿宋_GB2312" w:eastAsia="仿宋_GB2312"/>
          <w:sz w:val="32"/>
          <w:szCs w:val="32"/>
          <w:highlight w:val="none"/>
        </w:rPr>
      </w:pPr>
      <w:r>
        <w:rPr>
          <w:rFonts w:hint="eastAsia" w:ascii="仿宋_GB2312" w:eastAsia="仿宋_GB2312"/>
          <w:sz w:val="32"/>
          <w:szCs w:val="32"/>
          <w:highlight w:val="none"/>
        </w:rPr>
        <w:t>我单位为加强预算管理、规范财务行为、加强内部控制体系建设，制定了昌吉市图书馆内控管理制度和财务管理办法（制度），并严格按照此管理办法（制度）管理使用预算资金，严格按照政府信息公开有关规定及财政部门要求公开相关预决算信息。</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（二）基本支出预算安排及支出情况</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1.基本支出情况</w:t>
      </w:r>
    </w:p>
    <w:p>
      <w:pPr>
        <w:ind w:firstLine="640"/>
        <w:rPr>
          <w:rFonts w:ascii="仿宋_GB2312" w:hAnsi="宋体" w:eastAsia="仿宋_GB2312" w:cs="宋体"/>
          <w:color w:val="000000" w:themeColor="text1"/>
          <w:kern w:val="0"/>
          <w:sz w:val="32"/>
          <w:szCs w:val="32"/>
          <w:highlight w:val="none"/>
        </w:rPr>
      </w:pPr>
      <w:r>
        <w:rPr>
          <w:rFonts w:hint="eastAsia" w:ascii="仿宋_GB2312" w:eastAsia="仿宋_GB2312"/>
          <w:sz w:val="32"/>
          <w:szCs w:val="32"/>
          <w:highlight w:val="none"/>
        </w:rPr>
        <w:t>2022年</w:t>
      </w:r>
      <w:r>
        <w:rPr>
          <w:rFonts w:hint="eastAsia" w:ascii="仿宋_GB2312" w:eastAsia="仿宋_GB2312"/>
          <w:color w:val="000000" w:themeColor="text1"/>
          <w:sz w:val="32"/>
          <w:szCs w:val="32"/>
          <w:highlight w:val="none"/>
        </w:rPr>
        <w:t>，昌吉市图书馆基本支出年初预算金额为149.88万元，支出金额为149.88万元，执行率为100.0%，年中调整预算金额为23.14万元。综上，我单位基本支出预算总额为173.02万元，支出总额为173.02万元，预算总执行率为100.0%，</w:t>
      </w:r>
      <w:r>
        <w:rPr>
          <w:rFonts w:hint="eastAsia" w:ascii="仿宋_GB2312" w:hAnsi="宋体" w:eastAsia="仿宋_GB2312" w:cs="宋体"/>
          <w:color w:val="000000" w:themeColor="text1"/>
          <w:kern w:val="0"/>
          <w:sz w:val="32"/>
          <w:szCs w:val="32"/>
          <w:highlight w:val="none"/>
        </w:rPr>
        <w:t>人员经费167.23万元，公用经费5.79万元</w:t>
      </w:r>
      <w:r>
        <w:rPr>
          <w:rFonts w:hint="eastAsia" w:ascii="仿宋_GB2312" w:eastAsia="仿宋_GB2312"/>
          <w:color w:val="000000" w:themeColor="text1"/>
          <w:sz w:val="32"/>
          <w:szCs w:val="32"/>
          <w:highlight w:val="none"/>
        </w:rPr>
        <w:t>。</w:t>
      </w:r>
    </w:p>
    <w:p>
      <w:pPr>
        <w:ind w:firstLine="643"/>
        <w:rPr>
          <w:rFonts w:ascii="仿宋_GB2312" w:eastAsia="仿宋_GB2312"/>
          <w:b/>
          <w:bCs/>
          <w:color w:val="000000" w:themeColor="text1"/>
          <w:sz w:val="32"/>
          <w:szCs w:val="32"/>
          <w:highlight w:val="none"/>
        </w:rPr>
      </w:pPr>
      <w:r>
        <w:rPr>
          <w:rFonts w:hint="eastAsia" w:ascii="仿宋_GB2312" w:eastAsia="仿宋_GB2312"/>
          <w:b/>
          <w:bCs/>
          <w:color w:val="000000" w:themeColor="text1"/>
          <w:sz w:val="32"/>
          <w:szCs w:val="32"/>
          <w:highlight w:val="none"/>
        </w:rPr>
        <w:t>2.“三公”经费情况</w:t>
      </w:r>
    </w:p>
    <w:p>
      <w:pPr>
        <w:ind w:firstLine="640"/>
        <w:jc w:val="left"/>
        <w:rPr>
          <w:rFonts w:ascii="仿宋_GB2312" w:eastAsia="仿宋_GB2312" w:cs="宋体"/>
          <w:sz w:val="32"/>
          <w:szCs w:val="32"/>
          <w:highlight w:val="none"/>
        </w:rPr>
      </w:pPr>
      <w:r>
        <w:rPr>
          <w:rFonts w:hint="eastAsia" w:ascii="仿宋_GB2312" w:eastAsia="仿宋_GB2312" w:cs="宋体"/>
          <w:sz w:val="32"/>
          <w:szCs w:val="32"/>
          <w:highlight w:val="none"/>
        </w:rPr>
        <w:t>我单位认真贯彻落实中央关于厉行节约的有关规定，严格执行《党政机关厉行节约反对浪费条例》，2022年“三公”经费预算数为2.4万元，其中：因公出国（境）费0.00万元，公务用车购置及运行费2.4万元（其中公务用车购置为0.00万元），公务接待费0.00万元。</w:t>
      </w:r>
    </w:p>
    <w:p>
      <w:pPr>
        <w:ind w:firstLine="681" w:firstLineChars="213"/>
        <w:jc w:val="left"/>
        <w:rPr>
          <w:rFonts w:ascii="仿宋_GB2312" w:eastAsia="仿宋_GB2312" w:cs="宋体"/>
          <w:sz w:val="32"/>
          <w:szCs w:val="32"/>
          <w:highlight w:val="none"/>
        </w:rPr>
      </w:pPr>
      <w:r>
        <w:rPr>
          <w:rFonts w:hint="eastAsia" w:ascii="仿宋_GB2312" w:eastAsia="仿宋_GB2312" w:cs="宋体"/>
          <w:sz w:val="32"/>
          <w:szCs w:val="32"/>
          <w:highlight w:val="none"/>
        </w:rPr>
        <w:t>2022年，全年“三公”经费决算支出2.4万元，其中：因公出国（境）费用0.00万元、公务用车购置及运行费2.4万元（其中公务用车购置为0.00万元）、公务接待费0.00万元。较上年“三公”经费决算支出0.00万元，增加0.00万元，0.0%。</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（三）项目支出预算安排及支出情况</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1.项目支出情况</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我单位项目支出预算总额为20万元，支出总额19.14万元，预算总执行率为95.7%。</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 xml:space="preserve">2022年，昌吉市图书馆共有2个中央、自治区、地区、县本级财力安排项目，已完成项目数量2个，未完成项目数据0个。2022年度中央、自治区、地区、县本级财力安排项目预算及执行情况见下表： </w:t>
      </w:r>
    </w:p>
    <w:tbl>
      <w:tblPr>
        <w:tblStyle w:val="12"/>
        <w:tblW w:w="852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20" w:type="dxa"/>
            <w:vAlign w:val="center"/>
          </w:tcPr>
          <w:p>
            <w:pPr>
              <w:pStyle w:val="2"/>
              <w:ind w:firstLine="0" w:firstLineChars="0"/>
              <w:rPr>
                <w:highlight w:val="none"/>
              </w:rPr>
            </w:pPr>
            <w:r>
              <w:rPr>
                <w:rFonts w:hint="eastAsia"/>
                <w:highlight w:val="none"/>
              </w:rPr>
              <w:t>项目名称</w:t>
            </w:r>
          </w:p>
        </w:tc>
        <w:tc>
          <w:tcPr>
            <w:tcW w:w="1420" w:type="dxa"/>
            <w:vAlign w:val="center"/>
          </w:tcPr>
          <w:p>
            <w:pPr>
              <w:pStyle w:val="2"/>
              <w:ind w:firstLine="0" w:firstLineChars="0"/>
              <w:rPr>
                <w:highlight w:val="none"/>
              </w:rPr>
            </w:pPr>
            <w:r>
              <w:rPr>
                <w:rFonts w:hint="eastAsia"/>
                <w:highlight w:val="none"/>
              </w:rPr>
              <w:t>预算金额</w:t>
            </w:r>
          </w:p>
        </w:tc>
        <w:tc>
          <w:tcPr>
            <w:tcW w:w="1420" w:type="dxa"/>
            <w:vAlign w:val="center"/>
          </w:tcPr>
          <w:p>
            <w:pPr>
              <w:pStyle w:val="2"/>
              <w:ind w:firstLine="0" w:firstLineChars="0"/>
              <w:rPr>
                <w:highlight w:val="none"/>
              </w:rPr>
            </w:pPr>
            <w:r>
              <w:rPr>
                <w:rFonts w:hint="eastAsia"/>
                <w:highlight w:val="none"/>
              </w:rPr>
              <w:t>执行金额</w:t>
            </w:r>
          </w:p>
        </w:tc>
        <w:tc>
          <w:tcPr>
            <w:tcW w:w="1420" w:type="dxa"/>
            <w:vAlign w:val="center"/>
          </w:tcPr>
          <w:p>
            <w:pPr>
              <w:pStyle w:val="2"/>
              <w:ind w:firstLine="0" w:firstLineChars="0"/>
              <w:rPr>
                <w:highlight w:val="none"/>
              </w:rPr>
            </w:pPr>
            <w:r>
              <w:rPr>
                <w:rFonts w:hint="eastAsia"/>
                <w:highlight w:val="none"/>
              </w:rPr>
              <w:t>执行率</w:t>
            </w:r>
          </w:p>
        </w:tc>
        <w:tc>
          <w:tcPr>
            <w:tcW w:w="1421" w:type="dxa"/>
            <w:vAlign w:val="center"/>
          </w:tcPr>
          <w:p>
            <w:pPr>
              <w:pStyle w:val="2"/>
              <w:ind w:firstLine="0" w:firstLineChars="0"/>
              <w:rPr>
                <w:highlight w:val="none"/>
              </w:rPr>
            </w:pPr>
            <w:r>
              <w:rPr>
                <w:rFonts w:hint="eastAsia"/>
                <w:highlight w:val="none"/>
              </w:rPr>
              <w:t>项目是否完成</w:t>
            </w:r>
          </w:p>
        </w:tc>
        <w:tc>
          <w:tcPr>
            <w:tcW w:w="1421" w:type="dxa"/>
            <w:vAlign w:val="center"/>
          </w:tcPr>
          <w:p>
            <w:pPr>
              <w:pStyle w:val="2"/>
              <w:ind w:firstLine="0" w:firstLineChars="0"/>
              <w:rPr>
                <w:highlight w:val="none"/>
              </w:rPr>
            </w:pPr>
            <w:r>
              <w:rPr>
                <w:rFonts w:hint="eastAsia"/>
                <w:highlight w:val="none"/>
              </w:rPr>
              <w:t>是否上级专项资金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20" w:type="dxa"/>
            <w:vAlign w:val="center"/>
          </w:tcPr>
          <w:p>
            <w:pPr>
              <w:pStyle w:val="2"/>
              <w:spacing w:line="380" w:lineRule="exact"/>
              <w:ind w:firstLine="0" w:firstLineChars="0"/>
              <w:rPr>
                <w:sz w:val="21"/>
                <w:szCs w:val="21"/>
                <w:highlight w:val="none"/>
              </w:rPr>
            </w:pPr>
            <w:r>
              <w:rPr>
                <w:sz w:val="21"/>
                <w:szCs w:val="21"/>
                <w:highlight w:val="none"/>
              </w:rPr>
              <w:t>202</w:t>
            </w:r>
            <w:r>
              <w:rPr>
                <w:rFonts w:hint="eastAsia"/>
                <w:sz w:val="21"/>
                <w:szCs w:val="21"/>
                <w:highlight w:val="none"/>
              </w:rPr>
              <w:t>2</w:t>
            </w:r>
            <w:r>
              <w:rPr>
                <w:sz w:val="21"/>
                <w:szCs w:val="21"/>
                <w:highlight w:val="none"/>
              </w:rPr>
              <w:t>年中央补助地方美术馆、公共</w:t>
            </w:r>
            <w:r>
              <w:rPr>
                <w:rFonts w:hint="eastAsia"/>
                <w:sz w:val="21"/>
                <w:szCs w:val="21"/>
                <w:highlight w:val="none"/>
                <w:lang w:val="en-US" w:eastAsia="zh-CN"/>
              </w:rPr>
              <w:t>图书</w:t>
            </w:r>
            <w:r>
              <w:rPr>
                <w:sz w:val="21"/>
                <w:szCs w:val="21"/>
                <w:highlight w:val="none"/>
              </w:rPr>
              <w:t>馆、文化馆（站）免费开放补助资金</w:t>
            </w:r>
          </w:p>
        </w:tc>
        <w:tc>
          <w:tcPr>
            <w:tcW w:w="1420" w:type="dxa"/>
            <w:vAlign w:val="center"/>
          </w:tcPr>
          <w:p>
            <w:pPr>
              <w:pStyle w:val="2"/>
              <w:ind w:firstLine="0" w:firstLineChars="0"/>
              <w:rPr>
                <w:highlight w:val="none"/>
              </w:rPr>
            </w:pPr>
            <w:r>
              <w:rPr>
                <w:rFonts w:hint="eastAsia"/>
                <w:highlight w:val="none"/>
              </w:rPr>
              <w:t>16</w:t>
            </w:r>
          </w:p>
        </w:tc>
        <w:tc>
          <w:tcPr>
            <w:tcW w:w="1420" w:type="dxa"/>
            <w:vAlign w:val="center"/>
          </w:tcPr>
          <w:p>
            <w:pPr>
              <w:pStyle w:val="2"/>
              <w:ind w:firstLine="0" w:firstLineChars="0"/>
              <w:rPr>
                <w:highlight w:val="none"/>
              </w:rPr>
            </w:pPr>
            <w:r>
              <w:rPr>
                <w:rFonts w:hint="eastAsia"/>
                <w:highlight w:val="none"/>
              </w:rPr>
              <w:t>16</w:t>
            </w:r>
          </w:p>
        </w:tc>
        <w:tc>
          <w:tcPr>
            <w:tcW w:w="1420" w:type="dxa"/>
            <w:vAlign w:val="center"/>
          </w:tcPr>
          <w:p>
            <w:pPr>
              <w:pStyle w:val="2"/>
              <w:ind w:firstLine="0" w:firstLineChars="0"/>
              <w:rPr>
                <w:highlight w:val="none"/>
              </w:rPr>
            </w:pPr>
            <w:r>
              <w:rPr>
                <w:rFonts w:hint="eastAsia"/>
                <w:highlight w:val="none"/>
              </w:rPr>
              <w:t>100%</w:t>
            </w:r>
          </w:p>
        </w:tc>
        <w:tc>
          <w:tcPr>
            <w:tcW w:w="1421" w:type="dxa"/>
            <w:vAlign w:val="center"/>
          </w:tcPr>
          <w:p>
            <w:pPr>
              <w:pStyle w:val="2"/>
              <w:ind w:firstLine="0" w:firstLineChars="0"/>
              <w:rPr>
                <w:highlight w:val="none"/>
              </w:rPr>
            </w:pPr>
            <w:r>
              <w:rPr>
                <w:rFonts w:hint="eastAsia"/>
                <w:highlight w:val="none"/>
              </w:rPr>
              <w:t>是</w:t>
            </w:r>
          </w:p>
        </w:tc>
        <w:tc>
          <w:tcPr>
            <w:tcW w:w="1421" w:type="dxa"/>
            <w:vAlign w:val="center"/>
          </w:tcPr>
          <w:p>
            <w:pPr>
              <w:pStyle w:val="2"/>
              <w:ind w:firstLine="0" w:firstLineChars="0"/>
              <w:rPr>
                <w:highlight w:val="none"/>
              </w:rPr>
            </w:pPr>
            <w:r>
              <w:rPr>
                <w:rFonts w:hint="eastAsia"/>
                <w:highlight w:val="none"/>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20" w:type="dxa"/>
            <w:vAlign w:val="center"/>
          </w:tcPr>
          <w:p>
            <w:pPr>
              <w:pStyle w:val="2"/>
              <w:spacing w:line="360" w:lineRule="exact"/>
              <w:ind w:firstLine="0" w:firstLineChars="0"/>
              <w:rPr>
                <w:highlight w:val="none"/>
              </w:rPr>
            </w:pPr>
            <w:r>
              <w:rPr>
                <w:rFonts w:hint="eastAsia"/>
                <w:sz w:val="21"/>
                <w:szCs w:val="21"/>
                <w:highlight w:val="none"/>
              </w:rPr>
              <w:t>自治区</w:t>
            </w:r>
            <w:r>
              <w:rPr>
                <w:sz w:val="21"/>
                <w:szCs w:val="21"/>
                <w:highlight w:val="none"/>
              </w:rPr>
              <w:t>2023年美术馆、公共图书馆、文化馆（站）免费开放补助资金</w:t>
            </w:r>
          </w:p>
        </w:tc>
        <w:tc>
          <w:tcPr>
            <w:tcW w:w="1420" w:type="dxa"/>
            <w:vAlign w:val="center"/>
          </w:tcPr>
          <w:p>
            <w:pPr>
              <w:pStyle w:val="2"/>
              <w:ind w:firstLine="0" w:firstLineChars="0"/>
              <w:rPr>
                <w:highlight w:val="none"/>
              </w:rPr>
            </w:pPr>
            <w:r>
              <w:rPr>
                <w:rFonts w:hint="eastAsia"/>
                <w:highlight w:val="none"/>
              </w:rPr>
              <w:t>4</w:t>
            </w:r>
          </w:p>
        </w:tc>
        <w:tc>
          <w:tcPr>
            <w:tcW w:w="1420" w:type="dxa"/>
            <w:vAlign w:val="center"/>
          </w:tcPr>
          <w:p>
            <w:pPr>
              <w:pStyle w:val="2"/>
              <w:ind w:firstLine="0" w:firstLineChars="0"/>
              <w:rPr>
                <w:highlight w:val="none"/>
              </w:rPr>
            </w:pPr>
            <w:r>
              <w:rPr>
                <w:rFonts w:hint="eastAsia"/>
                <w:highlight w:val="none"/>
              </w:rPr>
              <w:t>3.14</w:t>
            </w:r>
          </w:p>
        </w:tc>
        <w:tc>
          <w:tcPr>
            <w:tcW w:w="1420" w:type="dxa"/>
            <w:vAlign w:val="center"/>
          </w:tcPr>
          <w:p>
            <w:pPr>
              <w:pStyle w:val="2"/>
              <w:ind w:firstLine="0" w:firstLineChars="0"/>
              <w:rPr>
                <w:highlight w:val="none"/>
              </w:rPr>
            </w:pPr>
            <w:r>
              <w:rPr>
                <w:rFonts w:hint="eastAsia"/>
                <w:highlight w:val="none"/>
              </w:rPr>
              <w:t>78.5%</w:t>
            </w:r>
          </w:p>
        </w:tc>
        <w:tc>
          <w:tcPr>
            <w:tcW w:w="1421" w:type="dxa"/>
            <w:vAlign w:val="center"/>
          </w:tcPr>
          <w:p>
            <w:pPr>
              <w:pStyle w:val="2"/>
              <w:ind w:firstLine="0" w:firstLineChars="0"/>
              <w:rPr>
                <w:highlight w:val="none"/>
              </w:rPr>
            </w:pPr>
            <w:r>
              <w:rPr>
                <w:rFonts w:hint="eastAsia"/>
                <w:highlight w:val="none"/>
              </w:rPr>
              <w:t>是</w:t>
            </w:r>
          </w:p>
        </w:tc>
        <w:tc>
          <w:tcPr>
            <w:tcW w:w="1421" w:type="dxa"/>
            <w:vAlign w:val="center"/>
          </w:tcPr>
          <w:p>
            <w:pPr>
              <w:pStyle w:val="2"/>
              <w:ind w:firstLine="0" w:firstLineChars="0"/>
              <w:rPr>
                <w:highlight w:val="none"/>
              </w:rPr>
            </w:pPr>
            <w:r>
              <w:rPr>
                <w:rFonts w:hint="eastAsia"/>
                <w:highlight w:val="none"/>
              </w:rPr>
              <w:t>是</w:t>
            </w:r>
          </w:p>
        </w:tc>
      </w:tr>
    </w:tbl>
    <w:p>
      <w:pPr>
        <w:ind w:firstLine="643"/>
        <w:rPr>
          <w:rFonts w:ascii="仿宋_GB2312" w:eastAsia="仿宋_GB2312"/>
          <w:b/>
          <w:bCs/>
          <w:sz w:val="32"/>
          <w:szCs w:val="32"/>
          <w:highlight w:val="none"/>
        </w:rPr>
      </w:pPr>
      <w:r>
        <w:rPr>
          <w:rFonts w:hint="eastAsia" w:ascii="仿宋_GB2312" w:eastAsia="仿宋_GB2312"/>
          <w:b/>
          <w:bCs/>
          <w:sz w:val="32"/>
          <w:szCs w:val="32"/>
          <w:highlight w:val="none"/>
        </w:rPr>
        <w:t>2.专项资金总投入及实际使用情况分析</w:t>
      </w:r>
    </w:p>
    <w:p>
      <w:pPr>
        <w:pStyle w:val="10"/>
        <w:widowControl/>
        <w:spacing w:before="40" w:beforeAutospacing="0" w:after="0" w:afterAutospacing="0"/>
        <w:ind w:firstLine="640"/>
        <w:jc w:val="both"/>
        <w:rPr>
          <w:rFonts w:ascii="仿宋_GB2312" w:eastAsia="仿宋_GB2312" w:cs="仿宋"/>
          <w:sz w:val="32"/>
          <w:szCs w:val="32"/>
          <w:highlight w:val="none"/>
        </w:rPr>
      </w:pPr>
      <w:r>
        <w:rPr>
          <w:rFonts w:hint="eastAsia" w:ascii="仿宋_GB2312" w:eastAsia="仿宋_GB2312" w:cs="仿宋"/>
          <w:sz w:val="32"/>
          <w:szCs w:val="32"/>
          <w:highlight w:val="none"/>
        </w:rPr>
        <w:t>2022年，预算安排专项资金20万元，实际使用19.14万元,结转0.86万元。</w:t>
      </w:r>
    </w:p>
    <w:p>
      <w:pPr>
        <w:ind w:firstLine="640"/>
        <w:outlineLvl w:val="0"/>
        <w:rPr>
          <w:rFonts w:ascii="黑体" w:hAnsi="黑体" w:eastAsia="黑体" w:cs="黑体"/>
          <w:sz w:val="32"/>
          <w:szCs w:val="32"/>
          <w:highlight w:val="none"/>
        </w:rPr>
      </w:pPr>
      <w:r>
        <w:rPr>
          <w:rFonts w:hint="eastAsia" w:ascii="黑体" w:hAnsi="黑体" w:eastAsia="黑体" w:cs="黑体"/>
          <w:sz w:val="32"/>
          <w:szCs w:val="32"/>
          <w:highlight w:val="none"/>
        </w:rPr>
        <w:t>三、部门单位专项组织实施情况</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（一）专项组织情况分析</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1.前期准备</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2.组织实施</w:t>
      </w:r>
    </w:p>
    <w:p>
      <w:pPr>
        <w:ind w:firstLine="640"/>
        <w:rPr>
          <w:rFonts w:ascii="仿宋_GB2312" w:eastAsia="仿宋_GB2312"/>
          <w:sz w:val="32"/>
          <w:szCs w:val="32"/>
          <w:highlight w:val="none"/>
        </w:rPr>
      </w:pPr>
      <w:r>
        <w:rPr>
          <w:rFonts w:hint="eastAsia" w:ascii="仿宋_GB2312" w:eastAsia="仿宋_GB2312"/>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highlight w:val="none"/>
          <w:lang w:val="zh-TW" w:eastAsia="zh-TW"/>
        </w:rPr>
      </w:pPr>
      <w:r>
        <w:rPr>
          <w:rFonts w:hint="eastAsia" w:ascii="仿宋_GB2312" w:eastAsia="仿宋_GB2312"/>
          <w:sz w:val="32"/>
          <w:szCs w:val="32"/>
          <w:highlight w:val="none"/>
          <w:lang w:val="zh-TW" w:eastAsia="zh-TW"/>
        </w:rPr>
        <w:t>对</w:t>
      </w:r>
      <w:r>
        <w:rPr>
          <w:rFonts w:hint="eastAsia" w:ascii="仿宋_GB2312" w:eastAsia="仿宋_GB2312"/>
          <w:sz w:val="32"/>
          <w:szCs w:val="32"/>
          <w:highlight w:val="none"/>
        </w:rPr>
        <w:t>专项</w:t>
      </w:r>
      <w:r>
        <w:rPr>
          <w:rFonts w:hint="eastAsia" w:ascii="仿宋_GB2312" w:eastAsia="仿宋_GB2312"/>
          <w:sz w:val="32"/>
          <w:szCs w:val="32"/>
          <w:highlight w:val="none"/>
          <w:lang w:val="zh-TW"/>
        </w:rPr>
        <w:t>项目预算执行情况进行分析，</w:t>
      </w:r>
      <w:r>
        <w:rPr>
          <w:rFonts w:hint="eastAsia" w:ascii="仿宋_GB2312" w:eastAsia="仿宋_GB2312"/>
          <w:sz w:val="32"/>
          <w:szCs w:val="32"/>
          <w:highlight w:val="none"/>
        </w:rPr>
        <w:t>分析</w:t>
      </w:r>
      <w:r>
        <w:rPr>
          <w:rFonts w:hint="eastAsia" w:ascii="仿宋_GB2312" w:eastAsia="仿宋_GB2312"/>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sz w:val="32"/>
          <w:szCs w:val="32"/>
          <w:highlight w:val="none"/>
          <w:lang w:val="zh-TW" w:eastAsia="zh-TW"/>
        </w:rPr>
        <w:t>。</w:t>
      </w:r>
    </w:p>
    <w:p>
      <w:pPr>
        <w:ind w:firstLine="640"/>
        <w:rPr>
          <w:rFonts w:ascii="仿宋_GB2312" w:eastAsia="仿宋_GB2312"/>
          <w:sz w:val="32"/>
          <w:szCs w:val="32"/>
          <w:highlight w:val="none"/>
        </w:rPr>
      </w:pPr>
      <w:r>
        <w:rPr>
          <w:rFonts w:hint="eastAsia" w:ascii="仿宋_GB2312" w:eastAsia="仿宋_GB2312"/>
          <w:sz w:val="32"/>
          <w:szCs w:val="32"/>
          <w:highlight w:val="none"/>
          <w:lang w:val="zh-TW"/>
        </w:rPr>
        <w:t>对财政资金使用合规性进行评价，</w:t>
      </w:r>
      <w:r>
        <w:rPr>
          <w:rFonts w:hint="eastAsia" w:ascii="仿宋_GB2312" w:eastAsia="仿宋_GB2312"/>
          <w:sz w:val="32"/>
          <w:szCs w:val="32"/>
          <w:highlight w:val="none"/>
        </w:rPr>
        <w:t>主要评价：①</w:t>
      </w:r>
      <w:r>
        <w:rPr>
          <w:rFonts w:hint="eastAsia" w:ascii="仿宋_GB2312" w:eastAsia="仿宋_GB2312"/>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highlight w:val="none"/>
        </w:rPr>
        <w:t>通过评价</w:t>
      </w:r>
      <w:r>
        <w:rPr>
          <w:rFonts w:hint="eastAsia" w:ascii="仿宋_GB2312" w:eastAsia="仿宋_GB2312"/>
          <w:sz w:val="32"/>
          <w:szCs w:val="32"/>
          <w:highlight w:val="none"/>
          <w:lang w:val="zh-TW"/>
        </w:rPr>
        <w:t>发现财政资金使用中存在的合规性问题，总结财务内控中存在的不足之处。</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（二）专项管理情况分析</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我单位项目支出预算总额为20万元，支出总额19.14万元，预算总执行率为95.7%。</w:t>
      </w:r>
    </w:p>
    <w:p>
      <w:pPr>
        <w:ind w:firstLine="640"/>
        <w:rPr>
          <w:rFonts w:hint="eastAsia" w:ascii="仿宋_GB2312" w:eastAsia="仿宋_GB2312"/>
          <w:sz w:val="32"/>
          <w:szCs w:val="32"/>
          <w:highlight w:val="none"/>
        </w:rPr>
      </w:pPr>
      <w:r>
        <w:rPr>
          <w:rFonts w:hint="eastAsia" w:ascii="仿宋_GB2312" w:eastAsia="仿宋_GB2312"/>
          <w:sz w:val="32"/>
          <w:szCs w:val="32"/>
          <w:highlight w:val="none"/>
        </w:rPr>
        <w:t xml:space="preserve">2022年，昌吉市图书馆共有2个中央、自治区、地区、县本级财力安排项目，已完成项目数量2个，未完成项目数据0个。2022年度中央、自治区、地区、县本级财力安排项目预算及执行情况见下表： </w:t>
      </w:r>
    </w:p>
    <w:tbl>
      <w:tblPr>
        <w:tblStyle w:val="12"/>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420"/>
        <w:gridCol w:w="1420"/>
        <w:gridCol w:w="1420"/>
        <w:gridCol w:w="1420"/>
        <w:gridCol w:w="1421"/>
        <w:gridCol w:w="14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vAlign w:val="center"/>
          </w:tcPr>
          <w:p>
            <w:pPr>
              <w:pStyle w:val="2"/>
              <w:ind w:firstLine="0" w:firstLineChars="0"/>
              <w:rPr>
                <w:highlight w:val="none"/>
              </w:rPr>
            </w:pPr>
            <w:r>
              <w:rPr>
                <w:rFonts w:hint="eastAsia"/>
                <w:highlight w:val="none"/>
              </w:rPr>
              <w:t>项目名称</w:t>
            </w:r>
          </w:p>
        </w:tc>
        <w:tc>
          <w:tcPr>
            <w:tcW w:w="1420" w:type="dxa"/>
            <w:vAlign w:val="center"/>
          </w:tcPr>
          <w:p>
            <w:pPr>
              <w:pStyle w:val="2"/>
              <w:ind w:firstLine="0" w:firstLineChars="0"/>
              <w:rPr>
                <w:highlight w:val="none"/>
              </w:rPr>
            </w:pPr>
            <w:r>
              <w:rPr>
                <w:rFonts w:hint="eastAsia"/>
                <w:highlight w:val="none"/>
              </w:rPr>
              <w:t>预算金额</w:t>
            </w:r>
          </w:p>
        </w:tc>
        <w:tc>
          <w:tcPr>
            <w:tcW w:w="1420" w:type="dxa"/>
            <w:vAlign w:val="center"/>
          </w:tcPr>
          <w:p>
            <w:pPr>
              <w:pStyle w:val="2"/>
              <w:ind w:firstLine="0" w:firstLineChars="0"/>
              <w:rPr>
                <w:highlight w:val="none"/>
              </w:rPr>
            </w:pPr>
            <w:r>
              <w:rPr>
                <w:rFonts w:hint="eastAsia"/>
                <w:highlight w:val="none"/>
              </w:rPr>
              <w:t>执行金额</w:t>
            </w:r>
          </w:p>
        </w:tc>
        <w:tc>
          <w:tcPr>
            <w:tcW w:w="1420" w:type="dxa"/>
            <w:vAlign w:val="center"/>
          </w:tcPr>
          <w:p>
            <w:pPr>
              <w:pStyle w:val="2"/>
              <w:ind w:firstLine="0" w:firstLineChars="0"/>
              <w:rPr>
                <w:highlight w:val="none"/>
              </w:rPr>
            </w:pPr>
            <w:r>
              <w:rPr>
                <w:rFonts w:hint="eastAsia"/>
                <w:highlight w:val="none"/>
              </w:rPr>
              <w:t>执行率</w:t>
            </w:r>
          </w:p>
        </w:tc>
        <w:tc>
          <w:tcPr>
            <w:tcW w:w="1421" w:type="dxa"/>
            <w:vAlign w:val="center"/>
          </w:tcPr>
          <w:p>
            <w:pPr>
              <w:pStyle w:val="2"/>
              <w:ind w:firstLine="0" w:firstLineChars="0"/>
              <w:rPr>
                <w:highlight w:val="none"/>
              </w:rPr>
            </w:pPr>
            <w:r>
              <w:rPr>
                <w:rFonts w:hint="eastAsia"/>
                <w:highlight w:val="none"/>
              </w:rPr>
              <w:t>项目是否完成</w:t>
            </w:r>
          </w:p>
        </w:tc>
        <w:tc>
          <w:tcPr>
            <w:tcW w:w="1421" w:type="dxa"/>
            <w:vAlign w:val="center"/>
          </w:tcPr>
          <w:p>
            <w:pPr>
              <w:pStyle w:val="2"/>
              <w:ind w:firstLine="0" w:firstLineChars="0"/>
              <w:rPr>
                <w:highlight w:val="none"/>
              </w:rPr>
            </w:pPr>
            <w:r>
              <w:rPr>
                <w:rFonts w:hint="eastAsia"/>
                <w:highlight w:val="none"/>
              </w:rPr>
              <w:t>是否上级专项资金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vAlign w:val="center"/>
          </w:tcPr>
          <w:p>
            <w:pPr>
              <w:pStyle w:val="2"/>
              <w:spacing w:line="380" w:lineRule="exact"/>
              <w:ind w:firstLine="0" w:firstLineChars="0"/>
              <w:rPr>
                <w:sz w:val="21"/>
                <w:szCs w:val="21"/>
                <w:highlight w:val="none"/>
              </w:rPr>
            </w:pPr>
            <w:r>
              <w:rPr>
                <w:sz w:val="21"/>
                <w:szCs w:val="21"/>
                <w:highlight w:val="none"/>
              </w:rPr>
              <w:t>202</w:t>
            </w:r>
            <w:r>
              <w:rPr>
                <w:rFonts w:hint="eastAsia"/>
                <w:sz w:val="21"/>
                <w:szCs w:val="21"/>
                <w:highlight w:val="none"/>
              </w:rPr>
              <w:t>2</w:t>
            </w:r>
            <w:r>
              <w:rPr>
                <w:sz w:val="21"/>
                <w:szCs w:val="21"/>
                <w:highlight w:val="none"/>
              </w:rPr>
              <w:t>年中央补助地方美术馆、公共</w:t>
            </w:r>
            <w:r>
              <w:rPr>
                <w:rFonts w:hint="eastAsia"/>
                <w:sz w:val="21"/>
                <w:szCs w:val="21"/>
                <w:highlight w:val="none"/>
                <w:lang w:val="en-US" w:eastAsia="zh-CN"/>
              </w:rPr>
              <w:t>图书</w:t>
            </w:r>
            <w:r>
              <w:rPr>
                <w:sz w:val="21"/>
                <w:szCs w:val="21"/>
                <w:highlight w:val="none"/>
              </w:rPr>
              <w:t>馆、文化馆（站）免费开放补助资金</w:t>
            </w:r>
          </w:p>
        </w:tc>
        <w:tc>
          <w:tcPr>
            <w:tcW w:w="1420" w:type="dxa"/>
            <w:vAlign w:val="center"/>
          </w:tcPr>
          <w:p>
            <w:pPr>
              <w:pStyle w:val="2"/>
              <w:ind w:firstLine="0" w:firstLineChars="0"/>
              <w:jc w:val="center"/>
              <w:rPr>
                <w:sz w:val="21"/>
                <w:szCs w:val="21"/>
                <w:highlight w:val="none"/>
              </w:rPr>
            </w:pPr>
            <w:r>
              <w:rPr>
                <w:rFonts w:hint="eastAsia"/>
                <w:sz w:val="21"/>
                <w:szCs w:val="21"/>
                <w:highlight w:val="none"/>
              </w:rPr>
              <w:t>16</w:t>
            </w:r>
          </w:p>
        </w:tc>
        <w:tc>
          <w:tcPr>
            <w:tcW w:w="1420" w:type="dxa"/>
            <w:vAlign w:val="center"/>
          </w:tcPr>
          <w:p>
            <w:pPr>
              <w:pStyle w:val="2"/>
              <w:ind w:firstLine="0" w:firstLineChars="0"/>
              <w:jc w:val="center"/>
              <w:rPr>
                <w:sz w:val="21"/>
                <w:szCs w:val="21"/>
                <w:highlight w:val="none"/>
              </w:rPr>
            </w:pPr>
            <w:r>
              <w:rPr>
                <w:rFonts w:hint="eastAsia"/>
                <w:sz w:val="21"/>
                <w:szCs w:val="21"/>
                <w:highlight w:val="none"/>
              </w:rPr>
              <w:t>16</w:t>
            </w:r>
          </w:p>
        </w:tc>
        <w:tc>
          <w:tcPr>
            <w:tcW w:w="1420" w:type="dxa"/>
            <w:vAlign w:val="center"/>
          </w:tcPr>
          <w:p>
            <w:pPr>
              <w:pStyle w:val="2"/>
              <w:ind w:firstLine="0" w:firstLineChars="0"/>
              <w:jc w:val="center"/>
              <w:rPr>
                <w:sz w:val="21"/>
                <w:szCs w:val="21"/>
                <w:highlight w:val="none"/>
              </w:rPr>
            </w:pPr>
            <w:r>
              <w:rPr>
                <w:rFonts w:hint="eastAsia"/>
                <w:sz w:val="21"/>
                <w:szCs w:val="21"/>
                <w:highlight w:val="none"/>
              </w:rPr>
              <w:t>100%</w:t>
            </w:r>
          </w:p>
        </w:tc>
        <w:tc>
          <w:tcPr>
            <w:tcW w:w="1421" w:type="dxa"/>
            <w:vAlign w:val="center"/>
          </w:tcPr>
          <w:p>
            <w:pPr>
              <w:pStyle w:val="2"/>
              <w:ind w:firstLine="0" w:firstLineChars="0"/>
              <w:jc w:val="center"/>
              <w:rPr>
                <w:sz w:val="21"/>
                <w:szCs w:val="21"/>
                <w:highlight w:val="none"/>
              </w:rPr>
            </w:pPr>
            <w:r>
              <w:rPr>
                <w:rFonts w:hint="eastAsia"/>
                <w:sz w:val="21"/>
                <w:szCs w:val="21"/>
                <w:highlight w:val="none"/>
              </w:rPr>
              <w:t>是</w:t>
            </w:r>
          </w:p>
        </w:tc>
        <w:tc>
          <w:tcPr>
            <w:tcW w:w="1421" w:type="dxa"/>
            <w:vAlign w:val="center"/>
          </w:tcPr>
          <w:p>
            <w:pPr>
              <w:pStyle w:val="2"/>
              <w:ind w:firstLine="0" w:firstLineChars="0"/>
              <w:jc w:val="center"/>
              <w:rPr>
                <w:sz w:val="21"/>
                <w:szCs w:val="21"/>
                <w:highlight w:val="none"/>
              </w:rPr>
            </w:pPr>
            <w:r>
              <w:rPr>
                <w:rFonts w:hint="eastAsia"/>
                <w:sz w:val="21"/>
                <w:szCs w:val="21"/>
                <w:highlight w:val="none"/>
              </w:rPr>
              <w:t>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420" w:type="dxa"/>
            <w:vAlign w:val="center"/>
          </w:tcPr>
          <w:p>
            <w:pPr>
              <w:pStyle w:val="2"/>
              <w:spacing w:line="360" w:lineRule="exact"/>
              <w:ind w:firstLine="0" w:firstLineChars="0"/>
              <w:rPr>
                <w:highlight w:val="none"/>
              </w:rPr>
            </w:pPr>
            <w:r>
              <w:rPr>
                <w:rFonts w:hint="eastAsia"/>
                <w:sz w:val="21"/>
                <w:szCs w:val="21"/>
                <w:highlight w:val="none"/>
              </w:rPr>
              <w:t>自治区</w:t>
            </w:r>
            <w:r>
              <w:rPr>
                <w:sz w:val="21"/>
                <w:szCs w:val="21"/>
                <w:highlight w:val="none"/>
              </w:rPr>
              <w:t>2023年美术馆、公共图书馆、文化馆（站）免费开放补助资金</w:t>
            </w:r>
          </w:p>
        </w:tc>
        <w:tc>
          <w:tcPr>
            <w:tcW w:w="1420" w:type="dxa"/>
            <w:vAlign w:val="center"/>
          </w:tcPr>
          <w:p>
            <w:pPr>
              <w:pStyle w:val="2"/>
              <w:ind w:firstLine="0" w:firstLineChars="0"/>
              <w:jc w:val="center"/>
              <w:rPr>
                <w:sz w:val="21"/>
                <w:szCs w:val="21"/>
                <w:highlight w:val="none"/>
              </w:rPr>
            </w:pPr>
            <w:r>
              <w:rPr>
                <w:rFonts w:hint="eastAsia"/>
                <w:sz w:val="21"/>
                <w:szCs w:val="21"/>
                <w:highlight w:val="none"/>
              </w:rPr>
              <w:t>4</w:t>
            </w:r>
          </w:p>
        </w:tc>
        <w:tc>
          <w:tcPr>
            <w:tcW w:w="1420" w:type="dxa"/>
            <w:vAlign w:val="center"/>
          </w:tcPr>
          <w:p>
            <w:pPr>
              <w:pStyle w:val="2"/>
              <w:ind w:firstLine="0" w:firstLineChars="0"/>
              <w:jc w:val="center"/>
              <w:rPr>
                <w:sz w:val="21"/>
                <w:szCs w:val="21"/>
                <w:highlight w:val="none"/>
              </w:rPr>
            </w:pPr>
            <w:r>
              <w:rPr>
                <w:rFonts w:hint="eastAsia"/>
                <w:sz w:val="21"/>
                <w:szCs w:val="21"/>
                <w:highlight w:val="none"/>
              </w:rPr>
              <w:t>3.14</w:t>
            </w:r>
          </w:p>
        </w:tc>
        <w:tc>
          <w:tcPr>
            <w:tcW w:w="1420" w:type="dxa"/>
            <w:vAlign w:val="center"/>
          </w:tcPr>
          <w:p>
            <w:pPr>
              <w:pStyle w:val="2"/>
              <w:ind w:firstLine="0" w:firstLineChars="0"/>
              <w:jc w:val="center"/>
              <w:rPr>
                <w:sz w:val="21"/>
                <w:szCs w:val="21"/>
                <w:highlight w:val="none"/>
              </w:rPr>
            </w:pPr>
            <w:r>
              <w:rPr>
                <w:rFonts w:hint="eastAsia"/>
                <w:sz w:val="21"/>
                <w:szCs w:val="21"/>
                <w:highlight w:val="none"/>
              </w:rPr>
              <w:t>78.5%</w:t>
            </w:r>
          </w:p>
        </w:tc>
        <w:tc>
          <w:tcPr>
            <w:tcW w:w="1421" w:type="dxa"/>
            <w:vAlign w:val="center"/>
          </w:tcPr>
          <w:p>
            <w:pPr>
              <w:pStyle w:val="2"/>
              <w:ind w:firstLine="0" w:firstLineChars="0"/>
              <w:jc w:val="center"/>
              <w:rPr>
                <w:sz w:val="21"/>
                <w:szCs w:val="21"/>
                <w:highlight w:val="none"/>
              </w:rPr>
            </w:pPr>
            <w:r>
              <w:rPr>
                <w:rFonts w:hint="eastAsia"/>
                <w:sz w:val="21"/>
                <w:szCs w:val="21"/>
                <w:highlight w:val="none"/>
              </w:rPr>
              <w:t>是</w:t>
            </w:r>
          </w:p>
        </w:tc>
        <w:tc>
          <w:tcPr>
            <w:tcW w:w="1421" w:type="dxa"/>
            <w:vAlign w:val="center"/>
          </w:tcPr>
          <w:p>
            <w:pPr>
              <w:pStyle w:val="2"/>
              <w:ind w:firstLine="0" w:firstLineChars="0"/>
              <w:jc w:val="center"/>
              <w:rPr>
                <w:sz w:val="21"/>
                <w:szCs w:val="21"/>
                <w:highlight w:val="none"/>
              </w:rPr>
            </w:pPr>
            <w:r>
              <w:rPr>
                <w:rFonts w:hint="eastAsia"/>
                <w:sz w:val="21"/>
                <w:szCs w:val="21"/>
                <w:highlight w:val="none"/>
              </w:rPr>
              <w:t>是</w:t>
            </w:r>
          </w:p>
        </w:tc>
      </w:tr>
    </w:tbl>
    <w:p>
      <w:pPr>
        <w:pStyle w:val="2"/>
        <w:ind w:firstLine="562"/>
        <w:rPr>
          <w:highlight w:val="none"/>
        </w:rPr>
      </w:pPr>
    </w:p>
    <w:p>
      <w:pPr>
        <w:ind w:firstLine="640"/>
        <w:outlineLvl w:val="0"/>
        <w:rPr>
          <w:rFonts w:ascii="黑体" w:hAnsi="黑体" w:eastAsia="黑体" w:cs="黑体"/>
          <w:sz w:val="32"/>
          <w:szCs w:val="32"/>
          <w:highlight w:val="none"/>
        </w:rPr>
      </w:pPr>
      <w:r>
        <w:rPr>
          <w:rFonts w:hint="eastAsia" w:ascii="黑体" w:hAnsi="黑体" w:eastAsia="黑体" w:cs="黑体"/>
          <w:sz w:val="32"/>
          <w:szCs w:val="32"/>
          <w:highlight w:val="none"/>
        </w:rPr>
        <w:t>四、资产管理情况</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（一）资产情况及固定资产利用情况</w:t>
      </w:r>
    </w:p>
    <w:p>
      <w:pPr>
        <w:ind w:firstLine="640"/>
        <w:rPr>
          <w:rFonts w:ascii="仿宋_GB2312" w:eastAsia="仿宋_GB2312"/>
          <w:color w:val="FF0000"/>
          <w:sz w:val="32"/>
          <w:szCs w:val="32"/>
          <w:highlight w:val="none"/>
        </w:rPr>
      </w:pPr>
      <w:r>
        <w:rPr>
          <w:rFonts w:hint="eastAsia" w:ascii="仿宋_GB2312" w:eastAsia="仿宋_GB2312"/>
          <w:sz w:val="32"/>
          <w:szCs w:val="32"/>
          <w:highlight w:val="none"/>
        </w:rPr>
        <w:t>截止2022年12月31日，我单位资产账面总额为222.64万元，较年初资产总额减少0.9万元，减少5.3%，其中：</w:t>
      </w:r>
    </w:p>
    <w:p>
      <w:pPr>
        <w:ind w:firstLine="640"/>
        <w:rPr>
          <w:rFonts w:ascii="仿宋_GB2312" w:eastAsia="仿宋_GB2312"/>
          <w:sz w:val="32"/>
          <w:szCs w:val="32"/>
          <w:highlight w:val="none"/>
        </w:rPr>
      </w:pPr>
      <w:bookmarkStart w:id="0" w:name="_GoBack"/>
      <w:r>
        <w:rPr>
          <w:rFonts w:hint="eastAsia" w:ascii="仿宋_GB2312" w:eastAsia="仿宋_GB2312"/>
          <w:color w:val="auto"/>
          <w:sz w:val="32"/>
          <w:szCs w:val="32"/>
          <w:highlight w:val="none"/>
        </w:rPr>
        <w:t>2022年初，流动资产总额16.94万元，年</w:t>
      </w:r>
      <w:bookmarkEnd w:id="0"/>
      <w:r>
        <w:rPr>
          <w:rFonts w:hint="eastAsia" w:ascii="仿宋_GB2312" w:eastAsia="仿宋_GB2312"/>
          <w:sz w:val="32"/>
          <w:szCs w:val="32"/>
          <w:highlight w:val="none"/>
        </w:rPr>
        <w:t>末总额为16.04万元，较年初流动资产减少0.9万元，下降5.3%，主要变动原因是：财政拨款减少。</w:t>
      </w:r>
    </w:p>
    <w:p>
      <w:pPr>
        <w:ind w:firstLine="640"/>
        <w:rPr>
          <w:rFonts w:ascii="仿宋_GB2312" w:eastAsia="仿宋_GB2312"/>
          <w:sz w:val="32"/>
          <w:szCs w:val="32"/>
          <w:highlight w:val="none"/>
        </w:rPr>
      </w:pPr>
      <w:r>
        <w:rPr>
          <w:rFonts w:hint="eastAsia" w:ascii="仿宋_GB2312" w:eastAsia="仿宋_GB2312"/>
          <w:sz w:val="32"/>
          <w:szCs w:val="32"/>
          <w:highlight w:val="none"/>
        </w:rPr>
        <w:t>2022年初，固定资产总额为206.6万元，年末总额为206.6万元，较年初固定资产减少0万元，减少0%，主要变动原因是：无新增资产。</w:t>
      </w:r>
    </w:p>
    <w:p>
      <w:pPr>
        <w:ind w:firstLine="643"/>
        <w:outlineLvl w:val="1"/>
        <w:rPr>
          <w:rFonts w:ascii="楷体" w:hAnsi="楷体" w:eastAsia="楷体" w:cs="楷体"/>
          <w:b/>
          <w:bCs/>
          <w:sz w:val="32"/>
          <w:szCs w:val="32"/>
          <w:highlight w:val="none"/>
        </w:rPr>
      </w:pPr>
      <w:r>
        <w:rPr>
          <w:rFonts w:hint="eastAsia" w:ascii="楷体" w:hAnsi="楷体" w:eastAsia="楷体" w:cs="楷体"/>
          <w:b/>
          <w:bCs/>
          <w:sz w:val="32"/>
          <w:szCs w:val="32"/>
          <w:highlight w:val="none"/>
        </w:rPr>
        <w:t>（二）资产管理规范性分析</w:t>
      </w:r>
    </w:p>
    <w:p>
      <w:pPr>
        <w:ind w:firstLine="643"/>
        <w:jc w:val="left"/>
        <w:rPr>
          <w:rFonts w:ascii="仿宋_GB2312" w:eastAsia="仿宋_GB2312" w:cs="仿宋_GB2312"/>
          <w:color w:val="FF0000"/>
          <w:kern w:val="1"/>
          <w:sz w:val="32"/>
          <w:szCs w:val="32"/>
          <w:highlight w:val="none"/>
        </w:rPr>
      </w:pPr>
      <w:r>
        <w:rPr>
          <w:rFonts w:hint="eastAsia" w:ascii="仿宋_GB2312" w:eastAsia="仿宋_GB2312" w:cs="仿宋_GB2312"/>
          <w:b/>
          <w:kern w:val="1"/>
          <w:sz w:val="32"/>
          <w:szCs w:val="32"/>
          <w:highlight w:val="none"/>
        </w:rPr>
        <w:t>1.资产管理体制和制度建设方面</w:t>
      </w:r>
    </w:p>
    <w:p>
      <w:pPr>
        <w:ind w:firstLine="681" w:firstLineChars="213"/>
        <w:jc w:val="left"/>
        <w:rPr>
          <w:rFonts w:ascii="仿宋_GB2312" w:eastAsia="仿宋_GB2312" w:cs="仿宋"/>
          <w:kern w:val="1"/>
          <w:sz w:val="32"/>
          <w:szCs w:val="32"/>
          <w:highlight w:val="none"/>
        </w:rPr>
      </w:pPr>
      <w:r>
        <w:rPr>
          <w:rFonts w:hint="eastAsia" w:ascii="仿宋_GB2312" w:eastAsia="仿宋_GB2312" w:cs="仿宋"/>
          <w:kern w:val="1"/>
          <w:sz w:val="32"/>
          <w:szCs w:val="32"/>
          <w:highlight w:val="none"/>
        </w:rPr>
        <w:t>昌吉市图书馆资产管理制度健全，合理配备并节约、账实相符，固定资产使用效率高。</w:t>
      </w:r>
      <w:r>
        <w:rPr>
          <w:rFonts w:hint="eastAsia" w:ascii="仿宋_GB2312" w:hAnsi="楷体" w:eastAsia="仿宋_GB2312"/>
          <w:bCs/>
          <w:spacing w:val="-4"/>
          <w:sz w:val="32"/>
          <w:szCs w:val="32"/>
          <w:highlight w:val="none"/>
        </w:rPr>
        <w:t>2022年，单位各项资产均能继续良好使用，没有资产处置收入，固定资产利用率为100%。</w:t>
      </w:r>
      <w:r>
        <w:rPr>
          <w:rFonts w:hint="eastAsia" w:ascii="仿宋_GB2312" w:eastAsia="仿宋_GB2312" w:cs="仿宋"/>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2.运行机制和管理方式</w:t>
      </w:r>
    </w:p>
    <w:p>
      <w:pPr>
        <w:ind w:firstLine="681" w:firstLineChars="213"/>
        <w:jc w:val="left"/>
        <w:rPr>
          <w:rFonts w:ascii="仿宋_GB2312" w:eastAsia="仿宋_GB2312" w:cs="仿宋"/>
          <w:kern w:val="1"/>
          <w:sz w:val="32"/>
          <w:szCs w:val="32"/>
          <w:highlight w:val="none"/>
        </w:rPr>
      </w:pPr>
      <w:r>
        <w:rPr>
          <w:rFonts w:hint="eastAsia" w:ascii="仿宋_GB2312" w:eastAsia="仿宋_GB2312" w:cs="仿宋"/>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3.信息化建设方面</w:t>
      </w:r>
    </w:p>
    <w:p>
      <w:pPr>
        <w:ind w:firstLine="640"/>
        <w:jc w:val="left"/>
        <w:rPr>
          <w:rFonts w:ascii="仿宋_GB2312" w:eastAsia="仿宋_GB2312" w:cs="仿宋"/>
          <w:color w:val="FF0000"/>
          <w:kern w:val="1"/>
          <w:sz w:val="32"/>
          <w:szCs w:val="32"/>
          <w:highlight w:val="none"/>
        </w:rPr>
      </w:pPr>
      <w:r>
        <w:rPr>
          <w:rFonts w:hint="eastAsia" w:ascii="仿宋_GB2312" w:eastAsia="仿宋_GB2312" w:cs="仿宋"/>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4.流动资产的管理</w:t>
      </w:r>
    </w:p>
    <w:p>
      <w:pPr>
        <w:pStyle w:val="10"/>
        <w:widowControl/>
        <w:spacing w:before="40" w:beforeAutospacing="0" w:after="0" w:afterAutospacing="0"/>
        <w:ind w:firstLine="640"/>
        <w:jc w:val="both"/>
        <w:rPr>
          <w:rFonts w:ascii="仿宋_GB2312" w:eastAsia="仿宋_GB2312" w:cs="宋体"/>
          <w:sz w:val="32"/>
          <w:szCs w:val="32"/>
          <w:highlight w:val="none"/>
        </w:rPr>
      </w:pPr>
      <w:r>
        <w:rPr>
          <w:rFonts w:hint="eastAsia" w:ascii="仿宋_GB2312" w:eastAsia="仿宋_GB2312" w:cs="宋体"/>
          <w:sz w:val="32"/>
          <w:szCs w:val="32"/>
          <w:highlight w:val="none"/>
        </w:rPr>
        <w:t>流动资产严格按照我单位内控体系要求进行管理，无备用金，单位货币资金管理由办公室每月与国库支付中心进行对账。</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5.固定资产的管理</w:t>
      </w:r>
    </w:p>
    <w:p>
      <w:pPr>
        <w:pStyle w:val="10"/>
        <w:widowControl/>
        <w:spacing w:before="40" w:beforeAutospacing="0" w:after="0" w:afterAutospacing="0"/>
        <w:ind w:firstLine="640"/>
        <w:jc w:val="both"/>
        <w:rPr>
          <w:rFonts w:ascii="仿宋_GB2312" w:eastAsia="仿宋_GB2312" w:cs="宋体"/>
          <w:sz w:val="32"/>
          <w:szCs w:val="32"/>
          <w:highlight w:val="none"/>
        </w:rPr>
      </w:pPr>
      <w:r>
        <w:rPr>
          <w:rFonts w:hint="eastAsia" w:ascii="仿宋_GB2312" w:eastAsia="仿宋_GB2312" w:cs="宋体"/>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ind w:firstLine="640"/>
        <w:outlineLvl w:val="0"/>
        <w:rPr>
          <w:rFonts w:ascii="仿宋_GB2312" w:eastAsia="仿宋_GB2312"/>
          <w:b/>
          <w:bCs/>
          <w:color w:val="000000" w:themeColor="text1"/>
          <w:sz w:val="32"/>
          <w:szCs w:val="32"/>
          <w:highlight w:val="none"/>
        </w:rPr>
      </w:pPr>
      <w:r>
        <w:rPr>
          <w:rFonts w:hint="eastAsia" w:ascii="黑体" w:hAnsi="黑体" w:eastAsia="黑体" w:cs="黑体"/>
          <w:color w:val="000000" w:themeColor="text1"/>
          <w:sz w:val="32"/>
          <w:szCs w:val="32"/>
          <w:highlight w:val="none"/>
        </w:rPr>
        <w:t>五、部门单位整体支出绩效情况</w:t>
      </w:r>
    </w:p>
    <w:p>
      <w:pPr>
        <w:adjustRightInd w:val="0"/>
        <w:snapToGrid w:val="0"/>
        <w:ind w:firstLine="624"/>
        <w:rPr>
          <w:rFonts w:ascii="仿宋_GB2312" w:eastAsia="仿宋_GB2312"/>
          <w:bCs/>
          <w:color w:val="000000" w:themeColor="text1"/>
          <w:spacing w:val="-4"/>
          <w:sz w:val="32"/>
          <w:szCs w:val="32"/>
          <w:highlight w:val="none"/>
        </w:rPr>
      </w:pPr>
      <w:r>
        <w:rPr>
          <w:rFonts w:hint="eastAsia" w:ascii="仿宋_GB2312" w:eastAsia="仿宋_GB2312"/>
          <w:bCs/>
          <w:color w:val="000000" w:themeColor="text1"/>
          <w:spacing w:val="-4"/>
          <w:sz w:val="32"/>
          <w:szCs w:val="32"/>
          <w:highlight w:val="none"/>
        </w:rPr>
        <w:t>2022年度，</w:t>
      </w:r>
      <w:r>
        <w:rPr>
          <w:rFonts w:hint="eastAsia" w:ascii="仿宋_GB2312" w:eastAsia="仿宋_GB2312"/>
          <w:color w:val="000000" w:themeColor="text1"/>
          <w:sz w:val="32"/>
          <w:szCs w:val="32"/>
          <w:highlight w:val="none"/>
        </w:rPr>
        <w:t>昌吉市图书馆</w:t>
      </w:r>
      <w:r>
        <w:rPr>
          <w:rFonts w:hint="eastAsia" w:ascii="仿宋_GB2312" w:eastAsia="仿宋_GB2312"/>
          <w:bCs/>
          <w:color w:val="000000" w:themeColor="text1"/>
          <w:spacing w:val="-4"/>
          <w:sz w:val="32"/>
          <w:szCs w:val="32"/>
          <w:highlight w:val="none"/>
        </w:rPr>
        <w:t>部门单位整体支出绩效目标共设置一级指标3个，二级指标7个，三级指标15个，其中：已完成三级指标13个，指标完成率为86.7%。</w:t>
      </w:r>
    </w:p>
    <w:p>
      <w:pPr>
        <w:ind w:firstLine="643"/>
        <w:rPr>
          <w:rFonts w:ascii="仿宋_GB2312" w:eastAsia="仿宋_GB2312"/>
          <w:b/>
          <w:bCs/>
          <w:color w:val="000000" w:themeColor="text1"/>
          <w:sz w:val="32"/>
          <w:szCs w:val="32"/>
          <w:highlight w:val="none"/>
        </w:rPr>
      </w:pPr>
      <w:r>
        <w:rPr>
          <w:rFonts w:hint="eastAsia" w:ascii="仿宋_GB2312" w:eastAsia="仿宋_GB2312"/>
          <w:b/>
          <w:bCs/>
          <w:color w:val="000000" w:themeColor="text1"/>
          <w:sz w:val="32"/>
          <w:szCs w:val="32"/>
          <w:highlight w:val="none"/>
        </w:rPr>
        <w:t>1.产出指标完成情况分析</w:t>
      </w:r>
    </w:p>
    <w:p>
      <w:pPr>
        <w:ind w:firstLine="643"/>
        <w:rPr>
          <w:rFonts w:ascii="仿宋_GB2312" w:eastAsia="仿宋_GB2312"/>
          <w:b/>
          <w:bCs/>
          <w:color w:val="000000" w:themeColor="text1"/>
          <w:sz w:val="32"/>
          <w:szCs w:val="32"/>
          <w:highlight w:val="none"/>
        </w:rPr>
      </w:pPr>
      <w:r>
        <w:rPr>
          <w:rFonts w:hint="eastAsia" w:ascii="仿宋_GB2312" w:eastAsia="仿宋_GB2312"/>
          <w:b/>
          <w:bCs/>
          <w:color w:val="000000" w:themeColor="text1"/>
          <w:sz w:val="32"/>
          <w:szCs w:val="32"/>
          <w:highlight w:val="none"/>
        </w:rPr>
        <w:t>（1）数量指标</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“为丰富读书内容，促进全民阅读，举办各类阅读活动”指标：预期指标值为“=50场”，实际完成指标值为“45场”，指标完成率为</w:t>
      </w:r>
      <w:r>
        <w:rPr>
          <w:rFonts w:hint="eastAsia" w:ascii="仿宋_GB2312" w:eastAsia="仿宋_GB2312"/>
          <w:bCs/>
          <w:color w:val="000000" w:themeColor="text1"/>
          <w:spacing w:val="-4"/>
          <w:sz w:val="32"/>
          <w:szCs w:val="32"/>
          <w:highlight w:val="none"/>
        </w:rPr>
        <w:t>90</w:t>
      </w:r>
      <w:r>
        <w:rPr>
          <w:rFonts w:hint="eastAsia" w:ascii="仿宋_GB2312" w:eastAsia="仿宋_GB2312"/>
          <w:color w:val="000000" w:themeColor="text1"/>
          <w:sz w:val="32"/>
          <w:szCs w:val="32"/>
          <w:highlight w:val="none"/>
        </w:rPr>
        <w:t>%;</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“订购报刊种类”指标：预期指标值为“=230种”，实际完成指标值为“223种”，指标完成率为</w:t>
      </w:r>
      <w:r>
        <w:rPr>
          <w:rFonts w:hint="eastAsia" w:ascii="仿宋_GB2312" w:eastAsia="仿宋_GB2312"/>
          <w:bCs/>
          <w:color w:val="000000" w:themeColor="text1"/>
          <w:spacing w:val="-4"/>
          <w:sz w:val="32"/>
          <w:szCs w:val="32"/>
          <w:highlight w:val="none"/>
        </w:rPr>
        <w:t>96.9</w:t>
      </w:r>
      <w:r>
        <w:rPr>
          <w:rFonts w:hint="eastAsia" w:ascii="仿宋_GB2312" w:eastAsia="仿宋_GB2312"/>
          <w:color w:val="000000" w:themeColor="text1"/>
          <w:sz w:val="32"/>
          <w:szCs w:val="32"/>
          <w:highlight w:val="none"/>
        </w:rPr>
        <w:t>%;</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“订购新书”指标：预期指标值为“=2000.00本”，实际完成指标值为“2000本”，指标完成率为</w:t>
      </w:r>
      <w:r>
        <w:rPr>
          <w:rFonts w:hint="eastAsia" w:ascii="仿宋_GB2312" w:eastAsia="仿宋_GB2312"/>
          <w:bCs/>
          <w:color w:val="000000" w:themeColor="text1"/>
          <w:spacing w:val="-4"/>
          <w:sz w:val="32"/>
          <w:szCs w:val="32"/>
          <w:highlight w:val="none"/>
        </w:rPr>
        <w:t>100</w:t>
      </w:r>
      <w:r>
        <w:rPr>
          <w:rFonts w:hint="eastAsia" w:ascii="仿宋_GB2312" w:eastAsia="仿宋_GB2312"/>
          <w:color w:val="000000" w:themeColor="text1"/>
          <w:sz w:val="32"/>
          <w:szCs w:val="32"/>
          <w:highlight w:val="none"/>
        </w:rPr>
        <w:t>%;</w:t>
      </w:r>
    </w:p>
    <w:p>
      <w:pPr>
        <w:numPr>
          <w:ilvl w:val="0"/>
          <w:numId w:val="1"/>
        </w:numPr>
        <w:ind w:firstLine="640" w:firstLineChars="0"/>
        <w:rPr>
          <w:highlight w:val="none"/>
        </w:rPr>
      </w:pPr>
      <w:r>
        <w:rPr>
          <w:rFonts w:hint="eastAsia" w:ascii="仿宋_GB2312" w:eastAsia="仿宋_GB2312"/>
          <w:sz w:val="32"/>
          <w:szCs w:val="32"/>
          <w:highlight w:val="none"/>
        </w:rPr>
        <w:t>质量指标</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“保证州、市考核达标率”指标：预期指标值为“＞=100%”，实际完成指标值为“100%”，指标完成率为</w:t>
      </w:r>
      <w:r>
        <w:rPr>
          <w:rFonts w:hint="eastAsia" w:ascii="仿宋_GB2312" w:eastAsia="仿宋_GB2312"/>
          <w:bCs/>
          <w:color w:val="000000" w:themeColor="text1"/>
          <w:spacing w:val="-4"/>
          <w:sz w:val="32"/>
          <w:szCs w:val="32"/>
          <w:highlight w:val="none"/>
        </w:rPr>
        <w:t>100.0</w:t>
      </w:r>
      <w:r>
        <w:rPr>
          <w:rFonts w:hint="eastAsia" w:ascii="仿宋_GB2312" w:eastAsia="仿宋_GB2312"/>
          <w:color w:val="000000" w:themeColor="text1"/>
          <w:sz w:val="32"/>
          <w:szCs w:val="32"/>
          <w:highlight w:val="none"/>
        </w:rPr>
        <w:t>%;</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“资金使用合规率”指标：预期指标值为“＞=100%”，实际完成指标值为“100%”，指标完成率为</w:t>
      </w:r>
      <w:r>
        <w:rPr>
          <w:rFonts w:hint="eastAsia" w:ascii="仿宋_GB2312" w:eastAsia="仿宋_GB2312"/>
          <w:bCs/>
          <w:color w:val="000000" w:themeColor="text1"/>
          <w:spacing w:val="-4"/>
          <w:sz w:val="32"/>
          <w:szCs w:val="32"/>
          <w:highlight w:val="none"/>
        </w:rPr>
        <w:t>100.0</w:t>
      </w:r>
      <w:r>
        <w:rPr>
          <w:rFonts w:hint="eastAsia" w:ascii="仿宋_GB2312" w:eastAsia="仿宋_GB2312"/>
          <w:color w:val="000000" w:themeColor="text1"/>
          <w:sz w:val="32"/>
          <w:szCs w:val="32"/>
          <w:highlight w:val="none"/>
        </w:rPr>
        <w:t>%;</w:t>
      </w:r>
    </w:p>
    <w:p>
      <w:pPr>
        <w:ind w:firstLine="640"/>
        <w:rPr>
          <w:highlight w:val="none"/>
        </w:rPr>
      </w:pPr>
      <w:r>
        <w:rPr>
          <w:rFonts w:hint="eastAsia" w:ascii="仿宋_GB2312" w:eastAsia="仿宋_GB2312"/>
          <w:color w:val="000000" w:themeColor="text1"/>
          <w:sz w:val="32"/>
          <w:szCs w:val="32"/>
          <w:highlight w:val="none"/>
        </w:rPr>
        <w:t>“举办阅读场次完成率”指标：预期指标值为“＞=95%”，实际完成指标值为“100%”，指标完成率为</w:t>
      </w:r>
      <w:r>
        <w:rPr>
          <w:rFonts w:hint="eastAsia" w:ascii="仿宋_GB2312" w:eastAsia="仿宋_GB2312"/>
          <w:bCs/>
          <w:color w:val="000000" w:themeColor="text1"/>
          <w:spacing w:val="-4"/>
          <w:sz w:val="32"/>
          <w:szCs w:val="32"/>
          <w:highlight w:val="none"/>
        </w:rPr>
        <w:t>100.0</w:t>
      </w:r>
      <w:r>
        <w:rPr>
          <w:rFonts w:hint="eastAsia" w:ascii="仿宋_GB2312" w:eastAsia="仿宋_GB2312"/>
          <w:color w:val="000000" w:themeColor="text1"/>
          <w:sz w:val="32"/>
          <w:szCs w:val="32"/>
          <w:highlight w:val="none"/>
        </w:rPr>
        <w:t>%;</w:t>
      </w:r>
    </w:p>
    <w:p>
      <w:pPr>
        <w:numPr>
          <w:ilvl w:val="0"/>
          <w:numId w:val="1"/>
        </w:numPr>
        <w:ind w:firstLine="640" w:firstLineChars="0"/>
        <w:rPr>
          <w:highlight w:val="none"/>
        </w:rPr>
      </w:pPr>
      <w:r>
        <w:rPr>
          <w:rFonts w:hint="eastAsia" w:ascii="仿宋_GB2312" w:eastAsia="仿宋_GB2312"/>
          <w:sz w:val="32"/>
          <w:szCs w:val="32"/>
          <w:highlight w:val="none"/>
        </w:rPr>
        <w:t>时效指标</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“公务经费支付及时率”指标：预期指标值为“=100%”，实际完成指标值为“=100%”，指标完成率为</w:t>
      </w:r>
      <w:r>
        <w:rPr>
          <w:rFonts w:hint="eastAsia" w:ascii="仿宋_GB2312" w:eastAsia="仿宋_GB2312"/>
          <w:bCs/>
          <w:color w:val="000000" w:themeColor="text1"/>
          <w:spacing w:val="-4"/>
          <w:sz w:val="32"/>
          <w:szCs w:val="32"/>
          <w:highlight w:val="none"/>
        </w:rPr>
        <w:t>100.0</w:t>
      </w:r>
      <w:r>
        <w:rPr>
          <w:rFonts w:hint="eastAsia" w:ascii="仿宋_GB2312" w:eastAsia="仿宋_GB2312"/>
          <w:color w:val="000000" w:themeColor="text1"/>
          <w:sz w:val="32"/>
          <w:szCs w:val="32"/>
          <w:highlight w:val="none"/>
        </w:rPr>
        <w:t>%;</w:t>
      </w:r>
    </w:p>
    <w:p>
      <w:pPr>
        <w:numPr>
          <w:ilvl w:val="0"/>
          <w:numId w:val="1"/>
        </w:numPr>
        <w:ind w:firstLine="640" w:firstLineChars="0"/>
        <w:rPr>
          <w:highlight w:val="none"/>
        </w:rPr>
      </w:pPr>
      <w:r>
        <w:rPr>
          <w:rFonts w:hint="eastAsia" w:ascii="仿宋_GB2312" w:eastAsia="仿宋_GB2312"/>
          <w:sz w:val="32"/>
          <w:szCs w:val="32"/>
          <w:highlight w:val="none"/>
        </w:rPr>
        <w:t>成本指标</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“人员经费数”指标：预期指标值为“＞=127.08万元”，实际完成指标值为“127.08万元”，指标完成率为</w:t>
      </w:r>
      <w:r>
        <w:rPr>
          <w:rFonts w:hint="eastAsia" w:ascii="仿宋_GB2312" w:eastAsia="仿宋_GB2312"/>
          <w:bCs/>
          <w:color w:val="000000" w:themeColor="text1"/>
          <w:spacing w:val="-4"/>
          <w:sz w:val="32"/>
          <w:szCs w:val="32"/>
          <w:highlight w:val="none"/>
        </w:rPr>
        <w:t>100.0</w:t>
      </w:r>
      <w:r>
        <w:rPr>
          <w:rFonts w:hint="eastAsia" w:ascii="仿宋_GB2312" w:eastAsia="仿宋_GB2312"/>
          <w:color w:val="000000" w:themeColor="text1"/>
          <w:sz w:val="32"/>
          <w:szCs w:val="32"/>
          <w:highlight w:val="none"/>
        </w:rPr>
        <w:t>%;</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“公用经费数”指标：预期指标值为“＜=22.79万元”，实际完成指标值为“22.79万元”，指标完成率为</w:t>
      </w:r>
      <w:r>
        <w:rPr>
          <w:rFonts w:hint="eastAsia" w:ascii="仿宋_GB2312" w:eastAsia="仿宋_GB2312"/>
          <w:bCs/>
          <w:color w:val="000000" w:themeColor="text1"/>
          <w:spacing w:val="-4"/>
          <w:sz w:val="32"/>
          <w:szCs w:val="32"/>
          <w:highlight w:val="none"/>
        </w:rPr>
        <w:t>100</w:t>
      </w:r>
      <w:r>
        <w:rPr>
          <w:rFonts w:hint="eastAsia" w:ascii="仿宋_GB2312" w:eastAsia="仿宋_GB2312"/>
          <w:color w:val="000000" w:themeColor="text1"/>
          <w:sz w:val="32"/>
          <w:szCs w:val="32"/>
          <w:highlight w:val="none"/>
        </w:rPr>
        <w:t>%;</w:t>
      </w:r>
    </w:p>
    <w:p>
      <w:pPr>
        <w:ind w:firstLine="643"/>
        <w:rPr>
          <w:rFonts w:ascii="仿宋_GB2312" w:eastAsia="仿宋_GB2312"/>
          <w:b/>
          <w:bCs/>
          <w:sz w:val="32"/>
          <w:szCs w:val="32"/>
          <w:highlight w:val="none"/>
        </w:rPr>
      </w:pPr>
      <w:r>
        <w:rPr>
          <w:rFonts w:hint="eastAsia" w:ascii="仿宋_GB2312" w:eastAsia="仿宋_GB2312"/>
          <w:b/>
          <w:bCs/>
          <w:sz w:val="32"/>
          <w:szCs w:val="32"/>
          <w:highlight w:val="none"/>
        </w:rPr>
        <w:t>2.效益指标完成情况分析</w:t>
      </w:r>
    </w:p>
    <w:p>
      <w:pPr>
        <w:ind w:firstLine="640"/>
        <w:rPr>
          <w:rFonts w:ascii="仿宋_GB2312" w:eastAsia="仿宋_GB2312"/>
          <w:sz w:val="32"/>
          <w:szCs w:val="32"/>
          <w:highlight w:val="none"/>
        </w:rPr>
      </w:pPr>
      <w:r>
        <w:rPr>
          <w:rFonts w:hint="eastAsia" w:ascii="仿宋_GB2312" w:eastAsia="仿宋_GB2312"/>
          <w:sz w:val="32"/>
          <w:szCs w:val="32"/>
          <w:highlight w:val="none"/>
        </w:rPr>
        <w:t>（1）经济效益</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（2）社会效益</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“营造良好的读书环境”指标：预期指标值为“＞=90%”，实际完成指标值为“90%”，指标完成率为</w:t>
      </w:r>
      <w:r>
        <w:rPr>
          <w:rFonts w:hint="eastAsia" w:ascii="仿宋_GB2312" w:eastAsia="仿宋_GB2312"/>
          <w:bCs/>
          <w:color w:val="000000" w:themeColor="text1"/>
          <w:spacing w:val="-4"/>
          <w:sz w:val="32"/>
          <w:szCs w:val="32"/>
          <w:highlight w:val="none"/>
        </w:rPr>
        <w:t>100.0</w:t>
      </w:r>
      <w:r>
        <w:rPr>
          <w:rFonts w:hint="eastAsia" w:ascii="仿宋_GB2312" w:eastAsia="仿宋_GB2312"/>
          <w:color w:val="000000" w:themeColor="text1"/>
          <w:sz w:val="32"/>
          <w:szCs w:val="32"/>
          <w:highlight w:val="none"/>
        </w:rPr>
        <w:t>%;</w:t>
      </w:r>
    </w:p>
    <w:p>
      <w:pPr>
        <w:ind w:firstLine="640"/>
        <w:rPr>
          <w:rFonts w:ascii="仿宋_GB2312" w:eastAsia="仿宋_GB2312"/>
          <w:sz w:val="32"/>
          <w:szCs w:val="32"/>
          <w:highlight w:val="none"/>
        </w:rPr>
      </w:pPr>
      <w:r>
        <w:rPr>
          <w:rFonts w:hint="eastAsia" w:ascii="仿宋_GB2312" w:eastAsia="仿宋_GB2312"/>
          <w:sz w:val="32"/>
          <w:szCs w:val="32"/>
          <w:highlight w:val="none"/>
        </w:rPr>
        <w:t>（3）生态效益</w:t>
      </w:r>
    </w:p>
    <w:p>
      <w:pPr>
        <w:ind w:firstLine="640"/>
        <w:rPr>
          <w:rFonts w:ascii="仿宋_GB2312" w:eastAsia="仿宋_GB2312"/>
          <w:color w:val="000000" w:themeColor="text1"/>
          <w:sz w:val="32"/>
          <w:szCs w:val="32"/>
          <w:highlight w:val="none"/>
        </w:rPr>
      </w:pPr>
      <w:r>
        <w:rPr>
          <w:rFonts w:hint="eastAsia" w:ascii="仿宋_GB2312" w:eastAsia="仿宋_GB2312"/>
          <w:color w:val="000000" w:themeColor="text1"/>
          <w:sz w:val="32"/>
          <w:szCs w:val="32"/>
          <w:highlight w:val="none"/>
        </w:rPr>
        <w:t>无此项指标</w:t>
      </w:r>
    </w:p>
    <w:p>
      <w:pPr>
        <w:ind w:firstLine="640"/>
        <w:rPr>
          <w:rFonts w:ascii="仿宋_GB2312" w:eastAsia="仿宋_GB2312"/>
          <w:sz w:val="32"/>
          <w:szCs w:val="32"/>
          <w:highlight w:val="none"/>
        </w:rPr>
      </w:pPr>
      <w:r>
        <w:rPr>
          <w:rFonts w:hint="eastAsia" w:ascii="仿宋_GB2312" w:eastAsia="仿宋_GB2312"/>
          <w:sz w:val="32"/>
          <w:szCs w:val="32"/>
          <w:highlight w:val="none"/>
        </w:rPr>
        <w:t>（4）可持续影响</w:t>
      </w:r>
    </w:p>
    <w:p>
      <w:pPr>
        <w:ind w:firstLine="611" w:firstLineChars="196"/>
        <w:rPr>
          <w:rStyle w:val="14"/>
          <w:b w:val="0"/>
          <w:spacing w:val="-4"/>
          <w:sz w:val="32"/>
          <w:szCs w:val="32"/>
          <w:highlight w:val="none"/>
        </w:rPr>
      </w:pPr>
      <w:r>
        <w:rPr>
          <w:rStyle w:val="14"/>
          <w:b w:val="0"/>
          <w:spacing w:val="-4"/>
          <w:sz w:val="32"/>
          <w:szCs w:val="32"/>
          <w:highlight w:val="none"/>
        </w:rPr>
        <w:t>1</w:t>
      </w:r>
      <w:r>
        <w:rPr>
          <w:rStyle w:val="14"/>
          <w:rFonts w:hint="eastAsia"/>
          <w:b w:val="0"/>
          <w:spacing w:val="-4"/>
          <w:sz w:val="32"/>
          <w:szCs w:val="32"/>
          <w:highlight w:val="none"/>
        </w:rPr>
        <w:t>、提升全面阅读能力，及公众文化熏陶覆盖面，有效提升，指标完成率</w:t>
      </w:r>
      <w:r>
        <w:rPr>
          <w:rStyle w:val="14"/>
          <w:b w:val="0"/>
          <w:spacing w:val="-4"/>
          <w:sz w:val="32"/>
          <w:szCs w:val="32"/>
          <w:highlight w:val="none"/>
        </w:rPr>
        <w:t>100</w:t>
      </w:r>
      <w:r>
        <w:rPr>
          <w:rStyle w:val="14"/>
          <w:rFonts w:hint="eastAsia"/>
          <w:b w:val="0"/>
          <w:spacing w:val="-4"/>
          <w:sz w:val="32"/>
          <w:szCs w:val="32"/>
          <w:highlight w:val="none"/>
        </w:rPr>
        <w:t>.0</w:t>
      </w:r>
      <w:r>
        <w:rPr>
          <w:rStyle w:val="14"/>
          <w:b w:val="0"/>
          <w:spacing w:val="-4"/>
          <w:sz w:val="32"/>
          <w:szCs w:val="32"/>
          <w:highlight w:val="none"/>
        </w:rPr>
        <w:t>%</w:t>
      </w:r>
      <w:r>
        <w:rPr>
          <w:rStyle w:val="14"/>
          <w:rFonts w:hint="eastAsia"/>
          <w:b w:val="0"/>
          <w:spacing w:val="-4"/>
          <w:sz w:val="32"/>
          <w:szCs w:val="32"/>
          <w:highlight w:val="none"/>
        </w:rPr>
        <w:t>；</w:t>
      </w:r>
    </w:p>
    <w:p>
      <w:pPr>
        <w:ind w:firstLine="643"/>
        <w:rPr>
          <w:rFonts w:ascii="仿宋_GB2312" w:eastAsia="仿宋_GB2312"/>
          <w:b/>
          <w:bCs/>
          <w:sz w:val="32"/>
          <w:szCs w:val="32"/>
          <w:highlight w:val="none"/>
        </w:rPr>
      </w:pPr>
      <w:r>
        <w:rPr>
          <w:rFonts w:hint="default" w:ascii="仿宋_GB2312" w:eastAsia="仿宋_GB2312"/>
          <w:b/>
          <w:bCs/>
          <w:sz w:val="32"/>
          <w:szCs w:val="32"/>
          <w:highlight w:val="none"/>
          <w:lang w:eastAsia="zh-Hans"/>
        </w:rPr>
        <w:t>3</w:t>
      </w:r>
      <w:r>
        <w:rPr>
          <w:rFonts w:hint="eastAsia" w:ascii="仿宋_GB2312" w:eastAsia="仿宋_GB2312"/>
          <w:b/>
          <w:bCs/>
          <w:sz w:val="32"/>
          <w:szCs w:val="32"/>
          <w:highlight w:val="none"/>
          <w:lang w:eastAsia="zh-Hans"/>
        </w:rPr>
        <w:t>、</w:t>
      </w:r>
      <w:r>
        <w:rPr>
          <w:rFonts w:hint="eastAsia" w:ascii="仿宋_GB2312" w:eastAsia="仿宋_GB2312"/>
          <w:b/>
          <w:bCs/>
          <w:sz w:val="32"/>
          <w:szCs w:val="32"/>
          <w:highlight w:val="none"/>
        </w:rPr>
        <w:t>满意度指标完成情况分析</w:t>
      </w:r>
    </w:p>
    <w:p>
      <w:pPr>
        <w:ind w:firstLine="627" w:firstLineChars="196"/>
        <w:rPr>
          <w:rFonts w:ascii="仿宋_GB2312" w:eastAsia="仿宋_GB2312"/>
          <w:color w:val="000000" w:themeColor="text1"/>
          <w:sz w:val="32"/>
          <w:szCs w:val="32"/>
          <w:highlight w:val="none"/>
        </w:rPr>
      </w:pPr>
      <w:r>
        <w:rPr>
          <w:rFonts w:hint="eastAsia" w:ascii="仿宋_GB2312" w:eastAsia="仿宋_GB2312"/>
          <w:sz w:val="32"/>
          <w:szCs w:val="32"/>
          <w:highlight w:val="none"/>
        </w:rPr>
        <w:t>预期指标值为大于等于90%，实际完成指标值为“100%”</w:t>
      </w:r>
      <w:r>
        <w:rPr>
          <w:rFonts w:hint="eastAsia" w:ascii="仿宋_GB2312" w:eastAsia="仿宋_GB2312"/>
          <w:color w:val="000000" w:themeColor="text1"/>
          <w:sz w:val="32"/>
          <w:szCs w:val="32"/>
          <w:highlight w:val="none"/>
        </w:rPr>
        <w:t>指标完成率为</w:t>
      </w:r>
      <w:r>
        <w:rPr>
          <w:rFonts w:hint="eastAsia" w:ascii="仿宋_GB2312" w:eastAsia="仿宋_GB2312"/>
          <w:bCs/>
          <w:color w:val="000000" w:themeColor="text1"/>
          <w:spacing w:val="-4"/>
          <w:sz w:val="32"/>
          <w:szCs w:val="32"/>
          <w:highlight w:val="none"/>
        </w:rPr>
        <w:t>100.0</w:t>
      </w:r>
      <w:r>
        <w:rPr>
          <w:rFonts w:hint="eastAsia" w:ascii="仿宋_GB2312" w:eastAsia="仿宋_GB2312"/>
          <w:color w:val="000000" w:themeColor="text1"/>
          <w:sz w:val="32"/>
          <w:szCs w:val="32"/>
          <w:highlight w:val="none"/>
        </w:rPr>
        <w:t>%；</w:t>
      </w:r>
    </w:p>
    <w:p>
      <w:pPr>
        <w:ind w:firstLine="640"/>
        <w:outlineLvl w:val="0"/>
        <w:rPr>
          <w:rFonts w:ascii="黑体" w:hAnsi="黑体" w:eastAsia="黑体" w:cs="黑体"/>
          <w:color w:val="000000" w:themeColor="text1"/>
          <w:sz w:val="32"/>
          <w:szCs w:val="32"/>
          <w:highlight w:val="none"/>
        </w:rPr>
      </w:pPr>
      <w:r>
        <w:rPr>
          <w:rFonts w:hint="eastAsia" w:ascii="黑体" w:hAnsi="黑体" w:eastAsia="黑体" w:cs="黑体"/>
          <w:color w:val="000000" w:themeColor="text1"/>
          <w:sz w:val="32"/>
          <w:szCs w:val="32"/>
          <w:highlight w:val="none"/>
        </w:rPr>
        <w:t>六、存在的主要问题</w:t>
      </w:r>
    </w:p>
    <w:p>
      <w:pPr>
        <w:adjustRightInd w:val="0"/>
        <w:snapToGrid w:val="0"/>
        <w:ind w:firstLine="624"/>
        <w:rPr>
          <w:rFonts w:ascii="仿宋_GB2312" w:eastAsia="仿宋_GB2312"/>
          <w:color w:val="000000" w:themeColor="text1"/>
          <w:spacing w:val="-4"/>
          <w:sz w:val="32"/>
          <w:szCs w:val="32"/>
          <w:highlight w:val="none"/>
        </w:rPr>
      </w:pPr>
      <w:r>
        <w:rPr>
          <w:rFonts w:hint="eastAsia" w:ascii="仿宋_GB2312" w:eastAsia="仿宋_GB2312"/>
          <w:color w:val="000000" w:themeColor="text1"/>
          <w:spacing w:val="-4"/>
          <w:sz w:val="32"/>
          <w:szCs w:val="32"/>
          <w:highlight w:val="none"/>
        </w:rPr>
        <w:t>2022年本单位整体支出绩效目标全部达成，不存在未完成原因分析。</w:t>
      </w:r>
    </w:p>
    <w:p>
      <w:pPr>
        <w:ind w:firstLine="640"/>
        <w:outlineLvl w:val="0"/>
        <w:rPr>
          <w:rFonts w:ascii="黑体" w:hAnsi="黑体" w:eastAsia="黑体" w:cs="黑体"/>
          <w:sz w:val="32"/>
          <w:szCs w:val="32"/>
          <w:highlight w:val="none"/>
        </w:rPr>
      </w:pPr>
      <w:r>
        <w:rPr>
          <w:rFonts w:hint="eastAsia" w:ascii="黑体" w:hAnsi="黑体" w:eastAsia="黑体" w:cs="黑体"/>
          <w:sz w:val="32"/>
          <w:szCs w:val="32"/>
          <w:highlight w:val="none"/>
        </w:rPr>
        <w:t>七、改进措施和建议</w:t>
      </w:r>
    </w:p>
    <w:p>
      <w:pPr>
        <w:ind w:firstLine="624"/>
        <w:jc w:val="left"/>
        <w:rPr>
          <w:rFonts w:ascii="仿宋_GB2312" w:hAnsi="楷体" w:eastAsia="仿宋_GB2312"/>
          <w:bCs/>
          <w:spacing w:val="-4"/>
          <w:sz w:val="32"/>
          <w:szCs w:val="32"/>
          <w:highlight w:val="none"/>
        </w:rPr>
      </w:pPr>
      <w:r>
        <w:rPr>
          <w:rFonts w:hint="eastAsia" w:ascii="仿宋_GB2312" w:hAnsi="楷体" w:eastAsia="仿宋_GB2312"/>
          <w:bCs/>
          <w:spacing w:val="-4"/>
          <w:sz w:val="32"/>
          <w:szCs w:val="32"/>
          <w:highlight w:val="none"/>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 进一步加强单位内部的预算管理意识及全局意识，单位组织学习预算绩效管理的相关内容，提高对绩效管理工作的重视程度，使各科室间能相互配合，严格按照预算编制相关制度、要求，科学合理的进行预算绩效监控表的编制。 不定期进行绩效过程监控，及时发现问题及时调整。在实际操作中，不断总结经验，向上级部门和统计部门学习，掌握丰富的工作经验，加以完善。</w:t>
      </w:r>
    </w:p>
    <w:p>
      <w:pPr>
        <w:pStyle w:val="3"/>
        <w:ind w:firstLine="640"/>
        <w:rPr>
          <w:rFonts w:ascii="黑体" w:hAnsi="黑体"/>
          <w:b w:val="0"/>
          <w:sz w:val="32"/>
          <w:szCs w:val="32"/>
          <w:highlight w:val="none"/>
        </w:rPr>
      </w:pPr>
      <w:r>
        <w:rPr>
          <w:rFonts w:hint="eastAsia" w:ascii="黑体" w:hAnsi="黑体"/>
          <w:b w:val="0"/>
          <w:sz w:val="32"/>
          <w:szCs w:val="32"/>
          <w:highlight w:val="none"/>
        </w:rPr>
        <w:t>八、附表</w:t>
      </w:r>
    </w:p>
    <w:p>
      <w:pPr>
        <w:ind w:firstLine="640"/>
        <w:rPr>
          <w:rFonts w:ascii="仿宋_GB2312" w:eastAsia="仿宋_GB2312"/>
          <w:sz w:val="32"/>
          <w:szCs w:val="32"/>
          <w:highlight w:val="none"/>
        </w:rPr>
      </w:pPr>
      <w:r>
        <w:rPr>
          <w:rFonts w:hint="eastAsia" w:ascii="仿宋_GB2312" w:eastAsia="仿宋_GB2312"/>
          <w:sz w:val="32"/>
          <w:szCs w:val="32"/>
          <w:highlight w:val="none"/>
        </w:rPr>
        <w:t>《部门整体支出绩效目标自评表》</w:t>
      </w:r>
    </w:p>
    <w:p>
      <w:pPr>
        <w:ind w:firstLine="640"/>
        <w:rPr>
          <w:rFonts w:ascii="仿宋_GB2312" w:eastAsia="仿宋_GB2312"/>
          <w:sz w:val="32"/>
          <w:szCs w:val="32"/>
          <w:highlight w:val="none"/>
        </w:rPr>
      </w:pPr>
    </w:p>
    <w:p>
      <w:pPr>
        <w:pStyle w:val="2"/>
        <w:rPr>
          <w:rFonts w:ascii="仿宋_GB2312" w:eastAsia="仿宋_GB2312"/>
          <w:sz w:val="32"/>
          <w:szCs w:val="32"/>
          <w:highlight w:val="none"/>
        </w:rPr>
      </w:pPr>
    </w:p>
    <w:p>
      <w:pPr>
        <w:rPr>
          <w:rFonts w:ascii="仿宋_GB2312" w:eastAsia="仿宋_GB2312"/>
          <w:sz w:val="32"/>
          <w:szCs w:val="32"/>
          <w:highlight w:val="none"/>
        </w:rPr>
      </w:pPr>
    </w:p>
    <w:p>
      <w:pPr>
        <w:pStyle w:val="2"/>
        <w:rPr>
          <w:rFonts w:ascii="仿宋_GB2312" w:eastAsia="仿宋_GB2312"/>
          <w:sz w:val="32"/>
          <w:szCs w:val="32"/>
          <w:highlight w:val="none"/>
        </w:rPr>
      </w:pPr>
    </w:p>
    <w:p>
      <w:pPr>
        <w:rPr>
          <w:rFonts w:ascii="仿宋_GB2312" w:eastAsia="仿宋_GB2312"/>
          <w:sz w:val="32"/>
          <w:szCs w:val="32"/>
          <w:highlight w:val="none"/>
        </w:rPr>
      </w:pPr>
    </w:p>
    <w:p>
      <w:pPr>
        <w:pStyle w:val="2"/>
        <w:rPr>
          <w:rFonts w:ascii="仿宋_GB2312" w:eastAsia="仿宋_GB2312"/>
          <w:sz w:val="32"/>
          <w:szCs w:val="32"/>
          <w:highlight w:val="none"/>
        </w:rPr>
      </w:pPr>
    </w:p>
    <w:p>
      <w:pPr>
        <w:rPr>
          <w:rFonts w:ascii="仿宋_GB2312" w:eastAsia="仿宋_GB2312"/>
          <w:sz w:val="32"/>
          <w:szCs w:val="32"/>
          <w:highlight w:val="none"/>
        </w:rPr>
      </w:pPr>
    </w:p>
    <w:p>
      <w:pPr>
        <w:pStyle w:val="2"/>
        <w:rPr>
          <w:rFonts w:ascii="仿宋_GB2312" w:eastAsia="仿宋_GB2312"/>
          <w:sz w:val="32"/>
          <w:szCs w:val="32"/>
          <w:highlight w:val="none"/>
        </w:rPr>
      </w:pPr>
    </w:p>
    <w:p>
      <w:pPr>
        <w:rPr>
          <w:rFonts w:ascii="仿宋_GB2312" w:eastAsia="仿宋_GB2312"/>
          <w:sz w:val="32"/>
          <w:szCs w:val="32"/>
          <w:highlight w:val="none"/>
        </w:rPr>
      </w:pPr>
    </w:p>
    <w:p>
      <w:pPr>
        <w:pStyle w:val="2"/>
        <w:rPr>
          <w:rFonts w:ascii="仿宋_GB2312" w:eastAsia="仿宋_GB2312"/>
          <w:sz w:val="32"/>
          <w:szCs w:val="32"/>
          <w:highlight w:val="none"/>
        </w:rPr>
      </w:pPr>
    </w:p>
    <w:p>
      <w:pPr>
        <w:rPr>
          <w:rFonts w:ascii="仿宋_GB2312" w:eastAsia="仿宋_GB2312"/>
          <w:sz w:val="32"/>
          <w:szCs w:val="32"/>
          <w:highlight w:val="none"/>
        </w:rPr>
      </w:pPr>
    </w:p>
    <w:p>
      <w:pPr>
        <w:pStyle w:val="2"/>
        <w:rPr>
          <w:rFonts w:ascii="仿宋_GB2312" w:eastAsia="仿宋_GB2312"/>
          <w:sz w:val="32"/>
          <w:szCs w:val="32"/>
          <w:highlight w:val="none"/>
        </w:rPr>
      </w:pPr>
    </w:p>
    <w:p>
      <w:pPr>
        <w:rPr>
          <w:rFonts w:ascii="仿宋_GB2312" w:eastAsia="仿宋_GB2312"/>
          <w:sz w:val="32"/>
          <w:szCs w:val="32"/>
          <w:highlight w:val="none"/>
        </w:rPr>
      </w:pPr>
    </w:p>
    <w:p>
      <w:pPr>
        <w:pStyle w:val="2"/>
        <w:rPr>
          <w:rFonts w:ascii="仿宋_GB2312" w:eastAsia="仿宋_GB2312"/>
          <w:sz w:val="32"/>
          <w:szCs w:val="32"/>
          <w:highlight w:val="none"/>
        </w:rPr>
      </w:pPr>
    </w:p>
    <w:p>
      <w:pPr>
        <w:rPr>
          <w:rFonts w:ascii="仿宋_GB2312" w:eastAsia="仿宋_GB2312"/>
          <w:sz w:val="32"/>
          <w:szCs w:val="32"/>
          <w:highlight w:val="none"/>
        </w:rPr>
      </w:pPr>
    </w:p>
    <w:p>
      <w:pPr>
        <w:pStyle w:val="2"/>
        <w:rPr>
          <w:rFonts w:ascii="仿宋_GB2312" w:eastAsia="仿宋_GB2312"/>
          <w:sz w:val="32"/>
          <w:szCs w:val="32"/>
          <w:highlight w:val="none"/>
        </w:rPr>
      </w:pPr>
    </w:p>
    <w:p>
      <w:pPr>
        <w:rPr>
          <w:rFonts w:ascii="仿宋_GB2312" w:eastAsia="仿宋_GB2312"/>
          <w:sz w:val="32"/>
          <w:szCs w:val="32"/>
          <w:highlight w:val="none"/>
        </w:rPr>
      </w:pPr>
    </w:p>
    <w:tbl>
      <w:tblPr>
        <w:tblStyle w:val="11"/>
        <w:tblW w:w="843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460"/>
        <w:gridCol w:w="782"/>
        <w:gridCol w:w="328"/>
        <w:gridCol w:w="1"/>
        <w:gridCol w:w="1008"/>
        <w:gridCol w:w="796"/>
        <w:gridCol w:w="1"/>
        <w:gridCol w:w="992"/>
        <w:gridCol w:w="763"/>
        <w:gridCol w:w="910"/>
        <w:gridCol w:w="783"/>
        <w:gridCol w:w="807"/>
        <w:gridCol w:w="1"/>
        <w:gridCol w:w="797"/>
        <w:gridCol w:w="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00" w:hRule="atLeast"/>
        </w:trPr>
        <w:tc>
          <w:tcPr>
            <w:tcW w:w="7632" w:type="dxa"/>
            <w:gridSpan w:val="13"/>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ascii="方正小标宋简体" w:hAnsi="方正小标宋简体" w:eastAsia="方正小标宋简体" w:cs="方正小标宋简体"/>
                <w:i w:val="0"/>
                <w:color w:val="000000"/>
                <w:sz w:val="40"/>
                <w:szCs w:val="40"/>
                <w:u w:val="none"/>
              </w:rPr>
            </w:pPr>
            <w:r>
              <w:rPr>
                <w:rFonts w:hint="default" w:ascii="方正小标宋简体" w:hAnsi="方正小标宋简体" w:eastAsia="方正小标宋简体" w:cs="方正小标宋简体"/>
                <w:i w:val="0"/>
                <w:color w:val="000000"/>
                <w:kern w:val="0"/>
                <w:sz w:val="40"/>
                <w:szCs w:val="40"/>
                <w:u w:val="none"/>
                <w:lang w:val="en-US" w:eastAsia="zh-CN" w:bidi="ar"/>
              </w:rPr>
              <w:t>部门整体支出绩效目标自评表</w:t>
            </w:r>
          </w:p>
        </w:tc>
        <w:tc>
          <w:tcPr>
            <w:tcW w:w="798" w:type="dxa"/>
            <w:gridSpan w:val="2"/>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default" w:ascii="方正小标宋简体" w:hAnsi="方正小标宋简体" w:eastAsia="方正小标宋简体" w:cs="方正小标宋简体"/>
                <w:i w:val="0"/>
                <w:color w:val="000000"/>
                <w:kern w:val="0"/>
                <w:sz w:val="40"/>
                <w:szCs w:val="40"/>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7632" w:type="dxa"/>
            <w:gridSpan w:val="13"/>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（2022年度）</w:t>
            </w:r>
          </w:p>
        </w:tc>
        <w:tc>
          <w:tcPr>
            <w:tcW w:w="798" w:type="dxa"/>
            <w:gridSpan w:val="2"/>
            <w:tcBorders>
              <w:top w:val="nil"/>
              <w:left w:val="nil"/>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1571"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部门（单位）名称</w:t>
            </w:r>
          </w:p>
        </w:tc>
        <w:tc>
          <w:tcPr>
            <w:tcW w:w="6061"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昌吉市图书馆</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560"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年度主要任务</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任务名称</w:t>
            </w:r>
          </w:p>
        </w:tc>
        <w:tc>
          <w:tcPr>
            <w:tcW w:w="10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主要内容</w:t>
            </w:r>
          </w:p>
        </w:tc>
        <w:tc>
          <w:tcPr>
            <w:tcW w:w="2552" w:type="dxa"/>
            <w:gridSpan w:val="4"/>
            <w:tcBorders>
              <w:top w:val="single" w:color="000000" w:sz="4" w:space="0"/>
              <w:left w:val="nil"/>
              <w:bottom w:val="nil"/>
              <w:right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预算金额（万元）</w:t>
            </w:r>
          </w:p>
        </w:tc>
        <w:tc>
          <w:tcPr>
            <w:tcW w:w="250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实际执行（万元）</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4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0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总额</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财政拨款</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其他资金</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10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11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工作人保障员日常工作正常开展，促进图书馆日常工作进行</w:t>
            </w:r>
          </w:p>
        </w:tc>
        <w:tc>
          <w:tcPr>
            <w:tcW w:w="10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人员工资，社保等</w:t>
            </w:r>
          </w:p>
        </w:tc>
        <w:tc>
          <w:tcPr>
            <w:tcW w:w="7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127.08</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127.08</w:t>
            </w: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127.08</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127.08</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70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110" w:type="dxa"/>
            <w:gridSpan w:val="2"/>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图书馆日常工作</w:t>
            </w:r>
          </w:p>
        </w:tc>
        <w:tc>
          <w:tcPr>
            <w:tcW w:w="10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办公费、公车运行费、水电等</w:t>
            </w:r>
          </w:p>
        </w:tc>
        <w:tc>
          <w:tcPr>
            <w:tcW w:w="7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22.79</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22.79</w:t>
            </w: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22.79</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22.79</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54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合　计</w:t>
            </w:r>
          </w:p>
        </w:tc>
        <w:tc>
          <w:tcPr>
            <w:tcW w:w="7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149.87</w:t>
            </w: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149.87</w:t>
            </w:r>
          </w:p>
        </w:tc>
        <w:tc>
          <w:tcPr>
            <w:tcW w:w="7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149.87</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149.87</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0.0</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5"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年度总体目标</w:t>
            </w:r>
          </w:p>
        </w:tc>
        <w:tc>
          <w:tcPr>
            <w:tcW w:w="291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预期目标</w:t>
            </w:r>
          </w:p>
        </w:tc>
        <w:tc>
          <w:tcPr>
            <w:tcW w:w="4256"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实际完成目标</w:t>
            </w:r>
          </w:p>
        </w:tc>
        <w:tc>
          <w:tcPr>
            <w:tcW w:w="798"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50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2916"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为强化图书馆服务体系建设，使图书馆成为全民终身学习中心、知识信息枢纽、公共交流平台。推动全民阅读、促进人民群众养成良好地阅读习惯，并具备良好阅读能力，使公众重新认识图书馆功能和价值，让市民感受到均等图书文献服务。图书馆教字化建设，巩固公共文化示范创建的成果，全面铺开“一卡通”文化服务，实现区域文化共建共享。昌吉市图书馆按照上级单位要求，制定2022年全年预算资金163.32万元，其中人员经费127.08万元，公用经费22.79万元主要用于发放单位9人工资，全年开展图书馆开展全民阅读，举办各类阅读活动50场，购买230类图书，2000本。</w:t>
            </w:r>
          </w:p>
        </w:tc>
        <w:tc>
          <w:tcPr>
            <w:tcW w:w="4256" w:type="dxa"/>
            <w:gridSpan w:val="6"/>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 xml:space="preserve">2022年举办各类阅读活动50场，订购23种0报刊，订购新书2000本，公务保障用车1量，保障办公人员9人，州、市考核达标率达到100%;资金使用合率规达到100%，举办阅读场次完成率达到100%。 </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2022年人员经费127.08，公用经费22.79万元，营造了良好的读书环境，提升全面阅读能力及公众文化熏陶覆盖面，读者满意度达到98%，员工满意度达到95%。</w:t>
            </w:r>
          </w:p>
        </w:tc>
        <w:tc>
          <w:tcPr>
            <w:tcW w:w="798"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left"/>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780" w:hRule="atLeast"/>
        </w:trPr>
        <w:tc>
          <w:tcPr>
            <w:tcW w:w="46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年度绩效指标完成情况</w:t>
            </w:r>
          </w:p>
        </w:tc>
        <w:tc>
          <w:tcPr>
            <w:tcW w:w="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一级指标</w:t>
            </w:r>
          </w:p>
        </w:tc>
        <w:tc>
          <w:tcPr>
            <w:tcW w:w="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二级指标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三级指标</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绩效目标值</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实际完成值</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指标分值</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得分</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项目完成</w:t>
            </w:r>
          </w:p>
        </w:tc>
        <w:tc>
          <w:tcPr>
            <w:tcW w:w="3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数量指标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为丰富读书内容，促进全民阅读，举办各类阅读活动</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=50.00场/年</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=50场/年</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订购报刊种类</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=230.00种</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=230种</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订购新书</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=2000.00本/年</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=2000本/年</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公务保障用车数量</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=1.00辆</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=1辆</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保障办公人员数量</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=9.00人</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=9人</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6</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质量指标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保证州、市考核达标率</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资金使用合率规</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举办阅读场次完成率</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时效指标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公用经费支付及时率</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=100.00%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=100%</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成本指标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人员经费数</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&lt;=127.08万元</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&lt;=127.08万元</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公用经费数</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&lt;=22.79万元</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&lt;=22.79万元</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项目效益</w:t>
            </w:r>
          </w:p>
        </w:tc>
        <w:tc>
          <w:tcPr>
            <w:tcW w:w="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经济效益指标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社会效益指标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营造良好的读书环境</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逐步提升</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逐步提升</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生态效益指标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可持续影响指标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提升全面阅读能力及公众文化熏陶覆盖面。</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有效提升</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有效提升</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14</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32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满意度指标</w:t>
            </w: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提高读者满意度</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&gt;=98.00%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&gt;=98%</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gridAfter w:val="1"/>
          <w:wAfter w:w="1" w:type="dxa"/>
          <w:trHeight w:val="880" w:hRule="atLeast"/>
        </w:trPr>
        <w:tc>
          <w:tcPr>
            <w:tcW w:w="46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78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32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spacing w:line="240" w:lineRule="auto"/>
              <w:ind w:firstLine="0" w:firstLineChars="0"/>
              <w:jc w:val="center"/>
              <w:rPr>
                <w:rFonts w:hint="eastAsia" w:ascii="宋体" w:hAnsi="宋体" w:eastAsia="宋体" w:cs="宋体"/>
                <w:i w:val="0"/>
                <w:color w:val="000000"/>
                <w:sz w:val="22"/>
                <w:szCs w:val="22"/>
                <w:u w:val="none"/>
              </w:rPr>
            </w:pPr>
          </w:p>
        </w:tc>
        <w:tc>
          <w:tcPr>
            <w:tcW w:w="18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员工满意度</w:t>
            </w:r>
          </w:p>
        </w:tc>
        <w:tc>
          <w:tcPr>
            <w:tcW w:w="17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&gt;=95.00%</w:t>
            </w:r>
          </w:p>
        </w:tc>
        <w:tc>
          <w:tcPr>
            <w:tcW w:w="9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&gt;=95%</w:t>
            </w:r>
          </w:p>
        </w:tc>
        <w:tc>
          <w:tcPr>
            <w:tcW w:w="7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80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5</w:t>
            </w:r>
          </w:p>
        </w:tc>
        <w:tc>
          <w:tcPr>
            <w:tcW w:w="79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spacing w:line="240" w:lineRule="auto"/>
              <w:ind w:firstLine="0" w:firstLineChars="0"/>
              <w:jc w:val="center"/>
              <w:textAlignment w:val="center"/>
              <w:rPr>
                <w:rFonts w:hint="eastAsia" w:ascii="宋体" w:hAnsi="宋体" w:eastAsia="宋体" w:cs="宋体"/>
                <w:i w:val="0"/>
                <w:color w:val="000000"/>
                <w:kern w:val="0"/>
                <w:sz w:val="22"/>
                <w:szCs w:val="22"/>
                <w:u w:val="none"/>
                <w:lang w:val="en-US" w:eastAsia="zh-CN" w:bidi="ar"/>
              </w:rPr>
            </w:pPr>
          </w:p>
        </w:tc>
      </w:tr>
    </w:tbl>
    <w:p>
      <w:pPr>
        <w:ind w:left="0" w:leftChars="0" w:firstLine="0" w:firstLineChars="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00" w:usb3="00000000" w:csb0="00040000" w:csb1="00000000"/>
  </w:font>
  <w:font w:name="Malgun Gothic Semilight">
    <w:altName w:val="Malgun Gothic"/>
    <w:panose1 w:val="00000000000000000000"/>
    <w:charset w:val="80"/>
    <w:family w:val="swiss"/>
    <w:pitch w:val="default"/>
    <w:sig w:usb0="00000000" w:usb1="00000000" w:usb2="00000012" w:usb3="00000000" w:csb0="203E01BD" w:csb1="D7FF0000"/>
  </w:font>
  <w:font w:name="方正小标宋简体">
    <w:altName w:val="仿宋_GB2312"/>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sdtPr>
    <w:sdtContent>
      <w:p>
        <w:pPr>
          <w:pStyle w:val="8"/>
          <w:ind w:firstLine="360"/>
          <w:jc w:val="right"/>
        </w:pPr>
        <w:r>
          <w:rPr>
            <w:lang w:val="zh-CN"/>
          </w:rPr>
          <w:fldChar w:fldCharType="begin"/>
        </w:r>
        <w:r>
          <w:rPr>
            <w:lang w:val="zh-CN"/>
          </w:rPr>
          <w:instrText xml:space="preserve"> PAGE   \* MERGEFORMAT </w:instrText>
        </w:r>
        <w:r>
          <w:rPr>
            <w:lang w:val="zh-CN"/>
          </w:rPr>
          <w:fldChar w:fldCharType="separate"/>
        </w:r>
        <w:r>
          <w:rPr>
            <w:lang w:val="zh-CN"/>
          </w:rPr>
          <w:t>14</w:t>
        </w:r>
        <w:r>
          <w:rPr>
            <w:lang w:val="zh-CN"/>
          </w:rPr>
          <w:fldChar w:fldCharType="end"/>
        </w:r>
      </w:p>
    </w:sdtContent>
  </w:sdt>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8CBA3B"/>
    <w:multiLevelType w:val="singleLevel"/>
    <w:tmpl w:val="F68CBA3B"/>
    <w:lvl w:ilvl="0" w:tentative="0">
      <w:start w:val="2"/>
      <w:numFmt w:val="decimal"/>
      <w:suff w:val="nothing"/>
      <w:lvlText w:val="（%1）"/>
      <w:lvlJc w:val="left"/>
      <w:pPr>
        <w:ind w:left="-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40"/>
  <w:drawingGridVerticalSpacing w:val="38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Y5MTQ4ZWU2NzY3MDVlZTRjMTZhOThhNGM2MzMwNzMifQ=="/>
    <w:docVar w:name="KSO_WPS_MARK_KEY" w:val="3003df1e-2d96-4da0-a131-0494c01c354a"/>
  </w:docVars>
  <w:rsids>
    <w:rsidRoot w:val="005736CA"/>
    <w:rsid w:val="00012408"/>
    <w:rsid w:val="000127F0"/>
    <w:rsid w:val="00012F5F"/>
    <w:rsid w:val="000F675C"/>
    <w:rsid w:val="00121C95"/>
    <w:rsid w:val="00154474"/>
    <w:rsid w:val="001905F3"/>
    <w:rsid w:val="0020197C"/>
    <w:rsid w:val="00201A4A"/>
    <w:rsid w:val="002153DD"/>
    <w:rsid w:val="002640E4"/>
    <w:rsid w:val="00266868"/>
    <w:rsid w:val="003B184C"/>
    <w:rsid w:val="003F473D"/>
    <w:rsid w:val="00455E2F"/>
    <w:rsid w:val="00485980"/>
    <w:rsid w:val="004D4927"/>
    <w:rsid w:val="004E4CA7"/>
    <w:rsid w:val="005736CA"/>
    <w:rsid w:val="005A124E"/>
    <w:rsid w:val="005B3AD4"/>
    <w:rsid w:val="005D3F17"/>
    <w:rsid w:val="005E5D6E"/>
    <w:rsid w:val="005F7A93"/>
    <w:rsid w:val="00601640"/>
    <w:rsid w:val="00617C63"/>
    <w:rsid w:val="00722410"/>
    <w:rsid w:val="0077571A"/>
    <w:rsid w:val="007A1B0F"/>
    <w:rsid w:val="007A585B"/>
    <w:rsid w:val="007B6305"/>
    <w:rsid w:val="007D0AA2"/>
    <w:rsid w:val="008A09A7"/>
    <w:rsid w:val="008A1C5E"/>
    <w:rsid w:val="008D5E7B"/>
    <w:rsid w:val="0090615A"/>
    <w:rsid w:val="00931A42"/>
    <w:rsid w:val="009443DA"/>
    <w:rsid w:val="00961F8B"/>
    <w:rsid w:val="009D6347"/>
    <w:rsid w:val="009E68A2"/>
    <w:rsid w:val="00A22796"/>
    <w:rsid w:val="00A615BA"/>
    <w:rsid w:val="00A7110C"/>
    <w:rsid w:val="00A720BD"/>
    <w:rsid w:val="00A73929"/>
    <w:rsid w:val="00A85EC6"/>
    <w:rsid w:val="00A87301"/>
    <w:rsid w:val="00A95478"/>
    <w:rsid w:val="00AE0359"/>
    <w:rsid w:val="00B00384"/>
    <w:rsid w:val="00B40102"/>
    <w:rsid w:val="00B81249"/>
    <w:rsid w:val="00BC7E1D"/>
    <w:rsid w:val="00C11C70"/>
    <w:rsid w:val="00C36E51"/>
    <w:rsid w:val="00C5695F"/>
    <w:rsid w:val="00CA0283"/>
    <w:rsid w:val="00CD147B"/>
    <w:rsid w:val="00D04820"/>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266D56"/>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1F22D2"/>
    <w:rsid w:val="08436556"/>
    <w:rsid w:val="0856616F"/>
    <w:rsid w:val="08622524"/>
    <w:rsid w:val="086A7EAD"/>
    <w:rsid w:val="08881A41"/>
    <w:rsid w:val="08E604A1"/>
    <w:rsid w:val="08EF03CC"/>
    <w:rsid w:val="092D6339"/>
    <w:rsid w:val="097A0CA3"/>
    <w:rsid w:val="09925994"/>
    <w:rsid w:val="09DA2AA5"/>
    <w:rsid w:val="0A570F00"/>
    <w:rsid w:val="0AD23979"/>
    <w:rsid w:val="0AE14729"/>
    <w:rsid w:val="0B4635B9"/>
    <w:rsid w:val="0B6C582B"/>
    <w:rsid w:val="0B735A1E"/>
    <w:rsid w:val="0B927CE4"/>
    <w:rsid w:val="0BA1208D"/>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682AF0"/>
    <w:rsid w:val="0E820056"/>
    <w:rsid w:val="0E9E33B0"/>
    <w:rsid w:val="0EF905AA"/>
    <w:rsid w:val="0F140AC0"/>
    <w:rsid w:val="0F14215B"/>
    <w:rsid w:val="0F3C74C6"/>
    <w:rsid w:val="0FB35FED"/>
    <w:rsid w:val="0FD2175C"/>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9638F"/>
    <w:rsid w:val="132A631E"/>
    <w:rsid w:val="13332723"/>
    <w:rsid w:val="13336BAF"/>
    <w:rsid w:val="134D7FF4"/>
    <w:rsid w:val="13523DC0"/>
    <w:rsid w:val="136819A2"/>
    <w:rsid w:val="13A27094"/>
    <w:rsid w:val="13B42D72"/>
    <w:rsid w:val="13CE2B9A"/>
    <w:rsid w:val="13D06674"/>
    <w:rsid w:val="13D44D7F"/>
    <w:rsid w:val="14120FE1"/>
    <w:rsid w:val="142C48EB"/>
    <w:rsid w:val="143E5526"/>
    <w:rsid w:val="14703A03"/>
    <w:rsid w:val="1493153C"/>
    <w:rsid w:val="14A60FE7"/>
    <w:rsid w:val="14B33F8F"/>
    <w:rsid w:val="14F81E1D"/>
    <w:rsid w:val="15343BE6"/>
    <w:rsid w:val="15357338"/>
    <w:rsid w:val="153612FD"/>
    <w:rsid w:val="154136C6"/>
    <w:rsid w:val="15530DDD"/>
    <w:rsid w:val="156F1B1C"/>
    <w:rsid w:val="15FA6724"/>
    <w:rsid w:val="15FE0438"/>
    <w:rsid w:val="16050D98"/>
    <w:rsid w:val="1605350A"/>
    <w:rsid w:val="164D645C"/>
    <w:rsid w:val="167B52F3"/>
    <w:rsid w:val="16811A70"/>
    <w:rsid w:val="16D97F04"/>
    <w:rsid w:val="16DC79A8"/>
    <w:rsid w:val="16F4505A"/>
    <w:rsid w:val="17136C0E"/>
    <w:rsid w:val="17383D5F"/>
    <w:rsid w:val="177D3D5F"/>
    <w:rsid w:val="178761BB"/>
    <w:rsid w:val="17C573FD"/>
    <w:rsid w:val="18142FD5"/>
    <w:rsid w:val="18647115"/>
    <w:rsid w:val="186610FD"/>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BBF7E22"/>
    <w:rsid w:val="1BE93DF5"/>
    <w:rsid w:val="1C0E12CD"/>
    <w:rsid w:val="1C3C0819"/>
    <w:rsid w:val="1C5A6A79"/>
    <w:rsid w:val="1C603202"/>
    <w:rsid w:val="1C9A0200"/>
    <w:rsid w:val="1CCE5055"/>
    <w:rsid w:val="1CD529D6"/>
    <w:rsid w:val="1DEB6607"/>
    <w:rsid w:val="1DED007E"/>
    <w:rsid w:val="1DFB6F14"/>
    <w:rsid w:val="1E47773B"/>
    <w:rsid w:val="1E4B6E86"/>
    <w:rsid w:val="1EFC309E"/>
    <w:rsid w:val="1F0539AE"/>
    <w:rsid w:val="1F7D50C8"/>
    <w:rsid w:val="1F893367"/>
    <w:rsid w:val="1FCB3375"/>
    <w:rsid w:val="1FE173B4"/>
    <w:rsid w:val="1FE72E58"/>
    <w:rsid w:val="200667A3"/>
    <w:rsid w:val="20173A7C"/>
    <w:rsid w:val="203B1607"/>
    <w:rsid w:val="20783813"/>
    <w:rsid w:val="20F25F2A"/>
    <w:rsid w:val="20F27184"/>
    <w:rsid w:val="212F5EEF"/>
    <w:rsid w:val="213A4AC2"/>
    <w:rsid w:val="21491BF2"/>
    <w:rsid w:val="218738BE"/>
    <w:rsid w:val="219A700D"/>
    <w:rsid w:val="21B21339"/>
    <w:rsid w:val="21BF20AD"/>
    <w:rsid w:val="21C43928"/>
    <w:rsid w:val="21F330F9"/>
    <w:rsid w:val="220041A2"/>
    <w:rsid w:val="22235E02"/>
    <w:rsid w:val="228C2437"/>
    <w:rsid w:val="22AA70CA"/>
    <w:rsid w:val="23585C4E"/>
    <w:rsid w:val="236A7EFE"/>
    <w:rsid w:val="23765811"/>
    <w:rsid w:val="23805685"/>
    <w:rsid w:val="23880F1A"/>
    <w:rsid w:val="23A43F46"/>
    <w:rsid w:val="23BA6588"/>
    <w:rsid w:val="23DC635E"/>
    <w:rsid w:val="23DF7B59"/>
    <w:rsid w:val="242659B0"/>
    <w:rsid w:val="248879F4"/>
    <w:rsid w:val="24A97FDF"/>
    <w:rsid w:val="24BC01CD"/>
    <w:rsid w:val="24C25CD7"/>
    <w:rsid w:val="24D73DEE"/>
    <w:rsid w:val="24D96D65"/>
    <w:rsid w:val="24E04C2E"/>
    <w:rsid w:val="25250F9A"/>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110088"/>
    <w:rsid w:val="2A380298"/>
    <w:rsid w:val="2A390D7C"/>
    <w:rsid w:val="2A6E4316"/>
    <w:rsid w:val="2A7B46E1"/>
    <w:rsid w:val="2A886FA9"/>
    <w:rsid w:val="2AC64A60"/>
    <w:rsid w:val="2C085CD5"/>
    <w:rsid w:val="2C5033C5"/>
    <w:rsid w:val="2C5C6A3E"/>
    <w:rsid w:val="2C757BAF"/>
    <w:rsid w:val="2C8606C5"/>
    <w:rsid w:val="2C8C2E69"/>
    <w:rsid w:val="2C974E3D"/>
    <w:rsid w:val="2D07338F"/>
    <w:rsid w:val="2DB93477"/>
    <w:rsid w:val="2DC172D3"/>
    <w:rsid w:val="2DF65048"/>
    <w:rsid w:val="2E165B2D"/>
    <w:rsid w:val="2E1B46D1"/>
    <w:rsid w:val="2E9C69DA"/>
    <w:rsid w:val="2EE84ED3"/>
    <w:rsid w:val="2F047E61"/>
    <w:rsid w:val="2F062134"/>
    <w:rsid w:val="2F097580"/>
    <w:rsid w:val="2F21289E"/>
    <w:rsid w:val="2F8507EF"/>
    <w:rsid w:val="2F912F13"/>
    <w:rsid w:val="30315A18"/>
    <w:rsid w:val="308C4C8C"/>
    <w:rsid w:val="30A14448"/>
    <w:rsid w:val="31121DE6"/>
    <w:rsid w:val="31793EC1"/>
    <w:rsid w:val="31F242FB"/>
    <w:rsid w:val="31F82192"/>
    <w:rsid w:val="32025E0E"/>
    <w:rsid w:val="32031EA3"/>
    <w:rsid w:val="321C166B"/>
    <w:rsid w:val="32805979"/>
    <w:rsid w:val="32BB081F"/>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5401DE"/>
    <w:rsid w:val="35DE49C0"/>
    <w:rsid w:val="35FA7EA7"/>
    <w:rsid w:val="363B291C"/>
    <w:rsid w:val="363E1F63"/>
    <w:rsid w:val="37206D7C"/>
    <w:rsid w:val="375B421F"/>
    <w:rsid w:val="37905AF3"/>
    <w:rsid w:val="37A34800"/>
    <w:rsid w:val="37E02280"/>
    <w:rsid w:val="38026202"/>
    <w:rsid w:val="383B1C65"/>
    <w:rsid w:val="38764896"/>
    <w:rsid w:val="388D632D"/>
    <w:rsid w:val="38962C73"/>
    <w:rsid w:val="389D1210"/>
    <w:rsid w:val="38C05FA5"/>
    <w:rsid w:val="38CD3EED"/>
    <w:rsid w:val="38DF1F43"/>
    <w:rsid w:val="38F84920"/>
    <w:rsid w:val="390339EB"/>
    <w:rsid w:val="39D66640"/>
    <w:rsid w:val="39EB4452"/>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B600E"/>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3E421CA"/>
    <w:rsid w:val="44016A8B"/>
    <w:rsid w:val="440D4A0E"/>
    <w:rsid w:val="441B763D"/>
    <w:rsid w:val="443F0A8A"/>
    <w:rsid w:val="44483F56"/>
    <w:rsid w:val="444C0E2A"/>
    <w:rsid w:val="44703E7E"/>
    <w:rsid w:val="44867A3B"/>
    <w:rsid w:val="44BB2E1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544C9B"/>
    <w:rsid w:val="4A74195A"/>
    <w:rsid w:val="4A7A3D76"/>
    <w:rsid w:val="4A8B6AB4"/>
    <w:rsid w:val="4A9F3033"/>
    <w:rsid w:val="4AAE190E"/>
    <w:rsid w:val="4AE70AB8"/>
    <w:rsid w:val="4B2803BA"/>
    <w:rsid w:val="4B7E595B"/>
    <w:rsid w:val="4BB07602"/>
    <w:rsid w:val="4BE66665"/>
    <w:rsid w:val="4BF32BD8"/>
    <w:rsid w:val="4C24523D"/>
    <w:rsid w:val="4C421049"/>
    <w:rsid w:val="4C5411D7"/>
    <w:rsid w:val="4C546F81"/>
    <w:rsid w:val="4C564361"/>
    <w:rsid w:val="4C5904F7"/>
    <w:rsid w:val="4C99363E"/>
    <w:rsid w:val="4C9C4F4D"/>
    <w:rsid w:val="4CB96723"/>
    <w:rsid w:val="4CE4471C"/>
    <w:rsid w:val="4D0A2F51"/>
    <w:rsid w:val="4D1D44CA"/>
    <w:rsid w:val="4D6B197A"/>
    <w:rsid w:val="4D8C30FA"/>
    <w:rsid w:val="4D960495"/>
    <w:rsid w:val="4E1A2AF8"/>
    <w:rsid w:val="4E3E44C6"/>
    <w:rsid w:val="4E5E1429"/>
    <w:rsid w:val="4E9D6C5F"/>
    <w:rsid w:val="4ED065C7"/>
    <w:rsid w:val="4ED60D0E"/>
    <w:rsid w:val="4EFE1CAD"/>
    <w:rsid w:val="4F5E0911"/>
    <w:rsid w:val="4F6C7D95"/>
    <w:rsid w:val="4F7B7863"/>
    <w:rsid w:val="4FBC77EB"/>
    <w:rsid w:val="4FBD4AFA"/>
    <w:rsid w:val="4FE90FA2"/>
    <w:rsid w:val="50206576"/>
    <w:rsid w:val="50303A7C"/>
    <w:rsid w:val="50453781"/>
    <w:rsid w:val="50A26FF3"/>
    <w:rsid w:val="510776B7"/>
    <w:rsid w:val="51525315"/>
    <w:rsid w:val="515C17D5"/>
    <w:rsid w:val="519223A8"/>
    <w:rsid w:val="51B45CF8"/>
    <w:rsid w:val="51CB5559"/>
    <w:rsid w:val="51CF316D"/>
    <w:rsid w:val="520F3713"/>
    <w:rsid w:val="52880A98"/>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930BD"/>
    <w:rsid w:val="549C23F0"/>
    <w:rsid w:val="54B8713B"/>
    <w:rsid w:val="55132799"/>
    <w:rsid w:val="55355F31"/>
    <w:rsid w:val="55A768F4"/>
    <w:rsid w:val="55B62452"/>
    <w:rsid w:val="55FE78A0"/>
    <w:rsid w:val="56253786"/>
    <w:rsid w:val="562D3283"/>
    <w:rsid w:val="566C0CF7"/>
    <w:rsid w:val="569156EC"/>
    <w:rsid w:val="56CE2C6C"/>
    <w:rsid w:val="56E95104"/>
    <w:rsid w:val="571924B2"/>
    <w:rsid w:val="572109E0"/>
    <w:rsid w:val="5747400E"/>
    <w:rsid w:val="575751FD"/>
    <w:rsid w:val="57623F96"/>
    <w:rsid w:val="578A3F51"/>
    <w:rsid w:val="57CC6BA1"/>
    <w:rsid w:val="57CE3E29"/>
    <w:rsid w:val="581B6FA6"/>
    <w:rsid w:val="589773B3"/>
    <w:rsid w:val="58F37117"/>
    <w:rsid w:val="594D3747"/>
    <w:rsid w:val="596F52DD"/>
    <w:rsid w:val="59783883"/>
    <w:rsid w:val="59BE14BB"/>
    <w:rsid w:val="59CB7C49"/>
    <w:rsid w:val="59E91E58"/>
    <w:rsid w:val="5A0207F8"/>
    <w:rsid w:val="5A0F7C73"/>
    <w:rsid w:val="5A100CE1"/>
    <w:rsid w:val="5A1256F7"/>
    <w:rsid w:val="5A132397"/>
    <w:rsid w:val="5A2E42CD"/>
    <w:rsid w:val="5A7F37F9"/>
    <w:rsid w:val="5A837878"/>
    <w:rsid w:val="5A9E7D61"/>
    <w:rsid w:val="5AB5421F"/>
    <w:rsid w:val="5AB67D0C"/>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9C760D"/>
    <w:rsid w:val="5DAA0B93"/>
    <w:rsid w:val="5DCE0E18"/>
    <w:rsid w:val="5E2A4BFC"/>
    <w:rsid w:val="5EAC236D"/>
    <w:rsid w:val="5EB34C8F"/>
    <w:rsid w:val="5EB67EDE"/>
    <w:rsid w:val="5EDB0D8B"/>
    <w:rsid w:val="5F3732A8"/>
    <w:rsid w:val="5FCC33D8"/>
    <w:rsid w:val="60033350"/>
    <w:rsid w:val="601A432E"/>
    <w:rsid w:val="602266C7"/>
    <w:rsid w:val="603B7C36"/>
    <w:rsid w:val="60534AA3"/>
    <w:rsid w:val="60680187"/>
    <w:rsid w:val="60832CD9"/>
    <w:rsid w:val="60CB1B4D"/>
    <w:rsid w:val="60DC42D6"/>
    <w:rsid w:val="61217D14"/>
    <w:rsid w:val="613172F2"/>
    <w:rsid w:val="6142313B"/>
    <w:rsid w:val="614D3BC8"/>
    <w:rsid w:val="61712BE0"/>
    <w:rsid w:val="618F1CE4"/>
    <w:rsid w:val="61B9511D"/>
    <w:rsid w:val="61CC46A0"/>
    <w:rsid w:val="61CE240F"/>
    <w:rsid w:val="61D23BCD"/>
    <w:rsid w:val="62007435"/>
    <w:rsid w:val="620D7C35"/>
    <w:rsid w:val="622E2CF7"/>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7F81964"/>
    <w:rsid w:val="68537B47"/>
    <w:rsid w:val="68620DC9"/>
    <w:rsid w:val="68A9552D"/>
    <w:rsid w:val="68C330AE"/>
    <w:rsid w:val="68D52CCF"/>
    <w:rsid w:val="68E45DE3"/>
    <w:rsid w:val="691D1344"/>
    <w:rsid w:val="6934149F"/>
    <w:rsid w:val="69461986"/>
    <w:rsid w:val="6958671E"/>
    <w:rsid w:val="6A1D02B0"/>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B36903"/>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7E738E"/>
    <w:rsid w:val="7A9A0A56"/>
    <w:rsid w:val="7AB2209C"/>
    <w:rsid w:val="7ACB6E73"/>
    <w:rsid w:val="7B033D7C"/>
    <w:rsid w:val="7B233171"/>
    <w:rsid w:val="7B3943CF"/>
    <w:rsid w:val="7B634CE1"/>
    <w:rsid w:val="7B9C2512"/>
    <w:rsid w:val="7BFB110F"/>
    <w:rsid w:val="7C09409A"/>
    <w:rsid w:val="7C264DF2"/>
    <w:rsid w:val="7C287D7E"/>
    <w:rsid w:val="7C3825FA"/>
    <w:rsid w:val="7C3829D4"/>
    <w:rsid w:val="7D2A2168"/>
    <w:rsid w:val="7D3613D1"/>
    <w:rsid w:val="7D4B33BB"/>
    <w:rsid w:val="7D7C4CEA"/>
    <w:rsid w:val="7D866779"/>
    <w:rsid w:val="7D9F3F02"/>
    <w:rsid w:val="7E5F0EE8"/>
    <w:rsid w:val="7E7506DB"/>
    <w:rsid w:val="7E851F96"/>
    <w:rsid w:val="7EAB0E13"/>
    <w:rsid w:val="7EB2667C"/>
    <w:rsid w:val="7EC854AC"/>
    <w:rsid w:val="7EF90802"/>
    <w:rsid w:val="7EFD215B"/>
    <w:rsid w:val="7F191C23"/>
    <w:rsid w:val="7F961180"/>
    <w:rsid w:val="7FD25BD3"/>
    <w:rsid w:val="7FDC49AB"/>
    <w:rsid w:val="9EFB6105"/>
    <w:rsid w:val="A5CFC6D8"/>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Balloon Text"/>
    <w:basedOn w:val="1"/>
    <w:link w:val="24"/>
    <w:semiHidden/>
    <w:unhideWhenUsed/>
    <w:qFormat/>
    <w:uiPriority w:val="0"/>
    <w:pPr>
      <w:spacing w:line="240" w:lineRule="auto"/>
    </w:pPr>
    <w:rPr>
      <w:sz w:val="18"/>
      <w:szCs w:val="18"/>
    </w:rPr>
  </w:style>
  <w:style w:type="paragraph" w:styleId="8">
    <w:name w:val="footer"/>
    <w:basedOn w:val="1"/>
    <w:link w:val="23"/>
    <w:qFormat/>
    <w:uiPriority w:val="99"/>
    <w:pPr>
      <w:tabs>
        <w:tab w:val="center" w:pos="4153"/>
        <w:tab w:val="right" w:pos="8306"/>
      </w:tabs>
      <w:snapToGrid w:val="0"/>
      <w:jc w:val="left"/>
    </w:pPr>
    <w:rPr>
      <w:rFonts w:ascii="Times New Roman" w:hAnsi="Times New Roman"/>
      <w:sz w:val="18"/>
    </w:rPr>
  </w:style>
  <w:style w:type="paragraph" w:styleId="9">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spacing w:before="100" w:beforeAutospacing="1" w:after="100" w:afterAutospacing="1"/>
      <w:jc w:val="left"/>
    </w:pPr>
    <w:rPr>
      <w:sz w:val="24"/>
    </w:rPr>
  </w:style>
  <w:style w:type="table" w:styleId="12">
    <w:name w:val="Table Grid"/>
    <w:basedOn w:val="11"/>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Strong"/>
    <w:basedOn w:val="13"/>
    <w:qFormat/>
    <w:uiPriority w:val="0"/>
    <w:rPr>
      <w:b/>
      <w:bCs/>
    </w:rPr>
  </w:style>
  <w:style w:type="paragraph" w:customStyle="1" w:styleId="15">
    <w:name w:val="Char"/>
    <w:basedOn w:val="1"/>
    <w:qFormat/>
    <w:uiPriority w:val="99"/>
    <w:pPr>
      <w:widowControl/>
      <w:spacing w:after="160" w:line="240" w:lineRule="exact"/>
      <w:jc w:val="left"/>
    </w:pPr>
  </w:style>
  <w:style w:type="paragraph" w:customStyle="1" w:styleId="16">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7">
    <w:name w:val="List Paragraph"/>
    <w:basedOn w:val="1"/>
    <w:unhideWhenUsed/>
    <w:qFormat/>
    <w:uiPriority w:val="99"/>
    <w:pPr>
      <w:ind w:firstLine="420"/>
    </w:pPr>
  </w:style>
  <w:style w:type="paragraph" w:customStyle="1" w:styleId="18">
    <w:name w:val="样式1"/>
    <w:basedOn w:val="1"/>
    <w:link w:val="20"/>
    <w:qFormat/>
    <w:uiPriority w:val="0"/>
    <w:pPr>
      <w:ind w:firstLine="560"/>
    </w:pPr>
  </w:style>
  <w:style w:type="paragraph" w:customStyle="1" w:styleId="19">
    <w:name w:val="样式2"/>
    <w:basedOn w:val="9"/>
    <w:link w:val="22"/>
    <w:qFormat/>
    <w:uiPriority w:val="0"/>
    <w:pPr>
      <w:pBdr>
        <w:bottom w:val="none" w:color="auto" w:sz="0" w:space="0"/>
      </w:pBdr>
      <w:ind w:firstLine="360"/>
    </w:pPr>
  </w:style>
  <w:style w:type="character" w:customStyle="1" w:styleId="20">
    <w:name w:val="样式1 Char"/>
    <w:basedOn w:val="13"/>
    <w:link w:val="18"/>
    <w:qFormat/>
    <w:uiPriority w:val="0"/>
    <w:rPr>
      <w:rFonts w:ascii="仿宋" w:hAnsi="仿宋" w:eastAsia="仿宋"/>
      <w:kern w:val="2"/>
      <w:sz w:val="28"/>
      <w:szCs w:val="24"/>
    </w:rPr>
  </w:style>
  <w:style w:type="character" w:customStyle="1" w:styleId="21">
    <w:name w:val="页眉 Char"/>
    <w:basedOn w:val="13"/>
    <w:link w:val="9"/>
    <w:qFormat/>
    <w:uiPriority w:val="99"/>
    <w:rPr>
      <w:rFonts w:ascii="仿宋" w:hAnsi="仿宋" w:eastAsia="仿宋"/>
      <w:kern w:val="2"/>
      <w:sz w:val="18"/>
      <w:szCs w:val="18"/>
    </w:rPr>
  </w:style>
  <w:style w:type="character" w:customStyle="1" w:styleId="22">
    <w:name w:val="样式2 Char"/>
    <w:basedOn w:val="21"/>
    <w:link w:val="19"/>
    <w:qFormat/>
    <w:uiPriority w:val="0"/>
    <w:rPr>
      <w:rFonts w:ascii="仿宋" w:hAnsi="仿宋" w:eastAsia="仿宋"/>
      <w:kern w:val="2"/>
      <w:sz w:val="18"/>
      <w:szCs w:val="18"/>
    </w:rPr>
  </w:style>
  <w:style w:type="character" w:customStyle="1" w:styleId="23">
    <w:name w:val="页脚 Char"/>
    <w:basedOn w:val="13"/>
    <w:link w:val="8"/>
    <w:qFormat/>
    <w:uiPriority w:val="99"/>
    <w:rPr>
      <w:rFonts w:eastAsia="仿宋"/>
      <w:kern w:val="2"/>
      <w:sz w:val="18"/>
      <w:szCs w:val="24"/>
    </w:rPr>
  </w:style>
  <w:style w:type="character" w:customStyle="1" w:styleId="24">
    <w:name w:val="批注框文本 Char"/>
    <w:basedOn w:val="13"/>
    <w:link w:val="7"/>
    <w:semiHidden/>
    <w:qFormat/>
    <w:uiPriority w:val="0"/>
    <w:rPr>
      <w:rFonts w:ascii="仿宋" w:hAnsi="仿宋" w:eastAsia="仿宋"/>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19</Pages>
  <Words>6598</Words>
  <Characters>7338</Characters>
  <Lines>5</Lines>
  <Paragraphs>12</Paragraphs>
  <TotalTime>0</TotalTime>
  <ScaleCrop>false</ScaleCrop>
  <LinksUpToDate>false</LinksUpToDate>
  <CharactersWithSpaces>7355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Administrator</cp:lastModifiedBy>
  <cp:lastPrinted>2023-02-20T04:16:00Z</cp:lastPrinted>
  <dcterms:modified xsi:type="dcterms:W3CDTF">2023-02-22T14:50:20Z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59F342D2D53748269FF90B84B7445FDC</vt:lpwstr>
  </property>
</Properties>
</file>