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color w:val="auto"/>
          <w:kern w:val="0"/>
          <w:sz w:val="52"/>
          <w:szCs w:val="52"/>
        </w:rPr>
      </w:pPr>
      <w:r>
        <w:rPr>
          <w:rFonts w:hint="eastAsia"/>
          <w:color w:val="auto"/>
        </w:rPr>
        <w:br w:type="textWrapping"/>
      </w:r>
    </w:p>
    <w:p>
      <w:pPr>
        <w:ind w:firstLine="1041"/>
        <w:rPr>
          <w:rFonts w:ascii="华文中宋" w:hAnsi="华文中宋" w:eastAsia="华文中宋" w:cs="宋体"/>
          <w:b/>
          <w:color w:val="auto"/>
          <w:kern w:val="0"/>
          <w:sz w:val="52"/>
          <w:szCs w:val="52"/>
        </w:rPr>
      </w:pPr>
    </w:p>
    <w:p>
      <w:pPr>
        <w:ind w:firstLine="0" w:firstLineChars="0"/>
        <w:jc w:val="center"/>
        <w:rPr>
          <w:rFonts w:ascii="华文中宋" w:hAnsi="华文中宋" w:eastAsia="华文中宋" w:cs="宋体"/>
          <w:b/>
          <w:color w:val="auto"/>
          <w:kern w:val="0"/>
          <w:sz w:val="52"/>
          <w:szCs w:val="52"/>
        </w:rPr>
      </w:pPr>
    </w:p>
    <w:p>
      <w:pPr>
        <w:spacing w:line="600" w:lineRule="exact"/>
        <w:ind w:firstLine="0" w:firstLineChars="0"/>
        <w:jc w:val="center"/>
        <w:rPr>
          <w:rFonts w:ascii="方正小标宋_GBK" w:hAnsi="华文中宋" w:eastAsia="方正小标宋_GBK" w:cs="宋体"/>
          <w:color w:val="auto"/>
          <w:kern w:val="0"/>
          <w:sz w:val="48"/>
          <w:szCs w:val="48"/>
        </w:rPr>
      </w:pPr>
      <w:r>
        <w:rPr>
          <w:rFonts w:hint="eastAsia" w:ascii="方正小标宋_GBK" w:hAnsi="华文中宋" w:eastAsia="方正小标宋_GBK" w:cs="宋体"/>
          <w:color w:val="auto"/>
          <w:kern w:val="0"/>
          <w:sz w:val="48"/>
          <w:szCs w:val="48"/>
        </w:rPr>
        <w:t>昌吉市</w:t>
      </w:r>
      <w:r>
        <w:rPr>
          <w:rFonts w:hint="eastAsia" w:ascii="方正小标宋_GBK" w:hAnsi="华文中宋" w:eastAsia="方正小标宋_GBK" w:cs="宋体"/>
          <w:color w:val="auto"/>
          <w:kern w:val="0"/>
          <w:sz w:val="48"/>
          <w:szCs w:val="48"/>
          <w:lang w:eastAsia="zh-CN"/>
        </w:rPr>
        <w:t>商务和工业信息化局</w:t>
      </w:r>
      <w:r>
        <w:rPr>
          <w:rFonts w:hint="eastAsia" w:ascii="方正小标宋_GBK" w:hAnsi="华文中宋" w:eastAsia="方正小标宋_GBK" w:cs="宋体"/>
          <w:color w:val="auto"/>
          <w:kern w:val="0"/>
          <w:sz w:val="48"/>
          <w:szCs w:val="48"/>
        </w:rPr>
        <w:t>整体支出绩效自评报告</w:t>
      </w:r>
    </w:p>
    <w:p>
      <w:pPr>
        <w:ind w:firstLine="0" w:firstLineChars="0"/>
        <w:jc w:val="center"/>
        <w:rPr>
          <w:rFonts w:ascii="华文中宋" w:hAnsi="华文中宋" w:eastAsia="华文中宋" w:cs="宋体"/>
          <w:b/>
          <w:color w:val="auto"/>
          <w:kern w:val="0"/>
          <w:sz w:val="52"/>
          <w:szCs w:val="52"/>
        </w:rPr>
      </w:pPr>
    </w:p>
    <w:p>
      <w:pPr>
        <w:ind w:firstLine="0" w:firstLineChars="0"/>
        <w:jc w:val="center"/>
        <w:rPr>
          <w:rFonts w:ascii="仿宋_GB2312" w:hAnsi="宋体" w:eastAsia="仿宋_GB2312" w:cs="宋体"/>
          <w:color w:val="auto"/>
          <w:kern w:val="0"/>
          <w:sz w:val="36"/>
          <w:szCs w:val="36"/>
        </w:rPr>
      </w:pPr>
      <w:r>
        <w:rPr>
          <w:rFonts w:hint="eastAsia" w:ascii="仿宋_GB2312" w:hAnsi="宋体" w:eastAsia="仿宋_GB2312" w:cs="宋体"/>
          <w:color w:val="auto"/>
          <w:kern w:val="0"/>
          <w:sz w:val="36"/>
          <w:szCs w:val="36"/>
        </w:rPr>
        <w:t>（</w:t>
      </w:r>
      <w:r>
        <w:rPr>
          <w:rFonts w:hint="eastAsia" w:ascii="仿宋_GB2312" w:hAnsi="宋体" w:eastAsia="仿宋_GB2312" w:cs="宋体"/>
          <w:color w:val="auto"/>
          <w:kern w:val="0"/>
          <w:sz w:val="36"/>
          <w:szCs w:val="36"/>
          <w:lang w:eastAsia="zh-CN"/>
        </w:rPr>
        <w:t>2022</w:t>
      </w:r>
      <w:r>
        <w:rPr>
          <w:rFonts w:hint="eastAsia" w:ascii="仿宋_GB2312" w:hAnsi="宋体" w:eastAsia="仿宋_GB2312" w:cs="宋体"/>
          <w:color w:val="auto"/>
          <w:kern w:val="0"/>
          <w:sz w:val="36"/>
          <w:szCs w:val="36"/>
        </w:rPr>
        <w:t>年度</w:t>
      </w:r>
      <w:r>
        <w:rPr>
          <w:rFonts w:hint="eastAsia" w:ascii="仿宋_GB2312" w:hAnsi="Malgun Gothic Semilight" w:eastAsia="仿宋_GB2312" w:cs="Malgun Gothic Semilight"/>
          <w:color w:val="auto"/>
          <w:kern w:val="0"/>
          <w:sz w:val="36"/>
          <w:szCs w:val="36"/>
        </w:rPr>
        <w:t>）</w:t>
      </w:r>
    </w:p>
    <w:p>
      <w:pPr>
        <w:ind w:firstLine="600"/>
        <w:jc w:val="center"/>
        <w:rPr>
          <w:rFonts w:hAnsi="宋体" w:eastAsia="仿宋_GB2312" w:cs="宋体"/>
          <w:color w:val="auto"/>
          <w:kern w:val="0"/>
          <w:sz w:val="30"/>
          <w:szCs w:val="30"/>
        </w:rPr>
      </w:pPr>
    </w:p>
    <w:p>
      <w:pPr>
        <w:spacing w:line="540" w:lineRule="exact"/>
        <w:ind w:firstLine="600"/>
        <w:jc w:val="center"/>
        <w:rPr>
          <w:rFonts w:hAnsi="宋体" w:eastAsia="仿宋_GB2312" w:cs="宋体"/>
          <w:color w:val="auto"/>
          <w:kern w:val="0"/>
          <w:sz w:val="30"/>
          <w:szCs w:val="30"/>
        </w:rPr>
      </w:pPr>
    </w:p>
    <w:p>
      <w:pPr>
        <w:spacing w:line="540" w:lineRule="exact"/>
        <w:ind w:firstLine="720"/>
        <w:jc w:val="center"/>
        <w:rPr>
          <w:rFonts w:ascii="方正小标宋_GBK" w:hAnsi="宋体" w:eastAsia="方正小标宋_GBK" w:cs="宋体"/>
          <w:color w:val="auto"/>
          <w:kern w:val="0"/>
          <w:sz w:val="36"/>
          <w:szCs w:val="36"/>
        </w:rPr>
      </w:pPr>
    </w:p>
    <w:p>
      <w:pPr>
        <w:spacing w:line="540" w:lineRule="exact"/>
        <w:ind w:firstLine="720"/>
        <w:jc w:val="center"/>
        <w:rPr>
          <w:rFonts w:ascii="方正小标宋_GBK" w:hAnsi="宋体" w:eastAsia="方正小标宋_GBK" w:cs="宋体"/>
          <w:color w:val="auto"/>
          <w:kern w:val="0"/>
          <w:sz w:val="36"/>
          <w:szCs w:val="36"/>
        </w:rPr>
      </w:pPr>
    </w:p>
    <w:p>
      <w:pPr>
        <w:spacing w:line="540" w:lineRule="exact"/>
        <w:ind w:firstLine="600"/>
        <w:jc w:val="center"/>
        <w:rPr>
          <w:rFonts w:hAnsi="宋体" w:eastAsia="仿宋_GB2312" w:cs="宋体"/>
          <w:color w:val="auto"/>
          <w:kern w:val="0"/>
          <w:sz w:val="30"/>
          <w:szCs w:val="30"/>
        </w:rPr>
      </w:pPr>
    </w:p>
    <w:p>
      <w:pPr>
        <w:spacing w:line="540" w:lineRule="exact"/>
        <w:ind w:firstLine="600"/>
        <w:jc w:val="center"/>
        <w:rPr>
          <w:rFonts w:hAnsi="宋体" w:eastAsia="仿宋_GB2312" w:cs="宋体"/>
          <w:color w:val="auto"/>
          <w:kern w:val="0"/>
          <w:sz w:val="30"/>
          <w:szCs w:val="30"/>
        </w:rPr>
      </w:pPr>
    </w:p>
    <w:p>
      <w:pPr>
        <w:spacing w:line="540" w:lineRule="exact"/>
        <w:ind w:firstLine="600"/>
        <w:rPr>
          <w:rFonts w:hAnsi="宋体" w:eastAsia="仿宋_GB2312" w:cs="宋体"/>
          <w:color w:val="auto"/>
          <w:kern w:val="0"/>
          <w:sz w:val="30"/>
          <w:szCs w:val="30"/>
        </w:rPr>
      </w:pPr>
    </w:p>
    <w:p>
      <w:pPr>
        <w:spacing w:line="700" w:lineRule="exact"/>
        <w:ind w:firstLine="720"/>
        <w:jc w:val="left"/>
        <w:rPr>
          <w:rFonts w:hAnsi="宋体" w:eastAsia="仿宋_GB2312" w:cs="宋体"/>
          <w:color w:val="auto"/>
          <w:kern w:val="0"/>
          <w:sz w:val="36"/>
          <w:szCs w:val="36"/>
        </w:rPr>
      </w:pPr>
    </w:p>
    <w:p>
      <w:pPr>
        <w:spacing w:line="600" w:lineRule="exact"/>
        <w:ind w:left="0" w:leftChars="0" w:firstLine="0" w:firstLineChars="0"/>
        <w:jc w:val="center"/>
        <w:rPr>
          <w:rFonts w:ascii="黑体" w:hAnsi="黑体" w:eastAsia="黑体" w:cs="黑体"/>
          <w:bCs/>
          <w:color w:val="auto"/>
          <w:sz w:val="36"/>
          <w:szCs w:val="36"/>
        </w:rPr>
      </w:pPr>
      <w:r>
        <w:rPr>
          <w:rFonts w:hint="eastAsia" w:ascii="黑体" w:hAnsi="黑体" w:eastAsia="黑体" w:cs="黑体"/>
          <w:bCs/>
          <w:color w:val="auto"/>
          <w:sz w:val="36"/>
          <w:szCs w:val="36"/>
        </w:rPr>
        <w:t>部门单位名称（公章）：昌吉市商务和工业信息化局</w:t>
      </w:r>
    </w:p>
    <w:p>
      <w:pPr>
        <w:spacing w:line="600" w:lineRule="exact"/>
        <w:ind w:left="0" w:leftChars="0" w:firstLine="0" w:firstLineChars="0"/>
        <w:jc w:val="center"/>
        <w:rPr>
          <w:rFonts w:ascii="黑体" w:hAnsi="黑体" w:eastAsia="黑体" w:cs="黑体"/>
          <w:bCs/>
          <w:color w:val="auto"/>
          <w:sz w:val="36"/>
          <w:szCs w:val="36"/>
        </w:rPr>
      </w:pPr>
      <w:r>
        <w:rPr>
          <w:rFonts w:hint="eastAsia" w:ascii="黑体" w:hAnsi="黑体" w:eastAsia="黑体" w:cs="黑体"/>
          <w:bCs/>
          <w:color w:val="auto"/>
          <w:sz w:val="36"/>
          <w:szCs w:val="36"/>
        </w:rPr>
        <w:t>填报时间：</w:t>
      </w:r>
      <w:r>
        <w:rPr>
          <w:rFonts w:hint="eastAsia" w:ascii="黑体" w:hAnsi="黑体" w:eastAsia="黑体" w:cs="黑体"/>
          <w:bCs/>
          <w:color w:val="auto"/>
          <w:sz w:val="36"/>
          <w:szCs w:val="36"/>
          <w:lang w:val="en-US" w:eastAsia="zh-CN"/>
        </w:rPr>
        <w:t xml:space="preserve">2022 </w:t>
      </w:r>
      <w:r>
        <w:rPr>
          <w:rFonts w:hint="eastAsia" w:ascii="黑体" w:hAnsi="黑体" w:eastAsia="黑体" w:cs="黑体"/>
          <w:bCs/>
          <w:color w:val="auto"/>
          <w:sz w:val="36"/>
          <w:szCs w:val="36"/>
        </w:rPr>
        <w:t xml:space="preserve">年 </w:t>
      </w:r>
      <w:r>
        <w:rPr>
          <w:rFonts w:hint="eastAsia" w:ascii="黑体" w:hAnsi="黑体" w:eastAsia="黑体" w:cs="黑体"/>
          <w:bCs/>
          <w:color w:val="auto"/>
          <w:sz w:val="36"/>
          <w:szCs w:val="36"/>
          <w:lang w:val="en-US" w:eastAsia="zh-CN"/>
        </w:rPr>
        <w:t>2</w:t>
      </w:r>
      <w:r>
        <w:rPr>
          <w:rFonts w:hint="eastAsia" w:ascii="黑体" w:hAnsi="黑体" w:eastAsia="黑体" w:cs="黑体"/>
          <w:bCs/>
          <w:color w:val="auto"/>
          <w:sz w:val="36"/>
          <w:szCs w:val="36"/>
        </w:rPr>
        <w:t>月</w:t>
      </w:r>
      <w:r>
        <w:rPr>
          <w:rFonts w:hint="eastAsia" w:ascii="黑体" w:hAnsi="黑体" w:eastAsia="黑体" w:cs="黑体"/>
          <w:bCs/>
          <w:color w:val="auto"/>
          <w:sz w:val="36"/>
          <w:szCs w:val="36"/>
          <w:lang w:val="en-US" w:eastAsia="zh-CN"/>
        </w:rPr>
        <w:t>18</w:t>
      </w:r>
      <w:r>
        <w:rPr>
          <w:rFonts w:hint="eastAsia" w:ascii="黑体" w:hAnsi="黑体" w:eastAsia="黑体" w:cs="黑体"/>
          <w:bCs/>
          <w:color w:val="auto"/>
          <w:sz w:val="36"/>
          <w:szCs w:val="36"/>
        </w:rPr>
        <w:t>日</w:t>
      </w:r>
    </w:p>
    <w:p>
      <w:pPr>
        <w:spacing w:line="700" w:lineRule="exact"/>
        <w:ind w:firstLine="849" w:firstLineChars="236"/>
        <w:jc w:val="left"/>
        <w:rPr>
          <w:rFonts w:hAnsi="宋体" w:eastAsia="仿宋_GB2312" w:cs="宋体"/>
          <w:color w:val="auto"/>
          <w:kern w:val="0"/>
          <w:sz w:val="36"/>
          <w:szCs w:val="36"/>
        </w:rPr>
      </w:pPr>
    </w:p>
    <w:p>
      <w:pPr>
        <w:ind w:firstLine="560"/>
        <w:rPr>
          <w:color w:val="auto"/>
        </w:rPr>
      </w:pPr>
    </w:p>
    <w:p>
      <w:pPr>
        <w:ind w:firstLine="560"/>
        <w:rPr>
          <w:color w:val="auto"/>
        </w:rPr>
      </w:pPr>
      <w:r>
        <w:rPr>
          <w:rFonts w:hint="eastAsia"/>
          <w:color w:val="auto"/>
        </w:rPr>
        <w:br w:type="page"/>
      </w:r>
    </w:p>
    <w:p>
      <w:pPr>
        <w:pStyle w:val="3"/>
        <w:ind w:firstLine="640"/>
        <w:rPr>
          <w:rFonts w:ascii="黑体" w:hAnsi="黑体"/>
          <w:b w:val="0"/>
          <w:color w:val="auto"/>
          <w:sz w:val="32"/>
          <w:szCs w:val="32"/>
        </w:rPr>
      </w:pPr>
      <w:r>
        <w:rPr>
          <w:rFonts w:hint="eastAsia" w:ascii="黑体" w:hAnsi="黑体"/>
          <w:b w:val="0"/>
          <w:color w:val="auto"/>
          <w:sz w:val="32"/>
          <w:szCs w:val="32"/>
        </w:rPr>
        <w:t>一、基本概况</w:t>
      </w:r>
    </w:p>
    <w:p>
      <w:pPr>
        <w:pStyle w:val="4"/>
        <w:ind w:firstLine="640"/>
        <w:rPr>
          <w:rFonts w:ascii="楷体_GB2312" w:eastAsia="楷体_GB2312"/>
          <w:color w:val="auto"/>
          <w:szCs w:val="32"/>
        </w:rPr>
      </w:pPr>
      <w:r>
        <w:rPr>
          <w:rFonts w:hint="eastAsia" w:ascii="楷体_GB2312" w:eastAsia="楷体_GB2312"/>
          <w:color w:val="auto"/>
          <w:szCs w:val="32"/>
        </w:rPr>
        <w:t>（一）单位基本情况</w:t>
      </w:r>
    </w:p>
    <w:p>
      <w:pPr>
        <w:ind w:firstLine="640"/>
        <w:rPr>
          <w:rFonts w:ascii="仿宋_GB2312" w:eastAsia="仿宋_GB2312"/>
          <w:b/>
          <w:bCs/>
          <w:color w:val="auto"/>
          <w:sz w:val="32"/>
          <w:szCs w:val="32"/>
        </w:rPr>
      </w:pPr>
      <w:r>
        <w:rPr>
          <w:rFonts w:hint="eastAsia" w:ascii="仿宋_GB2312" w:eastAsia="仿宋_GB2312"/>
          <w:b/>
          <w:bCs/>
          <w:color w:val="auto"/>
          <w:sz w:val="32"/>
          <w:szCs w:val="32"/>
        </w:rPr>
        <w:t>1.机构设置及人员情况</w:t>
      </w:r>
    </w:p>
    <w:p>
      <w:pPr>
        <w:snapToGrid w:val="0"/>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昌吉市商务和工业信息化局（以下简称市商务和工业信息化局）是市人民政府工作部门，为正科级。</w:t>
      </w:r>
    </w:p>
    <w:p>
      <w:pPr>
        <w:pStyle w:val="5"/>
        <w:ind w:firstLine="640"/>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kern w:val="2"/>
          <w:sz w:val="32"/>
          <w:szCs w:val="32"/>
          <w:lang w:val="en-US" w:eastAsia="zh-CN" w:bidi="ar-SA"/>
        </w:rPr>
        <w:t>编制数37，实有人数3</w:t>
      </w:r>
      <w:r>
        <w:rPr>
          <w:rFonts w:hint="eastAsia" w:cs="仿宋_GB2312"/>
          <w:b w:val="0"/>
          <w:bCs w:val="0"/>
          <w:color w:val="auto"/>
          <w:kern w:val="2"/>
          <w:sz w:val="32"/>
          <w:szCs w:val="32"/>
          <w:lang w:val="en-US" w:eastAsia="zh-CN" w:bidi="ar-SA"/>
        </w:rPr>
        <w:t>6</w:t>
      </w:r>
      <w:r>
        <w:rPr>
          <w:rFonts w:hint="eastAsia" w:ascii="仿宋_GB2312" w:hAnsi="仿宋_GB2312" w:eastAsia="仿宋_GB2312" w:cs="仿宋_GB2312"/>
          <w:b w:val="0"/>
          <w:bCs w:val="0"/>
          <w:color w:val="auto"/>
          <w:kern w:val="2"/>
          <w:sz w:val="32"/>
          <w:szCs w:val="32"/>
          <w:lang w:val="en-US" w:eastAsia="zh-CN" w:bidi="ar-SA"/>
        </w:rPr>
        <w:t>人，其中：在职3</w:t>
      </w:r>
      <w:r>
        <w:rPr>
          <w:rFonts w:hint="eastAsia" w:cs="仿宋_GB2312"/>
          <w:b w:val="0"/>
          <w:bCs w:val="0"/>
          <w:color w:val="auto"/>
          <w:kern w:val="2"/>
          <w:sz w:val="32"/>
          <w:szCs w:val="32"/>
          <w:lang w:val="en-US" w:eastAsia="zh-CN" w:bidi="ar-SA"/>
        </w:rPr>
        <w:t>5</w:t>
      </w:r>
      <w:r>
        <w:rPr>
          <w:rFonts w:hint="eastAsia" w:ascii="仿宋_GB2312" w:hAnsi="仿宋_GB2312" w:eastAsia="仿宋_GB2312" w:cs="仿宋_GB2312"/>
          <w:b w:val="0"/>
          <w:bCs w:val="0"/>
          <w:color w:val="auto"/>
          <w:kern w:val="2"/>
          <w:sz w:val="32"/>
          <w:szCs w:val="32"/>
          <w:lang w:val="en-US" w:eastAsia="zh-CN" w:bidi="ar-SA"/>
        </w:rPr>
        <w:t>人；退休49人；离休1人。</w:t>
      </w:r>
    </w:p>
    <w:p>
      <w:pPr>
        <w:numPr>
          <w:ilvl w:val="0"/>
          <w:numId w:val="1"/>
        </w:numPr>
        <w:ind w:firstLine="640"/>
        <w:rPr>
          <w:rFonts w:ascii="仿宋_GB2312" w:eastAsia="仿宋_GB2312"/>
          <w:b/>
          <w:bCs/>
          <w:color w:val="auto"/>
          <w:sz w:val="32"/>
          <w:szCs w:val="32"/>
        </w:rPr>
      </w:pPr>
      <w:r>
        <w:rPr>
          <w:rFonts w:hint="eastAsia" w:ascii="仿宋_GB2312" w:eastAsia="仿宋_GB2312"/>
          <w:b/>
          <w:bCs/>
          <w:color w:val="auto"/>
          <w:sz w:val="32"/>
          <w:szCs w:val="32"/>
        </w:rPr>
        <w:t>主要职能</w:t>
      </w:r>
    </w:p>
    <w:p>
      <w:pPr>
        <w:snapToGrid w:val="0"/>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市商务和工业信息化局贯彻落实党中央关于商务和工业信息化工作的方针政策和决策部署，在履行职责过程中坚持和加强党对商务和工业信息化工作的集中统一领导，主要职责是：</w:t>
      </w:r>
    </w:p>
    <w:p>
      <w:pPr>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（1）贯彻执行国家、自治区、自治州商务和工业信息化的法律法规和方针政策，研究商务和工业信息化发展规划和政策建议；拟订商务、工业和信息化发展的政策措施，并组织实施和监督检查。</w:t>
      </w:r>
    </w:p>
    <w:p>
      <w:pPr>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（2）贯彻落实国家、自治区和自治州产业政策，并组织实施和监督检查；指导产业合理布局和结构调整；组织协调重点产业调整和高质量发展规划的拟订与实施。</w:t>
      </w:r>
    </w:p>
    <w:p>
      <w:pPr>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负责推进流通产业结构调整，指导流通企业改革、商贸服务业和社区商业发展，提出促进商贸中小企业发展的政策建议，推动流通标准化和连锁经营、商业特许经营、物流配送、电子商务等现代流通方式的发展。</w:t>
      </w:r>
    </w:p>
    <w:p>
      <w:pPr>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指导大宗产品批发市场规划和城市商业网点规划、商业体系建设工作，促进城乡市场发展，推进有关农村市场体系建设，完善农村现代流通网络；研究提出流通行业和生活服务业重点设施布局意见，协调昌吉市商业中心、特色商业街和各类商品交易市场的规划和建设。</w:t>
      </w:r>
    </w:p>
    <w:p>
      <w:pPr>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协调整顿和规范市场经济秩序工作的责任。拟订昌吉市规范市场运行、流通秩序的政策，推动商务领域信用建设，指导商业信用销售；建立市场诚信公共服务平台，按有关规定对酒类流通、再生资源流通等特殊流通行业进行监督管理。</w:t>
      </w:r>
    </w:p>
    <w:p>
      <w:pPr>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承担组织实施重要消费品市场调控和重要生产资料流通管理的责任，负责建立健全生活必需品市场供应应急管理机制，监测分析市场运行、商品供应状况，调查分析商品价格信息并进行预测预警和信息引导；按分工负责重要消费品储备管理和市场调控工作；按有关规定对成品油流通环节进行监督管理。</w:t>
      </w:r>
    </w:p>
    <w:p>
      <w:pPr>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（7）制定电子商务发展规划和政策措施并组织实施；指导企业信息化及运用电子商务开拓国内外市场；负责建立电子商务行业统计和评价体系，牵头推进电子商务支撑服务体系发展。</w:t>
      </w:r>
    </w:p>
    <w:p>
      <w:pPr>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负责对外贸易的管理。贯彻执行国家、自治区和自治州进出口商品、加工贸易管理办法和进出口管理商品、技术目录，拟订促进外贸增长方式转变的政策措施；组织实施本市进出口配额计划，贯彻落实国家、自治区和自治对外技术贸易、出口管制以及鼓励技术和成套设备进出口的贸易政策；会同有关部门制定促进本市服务贸易和服务外包发展的规划并组织实施；推动服务外包平台建设；组织协调本市反倾销、反补贴、保障措施及其他与进出口公平贸易相关的工作，建立进出口公平贸易及产业损害预警机制；依法实施对外贸易调查和产业损害调查，指导协调产业安全应对工作及国外对本市出口商品的反倾销、反补贴、保障措施的应诉等相关工作。</w:t>
      </w:r>
    </w:p>
    <w:p>
      <w:pPr>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9）负责招商引资工作的协调、组织、管理；执行自治区和自治州招商引资方针政策，编制招商引资发展规划和年度计划，建设绿色招商项目库，落实重大招商项目跟进责任制，参与评审论证重点招商项目，完善招商引资服务体系；负责招商引资统计通报、信息收集和目标考核等工作。</w:t>
      </w:r>
    </w:p>
    <w:p>
      <w:pPr>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10）负责外商投资工作；依法核准权限内外商投资企业的合同、章程及变更事项；负责国家规定的限额以上、限制投资和涉及配额、许可证管理的外商投资企业的设立及其变更事项的审核上报工作；负责管理、监督本市外商投资企业执行有关法律、法规、合同情况。负责对外经济合作工作，执行对外经济合作政策，指导和监督本市境外承包工程及对外劳务合作；审核上报昌吉市企业（组织）在境外投资项目和驻外机构，协调外派劳务人员的权益保护工作；申报多边、双边国际及民间无偿援助项目。</w:t>
      </w:r>
    </w:p>
    <w:p>
      <w:pPr>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（11）负责与自治区各地州市及内地各省市之间的横向经济联合协作。开展外引内联、对口支援及有关项目的对接落实工作；组织和参与各类商务领域交易会、洽谈会、博览会、展览会和有关招商活动。</w:t>
      </w:r>
    </w:p>
    <w:p>
      <w:pPr>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12）承担工业经济运行态势监测分析、预测预警和信息引导工作；拟订工业经济运行调控目标、政策措施；协调解决工业经济运行中的重大问题并提出政策建议；负责全市能源保障和重要工业物资供需协调有关工作；负责协调油地关系；负责工业经济运行和产业安全有关工作。</w:t>
      </w:r>
    </w:p>
    <w:p>
      <w:pPr>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13）负责工业和信息化领域各行业的管理，组织拟订行业专项规划，并组织实施技术规范和标准；贯彻盐业行业发展规划和政策措施，负责盐业行业管理；负责园区设立、创建和申报自治区和自治州园区专项资金协调工作；贯彻国家、自治区和自治州关于原材料行业规范和准入，指导冶金、有色金属、黄金、稀土、轻工、纺织、机电、建材等行业管理。负责食品（含酒类）、医药工业发展规划、计划及相关政策的拟订和组织实施。</w:t>
      </w:r>
    </w:p>
    <w:p>
      <w:pPr>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14）负责工业和信息产业及信息化建设的技术改造投资管理，负责技术改造和投资项目审核、备案；拟订技术改造投资的有关政策措施；研究和规划本行政区域内技术改造项目投资方向和布局，引导企业、金融机构及社会资金投向。</w:t>
      </w:r>
    </w:p>
    <w:p>
      <w:pPr>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（15）拟订工业和信息化领域技术创新政策措施；培育和发展战略性新兴产业；拟订装备工业发展规划及政策措施；负责推进装备制造产业发展工作。</w:t>
      </w:r>
    </w:p>
    <w:p>
      <w:pPr>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16）指导工业和信息化领域体制改革和管理创新；拟订促进中小企业发展的相关政策措施，负责对中小企业的宏观指导和服务，指导中小企业改革与发展，建立健全服务体系；负责工业和信息化领域人员的培训工作；负责组织协调减轻企业负担工作。</w:t>
      </w:r>
    </w:p>
    <w:p>
      <w:pPr>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（17）贯彻落实工业和信息化领域资源节约和综合利用规划、政策；指导工业节能减排综合协调和监督管理工作；指导工业和信息化领域循环经济发展；协调工业和信息化领域清洁生产和节能环保产业发展工作。</w:t>
      </w:r>
    </w:p>
    <w:p>
      <w:pPr>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（18）负责民爆行业管理；依据管理权限，对民用爆炸物品生产、销售依法进行监督管理。</w:t>
      </w:r>
    </w:p>
    <w:p>
      <w:pPr>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（19）组织执行国家、自治区和自治州电力行业技术规范和标准；负责权限范围内的电力行政执法、监督；组织协调解决电力生产、运营和供应中的重大问题。</w:t>
      </w:r>
    </w:p>
    <w:p>
      <w:pPr>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负责推进信息化工作；指导协调经济社会各领域信息技术的推广应用工作；推进跨行业、跨部门面向社会服务的互联互通及重要信息资源开发利用和共享；协调本行政区域内通信业有关工作；推进信息化和工业化融合；统筹指导工业信息安全管理工作。</w:t>
      </w:r>
    </w:p>
    <w:p>
      <w:pPr>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（21）指导电子信息产业的发展；指导电子信息产品制造业、软件业、信息服务业发展；指导电子信息产业基地建设；协调电子信息产业重大专项实施。</w:t>
      </w:r>
    </w:p>
    <w:p>
      <w:pPr>
        <w:snapToGrid w:val="0"/>
        <w:spacing w:line="56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（22）完成市党委、市人民政府交办的其他任务</w:t>
      </w:r>
    </w:p>
    <w:p>
      <w:pPr>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昌吉市商务和工业信息化局无下属预算单位，下设7个科室，分别是：党政办公室、工业运行科、产业信息科、商贸科、外资外贸科、安全执法科、投资发展科</w:t>
      </w:r>
    </w:p>
    <w:p>
      <w:pPr>
        <w:numPr>
          <w:ilvl w:val="0"/>
          <w:numId w:val="1"/>
        </w:numPr>
        <w:ind w:firstLine="640"/>
        <w:rPr>
          <w:rFonts w:ascii="仿宋_GB2312" w:eastAsia="仿宋_GB2312"/>
          <w:b/>
          <w:bCs/>
          <w:color w:val="auto"/>
          <w:sz w:val="32"/>
          <w:szCs w:val="32"/>
        </w:rPr>
      </w:pPr>
      <w:r>
        <w:rPr>
          <w:rFonts w:hint="eastAsia" w:ascii="仿宋_GB2312" w:eastAsia="仿宋_GB2312"/>
          <w:b/>
          <w:bCs/>
          <w:color w:val="auto"/>
          <w:sz w:val="32"/>
          <w:szCs w:val="32"/>
        </w:rPr>
        <w:t>年度重点工作计划</w:t>
      </w:r>
    </w:p>
    <w:p>
      <w:pPr>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对财政资金支出状况和绩效目标实现过程进行监控和管理，及时了解资金使用效益，及时对绩效目标进行纠偏，强化财政支出管理，促进绩效目标的实现，提高资金使用效率。</w:t>
      </w:r>
    </w:p>
    <w:p>
      <w:pPr>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实施步骤：</w:t>
      </w:r>
    </w:p>
    <w:p>
      <w:pPr>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（1）开展事前绩效评估，向财政局报送整体基本支出绩效评估报告。</w:t>
      </w:r>
    </w:p>
    <w:p>
      <w:pPr>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（2）按月进行绩效过程监控，发现问题及时纠正，确保绩效目标达到预期效果。</w:t>
      </w:r>
    </w:p>
    <w:p>
      <w:pPr>
        <w:snapToGrid w:val="0"/>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（3）年底完成本单位预算绩效自评，报送财政局</w:t>
      </w:r>
    </w:p>
    <w:p>
      <w:pPr>
        <w:snapToGrid w:val="0"/>
        <w:spacing w:line="560" w:lineRule="exact"/>
        <w:ind w:firstLine="640" w:firstLineChars="200"/>
        <w:rPr>
          <w:rFonts w:ascii="仿宋_GB2312" w:eastAsia="仿宋_GB2312"/>
          <w:color w:val="auto"/>
          <w:sz w:val="32"/>
          <w:szCs w:val="32"/>
        </w:rPr>
      </w:pPr>
      <w:r>
        <w:rPr>
          <w:rFonts w:hint="eastAsia" w:ascii="仿宋_GB2312" w:hAnsi="仿宋_GB2312" w:eastAsia="仿宋_GB2312" w:cs="仿宋_GB2312"/>
          <w:color w:val="auto"/>
          <w:sz w:val="32"/>
          <w:szCs w:val="32"/>
        </w:rPr>
        <w:t>包括部门单位基本情况、部门单位整体支出规模、使用方法和主要内容、涉及范围等。部门单位基本情况主要介绍机构人员构成、主要职能、重点工作计划</w:t>
      </w:r>
      <w:r>
        <w:rPr>
          <w:rFonts w:hint="eastAsia" w:ascii="仿宋_GB2312" w:hAnsi="仿宋_GB2312" w:eastAsia="仿宋_GB2312" w:cs="仿宋_GB2312"/>
          <w:color w:val="auto"/>
          <w:sz w:val="32"/>
          <w:szCs w:val="32"/>
          <w:lang w:eastAsia="zh-CN"/>
        </w:rPr>
        <w:t>。</w:t>
      </w:r>
    </w:p>
    <w:p>
      <w:pPr>
        <w:pStyle w:val="4"/>
        <w:tabs>
          <w:tab w:val="left" w:pos="6195"/>
        </w:tabs>
        <w:ind w:firstLine="640"/>
        <w:rPr>
          <w:rFonts w:ascii="楷体_GB2312" w:eastAsia="楷体_GB2312"/>
          <w:color w:val="auto"/>
          <w:szCs w:val="32"/>
        </w:rPr>
      </w:pPr>
      <w:r>
        <w:rPr>
          <w:rFonts w:hint="eastAsia" w:ascii="楷体_GB2312" w:eastAsia="楷体_GB2312"/>
          <w:color w:val="auto"/>
          <w:szCs w:val="32"/>
        </w:rPr>
        <w:t>（二）单位决策机制</w:t>
      </w:r>
      <w:r>
        <w:rPr>
          <w:rFonts w:ascii="楷体_GB2312" w:eastAsia="楷体_GB2312"/>
          <w:color w:val="auto"/>
          <w:szCs w:val="32"/>
        </w:rPr>
        <w:tab/>
      </w:r>
    </w:p>
    <w:p>
      <w:pPr>
        <w:ind w:firstLine="640"/>
        <w:rPr>
          <w:rFonts w:ascii="仿宋_GB2312" w:eastAsia="仿宋_GB2312"/>
          <w:b/>
          <w:bCs/>
          <w:color w:val="auto"/>
          <w:sz w:val="32"/>
          <w:szCs w:val="32"/>
        </w:rPr>
      </w:pPr>
      <w:r>
        <w:rPr>
          <w:rFonts w:hint="eastAsia" w:ascii="仿宋_GB2312" w:hAnsi="仿宋_GB2312" w:eastAsia="仿宋_GB2312" w:cs="仿宋_GB2312"/>
          <w:color w:val="auto"/>
          <w:sz w:val="32"/>
          <w:szCs w:val="32"/>
          <w:lang w:val="en-US" w:eastAsia="zh-CN"/>
        </w:rPr>
        <w:t>我单位决策机制根据行政事业单位内部控制体系建设相关要求，逐步完善昌吉市发改委《党组议事规则》、“四个不直接分管”《三重一大会议制度》进行单位事项决策</w:t>
      </w:r>
      <w:r>
        <w:rPr>
          <w:rFonts w:hint="eastAsia" w:ascii="仿宋_GB2312" w:hAnsi="仿宋_GB2312" w:eastAsia="仿宋_GB2312" w:cs="仿宋_GB2312"/>
          <w:color w:val="auto"/>
          <w:sz w:val="32"/>
          <w:szCs w:val="32"/>
        </w:rPr>
        <w:t>。</w:t>
      </w:r>
    </w:p>
    <w:p>
      <w:pPr>
        <w:pStyle w:val="4"/>
        <w:numPr>
          <w:ilvl w:val="0"/>
          <w:numId w:val="2"/>
        </w:numPr>
        <w:ind w:firstLine="640"/>
        <w:rPr>
          <w:rFonts w:ascii="楷体_GB2312" w:eastAsia="楷体_GB2312"/>
          <w:color w:val="auto"/>
          <w:szCs w:val="32"/>
        </w:rPr>
      </w:pPr>
      <w:r>
        <w:rPr>
          <w:rFonts w:hint="eastAsia" w:ascii="楷体_GB2312" w:eastAsia="楷体_GB2312"/>
          <w:color w:val="auto"/>
          <w:szCs w:val="32"/>
        </w:rPr>
        <w:t>单位资金分配情况</w:t>
      </w:r>
    </w:p>
    <w:p>
      <w:pPr>
        <w:spacing w:line="560" w:lineRule="exact"/>
        <w:ind w:firstLine="640" w:firstLineChars="200"/>
        <w:jc w:val="left"/>
        <w:rPr>
          <w:rFonts w:ascii="仿宋_GB2312" w:eastAsia="仿宋_GB2312" w:hAnsiTheme="minorEastAsia"/>
          <w:color w:val="auto"/>
          <w:sz w:val="32"/>
          <w:szCs w:val="32"/>
          <w:highlight w:val="none"/>
        </w:rPr>
      </w:pPr>
      <w:r>
        <w:rPr>
          <w:rFonts w:hint="eastAsia" w:ascii="仿宋_GB2312" w:eastAsia="仿宋_GB2312" w:hAnsiTheme="minorEastAsia"/>
          <w:color w:val="auto"/>
          <w:sz w:val="32"/>
          <w:szCs w:val="32"/>
          <w:highlight w:val="none"/>
        </w:rPr>
        <w:t>基本支出主要用于人员工资及生活补助发放、社保及公积金；办公费、印刷费、差旅费、</w:t>
      </w:r>
      <w:r>
        <w:rPr>
          <w:rFonts w:hint="eastAsia" w:ascii="仿宋_GB2312" w:eastAsia="仿宋_GB2312" w:hAnsiTheme="minorEastAsia"/>
          <w:color w:val="auto"/>
          <w:sz w:val="32"/>
          <w:szCs w:val="32"/>
          <w:highlight w:val="none"/>
          <w:lang w:val="en-US" w:eastAsia="zh-CN"/>
        </w:rPr>
        <w:t>3</w:t>
      </w:r>
      <w:r>
        <w:rPr>
          <w:rFonts w:hint="eastAsia" w:ascii="仿宋_GB2312" w:eastAsia="仿宋_GB2312" w:hAnsiTheme="minorEastAsia"/>
          <w:color w:val="auto"/>
          <w:sz w:val="32"/>
          <w:szCs w:val="32"/>
          <w:highlight w:val="none"/>
        </w:rPr>
        <w:t>辆公务用车运行维护支出等，项目支出主要用于拨付给企业的能源环保、技术改造、转型升级、招商引资、访惠聚工作专项等支出。</w:t>
      </w:r>
    </w:p>
    <w:p>
      <w:pPr>
        <w:widowControl/>
        <w:ind w:left="0" w:leftChars="0" w:firstLine="640" w:firstLineChars="200"/>
        <w:jc w:val="left"/>
        <w:rPr>
          <w:rFonts w:hint="eastAsia" w:ascii="仿宋_GB2312" w:eastAsia="仿宋_GB2312" w:hAnsiTheme="minorEastAsia"/>
          <w:color w:val="auto"/>
          <w:sz w:val="32"/>
          <w:szCs w:val="32"/>
          <w:highlight w:val="none"/>
        </w:rPr>
      </w:pPr>
      <w:r>
        <w:rPr>
          <w:rFonts w:hint="eastAsia" w:ascii="仿宋_GB2312" w:eastAsia="仿宋_GB2312" w:hAnsiTheme="minorEastAsia"/>
          <w:color w:val="auto"/>
          <w:sz w:val="32"/>
          <w:szCs w:val="32"/>
          <w:highlight w:val="none"/>
        </w:rPr>
        <w:t>项目资金中企业专项均为</w:t>
      </w:r>
      <w:r>
        <w:rPr>
          <w:rFonts w:hint="eastAsia" w:ascii="仿宋_GB2312" w:eastAsia="仿宋_GB2312" w:hAnsiTheme="minorEastAsia"/>
          <w:color w:val="auto"/>
          <w:sz w:val="32"/>
          <w:szCs w:val="32"/>
          <w:highlight w:val="none"/>
          <w:lang w:eastAsia="zh-CN"/>
        </w:rPr>
        <w:t>中央直达、</w:t>
      </w:r>
      <w:r>
        <w:rPr>
          <w:rFonts w:hint="eastAsia" w:ascii="仿宋_GB2312" w:eastAsia="仿宋_GB2312" w:hAnsiTheme="minorEastAsia"/>
          <w:color w:val="auto"/>
          <w:sz w:val="32"/>
          <w:szCs w:val="32"/>
          <w:highlight w:val="none"/>
        </w:rPr>
        <w:t>自治区级和州专项下达，由财政平台直接支付给企业，做到专款专用。</w:t>
      </w:r>
    </w:p>
    <w:p>
      <w:pPr>
        <w:widowControl/>
        <w:ind w:left="0" w:leftChars="0" w:firstLine="643" w:firstLineChars="200"/>
        <w:jc w:val="left"/>
        <w:rPr>
          <w:rFonts w:ascii="仿宋_GB2312" w:eastAsia="仿宋_GB2312" w:cs="仿宋"/>
          <w:color w:val="auto"/>
          <w:sz w:val="32"/>
          <w:szCs w:val="32"/>
        </w:rPr>
      </w:pPr>
      <w:r>
        <w:rPr>
          <w:rFonts w:hint="eastAsia" w:ascii="仿宋_GB2312" w:eastAsia="仿宋_GB2312" w:cs="仿宋"/>
          <w:b/>
          <w:color w:val="auto"/>
          <w:sz w:val="32"/>
          <w:szCs w:val="32"/>
        </w:rPr>
        <w:t>1.分配依据及结果。</w:t>
      </w:r>
      <w:r>
        <w:rPr>
          <w:rFonts w:hint="eastAsia" w:ascii="仿宋_GB2312" w:eastAsia="仿宋_GB2312" w:cs="仿宋"/>
          <w:color w:val="auto"/>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ascii="仿宋_GB2312" w:eastAsia="仿宋_GB2312" w:cs="仿宋"/>
          <w:color w:val="auto"/>
          <w:sz w:val="32"/>
          <w:szCs w:val="32"/>
        </w:rPr>
      </w:pPr>
      <w:r>
        <w:rPr>
          <w:rFonts w:hint="eastAsia" w:ascii="仿宋_GB2312" w:eastAsia="仿宋_GB2312" w:cs="仿宋"/>
          <w:b/>
          <w:color w:val="auto"/>
          <w:sz w:val="32"/>
          <w:szCs w:val="32"/>
        </w:rPr>
        <w:t>2.</w:t>
      </w:r>
      <w:r>
        <w:rPr>
          <w:rFonts w:hint="eastAsia" w:ascii="仿宋_GB2312" w:eastAsia="仿宋_GB2312"/>
          <w:b/>
          <w:color w:val="auto"/>
          <w:sz w:val="32"/>
          <w:szCs w:val="32"/>
        </w:rPr>
        <w:t>重点支出保障情况。</w:t>
      </w:r>
      <w:r>
        <w:rPr>
          <w:rFonts w:hint="eastAsia" w:ascii="仿宋_GB2312" w:eastAsia="仿宋_GB2312" w:cs="仿宋"/>
          <w:color w:val="auto"/>
          <w:sz w:val="32"/>
          <w:szCs w:val="32"/>
        </w:rPr>
        <w:t>本年度本单位预算安排的重点项目</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个，预算安排的重点项目支出金额为</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万元，部门项目总支出金额为</w:t>
      </w:r>
      <w:r>
        <w:rPr>
          <w:rFonts w:hint="eastAsia" w:ascii="仿宋_GB2312" w:eastAsia="仿宋_GB2312" w:cs="仿宋"/>
          <w:color w:val="auto"/>
          <w:sz w:val="32"/>
          <w:szCs w:val="32"/>
          <w:lang w:val="en-US" w:eastAsia="zh-CN"/>
        </w:rPr>
        <w:t>11050.74万</w:t>
      </w:r>
      <w:r>
        <w:rPr>
          <w:rFonts w:hint="eastAsia" w:ascii="仿宋_GB2312" w:eastAsia="仿宋_GB2312" w:cs="仿宋"/>
          <w:color w:val="auto"/>
          <w:sz w:val="32"/>
          <w:szCs w:val="32"/>
        </w:rPr>
        <w:t>元，则重点项目支出占项目总支出的比率为</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w:t>
      </w:r>
    </w:p>
    <w:p>
      <w:pPr>
        <w:pStyle w:val="4"/>
        <w:numPr>
          <w:ilvl w:val="0"/>
          <w:numId w:val="2"/>
        </w:numPr>
        <w:ind w:firstLine="640"/>
        <w:rPr>
          <w:rFonts w:ascii="楷体_GB2312" w:eastAsia="楷体_GB2312"/>
          <w:color w:val="auto"/>
          <w:szCs w:val="32"/>
        </w:rPr>
      </w:pPr>
      <w:r>
        <w:rPr>
          <w:rFonts w:hint="eastAsia" w:ascii="楷体_GB2312" w:eastAsia="楷体_GB2312"/>
          <w:color w:val="auto"/>
          <w:szCs w:val="32"/>
        </w:rPr>
        <w:t>部门单位整体支出规模、使用方法和主要内容、涉及范围</w:t>
      </w:r>
    </w:p>
    <w:p>
      <w:pPr>
        <w:numPr>
          <w:ilvl w:val="0"/>
          <w:numId w:val="3"/>
        </w:numPr>
        <w:ind w:firstLine="640"/>
        <w:rPr>
          <w:rFonts w:ascii="仿宋_GB2312" w:eastAsia="仿宋_GB2312"/>
          <w:b/>
          <w:bCs/>
          <w:color w:val="auto"/>
          <w:sz w:val="32"/>
          <w:szCs w:val="32"/>
        </w:rPr>
      </w:pPr>
      <w:r>
        <w:rPr>
          <w:rFonts w:hint="eastAsia" w:ascii="仿宋_GB2312" w:eastAsia="仿宋_GB2312"/>
          <w:b/>
          <w:bCs/>
          <w:color w:val="auto"/>
          <w:sz w:val="32"/>
          <w:szCs w:val="32"/>
        </w:rPr>
        <w:t>部门单位整体支出规模</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年度，</w:t>
      </w:r>
      <w:r>
        <w:rPr>
          <w:rFonts w:hint="eastAsia" w:ascii="仿宋_GB2312" w:eastAsia="仿宋_GB2312"/>
          <w:bCs/>
          <w:color w:val="auto"/>
          <w:sz w:val="32"/>
          <w:szCs w:val="32"/>
          <w:lang w:val="en-US" w:eastAsia="zh-CN"/>
        </w:rPr>
        <w:t>昌吉市商务和工业信息化局</w:t>
      </w:r>
      <w:r>
        <w:rPr>
          <w:rFonts w:hint="eastAsia" w:ascii="仿宋_GB2312" w:eastAsia="仿宋_GB2312"/>
          <w:bCs/>
          <w:color w:val="auto"/>
          <w:sz w:val="32"/>
          <w:szCs w:val="32"/>
        </w:rPr>
        <w:t>整体支出年初预算金额为</w:t>
      </w:r>
      <w:r>
        <w:rPr>
          <w:rFonts w:hint="eastAsia" w:ascii="仿宋_GB2312" w:hAnsi="宋体" w:eastAsia="仿宋_GB2312" w:cs="宋体"/>
          <w:color w:val="auto"/>
          <w:kern w:val="0"/>
          <w:sz w:val="32"/>
          <w:szCs w:val="32"/>
          <w:highlight w:val="none"/>
          <w:lang w:val="en-US" w:eastAsia="zh-CN"/>
        </w:rPr>
        <w:t>584.94</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584.94</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%，其中：政府采购年初预算金额为</w:t>
      </w:r>
      <w:r>
        <w:rPr>
          <w:rFonts w:hint="eastAsia" w:ascii="仿宋_GB2312" w:eastAsia="仿宋_GB2312"/>
          <w:color w:val="auto"/>
          <w:sz w:val="32"/>
          <w:szCs w:val="32"/>
          <w:lang w:val="en-US" w:eastAsia="zh-CN"/>
        </w:rPr>
        <w:t>5.91</w:t>
      </w:r>
      <w:r>
        <w:rPr>
          <w:rFonts w:hint="eastAsia" w:ascii="仿宋_GB2312" w:eastAsia="仿宋_GB2312"/>
          <w:color w:val="auto"/>
          <w:sz w:val="32"/>
          <w:szCs w:val="32"/>
        </w:rPr>
        <w:t>万元，支出金额为</w:t>
      </w:r>
      <w:r>
        <w:rPr>
          <w:rFonts w:hint="eastAsia" w:ascii="仿宋_GB2312" w:eastAsia="仿宋_GB2312"/>
          <w:color w:val="000000" w:themeColor="text1"/>
          <w:sz w:val="32"/>
          <w:szCs w:val="32"/>
          <w:lang w:val="en-US" w:eastAsia="zh-CN"/>
        </w:rPr>
        <w:t>5.91</w:t>
      </w:r>
      <w:r>
        <w:rPr>
          <w:rFonts w:hint="eastAsia" w:ascii="仿宋_GB2312" w:eastAsia="仿宋_GB2312"/>
          <w:color w:val="000000" w:themeColor="text1"/>
          <w:sz w:val="32"/>
          <w:szCs w:val="32"/>
        </w:rPr>
        <w:t>万元，执行率为</w:t>
      </w:r>
      <w:r>
        <w:rPr>
          <w:rFonts w:hint="eastAsia" w:ascii="仿宋_GB2312" w:eastAsia="仿宋_GB2312"/>
          <w:color w:val="000000" w:themeColor="text1"/>
          <w:sz w:val="32"/>
          <w:szCs w:val="32"/>
          <w:lang w:val="en-US" w:eastAsia="zh-CN"/>
        </w:rPr>
        <w:t>100.0</w:t>
      </w:r>
      <w:r>
        <w:rPr>
          <w:rFonts w:hint="eastAsia" w:ascii="仿宋_GB2312" w:eastAsia="仿宋_GB2312"/>
          <w:color w:val="000000" w:themeColor="text1"/>
          <w:sz w:val="32"/>
          <w:szCs w:val="32"/>
        </w:rPr>
        <w:t>%</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10465.80</w:t>
      </w:r>
      <w:r>
        <w:rPr>
          <w:rFonts w:hint="eastAsia" w:ascii="仿宋_GB2312" w:eastAsia="仿宋_GB2312"/>
          <w:color w:val="auto"/>
          <w:sz w:val="32"/>
          <w:szCs w:val="32"/>
        </w:rPr>
        <w:t>万元，预算调整率为</w:t>
      </w:r>
      <w:r>
        <w:rPr>
          <w:rFonts w:hint="eastAsia" w:ascii="仿宋_GB2312" w:eastAsia="仿宋_GB2312"/>
          <w:color w:val="auto"/>
          <w:sz w:val="32"/>
          <w:szCs w:val="32"/>
          <w:lang w:val="en-US" w:eastAsia="zh-CN"/>
        </w:rPr>
        <w:t>1789.22</w:t>
      </w:r>
      <w:r>
        <w:rPr>
          <w:rFonts w:hint="eastAsia" w:ascii="仿宋_GB2312" w:eastAsia="仿宋_GB2312"/>
          <w:color w:val="auto"/>
          <w:sz w:val="32"/>
          <w:szCs w:val="32"/>
        </w:rPr>
        <w:t>%。综上，我单位部门单位整体预算总额为</w:t>
      </w:r>
      <w:r>
        <w:rPr>
          <w:rFonts w:hint="eastAsia" w:ascii="仿宋_GB2312" w:eastAsia="仿宋_GB2312"/>
          <w:color w:val="auto"/>
          <w:sz w:val="32"/>
          <w:szCs w:val="32"/>
          <w:lang w:val="en-US" w:eastAsia="zh-CN"/>
        </w:rPr>
        <w:t>11050.74</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11050.74</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w:t>
      </w:r>
    </w:p>
    <w:p>
      <w:pPr>
        <w:pStyle w:val="5"/>
        <w:ind w:firstLine="640"/>
        <w:rPr>
          <w:color w:val="auto"/>
          <w:sz w:val="32"/>
        </w:rPr>
      </w:pPr>
      <w:r>
        <w:rPr>
          <w:rFonts w:hint="eastAsia"/>
          <w:color w:val="auto"/>
          <w:sz w:val="32"/>
        </w:rPr>
        <w:t>2.部门单位整体支出自评使用方法、主要内容、涉及范围</w:t>
      </w:r>
    </w:p>
    <w:p>
      <w:pPr>
        <w:ind w:firstLine="640"/>
        <w:rPr>
          <w:rFonts w:ascii="仿宋_GB2312" w:eastAsia="仿宋_GB2312"/>
          <w:b/>
          <w:bCs/>
          <w:color w:val="auto"/>
          <w:sz w:val="32"/>
          <w:szCs w:val="32"/>
        </w:rPr>
      </w:pPr>
      <w:r>
        <w:rPr>
          <w:rFonts w:hint="eastAsia" w:ascii="仿宋_GB2312" w:eastAsia="仿宋_GB2312"/>
          <w:b/>
          <w:bCs/>
          <w:color w:val="auto"/>
          <w:sz w:val="32"/>
          <w:szCs w:val="32"/>
        </w:rPr>
        <w:t>（1）自评使用方法</w:t>
      </w:r>
    </w:p>
    <w:p>
      <w:pPr>
        <w:ind w:firstLine="640"/>
        <w:rPr>
          <w:rFonts w:ascii="仿宋_GB2312" w:eastAsia="仿宋_GB2312"/>
          <w:color w:val="auto"/>
          <w:sz w:val="32"/>
          <w:szCs w:val="32"/>
        </w:rPr>
      </w:pPr>
      <w:r>
        <w:rPr>
          <w:rFonts w:hint="eastAsia" w:ascii="仿宋_GB2312" w:eastAsia="仿宋_GB2312"/>
          <w:color w:val="auto"/>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5"/>
        <w:ind w:firstLine="640"/>
        <w:rPr>
          <w:color w:val="auto"/>
          <w:sz w:val="32"/>
        </w:rPr>
      </w:pPr>
      <w:r>
        <w:rPr>
          <w:rFonts w:hint="eastAsia"/>
          <w:color w:val="auto"/>
          <w:sz w:val="32"/>
        </w:rPr>
        <w:t>（2）评价的主要内容和涉及范围</w:t>
      </w:r>
    </w:p>
    <w:p>
      <w:pPr>
        <w:ind w:firstLine="640"/>
        <w:rPr>
          <w:rFonts w:ascii="仿宋_GB2312" w:eastAsia="仿宋_GB2312"/>
          <w:color w:val="auto"/>
          <w:sz w:val="32"/>
          <w:szCs w:val="32"/>
        </w:rPr>
      </w:pPr>
      <w:r>
        <w:rPr>
          <w:rFonts w:hint="eastAsia" w:ascii="仿宋_GB2312" w:eastAsia="仿宋_GB2312"/>
          <w:color w:val="auto"/>
          <w:sz w:val="32"/>
          <w:szCs w:val="32"/>
        </w:rPr>
        <w:t>此次我单位根据</w:t>
      </w:r>
      <w:r>
        <w:rPr>
          <w:rFonts w:ascii="仿宋_GB2312" w:hAnsi="Arial" w:eastAsia="仿宋_GB2312" w:cs="宋体"/>
          <w:bCs/>
          <w:color w:val="auto"/>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color w:val="auto"/>
          <w:sz w:val="32"/>
          <w:szCs w:val="32"/>
        </w:rPr>
        <w:t>等文件要求，对</w:t>
      </w:r>
      <w:r>
        <w:rPr>
          <w:rFonts w:hint="eastAsia" w:ascii="仿宋_GB2312" w:eastAsia="仿宋_GB2312"/>
          <w:color w:val="auto"/>
          <w:sz w:val="32"/>
          <w:szCs w:val="32"/>
          <w:lang w:eastAsia="zh-CN"/>
        </w:rPr>
        <w:t>2022</w:t>
      </w:r>
      <w:r>
        <w:rPr>
          <w:rFonts w:hint="eastAsia" w:ascii="仿宋_GB2312" w:eastAsia="仿宋_GB2312"/>
          <w:color w:val="auto"/>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color w:val="auto"/>
          <w:sz w:val="32"/>
          <w:szCs w:val="32"/>
        </w:rPr>
      </w:pPr>
      <w:r>
        <w:rPr>
          <w:rFonts w:hint="eastAsia" w:ascii="黑体" w:hAnsi="黑体"/>
          <w:b w:val="0"/>
          <w:color w:val="auto"/>
          <w:sz w:val="32"/>
          <w:szCs w:val="32"/>
        </w:rPr>
        <w:t>二、部门单位整体支出管理及使用情况</w:t>
      </w:r>
    </w:p>
    <w:p>
      <w:pPr>
        <w:pStyle w:val="4"/>
        <w:numPr>
          <w:ilvl w:val="0"/>
          <w:numId w:val="4"/>
        </w:numPr>
        <w:ind w:firstLineChars="0"/>
        <w:rPr>
          <w:rFonts w:ascii="楷体_GB2312" w:eastAsia="楷体_GB2312"/>
          <w:color w:val="auto"/>
          <w:szCs w:val="32"/>
        </w:rPr>
      </w:pPr>
      <w:r>
        <w:rPr>
          <w:rFonts w:hint="eastAsia" w:ascii="楷体_GB2312" w:eastAsia="楷体_GB2312"/>
          <w:bCs/>
          <w:color w:val="auto"/>
          <w:szCs w:val="32"/>
        </w:rPr>
        <w:t>预算管理情况</w:t>
      </w:r>
    </w:p>
    <w:p>
      <w:pPr>
        <w:ind w:firstLine="640"/>
        <w:rPr>
          <w:rFonts w:ascii="仿宋_GB2312" w:eastAsia="仿宋_GB2312"/>
          <w:color w:val="auto"/>
          <w:sz w:val="32"/>
          <w:szCs w:val="32"/>
        </w:rPr>
      </w:pPr>
      <w:r>
        <w:rPr>
          <w:rFonts w:hint="eastAsia" w:ascii="仿宋_GB2312" w:eastAsia="仿宋_GB2312"/>
          <w:color w:val="auto"/>
          <w:sz w:val="32"/>
          <w:szCs w:val="32"/>
        </w:rPr>
        <w:t>我单位为加强预算管理、规范财务行为、加强内部控制体系建设，</w:t>
      </w:r>
      <w:r>
        <w:rPr>
          <w:rFonts w:hint="eastAsia" w:ascii="仿宋_GB2312" w:eastAsia="仿宋_GB2312"/>
          <w:color w:val="auto"/>
          <w:sz w:val="32"/>
          <w:szCs w:val="32"/>
          <w:lang w:eastAsia="zh-CN"/>
        </w:rPr>
        <w:t>预算</w:t>
      </w:r>
      <w:r>
        <w:rPr>
          <w:rFonts w:hint="eastAsia" w:ascii="仿宋_GB2312" w:eastAsia="仿宋_GB2312"/>
          <w:color w:val="auto"/>
          <w:sz w:val="32"/>
          <w:szCs w:val="32"/>
        </w:rPr>
        <w:t>管理办法（制度），并严格按照此管理办法（制度）管理使用预算资金，严格按照政府信息公开有关规定及财政部门要求公开相关预决算信息。</w:t>
      </w:r>
    </w:p>
    <w:p>
      <w:pPr>
        <w:pStyle w:val="4"/>
        <w:numPr>
          <w:ilvl w:val="0"/>
          <w:numId w:val="4"/>
        </w:numPr>
        <w:ind w:firstLineChars="0"/>
        <w:rPr>
          <w:rFonts w:ascii="楷体_GB2312" w:eastAsia="楷体_GB2312"/>
          <w:bCs/>
          <w:color w:val="auto"/>
          <w:szCs w:val="32"/>
        </w:rPr>
      </w:pPr>
      <w:r>
        <w:rPr>
          <w:rFonts w:hint="eastAsia" w:ascii="楷体_GB2312" w:eastAsia="楷体_GB2312"/>
          <w:bCs/>
          <w:color w:val="auto"/>
          <w:szCs w:val="32"/>
        </w:rPr>
        <w:t>基本支出预算安排及支出情况</w:t>
      </w:r>
    </w:p>
    <w:p>
      <w:pPr>
        <w:ind w:firstLine="640"/>
        <w:rPr>
          <w:rFonts w:ascii="仿宋_GB2312" w:eastAsia="仿宋_GB2312"/>
          <w:b/>
          <w:bCs/>
          <w:color w:val="auto"/>
          <w:sz w:val="32"/>
          <w:szCs w:val="32"/>
        </w:rPr>
      </w:pPr>
      <w:r>
        <w:rPr>
          <w:rFonts w:hint="eastAsia" w:ascii="仿宋_GB2312" w:eastAsia="仿宋_GB2312"/>
          <w:b/>
          <w:bCs/>
          <w:color w:val="auto"/>
          <w:sz w:val="32"/>
          <w:szCs w:val="32"/>
        </w:rPr>
        <w:t>1.基本支出情况</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昌吉市商务和工业信息化局</w:t>
      </w:r>
      <w:r>
        <w:rPr>
          <w:rFonts w:hint="eastAsia" w:ascii="仿宋_GB2312" w:eastAsia="仿宋_GB2312"/>
          <w:color w:val="auto"/>
          <w:sz w:val="32"/>
          <w:szCs w:val="32"/>
        </w:rPr>
        <w:t>基本支出年初预算金额为</w:t>
      </w:r>
      <w:r>
        <w:rPr>
          <w:rFonts w:hint="eastAsia" w:ascii="仿宋_GB2312" w:eastAsia="仿宋_GB2312"/>
          <w:color w:val="auto"/>
          <w:sz w:val="32"/>
          <w:szCs w:val="32"/>
          <w:lang w:val="en-US" w:eastAsia="zh-CN"/>
        </w:rPr>
        <w:t>589.49</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589.49</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145.14</w:t>
      </w:r>
      <w:r>
        <w:rPr>
          <w:rFonts w:hint="eastAsia" w:ascii="仿宋_GB2312" w:eastAsia="仿宋_GB2312"/>
          <w:color w:val="auto"/>
          <w:sz w:val="32"/>
          <w:szCs w:val="32"/>
        </w:rPr>
        <w:t>万元。综上，我单位基本支出预算总额为</w:t>
      </w:r>
      <w:r>
        <w:rPr>
          <w:rFonts w:hint="eastAsia" w:ascii="仿宋_GB2312" w:eastAsia="仿宋_GB2312"/>
          <w:color w:val="auto"/>
          <w:sz w:val="32"/>
          <w:szCs w:val="32"/>
          <w:lang w:val="en-US" w:eastAsia="zh-CN"/>
        </w:rPr>
        <w:t>730.08</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730.08</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%，其中人员经费</w:t>
      </w:r>
      <w:r>
        <w:rPr>
          <w:rFonts w:hint="eastAsia" w:ascii="仿宋_GB2312" w:eastAsia="仿宋_GB2312"/>
          <w:color w:val="auto"/>
          <w:sz w:val="32"/>
          <w:szCs w:val="32"/>
          <w:lang w:val="en-US" w:eastAsia="zh-CN"/>
        </w:rPr>
        <w:t>710.80</w:t>
      </w:r>
      <w:r>
        <w:rPr>
          <w:rFonts w:hint="eastAsia" w:ascii="仿宋_GB2312" w:eastAsia="仿宋_GB2312"/>
          <w:color w:val="auto"/>
          <w:sz w:val="32"/>
          <w:szCs w:val="32"/>
        </w:rPr>
        <w:t>万元，公用经费</w:t>
      </w:r>
      <w:r>
        <w:rPr>
          <w:rFonts w:hint="eastAsia" w:ascii="仿宋_GB2312" w:eastAsia="仿宋_GB2312"/>
          <w:color w:val="auto"/>
          <w:sz w:val="32"/>
          <w:szCs w:val="32"/>
          <w:lang w:val="en-US" w:eastAsia="zh-CN"/>
        </w:rPr>
        <w:t>19.28</w:t>
      </w:r>
      <w:r>
        <w:rPr>
          <w:rFonts w:hint="eastAsia" w:ascii="仿宋_GB2312" w:eastAsia="仿宋_GB2312"/>
          <w:color w:val="auto"/>
          <w:sz w:val="32"/>
          <w:szCs w:val="32"/>
        </w:rPr>
        <w:t>万元。</w:t>
      </w:r>
    </w:p>
    <w:p>
      <w:pPr>
        <w:ind w:firstLine="640"/>
        <w:rPr>
          <w:rFonts w:ascii="仿宋_GB2312" w:eastAsia="仿宋_GB2312"/>
          <w:b/>
          <w:bCs/>
          <w:color w:val="auto"/>
          <w:sz w:val="32"/>
          <w:szCs w:val="32"/>
        </w:rPr>
      </w:pPr>
      <w:r>
        <w:rPr>
          <w:rFonts w:hint="eastAsia" w:ascii="仿宋_GB2312" w:eastAsia="仿宋_GB2312"/>
          <w:b/>
          <w:bCs/>
          <w:color w:val="auto"/>
          <w:sz w:val="32"/>
          <w:szCs w:val="32"/>
        </w:rPr>
        <w:t>2.“三公”经费情况</w:t>
      </w:r>
    </w:p>
    <w:p>
      <w:pPr>
        <w:ind w:firstLine="640"/>
        <w:jc w:val="left"/>
        <w:rPr>
          <w:rFonts w:ascii="仿宋_GB2312" w:eastAsia="仿宋_GB2312" w:cs="宋体"/>
          <w:color w:val="auto"/>
          <w:sz w:val="32"/>
          <w:szCs w:val="32"/>
        </w:rPr>
      </w:pPr>
      <w:r>
        <w:rPr>
          <w:rFonts w:hint="eastAsia" w:ascii="仿宋_GB2312" w:eastAsia="仿宋_GB2312" w:cs="宋体"/>
          <w:color w:val="auto"/>
          <w:sz w:val="32"/>
          <w:szCs w:val="32"/>
        </w:rPr>
        <w:t>我单位认真贯彻落实中央关于厉行节约的有关规定，严格执行《党政机关厉行节约反对浪费条例》，202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年“三公”经费预算数为</w:t>
      </w:r>
      <w:r>
        <w:rPr>
          <w:rFonts w:hint="eastAsia" w:ascii="仿宋_GB2312" w:eastAsia="仿宋_GB2312" w:cs="宋体"/>
          <w:color w:val="auto"/>
          <w:sz w:val="32"/>
          <w:szCs w:val="32"/>
          <w:lang w:val="en-US" w:eastAsia="zh-CN"/>
        </w:rPr>
        <w:t>7.8</w:t>
      </w:r>
      <w:r>
        <w:rPr>
          <w:rFonts w:hint="eastAsia" w:ascii="仿宋_GB2312" w:eastAsia="仿宋_GB2312" w:cs="宋体"/>
          <w:color w:val="auto"/>
          <w:sz w:val="32"/>
          <w:szCs w:val="32"/>
        </w:rPr>
        <w:t>万元，其中：因公出国（境）费</w:t>
      </w:r>
      <w:r>
        <w:rPr>
          <w:rFonts w:hint="eastAsia" w:ascii="仿宋_GB2312" w:eastAsia="仿宋_GB2312" w:cs="宋体"/>
          <w:color w:val="auto"/>
          <w:sz w:val="32"/>
          <w:szCs w:val="32"/>
          <w:lang w:val="en-US" w:eastAsia="zh-CN"/>
        </w:rPr>
        <w:t>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7.8</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w:t>
      </w:r>
      <w:r>
        <w:rPr>
          <w:rFonts w:hint="eastAsia" w:ascii="仿宋_GB2312" w:eastAsia="仿宋_GB2312" w:cs="宋体"/>
          <w:color w:val="auto"/>
          <w:sz w:val="32"/>
          <w:szCs w:val="32"/>
        </w:rPr>
        <w:t>万元。</w:t>
      </w:r>
    </w:p>
    <w:p>
      <w:pPr>
        <w:ind w:firstLine="681" w:firstLineChars="213"/>
        <w:jc w:val="left"/>
        <w:rPr>
          <w:rFonts w:ascii="仿宋_GB2312" w:eastAsia="仿宋_GB2312" w:cs="宋体"/>
          <w:color w:val="auto"/>
          <w:sz w:val="32"/>
          <w:szCs w:val="32"/>
        </w:rPr>
      </w:pPr>
      <w:r>
        <w:rPr>
          <w:rFonts w:hint="eastAsia" w:ascii="仿宋_GB2312" w:eastAsia="仿宋_GB2312" w:cs="宋体"/>
          <w:color w:val="auto"/>
          <w:sz w:val="32"/>
          <w:szCs w:val="32"/>
        </w:rPr>
        <w:t>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年，全年“三公”经费决算支出</w:t>
      </w:r>
      <w:r>
        <w:rPr>
          <w:rFonts w:hint="eastAsia" w:ascii="仿宋_GB2312" w:eastAsia="仿宋_GB2312" w:cs="宋体"/>
          <w:color w:val="auto"/>
          <w:sz w:val="32"/>
          <w:szCs w:val="32"/>
          <w:lang w:val="en-US" w:eastAsia="zh-CN"/>
        </w:rPr>
        <w:t>5.16</w:t>
      </w:r>
      <w:r>
        <w:rPr>
          <w:rFonts w:hint="eastAsia" w:ascii="仿宋_GB2312" w:eastAsia="仿宋_GB2312" w:cs="宋体"/>
          <w:color w:val="auto"/>
          <w:sz w:val="32"/>
          <w:szCs w:val="32"/>
        </w:rPr>
        <w:t>万元，其中：因公出国（境）费用</w:t>
      </w:r>
      <w:r>
        <w:rPr>
          <w:rFonts w:hint="eastAsia" w:ascii="仿宋_GB2312" w:eastAsia="仿宋_GB2312" w:cs="宋体"/>
          <w:color w:val="auto"/>
          <w:sz w:val="32"/>
          <w:szCs w:val="32"/>
          <w:lang w:val="en-US" w:eastAsia="zh-CN"/>
        </w:rPr>
        <w:t>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5.16</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w:t>
      </w:r>
      <w:r>
        <w:rPr>
          <w:rFonts w:hint="eastAsia" w:ascii="仿宋_GB2312" w:eastAsia="仿宋_GB2312" w:cs="宋体"/>
          <w:color w:val="auto"/>
          <w:sz w:val="32"/>
          <w:szCs w:val="32"/>
        </w:rPr>
        <w:t>万元。较上年“三公”经费决算支出</w:t>
      </w:r>
      <w:r>
        <w:rPr>
          <w:rFonts w:hint="eastAsia" w:ascii="仿宋_GB2312" w:eastAsia="仿宋_GB2312" w:cs="宋体"/>
          <w:color w:val="auto"/>
          <w:sz w:val="32"/>
          <w:szCs w:val="32"/>
          <w:lang w:val="en-US" w:eastAsia="zh-CN"/>
        </w:rPr>
        <w:t>7.8</w:t>
      </w:r>
      <w:r>
        <w:rPr>
          <w:rFonts w:hint="eastAsia" w:ascii="仿宋_GB2312" w:eastAsia="仿宋_GB2312" w:cs="宋体"/>
          <w:color w:val="auto"/>
          <w:sz w:val="32"/>
          <w:szCs w:val="32"/>
        </w:rPr>
        <w:t>万元，减少</w:t>
      </w:r>
      <w:r>
        <w:rPr>
          <w:rFonts w:hint="eastAsia" w:ascii="仿宋_GB2312" w:eastAsia="仿宋_GB2312" w:cs="宋体"/>
          <w:color w:val="auto"/>
          <w:sz w:val="32"/>
          <w:szCs w:val="32"/>
          <w:lang w:val="en-US" w:eastAsia="zh-CN"/>
        </w:rPr>
        <w:t>2.64</w:t>
      </w:r>
      <w:r>
        <w:rPr>
          <w:rFonts w:hint="eastAsia" w:ascii="仿宋_GB2312" w:eastAsia="仿宋_GB2312" w:cs="宋体"/>
          <w:color w:val="auto"/>
          <w:sz w:val="32"/>
          <w:szCs w:val="32"/>
        </w:rPr>
        <w:t>万元，</w:t>
      </w:r>
      <w:r>
        <w:rPr>
          <w:rFonts w:hint="eastAsia" w:ascii="仿宋_GB2312" w:eastAsia="仿宋_GB2312" w:cs="宋体"/>
          <w:color w:val="auto"/>
          <w:sz w:val="32"/>
          <w:szCs w:val="32"/>
          <w:lang w:eastAsia="zh-CN"/>
        </w:rPr>
        <w:t>减少</w:t>
      </w:r>
      <w:r>
        <w:rPr>
          <w:rFonts w:hint="eastAsia" w:ascii="仿宋_GB2312" w:eastAsia="仿宋_GB2312" w:cs="宋体"/>
          <w:color w:val="auto"/>
          <w:sz w:val="32"/>
          <w:szCs w:val="32"/>
          <w:lang w:val="en-US" w:eastAsia="zh-CN"/>
        </w:rPr>
        <w:t>33.85</w:t>
      </w:r>
      <w:r>
        <w:rPr>
          <w:rFonts w:hint="eastAsia" w:ascii="仿宋_GB2312" w:eastAsia="仿宋_GB2312" w:cs="宋体"/>
          <w:color w:val="auto"/>
          <w:sz w:val="32"/>
          <w:szCs w:val="32"/>
        </w:rPr>
        <w:t>%。</w:t>
      </w:r>
    </w:p>
    <w:p>
      <w:pPr>
        <w:pStyle w:val="4"/>
        <w:ind w:firstLine="640"/>
        <w:rPr>
          <w:rFonts w:ascii="楷体_GB2312" w:eastAsia="楷体_GB2312"/>
          <w:color w:val="auto"/>
          <w:szCs w:val="32"/>
        </w:rPr>
      </w:pPr>
      <w:r>
        <w:rPr>
          <w:rFonts w:hint="eastAsia" w:ascii="楷体_GB2312" w:eastAsia="楷体_GB2312"/>
          <w:color w:val="auto"/>
          <w:szCs w:val="32"/>
        </w:rPr>
        <w:t>（三）项目支出</w:t>
      </w:r>
      <w:r>
        <w:rPr>
          <w:rFonts w:hint="eastAsia" w:ascii="楷体_GB2312" w:hAnsi="Cambria" w:eastAsia="楷体_GB2312"/>
          <w:color w:val="auto"/>
          <w:szCs w:val="32"/>
        </w:rPr>
        <w:t>预算安排及支出情况</w:t>
      </w:r>
    </w:p>
    <w:p>
      <w:pPr>
        <w:ind w:firstLine="640"/>
        <w:rPr>
          <w:rFonts w:ascii="仿宋_GB2312" w:eastAsia="仿宋_GB2312"/>
          <w:b/>
          <w:bCs/>
          <w:color w:val="auto"/>
          <w:sz w:val="32"/>
          <w:szCs w:val="32"/>
        </w:rPr>
      </w:pPr>
      <w:r>
        <w:rPr>
          <w:rFonts w:hint="eastAsia" w:ascii="仿宋_GB2312" w:eastAsia="仿宋_GB2312"/>
          <w:b/>
          <w:bCs/>
          <w:color w:val="auto"/>
          <w:sz w:val="32"/>
          <w:szCs w:val="32"/>
        </w:rPr>
        <w:t>1.项目支出情况</w:t>
      </w:r>
    </w:p>
    <w:p>
      <w:pPr>
        <w:pStyle w:val="5"/>
        <w:ind w:firstLine="640"/>
        <w:rPr>
          <w:b w:val="0"/>
          <w:bCs w:val="0"/>
          <w:color w:val="auto"/>
          <w:sz w:val="32"/>
        </w:rPr>
      </w:pPr>
      <w:r>
        <w:rPr>
          <w:rFonts w:hint="eastAsia"/>
          <w:b w:val="0"/>
          <w:bCs w:val="0"/>
          <w:color w:val="auto"/>
          <w:sz w:val="32"/>
        </w:rPr>
        <w:t>202</w:t>
      </w:r>
      <w:r>
        <w:rPr>
          <w:rFonts w:hint="eastAsia"/>
          <w:b w:val="0"/>
          <w:bCs w:val="0"/>
          <w:color w:val="auto"/>
          <w:sz w:val="32"/>
          <w:lang w:val="en-US" w:eastAsia="zh-CN"/>
        </w:rPr>
        <w:t>2</w:t>
      </w:r>
      <w:r>
        <w:rPr>
          <w:rFonts w:hint="eastAsia"/>
          <w:b w:val="0"/>
          <w:bCs w:val="0"/>
          <w:color w:val="auto"/>
          <w:sz w:val="32"/>
        </w:rPr>
        <w:t>年，</w:t>
      </w:r>
      <w:r>
        <w:rPr>
          <w:rFonts w:hint="eastAsia" w:ascii="仿宋_GB2312" w:eastAsia="仿宋_GB2312"/>
          <w:b w:val="0"/>
          <w:bCs w:val="0"/>
          <w:color w:val="auto"/>
          <w:sz w:val="32"/>
          <w:szCs w:val="32"/>
          <w:lang w:val="en-US" w:eastAsia="zh-CN"/>
        </w:rPr>
        <w:t>昌吉市商务和工业信息化局</w:t>
      </w:r>
      <w:r>
        <w:rPr>
          <w:rFonts w:hint="eastAsia"/>
          <w:b w:val="0"/>
          <w:bCs w:val="0"/>
          <w:color w:val="auto"/>
          <w:sz w:val="32"/>
        </w:rPr>
        <w:t>项目支出年初预算金额为</w:t>
      </w:r>
      <w:r>
        <w:rPr>
          <w:rFonts w:hint="eastAsia"/>
          <w:b w:val="0"/>
          <w:bCs w:val="0"/>
          <w:color w:val="auto"/>
          <w:sz w:val="32"/>
          <w:lang w:val="en-US" w:eastAsia="zh-CN"/>
        </w:rPr>
        <w:t>10320.66</w:t>
      </w:r>
      <w:r>
        <w:rPr>
          <w:rFonts w:hint="eastAsia"/>
          <w:b w:val="0"/>
          <w:bCs w:val="0"/>
          <w:color w:val="auto"/>
          <w:sz w:val="32"/>
        </w:rPr>
        <w:t>万元，支出金额为</w:t>
      </w:r>
      <w:r>
        <w:rPr>
          <w:rFonts w:hint="eastAsia"/>
          <w:b w:val="0"/>
          <w:bCs w:val="0"/>
          <w:color w:val="auto"/>
          <w:sz w:val="32"/>
          <w:lang w:val="en-US" w:eastAsia="zh-CN"/>
        </w:rPr>
        <w:t>10320.66</w:t>
      </w:r>
      <w:r>
        <w:rPr>
          <w:rFonts w:hint="eastAsia"/>
          <w:b w:val="0"/>
          <w:bCs w:val="0"/>
          <w:color w:val="auto"/>
          <w:sz w:val="32"/>
        </w:rPr>
        <w:t>万元，执行率为</w:t>
      </w:r>
      <w:r>
        <w:rPr>
          <w:rFonts w:hint="eastAsia"/>
          <w:b w:val="0"/>
          <w:bCs w:val="0"/>
          <w:color w:val="auto"/>
          <w:sz w:val="32"/>
          <w:lang w:val="en-US" w:eastAsia="zh-CN"/>
        </w:rPr>
        <w:t>100</w:t>
      </w:r>
      <w:r>
        <w:rPr>
          <w:rFonts w:hint="eastAsia"/>
          <w:b w:val="0"/>
          <w:bCs w:val="0"/>
          <w:color w:val="auto"/>
          <w:sz w:val="32"/>
        </w:rPr>
        <w:t>%，年中调整预算金额为</w:t>
      </w:r>
      <w:r>
        <w:rPr>
          <w:rFonts w:hint="eastAsia"/>
          <w:b w:val="0"/>
          <w:bCs w:val="0"/>
          <w:color w:val="auto"/>
          <w:sz w:val="32"/>
          <w:lang w:val="en-US" w:eastAsia="zh-CN"/>
        </w:rPr>
        <w:t>10320.66</w:t>
      </w:r>
      <w:r>
        <w:rPr>
          <w:rFonts w:hint="eastAsia"/>
          <w:b w:val="0"/>
          <w:bCs w:val="0"/>
          <w:color w:val="auto"/>
          <w:sz w:val="32"/>
        </w:rPr>
        <w:t>万元。综上，我单位项目支出预算总额为</w:t>
      </w:r>
      <w:r>
        <w:rPr>
          <w:rFonts w:hint="eastAsia"/>
          <w:b w:val="0"/>
          <w:bCs w:val="0"/>
          <w:color w:val="auto"/>
          <w:sz w:val="32"/>
          <w:lang w:val="en-US" w:eastAsia="zh-CN"/>
        </w:rPr>
        <w:t>10320.66</w:t>
      </w:r>
      <w:r>
        <w:rPr>
          <w:rFonts w:hint="eastAsia"/>
          <w:b w:val="0"/>
          <w:bCs w:val="0"/>
          <w:color w:val="auto"/>
          <w:sz w:val="32"/>
        </w:rPr>
        <w:t>万元，支出总额为</w:t>
      </w:r>
      <w:r>
        <w:rPr>
          <w:rFonts w:hint="eastAsia"/>
          <w:b w:val="0"/>
          <w:bCs w:val="0"/>
          <w:color w:val="auto"/>
          <w:sz w:val="32"/>
          <w:lang w:val="en-US" w:eastAsia="zh-CN"/>
        </w:rPr>
        <w:t>10320.66</w:t>
      </w:r>
      <w:r>
        <w:rPr>
          <w:rFonts w:hint="eastAsia"/>
          <w:b w:val="0"/>
          <w:bCs w:val="0"/>
          <w:color w:val="auto"/>
          <w:sz w:val="32"/>
        </w:rPr>
        <w:t>万元，预算总执行率为</w:t>
      </w:r>
      <w:r>
        <w:rPr>
          <w:rFonts w:hint="eastAsia"/>
          <w:b w:val="0"/>
          <w:bCs w:val="0"/>
          <w:color w:val="auto"/>
          <w:sz w:val="32"/>
          <w:lang w:val="en-US" w:eastAsia="zh-CN"/>
        </w:rPr>
        <w:t>100.0</w:t>
      </w:r>
      <w:r>
        <w:rPr>
          <w:rFonts w:hint="eastAsia"/>
          <w:b w:val="0"/>
          <w:bCs w:val="0"/>
          <w:color w:val="auto"/>
          <w:sz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ascii="仿宋_GB2312" w:eastAsia="仿宋_GB2312"/>
          <w:b w:val="0"/>
          <w:bCs w:val="0"/>
          <w:color w:val="auto"/>
          <w:sz w:val="32"/>
          <w:szCs w:val="32"/>
          <w:lang w:val="en-US" w:eastAsia="zh-CN"/>
        </w:rPr>
        <w:t>昌吉市商务和工业信息化局</w:t>
      </w:r>
      <w:r>
        <w:rPr>
          <w:rFonts w:hint="eastAsia" w:ascii="仿宋_GB2312" w:eastAsia="仿宋_GB2312"/>
          <w:color w:val="auto"/>
          <w:sz w:val="32"/>
          <w:szCs w:val="32"/>
        </w:rPr>
        <w:t>共有</w:t>
      </w:r>
      <w:r>
        <w:rPr>
          <w:rFonts w:hint="eastAsia" w:ascii="仿宋_GB2312" w:eastAsia="仿宋_GB2312"/>
          <w:color w:val="auto"/>
          <w:sz w:val="32"/>
          <w:szCs w:val="32"/>
          <w:lang w:val="en-US" w:eastAsia="zh-CN"/>
        </w:rPr>
        <w:t>20</w:t>
      </w:r>
      <w:r>
        <w:rPr>
          <w:rFonts w:hint="eastAsia" w:ascii="仿宋_GB2312" w:eastAsia="仿宋_GB2312"/>
          <w:color w:val="auto"/>
          <w:sz w:val="32"/>
          <w:szCs w:val="32"/>
        </w:rPr>
        <w:t>个中央、自治区、地区、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本级财力安排项目，已完成项目数量</w:t>
      </w:r>
      <w:r>
        <w:rPr>
          <w:rFonts w:hint="eastAsia" w:ascii="仿宋_GB2312" w:eastAsia="仿宋_GB2312"/>
          <w:color w:val="auto"/>
          <w:sz w:val="32"/>
          <w:szCs w:val="32"/>
          <w:lang w:val="en-US" w:eastAsia="zh-CN"/>
        </w:rPr>
        <w:t>20</w:t>
      </w:r>
      <w:r>
        <w:rPr>
          <w:rFonts w:hint="eastAsia" w:ascii="仿宋_GB2312" w:eastAsia="仿宋_GB2312"/>
          <w:color w:val="auto"/>
          <w:sz w:val="32"/>
          <w:szCs w:val="32"/>
        </w:rPr>
        <w:t>个</w:t>
      </w:r>
      <w:r>
        <w:rPr>
          <w:rFonts w:hint="eastAsia" w:ascii="仿宋_GB2312" w:eastAsia="仿宋_GB2312"/>
          <w:color w:val="auto"/>
          <w:sz w:val="32"/>
          <w:szCs w:val="32"/>
          <w:lang w:eastAsia="zh-CN"/>
        </w:rPr>
        <w:t>（其中一项为涉密项目）</w:t>
      </w: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年度中央、自治区、地区、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本级财力安排项目预算及执行情况见下表：</w:t>
      </w:r>
    </w:p>
    <w:p>
      <w:pPr>
        <w:pStyle w:val="2"/>
        <w:rPr>
          <w:rFonts w:hint="eastAsia" w:ascii="仿宋_GB2312" w:eastAsia="仿宋_GB2312"/>
          <w:color w:val="auto"/>
          <w:sz w:val="32"/>
          <w:szCs w:val="32"/>
        </w:rPr>
      </w:pPr>
    </w:p>
    <w:p>
      <w:pPr>
        <w:pStyle w:val="2"/>
        <w:rPr>
          <w:rFonts w:hint="eastAsia" w:ascii="仿宋_GB2312" w:eastAsia="仿宋_GB2312"/>
          <w:color w:val="auto"/>
          <w:sz w:val="32"/>
          <w:szCs w:val="32"/>
        </w:rPr>
      </w:pPr>
    </w:p>
    <w:p>
      <w:pPr>
        <w:pStyle w:val="2"/>
        <w:rPr>
          <w:rFonts w:hint="eastAsia" w:ascii="仿宋_GB2312" w:eastAsia="仿宋_GB2312"/>
          <w:color w:val="auto"/>
          <w:sz w:val="32"/>
          <w:szCs w:val="32"/>
        </w:rPr>
      </w:pPr>
    </w:p>
    <w:p>
      <w:pPr>
        <w:ind w:left="0" w:leftChars="0" w:firstLine="0" w:firstLineChars="0"/>
        <w:jc w:val="both"/>
        <w:rPr>
          <w:rFonts w:hint="eastAsia"/>
          <w:color w:val="auto"/>
          <w:sz w:val="21"/>
          <w:szCs w:val="21"/>
        </w:rPr>
      </w:pPr>
    </w:p>
    <w:p>
      <w:pPr>
        <w:ind w:left="0" w:leftChars="0" w:firstLine="0" w:firstLineChars="0"/>
        <w:jc w:val="both"/>
        <w:rPr>
          <w:rFonts w:hint="eastAsia"/>
          <w:color w:val="auto"/>
          <w:sz w:val="21"/>
          <w:szCs w:val="21"/>
        </w:rPr>
      </w:pPr>
      <w:r>
        <w:rPr>
          <w:rFonts w:hint="eastAsia"/>
          <w:color w:val="auto"/>
          <w:sz w:val="21"/>
          <w:szCs w:val="21"/>
        </w:rPr>
        <w:t>单位：万元</w:t>
      </w:r>
    </w:p>
    <w:tbl>
      <w:tblPr>
        <w:tblStyle w:val="10"/>
        <w:tblW w:w="87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4711"/>
        <w:gridCol w:w="990"/>
        <w:gridCol w:w="1141"/>
        <w:gridCol w:w="710"/>
        <w:gridCol w:w="584"/>
        <w:gridCol w:w="6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rPr>
          <w:trHeight w:val="716" w:hRule="exact"/>
        </w:trPr>
        <w:tc>
          <w:tcPr>
            <w:tcW w:w="4711"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ascii="仿宋_GB2312" w:hAnsi="宋体" w:eastAsia="仿宋_GB2312" w:cs="仿宋_GB2312"/>
                <w:b/>
                <w:i w:val="0"/>
                <w:color w:val="000000" w:themeColor="text1"/>
                <w:sz w:val="21"/>
                <w:szCs w:val="21"/>
                <w:u w:val="none"/>
              </w:rPr>
            </w:pPr>
            <w:r>
              <w:rPr>
                <w:rFonts w:hint="default" w:ascii="仿宋_GB2312" w:hAnsi="宋体" w:eastAsia="仿宋_GB2312" w:cs="仿宋_GB2312"/>
                <w:b/>
                <w:i w:val="0"/>
                <w:color w:val="000000" w:themeColor="text1"/>
                <w:kern w:val="0"/>
                <w:sz w:val="21"/>
                <w:szCs w:val="21"/>
                <w:u w:val="none"/>
                <w:lang w:val="en-US" w:eastAsia="zh-CN" w:bidi="ar"/>
              </w:rPr>
              <w:t>项目名称</w:t>
            </w:r>
          </w:p>
        </w:tc>
        <w:tc>
          <w:tcPr>
            <w:tcW w:w="9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default" w:ascii="仿宋_GB2312" w:hAnsi="宋体" w:eastAsia="仿宋_GB2312" w:cs="仿宋_GB2312"/>
                <w:b/>
                <w:i w:val="0"/>
                <w:color w:val="000000" w:themeColor="text1"/>
                <w:sz w:val="21"/>
                <w:szCs w:val="21"/>
                <w:u w:val="none"/>
              </w:rPr>
            </w:pPr>
            <w:r>
              <w:rPr>
                <w:rFonts w:hint="default" w:ascii="仿宋_GB2312" w:hAnsi="宋体" w:eastAsia="仿宋_GB2312" w:cs="仿宋_GB2312"/>
                <w:b/>
                <w:i w:val="0"/>
                <w:color w:val="000000" w:themeColor="text1"/>
                <w:kern w:val="0"/>
                <w:sz w:val="21"/>
                <w:szCs w:val="21"/>
                <w:u w:val="none"/>
                <w:lang w:val="en-US" w:eastAsia="zh-CN" w:bidi="ar"/>
              </w:rPr>
              <w:t>预算金额</w:t>
            </w:r>
          </w:p>
        </w:tc>
        <w:tc>
          <w:tcPr>
            <w:tcW w:w="1141"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default" w:ascii="仿宋_GB2312" w:hAnsi="宋体" w:eastAsia="仿宋_GB2312" w:cs="仿宋_GB2312"/>
                <w:b/>
                <w:i w:val="0"/>
                <w:color w:val="000000" w:themeColor="text1"/>
                <w:sz w:val="21"/>
                <w:szCs w:val="21"/>
                <w:u w:val="none"/>
              </w:rPr>
            </w:pPr>
            <w:r>
              <w:rPr>
                <w:rFonts w:hint="default" w:ascii="仿宋_GB2312" w:hAnsi="宋体" w:eastAsia="仿宋_GB2312" w:cs="仿宋_GB2312"/>
                <w:b/>
                <w:i w:val="0"/>
                <w:color w:val="000000" w:themeColor="text1"/>
                <w:kern w:val="0"/>
                <w:sz w:val="21"/>
                <w:szCs w:val="21"/>
                <w:u w:val="none"/>
                <w:lang w:val="en-US" w:eastAsia="zh-CN" w:bidi="ar"/>
              </w:rPr>
              <w:t>执行金额</w:t>
            </w:r>
          </w:p>
        </w:tc>
        <w:tc>
          <w:tcPr>
            <w:tcW w:w="7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default" w:ascii="仿宋_GB2312" w:hAnsi="宋体" w:eastAsia="仿宋_GB2312" w:cs="仿宋_GB2312"/>
                <w:b/>
                <w:i w:val="0"/>
                <w:color w:val="000000" w:themeColor="text1"/>
                <w:sz w:val="21"/>
                <w:szCs w:val="21"/>
                <w:u w:val="none"/>
              </w:rPr>
            </w:pPr>
            <w:r>
              <w:rPr>
                <w:rFonts w:hint="default" w:ascii="仿宋_GB2312" w:hAnsi="宋体" w:eastAsia="仿宋_GB2312" w:cs="仿宋_GB2312"/>
                <w:b/>
                <w:i w:val="0"/>
                <w:color w:val="000000" w:themeColor="text1"/>
                <w:kern w:val="0"/>
                <w:sz w:val="21"/>
                <w:szCs w:val="21"/>
                <w:u w:val="none"/>
                <w:lang w:val="en-US" w:eastAsia="zh-CN" w:bidi="ar"/>
              </w:rPr>
              <w:t>执行率</w:t>
            </w:r>
          </w:p>
        </w:tc>
        <w:tc>
          <w:tcPr>
            <w:tcW w:w="58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default" w:ascii="仿宋_GB2312" w:hAnsi="宋体" w:eastAsia="仿宋_GB2312" w:cs="仿宋_GB2312"/>
                <w:b/>
                <w:i w:val="0"/>
                <w:color w:val="000000" w:themeColor="text1"/>
                <w:sz w:val="18"/>
                <w:szCs w:val="18"/>
                <w:u w:val="none"/>
              </w:rPr>
            </w:pPr>
            <w:r>
              <w:rPr>
                <w:rFonts w:hint="default" w:ascii="仿宋_GB2312" w:hAnsi="宋体" w:eastAsia="仿宋_GB2312" w:cs="仿宋_GB2312"/>
                <w:b/>
                <w:i w:val="0"/>
                <w:color w:val="000000" w:themeColor="text1"/>
                <w:kern w:val="0"/>
                <w:sz w:val="18"/>
                <w:szCs w:val="18"/>
                <w:u w:val="none"/>
                <w:lang w:val="en-US" w:eastAsia="zh-CN" w:bidi="ar"/>
              </w:rPr>
              <w:t>项目是否完成</w:t>
            </w:r>
          </w:p>
        </w:tc>
        <w:tc>
          <w:tcPr>
            <w:tcW w:w="64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default" w:ascii="仿宋_GB2312" w:hAnsi="宋体" w:eastAsia="仿宋_GB2312" w:cs="仿宋_GB2312"/>
                <w:b/>
                <w:i w:val="0"/>
                <w:color w:val="000000" w:themeColor="text1"/>
                <w:sz w:val="18"/>
                <w:szCs w:val="18"/>
                <w:u w:val="none"/>
              </w:rPr>
            </w:pPr>
            <w:r>
              <w:rPr>
                <w:rFonts w:hint="default" w:ascii="仿宋_GB2312" w:hAnsi="宋体" w:eastAsia="仿宋_GB2312" w:cs="仿宋_GB2312"/>
                <w:b/>
                <w:i w:val="0"/>
                <w:color w:val="000000" w:themeColor="text1"/>
                <w:kern w:val="0"/>
                <w:sz w:val="18"/>
                <w:szCs w:val="18"/>
                <w:u w:val="none"/>
                <w:lang w:val="en-US" w:eastAsia="zh-CN" w:bidi="ar"/>
              </w:rPr>
              <w:t>是否上级专项资金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3" w:hRule="exact"/>
        </w:trPr>
        <w:tc>
          <w:tcPr>
            <w:tcW w:w="4711"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2022年中央外经贸发展专项资金预算</w:t>
            </w:r>
          </w:p>
        </w:tc>
        <w:tc>
          <w:tcPr>
            <w:tcW w:w="990"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2082.65</w:t>
            </w:r>
          </w:p>
        </w:tc>
        <w:tc>
          <w:tcPr>
            <w:tcW w:w="1141"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2082.65</w:t>
            </w:r>
          </w:p>
        </w:tc>
        <w:tc>
          <w:tcPr>
            <w:tcW w:w="7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100</w:t>
            </w:r>
          </w:p>
        </w:tc>
        <w:tc>
          <w:tcPr>
            <w:tcW w:w="58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是</w:t>
            </w:r>
          </w:p>
        </w:tc>
        <w:tc>
          <w:tcPr>
            <w:tcW w:w="64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3" w:hRule="exact"/>
        </w:trPr>
        <w:tc>
          <w:tcPr>
            <w:tcW w:w="4711"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2022年中小企业发展专项资金预算（专精特新方向）专项资金（第三批国家级专精特新重点“小巨人”企业高质量发展奖补资金）</w:t>
            </w:r>
          </w:p>
        </w:tc>
        <w:tc>
          <w:tcPr>
            <w:tcW w:w="990"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200</w:t>
            </w:r>
          </w:p>
        </w:tc>
        <w:tc>
          <w:tcPr>
            <w:tcW w:w="1141"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200</w:t>
            </w:r>
          </w:p>
        </w:tc>
        <w:tc>
          <w:tcPr>
            <w:tcW w:w="7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100</w:t>
            </w:r>
          </w:p>
        </w:tc>
        <w:tc>
          <w:tcPr>
            <w:tcW w:w="58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是</w:t>
            </w:r>
          </w:p>
        </w:tc>
        <w:tc>
          <w:tcPr>
            <w:tcW w:w="64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3" w:hRule="exact"/>
        </w:trPr>
        <w:tc>
          <w:tcPr>
            <w:tcW w:w="4711"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2022年度自治区工业节能减排专项资金</w:t>
            </w:r>
          </w:p>
        </w:tc>
        <w:tc>
          <w:tcPr>
            <w:tcW w:w="990"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default" w:ascii="宋体" w:hAnsi="宋体" w:eastAsia="宋体" w:cs="宋体"/>
                <w:i w:val="0"/>
                <w:color w:val="000000" w:themeColor="text1"/>
                <w:sz w:val="21"/>
                <w:szCs w:val="21"/>
                <w:u w:val="none"/>
                <w:lang w:val="en-US"/>
              </w:rPr>
            </w:pPr>
            <w:r>
              <w:rPr>
                <w:rFonts w:hint="eastAsia" w:ascii="宋体" w:hAnsi="宋体" w:eastAsia="宋体" w:cs="宋体"/>
                <w:i w:val="0"/>
                <w:iCs w:val="0"/>
                <w:color w:val="000000" w:themeColor="text1"/>
                <w:kern w:val="0"/>
                <w:sz w:val="21"/>
                <w:szCs w:val="21"/>
                <w:u w:val="none"/>
                <w:lang w:val="en-US" w:eastAsia="zh-CN" w:bidi="ar"/>
              </w:rPr>
              <w:t>101</w:t>
            </w:r>
          </w:p>
        </w:tc>
        <w:tc>
          <w:tcPr>
            <w:tcW w:w="1141"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101</w:t>
            </w:r>
          </w:p>
        </w:tc>
        <w:tc>
          <w:tcPr>
            <w:tcW w:w="7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100</w:t>
            </w:r>
          </w:p>
        </w:tc>
        <w:tc>
          <w:tcPr>
            <w:tcW w:w="58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是</w:t>
            </w:r>
          </w:p>
        </w:tc>
        <w:tc>
          <w:tcPr>
            <w:tcW w:w="64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3" w:hRule="exact"/>
        </w:trPr>
        <w:tc>
          <w:tcPr>
            <w:tcW w:w="4711"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2022年中央财政县域商业体系建设项目资金</w:t>
            </w:r>
          </w:p>
        </w:tc>
        <w:tc>
          <w:tcPr>
            <w:tcW w:w="990"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1154.61</w:t>
            </w:r>
          </w:p>
        </w:tc>
        <w:tc>
          <w:tcPr>
            <w:tcW w:w="1141"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1154.61</w:t>
            </w:r>
          </w:p>
        </w:tc>
        <w:tc>
          <w:tcPr>
            <w:tcW w:w="7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100</w:t>
            </w:r>
          </w:p>
        </w:tc>
        <w:tc>
          <w:tcPr>
            <w:tcW w:w="58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是</w:t>
            </w:r>
          </w:p>
        </w:tc>
        <w:tc>
          <w:tcPr>
            <w:tcW w:w="64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3" w:hRule="exact"/>
        </w:trPr>
        <w:tc>
          <w:tcPr>
            <w:tcW w:w="4711"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2022年自治区重点技术创新专项资金</w:t>
            </w:r>
          </w:p>
        </w:tc>
        <w:tc>
          <w:tcPr>
            <w:tcW w:w="990"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74</w:t>
            </w:r>
          </w:p>
        </w:tc>
        <w:tc>
          <w:tcPr>
            <w:tcW w:w="1141"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74</w:t>
            </w:r>
          </w:p>
        </w:tc>
        <w:tc>
          <w:tcPr>
            <w:tcW w:w="7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100</w:t>
            </w:r>
          </w:p>
        </w:tc>
        <w:tc>
          <w:tcPr>
            <w:tcW w:w="58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是</w:t>
            </w:r>
          </w:p>
        </w:tc>
        <w:tc>
          <w:tcPr>
            <w:tcW w:w="64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3" w:hRule="exact"/>
        </w:trPr>
        <w:tc>
          <w:tcPr>
            <w:tcW w:w="4711"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2022年自治区战略性新兴产业专项资金</w:t>
            </w:r>
          </w:p>
        </w:tc>
        <w:tc>
          <w:tcPr>
            <w:tcW w:w="990"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60</w:t>
            </w:r>
          </w:p>
        </w:tc>
        <w:tc>
          <w:tcPr>
            <w:tcW w:w="1141"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60</w:t>
            </w:r>
          </w:p>
        </w:tc>
        <w:tc>
          <w:tcPr>
            <w:tcW w:w="7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100</w:t>
            </w:r>
          </w:p>
        </w:tc>
        <w:tc>
          <w:tcPr>
            <w:tcW w:w="58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是</w:t>
            </w:r>
          </w:p>
        </w:tc>
        <w:tc>
          <w:tcPr>
            <w:tcW w:w="64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3" w:hRule="exact"/>
        </w:trPr>
        <w:tc>
          <w:tcPr>
            <w:tcW w:w="4711"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闽昌工业园标准化厂房建设项目规划设计费</w:t>
            </w:r>
          </w:p>
        </w:tc>
        <w:tc>
          <w:tcPr>
            <w:tcW w:w="990"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9</w:t>
            </w:r>
          </w:p>
        </w:tc>
        <w:tc>
          <w:tcPr>
            <w:tcW w:w="1141"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9</w:t>
            </w:r>
          </w:p>
        </w:tc>
        <w:tc>
          <w:tcPr>
            <w:tcW w:w="7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100</w:t>
            </w:r>
          </w:p>
        </w:tc>
        <w:tc>
          <w:tcPr>
            <w:tcW w:w="58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是</w:t>
            </w:r>
          </w:p>
        </w:tc>
        <w:tc>
          <w:tcPr>
            <w:tcW w:w="64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3" w:hRule="exact"/>
        </w:trPr>
        <w:tc>
          <w:tcPr>
            <w:tcW w:w="4711"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2022年自治区中小企业发展专项资金</w:t>
            </w:r>
          </w:p>
        </w:tc>
        <w:tc>
          <w:tcPr>
            <w:tcW w:w="990"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90.3</w:t>
            </w:r>
          </w:p>
        </w:tc>
        <w:tc>
          <w:tcPr>
            <w:tcW w:w="1141"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90.3</w:t>
            </w:r>
          </w:p>
        </w:tc>
        <w:tc>
          <w:tcPr>
            <w:tcW w:w="7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100</w:t>
            </w:r>
          </w:p>
        </w:tc>
        <w:tc>
          <w:tcPr>
            <w:tcW w:w="58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是</w:t>
            </w:r>
          </w:p>
        </w:tc>
        <w:tc>
          <w:tcPr>
            <w:tcW w:w="64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3" w:hRule="exact"/>
        </w:trPr>
        <w:tc>
          <w:tcPr>
            <w:tcW w:w="4711"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2022年中央中小企业发展专项资金（专精特新方向）</w:t>
            </w:r>
          </w:p>
        </w:tc>
        <w:tc>
          <w:tcPr>
            <w:tcW w:w="990"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210</w:t>
            </w:r>
          </w:p>
        </w:tc>
        <w:tc>
          <w:tcPr>
            <w:tcW w:w="1141"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210</w:t>
            </w:r>
          </w:p>
        </w:tc>
        <w:tc>
          <w:tcPr>
            <w:tcW w:w="7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100</w:t>
            </w:r>
          </w:p>
        </w:tc>
        <w:tc>
          <w:tcPr>
            <w:tcW w:w="58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是</w:t>
            </w:r>
          </w:p>
        </w:tc>
        <w:tc>
          <w:tcPr>
            <w:tcW w:w="642"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20" w:lineRule="auto"/>
              <w:ind w:firstLine="0" w:firstLineChars="0"/>
              <w:jc w:val="both"/>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3" w:hRule="exact"/>
        </w:trPr>
        <w:tc>
          <w:tcPr>
            <w:tcW w:w="4711"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2022年中央产业基础再造和制造业高质量发展资金（第一批）</w:t>
            </w:r>
          </w:p>
        </w:tc>
        <w:tc>
          <w:tcPr>
            <w:tcW w:w="990"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3000</w:t>
            </w:r>
          </w:p>
        </w:tc>
        <w:tc>
          <w:tcPr>
            <w:tcW w:w="1141"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3000</w:t>
            </w:r>
          </w:p>
        </w:tc>
        <w:tc>
          <w:tcPr>
            <w:tcW w:w="7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100</w:t>
            </w:r>
          </w:p>
        </w:tc>
        <w:tc>
          <w:tcPr>
            <w:tcW w:w="58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是</w:t>
            </w:r>
          </w:p>
        </w:tc>
        <w:tc>
          <w:tcPr>
            <w:tcW w:w="642"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20" w:lineRule="auto"/>
              <w:ind w:firstLine="0" w:firstLineChars="0"/>
              <w:jc w:val="both"/>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3" w:hRule="exact"/>
        </w:trPr>
        <w:tc>
          <w:tcPr>
            <w:tcW w:w="4711"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招商引资经费</w:t>
            </w:r>
          </w:p>
        </w:tc>
        <w:tc>
          <w:tcPr>
            <w:tcW w:w="990"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default" w:ascii="宋体" w:hAnsi="宋体" w:eastAsia="宋体" w:cs="宋体"/>
                <w:i w:val="0"/>
                <w:color w:val="000000" w:themeColor="text1"/>
                <w:sz w:val="21"/>
                <w:szCs w:val="21"/>
                <w:u w:val="none"/>
                <w:lang w:val="en-US" w:eastAsia="zh-CN"/>
              </w:rPr>
            </w:pPr>
            <w:r>
              <w:rPr>
                <w:rFonts w:hint="eastAsia" w:ascii="宋体" w:hAnsi="宋体" w:eastAsia="宋体" w:cs="宋体"/>
                <w:i w:val="0"/>
                <w:color w:val="000000" w:themeColor="text1"/>
                <w:sz w:val="21"/>
                <w:szCs w:val="21"/>
                <w:u w:val="none"/>
                <w:lang w:val="en-US" w:eastAsia="zh-CN"/>
              </w:rPr>
              <w:t>26.08</w:t>
            </w:r>
          </w:p>
        </w:tc>
        <w:tc>
          <w:tcPr>
            <w:tcW w:w="1141" w:type="dxa"/>
            <w:shd w:val="clear" w:color="auto" w:fill="auto"/>
            <w:tcMar>
              <w:top w:w="15" w:type="dxa"/>
              <w:left w:w="15" w:type="dxa"/>
              <w:right w:w="15" w:type="dxa"/>
            </w:tcMar>
            <w:vAlign w:val="top"/>
          </w:tcPr>
          <w:p>
            <w:pPr>
              <w:pStyle w:val="2"/>
              <w:ind w:left="0" w:leftChars="0" w:firstLine="0" w:firstLineChars="0"/>
              <w:jc w:val="both"/>
              <w:rPr>
                <w:rFonts w:hint="default" w:eastAsia="宋体"/>
                <w:sz w:val="21"/>
                <w:szCs w:val="21"/>
                <w:lang w:val="en-US" w:eastAsia="zh-CN"/>
              </w:rPr>
            </w:pPr>
            <w:r>
              <w:rPr>
                <w:rFonts w:hint="eastAsia"/>
                <w:sz w:val="21"/>
                <w:szCs w:val="21"/>
                <w:lang w:val="en-US" w:eastAsia="zh-CN"/>
              </w:rPr>
              <w:t xml:space="preserve">   </w:t>
            </w:r>
            <w:r>
              <w:rPr>
                <w:rFonts w:hint="eastAsia" w:ascii="宋体" w:hAnsi="宋体" w:eastAsia="宋体" w:cs="宋体"/>
                <w:sz w:val="21"/>
                <w:szCs w:val="21"/>
                <w:lang w:val="en-US" w:eastAsia="zh-CN"/>
              </w:rPr>
              <w:t xml:space="preserve"> </w:t>
            </w:r>
            <w:r>
              <w:rPr>
                <w:rFonts w:hint="eastAsia" w:ascii="宋体" w:hAnsi="宋体" w:cs="宋体"/>
                <w:sz w:val="21"/>
                <w:szCs w:val="21"/>
                <w:lang w:val="en-US" w:eastAsia="zh-CN"/>
              </w:rPr>
              <w:t>26.08</w:t>
            </w:r>
          </w:p>
        </w:tc>
        <w:tc>
          <w:tcPr>
            <w:tcW w:w="7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100</w:t>
            </w:r>
          </w:p>
        </w:tc>
        <w:tc>
          <w:tcPr>
            <w:tcW w:w="58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是</w:t>
            </w:r>
          </w:p>
        </w:tc>
        <w:tc>
          <w:tcPr>
            <w:tcW w:w="642"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20" w:lineRule="auto"/>
              <w:ind w:firstLine="0" w:firstLineChars="0"/>
              <w:jc w:val="both"/>
              <w:rPr>
                <w:rFonts w:hint="eastAsia" w:ascii="宋体" w:hAnsi="宋体" w:eastAsia="宋体" w:cs="宋体"/>
                <w:i w:val="0"/>
                <w:color w:val="000000" w:themeColor="text1"/>
                <w:sz w:val="21"/>
                <w:szCs w:val="21"/>
                <w:u w:val="none"/>
                <w:lang w:eastAsia="zh-CN"/>
              </w:rPr>
            </w:pPr>
            <w:r>
              <w:rPr>
                <w:rFonts w:hint="eastAsia" w:ascii="宋体" w:hAnsi="宋体" w:eastAsia="宋体" w:cs="宋体"/>
                <w:i w:val="0"/>
                <w:color w:val="000000" w:themeColor="text1"/>
                <w:sz w:val="21"/>
                <w:szCs w:val="21"/>
                <w:u w:val="none"/>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3" w:hRule="exact"/>
        </w:trPr>
        <w:tc>
          <w:tcPr>
            <w:tcW w:w="4711"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业务经费</w:t>
            </w:r>
          </w:p>
        </w:tc>
        <w:tc>
          <w:tcPr>
            <w:tcW w:w="990"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default" w:ascii="宋体" w:hAnsi="宋体" w:eastAsia="宋体" w:cs="宋体"/>
                <w:i w:val="0"/>
                <w:color w:val="000000" w:themeColor="text1"/>
                <w:sz w:val="21"/>
                <w:szCs w:val="21"/>
                <w:u w:val="none"/>
                <w:lang w:val="en-US"/>
              </w:rPr>
            </w:pPr>
            <w:r>
              <w:rPr>
                <w:rFonts w:hint="eastAsia" w:ascii="宋体" w:hAnsi="宋体" w:eastAsia="宋体" w:cs="宋体"/>
                <w:i w:val="0"/>
                <w:iCs w:val="0"/>
                <w:color w:val="000000" w:themeColor="text1"/>
                <w:kern w:val="0"/>
                <w:sz w:val="21"/>
                <w:szCs w:val="21"/>
                <w:u w:val="none"/>
                <w:lang w:val="en-US" w:eastAsia="zh-CN" w:bidi="ar"/>
              </w:rPr>
              <w:t>8.74</w:t>
            </w:r>
          </w:p>
        </w:tc>
        <w:tc>
          <w:tcPr>
            <w:tcW w:w="1141"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default" w:ascii="宋体" w:hAnsi="宋体" w:eastAsia="宋体" w:cs="宋体"/>
                <w:i w:val="0"/>
                <w:color w:val="000000" w:themeColor="text1"/>
                <w:sz w:val="21"/>
                <w:szCs w:val="21"/>
                <w:u w:val="none"/>
                <w:lang w:val="en-US"/>
              </w:rPr>
            </w:pPr>
            <w:r>
              <w:rPr>
                <w:rFonts w:hint="eastAsia" w:ascii="宋体" w:hAnsi="宋体" w:eastAsia="宋体" w:cs="宋体"/>
                <w:i w:val="0"/>
                <w:iCs w:val="0"/>
                <w:color w:val="000000" w:themeColor="text1"/>
                <w:kern w:val="0"/>
                <w:sz w:val="21"/>
                <w:szCs w:val="21"/>
                <w:u w:val="none"/>
                <w:lang w:val="en-US" w:eastAsia="zh-CN" w:bidi="ar"/>
              </w:rPr>
              <w:t>8.74</w:t>
            </w:r>
          </w:p>
        </w:tc>
        <w:tc>
          <w:tcPr>
            <w:tcW w:w="7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100</w:t>
            </w:r>
          </w:p>
        </w:tc>
        <w:tc>
          <w:tcPr>
            <w:tcW w:w="58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是</w:t>
            </w:r>
          </w:p>
        </w:tc>
        <w:tc>
          <w:tcPr>
            <w:tcW w:w="64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lang w:eastAsia="zh-CN"/>
              </w:rPr>
            </w:pPr>
            <w:r>
              <w:rPr>
                <w:rFonts w:hint="eastAsia" w:ascii="宋体" w:hAnsi="宋体" w:eastAsia="宋体" w:cs="宋体"/>
                <w:i w:val="0"/>
                <w:color w:val="000000" w:themeColor="text1"/>
                <w:sz w:val="21"/>
                <w:szCs w:val="21"/>
                <w:u w:val="none"/>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3" w:hRule="exact"/>
        </w:trPr>
        <w:tc>
          <w:tcPr>
            <w:tcW w:w="4711"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2022年边境地区转移支付资金</w:t>
            </w:r>
          </w:p>
        </w:tc>
        <w:tc>
          <w:tcPr>
            <w:tcW w:w="990"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1690</w:t>
            </w:r>
          </w:p>
        </w:tc>
        <w:tc>
          <w:tcPr>
            <w:tcW w:w="1141"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1690</w:t>
            </w:r>
          </w:p>
        </w:tc>
        <w:tc>
          <w:tcPr>
            <w:tcW w:w="7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100</w:t>
            </w:r>
          </w:p>
        </w:tc>
        <w:tc>
          <w:tcPr>
            <w:tcW w:w="58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是</w:t>
            </w:r>
          </w:p>
        </w:tc>
        <w:tc>
          <w:tcPr>
            <w:tcW w:w="64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color w:val="000000" w:themeColor="text1"/>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3" w:hRule="exact"/>
        </w:trPr>
        <w:tc>
          <w:tcPr>
            <w:tcW w:w="4711"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2022年“访惠聚”驻村工作专项经费</w:t>
            </w:r>
          </w:p>
        </w:tc>
        <w:tc>
          <w:tcPr>
            <w:tcW w:w="990"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3</w:t>
            </w:r>
          </w:p>
        </w:tc>
        <w:tc>
          <w:tcPr>
            <w:tcW w:w="1141"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3</w:t>
            </w:r>
          </w:p>
        </w:tc>
        <w:tc>
          <w:tcPr>
            <w:tcW w:w="7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default" w:ascii="宋体" w:hAnsi="宋体" w:eastAsia="宋体" w:cs="宋体"/>
                <w:i w:val="0"/>
                <w:color w:val="000000" w:themeColor="text1"/>
                <w:sz w:val="21"/>
                <w:szCs w:val="21"/>
                <w:u w:val="none"/>
                <w:lang w:val="en-US" w:eastAsia="zh-CN"/>
              </w:rPr>
            </w:pPr>
            <w:r>
              <w:rPr>
                <w:rFonts w:hint="eastAsia" w:ascii="宋体" w:hAnsi="宋体" w:eastAsia="宋体" w:cs="宋体"/>
                <w:i w:val="0"/>
                <w:color w:val="000000" w:themeColor="text1"/>
                <w:sz w:val="21"/>
                <w:szCs w:val="21"/>
                <w:u w:val="none"/>
                <w:lang w:val="en-US" w:eastAsia="zh-CN"/>
              </w:rPr>
              <w:t>100</w:t>
            </w:r>
          </w:p>
        </w:tc>
        <w:tc>
          <w:tcPr>
            <w:tcW w:w="58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20" w:lineRule="auto"/>
              <w:ind w:firstLine="0" w:firstLineChars="0"/>
              <w:jc w:val="both"/>
              <w:rPr>
                <w:rFonts w:hint="eastAsia" w:ascii="宋体" w:hAnsi="宋体" w:eastAsia="宋体" w:cs="宋体"/>
                <w:i w:val="0"/>
                <w:color w:val="000000" w:themeColor="text1"/>
                <w:sz w:val="21"/>
                <w:szCs w:val="21"/>
                <w:u w:val="none"/>
                <w:lang w:val="en-US" w:eastAsia="zh-CN"/>
              </w:rPr>
            </w:pPr>
            <w:r>
              <w:rPr>
                <w:rFonts w:hint="eastAsia" w:ascii="宋体" w:hAnsi="宋体" w:eastAsia="宋体" w:cs="宋体"/>
                <w:i w:val="0"/>
                <w:color w:val="000000" w:themeColor="text1"/>
                <w:sz w:val="21"/>
                <w:szCs w:val="21"/>
                <w:u w:val="none"/>
                <w:lang w:val="en-US" w:eastAsia="zh-CN"/>
              </w:rPr>
              <w:t>否</w:t>
            </w:r>
          </w:p>
        </w:tc>
        <w:tc>
          <w:tcPr>
            <w:tcW w:w="64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lang w:eastAsia="zh-CN"/>
              </w:rPr>
            </w:pPr>
            <w:r>
              <w:rPr>
                <w:rFonts w:hint="eastAsia" w:ascii="宋体" w:hAnsi="宋体" w:eastAsia="宋体" w:cs="宋体"/>
                <w:i w:val="0"/>
                <w:color w:val="000000" w:themeColor="text1"/>
                <w:sz w:val="21"/>
                <w:szCs w:val="21"/>
                <w:u w:val="none"/>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3" w:hRule="exact"/>
        </w:trPr>
        <w:tc>
          <w:tcPr>
            <w:tcW w:w="4711"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themeColor="text1"/>
                <w:sz w:val="21"/>
                <w:szCs w:val="21"/>
                <w:u w:val="none"/>
              </w:rPr>
            </w:pPr>
            <w:r>
              <w:rPr>
                <w:rFonts w:hint="eastAsia" w:ascii="宋体" w:hAnsi="宋体" w:eastAsia="宋体" w:cs="宋体"/>
                <w:i w:val="0"/>
                <w:iCs w:val="0"/>
                <w:color w:val="000000" w:themeColor="text1"/>
                <w:kern w:val="0"/>
                <w:sz w:val="21"/>
                <w:szCs w:val="21"/>
                <w:u w:val="none"/>
                <w:lang w:val="en-US" w:eastAsia="zh-CN" w:bidi="ar"/>
              </w:rPr>
              <w:t>2022年自治区“访惠聚”驻村工作专项经费</w:t>
            </w:r>
          </w:p>
        </w:tc>
        <w:tc>
          <w:tcPr>
            <w:tcW w:w="990"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default" w:ascii="宋体" w:hAnsi="宋体" w:eastAsia="宋体" w:cs="宋体"/>
                <w:i w:val="0"/>
                <w:color w:val="000000" w:themeColor="text1"/>
                <w:sz w:val="21"/>
                <w:szCs w:val="21"/>
                <w:u w:val="none"/>
                <w:lang w:val="en-US" w:eastAsia="zh-CN"/>
              </w:rPr>
            </w:pPr>
            <w:r>
              <w:rPr>
                <w:rFonts w:hint="eastAsia" w:ascii="宋体" w:hAnsi="宋体" w:eastAsia="宋体" w:cs="宋体"/>
                <w:i w:val="0"/>
                <w:color w:val="000000" w:themeColor="text1"/>
                <w:sz w:val="21"/>
                <w:szCs w:val="21"/>
                <w:u w:val="none"/>
                <w:lang w:val="en-US" w:eastAsia="zh-CN"/>
              </w:rPr>
              <w:t>15</w:t>
            </w:r>
          </w:p>
        </w:tc>
        <w:tc>
          <w:tcPr>
            <w:tcW w:w="1141"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default" w:ascii="宋体" w:hAnsi="宋体" w:eastAsia="宋体" w:cs="宋体"/>
                <w:i w:val="0"/>
                <w:color w:val="000000" w:themeColor="text1"/>
                <w:sz w:val="21"/>
                <w:szCs w:val="21"/>
                <w:u w:val="none"/>
                <w:lang w:val="en-US" w:eastAsia="zh-CN"/>
              </w:rPr>
            </w:pPr>
            <w:r>
              <w:rPr>
                <w:rFonts w:hint="eastAsia" w:ascii="宋体" w:hAnsi="宋体" w:eastAsia="宋体" w:cs="宋体"/>
                <w:i w:val="0"/>
                <w:color w:val="000000" w:themeColor="text1"/>
                <w:sz w:val="21"/>
                <w:szCs w:val="21"/>
                <w:u w:val="none"/>
                <w:lang w:val="en-US" w:eastAsia="zh-CN"/>
              </w:rPr>
              <w:t>15</w:t>
            </w:r>
          </w:p>
        </w:tc>
        <w:tc>
          <w:tcPr>
            <w:tcW w:w="7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default" w:ascii="宋体" w:hAnsi="宋体" w:eastAsia="宋体" w:cs="宋体"/>
                <w:i w:val="0"/>
                <w:color w:val="000000" w:themeColor="text1"/>
                <w:sz w:val="21"/>
                <w:szCs w:val="21"/>
                <w:u w:val="none"/>
                <w:lang w:val="en-US" w:eastAsia="zh-CN"/>
              </w:rPr>
            </w:pPr>
            <w:r>
              <w:rPr>
                <w:rFonts w:hint="eastAsia" w:ascii="宋体" w:hAnsi="宋体" w:eastAsia="宋体" w:cs="宋体"/>
                <w:i w:val="0"/>
                <w:color w:val="000000" w:themeColor="text1"/>
                <w:sz w:val="21"/>
                <w:szCs w:val="21"/>
                <w:u w:val="none"/>
                <w:lang w:val="en-US" w:eastAsia="zh-CN"/>
              </w:rPr>
              <w:t>100</w:t>
            </w:r>
          </w:p>
        </w:tc>
        <w:tc>
          <w:tcPr>
            <w:tcW w:w="58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20" w:lineRule="auto"/>
              <w:ind w:firstLine="0" w:firstLineChars="0"/>
              <w:jc w:val="both"/>
              <w:rPr>
                <w:rFonts w:hint="eastAsia" w:ascii="宋体" w:hAnsi="宋体" w:eastAsia="宋体" w:cs="宋体"/>
                <w:i w:val="0"/>
                <w:color w:val="000000" w:themeColor="text1"/>
                <w:sz w:val="21"/>
                <w:szCs w:val="21"/>
                <w:u w:val="none"/>
                <w:lang w:val="en-US" w:eastAsia="zh-CN"/>
              </w:rPr>
            </w:pPr>
            <w:r>
              <w:rPr>
                <w:rFonts w:hint="eastAsia" w:ascii="宋体" w:hAnsi="宋体" w:eastAsia="宋体" w:cs="宋体"/>
                <w:i w:val="0"/>
                <w:color w:val="000000" w:themeColor="text1"/>
                <w:sz w:val="21"/>
                <w:szCs w:val="21"/>
                <w:u w:val="none"/>
                <w:lang w:val="en-US" w:eastAsia="zh-CN"/>
              </w:rPr>
              <w:t>是</w:t>
            </w:r>
          </w:p>
        </w:tc>
        <w:tc>
          <w:tcPr>
            <w:tcW w:w="64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lang w:eastAsia="zh-CN"/>
              </w:rPr>
            </w:pPr>
            <w:r>
              <w:rPr>
                <w:rFonts w:hint="eastAsia" w:ascii="宋体" w:hAnsi="宋体" w:eastAsia="宋体" w:cs="宋体"/>
                <w:i w:val="0"/>
                <w:color w:val="000000" w:themeColor="text1"/>
                <w:sz w:val="21"/>
                <w:szCs w:val="21"/>
                <w:u w:val="none"/>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3" w:hRule="exact"/>
        </w:trPr>
        <w:tc>
          <w:tcPr>
            <w:tcW w:w="4711"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themeColor="text1"/>
                <w:kern w:val="2"/>
                <w:sz w:val="21"/>
                <w:szCs w:val="21"/>
                <w:u w:val="none"/>
                <w:lang w:val="en-US" w:eastAsia="zh-CN" w:bidi="ar-SA"/>
              </w:rPr>
            </w:pPr>
            <w:r>
              <w:rPr>
                <w:rFonts w:hint="eastAsia" w:ascii="宋体" w:hAnsi="宋体" w:eastAsia="宋体" w:cs="宋体"/>
                <w:i w:val="0"/>
                <w:iCs w:val="0"/>
                <w:color w:val="000000" w:themeColor="text1"/>
                <w:kern w:val="0"/>
                <w:sz w:val="21"/>
                <w:szCs w:val="21"/>
                <w:u w:val="none"/>
                <w:lang w:val="en-US" w:eastAsia="zh-CN" w:bidi="ar"/>
              </w:rPr>
              <w:t>2020年销售平价羊肉补贴款</w:t>
            </w:r>
          </w:p>
        </w:tc>
        <w:tc>
          <w:tcPr>
            <w:tcW w:w="990"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eastAsia" w:ascii="宋体" w:hAnsi="宋体" w:eastAsia="宋体" w:cs="宋体"/>
                <w:i w:val="0"/>
                <w:color w:val="000000" w:themeColor="text1"/>
                <w:kern w:val="2"/>
                <w:sz w:val="21"/>
                <w:szCs w:val="21"/>
                <w:u w:val="none"/>
                <w:lang w:val="en-US" w:eastAsia="zh-CN" w:bidi="ar-SA"/>
              </w:rPr>
            </w:pPr>
            <w:r>
              <w:rPr>
                <w:rFonts w:hint="eastAsia" w:ascii="宋体" w:hAnsi="宋体" w:eastAsia="宋体" w:cs="宋体"/>
                <w:i w:val="0"/>
                <w:iCs w:val="0"/>
                <w:color w:val="000000" w:themeColor="text1"/>
                <w:kern w:val="0"/>
                <w:sz w:val="21"/>
                <w:szCs w:val="21"/>
                <w:u w:val="none"/>
                <w:lang w:val="en-US" w:eastAsia="zh-CN" w:bidi="ar"/>
              </w:rPr>
              <w:t>23.82</w:t>
            </w:r>
          </w:p>
        </w:tc>
        <w:tc>
          <w:tcPr>
            <w:tcW w:w="1141"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eastAsia" w:ascii="宋体" w:hAnsi="宋体" w:eastAsia="宋体" w:cs="宋体"/>
                <w:i w:val="0"/>
                <w:color w:val="000000" w:themeColor="text1"/>
                <w:kern w:val="2"/>
                <w:sz w:val="21"/>
                <w:szCs w:val="21"/>
                <w:u w:val="none"/>
                <w:lang w:val="en-US" w:eastAsia="zh-CN" w:bidi="ar-SA"/>
              </w:rPr>
            </w:pPr>
            <w:r>
              <w:rPr>
                <w:rFonts w:hint="eastAsia" w:ascii="宋体" w:hAnsi="宋体" w:eastAsia="宋体" w:cs="宋体"/>
                <w:i w:val="0"/>
                <w:iCs w:val="0"/>
                <w:color w:val="000000" w:themeColor="text1"/>
                <w:kern w:val="0"/>
                <w:sz w:val="21"/>
                <w:szCs w:val="21"/>
                <w:u w:val="none"/>
                <w:lang w:val="en-US" w:eastAsia="zh-CN" w:bidi="ar"/>
              </w:rPr>
              <w:t>23.82</w:t>
            </w:r>
          </w:p>
        </w:tc>
        <w:tc>
          <w:tcPr>
            <w:tcW w:w="7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default" w:ascii="宋体" w:hAnsi="宋体" w:eastAsia="宋体" w:cs="宋体"/>
                <w:i w:val="0"/>
                <w:color w:val="000000" w:themeColor="text1"/>
                <w:kern w:val="2"/>
                <w:sz w:val="21"/>
                <w:szCs w:val="21"/>
                <w:u w:val="none"/>
                <w:lang w:val="en-US" w:eastAsia="zh-CN" w:bidi="ar-SA"/>
              </w:rPr>
            </w:pPr>
            <w:r>
              <w:rPr>
                <w:rFonts w:hint="eastAsia" w:ascii="宋体" w:hAnsi="宋体" w:eastAsia="宋体" w:cs="宋体"/>
                <w:i w:val="0"/>
                <w:color w:val="000000" w:themeColor="text1"/>
                <w:sz w:val="21"/>
                <w:szCs w:val="21"/>
                <w:u w:val="none"/>
                <w:lang w:val="en-US" w:eastAsia="zh-CN"/>
              </w:rPr>
              <w:t>100</w:t>
            </w:r>
          </w:p>
        </w:tc>
        <w:tc>
          <w:tcPr>
            <w:tcW w:w="58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20" w:lineRule="auto"/>
              <w:ind w:firstLine="0" w:firstLineChars="0"/>
              <w:jc w:val="both"/>
              <w:rPr>
                <w:rFonts w:hint="eastAsia" w:ascii="宋体" w:hAnsi="宋体" w:eastAsia="宋体" w:cs="宋体"/>
                <w:i w:val="0"/>
                <w:color w:val="000000" w:themeColor="text1"/>
                <w:kern w:val="2"/>
                <w:sz w:val="21"/>
                <w:szCs w:val="21"/>
                <w:u w:val="none"/>
                <w:lang w:val="en-US" w:eastAsia="zh-CN" w:bidi="ar-SA"/>
              </w:rPr>
            </w:pPr>
            <w:r>
              <w:rPr>
                <w:rFonts w:hint="eastAsia" w:ascii="宋体" w:hAnsi="宋体" w:eastAsia="宋体" w:cs="宋体"/>
                <w:i w:val="0"/>
                <w:color w:val="000000" w:themeColor="text1"/>
                <w:sz w:val="21"/>
                <w:szCs w:val="21"/>
                <w:u w:val="none"/>
                <w:lang w:val="en-US" w:eastAsia="zh-CN"/>
              </w:rPr>
              <w:t>否</w:t>
            </w:r>
          </w:p>
        </w:tc>
        <w:tc>
          <w:tcPr>
            <w:tcW w:w="64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kern w:val="2"/>
                <w:sz w:val="21"/>
                <w:szCs w:val="21"/>
                <w:u w:val="none"/>
                <w:lang w:val="en-US" w:eastAsia="zh-CN" w:bidi="ar-SA"/>
              </w:rPr>
            </w:pPr>
            <w:r>
              <w:rPr>
                <w:rFonts w:hint="eastAsia" w:ascii="宋体" w:hAnsi="宋体" w:eastAsia="宋体" w:cs="宋体"/>
                <w:i w:val="0"/>
                <w:color w:val="000000" w:themeColor="text1"/>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3" w:hRule="exact"/>
        </w:trPr>
        <w:tc>
          <w:tcPr>
            <w:tcW w:w="4711"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themeColor="text1"/>
                <w:kern w:val="2"/>
                <w:sz w:val="21"/>
                <w:szCs w:val="21"/>
                <w:u w:val="none"/>
                <w:lang w:val="en-US" w:eastAsia="zh-CN" w:bidi="ar-SA"/>
              </w:rPr>
            </w:pPr>
            <w:r>
              <w:rPr>
                <w:rFonts w:hint="eastAsia" w:ascii="宋体" w:hAnsi="宋体" w:eastAsia="宋体" w:cs="宋体"/>
                <w:i w:val="0"/>
                <w:iCs w:val="0"/>
                <w:color w:val="000000" w:themeColor="text1"/>
                <w:kern w:val="0"/>
                <w:sz w:val="21"/>
                <w:szCs w:val="21"/>
                <w:u w:val="none"/>
                <w:lang w:val="en-US" w:eastAsia="zh-CN" w:bidi="ar"/>
              </w:rPr>
              <w:t>馕产业园开业运营资金和为检查站滞留旅客购馕费</w:t>
            </w:r>
          </w:p>
        </w:tc>
        <w:tc>
          <w:tcPr>
            <w:tcW w:w="990"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eastAsia" w:ascii="宋体" w:hAnsi="宋体" w:eastAsia="宋体" w:cs="宋体"/>
                <w:i w:val="0"/>
                <w:color w:val="000000" w:themeColor="text1"/>
                <w:kern w:val="2"/>
                <w:sz w:val="21"/>
                <w:szCs w:val="21"/>
                <w:u w:val="none"/>
                <w:lang w:val="en-US" w:eastAsia="zh-CN" w:bidi="ar-SA"/>
              </w:rPr>
            </w:pPr>
            <w:r>
              <w:rPr>
                <w:rFonts w:hint="eastAsia" w:ascii="宋体" w:hAnsi="宋体" w:eastAsia="宋体" w:cs="宋体"/>
                <w:i w:val="0"/>
                <w:iCs w:val="0"/>
                <w:color w:val="000000" w:themeColor="text1"/>
                <w:kern w:val="0"/>
                <w:sz w:val="21"/>
                <w:szCs w:val="21"/>
                <w:u w:val="none"/>
                <w:lang w:val="en-US" w:eastAsia="zh-CN" w:bidi="ar"/>
              </w:rPr>
              <w:t>7.46</w:t>
            </w:r>
          </w:p>
        </w:tc>
        <w:tc>
          <w:tcPr>
            <w:tcW w:w="1141"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eastAsia" w:ascii="宋体" w:hAnsi="宋体" w:eastAsia="宋体" w:cs="宋体"/>
                <w:i w:val="0"/>
                <w:color w:val="000000" w:themeColor="text1"/>
                <w:kern w:val="2"/>
                <w:sz w:val="21"/>
                <w:szCs w:val="21"/>
                <w:u w:val="none"/>
                <w:lang w:val="en-US" w:eastAsia="zh-CN" w:bidi="ar-SA"/>
              </w:rPr>
            </w:pPr>
            <w:r>
              <w:rPr>
                <w:rFonts w:hint="eastAsia" w:ascii="宋体" w:hAnsi="宋体" w:eastAsia="宋体" w:cs="宋体"/>
                <w:i w:val="0"/>
                <w:iCs w:val="0"/>
                <w:color w:val="000000" w:themeColor="text1"/>
                <w:kern w:val="0"/>
                <w:sz w:val="21"/>
                <w:szCs w:val="21"/>
                <w:u w:val="none"/>
                <w:lang w:val="en-US" w:eastAsia="zh-CN" w:bidi="ar"/>
              </w:rPr>
              <w:t>7.46</w:t>
            </w:r>
          </w:p>
        </w:tc>
        <w:tc>
          <w:tcPr>
            <w:tcW w:w="7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default" w:ascii="宋体" w:hAnsi="宋体" w:eastAsia="宋体" w:cs="宋体"/>
                <w:i w:val="0"/>
                <w:color w:val="000000" w:themeColor="text1"/>
                <w:kern w:val="2"/>
                <w:sz w:val="21"/>
                <w:szCs w:val="21"/>
                <w:u w:val="none"/>
                <w:lang w:val="en-US" w:eastAsia="zh-CN" w:bidi="ar-SA"/>
              </w:rPr>
            </w:pPr>
            <w:r>
              <w:rPr>
                <w:rFonts w:hint="eastAsia" w:ascii="宋体" w:hAnsi="宋体" w:eastAsia="宋体" w:cs="宋体"/>
                <w:i w:val="0"/>
                <w:color w:val="000000" w:themeColor="text1"/>
                <w:sz w:val="21"/>
                <w:szCs w:val="21"/>
                <w:u w:val="none"/>
                <w:lang w:val="en-US" w:eastAsia="zh-CN"/>
              </w:rPr>
              <w:t>100</w:t>
            </w:r>
          </w:p>
        </w:tc>
        <w:tc>
          <w:tcPr>
            <w:tcW w:w="58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20" w:lineRule="auto"/>
              <w:ind w:firstLine="0" w:firstLineChars="0"/>
              <w:jc w:val="both"/>
              <w:rPr>
                <w:rFonts w:hint="eastAsia" w:ascii="宋体" w:hAnsi="宋体" w:eastAsia="宋体" w:cs="宋体"/>
                <w:i w:val="0"/>
                <w:color w:val="000000" w:themeColor="text1"/>
                <w:kern w:val="2"/>
                <w:sz w:val="21"/>
                <w:szCs w:val="21"/>
                <w:u w:val="none"/>
                <w:lang w:val="en-US" w:eastAsia="zh-CN" w:bidi="ar-SA"/>
              </w:rPr>
            </w:pPr>
            <w:r>
              <w:rPr>
                <w:rFonts w:hint="eastAsia" w:ascii="宋体" w:hAnsi="宋体" w:eastAsia="宋体" w:cs="宋体"/>
                <w:i w:val="0"/>
                <w:color w:val="000000" w:themeColor="text1"/>
                <w:sz w:val="21"/>
                <w:szCs w:val="21"/>
                <w:u w:val="none"/>
                <w:lang w:val="en-US" w:eastAsia="zh-CN"/>
              </w:rPr>
              <w:t>否</w:t>
            </w:r>
          </w:p>
        </w:tc>
        <w:tc>
          <w:tcPr>
            <w:tcW w:w="64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kern w:val="2"/>
                <w:sz w:val="21"/>
                <w:szCs w:val="21"/>
                <w:u w:val="none"/>
                <w:lang w:val="en-US" w:eastAsia="zh-CN" w:bidi="ar-SA"/>
              </w:rPr>
            </w:pPr>
            <w:r>
              <w:rPr>
                <w:rFonts w:hint="eastAsia" w:ascii="宋体" w:hAnsi="宋体" w:eastAsia="宋体" w:cs="宋体"/>
                <w:i w:val="0"/>
                <w:color w:val="000000" w:themeColor="text1"/>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3" w:hRule="exact"/>
        </w:trPr>
        <w:tc>
          <w:tcPr>
            <w:tcW w:w="4711"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themeColor="text1"/>
                <w:kern w:val="2"/>
                <w:sz w:val="21"/>
                <w:szCs w:val="21"/>
                <w:u w:val="none"/>
                <w:lang w:val="en-US" w:eastAsia="zh-CN" w:bidi="ar-SA"/>
              </w:rPr>
            </w:pPr>
            <w:r>
              <w:rPr>
                <w:rFonts w:hint="eastAsia" w:ascii="宋体" w:hAnsi="宋体" w:eastAsia="宋体" w:cs="宋体"/>
                <w:i w:val="0"/>
                <w:iCs w:val="0"/>
                <w:color w:val="000000" w:themeColor="text1"/>
                <w:kern w:val="0"/>
                <w:sz w:val="21"/>
                <w:szCs w:val="21"/>
                <w:u w:val="none"/>
                <w:lang w:val="en-US" w:eastAsia="zh-CN" w:bidi="ar"/>
              </w:rPr>
              <w:t>馕产业发展专项资金</w:t>
            </w:r>
          </w:p>
        </w:tc>
        <w:tc>
          <w:tcPr>
            <w:tcW w:w="990"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eastAsia" w:ascii="宋体" w:hAnsi="宋体" w:eastAsia="宋体" w:cs="宋体"/>
                <w:i w:val="0"/>
                <w:color w:val="000000" w:themeColor="text1"/>
                <w:kern w:val="2"/>
                <w:sz w:val="21"/>
                <w:szCs w:val="21"/>
                <w:u w:val="none"/>
                <w:lang w:val="en-US" w:eastAsia="zh-CN" w:bidi="ar-SA"/>
              </w:rPr>
            </w:pPr>
            <w:r>
              <w:rPr>
                <w:rFonts w:hint="eastAsia" w:ascii="宋体" w:hAnsi="宋体" w:eastAsia="宋体" w:cs="宋体"/>
                <w:i w:val="0"/>
                <w:iCs w:val="0"/>
                <w:color w:val="000000" w:themeColor="text1"/>
                <w:kern w:val="0"/>
                <w:sz w:val="21"/>
                <w:szCs w:val="21"/>
                <w:u w:val="none"/>
                <w:lang w:val="en-US" w:eastAsia="zh-CN" w:bidi="ar"/>
              </w:rPr>
              <w:t>63.2</w:t>
            </w:r>
          </w:p>
        </w:tc>
        <w:tc>
          <w:tcPr>
            <w:tcW w:w="1141"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eastAsia" w:ascii="宋体" w:hAnsi="宋体" w:eastAsia="宋体" w:cs="宋体"/>
                <w:i w:val="0"/>
                <w:color w:val="000000" w:themeColor="text1"/>
                <w:kern w:val="2"/>
                <w:sz w:val="21"/>
                <w:szCs w:val="21"/>
                <w:u w:val="none"/>
                <w:lang w:val="en-US" w:eastAsia="zh-CN" w:bidi="ar-SA"/>
              </w:rPr>
            </w:pPr>
            <w:r>
              <w:rPr>
                <w:rFonts w:hint="eastAsia" w:ascii="宋体" w:hAnsi="宋体" w:eastAsia="宋体" w:cs="宋体"/>
                <w:i w:val="0"/>
                <w:iCs w:val="0"/>
                <w:color w:val="000000" w:themeColor="text1"/>
                <w:kern w:val="0"/>
                <w:sz w:val="21"/>
                <w:szCs w:val="21"/>
                <w:u w:val="none"/>
                <w:lang w:val="en-US" w:eastAsia="zh-CN" w:bidi="ar"/>
              </w:rPr>
              <w:t>63.2</w:t>
            </w:r>
          </w:p>
        </w:tc>
        <w:tc>
          <w:tcPr>
            <w:tcW w:w="7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kern w:val="2"/>
                <w:sz w:val="21"/>
                <w:szCs w:val="21"/>
                <w:u w:val="none"/>
                <w:lang w:val="en-US" w:eastAsia="zh-CN" w:bidi="ar-SA"/>
              </w:rPr>
            </w:pPr>
            <w:r>
              <w:rPr>
                <w:rFonts w:hint="eastAsia" w:ascii="宋体" w:hAnsi="宋体" w:eastAsia="宋体" w:cs="宋体"/>
                <w:i w:val="0"/>
                <w:color w:val="000000" w:themeColor="text1"/>
                <w:sz w:val="21"/>
                <w:szCs w:val="21"/>
                <w:u w:val="none"/>
                <w:lang w:val="en-US" w:eastAsia="zh-CN"/>
              </w:rPr>
              <w:t>100</w:t>
            </w:r>
          </w:p>
        </w:tc>
        <w:tc>
          <w:tcPr>
            <w:tcW w:w="58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20" w:lineRule="auto"/>
              <w:ind w:firstLine="0" w:firstLineChars="0"/>
              <w:jc w:val="both"/>
              <w:rPr>
                <w:rFonts w:hint="eastAsia" w:ascii="宋体" w:hAnsi="宋体" w:eastAsia="宋体" w:cs="宋体"/>
                <w:i w:val="0"/>
                <w:color w:val="000000" w:themeColor="text1"/>
                <w:kern w:val="2"/>
                <w:sz w:val="21"/>
                <w:szCs w:val="21"/>
                <w:u w:val="none"/>
                <w:lang w:val="en-US" w:eastAsia="zh-CN" w:bidi="ar-SA"/>
              </w:rPr>
            </w:pPr>
            <w:r>
              <w:rPr>
                <w:rFonts w:hint="eastAsia" w:ascii="宋体" w:hAnsi="宋体" w:eastAsia="宋体" w:cs="宋体"/>
                <w:i w:val="0"/>
                <w:color w:val="000000" w:themeColor="text1"/>
                <w:sz w:val="21"/>
                <w:szCs w:val="21"/>
                <w:u w:val="none"/>
                <w:lang w:val="en-US" w:eastAsia="zh-CN"/>
              </w:rPr>
              <w:t>否</w:t>
            </w:r>
          </w:p>
        </w:tc>
        <w:tc>
          <w:tcPr>
            <w:tcW w:w="64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kern w:val="2"/>
                <w:sz w:val="21"/>
                <w:szCs w:val="21"/>
                <w:u w:val="none"/>
                <w:lang w:val="en-US" w:eastAsia="zh-CN" w:bidi="ar-SA"/>
              </w:rPr>
            </w:pPr>
            <w:r>
              <w:rPr>
                <w:rFonts w:hint="eastAsia" w:ascii="宋体" w:hAnsi="宋体" w:eastAsia="宋体" w:cs="宋体"/>
                <w:i w:val="0"/>
                <w:color w:val="000000" w:themeColor="text1"/>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3" w:hRule="exact"/>
        </w:trPr>
        <w:tc>
          <w:tcPr>
            <w:tcW w:w="4711" w:type="dxa"/>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000000" w:themeColor="text1"/>
                <w:kern w:val="2"/>
                <w:sz w:val="21"/>
                <w:szCs w:val="21"/>
                <w:u w:val="none"/>
                <w:lang w:val="en-US" w:eastAsia="zh-CN" w:bidi="ar-SA"/>
              </w:rPr>
            </w:pPr>
            <w:r>
              <w:rPr>
                <w:rFonts w:hint="eastAsia" w:ascii="宋体" w:hAnsi="宋体" w:eastAsia="宋体" w:cs="宋体"/>
                <w:i w:val="0"/>
                <w:iCs w:val="0"/>
                <w:color w:val="000000" w:themeColor="text1"/>
                <w:kern w:val="0"/>
                <w:sz w:val="21"/>
                <w:szCs w:val="21"/>
                <w:u w:val="none"/>
                <w:lang w:val="en-US" w:eastAsia="zh-CN" w:bidi="ar"/>
              </w:rPr>
              <w:t>2022年4-8月引进1名研究生试岗六个月生活补贴（谭舒月）</w:t>
            </w:r>
          </w:p>
        </w:tc>
        <w:tc>
          <w:tcPr>
            <w:tcW w:w="990"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eastAsia" w:ascii="宋体" w:hAnsi="宋体" w:eastAsia="宋体" w:cs="宋体"/>
                <w:i w:val="0"/>
                <w:color w:val="000000" w:themeColor="text1"/>
                <w:kern w:val="2"/>
                <w:sz w:val="21"/>
                <w:szCs w:val="21"/>
                <w:u w:val="none"/>
                <w:lang w:val="en-US" w:eastAsia="zh-CN" w:bidi="ar-SA"/>
              </w:rPr>
            </w:pPr>
            <w:r>
              <w:rPr>
                <w:rFonts w:hint="eastAsia" w:ascii="宋体" w:hAnsi="宋体" w:eastAsia="宋体" w:cs="宋体"/>
                <w:i w:val="0"/>
                <w:iCs w:val="0"/>
                <w:color w:val="000000" w:themeColor="text1"/>
                <w:kern w:val="0"/>
                <w:sz w:val="21"/>
                <w:szCs w:val="21"/>
                <w:u w:val="none"/>
                <w:lang w:val="en-US" w:eastAsia="zh-CN" w:bidi="ar"/>
              </w:rPr>
              <w:t>1.8</w:t>
            </w:r>
          </w:p>
        </w:tc>
        <w:tc>
          <w:tcPr>
            <w:tcW w:w="1141" w:type="dxa"/>
            <w:shd w:val="clear" w:color="auto" w:fill="auto"/>
            <w:tcMar>
              <w:top w:w="15" w:type="dxa"/>
              <w:left w:w="15" w:type="dxa"/>
              <w:right w:w="15" w:type="dxa"/>
            </w:tcMar>
            <w:vAlign w:val="center"/>
          </w:tcPr>
          <w:p>
            <w:pPr>
              <w:keepNext w:val="0"/>
              <w:keepLines w:val="0"/>
              <w:widowControl/>
              <w:suppressLineNumbers w:val="0"/>
              <w:ind w:firstLine="420" w:firstLineChars="200"/>
              <w:jc w:val="both"/>
              <w:textAlignment w:val="center"/>
              <w:rPr>
                <w:rFonts w:hint="eastAsia" w:ascii="宋体" w:hAnsi="宋体" w:eastAsia="宋体" w:cs="宋体"/>
                <w:i w:val="0"/>
                <w:color w:val="000000" w:themeColor="text1"/>
                <w:kern w:val="2"/>
                <w:sz w:val="21"/>
                <w:szCs w:val="21"/>
                <w:u w:val="none"/>
                <w:lang w:val="en-US" w:eastAsia="zh-CN" w:bidi="ar-SA"/>
              </w:rPr>
            </w:pPr>
            <w:r>
              <w:rPr>
                <w:rFonts w:hint="eastAsia" w:ascii="宋体" w:hAnsi="宋体" w:eastAsia="宋体" w:cs="宋体"/>
                <w:i w:val="0"/>
                <w:iCs w:val="0"/>
                <w:color w:val="000000" w:themeColor="text1"/>
                <w:kern w:val="0"/>
                <w:sz w:val="21"/>
                <w:szCs w:val="21"/>
                <w:u w:val="none"/>
                <w:lang w:val="en-US" w:eastAsia="zh-CN" w:bidi="ar"/>
              </w:rPr>
              <w:t>1.8</w:t>
            </w:r>
          </w:p>
        </w:tc>
        <w:tc>
          <w:tcPr>
            <w:tcW w:w="7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kern w:val="2"/>
                <w:sz w:val="21"/>
                <w:szCs w:val="21"/>
                <w:u w:val="none"/>
                <w:lang w:val="en-US" w:eastAsia="zh-CN" w:bidi="ar-SA"/>
              </w:rPr>
            </w:pPr>
            <w:r>
              <w:rPr>
                <w:rFonts w:hint="eastAsia" w:ascii="宋体" w:hAnsi="宋体" w:eastAsia="宋体" w:cs="宋体"/>
                <w:i w:val="0"/>
                <w:color w:val="000000" w:themeColor="text1"/>
                <w:kern w:val="0"/>
                <w:sz w:val="21"/>
                <w:szCs w:val="21"/>
                <w:u w:val="none"/>
                <w:lang w:val="en-US" w:eastAsia="zh-CN" w:bidi="ar"/>
              </w:rPr>
              <w:t>100</w:t>
            </w:r>
          </w:p>
        </w:tc>
        <w:tc>
          <w:tcPr>
            <w:tcW w:w="58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kern w:val="2"/>
                <w:sz w:val="21"/>
                <w:szCs w:val="21"/>
                <w:u w:val="none"/>
                <w:lang w:val="en-US" w:eastAsia="zh-CN" w:bidi="ar-SA"/>
              </w:rPr>
            </w:pPr>
            <w:r>
              <w:rPr>
                <w:rFonts w:hint="eastAsia" w:ascii="宋体" w:hAnsi="宋体" w:eastAsia="宋体" w:cs="宋体"/>
                <w:i w:val="0"/>
                <w:color w:val="000000" w:themeColor="text1"/>
                <w:kern w:val="0"/>
                <w:sz w:val="21"/>
                <w:szCs w:val="21"/>
                <w:u w:val="none"/>
                <w:lang w:val="en-US" w:eastAsia="zh-CN" w:bidi="ar"/>
              </w:rPr>
              <w:t>是</w:t>
            </w:r>
          </w:p>
        </w:tc>
        <w:tc>
          <w:tcPr>
            <w:tcW w:w="64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kern w:val="2"/>
                <w:sz w:val="21"/>
                <w:szCs w:val="21"/>
                <w:u w:val="none"/>
                <w:lang w:val="en-US" w:eastAsia="zh-CN" w:bidi="ar-SA"/>
              </w:rPr>
            </w:pPr>
            <w:r>
              <w:rPr>
                <w:rFonts w:hint="eastAsia" w:ascii="宋体" w:hAnsi="宋体" w:eastAsia="宋体" w:cs="宋体"/>
                <w:i w:val="0"/>
                <w:color w:val="000000" w:themeColor="text1"/>
                <w:kern w:val="0"/>
                <w:sz w:val="21"/>
                <w:szCs w:val="21"/>
                <w:u w:val="none"/>
                <w:lang w:val="en-US" w:eastAsia="zh-CN" w:bidi="ar"/>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3" w:hRule="exact"/>
        </w:trPr>
        <w:tc>
          <w:tcPr>
            <w:tcW w:w="4711"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bookmarkStart w:id="0" w:name="_GoBack"/>
            <w:bookmarkEnd w:id="0"/>
          </w:p>
        </w:tc>
        <w:tc>
          <w:tcPr>
            <w:tcW w:w="9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p>
        </w:tc>
        <w:tc>
          <w:tcPr>
            <w:tcW w:w="1141"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p>
        </w:tc>
        <w:tc>
          <w:tcPr>
            <w:tcW w:w="71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p>
        </w:tc>
        <w:tc>
          <w:tcPr>
            <w:tcW w:w="584"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p>
        </w:tc>
        <w:tc>
          <w:tcPr>
            <w:tcW w:w="642"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宋体" w:hAnsi="宋体" w:eastAsia="宋体" w:cs="宋体"/>
                <w:i w:val="0"/>
                <w:color w:val="000000" w:themeColor="text1"/>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9" w:hRule="exact"/>
        </w:trPr>
        <w:tc>
          <w:tcPr>
            <w:tcW w:w="4711"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default" w:ascii="仿宋_GB2312" w:hAnsi="宋体" w:eastAsia="仿宋_GB2312" w:cs="仿宋_GB2312"/>
                <w:b/>
                <w:i w:val="0"/>
                <w:color w:val="000000" w:themeColor="text1"/>
                <w:sz w:val="21"/>
                <w:szCs w:val="21"/>
                <w:u w:val="none"/>
              </w:rPr>
            </w:pPr>
            <w:r>
              <w:rPr>
                <w:rFonts w:hint="default" w:ascii="仿宋_GB2312" w:hAnsi="宋体" w:eastAsia="仿宋_GB2312" w:cs="仿宋_GB2312"/>
                <w:b/>
                <w:i w:val="0"/>
                <w:color w:val="000000" w:themeColor="text1"/>
                <w:kern w:val="0"/>
                <w:sz w:val="21"/>
                <w:szCs w:val="21"/>
                <w:u w:val="none"/>
                <w:lang w:val="en-US" w:eastAsia="zh-CN" w:bidi="ar"/>
              </w:rPr>
              <w:t>合计</w:t>
            </w:r>
          </w:p>
        </w:tc>
        <w:tc>
          <w:tcPr>
            <w:tcW w:w="990"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default" w:ascii="宋体" w:hAnsi="宋体" w:eastAsia="宋体" w:cs="宋体"/>
                <w:i w:val="0"/>
                <w:color w:val="000000" w:themeColor="text1"/>
                <w:sz w:val="21"/>
                <w:szCs w:val="21"/>
                <w:u w:val="none"/>
                <w:lang w:val="en-US" w:eastAsia="zh-CN"/>
              </w:rPr>
            </w:pPr>
            <w:r>
              <w:rPr>
                <w:rFonts w:hint="eastAsia" w:ascii="宋体" w:hAnsi="宋体" w:eastAsia="宋体" w:cs="宋体"/>
                <w:i w:val="0"/>
                <w:color w:val="000000" w:themeColor="text1"/>
                <w:sz w:val="21"/>
                <w:szCs w:val="21"/>
                <w:u w:val="none"/>
                <w:lang w:val="en-US" w:eastAsia="zh-CN"/>
              </w:rPr>
              <w:t>8820.66</w:t>
            </w:r>
          </w:p>
        </w:tc>
        <w:tc>
          <w:tcPr>
            <w:tcW w:w="1141" w:type="dxa"/>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default" w:ascii="宋体" w:hAnsi="宋体" w:eastAsia="宋体" w:cs="宋体"/>
                <w:i w:val="0"/>
                <w:color w:val="000000" w:themeColor="text1"/>
                <w:sz w:val="21"/>
                <w:szCs w:val="21"/>
                <w:u w:val="none"/>
                <w:lang w:val="en-US" w:eastAsia="zh-CN"/>
              </w:rPr>
            </w:pPr>
            <w:r>
              <w:rPr>
                <w:rFonts w:hint="eastAsia" w:ascii="宋体" w:hAnsi="宋体" w:eastAsia="宋体" w:cs="宋体"/>
                <w:i w:val="0"/>
                <w:color w:val="000000" w:themeColor="text1"/>
                <w:sz w:val="21"/>
                <w:szCs w:val="21"/>
                <w:u w:val="none"/>
                <w:lang w:val="en-US" w:eastAsia="zh-CN"/>
              </w:rPr>
              <w:t>8820.66</w:t>
            </w:r>
          </w:p>
        </w:tc>
        <w:tc>
          <w:tcPr>
            <w:tcW w:w="710"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20" w:lineRule="auto"/>
              <w:ind w:firstLine="0" w:firstLineChars="0"/>
              <w:jc w:val="both"/>
              <w:rPr>
                <w:rFonts w:hint="eastAsia" w:ascii="宋体" w:hAnsi="宋体" w:eastAsia="宋体" w:cs="宋体"/>
                <w:i w:val="0"/>
                <w:color w:val="000000" w:themeColor="text1"/>
                <w:sz w:val="21"/>
                <w:szCs w:val="21"/>
                <w:u w:val="none"/>
              </w:rPr>
            </w:pPr>
          </w:p>
        </w:tc>
        <w:tc>
          <w:tcPr>
            <w:tcW w:w="58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20" w:lineRule="auto"/>
              <w:ind w:firstLine="0" w:firstLineChars="0"/>
              <w:jc w:val="both"/>
              <w:rPr>
                <w:rFonts w:hint="default" w:ascii="仿宋_GB2312" w:hAnsi="宋体" w:eastAsia="仿宋_GB2312" w:cs="仿宋_GB2312"/>
                <w:i w:val="0"/>
                <w:color w:val="000000" w:themeColor="text1"/>
                <w:sz w:val="21"/>
                <w:szCs w:val="21"/>
                <w:u w:val="none"/>
              </w:rPr>
            </w:pPr>
          </w:p>
        </w:tc>
        <w:tc>
          <w:tcPr>
            <w:tcW w:w="642" w:type="dxa"/>
            <w:shd w:val="clear" w:color="auto" w:fill="auto"/>
            <w:noWrap/>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120" w:lineRule="auto"/>
              <w:ind w:firstLine="0" w:firstLineChars="0"/>
              <w:jc w:val="both"/>
              <w:rPr>
                <w:rFonts w:hint="eastAsia" w:ascii="宋体" w:hAnsi="宋体" w:eastAsia="宋体" w:cs="宋体"/>
                <w:i w:val="0"/>
                <w:color w:val="000000" w:themeColor="text1"/>
                <w:sz w:val="21"/>
                <w:szCs w:val="21"/>
                <w:u w:val="none"/>
              </w:rPr>
            </w:pPr>
          </w:p>
        </w:tc>
      </w:tr>
    </w:tbl>
    <w:p>
      <w:pPr>
        <w:numPr>
          <w:ilvl w:val="0"/>
          <w:numId w:val="0"/>
        </w:numPr>
        <w:ind w:firstLine="643" w:firstLineChars="200"/>
        <w:rPr>
          <w:rFonts w:ascii="仿宋_GB2312" w:eastAsia="仿宋_GB2312"/>
          <w:b/>
          <w:bCs/>
          <w:color w:val="auto"/>
          <w:sz w:val="32"/>
          <w:szCs w:val="32"/>
        </w:rPr>
      </w:pPr>
      <w:r>
        <w:rPr>
          <w:rFonts w:hint="eastAsia" w:ascii="仿宋_GB2312" w:eastAsia="仿宋_GB2312"/>
          <w:b/>
          <w:bCs/>
          <w:color w:val="auto"/>
          <w:sz w:val="32"/>
          <w:szCs w:val="32"/>
          <w:lang w:val="en-US" w:eastAsia="zh-CN"/>
        </w:rPr>
        <w:t>2.</w:t>
      </w:r>
      <w:r>
        <w:rPr>
          <w:rFonts w:hint="eastAsia" w:ascii="仿宋_GB2312" w:eastAsia="仿宋_GB2312"/>
          <w:b/>
          <w:bCs/>
          <w:color w:val="auto"/>
          <w:sz w:val="32"/>
          <w:szCs w:val="32"/>
        </w:rPr>
        <w:t>专项资金总投入及实际使用情况分析</w:t>
      </w:r>
    </w:p>
    <w:p>
      <w:pPr>
        <w:pStyle w:val="9"/>
        <w:widowControl/>
        <w:spacing w:before="40" w:beforeAutospacing="0" w:after="0" w:afterAutospacing="0"/>
        <w:ind w:firstLine="640"/>
        <w:jc w:val="both"/>
        <w:rPr>
          <w:rFonts w:ascii="仿宋_GB2312" w:eastAsia="仿宋_GB2312" w:cs="仿宋"/>
          <w:color w:val="auto"/>
          <w:sz w:val="32"/>
          <w:szCs w:val="32"/>
        </w:rPr>
      </w:pPr>
      <w:r>
        <w:rPr>
          <w:rFonts w:hint="eastAsia" w:ascii="仿宋_GB2312" w:eastAsia="仿宋_GB2312" w:cs="仿宋"/>
          <w:color w:val="auto"/>
          <w:sz w:val="32"/>
          <w:szCs w:val="32"/>
          <w:lang w:val="en-US" w:eastAsia="zh-CN"/>
        </w:rPr>
        <w:t>2022年，预算安排专项资金10320.66万元，实际使用10320.66万元</w:t>
      </w:r>
      <w:r>
        <w:rPr>
          <w:rFonts w:hint="eastAsia" w:ascii="仿宋_GB2312" w:eastAsia="仿宋_GB2312" w:cs="仿宋"/>
          <w:color w:val="auto"/>
          <w:sz w:val="32"/>
          <w:szCs w:val="32"/>
        </w:rPr>
        <w:t>。</w:t>
      </w:r>
    </w:p>
    <w:p>
      <w:pPr>
        <w:pStyle w:val="3"/>
        <w:ind w:firstLine="640"/>
        <w:rPr>
          <w:rFonts w:ascii="黑体" w:hAnsi="黑体"/>
          <w:b w:val="0"/>
          <w:color w:val="auto"/>
          <w:sz w:val="32"/>
          <w:szCs w:val="32"/>
        </w:rPr>
      </w:pPr>
      <w:r>
        <w:rPr>
          <w:rFonts w:hint="eastAsia" w:ascii="黑体" w:hAnsi="黑体"/>
          <w:b w:val="0"/>
          <w:color w:val="auto"/>
          <w:sz w:val="32"/>
          <w:szCs w:val="32"/>
        </w:rPr>
        <w:t>三、部门单位专项组织实施情况</w:t>
      </w:r>
    </w:p>
    <w:p>
      <w:pPr>
        <w:pStyle w:val="4"/>
        <w:ind w:firstLine="640"/>
        <w:rPr>
          <w:rFonts w:ascii="楷体_GB2312" w:eastAsia="楷体_GB2312"/>
          <w:color w:val="auto"/>
          <w:szCs w:val="32"/>
        </w:rPr>
      </w:pPr>
      <w:r>
        <w:rPr>
          <w:rFonts w:hint="eastAsia" w:ascii="楷体_GB2312" w:eastAsia="楷体_GB2312"/>
          <w:color w:val="auto"/>
          <w:szCs w:val="32"/>
        </w:rPr>
        <w:t>（一）专项组织情况分析</w:t>
      </w:r>
    </w:p>
    <w:p>
      <w:pPr>
        <w:ind w:firstLine="640"/>
        <w:rPr>
          <w:rFonts w:ascii="仿宋_GB2312" w:eastAsia="仿宋_GB2312"/>
          <w:color w:val="auto"/>
          <w:sz w:val="32"/>
          <w:szCs w:val="32"/>
        </w:rPr>
      </w:pPr>
      <w:r>
        <w:rPr>
          <w:rFonts w:hint="eastAsia" w:ascii="仿宋_GB2312" w:eastAsia="仿宋_GB2312"/>
          <w:b/>
          <w:bCs/>
          <w:color w:val="auto"/>
          <w:sz w:val="32"/>
          <w:szCs w:val="32"/>
        </w:rPr>
        <w:t>1.前期准备</w:t>
      </w:r>
    </w:p>
    <w:p>
      <w:pPr>
        <w:ind w:firstLine="640"/>
        <w:rPr>
          <w:rFonts w:ascii="仿宋_GB2312" w:eastAsia="仿宋_GB2312"/>
          <w:color w:val="auto"/>
          <w:sz w:val="32"/>
          <w:szCs w:val="32"/>
        </w:rPr>
      </w:pPr>
      <w:r>
        <w:rPr>
          <w:rFonts w:hint="eastAsia" w:ascii="仿宋_GB2312" w:eastAsia="仿宋_GB2312"/>
          <w:color w:val="auto"/>
          <w:sz w:val="32"/>
          <w:szCs w:val="32"/>
        </w:rPr>
        <w:t>梳理202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color w:val="auto"/>
          <w:sz w:val="32"/>
          <w:szCs w:val="32"/>
        </w:rPr>
      </w:pPr>
      <w:r>
        <w:rPr>
          <w:rFonts w:hint="eastAsia" w:ascii="仿宋_GB2312" w:eastAsia="仿宋_GB2312"/>
          <w:b/>
          <w:bCs/>
          <w:color w:val="auto"/>
          <w:sz w:val="32"/>
          <w:szCs w:val="32"/>
        </w:rPr>
        <w:t>2.组织实施</w:t>
      </w:r>
    </w:p>
    <w:p>
      <w:pPr>
        <w:ind w:firstLine="640"/>
        <w:rPr>
          <w:rFonts w:ascii="仿宋_GB2312" w:eastAsia="仿宋_GB2312"/>
          <w:color w:val="auto"/>
          <w:sz w:val="32"/>
          <w:szCs w:val="32"/>
        </w:rPr>
      </w:pPr>
      <w:r>
        <w:rPr>
          <w:rFonts w:hint="eastAsia" w:ascii="仿宋_GB2312" w:eastAsia="仿宋_GB2312"/>
          <w:color w:val="auto"/>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color w:val="auto"/>
          <w:sz w:val="32"/>
          <w:szCs w:val="32"/>
          <w:lang w:val="zh-TW" w:eastAsia="zh-TW"/>
        </w:rPr>
      </w:pPr>
      <w:r>
        <w:rPr>
          <w:rFonts w:hint="eastAsia" w:ascii="仿宋_GB2312" w:eastAsia="仿宋_GB2312"/>
          <w:color w:val="auto"/>
          <w:sz w:val="32"/>
          <w:szCs w:val="32"/>
          <w:lang w:val="zh-TW" w:eastAsia="zh-TW"/>
        </w:rPr>
        <w:t>对</w:t>
      </w:r>
      <w:r>
        <w:rPr>
          <w:rFonts w:hint="eastAsia" w:ascii="仿宋_GB2312" w:eastAsia="仿宋_GB2312"/>
          <w:color w:val="auto"/>
          <w:sz w:val="32"/>
          <w:szCs w:val="32"/>
        </w:rPr>
        <w:t>专项</w:t>
      </w:r>
      <w:r>
        <w:rPr>
          <w:rFonts w:hint="eastAsia" w:ascii="仿宋_GB2312" w:eastAsia="仿宋_GB2312"/>
          <w:color w:val="auto"/>
          <w:sz w:val="32"/>
          <w:szCs w:val="32"/>
          <w:lang w:val="zh-TW"/>
        </w:rPr>
        <w:t>项目预算执行情况进行分析，</w:t>
      </w:r>
      <w:r>
        <w:rPr>
          <w:rFonts w:hint="eastAsia" w:ascii="仿宋_GB2312" w:eastAsia="仿宋_GB2312"/>
          <w:color w:val="auto"/>
          <w:sz w:val="32"/>
          <w:szCs w:val="32"/>
        </w:rPr>
        <w:t>分析</w:t>
      </w:r>
      <w:r>
        <w:rPr>
          <w:rFonts w:hint="eastAsia" w:ascii="仿宋_GB2312" w:eastAsia="仿宋_GB2312"/>
          <w:color w:val="auto"/>
          <w:sz w:val="32"/>
          <w:szCs w:val="32"/>
          <w:lang w:val="zh-TW"/>
        </w:rPr>
        <w:t>专项项目产出、项目目标的实现程度和管理有效性，从而总结项目取得的业绩和经验，发现项目存在的不足之处</w:t>
      </w:r>
      <w:r>
        <w:rPr>
          <w:rFonts w:hint="eastAsia" w:ascii="仿宋_GB2312" w:eastAsia="仿宋_GB2312"/>
          <w:color w:val="auto"/>
          <w:sz w:val="32"/>
          <w:szCs w:val="32"/>
          <w:lang w:val="zh-TW" w:eastAsia="zh-TW"/>
        </w:rPr>
        <w:t>。</w:t>
      </w:r>
    </w:p>
    <w:p>
      <w:pPr>
        <w:ind w:firstLine="640"/>
        <w:rPr>
          <w:rFonts w:ascii="仿宋_GB2312" w:eastAsia="仿宋_GB2312"/>
          <w:color w:val="auto"/>
          <w:sz w:val="32"/>
          <w:szCs w:val="32"/>
        </w:rPr>
      </w:pPr>
      <w:r>
        <w:rPr>
          <w:rFonts w:hint="eastAsia" w:ascii="仿宋_GB2312" w:eastAsia="仿宋_GB2312"/>
          <w:color w:val="auto"/>
          <w:sz w:val="32"/>
          <w:szCs w:val="32"/>
          <w:lang w:val="zh-TW"/>
        </w:rPr>
        <w:t>对财政资金使用合规性进行评价，</w:t>
      </w:r>
      <w:r>
        <w:rPr>
          <w:rFonts w:hint="eastAsia" w:ascii="仿宋_GB2312" w:eastAsia="仿宋_GB2312"/>
          <w:color w:val="auto"/>
          <w:sz w:val="32"/>
          <w:szCs w:val="32"/>
        </w:rPr>
        <w:t>主要评价：①</w:t>
      </w:r>
      <w:r>
        <w:rPr>
          <w:rFonts w:hint="eastAsia" w:ascii="仿宋_GB2312" w:eastAsia="仿宋_GB2312"/>
          <w:color w:val="auto"/>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color w:val="auto"/>
          <w:sz w:val="32"/>
          <w:szCs w:val="32"/>
        </w:rPr>
        <w:t>通过评价</w:t>
      </w:r>
      <w:r>
        <w:rPr>
          <w:rFonts w:hint="eastAsia" w:ascii="仿宋_GB2312" w:eastAsia="仿宋_GB2312"/>
          <w:color w:val="auto"/>
          <w:sz w:val="32"/>
          <w:szCs w:val="32"/>
          <w:lang w:val="zh-TW"/>
        </w:rPr>
        <w:t>发现财政资金使用中存在的合规性问题，总结财务内控中存在的不足之处。</w:t>
      </w:r>
    </w:p>
    <w:p>
      <w:pPr>
        <w:pStyle w:val="4"/>
        <w:numPr>
          <w:ilvl w:val="0"/>
          <w:numId w:val="5"/>
        </w:numPr>
        <w:ind w:firstLine="640"/>
        <w:rPr>
          <w:rFonts w:ascii="楷体_GB2312" w:eastAsia="楷体_GB2312"/>
          <w:color w:val="auto"/>
          <w:szCs w:val="32"/>
        </w:rPr>
      </w:pPr>
      <w:r>
        <w:rPr>
          <w:rFonts w:hint="eastAsia" w:ascii="楷体_GB2312" w:eastAsia="楷体_GB2312"/>
          <w:color w:val="auto"/>
          <w:szCs w:val="32"/>
        </w:rPr>
        <w:t>专项管理情况分析</w:t>
      </w:r>
    </w:p>
    <w:p>
      <w:pPr>
        <w:rPr>
          <w:rFonts w:ascii="仿宋_GB2312" w:eastAsia="仿宋_GB2312"/>
          <w:b/>
          <w:bCs/>
          <w:color w:val="auto"/>
          <w:sz w:val="32"/>
          <w:szCs w:val="32"/>
        </w:rPr>
      </w:pPr>
      <w:r>
        <w:rPr>
          <w:rFonts w:hint="eastAsia" w:ascii="仿宋_GB2312" w:eastAsia="仿宋_GB2312"/>
          <w:b/>
          <w:bCs/>
          <w:color w:val="auto"/>
          <w:sz w:val="32"/>
          <w:szCs w:val="32"/>
        </w:rPr>
        <w:t>1.项目资金情况分析</w:t>
      </w:r>
    </w:p>
    <w:p>
      <w:pPr>
        <w:ind w:firstLine="640"/>
        <w:rPr>
          <w:rFonts w:ascii="仿宋_GB2312" w:eastAsia="仿宋_GB2312"/>
          <w:color w:val="auto"/>
          <w:sz w:val="32"/>
          <w:szCs w:val="32"/>
        </w:rPr>
      </w:pPr>
      <w:r>
        <w:rPr>
          <w:rFonts w:hint="eastAsia" w:ascii="仿宋_GB2312" w:eastAsia="仿宋_GB2312"/>
          <w:color w:val="auto"/>
          <w:sz w:val="32"/>
          <w:szCs w:val="32"/>
        </w:rPr>
        <w:t>（1）</w:t>
      </w:r>
      <w:r>
        <w:rPr>
          <w:rFonts w:hint="eastAsia" w:ascii="仿宋_GB2312" w:eastAsia="仿宋_GB2312" w:cs="仿宋"/>
          <w:color w:val="auto"/>
          <w:sz w:val="32"/>
          <w:szCs w:val="32"/>
        </w:rPr>
        <w:t>202</w:t>
      </w:r>
      <w:r>
        <w:rPr>
          <w:rFonts w:hint="eastAsia" w:ascii="仿宋_GB2312" w:eastAsia="仿宋_GB2312" w:cs="仿宋"/>
          <w:color w:val="auto"/>
          <w:sz w:val="32"/>
          <w:szCs w:val="32"/>
          <w:lang w:val="en-US" w:eastAsia="zh-CN"/>
        </w:rPr>
        <w:t>2</w:t>
      </w:r>
      <w:r>
        <w:rPr>
          <w:rFonts w:hint="eastAsia" w:ascii="仿宋_GB2312" w:eastAsia="仿宋_GB2312" w:cs="仿宋"/>
          <w:color w:val="auto"/>
          <w:sz w:val="32"/>
          <w:szCs w:val="32"/>
        </w:rPr>
        <w:t>年，预算安排专项资金</w:t>
      </w:r>
      <w:r>
        <w:rPr>
          <w:rFonts w:hint="eastAsia" w:ascii="仿宋_GB2312" w:eastAsia="仿宋_GB2312" w:cs="仿宋"/>
          <w:color w:val="auto"/>
          <w:sz w:val="32"/>
          <w:szCs w:val="32"/>
          <w:lang w:val="en-US" w:eastAsia="zh-CN"/>
        </w:rPr>
        <w:t>10320.66</w:t>
      </w:r>
      <w:r>
        <w:rPr>
          <w:rFonts w:hint="eastAsia" w:ascii="仿宋_GB2312" w:eastAsia="仿宋_GB2312" w:cs="仿宋"/>
          <w:color w:val="auto"/>
          <w:sz w:val="32"/>
          <w:szCs w:val="32"/>
        </w:rPr>
        <w:t>万元，实际使用</w:t>
      </w:r>
      <w:r>
        <w:rPr>
          <w:rFonts w:hint="eastAsia" w:ascii="仿宋_GB2312" w:eastAsia="仿宋_GB2312" w:cs="仿宋"/>
          <w:color w:val="auto"/>
          <w:sz w:val="32"/>
          <w:szCs w:val="32"/>
          <w:lang w:val="en-US" w:eastAsia="zh-CN"/>
        </w:rPr>
        <w:t>10320.66</w:t>
      </w:r>
      <w:r>
        <w:rPr>
          <w:rFonts w:hint="eastAsia" w:ascii="仿宋_GB2312" w:eastAsia="仿宋_GB2312" w:cs="仿宋"/>
          <w:color w:val="auto"/>
          <w:sz w:val="32"/>
          <w:szCs w:val="32"/>
        </w:rPr>
        <w:t>万元</w:t>
      </w:r>
      <w:r>
        <w:rPr>
          <w:rFonts w:hint="eastAsia" w:ascii="仿宋_GB2312" w:eastAsia="仿宋_GB2312"/>
          <w:color w:val="auto"/>
          <w:sz w:val="32"/>
          <w:szCs w:val="32"/>
        </w:rPr>
        <w:t>，预算执行率为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%。我单位专项资金严格按照昌吉市财政局及相关专项资金管理办法要求实行专款专用，在本年度各级审计和财政监督检查中未发现资金使用合规性问题。</w:t>
      </w:r>
    </w:p>
    <w:p>
      <w:pPr>
        <w:ind w:firstLine="640"/>
        <w:rPr>
          <w:rFonts w:ascii="仿宋_GB2312" w:eastAsia="仿宋_GB2312"/>
          <w:b/>
          <w:bCs/>
          <w:color w:val="auto"/>
          <w:sz w:val="32"/>
          <w:szCs w:val="32"/>
        </w:rPr>
      </w:pPr>
      <w:r>
        <w:rPr>
          <w:rFonts w:hint="eastAsia" w:ascii="仿宋_GB2312" w:eastAsia="仿宋_GB2312"/>
          <w:b/>
          <w:bCs/>
          <w:color w:val="auto"/>
          <w:sz w:val="32"/>
          <w:szCs w:val="32"/>
        </w:rPr>
        <w:t>2.项目实施情况分析</w:t>
      </w:r>
    </w:p>
    <w:p>
      <w:pPr>
        <w:ind w:firstLine="640"/>
        <w:rPr>
          <w:rFonts w:ascii="仿宋_GB2312" w:eastAsia="仿宋_GB2312"/>
          <w:color w:val="auto"/>
          <w:sz w:val="32"/>
          <w:szCs w:val="32"/>
        </w:rPr>
      </w:pPr>
      <w:r>
        <w:rPr>
          <w:rFonts w:hint="eastAsia" w:ascii="仿宋_GB2312" w:eastAsia="仿宋_GB2312"/>
          <w:color w:val="auto"/>
          <w:sz w:val="32"/>
          <w:szCs w:val="32"/>
        </w:rPr>
        <w:t>（1）组织情况：</w:t>
      </w:r>
      <w:r>
        <w:rPr>
          <w:rFonts w:hint="eastAsia" w:ascii="仿宋_GB2312" w:eastAsia="仿宋_GB2312"/>
          <w:color w:val="auto"/>
          <w:sz w:val="32"/>
          <w:szCs w:val="32"/>
          <w:lang w:val="en-US" w:eastAsia="zh-CN"/>
        </w:rPr>
        <w:t>昌吉市商务和工业信息化局</w:t>
      </w:r>
      <w:r>
        <w:rPr>
          <w:rFonts w:hint="eastAsia" w:ascii="仿宋_GB2312" w:eastAsia="仿宋_GB2312"/>
          <w:color w:val="auto"/>
          <w:sz w:val="32"/>
          <w:szCs w:val="32"/>
        </w:rPr>
        <w:t>建立专项项目领导小组，保证项目的实施。</w:t>
      </w:r>
    </w:p>
    <w:p>
      <w:pPr>
        <w:ind w:firstLine="640"/>
        <w:rPr>
          <w:rFonts w:ascii="仿宋_GB2312" w:eastAsia="仿宋_GB2312"/>
          <w:color w:val="auto"/>
          <w:sz w:val="32"/>
          <w:szCs w:val="32"/>
        </w:rPr>
      </w:pPr>
      <w:r>
        <w:rPr>
          <w:rFonts w:hint="eastAsia" w:ascii="仿宋_GB2312" w:eastAsia="仿宋_GB2312"/>
          <w:color w:val="auto"/>
          <w:sz w:val="32"/>
          <w:szCs w:val="32"/>
        </w:rPr>
        <w:t>（2）管理情况：</w:t>
      </w:r>
      <w:r>
        <w:rPr>
          <w:rFonts w:hint="eastAsia" w:ascii="仿宋_GB2312" w:eastAsia="仿宋_GB2312"/>
          <w:color w:val="auto"/>
          <w:sz w:val="32"/>
          <w:szCs w:val="32"/>
          <w:lang w:val="en-US" w:eastAsia="zh-CN"/>
        </w:rPr>
        <w:t>昌吉市商务和工业信息化局</w:t>
      </w:r>
      <w:r>
        <w:rPr>
          <w:rFonts w:hint="eastAsia" w:ascii="仿宋_GB2312" w:eastAsia="仿宋_GB2312"/>
          <w:color w:val="auto"/>
          <w:sz w:val="32"/>
          <w:szCs w:val="32"/>
        </w:rPr>
        <w:t>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ind w:firstLine="640"/>
        <w:rPr>
          <w:rFonts w:ascii="仿宋_GB2312" w:eastAsia="仿宋_GB2312"/>
          <w:color w:val="auto"/>
          <w:sz w:val="32"/>
          <w:szCs w:val="32"/>
        </w:rPr>
      </w:pPr>
      <w:r>
        <w:rPr>
          <w:rFonts w:hint="eastAsia" w:ascii="仿宋_GB2312" w:eastAsia="仿宋_GB2312"/>
          <w:color w:val="auto"/>
          <w:sz w:val="32"/>
          <w:szCs w:val="32"/>
        </w:rPr>
        <w:t>（3）监管情况：</w:t>
      </w:r>
      <w:r>
        <w:rPr>
          <w:rFonts w:hint="eastAsia" w:ascii="仿宋_GB2312" w:eastAsia="仿宋_GB2312"/>
          <w:color w:val="auto"/>
          <w:sz w:val="32"/>
          <w:szCs w:val="32"/>
          <w:lang w:val="en-US" w:eastAsia="zh-CN"/>
        </w:rPr>
        <w:t>昌吉市商务和工业信息化局</w:t>
      </w:r>
      <w:r>
        <w:rPr>
          <w:rFonts w:hint="eastAsia" w:ascii="仿宋_GB2312" w:eastAsia="仿宋_GB2312"/>
          <w:color w:val="auto"/>
          <w:sz w:val="32"/>
          <w:szCs w:val="32"/>
        </w:rPr>
        <w:t>随时对专项项目进行监督检查，监督施工进度是否按照项目计划时间如期进行，检查项目实施内容是否与项目计划内容一致，同时对专项项目资金进行定期或不定期督查，确保项目资金专款专用。</w:t>
      </w:r>
    </w:p>
    <w:p>
      <w:pPr>
        <w:ind w:firstLine="640"/>
        <w:rPr>
          <w:rFonts w:ascii="仿宋_GB2312" w:eastAsia="仿宋_GB2312"/>
          <w:b/>
          <w:bCs/>
          <w:color w:val="auto"/>
          <w:sz w:val="32"/>
          <w:szCs w:val="32"/>
        </w:rPr>
      </w:pPr>
      <w:r>
        <w:rPr>
          <w:rFonts w:hint="eastAsia" w:ascii="仿宋_GB2312" w:eastAsia="仿宋_GB2312"/>
          <w:b/>
          <w:bCs/>
          <w:color w:val="auto"/>
          <w:sz w:val="32"/>
          <w:szCs w:val="32"/>
        </w:rPr>
        <w:t>3.项目绩效情况分析</w:t>
      </w:r>
    </w:p>
    <w:p>
      <w:pPr>
        <w:ind w:firstLine="640"/>
        <w:rPr>
          <w:rFonts w:ascii="仿宋_GB2312" w:eastAsia="仿宋_GB2312"/>
          <w:color w:val="auto"/>
          <w:sz w:val="32"/>
          <w:szCs w:val="32"/>
        </w:rPr>
      </w:pPr>
      <w:r>
        <w:rPr>
          <w:rFonts w:hint="eastAsia" w:ascii="仿宋_GB2312" w:eastAsia="仿宋_GB2312"/>
          <w:color w:val="auto"/>
          <w:sz w:val="32"/>
          <w:szCs w:val="32"/>
        </w:rPr>
        <w:t>本单位所涉及专项项目均已纳入绩效管理，</w:t>
      </w:r>
      <w:r>
        <w:rPr>
          <w:rFonts w:hint="eastAsia" w:ascii="仿宋_GB2312" w:eastAsia="仿宋_GB2312"/>
          <w:color w:val="auto"/>
          <w:sz w:val="32"/>
          <w:szCs w:val="32"/>
          <w:lang w:val="en-US" w:eastAsia="zh-CN"/>
        </w:rPr>
        <w:t>20</w:t>
      </w:r>
      <w:r>
        <w:rPr>
          <w:rFonts w:hint="eastAsia" w:ascii="仿宋_GB2312" w:eastAsia="仿宋_GB2312"/>
          <w:color w:val="auto"/>
          <w:sz w:val="32"/>
          <w:szCs w:val="32"/>
        </w:rPr>
        <w:t>个专项项目实际绩效情况如下：</w:t>
      </w:r>
    </w:p>
    <w:p>
      <w:pPr>
        <w:ind w:firstLine="640"/>
        <w:rPr>
          <w:rFonts w:ascii="仿宋_GB2312" w:eastAsia="仿宋_GB2312"/>
          <w:color w:val="auto"/>
          <w:sz w:val="32"/>
          <w:szCs w:val="32"/>
        </w:rPr>
      </w:pPr>
      <w:r>
        <w:rPr>
          <w:rFonts w:hint="eastAsia" w:ascii="仿宋_GB2312" w:eastAsia="仿宋_GB2312"/>
          <w:color w:val="auto"/>
          <w:sz w:val="32"/>
          <w:szCs w:val="32"/>
        </w:rPr>
        <w:t>（1）成本控制：</w:t>
      </w:r>
      <w:r>
        <w:rPr>
          <w:rFonts w:hint="eastAsia" w:ascii="仿宋_GB2312" w:eastAsia="仿宋_GB2312"/>
          <w:color w:val="auto"/>
          <w:sz w:val="32"/>
          <w:szCs w:val="32"/>
          <w:lang w:val="en-US" w:eastAsia="zh-CN"/>
        </w:rPr>
        <w:t>昌吉市商务和工业信息化局</w:t>
      </w:r>
      <w:r>
        <w:rPr>
          <w:rFonts w:hint="eastAsia" w:ascii="仿宋_GB2312" w:eastAsia="仿宋_GB2312"/>
          <w:color w:val="auto"/>
          <w:sz w:val="32"/>
          <w:szCs w:val="32"/>
        </w:rPr>
        <w:t>在其职能范围内，明确项目职责分工和成本控制要求，对各种影响成本的因素和条件采取了一系列预防和调节措施，科学地组织实施成本控制。</w:t>
      </w:r>
    </w:p>
    <w:p>
      <w:pPr>
        <w:ind w:firstLine="640"/>
        <w:rPr>
          <w:rFonts w:ascii="仿宋_GB2312" w:eastAsia="仿宋_GB2312"/>
          <w:color w:val="auto"/>
          <w:sz w:val="32"/>
          <w:szCs w:val="32"/>
        </w:rPr>
      </w:pPr>
      <w:r>
        <w:rPr>
          <w:rFonts w:hint="eastAsia" w:ascii="仿宋_GB2312" w:eastAsia="仿宋_GB2312"/>
          <w:color w:val="auto"/>
          <w:sz w:val="32"/>
          <w:szCs w:val="32"/>
        </w:rPr>
        <w:t>（2）成本节约：</w:t>
      </w:r>
      <w:r>
        <w:rPr>
          <w:rFonts w:hint="eastAsia" w:ascii="仿宋_GB2312" w:eastAsia="仿宋_GB2312"/>
          <w:color w:val="auto"/>
          <w:sz w:val="32"/>
          <w:szCs w:val="32"/>
          <w:lang w:val="en-US" w:eastAsia="zh-CN"/>
        </w:rPr>
        <w:t>昌吉市商务和工业信息化局</w:t>
      </w:r>
      <w:r>
        <w:rPr>
          <w:rFonts w:hint="eastAsia" w:ascii="仿宋_GB2312" w:eastAsia="仿宋_GB2312"/>
          <w:color w:val="auto"/>
          <w:sz w:val="32"/>
          <w:szCs w:val="32"/>
        </w:rPr>
        <w:t>在实施专项项目过程中，无相关成本节约情况。</w:t>
      </w:r>
    </w:p>
    <w:p>
      <w:pPr>
        <w:ind w:firstLine="640"/>
        <w:rPr>
          <w:rFonts w:hint="eastAsia" w:ascii="仿宋_GB2312" w:eastAsia="仿宋_GB2312"/>
          <w:b/>
          <w:bCs/>
          <w:color w:val="000000" w:themeColor="text1"/>
          <w:sz w:val="32"/>
          <w:szCs w:val="32"/>
        </w:rPr>
      </w:pPr>
      <w:r>
        <w:rPr>
          <w:rFonts w:hint="eastAsia" w:ascii="仿宋_GB2312" w:eastAsia="仿宋_GB2312"/>
          <w:b/>
          <w:bCs/>
          <w:color w:val="000000" w:themeColor="text1"/>
          <w:sz w:val="32"/>
          <w:szCs w:val="32"/>
        </w:rPr>
        <w:t>4.项目效率性分析（实施进度、完成质量）</w:t>
      </w:r>
    </w:p>
    <w:p>
      <w:pPr>
        <w:ind w:firstLine="640"/>
        <w:rPr>
          <w:rFonts w:hint="eastAsia" w:ascii="仿宋_GB2312" w:eastAsia="仿宋_GB2312" w:cs="Times New Roman"/>
          <w:color w:val="auto"/>
          <w:sz w:val="32"/>
          <w:szCs w:val="32"/>
        </w:rPr>
      </w:pPr>
      <w:r>
        <w:rPr>
          <w:rFonts w:hint="eastAsia" w:ascii="仿宋_GB2312" w:eastAsia="仿宋_GB2312"/>
          <w:color w:val="auto"/>
          <w:sz w:val="32"/>
          <w:szCs w:val="32"/>
          <w:lang w:val="en-US" w:eastAsia="zh-CN"/>
        </w:rPr>
        <w:t>2022年中央外经贸发展专项资金</w:t>
      </w:r>
      <w:r>
        <w:rPr>
          <w:rFonts w:hint="eastAsia" w:ascii="仿宋_GB2312" w:eastAsia="仿宋_GB2312"/>
          <w:color w:val="auto"/>
          <w:sz w:val="32"/>
          <w:szCs w:val="32"/>
        </w:rPr>
        <w:t>已完成，实施进度</w:t>
      </w:r>
      <w:r>
        <w:rPr>
          <w:rFonts w:hint="eastAsia" w:hAnsi="仿宋" w:cs="仿宋"/>
          <w:b w:val="0"/>
          <w:bCs w:val="0"/>
          <w:color w:val="auto"/>
          <w:sz w:val="32"/>
        </w:rPr>
        <w:t>为</w:t>
      </w:r>
      <w:r>
        <w:rPr>
          <w:rFonts w:hint="eastAsia" w:cs="仿宋"/>
          <w:b w:val="0"/>
          <w:bCs w:val="0"/>
          <w:color w:val="auto"/>
          <w:sz w:val="32"/>
          <w:lang w:eastAsia="zh-CN"/>
        </w:rPr>
        <w:t>100.0%</w:t>
      </w:r>
      <w:r>
        <w:rPr>
          <w:rFonts w:hint="eastAsia" w:hAnsi="仿宋" w:cs="仿宋"/>
          <w:b w:val="0"/>
          <w:bCs w:val="0"/>
          <w:color w:val="auto"/>
          <w:sz w:val="32"/>
        </w:rPr>
        <w:t>，达到预期完成质量要求；</w:t>
      </w:r>
    </w:p>
    <w:p>
      <w:pPr>
        <w:ind w:firstLine="640"/>
        <w:rPr>
          <w:rFonts w:hint="eastAsia" w:ascii="仿宋_GB2312" w:eastAsia="仿宋_GB2312"/>
          <w:color w:val="auto"/>
          <w:sz w:val="32"/>
          <w:szCs w:val="32"/>
        </w:rPr>
      </w:pPr>
      <w:r>
        <w:rPr>
          <w:rFonts w:hint="eastAsia" w:ascii="仿宋_GB2312" w:eastAsia="仿宋_GB2312"/>
          <w:color w:val="auto"/>
          <w:sz w:val="32"/>
          <w:szCs w:val="32"/>
          <w:lang w:val="en-US" w:eastAsia="zh-CN"/>
        </w:rPr>
        <w:t>2022年度自治区工业节能减排专项资金</w:t>
      </w:r>
      <w:r>
        <w:rPr>
          <w:rFonts w:hint="eastAsia" w:ascii="仿宋_GB2312" w:eastAsia="仿宋_GB2312"/>
          <w:color w:val="auto"/>
          <w:sz w:val="32"/>
          <w:szCs w:val="32"/>
        </w:rPr>
        <w:t>已完成，实施进度为</w:t>
      </w:r>
      <w:r>
        <w:rPr>
          <w:rFonts w:hint="eastAsia" w:ascii="仿宋_GB2312" w:eastAsia="仿宋_GB2312"/>
          <w:color w:val="auto"/>
          <w:sz w:val="32"/>
          <w:szCs w:val="32"/>
          <w:lang w:eastAsia="zh-CN"/>
        </w:rPr>
        <w:t>100.0%</w:t>
      </w:r>
      <w:r>
        <w:rPr>
          <w:rFonts w:hint="eastAsia" w:ascii="仿宋_GB2312" w:eastAsia="仿宋_GB2312"/>
          <w:color w:val="auto"/>
          <w:sz w:val="32"/>
          <w:szCs w:val="32"/>
        </w:rPr>
        <w:t>，达到预期完成质量要求；</w:t>
      </w:r>
    </w:p>
    <w:p>
      <w:pPr>
        <w:ind w:firstLine="640"/>
        <w:rPr>
          <w:rFonts w:hint="eastAsia" w:ascii="仿宋_GB2312" w:eastAsia="仿宋_GB2312"/>
          <w:color w:val="auto"/>
          <w:sz w:val="32"/>
          <w:szCs w:val="32"/>
        </w:rPr>
      </w:pPr>
      <w:r>
        <w:rPr>
          <w:rFonts w:hint="eastAsia" w:ascii="仿宋_GB2312" w:eastAsia="仿宋_GB2312"/>
          <w:color w:val="auto"/>
          <w:sz w:val="32"/>
          <w:szCs w:val="32"/>
          <w:lang w:val="en-US" w:eastAsia="zh-CN"/>
        </w:rPr>
        <w:t>2022年中小企业发展专项资金（专精特新</w:t>
      </w:r>
      <w:r>
        <w:rPr>
          <w:rFonts w:hint="eastAsia" w:ascii="仿宋_GB2312" w:eastAsia="仿宋_GB2312"/>
          <w:color w:val="auto"/>
          <w:sz w:val="32"/>
          <w:szCs w:val="32"/>
          <w:lang w:eastAsia="zh-CN"/>
        </w:rPr>
        <w:t>方向）</w:t>
      </w:r>
      <w:r>
        <w:rPr>
          <w:rFonts w:hint="eastAsia" w:ascii="仿宋_GB2312" w:eastAsia="仿宋_GB2312"/>
          <w:color w:val="auto"/>
          <w:sz w:val="32"/>
          <w:szCs w:val="32"/>
        </w:rPr>
        <w:t>已完成，实施进度为</w:t>
      </w:r>
      <w:r>
        <w:rPr>
          <w:rFonts w:hint="eastAsia" w:ascii="仿宋_GB2312" w:eastAsia="仿宋_GB2312"/>
          <w:color w:val="auto"/>
          <w:sz w:val="32"/>
          <w:szCs w:val="32"/>
          <w:lang w:eastAsia="zh-CN"/>
        </w:rPr>
        <w:t>100.0%</w:t>
      </w:r>
      <w:r>
        <w:rPr>
          <w:rFonts w:hint="eastAsia" w:ascii="仿宋_GB2312" w:eastAsia="仿宋_GB2312"/>
          <w:color w:val="auto"/>
          <w:sz w:val="32"/>
          <w:szCs w:val="32"/>
        </w:rPr>
        <w:t>，达到预期完成质量要求；</w:t>
      </w:r>
    </w:p>
    <w:p>
      <w:pPr>
        <w:ind w:firstLine="640"/>
        <w:rPr>
          <w:rFonts w:hint="eastAsia" w:ascii="仿宋_GB2312" w:eastAsia="仿宋_GB2312"/>
          <w:color w:val="auto"/>
          <w:sz w:val="32"/>
          <w:szCs w:val="32"/>
        </w:rPr>
      </w:pPr>
      <w:r>
        <w:rPr>
          <w:rFonts w:hint="eastAsia" w:ascii="仿宋_GB2312" w:eastAsia="仿宋_GB2312"/>
          <w:color w:val="auto"/>
          <w:sz w:val="32"/>
          <w:szCs w:val="32"/>
          <w:lang w:val="en-US" w:eastAsia="zh-CN"/>
        </w:rPr>
        <w:t>2022年中央财政县域商业体系建设项目资金</w:t>
      </w:r>
      <w:r>
        <w:rPr>
          <w:rFonts w:hint="eastAsia" w:ascii="仿宋_GB2312" w:eastAsia="仿宋_GB2312"/>
          <w:color w:val="auto"/>
          <w:sz w:val="32"/>
          <w:szCs w:val="32"/>
        </w:rPr>
        <w:t>已完成，实施进度为</w:t>
      </w:r>
      <w:r>
        <w:rPr>
          <w:rFonts w:hint="eastAsia" w:ascii="仿宋_GB2312" w:eastAsia="仿宋_GB2312"/>
          <w:color w:val="auto"/>
          <w:sz w:val="32"/>
          <w:szCs w:val="32"/>
          <w:lang w:eastAsia="zh-CN"/>
        </w:rPr>
        <w:t>100.0%</w:t>
      </w:r>
      <w:r>
        <w:rPr>
          <w:rFonts w:hint="eastAsia" w:ascii="仿宋_GB2312" w:eastAsia="仿宋_GB2312"/>
          <w:color w:val="auto"/>
          <w:sz w:val="32"/>
          <w:szCs w:val="32"/>
        </w:rPr>
        <w:t>，达到预期完成质量要求；</w:t>
      </w:r>
    </w:p>
    <w:p>
      <w:pPr>
        <w:ind w:firstLine="640"/>
        <w:rPr>
          <w:rFonts w:hint="eastAsia" w:ascii="仿宋_GB2312" w:eastAsia="仿宋_GB2312"/>
          <w:color w:val="auto"/>
          <w:sz w:val="32"/>
          <w:szCs w:val="32"/>
        </w:rPr>
      </w:pPr>
      <w:r>
        <w:rPr>
          <w:rFonts w:hint="eastAsia" w:ascii="仿宋_GB2312" w:eastAsia="仿宋_GB2312"/>
          <w:color w:val="auto"/>
          <w:sz w:val="32"/>
          <w:szCs w:val="32"/>
          <w:lang w:val="en-US" w:eastAsia="zh-CN"/>
        </w:rPr>
        <w:t>2022年自治区重点技术创新专项资金</w:t>
      </w:r>
      <w:r>
        <w:rPr>
          <w:rFonts w:hint="eastAsia" w:ascii="仿宋_GB2312" w:eastAsia="仿宋_GB2312"/>
          <w:color w:val="auto"/>
          <w:sz w:val="32"/>
          <w:szCs w:val="32"/>
        </w:rPr>
        <w:t>已完成，实施进度为</w:t>
      </w:r>
      <w:r>
        <w:rPr>
          <w:rFonts w:hint="eastAsia" w:ascii="仿宋_GB2312" w:eastAsia="仿宋_GB2312"/>
          <w:color w:val="auto"/>
          <w:sz w:val="32"/>
          <w:szCs w:val="32"/>
          <w:lang w:eastAsia="zh-CN"/>
        </w:rPr>
        <w:t>100.0%</w:t>
      </w:r>
      <w:r>
        <w:rPr>
          <w:rFonts w:hint="eastAsia" w:ascii="仿宋_GB2312" w:eastAsia="仿宋_GB2312"/>
          <w:color w:val="auto"/>
          <w:sz w:val="32"/>
          <w:szCs w:val="32"/>
        </w:rPr>
        <w:t>，达到预期完成质量要求；</w:t>
      </w:r>
    </w:p>
    <w:p>
      <w:pPr>
        <w:ind w:firstLine="640"/>
        <w:rPr>
          <w:rFonts w:hint="eastAsia" w:ascii="仿宋_GB2312" w:eastAsia="仿宋_GB2312"/>
          <w:color w:val="auto"/>
          <w:sz w:val="32"/>
          <w:szCs w:val="32"/>
        </w:rPr>
      </w:pPr>
      <w:r>
        <w:rPr>
          <w:rFonts w:hint="eastAsia" w:ascii="仿宋_GB2312" w:eastAsia="仿宋_GB2312"/>
          <w:color w:val="auto"/>
          <w:sz w:val="32"/>
          <w:szCs w:val="32"/>
          <w:lang w:val="en-US" w:eastAsia="zh-CN"/>
        </w:rPr>
        <w:t>2022年自治区战略性新兴产业专项资金</w:t>
      </w:r>
      <w:r>
        <w:rPr>
          <w:rFonts w:hint="eastAsia" w:ascii="仿宋_GB2312" w:eastAsia="仿宋_GB2312"/>
          <w:color w:val="auto"/>
          <w:sz w:val="32"/>
          <w:szCs w:val="32"/>
        </w:rPr>
        <w:t>已完成，实施进度为</w:t>
      </w:r>
      <w:r>
        <w:rPr>
          <w:rFonts w:hint="eastAsia" w:ascii="仿宋_GB2312" w:eastAsia="仿宋_GB2312"/>
          <w:color w:val="auto"/>
          <w:sz w:val="32"/>
          <w:szCs w:val="32"/>
          <w:lang w:eastAsia="zh-CN"/>
        </w:rPr>
        <w:t>100.0%</w:t>
      </w:r>
      <w:r>
        <w:rPr>
          <w:rFonts w:hint="eastAsia" w:ascii="仿宋_GB2312" w:eastAsia="仿宋_GB2312"/>
          <w:color w:val="auto"/>
          <w:sz w:val="32"/>
          <w:szCs w:val="32"/>
        </w:rPr>
        <w:t>，达到预期完成质量要求；</w:t>
      </w:r>
    </w:p>
    <w:p>
      <w:pPr>
        <w:ind w:firstLine="640"/>
        <w:rPr>
          <w:rFonts w:hint="eastAsia" w:ascii="仿宋_GB2312" w:eastAsia="仿宋_GB2312"/>
          <w:color w:val="auto"/>
          <w:sz w:val="32"/>
          <w:szCs w:val="32"/>
        </w:rPr>
      </w:pPr>
      <w:r>
        <w:rPr>
          <w:rFonts w:hint="eastAsia" w:ascii="仿宋_GB2312" w:eastAsia="仿宋_GB2312"/>
          <w:color w:val="auto"/>
          <w:sz w:val="32"/>
          <w:szCs w:val="32"/>
          <w:lang w:val="en-US" w:eastAsia="zh-CN"/>
        </w:rPr>
        <w:t>闽昌工业园标准化厂房建设项目规划设计费</w:t>
      </w:r>
      <w:r>
        <w:rPr>
          <w:rFonts w:hint="eastAsia" w:ascii="仿宋_GB2312" w:eastAsia="仿宋_GB2312"/>
          <w:color w:val="auto"/>
          <w:sz w:val="32"/>
          <w:szCs w:val="32"/>
        </w:rPr>
        <w:t>已完成，实施进度为</w:t>
      </w:r>
      <w:r>
        <w:rPr>
          <w:rFonts w:hint="eastAsia" w:ascii="仿宋_GB2312" w:eastAsia="仿宋_GB2312"/>
          <w:color w:val="auto"/>
          <w:sz w:val="32"/>
          <w:szCs w:val="32"/>
          <w:lang w:eastAsia="zh-CN"/>
        </w:rPr>
        <w:t>100.0%</w:t>
      </w:r>
      <w:r>
        <w:rPr>
          <w:rFonts w:hint="eastAsia" w:ascii="仿宋_GB2312" w:eastAsia="仿宋_GB2312"/>
          <w:color w:val="auto"/>
          <w:sz w:val="32"/>
          <w:szCs w:val="32"/>
        </w:rPr>
        <w:t>，达到预期完成质量要求；</w:t>
      </w:r>
    </w:p>
    <w:p>
      <w:pPr>
        <w:ind w:firstLine="640"/>
        <w:rPr>
          <w:rFonts w:hint="eastAsia" w:ascii="仿宋_GB2312" w:eastAsia="仿宋_GB2312"/>
          <w:color w:val="auto"/>
          <w:sz w:val="32"/>
          <w:szCs w:val="32"/>
        </w:rPr>
      </w:pPr>
      <w:r>
        <w:rPr>
          <w:rFonts w:hint="eastAsia" w:ascii="仿宋_GB2312" w:eastAsia="仿宋_GB2312"/>
          <w:color w:val="auto"/>
          <w:sz w:val="32"/>
          <w:szCs w:val="32"/>
          <w:lang w:val="en-US" w:eastAsia="zh-CN"/>
        </w:rPr>
        <w:t>2022年自治区中小企业发展专项资金</w:t>
      </w:r>
      <w:r>
        <w:rPr>
          <w:rFonts w:hint="eastAsia" w:ascii="仿宋_GB2312" w:eastAsia="仿宋_GB2312"/>
          <w:color w:val="auto"/>
          <w:sz w:val="32"/>
          <w:szCs w:val="32"/>
        </w:rPr>
        <w:t>已完成，实施进度为</w:t>
      </w:r>
      <w:r>
        <w:rPr>
          <w:rFonts w:hint="eastAsia" w:ascii="仿宋_GB2312" w:eastAsia="仿宋_GB2312"/>
          <w:color w:val="auto"/>
          <w:sz w:val="32"/>
          <w:szCs w:val="32"/>
          <w:lang w:eastAsia="zh-CN"/>
        </w:rPr>
        <w:t>100.0%</w:t>
      </w:r>
      <w:r>
        <w:rPr>
          <w:rFonts w:hint="eastAsia" w:ascii="仿宋_GB2312" w:eastAsia="仿宋_GB2312"/>
          <w:color w:val="auto"/>
          <w:sz w:val="32"/>
          <w:szCs w:val="32"/>
        </w:rPr>
        <w:t>，达到预期完成质量要求；</w:t>
      </w:r>
    </w:p>
    <w:p>
      <w:pPr>
        <w:ind w:firstLine="640"/>
        <w:rPr>
          <w:rFonts w:hint="eastAsia" w:ascii="仿宋_GB2312" w:eastAsia="仿宋_GB2312"/>
          <w:color w:val="auto"/>
          <w:sz w:val="32"/>
          <w:szCs w:val="32"/>
        </w:rPr>
      </w:pPr>
      <w:r>
        <w:rPr>
          <w:rFonts w:hint="eastAsia" w:ascii="仿宋_GB2312" w:eastAsia="仿宋_GB2312"/>
          <w:color w:val="auto"/>
          <w:sz w:val="32"/>
          <w:szCs w:val="32"/>
          <w:lang w:val="en-US" w:eastAsia="zh-CN"/>
        </w:rPr>
        <w:t>2022年中央中小企业发展专项资金（专精特新方向）</w:t>
      </w:r>
      <w:r>
        <w:rPr>
          <w:rFonts w:hint="eastAsia" w:ascii="仿宋_GB2312" w:eastAsia="仿宋_GB2312"/>
          <w:color w:val="auto"/>
          <w:sz w:val="32"/>
          <w:szCs w:val="32"/>
        </w:rPr>
        <w:t>已完成，实施进度为</w:t>
      </w:r>
      <w:r>
        <w:rPr>
          <w:rFonts w:hint="eastAsia" w:ascii="仿宋_GB2312" w:eastAsia="仿宋_GB2312"/>
          <w:color w:val="auto"/>
          <w:sz w:val="32"/>
          <w:szCs w:val="32"/>
          <w:lang w:eastAsia="zh-CN"/>
        </w:rPr>
        <w:t>100.0%</w:t>
      </w:r>
      <w:r>
        <w:rPr>
          <w:rFonts w:hint="eastAsia" w:ascii="仿宋_GB2312" w:eastAsia="仿宋_GB2312"/>
          <w:color w:val="auto"/>
          <w:sz w:val="32"/>
          <w:szCs w:val="32"/>
        </w:rPr>
        <w:t>，达到预期完成质量要求；</w:t>
      </w:r>
    </w:p>
    <w:p>
      <w:pPr>
        <w:ind w:firstLine="640"/>
        <w:rPr>
          <w:rFonts w:hint="eastAsia" w:ascii="仿宋_GB2312" w:eastAsia="仿宋_GB2312"/>
          <w:color w:val="auto"/>
          <w:sz w:val="32"/>
          <w:szCs w:val="32"/>
        </w:rPr>
      </w:pPr>
      <w:r>
        <w:rPr>
          <w:rFonts w:hint="eastAsia" w:ascii="仿宋_GB2312" w:eastAsia="仿宋_GB2312"/>
          <w:color w:val="auto"/>
          <w:sz w:val="32"/>
          <w:szCs w:val="32"/>
          <w:lang w:val="en-US" w:eastAsia="zh-CN"/>
        </w:rPr>
        <w:t>2022年中央产业基础再造和制造业高质量发展资金</w:t>
      </w:r>
      <w:r>
        <w:rPr>
          <w:rFonts w:hint="eastAsia" w:ascii="仿宋_GB2312" w:eastAsia="仿宋_GB2312"/>
          <w:color w:val="auto"/>
          <w:sz w:val="32"/>
          <w:szCs w:val="32"/>
        </w:rPr>
        <w:t>已完成，实施进度为</w:t>
      </w:r>
      <w:r>
        <w:rPr>
          <w:rFonts w:hint="eastAsia" w:ascii="仿宋_GB2312" w:eastAsia="仿宋_GB2312"/>
          <w:color w:val="auto"/>
          <w:sz w:val="32"/>
          <w:szCs w:val="32"/>
          <w:lang w:eastAsia="zh-CN"/>
        </w:rPr>
        <w:t>100.0%</w:t>
      </w:r>
      <w:r>
        <w:rPr>
          <w:rFonts w:hint="eastAsia" w:ascii="仿宋_GB2312" w:eastAsia="仿宋_GB2312"/>
          <w:color w:val="auto"/>
          <w:sz w:val="32"/>
          <w:szCs w:val="32"/>
        </w:rPr>
        <w:t>，达到预期完成质量要求；</w:t>
      </w:r>
    </w:p>
    <w:p>
      <w:pPr>
        <w:ind w:firstLine="640"/>
        <w:rPr>
          <w:rFonts w:hint="eastAsia" w:ascii="仿宋_GB2312" w:eastAsia="仿宋_GB2312"/>
          <w:color w:val="auto"/>
          <w:sz w:val="32"/>
          <w:szCs w:val="32"/>
        </w:rPr>
      </w:pPr>
      <w:r>
        <w:rPr>
          <w:rFonts w:hint="eastAsia" w:ascii="仿宋_GB2312" w:eastAsia="仿宋_GB2312"/>
          <w:color w:val="auto"/>
          <w:sz w:val="32"/>
          <w:szCs w:val="32"/>
          <w:lang w:val="en-US" w:eastAsia="zh-CN"/>
        </w:rPr>
        <w:t>招商引资经费</w:t>
      </w:r>
      <w:r>
        <w:rPr>
          <w:rFonts w:hint="eastAsia" w:ascii="仿宋_GB2312" w:eastAsia="仿宋_GB2312"/>
          <w:color w:val="auto"/>
          <w:sz w:val="32"/>
          <w:szCs w:val="32"/>
        </w:rPr>
        <w:t>已完成，实施进度为</w:t>
      </w:r>
      <w:r>
        <w:rPr>
          <w:rFonts w:hint="eastAsia" w:ascii="仿宋_GB2312" w:eastAsia="仿宋_GB2312"/>
          <w:color w:val="auto"/>
          <w:sz w:val="32"/>
          <w:szCs w:val="32"/>
          <w:lang w:eastAsia="zh-CN"/>
        </w:rPr>
        <w:t>100.0%</w:t>
      </w:r>
      <w:r>
        <w:rPr>
          <w:rFonts w:hint="eastAsia" w:ascii="仿宋_GB2312" w:eastAsia="仿宋_GB2312"/>
          <w:color w:val="auto"/>
          <w:sz w:val="32"/>
          <w:szCs w:val="32"/>
        </w:rPr>
        <w:t>，达到预期完成质量要求；</w:t>
      </w:r>
    </w:p>
    <w:p>
      <w:pPr>
        <w:ind w:firstLine="640"/>
        <w:rPr>
          <w:rFonts w:hint="eastAsia" w:ascii="仿宋_GB2312" w:eastAsia="仿宋_GB2312"/>
          <w:color w:val="auto"/>
          <w:sz w:val="32"/>
          <w:szCs w:val="32"/>
        </w:rPr>
      </w:pPr>
      <w:r>
        <w:rPr>
          <w:rFonts w:hint="eastAsia" w:ascii="仿宋_GB2312" w:eastAsia="仿宋_GB2312"/>
          <w:color w:val="auto"/>
          <w:sz w:val="32"/>
          <w:szCs w:val="32"/>
          <w:lang w:eastAsia="zh-CN"/>
        </w:rPr>
        <w:t>业务经费</w:t>
      </w:r>
      <w:r>
        <w:rPr>
          <w:rFonts w:hint="eastAsia" w:ascii="仿宋_GB2312" w:eastAsia="仿宋_GB2312"/>
          <w:color w:val="auto"/>
          <w:sz w:val="32"/>
          <w:szCs w:val="32"/>
        </w:rPr>
        <w:t>已完成，实施进度为</w:t>
      </w:r>
      <w:r>
        <w:rPr>
          <w:rFonts w:hint="eastAsia" w:ascii="仿宋_GB2312" w:eastAsia="仿宋_GB2312"/>
          <w:color w:val="auto"/>
          <w:sz w:val="32"/>
          <w:szCs w:val="32"/>
          <w:lang w:eastAsia="zh-CN"/>
        </w:rPr>
        <w:t>100.0%</w:t>
      </w:r>
      <w:r>
        <w:rPr>
          <w:rFonts w:hint="eastAsia" w:ascii="仿宋_GB2312" w:eastAsia="仿宋_GB2312"/>
          <w:color w:val="auto"/>
          <w:sz w:val="32"/>
          <w:szCs w:val="32"/>
        </w:rPr>
        <w:t>，达到预期完成质量要求；</w:t>
      </w:r>
    </w:p>
    <w:p>
      <w:pPr>
        <w:ind w:firstLine="640"/>
        <w:rPr>
          <w:rFonts w:hint="eastAsia" w:ascii="仿宋_GB2312" w:eastAsia="仿宋_GB2312"/>
          <w:color w:val="auto"/>
          <w:sz w:val="32"/>
          <w:szCs w:val="32"/>
        </w:rPr>
      </w:pPr>
      <w:r>
        <w:rPr>
          <w:rFonts w:hint="eastAsia" w:ascii="仿宋_GB2312" w:eastAsia="仿宋_GB2312"/>
          <w:color w:val="auto"/>
          <w:sz w:val="32"/>
          <w:szCs w:val="32"/>
          <w:lang w:val="en-US" w:eastAsia="zh-CN"/>
        </w:rPr>
        <w:t>2022年边境地区转移支付资金</w:t>
      </w:r>
      <w:r>
        <w:rPr>
          <w:rFonts w:hint="eastAsia" w:ascii="仿宋_GB2312" w:eastAsia="仿宋_GB2312"/>
          <w:color w:val="auto"/>
          <w:sz w:val="32"/>
          <w:szCs w:val="32"/>
        </w:rPr>
        <w:t>已完成，实施进度为</w:t>
      </w:r>
      <w:r>
        <w:rPr>
          <w:rFonts w:hint="eastAsia" w:ascii="仿宋_GB2312" w:eastAsia="仿宋_GB2312"/>
          <w:color w:val="auto"/>
          <w:sz w:val="32"/>
          <w:szCs w:val="32"/>
          <w:lang w:eastAsia="zh-CN"/>
        </w:rPr>
        <w:t>100.0%</w:t>
      </w:r>
      <w:r>
        <w:rPr>
          <w:rFonts w:hint="eastAsia" w:ascii="仿宋_GB2312" w:eastAsia="仿宋_GB2312"/>
          <w:color w:val="auto"/>
          <w:sz w:val="32"/>
          <w:szCs w:val="32"/>
        </w:rPr>
        <w:t>，达到预期完成质量要求；</w:t>
      </w:r>
    </w:p>
    <w:p>
      <w:pPr>
        <w:ind w:firstLine="640"/>
        <w:rPr>
          <w:rFonts w:hint="eastAsia" w:ascii="仿宋_GB2312" w:eastAsia="仿宋_GB2312"/>
          <w:color w:val="auto"/>
          <w:sz w:val="32"/>
          <w:szCs w:val="32"/>
        </w:rPr>
      </w:pPr>
      <w:r>
        <w:rPr>
          <w:rFonts w:hint="eastAsia" w:ascii="仿宋_GB2312" w:eastAsia="仿宋_GB2312"/>
          <w:color w:val="auto"/>
          <w:sz w:val="32"/>
          <w:szCs w:val="32"/>
          <w:lang w:val="en-US" w:eastAsia="zh-CN"/>
        </w:rPr>
        <w:t>2022年“访惠聚”驻村工作专项经费</w:t>
      </w:r>
      <w:r>
        <w:rPr>
          <w:rFonts w:hint="eastAsia" w:ascii="仿宋_GB2312" w:eastAsia="仿宋_GB2312"/>
          <w:color w:val="auto"/>
          <w:sz w:val="32"/>
          <w:szCs w:val="32"/>
        </w:rPr>
        <w:t>已完成，实施进度为</w:t>
      </w:r>
      <w:r>
        <w:rPr>
          <w:rFonts w:hint="eastAsia" w:ascii="仿宋_GB2312" w:eastAsia="仿宋_GB2312"/>
          <w:color w:val="auto"/>
          <w:sz w:val="32"/>
          <w:szCs w:val="32"/>
          <w:lang w:eastAsia="zh-CN"/>
        </w:rPr>
        <w:t>100.0%</w:t>
      </w:r>
      <w:r>
        <w:rPr>
          <w:rFonts w:hint="eastAsia" w:ascii="仿宋_GB2312" w:eastAsia="仿宋_GB2312"/>
          <w:color w:val="auto"/>
          <w:sz w:val="32"/>
          <w:szCs w:val="32"/>
        </w:rPr>
        <w:t>，达到预期完成质量要求；</w:t>
      </w:r>
    </w:p>
    <w:p>
      <w:pPr>
        <w:ind w:firstLine="640"/>
        <w:rPr>
          <w:rFonts w:hint="eastAsia" w:ascii="仿宋_GB2312" w:eastAsia="仿宋_GB2312"/>
          <w:color w:val="auto"/>
          <w:sz w:val="32"/>
          <w:szCs w:val="32"/>
        </w:rPr>
      </w:pPr>
      <w:r>
        <w:rPr>
          <w:rFonts w:hint="eastAsia" w:ascii="仿宋_GB2312" w:eastAsia="仿宋_GB2312"/>
          <w:color w:val="auto"/>
          <w:sz w:val="32"/>
          <w:szCs w:val="32"/>
          <w:lang w:val="en-US" w:eastAsia="zh-CN"/>
        </w:rPr>
        <w:t>2022年自治区“访惠聚”驻村工作专项经费</w:t>
      </w:r>
      <w:r>
        <w:rPr>
          <w:rFonts w:hint="eastAsia" w:ascii="仿宋_GB2312" w:eastAsia="仿宋_GB2312"/>
          <w:color w:val="auto"/>
          <w:sz w:val="32"/>
          <w:szCs w:val="32"/>
        </w:rPr>
        <w:t>已完成，实施进度为</w:t>
      </w:r>
      <w:r>
        <w:rPr>
          <w:rFonts w:hint="eastAsia" w:ascii="仿宋_GB2312" w:eastAsia="仿宋_GB2312"/>
          <w:color w:val="auto"/>
          <w:sz w:val="32"/>
          <w:szCs w:val="32"/>
          <w:lang w:eastAsia="zh-CN"/>
        </w:rPr>
        <w:t>100.0%</w:t>
      </w:r>
      <w:r>
        <w:rPr>
          <w:rFonts w:hint="eastAsia" w:ascii="仿宋_GB2312" w:eastAsia="仿宋_GB2312"/>
          <w:color w:val="auto"/>
          <w:sz w:val="32"/>
          <w:szCs w:val="32"/>
        </w:rPr>
        <w:t>，达到预期完成质量要求；</w:t>
      </w:r>
    </w:p>
    <w:p>
      <w:pPr>
        <w:ind w:firstLine="640"/>
        <w:rPr>
          <w:rFonts w:hint="eastAsia" w:ascii="仿宋_GB2312" w:eastAsia="仿宋_GB2312"/>
          <w:color w:val="auto"/>
          <w:sz w:val="32"/>
          <w:szCs w:val="32"/>
          <w:lang w:val="en-US" w:eastAsia="zh-CN"/>
        </w:rPr>
      </w:pPr>
    </w:p>
    <w:p>
      <w:pPr>
        <w:ind w:firstLine="640"/>
        <w:rPr>
          <w:rFonts w:hint="eastAsia" w:ascii="仿宋_GB2312" w:eastAsia="仿宋_GB2312"/>
          <w:color w:val="auto"/>
          <w:sz w:val="32"/>
          <w:szCs w:val="32"/>
        </w:rPr>
      </w:pPr>
      <w:r>
        <w:rPr>
          <w:rFonts w:hint="eastAsia" w:ascii="仿宋_GB2312" w:eastAsia="仿宋_GB2312"/>
          <w:color w:val="auto"/>
          <w:sz w:val="32"/>
          <w:szCs w:val="32"/>
          <w:lang w:val="en-US" w:eastAsia="zh-CN"/>
        </w:rPr>
        <w:t>2020年销售平价羊肉补贴款专项经费</w:t>
      </w:r>
      <w:r>
        <w:rPr>
          <w:rFonts w:hint="eastAsia" w:ascii="仿宋_GB2312" w:eastAsia="仿宋_GB2312"/>
          <w:color w:val="auto"/>
          <w:sz w:val="32"/>
          <w:szCs w:val="32"/>
        </w:rPr>
        <w:t>已完成，实施进度为</w:t>
      </w:r>
      <w:r>
        <w:rPr>
          <w:rFonts w:hint="eastAsia" w:ascii="仿宋_GB2312" w:eastAsia="仿宋_GB2312"/>
          <w:color w:val="auto"/>
          <w:sz w:val="32"/>
          <w:szCs w:val="32"/>
          <w:lang w:eastAsia="zh-CN"/>
        </w:rPr>
        <w:t>100.0%</w:t>
      </w:r>
      <w:r>
        <w:rPr>
          <w:rFonts w:hint="eastAsia" w:ascii="仿宋_GB2312" w:eastAsia="仿宋_GB2312"/>
          <w:color w:val="auto"/>
          <w:sz w:val="32"/>
          <w:szCs w:val="32"/>
        </w:rPr>
        <w:t>，达到预期完成质量要求；</w:t>
      </w:r>
    </w:p>
    <w:p>
      <w:pPr>
        <w:ind w:firstLine="64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馕产业园开业运营资金和为检查站滞留旅客购馕费专项资金</w:t>
      </w:r>
      <w:r>
        <w:rPr>
          <w:rFonts w:hint="eastAsia" w:ascii="仿宋_GB2312" w:eastAsia="仿宋_GB2312"/>
          <w:color w:val="auto"/>
          <w:sz w:val="32"/>
          <w:szCs w:val="32"/>
        </w:rPr>
        <w:t>已完成，实施进度为</w:t>
      </w:r>
      <w:r>
        <w:rPr>
          <w:rFonts w:hint="eastAsia" w:ascii="仿宋_GB2312" w:eastAsia="仿宋_GB2312"/>
          <w:color w:val="auto"/>
          <w:sz w:val="32"/>
          <w:szCs w:val="32"/>
          <w:lang w:eastAsia="zh-CN"/>
        </w:rPr>
        <w:t>100.0%</w:t>
      </w:r>
      <w:r>
        <w:rPr>
          <w:rFonts w:hint="eastAsia" w:ascii="仿宋_GB2312" w:eastAsia="仿宋_GB2312"/>
          <w:color w:val="auto"/>
          <w:sz w:val="32"/>
          <w:szCs w:val="32"/>
        </w:rPr>
        <w:t>，达到预期完成质量要求；</w:t>
      </w:r>
    </w:p>
    <w:p>
      <w:pPr>
        <w:ind w:firstLine="64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馕产业发展专项资金</w:t>
      </w:r>
      <w:r>
        <w:rPr>
          <w:rFonts w:hint="eastAsia" w:ascii="仿宋_GB2312" w:eastAsia="仿宋_GB2312"/>
          <w:color w:val="auto"/>
          <w:sz w:val="32"/>
          <w:szCs w:val="32"/>
        </w:rPr>
        <w:t>已完成，实施进度为</w:t>
      </w:r>
      <w:r>
        <w:rPr>
          <w:rFonts w:hint="eastAsia" w:ascii="仿宋_GB2312" w:eastAsia="仿宋_GB2312"/>
          <w:color w:val="auto"/>
          <w:sz w:val="32"/>
          <w:szCs w:val="32"/>
          <w:lang w:eastAsia="zh-CN"/>
        </w:rPr>
        <w:t>100.0%</w:t>
      </w:r>
      <w:r>
        <w:rPr>
          <w:rFonts w:hint="eastAsia" w:ascii="仿宋_GB2312" w:eastAsia="仿宋_GB2312"/>
          <w:color w:val="auto"/>
          <w:sz w:val="32"/>
          <w:szCs w:val="32"/>
        </w:rPr>
        <w:t>，达到预期完成质量要求；</w:t>
      </w:r>
    </w:p>
    <w:p>
      <w:pPr>
        <w:ind w:firstLine="640"/>
        <w:rPr>
          <w:rFonts w:hint="eastAsia" w:ascii="仿宋_GB2312" w:eastAsia="仿宋_GB2312"/>
          <w:color w:val="auto"/>
          <w:sz w:val="32"/>
          <w:szCs w:val="32"/>
        </w:rPr>
      </w:pPr>
      <w:r>
        <w:rPr>
          <w:rFonts w:hint="eastAsia" w:ascii="仿宋_GB2312" w:eastAsia="仿宋_GB2312"/>
          <w:color w:val="auto"/>
          <w:sz w:val="32"/>
          <w:szCs w:val="32"/>
          <w:lang w:val="en-US" w:eastAsia="zh-CN"/>
        </w:rPr>
        <w:t>2022年4-8月引进1名研究生试岗六个月生活补贴（谭舒月）专项资金</w:t>
      </w:r>
      <w:r>
        <w:rPr>
          <w:rFonts w:hint="eastAsia" w:ascii="仿宋_GB2312" w:eastAsia="仿宋_GB2312"/>
          <w:color w:val="auto"/>
          <w:sz w:val="32"/>
          <w:szCs w:val="32"/>
        </w:rPr>
        <w:t>已完成，实施进度为</w:t>
      </w:r>
      <w:r>
        <w:rPr>
          <w:rFonts w:hint="eastAsia" w:ascii="仿宋_GB2312" w:eastAsia="仿宋_GB2312"/>
          <w:color w:val="auto"/>
          <w:sz w:val="32"/>
          <w:szCs w:val="32"/>
          <w:lang w:eastAsia="zh-CN"/>
        </w:rPr>
        <w:t>100.0%</w:t>
      </w:r>
      <w:r>
        <w:rPr>
          <w:rFonts w:hint="eastAsia" w:ascii="仿宋_GB2312" w:eastAsia="仿宋_GB2312"/>
          <w:color w:val="auto"/>
          <w:sz w:val="32"/>
          <w:szCs w:val="32"/>
        </w:rPr>
        <w:t>，达到预期完成质量要求；</w:t>
      </w:r>
    </w:p>
    <w:p>
      <w:pPr>
        <w:ind w:firstLine="640"/>
        <w:rPr>
          <w:rFonts w:ascii="仿宋_GB2312" w:eastAsia="仿宋_GB2312"/>
          <w:b/>
          <w:bCs/>
          <w:color w:val="auto"/>
          <w:sz w:val="32"/>
          <w:szCs w:val="32"/>
        </w:rPr>
      </w:pPr>
      <w:r>
        <w:rPr>
          <w:rFonts w:hint="eastAsia" w:ascii="仿宋_GB2312" w:eastAsia="仿宋_GB2312"/>
          <w:b/>
          <w:bCs/>
          <w:color w:val="auto"/>
          <w:sz w:val="32"/>
          <w:szCs w:val="32"/>
        </w:rPr>
        <w:t>5.项目效益性分析（预期目标完成程度、实施对经济和社会的影响）</w:t>
      </w:r>
    </w:p>
    <w:p>
      <w:pPr>
        <w:ind w:firstLine="640"/>
        <w:rPr>
          <w:rFonts w:ascii="仿宋_GB2312" w:eastAsia="仿宋_GB2312" w:cs="仿宋"/>
          <w:b/>
          <w:bCs/>
          <w:color w:val="auto"/>
          <w:sz w:val="32"/>
          <w:szCs w:val="32"/>
        </w:rPr>
      </w:pPr>
      <w:r>
        <w:rPr>
          <w:rFonts w:hint="eastAsia" w:ascii="仿宋_GB2312" w:eastAsia="仿宋_GB2312" w:cs="仿宋"/>
          <w:color w:val="auto"/>
          <w:sz w:val="32"/>
          <w:szCs w:val="32"/>
        </w:rPr>
        <w:t>202</w:t>
      </w:r>
      <w:r>
        <w:rPr>
          <w:rFonts w:hint="eastAsia" w:ascii="仿宋_GB2312" w:eastAsia="仿宋_GB2312" w:cs="仿宋"/>
          <w:color w:val="auto"/>
          <w:sz w:val="32"/>
          <w:szCs w:val="32"/>
          <w:lang w:val="en-US" w:eastAsia="zh-CN"/>
        </w:rPr>
        <w:t>2</w:t>
      </w:r>
      <w:r>
        <w:rPr>
          <w:rFonts w:hint="eastAsia" w:ascii="仿宋_GB2312" w:eastAsia="仿宋_GB2312" w:cs="仿宋"/>
          <w:color w:val="auto"/>
          <w:sz w:val="32"/>
          <w:szCs w:val="32"/>
        </w:rPr>
        <w:t>年我单位完成为民办实事好事</w:t>
      </w:r>
      <w:r>
        <w:rPr>
          <w:rFonts w:hint="eastAsia" w:ascii="仿宋_GB2312" w:eastAsia="仿宋_GB2312" w:cs="仿宋"/>
          <w:color w:val="auto"/>
          <w:sz w:val="32"/>
          <w:szCs w:val="32"/>
          <w:lang w:val="en-US" w:eastAsia="zh-CN"/>
        </w:rPr>
        <w:t>10</w:t>
      </w:r>
      <w:r>
        <w:rPr>
          <w:rFonts w:hint="eastAsia" w:ascii="仿宋_GB2312" w:eastAsia="仿宋_GB2312" w:cs="仿宋"/>
          <w:color w:val="auto"/>
          <w:sz w:val="32"/>
          <w:szCs w:val="32"/>
        </w:rPr>
        <w:t>次，覆盖村民数</w:t>
      </w:r>
      <w:r>
        <w:rPr>
          <w:rFonts w:hint="eastAsia" w:ascii="仿宋_GB2312" w:eastAsia="仿宋_GB2312" w:cs="仿宋"/>
          <w:color w:val="auto"/>
          <w:sz w:val="32"/>
          <w:szCs w:val="32"/>
          <w:lang w:val="en-US" w:eastAsia="zh-CN"/>
        </w:rPr>
        <w:t>约2000</w:t>
      </w:r>
      <w:r>
        <w:rPr>
          <w:rFonts w:hint="eastAsia" w:ascii="仿宋_GB2312" w:eastAsia="仿宋_GB2312" w:cs="仿宋"/>
          <w:color w:val="auto"/>
          <w:sz w:val="32"/>
          <w:szCs w:val="32"/>
        </w:rPr>
        <w:t>人，上级安排的工作时效性有效提高，访惠聚工作队为民办实事经费</w:t>
      </w:r>
      <w:r>
        <w:rPr>
          <w:rFonts w:hint="eastAsia" w:ascii="仿宋_GB2312" w:eastAsia="仿宋_GB2312" w:cs="仿宋"/>
          <w:color w:val="auto"/>
          <w:sz w:val="32"/>
          <w:szCs w:val="32"/>
          <w:lang w:val="en-US" w:eastAsia="zh-CN"/>
        </w:rPr>
        <w:t>15</w:t>
      </w:r>
      <w:r>
        <w:rPr>
          <w:rFonts w:hint="eastAsia" w:ascii="仿宋_GB2312" w:eastAsia="仿宋_GB2312" w:cs="仿宋"/>
          <w:color w:val="auto"/>
          <w:sz w:val="32"/>
          <w:szCs w:val="32"/>
        </w:rPr>
        <w:t>万元，第一书记工作经费</w:t>
      </w:r>
      <w:r>
        <w:rPr>
          <w:rFonts w:hint="eastAsia" w:ascii="仿宋_GB2312" w:eastAsia="仿宋_GB2312" w:cs="仿宋"/>
          <w:color w:val="auto"/>
          <w:sz w:val="32"/>
          <w:szCs w:val="32"/>
          <w:lang w:val="en-US" w:eastAsia="zh-CN"/>
        </w:rPr>
        <w:t>2</w:t>
      </w:r>
      <w:r>
        <w:rPr>
          <w:rFonts w:hint="eastAsia" w:ascii="仿宋_GB2312" w:eastAsia="仿宋_GB2312" w:cs="仿宋"/>
          <w:color w:val="auto"/>
          <w:sz w:val="32"/>
          <w:szCs w:val="32"/>
        </w:rPr>
        <w:t>万元，访惠聚驻村工作队员补助</w:t>
      </w:r>
      <w:r>
        <w:rPr>
          <w:rFonts w:hint="eastAsia" w:ascii="仿宋_GB2312" w:eastAsia="仿宋_GB2312" w:cs="仿宋"/>
          <w:color w:val="auto"/>
          <w:sz w:val="32"/>
          <w:szCs w:val="32"/>
          <w:lang w:val="en-US" w:eastAsia="zh-CN"/>
        </w:rPr>
        <w:t>1</w:t>
      </w:r>
      <w:r>
        <w:rPr>
          <w:rFonts w:hint="eastAsia" w:ascii="仿宋_GB2312" w:eastAsia="仿宋_GB2312" w:cs="仿宋"/>
          <w:color w:val="auto"/>
          <w:sz w:val="32"/>
          <w:szCs w:val="32"/>
        </w:rPr>
        <w:t>万元，驻村点村民生活水平得到提高，村民对国家惠民政策了解程度进一步提高，基层群众满意度达到</w:t>
      </w:r>
      <w:r>
        <w:rPr>
          <w:rFonts w:hint="eastAsia" w:ascii="仿宋_GB2312" w:eastAsia="仿宋_GB2312" w:cs="仿宋"/>
          <w:color w:val="auto"/>
          <w:sz w:val="32"/>
          <w:szCs w:val="32"/>
          <w:lang w:val="en-US" w:eastAsia="zh-CN"/>
        </w:rPr>
        <w:t>92</w:t>
      </w:r>
      <w:r>
        <w:rPr>
          <w:rFonts w:hint="eastAsia" w:ascii="仿宋_GB2312" w:eastAsia="仿宋_GB2312" w:cs="仿宋"/>
          <w:color w:val="auto"/>
          <w:sz w:val="32"/>
          <w:szCs w:val="32"/>
        </w:rPr>
        <w:t>%。</w:t>
      </w:r>
    </w:p>
    <w:p>
      <w:pPr>
        <w:pStyle w:val="3"/>
        <w:ind w:firstLine="640"/>
        <w:rPr>
          <w:rFonts w:ascii="黑体" w:hAnsi="黑体"/>
          <w:b w:val="0"/>
          <w:color w:val="auto"/>
          <w:sz w:val="32"/>
          <w:szCs w:val="32"/>
        </w:rPr>
      </w:pPr>
      <w:r>
        <w:rPr>
          <w:rFonts w:hint="eastAsia" w:ascii="黑体" w:hAnsi="黑体"/>
          <w:b w:val="0"/>
          <w:color w:val="auto"/>
          <w:sz w:val="32"/>
          <w:szCs w:val="32"/>
        </w:rPr>
        <w:t>四、资产管理情况</w:t>
      </w:r>
    </w:p>
    <w:p>
      <w:pPr>
        <w:pStyle w:val="4"/>
        <w:numPr>
          <w:ilvl w:val="0"/>
          <w:numId w:val="6"/>
        </w:numPr>
        <w:ind w:firstLine="640"/>
        <w:rPr>
          <w:rFonts w:ascii="楷体_GB2312" w:eastAsia="楷体_GB2312"/>
          <w:color w:val="auto"/>
          <w:szCs w:val="32"/>
        </w:rPr>
      </w:pPr>
      <w:r>
        <w:rPr>
          <w:rFonts w:hint="eastAsia" w:ascii="楷体_GB2312" w:eastAsia="楷体_GB2312"/>
          <w:color w:val="auto"/>
          <w:szCs w:val="32"/>
        </w:rPr>
        <w:t>资产情况及固定资产利用情况</w:t>
      </w:r>
    </w:p>
    <w:p>
      <w:pPr>
        <w:ind w:firstLine="640"/>
        <w:rPr>
          <w:rFonts w:ascii="仿宋_GB2312" w:eastAsia="仿宋_GB2312"/>
          <w:color w:val="auto"/>
          <w:sz w:val="32"/>
          <w:szCs w:val="32"/>
        </w:rPr>
      </w:pPr>
      <w:r>
        <w:rPr>
          <w:rFonts w:hint="eastAsia" w:ascii="仿宋_GB2312" w:eastAsia="仿宋_GB2312"/>
          <w:color w:val="auto"/>
          <w:sz w:val="32"/>
          <w:szCs w:val="32"/>
        </w:rPr>
        <w:t>截止202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年12月31日，我单位资产账面总额为</w:t>
      </w:r>
      <w:r>
        <w:rPr>
          <w:rFonts w:hint="eastAsia" w:ascii="仿宋_GB2312" w:eastAsia="仿宋_GB2312"/>
          <w:color w:val="auto"/>
          <w:sz w:val="32"/>
          <w:szCs w:val="32"/>
          <w:lang w:val="en-US" w:eastAsia="zh-CN"/>
        </w:rPr>
        <w:t>123.62</w:t>
      </w:r>
      <w:r>
        <w:rPr>
          <w:rFonts w:hint="eastAsia" w:ascii="仿宋_GB2312" w:eastAsia="仿宋_GB2312"/>
          <w:color w:val="auto"/>
          <w:sz w:val="32"/>
          <w:szCs w:val="32"/>
        </w:rPr>
        <w:t>万元，较年初资产总额</w:t>
      </w:r>
      <w:r>
        <w:rPr>
          <w:rFonts w:hint="eastAsia" w:ascii="仿宋_GB2312" w:eastAsia="仿宋_GB2312"/>
          <w:color w:val="auto"/>
          <w:sz w:val="32"/>
          <w:szCs w:val="32"/>
          <w:lang w:val="en-US" w:eastAsia="zh-CN"/>
        </w:rPr>
        <w:t>增加27.26</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提高22.05</w:t>
      </w:r>
      <w:r>
        <w:rPr>
          <w:rFonts w:hint="eastAsia" w:ascii="仿宋_GB2312" w:eastAsia="仿宋_GB2312"/>
          <w:color w:val="auto"/>
          <w:sz w:val="32"/>
          <w:szCs w:val="32"/>
        </w:rPr>
        <w:t>%，其中：</w:t>
      </w:r>
    </w:p>
    <w:p>
      <w:pPr>
        <w:ind w:firstLine="640"/>
        <w:rPr>
          <w:rFonts w:hint="default" w:ascii="仿宋_GB2312" w:eastAsia="仿宋_GB2312"/>
          <w:color w:val="auto"/>
          <w:sz w:val="32"/>
          <w:szCs w:val="32"/>
          <w:lang w:val="en-US" w:eastAsia="zh-CN"/>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年初，流动资产总</w:t>
      </w:r>
      <w:r>
        <w:rPr>
          <w:rFonts w:hint="eastAsia" w:ascii="仿宋_GB2312" w:eastAsia="仿宋_GB2312"/>
          <w:color w:val="000000" w:themeColor="text1"/>
          <w:sz w:val="32"/>
          <w:szCs w:val="32"/>
        </w:rPr>
        <w:t>额为</w:t>
      </w:r>
      <w:r>
        <w:rPr>
          <w:rFonts w:hint="eastAsia" w:ascii="仿宋_GB2312" w:eastAsia="仿宋_GB2312"/>
          <w:color w:val="000000" w:themeColor="text1"/>
          <w:sz w:val="32"/>
          <w:szCs w:val="32"/>
          <w:lang w:val="en-US" w:eastAsia="zh-CN"/>
        </w:rPr>
        <w:t>80.68</w:t>
      </w:r>
      <w:r>
        <w:rPr>
          <w:rFonts w:hint="eastAsia" w:ascii="仿宋_GB2312" w:eastAsia="仿宋_GB2312"/>
          <w:color w:val="000000" w:themeColor="text1"/>
          <w:sz w:val="32"/>
          <w:szCs w:val="32"/>
        </w:rPr>
        <w:t>万元，年末总额为</w:t>
      </w:r>
      <w:r>
        <w:rPr>
          <w:rFonts w:hint="eastAsia" w:ascii="仿宋_GB2312" w:eastAsia="仿宋_GB2312"/>
          <w:color w:val="000000" w:themeColor="text1"/>
          <w:sz w:val="32"/>
          <w:szCs w:val="32"/>
          <w:lang w:val="en-US" w:eastAsia="zh-CN"/>
        </w:rPr>
        <w:t>113.45</w:t>
      </w:r>
      <w:r>
        <w:rPr>
          <w:rFonts w:hint="eastAsia" w:ascii="仿宋_GB2312" w:eastAsia="仿宋_GB2312"/>
          <w:color w:val="000000" w:themeColor="text1"/>
          <w:sz w:val="32"/>
          <w:szCs w:val="32"/>
        </w:rPr>
        <w:t>万元，较年初流动资产</w:t>
      </w:r>
      <w:r>
        <w:rPr>
          <w:rFonts w:hint="eastAsia" w:ascii="仿宋_GB2312" w:eastAsia="仿宋_GB2312"/>
          <w:color w:val="000000" w:themeColor="text1"/>
          <w:sz w:val="32"/>
          <w:szCs w:val="32"/>
          <w:lang w:val="en-US" w:eastAsia="zh-CN"/>
        </w:rPr>
        <w:t>增加32.77</w:t>
      </w:r>
      <w:r>
        <w:rPr>
          <w:rFonts w:hint="eastAsia" w:ascii="仿宋_GB2312" w:eastAsia="仿宋_GB2312"/>
          <w:color w:val="000000" w:themeColor="text1"/>
          <w:sz w:val="32"/>
          <w:szCs w:val="32"/>
        </w:rPr>
        <w:t>万元，</w:t>
      </w:r>
      <w:r>
        <w:rPr>
          <w:rFonts w:hint="eastAsia" w:ascii="仿宋_GB2312" w:eastAsia="仿宋_GB2312"/>
          <w:color w:val="000000" w:themeColor="text1"/>
          <w:sz w:val="32"/>
          <w:szCs w:val="32"/>
          <w:lang w:val="en-US" w:eastAsia="zh-CN"/>
        </w:rPr>
        <w:t>提高40.62</w:t>
      </w:r>
      <w:r>
        <w:rPr>
          <w:rFonts w:hint="eastAsia" w:ascii="仿宋_GB2312" w:eastAsia="仿宋_GB2312"/>
          <w:color w:val="000000" w:themeColor="text1"/>
          <w:sz w:val="32"/>
          <w:szCs w:val="32"/>
        </w:rPr>
        <w:t>%</w:t>
      </w:r>
      <w:r>
        <w:rPr>
          <w:rFonts w:hint="eastAsia" w:ascii="仿宋_GB2312" w:eastAsia="仿宋_GB2312"/>
          <w:color w:val="auto"/>
          <w:sz w:val="32"/>
          <w:szCs w:val="32"/>
          <w:lang w:val="en-US" w:eastAsia="zh-CN"/>
        </w:rPr>
        <w:t>。</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年初，固定资产总额为</w:t>
      </w:r>
      <w:r>
        <w:rPr>
          <w:rFonts w:hint="eastAsia" w:ascii="仿宋_GB2312" w:eastAsia="仿宋_GB2312"/>
          <w:color w:val="auto"/>
          <w:sz w:val="32"/>
          <w:szCs w:val="32"/>
          <w:lang w:val="en-US" w:eastAsia="zh-CN"/>
        </w:rPr>
        <w:t>15.68</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12.75</w:t>
      </w:r>
      <w:r>
        <w:rPr>
          <w:rFonts w:hint="eastAsia" w:ascii="仿宋_GB2312" w:eastAsia="仿宋_GB2312"/>
          <w:color w:val="auto"/>
          <w:sz w:val="32"/>
          <w:szCs w:val="32"/>
        </w:rPr>
        <w:t>万元，较年初固定资产减少</w:t>
      </w:r>
      <w:r>
        <w:rPr>
          <w:rFonts w:hint="eastAsia" w:ascii="仿宋_GB2312" w:eastAsia="仿宋_GB2312"/>
          <w:color w:val="auto"/>
          <w:sz w:val="32"/>
          <w:szCs w:val="32"/>
          <w:lang w:val="en-US" w:eastAsia="zh-CN"/>
        </w:rPr>
        <w:t>2.93</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下降18.68</w:t>
      </w:r>
      <w:r>
        <w:rPr>
          <w:rFonts w:hint="eastAsia" w:ascii="仿宋_GB2312" w:eastAsia="仿宋_GB2312"/>
          <w:color w:val="auto"/>
          <w:sz w:val="32"/>
          <w:szCs w:val="32"/>
        </w:rPr>
        <w:t>%，主要变动原因是：</w:t>
      </w:r>
      <w:r>
        <w:rPr>
          <w:rFonts w:hint="eastAsia" w:ascii="仿宋_GB2312" w:eastAsia="仿宋_GB2312"/>
          <w:color w:val="auto"/>
          <w:sz w:val="32"/>
          <w:szCs w:val="32"/>
          <w:lang w:val="en-US" w:eastAsia="zh-CN"/>
        </w:rPr>
        <w:t>固定资产减少</w:t>
      </w:r>
      <w:r>
        <w:rPr>
          <w:rFonts w:hint="eastAsia" w:ascii="仿宋_GB2312" w:eastAsia="仿宋_GB2312"/>
          <w:color w:val="auto"/>
          <w:sz w:val="32"/>
          <w:szCs w:val="32"/>
        </w:rPr>
        <w:t>。</w:t>
      </w:r>
    </w:p>
    <w:p>
      <w:pPr>
        <w:pStyle w:val="4"/>
        <w:numPr>
          <w:ilvl w:val="0"/>
          <w:numId w:val="6"/>
        </w:numPr>
        <w:ind w:firstLine="640"/>
        <w:rPr>
          <w:rFonts w:ascii="楷体_GB2312" w:eastAsia="楷体_GB2312"/>
          <w:color w:val="auto"/>
          <w:szCs w:val="32"/>
        </w:rPr>
      </w:pPr>
      <w:r>
        <w:rPr>
          <w:rFonts w:hint="eastAsia" w:ascii="楷体_GB2312" w:eastAsia="楷体_GB2312"/>
          <w:color w:val="auto"/>
          <w:szCs w:val="32"/>
        </w:rPr>
        <w:t>资产管理规范性分析</w:t>
      </w:r>
    </w:p>
    <w:p>
      <w:pPr>
        <w:ind w:firstLine="640"/>
        <w:jc w:val="left"/>
        <w:rPr>
          <w:rFonts w:ascii="仿宋_GB2312" w:eastAsia="仿宋_GB2312" w:cs="仿宋_GB2312"/>
          <w:color w:val="auto"/>
          <w:kern w:val="1"/>
          <w:sz w:val="32"/>
          <w:szCs w:val="32"/>
        </w:rPr>
      </w:pPr>
      <w:r>
        <w:rPr>
          <w:rFonts w:hint="eastAsia" w:ascii="仿宋_GB2312" w:eastAsia="仿宋_GB2312" w:cs="仿宋_GB2312"/>
          <w:b/>
          <w:color w:val="auto"/>
          <w:kern w:val="1"/>
          <w:sz w:val="32"/>
          <w:szCs w:val="32"/>
        </w:rPr>
        <w:t>1.资产管理体制和制度建设方面</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2.运行机制和管理方式</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3.信息化建设方面</w:t>
      </w:r>
    </w:p>
    <w:p>
      <w:pPr>
        <w:ind w:firstLine="640"/>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 xml:space="preserve"> 4.流动资产的管理</w:t>
      </w:r>
    </w:p>
    <w:p>
      <w:pPr>
        <w:pStyle w:val="9"/>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5.固定资产的管理</w:t>
      </w:r>
    </w:p>
    <w:p>
      <w:pPr>
        <w:pStyle w:val="9"/>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color w:val="auto"/>
          <w:sz w:val="32"/>
          <w:szCs w:val="32"/>
        </w:rPr>
      </w:pPr>
      <w:r>
        <w:rPr>
          <w:rFonts w:hint="eastAsia" w:ascii="黑体" w:hAnsi="黑体"/>
          <w:b w:val="0"/>
          <w:color w:val="auto"/>
          <w:sz w:val="32"/>
          <w:szCs w:val="32"/>
        </w:rPr>
        <w:t>部门单位整体支出绩效情况</w:t>
      </w:r>
    </w:p>
    <w:p>
      <w:pPr>
        <w:adjustRightInd w:val="0"/>
        <w:snapToGrid w:val="0"/>
        <w:ind w:firstLine="624"/>
        <w:rPr>
          <w:rFonts w:ascii="仿宋_GB2312" w:eastAsia="仿宋_GB2312"/>
          <w:bCs/>
          <w:color w:val="auto"/>
          <w:spacing w:val="-4"/>
          <w:sz w:val="32"/>
          <w:szCs w:val="32"/>
        </w:rPr>
      </w:pPr>
      <w:r>
        <w:rPr>
          <w:rFonts w:hint="eastAsia" w:ascii="仿宋_GB2312" w:eastAsia="仿宋_GB2312"/>
          <w:bCs/>
          <w:color w:val="auto"/>
          <w:spacing w:val="-4"/>
          <w:sz w:val="32"/>
          <w:szCs w:val="32"/>
        </w:rPr>
        <w:t>202</w:t>
      </w:r>
      <w:r>
        <w:rPr>
          <w:rFonts w:hint="eastAsia" w:ascii="仿宋_GB2312" w:eastAsia="仿宋_GB2312"/>
          <w:bCs/>
          <w:color w:val="auto"/>
          <w:spacing w:val="-4"/>
          <w:sz w:val="32"/>
          <w:szCs w:val="32"/>
          <w:lang w:val="en-US" w:eastAsia="zh-CN"/>
        </w:rPr>
        <w:t>2</w:t>
      </w:r>
      <w:r>
        <w:rPr>
          <w:rFonts w:hint="eastAsia" w:ascii="仿宋_GB2312" w:eastAsia="仿宋_GB2312"/>
          <w:bCs/>
          <w:color w:val="auto"/>
          <w:spacing w:val="-4"/>
          <w:sz w:val="32"/>
          <w:szCs w:val="32"/>
        </w:rPr>
        <w:t>年度，</w:t>
      </w:r>
      <w:r>
        <w:rPr>
          <w:rFonts w:hint="eastAsia" w:ascii="仿宋_GB2312" w:eastAsia="仿宋_GB2312"/>
          <w:bCs/>
          <w:color w:val="auto"/>
          <w:spacing w:val="-4"/>
          <w:sz w:val="32"/>
          <w:szCs w:val="32"/>
          <w:lang w:val="en-US" w:eastAsia="zh-CN"/>
        </w:rPr>
        <w:t>昌吉市商务和工业信息化局</w:t>
      </w:r>
      <w:r>
        <w:rPr>
          <w:rFonts w:hint="eastAsia" w:ascii="仿宋_GB2312" w:eastAsia="仿宋_GB2312"/>
          <w:bCs/>
          <w:color w:val="auto"/>
          <w:spacing w:val="-4"/>
          <w:sz w:val="32"/>
          <w:szCs w:val="32"/>
        </w:rPr>
        <w:t>整体支出绩效目标共设置一级指标3个，二级指标</w:t>
      </w:r>
      <w:r>
        <w:rPr>
          <w:rFonts w:hint="eastAsia" w:ascii="仿宋_GB2312" w:eastAsia="仿宋_GB2312"/>
          <w:bCs/>
          <w:color w:val="auto"/>
          <w:spacing w:val="-4"/>
          <w:sz w:val="32"/>
          <w:szCs w:val="32"/>
          <w:lang w:val="en-US" w:eastAsia="zh-CN"/>
        </w:rPr>
        <w:t>8</w:t>
      </w:r>
      <w:r>
        <w:rPr>
          <w:rFonts w:hint="eastAsia" w:ascii="仿宋_GB2312" w:eastAsia="仿宋_GB2312"/>
          <w:bCs/>
          <w:color w:val="auto"/>
          <w:spacing w:val="-4"/>
          <w:sz w:val="32"/>
          <w:szCs w:val="32"/>
        </w:rPr>
        <w:t>个，三级指标</w:t>
      </w:r>
      <w:r>
        <w:rPr>
          <w:rFonts w:hint="eastAsia" w:ascii="仿宋_GB2312" w:eastAsia="仿宋_GB2312"/>
          <w:bCs/>
          <w:color w:val="auto"/>
          <w:spacing w:val="-4"/>
          <w:sz w:val="32"/>
          <w:szCs w:val="32"/>
          <w:lang w:val="en-US" w:eastAsia="zh-CN"/>
        </w:rPr>
        <w:t>13</w:t>
      </w:r>
      <w:r>
        <w:rPr>
          <w:rFonts w:hint="eastAsia" w:ascii="仿宋_GB2312" w:eastAsia="仿宋_GB2312"/>
          <w:bCs/>
          <w:color w:val="auto"/>
          <w:spacing w:val="-4"/>
          <w:sz w:val="32"/>
          <w:szCs w:val="32"/>
        </w:rPr>
        <w:t>个，其中：已完成三级指标</w:t>
      </w:r>
      <w:r>
        <w:rPr>
          <w:rFonts w:hint="eastAsia" w:ascii="仿宋_GB2312" w:eastAsia="仿宋_GB2312"/>
          <w:bCs/>
          <w:color w:val="auto"/>
          <w:spacing w:val="-4"/>
          <w:sz w:val="32"/>
          <w:szCs w:val="32"/>
          <w:lang w:val="en-US" w:eastAsia="zh-CN"/>
        </w:rPr>
        <w:t>13</w:t>
      </w:r>
      <w:r>
        <w:rPr>
          <w:rFonts w:hint="eastAsia" w:ascii="仿宋_GB2312" w:eastAsia="仿宋_GB2312"/>
          <w:bCs/>
          <w:color w:val="auto"/>
          <w:spacing w:val="-4"/>
          <w:sz w:val="32"/>
          <w:szCs w:val="32"/>
        </w:rPr>
        <w:t>个，指标完成率为</w:t>
      </w:r>
      <w:r>
        <w:rPr>
          <w:rFonts w:hint="eastAsia" w:ascii="仿宋_GB2312" w:eastAsia="仿宋_GB2312"/>
          <w:bCs/>
          <w:color w:val="auto"/>
          <w:spacing w:val="-4"/>
          <w:sz w:val="32"/>
          <w:szCs w:val="32"/>
          <w:lang w:val="en-US" w:eastAsia="zh-CN"/>
        </w:rPr>
        <w:t>100.0%</w:t>
      </w:r>
      <w:r>
        <w:rPr>
          <w:rFonts w:hint="eastAsia" w:ascii="仿宋_GB2312" w:eastAsia="仿宋_GB2312"/>
          <w:bCs/>
          <w:color w:val="auto"/>
          <w:spacing w:val="-4"/>
          <w:sz w:val="32"/>
          <w:szCs w:val="32"/>
        </w:rPr>
        <w:t>。</w:t>
      </w:r>
    </w:p>
    <w:p>
      <w:pPr>
        <w:pStyle w:val="5"/>
        <w:ind w:firstLine="640"/>
        <w:rPr>
          <w:color w:val="auto"/>
          <w:sz w:val="32"/>
        </w:rPr>
      </w:pPr>
      <w:r>
        <w:rPr>
          <w:rFonts w:hint="eastAsia"/>
          <w:color w:val="auto"/>
          <w:sz w:val="32"/>
        </w:rPr>
        <w:t>1.产出指标完成情况分析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（1）数量指标</w:t>
      </w:r>
    </w:p>
    <w:p>
      <w:pPr>
        <w:ind w:firstLine="640"/>
        <w:rPr>
          <w:rFonts w:hint="eastAsia" w:ascii="仿宋_GB2312" w:eastAsia="仿宋_GB2312" w:cs="Times New Roman"/>
          <w:color w:val="auto"/>
          <w:sz w:val="32"/>
          <w:szCs w:val="32"/>
        </w:rPr>
      </w:pPr>
      <w:r>
        <w:rPr>
          <w:rFonts w:hint="eastAsia" w:ascii="仿宋_GB2312" w:eastAsia="仿宋_GB2312" w:cs="Times New Roman"/>
          <w:color w:val="auto"/>
          <w:sz w:val="32"/>
          <w:szCs w:val="32"/>
        </w:rPr>
        <w:t>“</w:t>
      </w:r>
      <w:r>
        <w:rPr>
          <w:rFonts w:hint="eastAsia" w:ascii="仿宋_GB2312" w:eastAsia="仿宋_GB2312" w:cs="Times New Roman"/>
          <w:color w:val="auto"/>
          <w:sz w:val="32"/>
          <w:szCs w:val="32"/>
          <w:lang w:val="en-US" w:eastAsia="zh-CN"/>
        </w:rPr>
        <w:t>发放次数</w:t>
      </w:r>
      <w:r>
        <w:rPr>
          <w:rFonts w:hint="eastAsia" w:ascii="仿宋_GB2312" w:eastAsia="仿宋_GB2312" w:cs="Times New Roman"/>
          <w:color w:val="auto"/>
          <w:sz w:val="32"/>
          <w:szCs w:val="32"/>
        </w:rPr>
        <w:t>”指标：预期指标值为“</w:t>
      </w:r>
      <w:r>
        <w:rPr>
          <w:rFonts w:hint="eastAsia" w:ascii="仿宋_GB2312" w:eastAsia="仿宋_GB2312" w:cs="Times New Roman"/>
          <w:color w:val="auto"/>
          <w:sz w:val="32"/>
          <w:szCs w:val="32"/>
          <w:lang w:val="en-US" w:eastAsia="zh-CN"/>
        </w:rPr>
        <w:t>=12次</w:t>
      </w:r>
      <w:r>
        <w:rPr>
          <w:rFonts w:hint="eastAsia" w:ascii="仿宋_GB2312" w:eastAsia="仿宋_GB2312" w:cs="Times New Roman"/>
          <w:color w:val="auto"/>
          <w:sz w:val="32"/>
          <w:szCs w:val="32"/>
        </w:rPr>
        <w:t>”，实际完成指标值为“</w:t>
      </w:r>
      <w:r>
        <w:rPr>
          <w:rFonts w:hint="eastAsia" w:ascii="仿宋_GB2312" w:eastAsia="仿宋_GB2312" w:cs="Times New Roman"/>
          <w:color w:val="auto"/>
          <w:sz w:val="32"/>
          <w:szCs w:val="32"/>
          <w:lang w:val="en-US" w:eastAsia="zh-CN"/>
        </w:rPr>
        <w:t>12次</w:t>
      </w:r>
      <w:r>
        <w:rPr>
          <w:rFonts w:hint="eastAsia" w:ascii="仿宋_GB2312" w:eastAsia="仿宋_GB2312" w:cs="Times New Roman"/>
          <w:color w:val="auto"/>
          <w:sz w:val="32"/>
          <w:szCs w:val="32"/>
        </w:rPr>
        <w:t>”，指标完成率为</w:t>
      </w:r>
      <w:r>
        <w:rPr>
          <w:rFonts w:hint="eastAsia" w:ascii="仿宋_GB2312" w:eastAsia="仿宋_GB2312" w:cs="Times New Roman"/>
          <w:color w:val="auto"/>
          <w:sz w:val="32"/>
          <w:szCs w:val="32"/>
          <w:lang w:val="en-US" w:eastAsia="zh-CN"/>
        </w:rPr>
        <w:t>100.0%</w:t>
      </w:r>
      <w:r>
        <w:rPr>
          <w:rFonts w:hint="eastAsia" w:ascii="仿宋_GB2312" w:eastAsia="仿宋_GB2312" w:cs="Times New Roman"/>
          <w:color w:val="auto"/>
          <w:sz w:val="32"/>
          <w:szCs w:val="32"/>
        </w:rPr>
        <w:t>;</w:t>
      </w:r>
    </w:p>
    <w:p>
      <w:pPr>
        <w:ind w:firstLine="640"/>
        <w:rPr>
          <w:rFonts w:hint="eastAsia" w:ascii="仿宋_GB2312" w:eastAsia="仿宋_GB2312" w:cs="Times New Roman"/>
          <w:color w:val="auto"/>
          <w:sz w:val="32"/>
          <w:szCs w:val="32"/>
        </w:rPr>
      </w:pPr>
      <w:r>
        <w:rPr>
          <w:rFonts w:hint="eastAsia" w:ascii="仿宋_GB2312" w:eastAsia="仿宋_GB2312" w:cs="Times New Roman"/>
          <w:color w:val="auto"/>
          <w:sz w:val="32"/>
          <w:szCs w:val="32"/>
        </w:rPr>
        <w:t>“</w:t>
      </w:r>
      <w:r>
        <w:rPr>
          <w:rFonts w:hint="eastAsia" w:ascii="仿宋_GB2312" w:eastAsia="仿宋_GB2312" w:cs="Times New Roman"/>
          <w:color w:val="auto"/>
          <w:sz w:val="32"/>
          <w:szCs w:val="32"/>
          <w:lang w:val="en-US" w:eastAsia="zh-CN"/>
        </w:rPr>
        <w:t>公务保障用车数量</w:t>
      </w:r>
      <w:r>
        <w:rPr>
          <w:rFonts w:hint="eastAsia" w:ascii="仿宋_GB2312" w:eastAsia="仿宋_GB2312" w:cs="Times New Roman"/>
          <w:color w:val="auto"/>
          <w:sz w:val="32"/>
          <w:szCs w:val="32"/>
        </w:rPr>
        <w:t>”指标：预期指标值为“</w:t>
      </w:r>
      <w:r>
        <w:rPr>
          <w:rFonts w:hint="eastAsia" w:ascii="仿宋_GB2312" w:eastAsia="仿宋_GB2312" w:cs="Times New Roman"/>
          <w:color w:val="auto"/>
          <w:sz w:val="32"/>
          <w:szCs w:val="32"/>
          <w:lang w:val="en-US" w:eastAsia="zh-CN"/>
        </w:rPr>
        <w:t>=3辆</w:t>
      </w:r>
      <w:r>
        <w:rPr>
          <w:rFonts w:hint="eastAsia" w:ascii="仿宋_GB2312" w:eastAsia="仿宋_GB2312" w:cs="Times New Roman"/>
          <w:color w:val="auto"/>
          <w:sz w:val="32"/>
          <w:szCs w:val="32"/>
        </w:rPr>
        <w:t>”，实际完成指标值为“</w:t>
      </w:r>
      <w:r>
        <w:rPr>
          <w:rFonts w:hint="eastAsia" w:ascii="仿宋_GB2312" w:eastAsia="仿宋_GB2312" w:cs="Times New Roman"/>
          <w:color w:val="auto"/>
          <w:sz w:val="32"/>
          <w:szCs w:val="32"/>
          <w:lang w:val="en-US" w:eastAsia="zh-CN"/>
        </w:rPr>
        <w:t>3辆</w:t>
      </w:r>
      <w:r>
        <w:rPr>
          <w:rFonts w:hint="eastAsia" w:ascii="仿宋_GB2312" w:eastAsia="仿宋_GB2312" w:cs="Times New Roman"/>
          <w:color w:val="auto"/>
          <w:sz w:val="32"/>
          <w:szCs w:val="32"/>
        </w:rPr>
        <w:t>”，指标完成率为</w:t>
      </w:r>
      <w:r>
        <w:rPr>
          <w:rFonts w:hint="eastAsia" w:ascii="仿宋_GB2312" w:eastAsia="仿宋_GB2312" w:cs="Times New Roman"/>
          <w:color w:val="auto"/>
          <w:sz w:val="32"/>
          <w:szCs w:val="32"/>
          <w:lang w:val="en-US" w:eastAsia="zh-CN"/>
        </w:rPr>
        <w:t>100.0%</w:t>
      </w:r>
      <w:r>
        <w:rPr>
          <w:rFonts w:hint="eastAsia" w:ascii="仿宋_GB2312" w:eastAsia="仿宋_GB2312" w:cs="Times New Roman"/>
          <w:color w:val="auto"/>
          <w:sz w:val="32"/>
          <w:szCs w:val="32"/>
        </w:rPr>
        <w:t>;</w:t>
      </w:r>
    </w:p>
    <w:p>
      <w:pPr>
        <w:ind w:firstLine="640"/>
        <w:rPr>
          <w:rFonts w:hint="eastAsia"/>
          <w:color w:val="auto"/>
        </w:rPr>
      </w:pPr>
      <w:r>
        <w:rPr>
          <w:rFonts w:hint="eastAsia" w:ascii="仿宋_GB2312" w:eastAsia="仿宋_GB2312" w:cs="Times New Roman"/>
          <w:color w:val="auto"/>
          <w:sz w:val="32"/>
          <w:szCs w:val="32"/>
        </w:rPr>
        <w:t>“</w:t>
      </w:r>
      <w:r>
        <w:rPr>
          <w:rFonts w:hint="eastAsia" w:ascii="仿宋_GB2312" w:eastAsia="仿宋_GB2312" w:cs="Times New Roman"/>
          <w:color w:val="auto"/>
          <w:sz w:val="32"/>
          <w:szCs w:val="32"/>
          <w:lang w:val="en-US" w:eastAsia="zh-CN"/>
        </w:rPr>
        <w:t>保障办公人员数量</w:t>
      </w:r>
      <w:r>
        <w:rPr>
          <w:rFonts w:hint="eastAsia" w:ascii="仿宋_GB2312" w:eastAsia="仿宋_GB2312" w:cs="Times New Roman"/>
          <w:color w:val="auto"/>
          <w:sz w:val="32"/>
          <w:szCs w:val="32"/>
        </w:rPr>
        <w:t>”指标：预期指标值为“</w:t>
      </w:r>
      <w:r>
        <w:rPr>
          <w:rFonts w:hint="eastAsia" w:ascii="仿宋_GB2312" w:eastAsia="仿宋_GB2312" w:cs="Times New Roman"/>
          <w:color w:val="auto"/>
          <w:sz w:val="32"/>
          <w:szCs w:val="32"/>
          <w:lang w:val="en-US" w:eastAsia="zh-CN"/>
        </w:rPr>
        <w:t>=36个</w:t>
      </w:r>
      <w:r>
        <w:rPr>
          <w:rFonts w:hint="eastAsia" w:ascii="仿宋_GB2312" w:eastAsia="仿宋_GB2312" w:cs="Times New Roman"/>
          <w:color w:val="auto"/>
          <w:sz w:val="32"/>
          <w:szCs w:val="32"/>
        </w:rPr>
        <w:t>”，实际完成指标值为“</w:t>
      </w:r>
      <w:r>
        <w:rPr>
          <w:rFonts w:hint="eastAsia" w:ascii="仿宋_GB2312" w:eastAsia="仿宋_GB2312" w:cs="Times New Roman"/>
          <w:color w:val="auto"/>
          <w:sz w:val="32"/>
          <w:szCs w:val="32"/>
          <w:lang w:val="en-US" w:eastAsia="zh-CN"/>
        </w:rPr>
        <w:t>36个</w:t>
      </w:r>
      <w:r>
        <w:rPr>
          <w:rFonts w:hint="eastAsia" w:ascii="仿宋_GB2312" w:eastAsia="仿宋_GB2312" w:cs="Times New Roman"/>
          <w:color w:val="auto"/>
          <w:sz w:val="32"/>
          <w:szCs w:val="32"/>
        </w:rPr>
        <w:t>”，指标完成率为</w:t>
      </w:r>
      <w:r>
        <w:rPr>
          <w:rFonts w:hint="eastAsia" w:ascii="仿宋_GB2312" w:eastAsia="仿宋_GB2312" w:cs="Times New Roman"/>
          <w:color w:val="auto"/>
          <w:sz w:val="32"/>
          <w:szCs w:val="32"/>
          <w:lang w:val="en-US" w:eastAsia="zh-CN"/>
        </w:rPr>
        <w:t>100.0%</w:t>
      </w:r>
      <w:r>
        <w:rPr>
          <w:rFonts w:hint="eastAsia" w:ascii="仿宋_GB2312" w:eastAsia="仿宋_GB2312" w:cs="Times New Roman"/>
          <w:color w:val="auto"/>
          <w:sz w:val="32"/>
          <w:szCs w:val="32"/>
        </w:rPr>
        <w:t>;</w:t>
      </w:r>
    </w:p>
    <w:p>
      <w:pPr>
        <w:numPr>
          <w:ilvl w:val="0"/>
          <w:numId w:val="8"/>
        </w:numPr>
        <w:ind w:firstLine="640"/>
        <w:rPr>
          <w:rFonts w:ascii="仿宋_GB2312" w:eastAsia="仿宋_GB2312"/>
          <w:color w:val="auto"/>
          <w:sz w:val="32"/>
          <w:szCs w:val="32"/>
        </w:rPr>
      </w:pPr>
      <w:r>
        <w:rPr>
          <w:rFonts w:hint="eastAsia" w:ascii="仿宋_GB2312" w:eastAsia="仿宋_GB2312"/>
          <w:color w:val="auto"/>
          <w:sz w:val="32"/>
          <w:szCs w:val="32"/>
        </w:rPr>
        <w:t>质量指标</w:t>
      </w:r>
    </w:p>
    <w:p>
      <w:pPr>
        <w:ind w:firstLine="640"/>
        <w:rPr>
          <w:rFonts w:hint="eastAsia" w:ascii="仿宋_GB2312" w:eastAsia="仿宋_GB2312" w:cs="Times New Roman"/>
          <w:color w:val="auto"/>
          <w:sz w:val="32"/>
          <w:szCs w:val="32"/>
        </w:rPr>
      </w:pPr>
      <w:r>
        <w:rPr>
          <w:rFonts w:hint="eastAsia" w:ascii="仿宋_GB2312" w:eastAsia="仿宋_GB2312" w:cs="Times New Roman"/>
          <w:color w:val="auto"/>
          <w:sz w:val="32"/>
          <w:szCs w:val="32"/>
        </w:rPr>
        <w:t>“</w:t>
      </w:r>
      <w:r>
        <w:rPr>
          <w:rFonts w:hint="eastAsia" w:ascii="仿宋_GB2312" w:eastAsia="仿宋_GB2312" w:cs="Times New Roman"/>
          <w:color w:val="auto"/>
          <w:sz w:val="32"/>
          <w:szCs w:val="32"/>
          <w:lang w:val="en-US" w:eastAsia="zh-CN"/>
        </w:rPr>
        <w:t>工作完成率</w:t>
      </w:r>
      <w:r>
        <w:rPr>
          <w:rFonts w:hint="eastAsia" w:ascii="仿宋_GB2312" w:eastAsia="仿宋_GB2312" w:cs="Times New Roman"/>
          <w:color w:val="auto"/>
          <w:sz w:val="32"/>
          <w:szCs w:val="32"/>
        </w:rPr>
        <w:t>”指标：预期指标值为“</w:t>
      </w:r>
      <w:r>
        <w:rPr>
          <w:rFonts w:hint="eastAsia" w:ascii="仿宋_GB2312" w:eastAsia="仿宋_GB2312" w:cs="Times New Roman"/>
          <w:color w:val="auto"/>
          <w:sz w:val="32"/>
          <w:szCs w:val="32"/>
          <w:lang w:val="en-US" w:eastAsia="zh-CN"/>
        </w:rPr>
        <w:t>=100.0%</w:t>
      </w:r>
      <w:r>
        <w:rPr>
          <w:rFonts w:hint="eastAsia" w:ascii="仿宋_GB2312" w:eastAsia="仿宋_GB2312" w:cs="Times New Roman"/>
          <w:color w:val="auto"/>
          <w:sz w:val="32"/>
          <w:szCs w:val="32"/>
        </w:rPr>
        <w:t>”，实际完成指标值为“</w:t>
      </w:r>
      <w:r>
        <w:rPr>
          <w:rFonts w:hint="eastAsia" w:ascii="仿宋_GB2312" w:eastAsia="仿宋_GB2312" w:cs="Times New Roman"/>
          <w:color w:val="auto"/>
          <w:sz w:val="32"/>
          <w:szCs w:val="32"/>
          <w:lang w:val="en-US" w:eastAsia="zh-CN"/>
        </w:rPr>
        <w:t>100.0%</w:t>
      </w:r>
      <w:r>
        <w:rPr>
          <w:rFonts w:hint="eastAsia" w:ascii="仿宋_GB2312" w:eastAsia="仿宋_GB2312" w:cs="Times New Roman"/>
          <w:color w:val="auto"/>
          <w:sz w:val="32"/>
          <w:szCs w:val="32"/>
        </w:rPr>
        <w:t>”，指标完成率为</w:t>
      </w:r>
      <w:r>
        <w:rPr>
          <w:rFonts w:hint="eastAsia" w:ascii="仿宋_GB2312" w:eastAsia="仿宋_GB2312" w:cs="Times New Roman"/>
          <w:color w:val="auto"/>
          <w:sz w:val="32"/>
          <w:szCs w:val="32"/>
          <w:lang w:val="en-US" w:eastAsia="zh-CN"/>
        </w:rPr>
        <w:t>100.0%</w:t>
      </w:r>
      <w:r>
        <w:rPr>
          <w:rFonts w:hint="eastAsia" w:ascii="仿宋_GB2312" w:eastAsia="仿宋_GB2312" w:cs="Times New Roman"/>
          <w:color w:val="auto"/>
          <w:sz w:val="32"/>
          <w:szCs w:val="32"/>
        </w:rPr>
        <w:t>;</w:t>
      </w:r>
    </w:p>
    <w:p>
      <w:pPr>
        <w:numPr>
          <w:ilvl w:val="0"/>
          <w:numId w:val="8"/>
        </w:numPr>
        <w:ind w:firstLine="640"/>
        <w:rPr>
          <w:rFonts w:ascii="仿宋_GB2312" w:eastAsia="仿宋_GB2312"/>
          <w:color w:val="auto"/>
          <w:sz w:val="32"/>
          <w:szCs w:val="32"/>
        </w:rPr>
      </w:pPr>
      <w:r>
        <w:rPr>
          <w:rFonts w:hint="eastAsia" w:ascii="仿宋_GB2312" w:eastAsia="仿宋_GB2312"/>
          <w:color w:val="auto"/>
          <w:sz w:val="32"/>
          <w:szCs w:val="32"/>
        </w:rPr>
        <w:t>时效指标</w:t>
      </w:r>
    </w:p>
    <w:p>
      <w:pPr>
        <w:ind w:firstLine="640"/>
        <w:rPr>
          <w:rFonts w:hint="eastAsia"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val="en-US" w:eastAsia="zh-CN"/>
        </w:rPr>
        <w:t>“项目完成时间”指标：预期指标值为“2022.12.31”，实际完成指标值为“2022.12.31”，指标完成率为100.0%;</w:t>
      </w:r>
    </w:p>
    <w:p>
      <w:pPr>
        <w:numPr>
          <w:ilvl w:val="0"/>
          <w:numId w:val="8"/>
        </w:numPr>
        <w:ind w:firstLine="640"/>
        <w:rPr>
          <w:rFonts w:ascii="仿宋_GB2312" w:eastAsia="仿宋_GB2312"/>
          <w:color w:val="auto"/>
          <w:sz w:val="32"/>
          <w:szCs w:val="32"/>
        </w:rPr>
      </w:pPr>
      <w:r>
        <w:rPr>
          <w:rFonts w:hint="eastAsia" w:ascii="仿宋_GB2312" w:eastAsia="仿宋_GB2312"/>
          <w:color w:val="auto"/>
          <w:sz w:val="32"/>
          <w:szCs w:val="32"/>
        </w:rPr>
        <w:t>成本指标</w:t>
      </w:r>
    </w:p>
    <w:p>
      <w:pPr>
        <w:ind w:firstLine="640"/>
        <w:rPr>
          <w:rFonts w:hint="eastAsia"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val="en-US" w:eastAsia="zh-CN"/>
        </w:rPr>
        <w:t>“人员经费总成本”指标：预期指标值为“547.11万元”，实际完成指标值为“547.11万元”，指标完成率为100%;</w:t>
      </w:r>
    </w:p>
    <w:p>
      <w:pPr>
        <w:ind w:firstLine="640"/>
        <w:rPr>
          <w:rFonts w:hint="eastAsia"/>
          <w:lang w:val="en-US" w:eastAsia="zh-CN"/>
        </w:rPr>
      </w:pPr>
      <w:r>
        <w:rPr>
          <w:rFonts w:hint="eastAsia" w:ascii="仿宋_GB2312" w:eastAsia="仿宋_GB2312" w:cs="Times New Roman"/>
          <w:color w:val="auto"/>
          <w:sz w:val="32"/>
          <w:szCs w:val="32"/>
          <w:lang w:val="en-US" w:eastAsia="zh-CN"/>
        </w:rPr>
        <w:t>“人均运转经费数”指标：预期指标值为“1.05万元”，实际完成指标值为“1.05万元”，指标完成率为100%;</w:t>
      </w:r>
    </w:p>
    <w:p>
      <w:pPr>
        <w:pStyle w:val="5"/>
        <w:ind w:firstLine="640"/>
        <w:rPr>
          <w:color w:val="auto"/>
          <w:sz w:val="32"/>
        </w:rPr>
      </w:pPr>
      <w:r>
        <w:rPr>
          <w:rFonts w:hint="eastAsia"/>
          <w:color w:val="auto"/>
          <w:sz w:val="32"/>
        </w:rPr>
        <w:t>2.效益指标完成情况分析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（1）经济效益</w:t>
      </w:r>
    </w:p>
    <w:p>
      <w:pPr>
        <w:ind w:firstLine="640"/>
        <w:rPr>
          <w:rFonts w:ascii="仿宋_GB2312" w:eastAsia="仿宋_GB2312"/>
          <w:color w:val="auto"/>
          <w:sz w:val="32"/>
          <w:szCs w:val="32"/>
        </w:rPr>
      </w:pPr>
      <w:r>
        <w:rPr>
          <w:rFonts w:hint="eastAsia" w:ascii="仿宋_GB2312" w:eastAsia="仿宋_GB2312" w:cs="Times New Roman"/>
          <w:color w:val="auto"/>
          <w:sz w:val="32"/>
          <w:szCs w:val="32"/>
        </w:rPr>
        <w:t>“</w:t>
      </w:r>
      <w:r>
        <w:rPr>
          <w:rFonts w:hint="eastAsia" w:ascii="仿宋_GB2312" w:eastAsia="仿宋_GB2312" w:cs="Times New Roman"/>
          <w:color w:val="auto"/>
          <w:sz w:val="32"/>
          <w:szCs w:val="32"/>
          <w:lang w:val="en-US" w:eastAsia="zh-CN"/>
        </w:rPr>
        <w:t>招商引资完成额</w:t>
      </w:r>
      <w:r>
        <w:rPr>
          <w:rFonts w:hint="eastAsia" w:ascii="仿宋_GB2312" w:eastAsia="仿宋_GB2312" w:cs="Times New Roman"/>
          <w:color w:val="auto"/>
          <w:sz w:val="32"/>
          <w:szCs w:val="32"/>
        </w:rPr>
        <w:t>”指标：预期指标值为“</w:t>
      </w:r>
      <w:r>
        <w:rPr>
          <w:rFonts w:hint="eastAsia" w:ascii="仿宋_GB2312" w:eastAsia="仿宋_GB2312" w:cs="Times New Roman"/>
          <w:color w:val="auto"/>
          <w:sz w:val="32"/>
          <w:szCs w:val="32"/>
          <w:lang w:val="en-US" w:eastAsia="zh-CN"/>
        </w:rPr>
        <w:t>≥100000万元</w:t>
      </w:r>
      <w:r>
        <w:rPr>
          <w:rFonts w:hint="eastAsia" w:ascii="仿宋_GB2312" w:eastAsia="仿宋_GB2312" w:cs="Times New Roman"/>
          <w:color w:val="auto"/>
          <w:sz w:val="32"/>
          <w:szCs w:val="32"/>
        </w:rPr>
        <w:t>”，</w:t>
      </w:r>
      <w:r>
        <w:rPr>
          <w:rFonts w:hint="eastAsia" w:ascii="仿宋_GB2312" w:eastAsia="仿宋_GB2312"/>
          <w:color w:val="auto"/>
          <w:sz w:val="32"/>
          <w:szCs w:val="32"/>
        </w:rPr>
        <w:t>实际完成指标值为“</w:t>
      </w:r>
      <w:r>
        <w:rPr>
          <w:rFonts w:hint="eastAsia" w:ascii="仿宋_GB2312" w:eastAsia="仿宋_GB2312" w:cs="Times New Roman"/>
          <w:color w:val="auto"/>
          <w:sz w:val="32"/>
          <w:szCs w:val="32"/>
          <w:lang w:val="en-US" w:eastAsia="zh-CN"/>
        </w:rPr>
        <w:t>1150000万元</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（2）社会效益</w:t>
      </w:r>
    </w:p>
    <w:p>
      <w:pPr>
        <w:ind w:firstLine="640"/>
        <w:rPr>
          <w:rFonts w:hint="eastAsia"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val="en-US" w:eastAsia="zh-CN"/>
        </w:rPr>
        <w:t>“解决劳动人口就业”指标：预期指标值为“≥50人”，实际完成指标值为“70人”，指标完成率为100.0%;</w:t>
      </w:r>
    </w:p>
    <w:p>
      <w:pPr>
        <w:ind w:firstLine="640"/>
        <w:rPr>
          <w:rFonts w:ascii="仿宋_GB2312" w:eastAsia="仿宋_GB2312"/>
          <w:color w:val="auto"/>
          <w:sz w:val="32"/>
          <w:szCs w:val="32"/>
        </w:rPr>
      </w:pPr>
      <w:r>
        <w:rPr>
          <w:rFonts w:hint="eastAsia" w:ascii="仿宋_GB2312" w:eastAsia="仿宋_GB2312"/>
          <w:color w:val="auto"/>
          <w:sz w:val="32"/>
          <w:szCs w:val="32"/>
        </w:rPr>
        <w:t>（3）生态效益</w:t>
      </w:r>
    </w:p>
    <w:p>
      <w:pPr>
        <w:ind w:firstLine="640"/>
        <w:rPr>
          <w:rFonts w:hint="eastAsia" w:ascii="仿宋_GB2312" w:eastAsia="仿宋_GB2312"/>
          <w:color w:val="auto"/>
          <w:sz w:val="32"/>
          <w:szCs w:val="32"/>
        </w:rPr>
      </w:pPr>
      <w:r>
        <w:rPr>
          <w:rFonts w:hint="eastAsia" w:ascii="仿宋_GB2312" w:eastAsia="仿宋_GB2312"/>
          <w:color w:val="auto"/>
          <w:sz w:val="32"/>
          <w:szCs w:val="32"/>
        </w:rPr>
        <w:t>无此项指标</w:t>
      </w:r>
    </w:p>
    <w:p>
      <w:pPr>
        <w:ind w:firstLine="640"/>
        <w:rPr>
          <w:rFonts w:ascii="仿宋_GB2312" w:eastAsia="仿宋_GB2312"/>
          <w:color w:val="auto"/>
          <w:sz w:val="32"/>
          <w:szCs w:val="32"/>
        </w:rPr>
      </w:pPr>
      <w:r>
        <w:rPr>
          <w:rFonts w:hint="eastAsia" w:ascii="仿宋_GB2312" w:eastAsia="仿宋_GB2312"/>
          <w:color w:val="auto"/>
          <w:sz w:val="32"/>
          <w:szCs w:val="32"/>
        </w:rPr>
        <w:t>（4）可持续影响</w:t>
      </w:r>
    </w:p>
    <w:p>
      <w:pPr>
        <w:ind w:firstLine="640"/>
        <w:rPr>
          <w:rFonts w:hint="eastAsia" w:ascii="仿宋_GB2312" w:eastAsia="仿宋_GB2312" w:cs="Times New Roman"/>
          <w:color w:val="auto"/>
          <w:sz w:val="32"/>
          <w:szCs w:val="32"/>
        </w:rPr>
      </w:pPr>
      <w:r>
        <w:rPr>
          <w:rFonts w:hint="eastAsia" w:ascii="仿宋_GB2312" w:eastAsia="仿宋_GB2312" w:cs="Times New Roman"/>
          <w:color w:val="auto"/>
          <w:sz w:val="32"/>
          <w:szCs w:val="32"/>
        </w:rPr>
        <w:t>“</w:t>
      </w:r>
      <w:r>
        <w:rPr>
          <w:rFonts w:hint="eastAsia" w:ascii="仿宋_GB2312" w:eastAsia="仿宋_GB2312" w:cs="Times New Roman"/>
          <w:color w:val="auto"/>
          <w:sz w:val="32"/>
          <w:szCs w:val="32"/>
          <w:lang w:val="en-US" w:eastAsia="zh-CN"/>
        </w:rPr>
        <w:t>有效促进经济发展</w:t>
      </w:r>
      <w:r>
        <w:rPr>
          <w:rFonts w:hint="eastAsia" w:ascii="仿宋_GB2312" w:eastAsia="仿宋_GB2312" w:cs="Times New Roman"/>
          <w:color w:val="auto"/>
          <w:sz w:val="32"/>
          <w:szCs w:val="32"/>
        </w:rPr>
        <w:t>”指标：预期指标值为“</w:t>
      </w:r>
      <w:r>
        <w:rPr>
          <w:rFonts w:hint="eastAsia" w:ascii="仿宋_GB2312" w:eastAsia="仿宋_GB2312" w:cs="Times New Roman"/>
          <w:color w:val="auto"/>
          <w:sz w:val="32"/>
          <w:szCs w:val="32"/>
          <w:lang w:val="en-US" w:eastAsia="zh-CN"/>
        </w:rPr>
        <w:t>有效促进</w:t>
      </w:r>
      <w:r>
        <w:rPr>
          <w:rFonts w:hint="eastAsia" w:ascii="仿宋_GB2312" w:eastAsia="仿宋_GB2312" w:cs="Times New Roman"/>
          <w:color w:val="auto"/>
          <w:sz w:val="32"/>
          <w:szCs w:val="32"/>
        </w:rPr>
        <w:t>”，实际完成指标值为“</w:t>
      </w:r>
      <w:r>
        <w:rPr>
          <w:rFonts w:hint="eastAsia" w:ascii="仿宋_GB2312" w:eastAsia="仿宋_GB2312" w:cs="Times New Roman"/>
          <w:color w:val="auto"/>
          <w:sz w:val="32"/>
          <w:szCs w:val="32"/>
          <w:lang w:val="en-US" w:eastAsia="zh-CN"/>
        </w:rPr>
        <w:t>有效促进</w:t>
      </w:r>
      <w:r>
        <w:rPr>
          <w:rFonts w:hint="eastAsia" w:ascii="仿宋_GB2312" w:eastAsia="仿宋_GB2312" w:cs="Times New Roman"/>
          <w:color w:val="auto"/>
          <w:sz w:val="32"/>
          <w:szCs w:val="32"/>
        </w:rPr>
        <w:t>”，指标完成率为</w:t>
      </w:r>
      <w:r>
        <w:rPr>
          <w:rFonts w:hint="eastAsia" w:ascii="仿宋_GB2312" w:eastAsia="仿宋_GB2312" w:cs="Times New Roman"/>
          <w:color w:val="auto"/>
          <w:sz w:val="32"/>
          <w:szCs w:val="32"/>
          <w:lang w:val="en-US" w:eastAsia="zh-CN"/>
        </w:rPr>
        <w:t>100.0%</w:t>
      </w:r>
      <w:r>
        <w:rPr>
          <w:rFonts w:hint="eastAsia" w:ascii="仿宋_GB2312" w:eastAsia="仿宋_GB2312" w:cs="Times New Roman"/>
          <w:color w:val="auto"/>
          <w:sz w:val="32"/>
          <w:szCs w:val="32"/>
        </w:rPr>
        <w:t>;</w:t>
      </w:r>
    </w:p>
    <w:p>
      <w:pPr>
        <w:pStyle w:val="5"/>
        <w:ind w:firstLine="640"/>
        <w:rPr>
          <w:color w:val="auto"/>
          <w:sz w:val="32"/>
        </w:rPr>
      </w:pPr>
      <w:r>
        <w:rPr>
          <w:rFonts w:hint="eastAsia"/>
          <w:color w:val="auto"/>
          <w:sz w:val="32"/>
        </w:rPr>
        <w:t>3.满意度指标完成情况分析</w:t>
      </w:r>
    </w:p>
    <w:p>
      <w:pPr>
        <w:ind w:firstLine="640"/>
        <w:rPr>
          <w:rFonts w:hint="eastAsia" w:ascii="仿宋_GB2312" w:eastAsia="仿宋_GB2312"/>
          <w:color w:val="auto"/>
          <w:sz w:val="32"/>
          <w:szCs w:val="32"/>
        </w:rPr>
      </w:pPr>
      <w:r>
        <w:rPr>
          <w:rFonts w:hint="eastAsia" w:ascii="仿宋_GB2312" w:eastAsia="仿宋_GB2312" w:cs="Times New Roman"/>
          <w:color w:val="auto"/>
          <w:sz w:val="32"/>
          <w:szCs w:val="32"/>
        </w:rPr>
        <w:t>“</w:t>
      </w:r>
      <w:r>
        <w:rPr>
          <w:rFonts w:hint="eastAsia" w:ascii="仿宋_GB2312" w:eastAsia="仿宋_GB2312" w:cs="Times New Roman"/>
          <w:color w:val="auto"/>
          <w:sz w:val="32"/>
          <w:szCs w:val="32"/>
          <w:lang w:val="en-US" w:eastAsia="zh-CN"/>
        </w:rPr>
        <w:t>企业满意度</w:t>
      </w:r>
      <w:r>
        <w:rPr>
          <w:rFonts w:hint="eastAsia" w:ascii="仿宋_GB2312" w:eastAsia="仿宋_GB2312" w:cs="Times New Roman"/>
          <w:color w:val="auto"/>
          <w:sz w:val="32"/>
          <w:szCs w:val="32"/>
        </w:rPr>
        <w:t>”指标：预期</w:t>
      </w:r>
      <w:r>
        <w:rPr>
          <w:rFonts w:hint="eastAsia" w:ascii="仿宋_GB2312" w:eastAsia="仿宋_GB2312"/>
          <w:color w:val="auto"/>
          <w:sz w:val="32"/>
          <w:szCs w:val="32"/>
        </w:rPr>
        <w:t>指标值为“</w:t>
      </w:r>
      <w:r>
        <w:rPr>
          <w:rFonts w:hint="eastAsia" w:ascii="仿宋_GB2312" w:eastAsia="仿宋_GB2312" w:cs="Times New Roman"/>
          <w:color w:val="auto"/>
          <w:sz w:val="32"/>
          <w:szCs w:val="32"/>
          <w:lang w:val="en-US" w:eastAsia="zh-CN"/>
        </w:rPr>
        <w:t>≥</w:t>
      </w:r>
      <w:r>
        <w:rPr>
          <w:rFonts w:hint="eastAsia" w:ascii="仿宋_GB2312" w:eastAsia="仿宋_GB2312"/>
          <w:color w:val="auto"/>
          <w:sz w:val="32"/>
          <w:szCs w:val="32"/>
          <w:lang w:val="en-US" w:eastAsia="zh-CN"/>
        </w:rPr>
        <w:t>90.0%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92.0%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pStyle w:val="2"/>
        <w:rPr>
          <w:rFonts w:hint="eastAsia" w:eastAsia="仿宋_GB2312"/>
          <w:color w:val="auto"/>
          <w:lang w:eastAsia="zh-CN"/>
        </w:rPr>
      </w:pPr>
      <w:r>
        <w:rPr>
          <w:rFonts w:hint="eastAsia" w:ascii="仿宋_GB2312" w:hAnsi="Times New Roman" w:eastAsia="仿宋_GB2312" w:cs="Times New Roman"/>
          <w:color w:val="auto"/>
          <w:sz w:val="32"/>
          <w:szCs w:val="32"/>
        </w:rPr>
        <w:t>“</w:t>
      </w:r>
      <w:r>
        <w:rPr>
          <w:rFonts w:hint="eastAsia" w:ascii="仿宋_GB2312" w:eastAsia="仿宋_GB2312" w:cs="Times New Roman"/>
          <w:color w:val="auto"/>
          <w:sz w:val="32"/>
          <w:szCs w:val="32"/>
          <w:lang w:val="en-US" w:eastAsia="zh-CN"/>
        </w:rPr>
        <w:t>职工</w:t>
      </w:r>
      <w:r>
        <w:rPr>
          <w:rFonts w:hint="eastAsia" w:ascii="仿宋_GB2312" w:hAnsi="Times New Roman" w:eastAsia="仿宋_GB2312" w:cs="Times New Roman"/>
          <w:color w:val="auto"/>
          <w:sz w:val="32"/>
          <w:szCs w:val="32"/>
          <w:lang w:val="en-US" w:eastAsia="zh-CN"/>
        </w:rPr>
        <w:t>满意度</w:t>
      </w:r>
      <w:r>
        <w:rPr>
          <w:rFonts w:hint="eastAsia" w:ascii="仿宋_GB2312" w:hAnsi="Times New Roman" w:eastAsia="仿宋_GB2312" w:cs="Times New Roman"/>
          <w:color w:val="auto"/>
          <w:sz w:val="32"/>
          <w:szCs w:val="32"/>
        </w:rPr>
        <w:t>”</w:t>
      </w:r>
      <w:r>
        <w:rPr>
          <w:rFonts w:hint="eastAsia" w:ascii="仿宋_GB2312" w:eastAsia="仿宋_GB2312" w:cs="Times New Roman"/>
          <w:color w:val="auto"/>
          <w:sz w:val="32"/>
          <w:szCs w:val="32"/>
        </w:rPr>
        <w:t>指标：预期</w:t>
      </w:r>
      <w:r>
        <w:rPr>
          <w:rFonts w:hint="eastAsia" w:ascii="仿宋_GB2312" w:eastAsia="仿宋_GB2312"/>
          <w:color w:val="auto"/>
          <w:sz w:val="32"/>
          <w:szCs w:val="32"/>
        </w:rPr>
        <w:t>指标值为“</w:t>
      </w:r>
      <w:r>
        <w:rPr>
          <w:rFonts w:hint="eastAsia" w:ascii="仿宋_GB2312" w:eastAsia="仿宋_GB2312" w:cs="Times New Roman"/>
          <w:color w:val="auto"/>
          <w:sz w:val="32"/>
          <w:szCs w:val="32"/>
          <w:lang w:val="en-US" w:eastAsia="zh-CN"/>
        </w:rPr>
        <w:t>≥</w:t>
      </w:r>
      <w:r>
        <w:rPr>
          <w:rFonts w:hint="eastAsia" w:ascii="仿宋_GB2312" w:eastAsia="仿宋_GB2312"/>
          <w:color w:val="auto"/>
          <w:sz w:val="32"/>
          <w:szCs w:val="32"/>
          <w:lang w:val="en-US" w:eastAsia="zh-CN"/>
        </w:rPr>
        <w:t>98.0%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92.0%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lang w:eastAsia="zh-CN"/>
        </w:rPr>
        <w:t>。</w:t>
      </w:r>
    </w:p>
    <w:p>
      <w:pPr>
        <w:pStyle w:val="3"/>
        <w:ind w:firstLine="640"/>
        <w:rPr>
          <w:rFonts w:ascii="黑体" w:hAnsi="黑体"/>
          <w:b w:val="0"/>
          <w:color w:val="auto"/>
          <w:sz w:val="32"/>
          <w:szCs w:val="32"/>
        </w:rPr>
      </w:pPr>
      <w:r>
        <w:rPr>
          <w:rFonts w:hint="eastAsia" w:ascii="黑体" w:hAnsi="黑体"/>
          <w:b w:val="0"/>
          <w:color w:val="auto"/>
          <w:sz w:val="32"/>
          <w:szCs w:val="32"/>
        </w:rPr>
        <w:t>六、存在的主要问题</w:t>
      </w:r>
    </w:p>
    <w:p>
      <w:pPr>
        <w:adjustRightInd w:val="0"/>
        <w:snapToGrid w:val="0"/>
        <w:ind w:firstLine="624"/>
        <w:rPr>
          <w:rFonts w:ascii="仿宋_GB2312" w:eastAsia="仿宋_GB2312"/>
          <w:color w:val="auto"/>
          <w:spacing w:val="-4"/>
          <w:sz w:val="32"/>
          <w:szCs w:val="32"/>
        </w:rPr>
      </w:pPr>
      <w:r>
        <w:rPr>
          <w:rFonts w:hint="eastAsia" w:ascii="仿宋_GB2312" w:eastAsia="仿宋_GB2312" w:cs="宋体" w:hAnsiTheme="minorEastAsia"/>
          <w:color w:val="auto"/>
          <w:kern w:val="0"/>
          <w:sz w:val="32"/>
          <w:szCs w:val="32"/>
          <w:highlight w:val="none"/>
        </w:rPr>
        <w:t>存在问题：组织成员间工作配合困难，导致预算绩效监控工作在实际实施过程中执行困难</w:t>
      </w:r>
      <w:r>
        <w:rPr>
          <w:rFonts w:hint="eastAsia" w:ascii="仿宋_GB2312" w:eastAsia="仿宋_GB2312"/>
          <w:color w:val="auto"/>
          <w:spacing w:val="-4"/>
          <w:sz w:val="32"/>
          <w:szCs w:val="32"/>
        </w:rPr>
        <w:t>。</w:t>
      </w:r>
    </w:p>
    <w:p>
      <w:pPr>
        <w:pStyle w:val="3"/>
        <w:ind w:firstLine="640"/>
        <w:rPr>
          <w:rFonts w:ascii="黑体" w:hAnsi="黑体"/>
          <w:b w:val="0"/>
          <w:color w:val="auto"/>
          <w:sz w:val="32"/>
          <w:szCs w:val="32"/>
        </w:rPr>
      </w:pPr>
      <w:r>
        <w:rPr>
          <w:rFonts w:hint="eastAsia" w:ascii="黑体" w:hAnsi="黑体"/>
          <w:b w:val="0"/>
          <w:color w:val="auto"/>
          <w:sz w:val="32"/>
          <w:szCs w:val="32"/>
        </w:rPr>
        <w:t>七、改进措施和建议</w:t>
      </w:r>
    </w:p>
    <w:p>
      <w:pPr>
        <w:snapToGrid w:val="0"/>
        <w:spacing w:line="560" w:lineRule="exact"/>
        <w:ind w:firstLine="640" w:firstLineChars="200"/>
        <w:rPr>
          <w:rFonts w:ascii="仿宋_GB2312" w:eastAsia="仿宋_GB2312" w:hAnsiTheme="minorEastAsia"/>
          <w:color w:val="auto"/>
          <w:sz w:val="32"/>
          <w:szCs w:val="32"/>
          <w:shd w:val="clear" w:color="auto" w:fill="FFFFFF"/>
        </w:rPr>
      </w:pPr>
      <w:r>
        <w:rPr>
          <w:rFonts w:hint="eastAsia" w:ascii="仿宋_GB2312" w:eastAsia="仿宋_GB2312" w:hAnsiTheme="minorEastAsia"/>
          <w:color w:val="auto"/>
          <w:sz w:val="32"/>
          <w:szCs w:val="32"/>
          <w:shd w:val="clear" w:color="auto" w:fill="FFFFFF"/>
        </w:rPr>
        <w:t>1.明确绩效监控工作职责分工：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w:t>
      </w:r>
    </w:p>
    <w:p>
      <w:pPr>
        <w:snapToGrid w:val="0"/>
        <w:spacing w:line="560" w:lineRule="exact"/>
        <w:ind w:firstLine="640" w:firstLineChars="200"/>
        <w:rPr>
          <w:rFonts w:ascii="仿宋_GB2312" w:eastAsia="仿宋_GB2312" w:hAnsiTheme="minorEastAsia"/>
          <w:color w:val="auto"/>
          <w:sz w:val="32"/>
          <w:szCs w:val="32"/>
          <w:shd w:val="clear" w:color="auto" w:fill="FFFFFF"/>
        </w:rPr>
      </w:pPr>
      <w:r>
        <w:rPr>
          <w:rFonts w:hint="eastAsia" w:ascii="仿宋_GB2312" w:eastAsia="仿宋_GB2312" w:hAnsiTheme="minorEastAsia"/>
          <w:color w:val="auto"/>
          <w:sz w:val="32"/>
          <w:szCs w:val="32"/>
          <w:shd w:val="clear" w:color="auto" w:fill="FFFFFF"/>
        </w:rPr>
        <w:t>2.进一步加强单位内部各科室的预算管理意识及全局意识，单位组织学习预算绩效管理的相关内容，提高对绩效管理工作的重视程度，使各科室间能相互配合，严格按照预算编制相关制度、要求，科学合理的进行预算绩效监控表的编制。</w:t>
      </w:r>
    </w:p>
    <w:p>
      <w:pPr>
        <w:snapToGrid w:val="0"/>
        <w:spacing w:line="560" w:lineRule="exact"/>
        <w:ind w:firstLine="640" w:firstLineChars="200"/>
        <w:rPr>
          <w:rStyle w:val="12"/>
          <w:rFonts w:ascii="仿宋_GB2312" w:eastAsia="仿宋_GB2312"/>
          <w:bCs w:val="0"/>
          <w:color w:val="auto"/>
          <w:spacing w:val="-4"/>
          <w:sz w:val="32"/>
          <w:szCs w:val="32"/>
        </w:rPr>
      </w:pPr>
      <w:r>
        <w:rPr>
          <w:rFonts w:hint="eastAsia" w:ascii="仿宋_GB2312" w:eastAsia="仿宋_GB2312" w:hAnsiTheme="minorEastAsia"/>
          <w:color w:val="auto"/>
          <w:sz w:val="32"/>
          <w:szCs w:val="32"/>
          <w:shd w:val="clear" w:color="auto" w:fill="FFFFFF"/>
        </w:rPr>
        <w:t>3.不定期进行绩效过程监控，及时发现问题及时调整</w:t>
      </w:r>
      <w:r>
        <w:rPr>
          <w:rFonts w:hint="eastAsia" w:ascii="仿宋_GB2312" w:eastAsia="仿宋_GB2312" w:hAnsiTheme="minorEastAsia"/>
          <w:color w:val="auto"/>
          <w:sz w:val="32"/>
          <w:szCs w:val="32"/>
          <w:shd w:val="clear" w:color="auto" w:fill="FFFFFF"/>
          <w:lang w:eastAsia="zh-CN"/>
        </w:rPr>
        <w:t>。</w:t>
      </w:r>
    </w:p>
    <w:p>
      <w:pPr>
        <w:pStyle w:val="3"/>
        <w:ind w:firstLine="640"/>
        <w:rPr>
          <w:rFonts w:ascii="黑体" w:hAnsi="黑体"/>
          <w:b w:val="0"/>
          <w:color w:val="auto"/>
          <w:sz w:val="32"/>
          <w:szCs w:val="32"/>
        </w:rPr>
      </w:pPr>
      <w:r>
        <w:rPr>
          <w:rFonts w:hint="eastAsia" w:ascii="黑体" w:hAnsi="黑体"/>
          <w:b w:val="0"/>
          <w:color w:val="auto"/>
          <w:sz w:val="32"/>
          <w:szCs w:val="32"/>
        </w:rPr>
        <w:t>八、附表</w:t>
      </w:r>
    </w:p>
    <w:p>
      <w:pPr>
        <w:ind w:firstLine="640"/>
        <w:rPr>
          <w:rFonts w:hint="eastAsia" w:ascii="仿宋_GB2312" w:eastAsia="仿宋_GB2312"/>
          <w:color w:val="auto"/>
          <w:sz w:val="32"/>
          <w:szCs w:val="32"/>
        </w:rPr>
      </w:pPr>
      <w:r>
        <w:rPr>
          <w:rFonts w:hint="eastAsia" w:ascii="仿宋_GB2312" w:eastAsia="仿宋_GB2312"/>
          <w:color w:val="auto"/>
          <w:sz w:val="32"/>
          <w:szCs w:val="32"/>
        </w:rPr>
        <w:t>《部门整体支出绩效目标自评表》</w:t>
      </w:r>
    </w:p>
    <w:tbl>
      <w:tblPr>
        <w:tblW w:w="833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
      <w:tblGrid>
        <w:gridCol w:w="355"/>
        <w:gridCol w:w="445"/>
        <w:gridCol w:w="527"/>
        <w:gridCol w:w="1508"/>
        <w:gridCol w:w="781"/>
        <w:gridCol w:w="1000"/>
        <w:gridCol w:w="667"/>
        <w:gridCol w:w="1462"/>
        <w:gridCol w:w="952"/>
        <w:gridCol w:w="6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0" w:type="dxa"/>
            <w:bottom w:w="0" w:type="dxa"/>
            <w:right w:w="0" w:type="dxa"/>
          </w:tblCellMar>
        </w:tblPrEx>
        <w:trPr>
          <w:trHeight w:val="800" w:hRule="atLeast"/>
        </w:trPr>
        <w:tc>
          <w:tcPr>
            <w:tcW w:w="8336" w:type="dxa"/>
            <w:gridSpan w:val="10"/>
            <w:tcBorders>
              <w:top w:val="nil"/>
              <w:left w:val="nil"/>
              <w:bottom w:val="nil"/>
              <w:right w:val="nil"/>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方正小标宋简体" w:hAnsi="方正小标宋简体" w:eastAsia="方正小标宋简体" w:cs="方正小标宋简体"/>
                <w:i w:val="0"/>
                <w:color w:val="000000"/>
                <w:sz w:val="28"/>
                <w:szCs w:val="28"/>
                <w:u w:val="none"/>
              </w:rPr>
            </w:pPr>
            <w:r>
              <w:rPr>
                <w:rFonts w:hint="default" w:ascii="方正小标宋简体" w:hAnsi="方正小标宋简体" w:eastAsia="方正小标宋简体" w:cs="方正小标宋简体"/>
                <w:i w:val="0"/>
                <w:color w:val="000000"/>
                <w:kern w:val="0"/>
                <w:sz w:val="28"/>
                <w:szCs w:val="28"/>
                <w:u w:val="none"/>
                <w:bdr w:val="none" w:color="auto" w:sz="0" w:space="0"/>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80" w:hRule="atLeast"/>
        </w:trPr>
        <w:tc>
          <w:tcPr>
            <w:tcW w:w="8336" w:type="dxa"/>
            <w:gridSpan w:val="10"/>
            <w:tcBorders>
              <w:top w:val="nil"/>
              <w:left w:val="nil"/>
              <w:bottom w:val="single" w:color="000000" w:sz="4" w:space="0"/>
              <w:right w:val="nil"/>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1327"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部门（单位）名称</w:t>
            </w:r>
          </w:p>
        </w:tc>
        <w:tc>
          <w:tcPr>
            <w:tcW w:w="7009" w:type="dxa"/>
            <w:gridSpan w:val="7"/>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昌吉市商务和工业信息化局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60" w:hRule="atLeast"/>
        </w:trPr>
        <w:tc>
          <w:tcPr>
            <w:tcW w:w="355"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年度主要任务</w:t>
            </w:r>
          </w:p>
        </w:tc>
        <w:tc>
          <w:tcPr>
            <w:tcW w:w="972" w:type="dxa"/>
            <w:gridSpan w:val="2"/>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任务名称</w:t>
            </w:r>
          </w:p>
        </w:tc>
        <w:tc>
          <w:tcPr>
            <w:tcW w:w="1508"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主要内容</w:t>
            </w:r>
          </w:p>
        </w:tc>
        <w:tc>
          <w:tcPr>
            <w:tcW w:w="2448" w:type="dxa"/>
            <w:gridSpan w:val="3"/>
            <w:tcBorders>
              <w:top w:val="single" w:color="000000" w:sz="4" w:space="0"/>
              <w:left w:val="nil"/>
              <w:bottom w:val="nil"/>
              <w:right w:val="nil"/>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预算金额（万元）</w:t>
            </w:r>
          </w:p>
        </w:tc>
        <w:tc>
          <w:tcPr>
            <w:tcW w:w="3053"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40" w:hRule="atLeast"/>
        </w:trPr>
        <w:tc>
          <w:tcPr>
            <w:tcW w:w="35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972" w:type="dxa"/>
            <w:gridSpan w:val="2"/>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150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78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总额</w:t>
            </w:r>
          </w:p>
        </w:tc>
        <w:tc>
          <w:tcPr>
            <w:tcW w:w="10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财政拨款</w:t>
            </w:r>
          </w:p>
        </w:tc>
        <w:tc>
          <w:tcPr>
            <w:tcW w:w="66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其他资金</w:t>
            </w:r>
          </w:p>
        </w:tc>
        <w:tc>
          <w:tcPr>
            <w:tcW w:w="14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总额</w:t>
            </w:r>
          </w:p>
        </w:tc>
        <w:tc>
          <w:tcPr>
            <w:tcW w:w="9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财政拨款</w:t>
            </w:r>
          </w:p>
        </w:tc>
        <w:tc>
          <w:tcPr>
            <w:tcW w:w="63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60" w:hRule="atLeast"/>
        </w:trPr>
        <w:tc>
          <w:tcPr>
            <w:tcW w:w="35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972" w:type="dxa"/>
            <w:gridSpan w:val="2"/>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人员经费</w:t>
            </w:r>
          </w:p>
        </w:tc>
        <w:tc>
          <w:tcPr>
            <w:tcW w:w="15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主要用于为单位职工发放工资、缴纳社保公积金等基本保障</w:t>
            </w:r>
          </w:p>
        </w:tc>
        <w:tc>
          <w:tcPr>
            <w:tcW w:w="78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547.11</w:t>
            </w:r>
          </w:p>
        </w:tc>
        <w:tc>
          <w:tcPr>
            <w:tcW w:w="10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547.11</w:t>
            </w:r>
          </w:p>
        </w:tc>
        <w:tc>
          <w:tcPr>
            <w:tcW w:w="66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14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547.11</w:t>
            </w:r>
          </w:p>
        </w:tc>
        <w:tc>
          <w:tcPr>
            <w:tcW w:w="9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547.11</w:t>
            </w:r>
          </w:p>
        </w:tc>
        <w:tc>
          <w:tcPr>
            <w:tcW w:w="63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00" w:hRule="atLeast"/>
        </w:trPr>
        <w:tc>
          <w:tcPr>
            <w:tcW w:w="35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972" w:type="dxa"/>
            <w:gridSpan w:val="2"/>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公用经费</w:t>
            </w:r>
          </w:p>
        </w:tc>
        <w:tc>
          <w:tcPr>
            <w:tcW w:w="150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主要用于单位办公经费、公务保障用车等日常支出</w:t>
            </w:r>
          </w:p>
        </w:tc>
        <w:tc>
          <w:tcPr>
            <w:tcW w:w="78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37.82</w:t>
            </w:r>
          </w:p>
        </w:tc>
        <w:tc>
          <w:tcPr>
            <w:tcW w:w="10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37.82</w:t>
            </w:r>
          </w:p>
        </w:tc>
        <w:tc>
          <w:tcPr>
            <w:tcW w:w="66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c>
          <w:tcPr>
            <w:tcW w:w="14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37.82</w:t>
            </w:r>
          </w:p>
        </w:tc>
        <w:tc>
          <w:tcPr>
            <w:tcW w:w="9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37.82</w:t>
            </w:r>
          </w:p>
        </w:tc>
        <w:tc>
          <w:tcPr>
            <w:tcW w:w="63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35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2480"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合　计</w:t>
            </w:r>
          </w:p>
        </w:tc>
        <w:tc>
          <w:tcPr>
            <w:tcW w:w="781"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584.93</w:t>
            </w:r>
          </w:p>
        </w:tc>
        <w:tc>
          <w:tcPr>
            <w:tcW w:w="10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584.93</w:t>
            </w:r>
          </w:p>
        </w:tc>
        <w:tc>
          <w:tcPr>
            <w:tcW w:w="66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w:t>
            </w:r>
          </w:p>
        </w:tc>
        <w:tc>
          <w:tcPr>
            <w:tcW w:w="14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584.93</w:t>
            </w:r>
          </w:p>
        </w:tc>
        <w:tc>
          <w:tcPr>
            <w:tcW w:w="9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584.93</w:t>
            </w:r>
          </w:p>
        </w:tc>
        <w:tc>
          <w:tcPr>
            <w:tcW w:w="63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65" w:hRule="atLeast"/>
        </w:trPr>
        <w:tc>
          <w:tcPr>
            <w:tcW w:w="355"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年度总体目标</w:t>
            </w:r>
          </w:p>
        </w:tc>
        <w:tc>
          <w:tcPr>
            <w:tcW w:w="326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预期目标</w:t>
            </w:r>
          </w:p>
        </w:tc>
        <w:tc>
          <w:tcPr>
            <w:tcW w:w="4720" w:type="dxa"/>
            <w:gridSpan w:val="5"/>
            <w:tcBorders>
              <w:top w:val="single" w:color="000000" w:sz="4" w:space="0"/>
              <w:left w:val="nil"/>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480" w:hRule="atLeast"/>
        </w:trPr>
        <w:tc>
          <w:tcPr>
            <w:tcW w:w="35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326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本年度整体预算资金为584.93万元，主要用于完成保证36人的基本工资、缴纳社保公积金。保障单位日常办公经费，3辆公务用车支出。完成商务商贸流通、工业经济运行，使企业满意度达到90%以上。协调整顿和规范市场经济持续工作职责，负责招商引资工作的协调、组织、管理，完成招商引资任务，促进昌吉市经济发展，带动就业，增加税收。</w:t>
            </w:r>
          </w:p>
        </w:tc>
        <w:tc>
          <w:tcPr>
            <w:tcW w:w="4720" w:type="dxa"/>
            <w:gridSpan w:val="5"/>
            <w:tcBorders>
              <w:top w:val="single" w:color="000000" w:sz="4" w:space="0"/>
              <w:left w:val="nil"/>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本年度完成整体预算资金为584.93万元，主要用于完成36人的基本工资、缴纳社保医保公积金。保障单位日常办公经费，3辆公务用车支出。完成商贸流通、工业经济运行任务，使企业满意度达到90%以上。协调整顿和规范市场经济持续工作职责，负责招商引资工作的协调、组织、管理，完成招商引资任务115亿元，促进昌吉市经济发展，带动就业，增加税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80" w:hRule="atLeast"/>
        </w:trPr>
        <w:tc>
          <w:tcPr>
            <w:tcW w:w="355"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年度绩效指标完成情况</w:t>
            </w:r>
          </w:p>
        </w:tc>
        <w:tc>
          <w:tcPr>
            <w:tcW w:w="44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一级指标</w:t>
            </w:r>
          </w:p>
        </w:tc>
        <w:tc>
          <w:tcPr>
            <w:tcW w:w="52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二级指标</w:t>
            </w:r>
          </w:p>
        </w:tc>
        <w:tc>
          <w:tcPr>
            <w:tcW w:w="228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三级指标</w:t>
            </w:r>
          </w:p>
        </w:tc>
        <w:tc>
          <w:tcPr>
            <w:tcW w:w="166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绩效目标值</w:t>
            </w:r>
          </w:p>
        </w:tc>
        <w:tc>
          <w:tcPr>
            <w:tcW w:w="14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实际完成值</w:t>
            </w:r>
          </w:p>
        </w:tc>
        <w:tc>
          <w:tcPr>
            <w:tcW w:w="9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指标分值</w:t>
            </w:r>
          </w:p>
        </w:tc>
        <w:tc>
          <w:tcPr>
            <w:tcW w:w="63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35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445"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项目完成</w:t>
            </w:r>
          </w:p>
        </w:tc>
        <w:tc>
          <w:tcPr>
            <w:tcW w:w="527"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数量指标</w:t>
            </w:r>
          </w:p>
        </w:tc>
        <w:tc>
          <w:tcPr>
            <w:tcW w:w="228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发放次数</w:t>
            </w:r>
          </w:p>
        </w:tc>
        <w:tc>
          <w:tcPr>
            <w:tcW w:w="166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=12.00次</w:t>
            </w:r>
          </w:p>
        </w:tc>
        <w:tc>
          <w:tcPr>
            <w:tcW w:w="14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=12次</w:t>
            </w:r>
          </w:p>
        </w:tc>
        <w:tc>
          <w:tcPr>
            <w:tcW w:w="9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w:t>
            </w:r>
          </w:p>
        </w:tc>
        <w:tc>
          <w:tcPr>
            <w:tcW w:w="63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35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44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52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228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公务保障用车数量</w:t>
            </w:r>
          </w:p>
        </w:tc>
        <w:tc>
          <w:tcPr>
            <w:tcW w:w="166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=3.00辆</w:t>
            </w:r>
          </w:p>
        </w:tc>
        <w:tc>
          <w:tcPr>
            <w:tcW w:w="14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=3辆</w:t>
            </w:r>
          </w:p>
        </w:tc>
        <w:tc>
          <w:tcPr>
            <w:tcW w:w="9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w:t>
            </w:r>
          </w:p>
        </w:tc>
        <w:tc>
          <w:tcPr>
            <w:tcW w:w="63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35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44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52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228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保障办公人员数量</w:t>
            </w:r>
          </w:p>
        </w:tc>
        <w:tc>
          <w:tcPr>
            <w:tcW w:w="166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=36.00人</w:t>
            </w:r>
          </w:p>
        </w:tc>
        <w:tc>
          <w:tcPr>
            <w:tcW w:w="14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=36人</w:t>
            </w:r>
          </w:p>
        </w:tc>
        <w:tc>
          <w:tcPr>
            <w:tcW w:w="9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w:t>
            </w:r>
          </w:p>
        </w:tc>
        <w:tc>
          <w:tcPr>
            <w:tcW w:w="63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35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44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52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质量指标</w:t>
            </w:r>
          </w:p>
        </w:tc>
        <w:tc>
          <w:tcPr>
            <w:tcW w:w="228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工作完成率</w:t>
            </w:r>
          </w:p>
        </w:tc>
        <w:tc>
          <w:tcPr>
            <w:tcW w:w="166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=100.00%</w:t>
            </w:r>
          </w:p>
        </w:tc>
        <w:tc>
          <w:tcPr>
            <w:tcW w:w="14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9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w:t>
            </w:r>
          </w:p>
        </w:tc>
        <w:tc>
          <w:tcPr>
            <w:tcW w:w="63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35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44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527"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时效指标</w:t>
            </w:r>
          </w:p>
        </w:tc>
        <w:tc>
          <w:tcPr>
            <w:tcW w:w="228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项目完成时间</w:t>
            </w:r>
          </w:p>
        </w:tc>
        <w:tc>
          <w:tcPr>
            <w:tcW w:w="166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2022年12月31日</w:t>
            </w:r>
          </w:p>
        </w:tc>
        <w:tc>
          <w:tcPr>
            <w:tcW w:w="14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9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w:t>
            </w:r>
          </w:p>
        </w:tc>
        <w:tc>
          <w:tcPr>
            <w:tcW w:w="63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35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44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52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228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公用经费支付及时率</w:t>
            </w:r>
          </w:p>
        </w:tc>
        <w:tc>
          <w:tcPr>
            <w:tcW w:w="166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=100.00%</w:t>
            </w:r>
          </w:p>
        </w:tc>
        <w:tc>
          <w:tcPr>
            <w:tcW w:w="14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9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w:t>
            </w:r>
          </w:p>
        </w:tc>
        <w:tc>
          <w:tcPr>
            <w:tcW w:w="63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35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44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527"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成本指标</w:t>
            </w:r>
          </w:p>
        </w:tc>
        <w:tc>
          <w:tcPr>
            <w:tcW w:w="228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人员经费总成本</w:t>
            </w:r>
          </w:p>
        </w:tc>
        <w:tc>
          <w:tcPr>
            <w:tcW w:w="166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=547.11万元</w:t>
            </w:r>
          </w:p>
        </w:tc>
        <w:tc>
          <w:tcPr>
            <w:tcW w:w="14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=547.11万元</w:t>
            </w:r>
          </w:p>
        </w:tc>
        <w:tc>
          <w:tcPr>
            <w:tcW w:w="9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w:t>
            </w:r>
          </w:p>
        </w:tc>
        <w:tc>
          <w:tcPr>
            <w:tcW w:w="63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35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44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52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228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人均运转经费数</w:t>
            </w:r>
          </w:p>
        </w:tc>
        <w:tc>
          <w:tcPr>
            <w:tcW w:w="166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=1.05万元</w:t>
            </w:r>
          </w:p>
        </w:tc>
        <w:tc>
          <w:tcPr>
            <w:tcW w:w="14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=1.05万元</w:t>
            </w:r>
          </w:p>
        </w:tc>
        <w:tc>
          <w:tcPr>
            <w:tcW w:w="9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w:t>
            </w:r>
          </w:p>
        </w:tc>
        <w:tc>
          <w:tcPr>
            <w:tcW w:w="63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35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445"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项目效益</w:t>
            </w:r>
          </w:p>
        </w:tc>
        <w:tc>
          <w:tcPr>
            <w:tcW w:w="52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经济效益指标</w:t>
            </w:r>
          </w:p>
        </w:tc>
        <w:tc>
          <w:tcPr>
            <w:tcW w:w="228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招商引资完成额</w:t>
            </w:r>
          </w:p>
        </w:tc>
        <w:tc>
          <w:tcPr>
            <w:tcW w:w="166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&gt;=10000.00万元</w:t>
            </w:r>
          </w:p>
        </w:tc>
        <w:tc>
          <w:tcPr>
            <w:tcW w:w="14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&gt;=1150000万元</w:t>
            </w:r>
          </w:p>
        </w:tc>
        <w:tc>
          <w:tcPr>
            <w:tcW w:w="9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35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44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52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社会效益指标</w:t>
            </w:r>
          </w:p>
        </w:tc>
        <w:tc>
          <w:tcPr>
            <w:tcW w:w="228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解决劳动人口就业</w:t>
            </w:r>
          </w:p>
        </w:tc>
        <w:tc>
          <w:tcPr>
            <w:tcW w:w="166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&gt;=50.00人</w:t>
            </w:r>
          </w:p>
        </w:tc>
        <w:tc>
          <w:tcPr>
            <w:tcW w:w="14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&gt;=70人</w:t>
            </w:r>
          </w:p>
        </w:tc>
        <w:tc>
          <w:tcPr>
            <w:tcW w:w="9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35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44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52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生态效益指标</w:t>
            </w:r>
          </w:p>
        </w:tc>
        <w:tc>
          <w:tcPr>
            <w:tcW w:w="228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c>
          <w:tcPr>
            <w:tcW w:w="166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c>
          <w:tcPr>
            <w:tcW w:w="14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c>
          <w:tcPr>
            <w:tcW w:w="9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c>
          <w:tcPr>
            <w:tcW w:w="63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35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44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52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可持续影响指标</w:t>
            </w:r>
          </w:p>
        </w:tc>
        <w:tc>
          <w:tcPr>
            <w:tcW w:w="228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有效促进经济发展</w:t>
            </w:r>
          </w:p>
        </w:tc>
        <w:tc>
          <w:tcPr>
            <w:tcW w:w="166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有效促进</w:t>
            </w:r>
          </w:p>
        </w:tc>
        <w:tc>
          <w:tcPr>
            <w:tcW w:w="14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100%</w:t>
            </w:r>
          </w:p>
        </w:tc>
        <w:tc>
          <w:tcPr>
            <w:tcW w:w="9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c>
          <w:tcPr>
            <w:tcW w:w="63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35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445"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满意度指标</w:t>
            </w:r>
          </w:p>
        </w:tc>
        <w:tc>
          <w:tcPr>
            <w:tcW w:w="527"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满意度指标</w:t>
            </w:r>
          </w:p>
        </w:tc>
        <w:tc>
          <w:tcPr>
            <w:tcW w:w="228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企业满意度</w:t>
            </w:r>
          </w:p>
        </w:tc>
        <w:tc>
          <w:tcPr>
            <w:tcW w:w="166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&gt;=90.00%</w:t>
            </w:r>
          </w:p>
        </w:tc>
        <w:tc>
          <w:tcPr>
            <w:tcW w:w="14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&gt;=92%</w:t>
            </w:r>
          </w:p>
        </w:tc>
        <w:tc>
          <w:tcPr>
            <w:tcW w:w="9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63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35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44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52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color w:val="000000"/>
                <w:sz w:val="18"/>
                <w:szCs w:val="18"/>
                <w:u w:val="none"/>
              </w:rPr>
            </w:pPr>
          </w:p>
        </w:tc>
        <w:tc>
          <w:tcPr>
            <w:tcW w:w="228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职工满意度</w:t>
            </w:r>
          </w:p>
        </w:tc>
        <w:tc>
          <w:tcPr>
            <w:tcW w:w="166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&gt;=98.00%</w:t>
            </w:r>
          </w:p>
        </w:tc>
        <w:tc>
          <w:tcPr>
            <w:tcW w:w="14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&gt;=98%</w:t>
            </w:r>
          </w:p>
        </w:tc>
        <w:tc>
          <w:tcPr>
            <w:tcW w:w="9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c>
          <w:tcPr>
            <w:tcW w:w="63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bdr w:val="none" w:color="auto" w:sz="0" w:space="0"/>
                <w:lang w:val="en-US" w:eastAsia="zh-CN" w:bidi="ar"/>
              </w:rPr>
              <w:t>5</w:t>
            </w:r>
          </w:p>
        </w:tc>
      </w:tr>
    </w:tbl>
    <w:p>
      <w:pPr>
        <w:pStyle w:val="2"/>
        <w:rPr>
          <w:color w:val="auto"/>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titlePg/>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B0604020202020204"/>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altName w:val="Malgun Gothic"/>
    <w:panose1 w:val="020B0502040204020203"/>
    <w:charset w:val="80"/>
    <w:family w:val="swiss"/>
    <w:pitch w:val="default"/>
    <w:sig w:usb0="00000000" w:usb1="00000000" w:usb2="00000012" w:usb3="00000000" w:csb0="003E01BD" w:csb1="00000000"/>
  </w:font>
  <w:font w:name="楷体_GB2312">
    <w:altName w:val="楷体"/>
    <w:panose1 w:val="020B0604020202020204"/>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0000000000000000000"/>
    <w:charset w:val="00"/>
    <w:family w:val="auto"/>
    <w:pitch w:val="default"/>
    <w:sig w:usb0="00000000" w:usb1="00000000" w:usb2="00000000" w:usb3="00000000" w:csb0="00000000" w:csb1="00000000"/>
  </w:font>
  <w:font w:name="Malgun Gothic">
    <w:panose1 w:val="020B0503020000020004"/>
    <w:charset w:val="81"/>
    <w:family w:val="auto"/>
    <w:pitch w:val="default"/>
    <w:sig w:usb0="900002AF" w:usb1="01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5018A3"/>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449B"/>
    <w:rsid w:val="07D07530"/>
    <w:rsid w:val="08170519"/>
    <w:rsid w:val="08436556"/>
    <w:rsid w:val="0856616F"/>
    <w:rsid w:val="08622524"/>
    <w:rsid w:val="086A7EAD"/>
    <w:rsid w:val="08881A41"/>
    <w:rsid w:val="08E604A1"/>
    <w:rsid w:val="08EF03CC"/>
    <w:rsid w:val="092D6339"/>
    <w:rsid w:val="097A0CA3"/>
    <w:rsid w:val="09DA2AA5"/>
    <w:rsid w:val="0A1A2F7A"/>
    <w:rsid w:val="0A570F00"/>
    <w:rsid w:val="0A7B4B38"/>
    <w:rsid w:val="0A8B6F63"/>
    <w:rsid w:val="0AD23979"/>
    <w:rsid w:val="0AE14729"/>
    <w:rsid w:val="0B4635B9"/>
    <w:rsid w:val="0B6C582B"/>
    <w:rsid w:val="0B735A1E"/>
    <w:rsid w:val="0B927CE4"/>
    <w:rsid w:val="0BB6664C"/>
    <w:rsid w:val="0BCC05A7"/>
    <w:rsid w:val="0C1D3D6A"/>
    <w:rsid w:val="0C537ED5"/>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6D6EC5"/>
    <w:rsid w:val="0E9E33B0"/>
    <w:rsid w:val="0EF905AA"/>
    <w:rsid w:val="0F140AC0"/>
    <w:rsid w:val="0F14215B"/>
    <w:rsid w:val="0F3C74C6"/>
    <w:rsid w:val="0F541DF8"/>
    <w:rsid w:val="0FE06440"/>
    <w:rsid w:val="1049193F"/>
    <w:rsid w:val="10566744"/>
    <w:rsid w:val="10625CF9"/>
    <w:rsid w:val="10950DBA"/>
    <w:rsid w:val="10B52A92"/>
    <w:rsid w:val="10D40475"/>
    <w:rsid w:val="10E135C0"/>
    <w:rsid w:val="113051CE"/>
    <w:rsid w:val="114E5553"/>
    <w:rsid w:val="1193547A"/>
    <w:rsid w:val="1199679A"/>
    <w:rsid w:val="11B513B1"/>
    <w:rsid w:val="11C51460"/>
    <w:rsid w:val="12160F32"/>
    <w:rsid w:val="125D71C3"/>
    <w:rsid w:val="129C5FBF"/>
    <w:rsid w:val="132A631E"/>
    <w:rsid w:val="132D6A49"/>
    <w:rsid w:val="13332723"/>
    <w:rsid w:val="13336BAF"/>
    <w:rsid w:val="134D7FF4"/>
    <w:rsid w:val="13A27094"/>
    <w:rsid w:val="13B42D72"/>
    <w:rsid w:val="13D06674"/>
    <w:rsid w:val="13D44D7F"/>
    <w:rsid w:val="14084B7F"/>
    <w:rsid w:val="14120FE1"/>
    <w:rsid w:val="142C48EB"/>
    <w:rsid w:val="143E5526"/>
    <w:rsid w:val="14703A03"/>
    <w:rsid w:val="14881CC5"/>
    <w:rsid w:val="1493153C"/>
    <w:rsid w:val="14B33F8F"/>
    <w:rsid w:val="14F81E1D"/>
    <w:rsid w:val="15343BE6"/>
    <w:rsid w:val="15357338"/>
    <w:rsid w:val="153612FD"/>
    <w:rsid w:val="154136C6"/>
    <w:rsid w:val="15530DDD"/>
    <w:rsid w:val="156F1B1C"/>
    <w:rsid w:val="15A903B2"/>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A62CEF"/>
    <w:rsid w:val="19B05D52"/>
    <w:rsid w:val="19FC0A98"/>
    <w:rsid w:val="1A0D43A0"/>
    <w:rsid w:val="1A50150C"/>
    <w:rsid w:val="1AE12836"/>
    <w:rsid w:val="1AE925F4"/>
    <w:rsid w:val="1B1E5A2B"/>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1ADF"/>
    <w:rsid w:val="26F02D0C"/>
    <w:rsid w:val="26FD226B"/>
    <w:rsid w:val="27006B49"/>
    <w:rsid w:val="27367DFA"/>
    <w:rsid w:val="273C2CA3"/>
    <w:rsid w:val="277371F3"/>
    <w:rsid w:val="278E79B1"/>
    <w:rsid w:val="27C51152"/>
    <w:rsid w:val="284171EC"/>
    <w:rsid w:val="286B4689"/>
    <w:rsid w:val="289F2164"/>
    <w:rsid w:val="28B60026"/>
    <w:rsid w:val="28CC72FC"/>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51087B"/>
    <w:rsid w:val="2D5672ED"/>
    <w:rsid w:val="2DB93477"/>
    <w:rsid w:val="2DCC4C5F"/>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3EA6E32"/>
    <w:rsid w:val="34054358"/>
    <w:rsid w:val="3417608E"/>
    <w:rsid w:val="342E7F12"/>
    <w:rsid w:val="343E7569"/>
    <w:rsid w:val="34496D65"/>
    <w:rsid w:val="345459E1"/>
    <w:rsid w:val="346976B5"/>
    <w:rsid w:val="346B7F37"/>
    <w:rsid w:val="34A94CBA"/>
    <w:rsid w:val="34B92F28"/>
    <w:rsid w:val="35031EB5"/>
    <w:rsid w:val="35DE49C0"/>
    <w:rsid w:val="35FA7EA7"/>
    <w:rsid w:val="360165F5"/>
    <w:rsid w:val="363B291C"/>
    <w:rsid w:val="363E1F63"/>
    <w:rsid w:val="37206D7C"/>
    <w:rsid w:val="375B421F"/>
    <w:rsid w:val="37905AF3"/>
    <w:rsid w:val="37A34800"/>
    <w:rsid w:val="37E02280"/>
    <w:rsid w:val="38026202"/>
    <w:rsid w:val="383B1C65"/>
    <w:rsid w:val="38764896"/>
    <w:rsid w:val="388D632D"/>
    <w:rsid w:val="389500DB"/>
    <w:rsid w:val="38962C73"/>
    <w:rsid w:val="38C05FA5"/>
    <w:rsid w:val="38CD3EED"/>
    <w:rsid w:val="38DF1F43"/>
    <w:rsid w:val="390339EB"/>
    <w:rsid w:val="39D66640"/>
    <w:rsid w:val="3A026879"/>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EFF3416"/>
    <w:rsid w:val="3F24659E"/>
    <w:rsid w:val="3F2E2C76"/>
    <w:rsid w:val="3F3B5C85"/>
    <w:rsid w:val="3F3E0088"/>
    <w:rsid w:val="3F6E51CB"/>
    <w:rsid w:val="40006CAB"/>
    <w:rsid w:val="4006594D"/>
    <w:rsid w:val="40085D42"/>
    <w:rsid w:val="402E562B"/>
    <w:rsid w:val="4046343E"/>
    <w:rsid w:val="40463EAA"/>
    <w:rsid w:val="405007A0"/>
    <w:rsid w:val="4061544C"/>
    <w:rsid w:val="40710710"/>
    <w:rsid w:val="40F61FC7"/>
    <w:rsid w:val="410A06F9"/>
    <w:rsid w:val="4125037B"/>
    <w:rsid w:val="41297950"/>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220B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3B1344"/>
    <w:rsid w:val="4D8C30FA"/>
    <w:rsid w:val="4D960495"/>
    <w:rsid w:val="4E1A2AF8"/>
    <w:rsid w:val="4E3E44C6"/>
    <w:rsid w:val="4E9D6C5F"/>
    <w:rsid w:val="4ED065C7"/>
    <w:rsid w:val="4ED60D0E"/>
    <w:rsid w:val="4F241DE5"/>
    <w:rsid w:val="4F3F4486"/>
    <w:rsid w:val="4F5E0911"/>
    <w:rsid w:val="4F6C7D95"/>
    <w:rsid w:val="4F7B7863"/>
    <w:rsid w:val="4FBC77EB"/>
    <w:rsid w:val="4FBD4AFA"/>
    <w:rsid w:val="4FC02E9D"/>
    <w:rsid w:val="50206576"/>
    <w:rsid w:val="50303A7C"/>
    <w:rsid w:val="50453781"/>
    <w:rsid w:val="50A26FF3"/>
    <w:rsid w:val="512C2A3F"/>
    <w:rsid w:val="51525315"/>
    <w:rsid w:val="515C17D5"/>
    <w:rsid w:val="519223A8"/>
    <w:rsid w:val="51B45CF8"/>
    <w:rsid w:val="51CB5559"/>
    <w:rsid w:val="520F3713"/>
    <w:rsid w:val="5222438B"/>
    <w:rsid w:val="52907D11"/>
    <w:rsid w:val="52CF7054"/>
    <w:rsid w:val="52EA6EF6"/>
    <w:rsid w:val="52FD6971"/>
    <w:rsid w:val="53223E56"/>
    <w:rsid w:val="53275AB8"/>
    <w:rsid w:val="536D4B1A"/>
    <w:rsid w:val="537D5DC6"/>
    <w:rsid w:val="5388089F"/>
    <w:rsid w:val="53B05A8D"/>
    <w:rsid w:val="53D745FA"/>
    <w:rsid w:val="53E40714"/>
    <w:rsid w:val="53FD29C3"/>
    <w:rsid w:val="541F5ED8"/>
    <w:rsid w:val="5434209F"/>
    <w:rsid w:val="54467244"/>
    <w:rsid w:val="54511C79"/>
    <w:rsid w:val="54520573"/>
    <w:rsid w:val="547D34B8"/>
    <w:rsid w:val="548D7C01"/>
    <w:rsid w:val="54942775"/>
    <w:rsid w:val="549C23F0"/>
    <w:rsid w:val="54B8713B"/>
    <w:rsid w:val="54E51C3D"/>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9D684F"/>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374099"/>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CE6A21"/>
    <w:rsid w:val="60DC42D6"/>
    <w:rsid w:val="61217D14"/>
    <w:rsid w:val="613172F2"/>
    <w:rsid w:val="6142313B"/>
    <w:rsid w:val="614D3BC8"/>
    <w:rsid w:val="614F44C9"/>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6E378E4"/>
    <w:rsid w:val="67024FEA"/>
    <w:rsid w:val="671073D1"/>
    <w:rsid w:val="678E06CE"/>
    <w:rsid w:val="679A602D"/>
    <w:rsid w:val="67E028BC"/>
    <w:rsid w:val="67FE6D8E"/>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DF76D6D"/>
    <w:rsid w:val="6E2D7393"/>
    <w:rsid w:val="6E6E6F1D"/>
    <w:rsid w:val="6E823EA0"/>
    <w:rsid w:val="6E985F27"/>
    <w:rsid w:val="6EA63453"/>
    <w:rsid w:val="6F1C4DB2"/>
    <w:rsid w:val="6F293DA9"/>
    <w:rsid w:val="6F6A53B1"/>
    <w:rsid w:val="6FC83C68"/>
    <w:rsid w:val="6FCE226C"/>
    <w:rsid w:val="6FE928F6"/>
    <w:rsid w:val="6FF67EDB"/>
    <w:rsid w:val="703A0422"/>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212910"/>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85788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5">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99"/>
    <w:pPr>
      <w:spacing w:after="120"/>
    </w:pPr>
    <w:rPr>
      <w:rFonts w:ascii="Times New Roman" w:hAnsi="Times New Roman" w:eastAsia="宋体"/>
    </w:rPr>
  </w:style>
  <w:style w:type="paragraph" w:styleId="6">
    <w:name w:val="annotation text"/>
    <w:basedOn w:val="1"/>
    <w:qFormat/>
    <w:uiPriority w:val="0"/>
    <w:pPr>
      <w:jc w:val="left"/>
    </w:p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字符"/>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字符"/>
    <w:basedOn w:val="11"/>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16</Pages>
  <Words>999</Words>
  <Characters>5700</Characters>
  <Lines>47</Lines>
  <Paragraphs>13</Paragraphs>
  <TotalTime>1</TotalTime>
  <ScaleCrop>false</ScaleCrop>
  <LinksUpToDate>false</LinksUpToDate>
  <CharactersWithSpaces>6686</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2023-02-21T08:43:25Z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6D9A37AB7AF3446691C9BD3050002BEB</vt:lpwstr>
  </property>
</Properties>
</file>