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昌吉市绿洲路社区卫生服务中心</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left="4677" w:leftChars="256" w:hanging="3960" w:hangingChars="110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昌吉市绿洲路社区卫生服务中心</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15</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11"/>
        <w:ind w:firstLine="640"/>
        <w:rPr>
          <w:rFonts w:hint="eastAsia" w:ascii="仿宋_GB2312" w:hAnsi="宋体" w:eastAsia="仿宋_GB2312" w:cs="Times New Roman"/>
          <w:sz w:val="32"/>
          <w:szCs w:val="32"/>
        </w:rPr>
      </w:pPr>
      <w:r>
        <w:rPr>
          <w:rFonts w:hint="eastAsia" w:ascii="仿宋_GB2312" w:hAnsi="宋体" w:eastAsia="仿宋_GB2312"/>
          <w:sz w:val="32"/>
          <w:szCs w:val="32"/>
        </w:rPr>
        <w:t>昌吉市绿洲路社区卫生服务</w:t>
      </w:r>
      <w:r>
        <w:rPr>
          <w:rFonts w:hint="eastAsia" w:ascii="仿宋_GB2312" w:hAnsi="宋体" w:eastAsia="仿宋_GB2312" w:cs="Times New Roman"/>
          <w:sz w:val="32"/>
          <w:szCs w:val="32"/>
        </w:rPr>
        <w:t>中心于2011年1月正式成立</w:t>
      </w:r>
      <w:r>
        <w:rPr>
          <w:rFonts w:hint="eastAsia" w:ascii="仿宋_GB2312" w:hAnsi="宋体" w:eastAsia="仿宋_GB2312" w:cs="Times New Roman"/>
          <w:sz w:val="32"/>
          <w:szCs w:val="32"/>
          <w:lang w:eastAsia="zh-CN"/>
        </w:rPr>
        <w:t>，</w:t>
      </w:r>
      <w:r>
        <w:rPr>
          <w:rFonts w:hint="eastAsia" w:ascii="仿宋_GB2312" w:hAnsi="宋体" w:eastAsia="仿宋_GB2312" w:cs="Times New Roman"/>
          <w:sz w:val="32"/>
          <w:szCs w:val="32"/>
        </w:rPr>
        <w:t>是集预防保健科、全科</w:t>
      </w:r>
      <w:r>
        <w:rPr>
          <w:rFonts w:hint="eastAsia" w:ascii="仿宋_GB2312" w:hAnsi="宋体" w:eastAsia="仿宋_GB2312" w:cs="Times New Roman"/>
          <w:sz w:val="32"/>
          <w:szCs w:val="32"/>
          <w:lang w:eastAsia="zh-CN"/>
        </w:rPr>
        <w:t>诊疗</w:t>
      </w:r>
      <w:r>
        <w:rPr>
          <w:rFonts w:hint="eastAsia" w:ascii="仿宋_GB2312" w:hAnsi="宋体" w:eastAsia="仿宋_GB2312" w:cs="Times New Roman"/>
          <w:sz w:val="32"/>
          <w:szCs w:val="32"/>
        </w:rPr>
        <w:t>科、中医</w:t>
      </w:r>
      <w:r>
        <w:rPr>
          <w:rFonts w:hint="eastAsia" w:ascii="仿宋_GB2312" w:hAnsi="宋体" w:eastAsia="仿宋_GB2312" w:cs="Times New Roman"/>
          <w:sz w:val="32"/>
          <w:szCs w:val="32"/>
          <w:lang w:eastAsia="zh-CN"/>
        </w:rPr>
        <w:t>康复</w:t>
      </w:r>
      <w:r>
        <w:rPr>
          <w:rFonts w:hint="eastAsia" w:ascii="仿宋_GB2312" w:hAnsi="宋体" w:eastAsia="仿宋_GB2312" w:cs="Times New Roman"/>
          <w:sz w:val="32"/>
          <w:szCs w:val="32"/>
        </w:rPr>
        <w:t>科、医学检验科、医学影像科</w:t>
      </w:r>
      <w:r>
        <w:rPr>
          <w:rFonts w:hint="eastAsia" w:ascii="仿宋_GB2312" w:hAnsi="宋体" w:eastAsia="仿宋_GB2312" w:cs="Times New Roman"/>
          <w:sz w:val="32"/>
          <w:szCs w:val="32"/>
          <w:lang w:eastAsia="zh-CN"/>
        </w:rPr>
        <w:t>、妇科门诊</w:t>
      </w:r>
      <w:r>
        <w:rPr>
          <w:rFonts w:hint="eastAsia" w:ascii="仿宋_GB2312" w:hAnsi="宋体" w:eastAsia="仿宋_GB2312" w:cs="Times New Roman"/>
          <w:sz w:val="32"/>
          <w:szCs w:val="32"/>
        </w:rPr>
        <w:t>为一体的新型医疗保健单位。</w:t>
      </w:r>
      <w:r>
        <w:rPr>
          <w:rFonts w:hint="eastAsia" w:ascii="仿宋_GB2312" w:hAnsi="黑体" w:eastAsia="仿宋_GB2312"/>
          <w:sz w:val="32"/>
          <w:szCs w:val="32"/>
          <w:lang w:val="en-US" w:eastAsia="zh-CN"/>
        </w:rPr>
        <w:t>中心设有科室7个，共有职工71人，其中专业技术人员62人。核定编制35人，现有在编人员31人，男性2人，女性29人，专业结构为：高级职称7人，中级职称14人，初级职称10人；聘用人员41人（男性7人，女性34人），其中专业技术人员31人（主要从事全民体检及公共卫生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pStyle w:val="11"/>
        <w:ind w:firstLine="640"/>
        <w:rPr>
          <w:rFonts w:hint="eastAsia"/>
        </w:rPr>
      </w:pPr>
      <w:r>
        <w:rPr>
          <w:rFonts w:hint="eastAsia" w:ascii="仿宋_GB2312" w:hAnsi="宋体" w:eastAsia="仿宋_GB2312"/>
          <w:sz w:val="32"/>
          <w:szCs w:val="32"/>
        </w:rPr>
        <w:t>主要对本辖区居民提供基本医疗服务，全民健康体检工作，基本公共卫生十四项服务工作。为辖区居民提供优质高效的医疗服务，切实减轻四家州市级医院患者过多压力，减轻病人看病贵看病难的实际困难，减少社会矛盾。</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spacing w:line="560" w:lineRule="exact"/>
        <w:ind w:firstLine="480" w:firstLineChars="150"/>
        <w:jc w:val="left"/>
        <w:rPr>
          <w:rFonts w:hint="eastAsia" w:ascii="仿宋_GB2312" w:hAnsi="宋体" w:eastAsia="仿宋_GB2312"/>
          <w:color w:val="333333"/>
          <w:sz w:val="32"/>
          <w:szCs w:val="32"/>
        </w:rPr>
      </w:pPr>
      <w:r>
        <w:rPr>
          <w:rFonts w:hint="eastAsia" w:cs="仿宋"/>
          <w:sz w:val="32"/>
          <w:szCs w:val="32"/>
          <w:lang w:eastAsia="zh-CN"/>
        </w:rPr>
        <w:t>（</w:t>
      </w:r>
      <w:r>
        <w:rPr>
          <w:rFonts w:hint="eastAsia" w:ascii="仿宋_GB2312" w:hAnsi="宋体" w:eastAsia="仿宋_GB2312"/>
          <w:sz w:val="32"/>
          <w:szCs w:val="32"/>
          <w:lang w:val="en-US" w:eastAsia="zh-CN"/>
        </w:rPr>
        <w:t>1</w:t>
      </w:r>
      <w:r>
        <w:rPr>
          <w:rFonts w:hint="eastAsia" w:ascii="仿宋_GB2312" w:hAnsi="宋体" w:eastAsia="仿宋_GB2312"/>
          <w:sz w:val="32"/>
          <w:szCs w:val="32"/>
          <w:lang w:eastAsia="zh-CN"/>
        </w:rPr>
        <w:t>）</w:t>
      </w:r>
      <w:r>
        <w:rPr>
          <w:rFonts w:hint="eastAsia" w:ascii="仿宋_GB2312" w:hAnsi="宋体" w:eastAsia="仿宋_GB2312"/>
          <w:color w:val="333333"/>
          <w:sz w:val="32"/>
          <w:szCs w:val="32"/>
        </w:rPr>
        <w:t>强化社区卫生服务品牌意识</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一是打造党建示范点，按照党建示范点创建标准打造明星品牌，建立读书角、文化长廊，强化党支部堡垒作用。二是锐意进取，推动社会主义核心价值观落小落细落实，扎实有效推动文明单位创建工作，不断提升干部职工思想道德素质和单位文明程度。三是根据《社区卫生服务中心能力评价指南》，继续做好优质服务基层行服务能力建设。</w:t>
      </w:r>
    </w:p>
    <w:p>
      <w:pPr>
        <w:spacing w:line="560" w:lineRule="exact"/>
        <w:ind w:firstLine="480" w:firstLineChars="15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2</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完善组织管理提升服务能力</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一是进一步完善社区卫生服务中心的组织管理和制度建设，修订完善中心的综合目标奖惩细则、职称晋升管理办法、聘用人员管理办法、中层人员管理、财务内控制度、矛盾纠纷排查机制，确保中心管理能力有效提升。二是执行好“三重一大”及末位表态制，党务政务财务及时全面公开，确保廉洁行医、廉洁从政。</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3</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 xml:space="preserve">持续提升卫生服务能力建设 </w:t>
      </w:r>
    </w:p>
    <w:p>
      <w:pPr>
        <w:spacing w:line="560" w:lineRule="exact"/>
        <w:ind w:firstLine="640" w:firstLineChars="200"/>
        <w:jc w:val="left"/>
        <w:rPr>
          <w:rFonts w:hint="eastAsia" w:ascii="仿宋_GB2312" w:hAnsi="宋体" w:eastAsia="仿宋_GB2312"/>
          <w:color w:val="333333"/>
          <w:sz w:val="32"/>
          <w:szCs w:val="32"/>
          <w:lang w:val="en-US" w:eastAsia="zh-CN"/>
        </w:rPr>
      </w:pPr>
      <w:r>
        <w:rPr>
          <w:rFonts w:hint="eastAsia" w:ascii="仿宋_GB2312" w:hAnsi="宋体" w:eastAsia="仿宋_GB2312"/>
          <w:color w:val="333333"/>
          <w:sz w:val="32"/>
          <w:szCs w:val="32"/>
        </w:rPr>
        <w:t>一是严把人员准入关口，确保新入职人员持证率100%。二是选派人员参加全科医师转岗培训，力争三年内在岗临床医生全部取得全科医师执业证书。四是选派取得中级职称三年以上的医师参加全科医师师资培训，不断壮大住院医师规范化培训师资带教队伍。五是选派医生进修儿童保健、五官科等社区急需的专业。六是鼓励积极申报科研课题、撰写全科医学和社区卫生服务科研论文，争取参加高品质的学术交流或骨干培训班。七是中级以上职称的专业技术人员必须达到继续医学教育规定的学分。八是每季度开展各专业三基培训及考核。通过以上方式持续提升社区卫生服务能力建设。</w:t>
      </w:r>
      <w:r>
        <w:rPr>
          <w:rFonts w:hint="eastAsia" w:ascii="仿宋_GB2312" w:hAnsi="宋体" w:eastAsia="仿宋_GB2312"/>
          <w:color w:val="333333"/>
          <w:sz w:val="32"/>
          <w:szCs w:val="32"/>
          <w:lang w:val="en-US" w:eastAsia="zh-CN"/>
        </w:rPr>
        <w:t xml:space="preserve">   </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4</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提供方便、快捷、安全、高质量的医疗服务。</w:t>
      </w:r>
    </w:p>
    <w:p>
      <w:pPr>
        <w:numPr>
          <w:ilvl w:val="0"/>
          <w:numId w:val="0"/>
        </w:num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一是积极探索实行“首诊在中心、大病去医院、小病在社区，康复回社区，双向转诊、分级负责”的管理模式。二是充分发挥医疗安全领导小组的职能，认真落实各项规章制度和岗位职责，严格各项技术操作规程。深入学习《医疗事故处理办法》及《医疗文书书写规范》，严格落实差错事故登记上报制度。三是处理社区常见健康问题，规范抗生素的合理使用，建立健全质控职能，及时提供家庭出诊、家庭访视等家庭卫生服务。四是加强医德医风建设，培养医务人员爱岗敬业、认真负责的工作作风，切实改善服务态度，避免因服务不周而引起的医患纠纷。五是不断提高护理质量，严格遵守护理操作规程，勤检查，重督导，总结经验，提供优质护理服务。六是落实各项院感防控制度，杜绝发生院内感染事件；严格执行《医用垃圾处理办法》，医用废物处理率100％。</w:t>
      </w:r>
    </w:p>
    <w:p>
      <w:pPr>
        <w:spacing w:line="560" w:lineRule="exact"/>
        <w:ind w:firstLine="800" w:firstLineChars="25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5</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推进基本公共卫生服务到位</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一是结合20</w:t>
      </w:r>
      <w:r>
        <w:rPr>
          <w:rFonts w:hint="default" w:ascii="仿宋_GB2312" w:hAnsi="宋体" w:eastAsia="仿宋_GB2312"/>
          <w:color w:val="333333"/>
          <w:sz w:val="32"/>
          <w:szCs w:val="32"/>
          <w:lang w:val="en-US"/>
        </w:rPr>
        <w:t>2</w:t>
      </w:r>
      <w:r>
        <w:rPr>
          <w:rFonts w:hint="eastAsia" w:ascii="仿宋_GB2312" w:hAnsi="宋体" w:eastAsia="仿宋_GB2312"/>
          <w:color w:val="333333"/>
          <w:sz w:val="32"/>
          <w:szCs w:val="32"/>
          <w:lang w:val="en-US" w:eastAsia="zh-CN"/>
        </w:rPr>
        <w:t>1</w:t>
      </w:r>
      <w:r>
        <w:rPr>
          <w:rFonts w:hint="eastAsia" w:ascii="仿宋_GB2312" w:hAnsi="宋体" w:eastAsia="仿宋_GB2312"/>
          <w:color w:val="333333"/>
          <w:sz w:val="32"/>
          <w:szCs w:val="32"/>
        </w:rPr>
        <w:t>年全民健康体检疾病谱分析结果，制定有针对性的健康教育讲座计划，统筹兼顾中医药保健、传染病防治、肿瘤预防等内容，使健康教育效果持续提升。二是定期巡查，积极预防和及时发现各类传染病及职业病，做好疫情处置及职业危害的预防。三是结合孕优检查及孕产妇规范管理，降低孕产妇高危因素死亡及儿童出生缺陷率。四是0-6岁儿童按时体检、规范管理，促进儿童身心健康发育。五是打造智慧化接种门诊，提高儿童规范接种率和居民满意度。六是推进“两卡制”落地，提升常住居民的体检、建档管理以及高血压、糖尿病等慢性病随访管理的真实性和规范性；执行好35岁以上居民首诊测量血压，及时发现高血压病纳入管理。七是对重型精神病患者按期评估、随访，力争规范管理率达到75%。八是结合全民健康体检持续做好结核病筛查、转诊及规范管理，及时足量发放营养早餐，有效降低结核发病率。九是发扬中医药健康管理优势，通过中医体质辨识和儿童中医调养，持续推进中医药事业发展。十是推进家庭医生签约服务，签约一人履约一人，探索家庭医生服务内容及方式。十一是协助卫生执法监督局做好辖区内食源性疾病监测、学校卫生服务、非法行医和非法采供血、计划生育相关信息报告等。十二是对包虫病、布病、鼠疫、碘缺乏病地方病的病人建档管理并按时随访。</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6</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保质保量完成全民健康体检工作。</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一是根据《昌吉州全民健康体检质量控制规范》白皮书手册要求，认真落实体检规范。对中心及下设民营医院、社区卫生服务站体检医师的资质执行准入管理，提升体检医师的理论及操作能力，由总检医师根据体检内容对参与体检的相关人员进行培训及考核。二是加大宣传力度、动员居民广泛参与，设立宣传栏，发放宣传手册及宣传品，告知全民免费健康体检相关流程，提高居民健康体检参与度。三是对体检设备定期维护保养及年审校验，保证体检数据误差在允许范围内；加强体检质量三级质控，确保体检结果同质化。四是做好A类和B类危急值管理，督促患者及时复查和就诊；下沉体检结果反馈和一般阳性管理，提升居民健康管理依从性。</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7</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 xml:space="preserve">加强医技质量治理 </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医技科室建设是提高中心整体诊疗水平，树立中心良好社会形象的重要手段。一是充分利用现有设备，搞好设备维护及保养，发挥每台设备的使用价值，购进DR及生化分析仪、血球分析仪等，补充临床辅助检查需要。二是维修改造放射科及检验科，使放射防护达到控评标准，检验科房屋设置更加合理。三是选派医技人员进修学习，提升心电图、X线片、心脏及颈动脉超声、动态血压、动态心电图的诊断能力，为临床提供可靠的诊断依据。</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8</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提高计划生育技术服务</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继续开展计划生育技术指导、避孕药具发放和咨询点服务。做好查环查孕及孕优随访，帮助重点对象落实避孕措施，开展避孕知识宣教，提高群众对避孕节育措施知晓率。</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9</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落实好健康扶贫惠民政策。</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rPr>
        <w:t>建立贫困人口帮扶机制，落实一户一档，完成体检并签订家庭医生服务协议，开通“一站式结算”及“先诊疗，后付费”通道，做好扶贫政策和健康知识宣教，减少贫困人口因病返贫。</w:t>
      </w:r>
    </w:p>
    <w:p>
      <w:pPr>
        <w:spacing w:line="560" w:lineRule="exact"/>
        <w:ind w:firstLine="480" w:firstLineChars="15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10</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做好辖区社区卫生服务站管理工作。</w:t>
      </w:r>
    </w:p>
    <w:p>
      <w:pPr>
        <w:spacing w:line="560" w:lineRule="exact"/>
        <w:ind w:firstLine="640" w:firstLineChars="200"/>
        <w:jc w:val="left"/>
        <w:rPr>
          <w:rFonts w:hint="eastAsia" w:ascii="仿宋_GB2312" w:hAnsi="宋体" w:eastAsia="仿宋_GB2312"/>
          <w:sz w:val="32"/>
          <w:szCs w:val="32"/>
        </w:rPr>
      </w:pPr>
      <w:r>
        <w:rPr>
          <w:rFonts w:hint="eastAsia" w:ascii="仿宋_GB2312" w:hAnsi="宋体" w:eastAsia="仿宋_GB2312"/>
          <w:color w:val="333333"/>
          <w:sz w:val="32"/>
          <w:szCs w:val="32"/>
        </w:rPr>
        <w:t>一是每月下站指导帮扶卫生服务站各项基本公共卫生、基本医疗、院感等工作，督促各站认真履行职能，规范服务行为。二是结合卫生服务站工作能力，探索下沉公共卫生服务项目和内容，扩大服务覆盖面和管理依从性。三是及时拨付各类服务资金，促进工作积极性，保障卫生服务效益。</w:t>
      </w:r>
    </w:p>
    <w:p>
      <w:pPr>
        <w:pStyle w:val="2"/>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昌吉市绿洲路社区卫生服务中心</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2"/>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0.00</w:t>
      </w:r>
      <w:r>
        <w:rPr>
          <w:rFonts w:hint="eastAsia" w:ascii="仿宋_GB2312" w:hAnsi="楷体" w:eastAsia="仿宋_GB2312"/>
          <w:bCs/>
          <w:spacing w:val="-4"/>
          <w:sz w:val="32"/>
          <w:szCs w:val="32"/>
        </w:rPr>
        <w:t>万元，部门项目总支出金额为</w:t>
      </w:r>
      <w:r>
        <w:rPr>
          <w:rFonts w:hint="eastAsia" w:ascii="仿宋_GB2312" w:eastAsia="仿宋_GB2312"/>
          <w:color w:val="333333"/>
          <w:sz w:val="32"/>
          <w:szCs w:val="32"/>
          <w:lang w:val="en-US" w:eastAsia="zh-CN"/>
        </w:rPr>
        <w:t>931.06</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0.0</w:t>
      </w:r>
      <w:r>
        <w:rPr>
          <w:rFonts w:hint="eastAsia" w:ascii="仿宋_GB2312" w:hAnsi="楷体" w:eastAsia="仿宋_GB2312"/>
          <w:bCs/>
          <w:spacing w:val="-4"/>
          <w:sz w:val="32"/>
          <w:szCs w:val="32"/>
        </w:rPr>
        <w:t>%。</w:t>
      </w:r>
    </w:p>
    <w:p>
      <w:pPr>
        <w:pStyle w:val="2"/>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hAnsi="宋体" w:eastAsia="仿宋_GB2312"/>
          <w:color w:val="333333"/>
          <w:sz w:val="32"/>
          <w:szCs w:val="32"/>
          <w:lang w:eastAsia="zh-CN"/>
        </w:rPr>
        <w:t>昌吉市绿洲路社区卫生服务中心</w:t>
      </w:r>
      <w:r>
        <w:rPr>
          <w:rFonts w:hint="eastAsia" w:ascii="仿宋_GB2312" w:eastAsia="仿宋_GB2312"/>
          <w:bCs/>
          <w:sz w:val="32"/>
          <w:szCs w:val="32"/>
        </w:rPr>
        <w:t>部门单位整体支出年初预算金额为</w:t>
      </w:r>
      <w:r>
        <w:rPr>
          <w:rFonts w:hint="eastAsia" w:ascii="仿宋_GB2312" w:hAnsi="宋体" w:eastAsia="仿宋_GB2312"/>
          <w:color w:val="333333"/>
          <w:sz w:val="32"/>
          <w:szCs w:val="32"/>
          <w:lang w:val="en-US" w:eastAsia="zh-CN"/>
        </w:rPr>
        <w:t>421.27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421.27</w:t>
      </w:r>
      <w:r>
        <w:rPr>
          <w:rFonts w:hint="eastAsia" w:ascii="仿宋_GB2312" w:eastAsia="仿宋_GB2312"/>
          <w:sz w:val="32"/>
          <w:szCs w:val="32"/>
        </w:rPr>
        <w:t>万元，执行率为</w:t>
      </w:r>
      <w:r>
        <w:rPr>
          <w:rFonts w:hint="eastAsia" w:ascii="仿宋_GB2312" w:hAnsi="宋体" w:eastAsia="仿宋_GB2312"/>
          <w:color w:val="333333"/>
          <w:sz w:val="32"/>
          <w:szCs w:val="32"/>
          <w:lang w:val="en-US" w:eastAsia="zh-CN"/>
        </w:rPr>
        <w:t>100.0</w:t>
      </w:r>
      <w:r>
        <w:rPr>
          <w:rFonts w:hint="eastAsia" w:ascii="仿宋_GB2312" w:hAnsi="宋体" w:eastAsia="仿宋_GB2312"/>
          <w:color w:val="333333"/>
          <w:sz w:val="32"/>
          <w:szCs w:val="32"/>
          <w:lang w:val="en-US"/>
        </w:rPr>
        <w:t>%，其中：政府采购年初预算金额为</w:t>
      </w:r>
      <w:r>
        <w:rPr>
          <w:rFonts w:hint="eastAsia" w:ascii="仿宋_GB2312" w:hAnsi="宋体" w:eastAsia="仿宋_GB2312"/>
          <w:color w:val="333333"/>
          <w:sz w:val="32"/>
          <w:szCs w:val="32"/>
          <w:lang w:val="en-US" w:eastAsia="zh-CN"/>
        </w:rPr>
        <w:t>10.15</w:t>
      </w:r>
      <w:r>
        <w:rPr>
          <w:rFonts w:hint="eastAsia" w:ascii="仿宋_GB2312" w:hAnsi="宋体" w:eastAsia="仿宋_GB2312"/>
          <w:color w:val="333333"/>
          <w:sz w:val="32"/>
          <w:szCs w:val="32"/>
          <w:lang w:val="en-US"/>
        </w:rPr>
        <w:t>万元，支出金额为</w:t>
      </w:r>
      <w:r>
        <w:rPr>
          <w:rFonts w:hint="eastAsia" w:ascii="仿宋_GB2312" w:hAnsi="宋体" w:eastAsia="仿宋_GB2312"/>
          <w:color w:val="333333"/>
          <w:sz w:val="32"/>
          <w:szCs w:val="32"/>
          <w:lang w:val="en-US" w:eastAsia="zh-CN"/>
        </w:rPr>
        <w:t>10.15</w:t>
      </w:r>
      <w:r>
        <w:rPr>
          <w:rFonts w:hint="eastAsia" w:ascii="仿宋_GB2312" w:hAnsi="宋体" w:eastAsia="仿宋_GB2312"/>
          <w:color w:val="333333"/>
          <w:sz w:val="32"/>
          <w:szCs w:val="32"/>
          <w:lang w:val="en-US"/>
        </w:rPr>
        <w:t>万</w:t>
      </w:r>
      <w:r>
        <w:rPr>
          <w:rFonts w:hint="eastAsia" w:ascii="仿宋_GB2312" w:eastAsia="仿宋_GB2312"/>
          <w:sz w:val="32"/>
          <w:szCs w:val="32"/>
        </w:rPr>
        <w:t>元，执行率为</w:t>
      </w:r>
      <w:r>
        <w:rPr>
          <w:rFonts w:hint="eastAsia" w:ascii="仿宋_GB2312" w:eastAsia="仿宋_GB2312"/>
          <w:sz w:val="32"/>
          <w:szCs w:val="32"/>
          <w:lang w:val="en-US" w:eastAsia="zh-CN"/>
        </w:rPr>
        <w:t>100.0</w:t>
      </w:r>
      <w:r>
        <w:rPr>
          <w:rFonts w:hint="eastAsia" w:ascii="仿宋_GB2312" w:eastAsia="仿宋_GB2312"/>
          <w:sz w:val="32"/>
          <w:szCs w:val="32"/>
          <w:lang w:val="en-US"/>
        </w:rPr>
        <w:t>%。年中调整预算金</w:t>
      </w:r>
      <w:r>
        <w:rPr>
          <w:rFonts w:hint="eastAsia" w:ascii="仿宋_GB2312" w:eastAsia="仿宋_GB2312"/>
          <w:sz w:val="32"/>
          <w:szCs w:val="32"/>
        </w:rPr>
        <w:t>额为</w:t>
      </w:r>
      <w:r>
        <w:rPr>
          <w:rFonts w:hint="eastAsia" w:ascii="仿宋_GB2312" w:eastAsia="仿宋_GB2312"/>
          <w:color w:val="333333"/>
          <w:sz w:val="32"/>
          <w:szCs w:val="32"/>
          <w:lang w:val="en-US" w:eastAsia="zh-CN"/>
        </w:rPr>
        <w:t>1905.8</w:t>
      </w:r>
      <w:r>
        <w:rPr>
          <w:rFonts w:hint="eastAsia" w:ascii="仿宋_GB2312" w:eastAsia="仿宋_GB2312"/>
          <w:sz w:val="32"/>
          <w:szCs w:val="32"/>
        </w:rPr>
        <w:t>万元，预算调整率为</w:t>
      </w:r>
      <w:r>
        <w:rPr>
          <w:rFonts w:hint="eastAsia" w:ascii="仿宋_GB2312" w:eastAsia="仿宋_GB2312"/>
          <w:sz w:val="32"/>
          <w:szCs w:val="32"/>
          <w:lang w:val="en-US" w:eastAsia="zh-CN"/>
        </w:rPr>
        <w:t>452.4</w:t>
      </w:r>
      <w:r>
        <w:rPr>
          <w:rFonts w:hint="eastAsia" w:ascii="仿宋_GB2312" w:eastAsia="仿宋_GB2312"/>
          <w:sz w:val="32"/>
          <w:szCs w:val="32"/>
        </w:rPr>
        <w:t>%。综上，我单位部门单位整体预算总额为</w:t>
      </w:r>
      <w:r>
        <w:rPr>
          <w:rFonts w:hint="eastAsia" w:ascii="仿宋_GB2312" w:eastAsia="仿宋_GB2312"/>
          <w:color w:val="333333"/>
          <w:sz w:val="32"/>
          <w:szCs w:val="32"/>
          <w:lang w:val="en-US" w:eastAsia="zh-CN"/>
        </w:rPr>
        <w:t>2327.07</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2198.28</w:t>
      </w:r>
      <w:r>
        <w:rPr>
          <w:rFonts w:hint="eastAsia" w:ascii="仿宋_GB2312" w:eastAsia="仿宋_GB2312"/>
          <w:sz w:val="32"/>
          <w:szCs w:val="32"/>
        </w:rPr>
        <w:t>万元，预算总执行率为</w:t>
      </w:r>
      <w:r>
        <w:rPr>
          <w:rFonts w:hint="eastAsia" w:ascii="仿宋_GB2312" w:eastAsia="仿宋_GB2312"/>
          <w:sz w:val="32"/>
          <w:szCs w:val="32"/>
          <w:lang w:val="en-US" w:eastAsia="zh-CN"/>
        </w:rPr>
        <w:t>94.5</w:t>
      </w:r>
      <w:r>
        <w:rPr>
          <w:rFonts w:hint="eastAsia" w:ascii="仿宋_GB2312" w:eastAsia="仿宋_GB2312"/>
          <w:sz w:val="32"/>
          <w:szCs w:val="32"/>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昌吉市绿洲路社区卫生服务中心预算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昌吉市绿洲路社区卫生服务中心</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昌吉市绿洲路社区卫生服务中心</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2"/>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昌吉市绿洲路社区卫生服务中心</w:t>
      </w:r>
      <w:r>
        <w:rPr>
          <w:rFonts w:hint="eastAsia" w:ascii="仿宋_GB2312" w:eastAsia="仿宋_GB2312"/>
          <w:sz w:val="32"/>
          <w:szCs w:val="32"/>
        </w:rPr>
        <w:t>基本支出年初预算金额为</w:t>
      </w:r>
      <w:r>
        <w:rPr>
          <w:rFonts w:hint="eastAsia" w:ascii="仿宋_GB2312" w:hAnsi="宋体" w:eastAsia="仿宋_GB2312"/>
          <w:color w:val="333333"/>
          <w:sz w:val="32"/>
          <w:szCs w:val="32"/>
          <w:lang w:val="en-US" w:eastAsia="zh-CN"/>
        </w:rPr>
        <w:t>421.27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421.27</w:t>
      </w:r>
      <w:r>
        <w:rPr>
          <w:rFonts w:hint="eastAsia" w:ascii="仿宋_GB2312" w:hAnsi="宋体" w:eastAsia="仿宋_GB2312"/>
          <w:color w:val="333333"/>
          <w:sz w:val="32"/>
          <w:szCs w:val="32"/>
          <w:lang w:val="en-US"/>
        </w:rPr>
        <w:t>万元，执行率为</w:t>
      </w:r>
      <w:r>
        <w:rPr>
          <w:rFonts w:hint="eastAsia" w:ascii="仿宋_GB2312" w:hAnsi="宋体" w:eastAsia="仿宋_GB2312"/>
          <w:color w:val="333333"/>
          <w:sz w:val="32"/>
          <w:szCs w:val="32"/>
          <w:lang w:val="en-US" w:eastAsia="zh-CN"/>
        </w:rPr>
        <w:t>100.0</w:t>
      </w:r>
      <w:r>
        <w:rPr>
          <w:rFonts w:hint="eastAsia" w:ascii="仿宋_GB2312" w:hAnsi="宋体" w:eastAsia="仿宋_GB2312"/>
          <w:color w:val="333333"/>
          <w:sz w:val="32"/>
          <w:szCs w:val="32"/>
          <w:lang w:val="en-US"/>
        </w:rPr>
        <w:t>%，</w:t>
      </w:r>
      <w:r>
        <w:rPr>
          <w:rFonts w:hint="eastAsia" w:ascii="仿宋_GB2312" w:eastAsia="仿宋_GB2312"/>
          <w:sz w:val="32"/>
          <w:szCs w:val="32"/>
        </w:rPr>
        <w:t>年中调整预算金额</w:t>
      </w:r>
      <w:r>
        <w:rPr>
          <w:rFonts w:hint="eastAsia" w:ascii="仿宋_GB2312" w:eastAsia="仿宋_GB2312"/>
          <w:sz w:val="32"/>
          <w:szCs w:val="32"/>
          <w:lang w:val="en-US" w:eastAsia="zh-CN"/>
        </w:rPr>
        <w:t>819.92</w:t>
      </w:r>
      <w:r>
        <w:rPr>
          <w:rFonts w:hint="eastAsia" w:ascii="仿宋_GB2312" w:eastAsia="仿宋_GB2312"/>
          <w:sz w:val="32"/>
          <w:szCs w:val="32"/>
        </w:rPr>
        <w:t>万元。综上，我单位基本支出预算总额为</w:t>
      </w:r>
      <w:r>
        <w:rPr>
          <w:rFonts w:hint="eastAsia" w:ascii="仿宋_GB2312" w:eastAsia="仿宋_GB2312"/>
          <w:color w:val="333333"/>
          <w:sz w:val="32"/>
          <w:szCs w:val="32"/>
          <w:lang w:val="en-US" w:eastAsia="zh-CN"/>
        </w:rPr>
        <w:t>1241.19</w:t>
      </w:r>
      <w:r>
        <w:rPr>
          <w:rFonts w:hint="eastAsia" w:ascii="仿宋_GB2312" w:eastAsia="仿宋_GB2312"/>
          <w:sz w:val="32"/>
          <w:szCs w:val="32"/>
        </w:rPr>
        <w:t>万元，支出总额为</w:t>
      </w:r>
      <w:r>
        <w:rPr>
          <w:rFonts w:hint="eastAsia" w:ascii="仿宋_GB2312" w:eastAsia="仿宋_GB2312"/>
          <w:color w:val="333333"/>
          <w:sz w:val="32"/>
          <w:szCs w:val="32"/>
          <w:lang w:val="en-US" w:eastAsia="zh-CN"/>
        </w:rPr>
        <w:t>1241.19</w:t>
      </w:r>
      <w:r>
        <w:rPr>
          <w:rFonts w:hint="eastAsia" w:ascii="仿宋_GB2312" w:eastAsia="仿宋_GB2312"/>
          <w:sz w:val="32"/>
          <w:szCs w:val="32"/>
        </w:rPr>
        <w:t>万元，预算总执行率为</w:t>
      </w:r>
      <w:r>
        <w:rPr>
          <w:rFonts w:hint="eastAsia" w:ascii="仿宋_GB2312" w:eastAsia="仿宋_GB2312"/>
          <w:sz w:val="32"/>
          <w:szCs w:val="32"/>
          <w:lang w:val="en-US" w:eastAsia="zh-CN"/>
        </w:rPr>
        <w:t>100.0</w:t>
      </w:r>
      <w:r>
        <w:rPr>
          <w:rFonts w:hint="eastAsia" w:ascii="仿宋_GB2312" w:eastAsia="仿宋_GB2312"/>
          <w:sz w:val="32"/>
          <w:szCs w:val="32"/>
        </w:rPr>
        <w:t>%，其中人员经费</w:t>
      </w:r>
      <w:r>
        <w:rPr>
          <w:rFonts w:hint="eastAsia" w:ascii="仿宋_GB2312" w:eastAsia="仿宋_GB2312"/>
          <w:color w:val="333333"/>
          <w:sz w:val="32"/>
          <w:szCs w:val="32"/>
          <w:lang w:val="en-US" w:eastAsia="zh-CN"/>
        </w:rPr>
        <w:t>510.60</w:t>
      </w:r>
      <w:r>
        <w:rPr>
          <w:rFonts w:hint="eastAsia" w:ascii="仿宋_GB2312" w:eastAsia="仿宋_GB2312"/>
          <w:sz w:val="32"/>
          <w:szCs w:val="32"/>
        </w:rPr>
        <w:t>万元，公用经费</w:t>
      </w:r>
      <w:r>
        <w:rPr>
          <w:rFonts w:hint="eastAsia" w:ascii="仿宋_GB2312" w:eastAsia="仿宋_GB2312"/>
          <w:color w:val="333333"/>
          <w:sz w:val="32"/>
          <w:szCs w:val="32"/>
          <w:lang w:val="en-US" w:eastAsia="zh-CN"/>
        </w:rPr>
        <w:t>730.59</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1.40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2.40</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减少1.00</w:t>
      </w:r>
      <w:r>
        <w:rPr>
          <w:rFonts w:hint="eastAsia" w:ascii="仿宋_GB2312" w:eastAsia="仿宋_GB2312" w:cs="宋体"/>
          <w:sz w:val="32"/>
          <w:szCs w:val="32"/>
        </w:rPr>
        <w:t>万元，</w:t>
      </w:r>
      <w:r>
        <w:rPr>
          <w:rFonts w:hint="eastAsia" w:ascii="仿宋_GB2312" w:eastAsia="仿宋_GB2312" w:cs="宋体"/>
          <w:sz w:val="32"/>
          <w:szCs w:val="32"/>
          <w:lang w:val="en-US" w:eastAsia="zh-CN"/>
        </w:rPr>
        <w:t>下降41.7</w:t>
      </w:r>
      <w:r>
        <w:rPr>
          <w:rFonts w:hint="eastAsia" w:ascii="仿宋_GB2312" w:eastAsia="仿宋_GB2312" w:cs="宋体"/>
          <w:sz w:val="32"/>
          <w:szCs w:val="32"/>
        </w:rPr>
        <w:t>%。</w:t>
      </w:r>
    </w:p>
    <w:p>
      <w:pPr>
        <w:pStyle w:val="2"/>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hint="eastAsia" w:ascii="仿宋_GB2312" w:eastAsia="仿宋_GB2312"/>
          <w:b/>
          <w:bCs/>
          <w:sz w:val="32"/>
          <w:szCs w:val="32"/>
        </w:rPr>
      </w:pPr>
      <w:r>
        <w:rPr>
          <w:rFonts w:hint="eastAsia" w:ascii="仿宋_GB2312" w:eastAsia="仿宋_GB2312"/>
          <w:b/>
          <w:bCs/>
          <w:sz w:val="32"/>
          <w:szCs w:val="32"/>
        </w:rPr>
        <w:t>1.项目支出情况</w:t>
      </w:r>
    </w:p>
    <w:p>
      <w:pPr>
        <w:ind w:firstLine="640"/>
        <w:rPr>
          <w:rFonts w:hint="eastAsia"/>
          <w:b w:val="0"/>
          <w:bCs w:val="0"/>
          <w:sz w:val="32"/>
          <w:lang w:eastAsia="zh-CN"/>
        </w:rPr>
      </w:pPr>
      <w:r>
        <w:rPr>
          <w:rFonts w:hint="eastAsia"/>
          <w:b w:val="0"/>
          <w:bCs w:val="0"/>
          <w:sz w:val="32"/>
        </w:rPr>
        <w:t>202</w:t>
      </w:r>
      <w:r>
        <w:rPr>
          <w:rFonts w:hint="eastAsia"/>
          <w:b w:val="0"/>
          <w:bCs w:val="0"/>
          <w:sz w:val="32"/>
          <w:lang w:val="en-US" w:eastAsia="zh-CN"/>
        </w:rPr>
        <w:t>2</w:t>
      </w:r>
      <w:r>
        <w:rPr>
          <w:rFonts w:hint="eastAsia"/>
          <w:b w:val="0"/>
          <w:bCs w:val="0"/>
          <w:sz w:val="32"/>
        </w:rPr>
        <w:t>年，</w:t>
      </w:r>
      <w:r>
        <w:rPr>
          <w:rFonts w:hint="eastAsia"/>
          <w:b w:val="0"/>
          <w:bCs w:val="0"/>
          <w:sz w:val="32"/>
          <w:lang w:eastAsia="zh-CN"/>
        </w:rPr>
        <w:t>昌吉市绿洲路社区卫生服务中心</w:t>
      </w:r>
      <w:r>
        <w:rPr>
          <w:rFonts w:hint="eastAsia"/>
          <w:b w:val="0"/>
          <w:bCs w:val="0"/>
          <w:sz w:val="32"/>
        </w:rPr>
        <w:t>项目支出年初预算金额为</w:t>
      </w:r>
      <w:r>
        <w:rPr>
          <w:rFonts w:hint="eastAsia"/>
          <w:b w:val="0"/>
          <w:bCs w:val="0"/>
          <w:sz w:val="32"/>
          <w:lang w:val="en-US" w:eastAsia="zh-CN"/>
        </w:rPr>
        <w:t>0.00</w:t>
      </w:r>
      <w:r>
        <w:rPr>
          <w:rFonts w:hint="eastAsia"/>
          <w:b w:val="0"/>
          <w:bCs w:val="0"/>
          <w:sz w:val="32"/>
        </w:rPr>
        <w:t>万元，支出金额</w:t>
      </w:r>
      <w:r>
        <w:rPr>
          <w:rFonts w:hint="eastAsia"/>
          <w:b w:val="0"/>
          <w:bCs w:val="0"/>
          <w:sz w:val="32"/>
          <w:lang w:eastAsia="zh-CN"/>
        </w:rPr>
        <w:t>为</w:t>
      </w:r>
      <w:r>
        <w:rPr>
          <w:rFonts w:hint="eastAsia"/>
          <w:b w:val="0"/>
          <w:bCs w:val="0"/>
          <w:sz w:val="32"/>
          <w:lang w:val="en-US" w:eastAsia="zh-CN"/>
        </w:rPr>
        <w:t>0.00万元，执行率为0.0%，年中调整预算金额为1085.88元。综上，我单位项目支出预算总额为1085.88万元，支出总额为957.09万元（其中上年结余资金及非同级财政拨款</w:t>
      </w:r>
      <w:r>
        <w:rPr>
          <w:rFonts w:hint="eastAsia" w:cs="Times New Roman"/>
          <w:b w:val="0"/>
          <w:bCs w:val="0"/>
          <w:kern w:val="2"/>
          <w:sz w:val="32"/>
          <w:szCs w:val="32"/>
          <w:lang w:val="en-US" w:eastAsia="zh-CN" w:bidi="ar-SA"/>
        </w:rPr>
        <w:t>资金351.36</w:t>
      </w:r>
      <w:r>
        <w:rPr>
          <w:rFonts w:hint="eastAsia" w:ascii="仿宋_GB2312" w:hAnsi="仿宋_GB2312" w:eastAsia="仿宋_GB2312" w:cs="Times New Roman"/>
          <w:b w:val="0"/>
          <w:bCs w:val="0"/>
          <w:kern w:val="2"/>
          <w:sz w:val="32"/>
          <w:szCs w:val="32"/>
          <w:lang w:val="en-US" w:eastAsia="zh-CN" w:bidi="ar-SA"/>
        </w:rPr>
        <w:t>万元），预</w:t>
      </w:r>
      <w:r>
        <w:rPr>
          <w:rFonts w:hint="eastAsia"/>
          <w:b w:val="0"/>
          <w:bCs w:val="0"/>
          <w:sz w:val="32"/>
          <w:lang w:val="en-US" w:eastAsia="zh-CN"/>
        </w:rPr>
        <w:t>算</w:t>
      </w:r>
      <w:r>
        <w:rPr>
          <w:rFonts w:hint="eastAsia"/>
          <w:b w:val="0"/>
          <w:bCs w:val="0"/>
          <w:sz w:val="32"/>
          <w:lang w:eastAsia="zh-CN"/>
        </w:rPr>
        <w:t>总执行率为</w:t>
      </w:r>
      <w:r>
        <w:rPr>
          <w:rFonts w:hint="eastAsia"/>
          <w:b w:val="0"/>
          <w:bCs w:val="0"/>
          <w:sz w:val="32"/>
          <w:lang w:val="en-US" w:eastAsia="zh-CN"/>
        </w:rPr>
        <w:t>88.1</w:t>
      </w:r>
      <w:r>
        <w:rPr>
          <w:rFonts w:hint="eastAsia"/>
          <w:b w:val="0"/>
          <w:bCs w:val="0"/>
          <w:sz w:val="32"/>
          <w:lang w:eastAsia="zh-CN"/>
        </w:rPr>
        <w:t>%。</w:t>
      </w:r>
    </w:p>
    <w:p>
      <w:pPr>
        <w:ind w:firstLine="640"/>
        <w:rPr>
          <w:rFonts w:hint="eastAsia"/>
          <w:b w:val="0"/>
          <w:bCs w:val="0"/>
          <w:sz w:val="32"/>
          <w:lang w:val="en-US" w:eastAsia="zh-CN"/>
        </w:rPr>
      </w:pPr>
      <w:r>
        <w:rPr>
          <w:rFonts w:hint="eastAsia"/>
          <w:b w:val="0"/>
          <w:bCs w:val="0"/>
          <w:sz w:val="32"/>
          <w:lang w:eastAsia="zh-CN"/>
        </w:rPr>
        <w:t>202</w:t>
      </w:r>
      <w:r>
        <w:rPr>
          <w:rFonts w:hint="eastAsia"/>
          <w:b w:val="0"/>
          <w:bCs w:val="0"/>
          <w:sz w:val="32"/>
          <w:lang w:val="en-US" w:eastAsia="zh-CN"/>
        </w:rPr>
        <w:t>2</w:t>
      </w:r>
      <w:r>
        <w:rPr>
          <w:rFonts w:hint="eastAsia"/>
          <w:b w:val="0"/>
          <w:bCs w:val="0"/>
          <w:sz w:val="32"/>
          <w:lang w:eastAsia="zh-CN"/>
        </w:rPr>
        <w:t>年，昌吉市绿洲路社区卫生服务中心</w:t>
      </w:r>
      <w:r>
        <w:rPr>
          <w:rFonts w:hint="eastAsia"/>
          <w:b w:val="0"/>
          <w:bCs w:val="0"/>
          <w:sz w:val="32"/>
          <w:lang w:val="en-US" w:eastAsia="zh-CN"/>
        </w:rPr>
        <w:t>共有12个中央、自治区、地区、县本级财力安排项目，已完成</w:t>
      </w:r>
      <w:r>
        <w:rPr>
          <w:rFonts w:hint="eastAsia" w:ascii="仿宋_GB2312" w:hAnsi="仿宋_GB2312" w:eastAsia="仿宋_GB2312" w:cs="Times New Roman"/>
          <w:b w:val="0"/>
          <w:bCs w:val="0"/>
          <w:kern w:val="2"/>
          <w:sz w:val="32"/>
          <w:szCs w:val="32"/>
          <w:lang w:val="en-US" w:eastAsia="zh-CN" w:bidi="ar-SA"/>
        </w:rPr>
        <w:t>项目数量1</w:t>
      </w:r>
      <w:r>
        <w:rPr>
          <w:rFonts w:hint="eastAsia" w:cs="Times New Roman"/>
          <w:b w:val="0"/>
          <w:bCs w:val="0"/>
          <w:kern w:val="2"/>
          <w:sz w:val="32"/>
          <w:szCs w:val="32"/>
          <w:lang w:val="en-US" w:eastAsia="zh-CN" w:bidi="ar-SA"/>
        </w:rPr>
        <w:t>1</w:t>
      </w:r>
      <w:r>
        <w:rPr>
          <w:rFonts w:hint="eastAsia" w:ascii="仿宋_GB2312" w:hAnsi="仿宋_GB2312" w:eastAsia="仿宋_GB2312" w:cs="Times New Roman"/>
          <w:b w:val="0"/>
          <w:bCs w:val="0"/>
          <w:kern w:val="2"/>
          <w:sz w:val="32"/>
          <w:szCs w:val="32"/>
          <w:lang w:val="en-US" w:eastAsia="zh-CN" w:bidi="ar-SA"/>
        </w:rPr>
        <w:t>个、未完成项目数量</w:t>
      </w:r>
      <w:r>
        <w:rPr>
          <w:rFonts w:hint="eastAsia" w:cs="Times New Roman"/>
          <w:b w:val="0"/>
          <w:bCs w:val="0"/>
          <w:kern w:val="2"/>
          <w:sz w:val="32"/>
          <w:szCs w:val="32"/>
          <w:lang w:val="en-US" w:eastAsia="zh-CN" w:bidi="ar-SA"/>
        </w:rPr>
        <w:t>1</w:t>
      </w:r>
      <w:r>
        <w:rPr>
          <w:rFonts w:hint="eastAsia" w:ascii="仿宋_GB2312" w:hAnsi="仿宋_GB2312" w:eastAsia="仿宋_GB2312" w:cs="Times New Roman"/>
          <w:b w:val="0"/>
          <w:bCs w:val="0"/>
          <w:kern w:val="2"/>
          <w:sz w:val="32"/>
          <w:szCs w:val="32"/>
          <w:lang w:val="en-US" w:eastAsia="zh-CN" w:bidi="ar-SA"/>
        </w:rPr>
        <w:t>个。202</w:t>
      </w:r>
      <w:r>
        <w:rPr>
          <w:rFonts w:hint="eastAsia" w:cs="Times New Roman"/>
          <w:b w:val="0"/>
          <w:bCs w:val="0"/>
          <w:kern w:val="2"/>
          <w:sz w:val="32"/>
          <w:szCs w:val="32"/>
          <w:lang w:val="en-US" w:eastAsia="zh-CN" w:bidi="ar-SA"/>
        </w:rPr>
        <w:t>2</w:t>
      </w:r>
      <w:r>
        <w:rPr>
          <w:rFonts w:hint="eastAsia" w:ascii="仿宋_GB2312" w:hAnsi="仿宋_GB2312" w:eastAsia="仿宋_GB2312" w:cs="Times New Roman"/>
          <w:b w:val="0"/>
          <w:bCs w:val="0"/>
          <w:kern w:val="2"/>
          <w:sz w:val="32"/>
          <w:szCs w:val="32"/>
          <w:lang w:val="en-US" w:eastAsia="zh-CN" w:bidi="ar-SA"/>
        </w:rPr>
        <w:t>年度中央、</w:t>
      </w:r>
      <w:r>
        <w:rPr>
          <w:rFonts w:hint="eastAsia"/>
          <w:b w:val="0"/>
          <w:bCs w:val="0"/>
          <w:sz w:val="32"/>
          <w:lang w:val="en-US" w:eastAsia="zh-CN"/>
        </w:rPr>
        <w:t>自治区、地区、县本级财力安排项目预算及执行情况见下表：</w:t>
      </w:r>
    </w:p>
    <w:p>
      <w:pPr>
        <w:ind w:firstLine="420"/>
        <w:jc w:val="right"/>
        <w:rPr>
          <w:sz w:val="21"/>
          <w:szCs w:val="21"/>
        </w:rPr>
      </w:pPr>
      <w:r>
        <w:rPr>
          <w:rFonts w:hint="eastAsia"/>
          <w:sz w:val="21"/>
          <w:szCs w:val="21"/>
        </w:rPr>
        <w:t>单位：万元</w:t>
      </w:r>
    </w:p>
    <w:tbl>
      <w:tblPr>
        <w:tblStyle w:val="12"/>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2022年中央基本公共卫生服务补助资金（第一批）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449.27</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449.27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2022年中央基本公共卫生服务补助资金（第二批）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200.31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200.31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2022年自治区基本公共卫生服务补助资金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48.51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48.51</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color w:val="auto"/>
                <w:kern w:val="0"/>
                <w:sz w:val="21"/>
                <w:szCs w:val="21"/>
                <w:highlight w:val="none"/>
                <w:lang w:val="en-US" w:eastAsia="zh-CN"/>
              </w:rPr>
              <w:t>2022年自治区基本公共卫生服务补助资金预算（第二批）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28.49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仿宋_GB2312" w:hAnsi="宋体" w:eastAsia="仿宋_GB2312" w:cs="宋体"/>
                <w:kern w:val="0"/>
                <w:sz w:val="21"/>
                <w:szCs w:val="21"/>
                <w:lang w:val="en-US" w:eastAsia="zh-CN"/>
              </w:rPr>
              <w:t>28.49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color w:val="auto"/>
                <w:kern w:val="0"/>
                <w:sz w:val="21"/>
                <w:szCs w:val="21"/>
                <w:highlight w:val="none"/>
                <w:lang w:val="en-US" w:eastAsia="zh-CN"/>
              </w:rPr>
              <w:t>2022年基本公共卫生服务项目州本级补助资金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仿宋_GB2312" w:hAnsi="宋体" w:eastAsia="仿宋_GB2312" w:cs="宋体"/>
                <w:kern w:val="0"/>
                <w:sz w:val="21"/>
                <w:szCs w:val="21"/>
                <w:lang w:val="en-US" w:eastAsia="zh-CN"/>
              </w:rPr>
              <w:t>9.03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color w:val="auto"/>
                <w:kern w:val="0"/>
                <w:sz w:val="21"/>
                <w:szCs w:val="21"/>
                <w:highlight w:val="none"/>
                <w:lang w:val="en-US" w:eastAsia="zh-CN"/>
              </w:rPr>
              <w:t>2022年中央基本公共卫生服务市本级配套补助资金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宋体" w:hAnsi="宋体" w:eastAsia="宋体" w:cs="宋体"/>
                <w:i w:val="0"/>
                <w:color w:val="000000"/>
                <w:kern w:val="0"/>
                <w:sz w:val="22"/>
                <w:szCs w:val="22"/>
                <w:u w:val="none"/>
                <w:lang w:val="en-US" w:eastAsia="zh-CN" w:bidi="ar"/>
              </w:rPr>
              <w:t>45.15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45.15</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65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2022年中央基本药物制度补助资金（第一批）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11.2</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仿宋_GB2312" w:hAnsi="宋体" w:eastAsia="仿宋_GB2312" w:cs="宋体"/>
                <w:kern w:val="0"/>
                <w:sz w:val="21"/>
                <w:szCs w:val="21"/>
                <w:lang w:val="en-US" w:eastAsia="zh-CN"/>
              </w:rPr>
              <w:t>11.2</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eastAsia="仿宋_GB2312" w:cs="Calibri"/>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2022年中央基本药物制度补助资金（第二批）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4.59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4.59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2022年自治区公共卫生服务（地方公共卫生）补助资金（全民健康体检资金)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104.53</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104.53</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2022年中央重大传染病防控经费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1.9</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ascii="仿宋_GB2312" w:hAnsi="宋体" w:eastAsia="仿宋_GB2312" w:cs="宋体"/>
                <w:kern w:val="0"/>
                <w:sz w:val="21"/>
                <w:szCs w:val="21"/>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color w:val="auto"/>
                <w:kern w:val="0"/>
                <w:sz w:val="21"/>
                <w:szCs w:val="21"/>
                <w:highlight w:val="none"/>
                <w:lang w:val="en-US" w:eastAsia="zh-CN"/>
              </w:rPr>
              <w:t>2021年7-12月抽调核酸采样医务人员劳务费</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13.08</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righ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0.00</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0.0%</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60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2022年中央医疗服务与保障能力提升（医疗卫生机构能力建设）补助资金（第二批）（中央直达资金）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15</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12.89</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default"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85.9%</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color w:val="auto"/>
                <w:kern w:val="0"/>
                <w:sz w:val="21"/>
                <w:szCs w:val="21"/>
                <w:highlight w:val="none"/>
                <w:lang w:val="en-US" w:eastAsia="zh-CN"/>
              </w:rPr>
            </w:pPr>
            <w:r>
              <w:rPr>
                <w:rFonts w:hint="eastAsia" w:ascii="仿宋_GB2312" w:hAnsi="宋体" w:eastAsia="仿宋_GB2312" w:cs="宋体"/>
                <w:b w:val="0"/>
                <w:bCs w:val="0"/>
                <w:color w:val="auto"/>
                <w:kern w:val="0"/>
                <w:sz w:val="21"/>
                <w:szCs w:val="21"/>
                <w:highlight w:val="none"/>
                <w:lang w:val="en-US" w:eastAsia="zh-CN"/>
              </w:rPr>
              <w:t>是</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931.06</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915.87</w:t>
            </w:r>
          </w:p>
        </w:tc>
        <w:tc>
          <w:tcPr>
            <w:tcW w:w="966"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right"/>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98.4%</w:t>
            </w:r>
          </w:p>
        </w:tc>
        <w:tc>
          <w:tcPr>
            <w:tcW w:w="669"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outlineLvl w:val="9"/>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年中调整917.98万元，全年</w:t>
      </w:r>
      <w:r>
        <w:rPr>
          <w:rFonts w:hint="eastAsia" w:ascii="仿宋_GB2312" w:eastAsia="仿宋_GB2312" w:cs="仿宋"/>
          <w:sz w:val="32"/>
          <w:szCs w:val="32"/>
        </w:rPr>
        <w:t>实际使用</w:t>
      </w:r>
      <w:r>
        <w:rPr>
          <w:rFonts w:hint="eastAsia" w:ascii="仿宋_GB2312" w:eastAsia="仿宋_GB2312" w:cs="仿宋"/>
          <w:sz w:val="32"/>
          <w:szCs w:val="32"/>
          <w:lang w:val="en-US" w:eastAsia="zh-CN"/>
        </w:rPr>
        <w:t>915.87</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2.11</w:t>
      </w:r>
      <w:r>
        <w:rPr>
          <w:rFonts w:hint="eastAsia" w:ascii="仿宋_GB2312" w:eastAsia="仿宋_GB2312" w:cs="仿宋"/>
          <w:sz w:val="32"/>
          <w:szCs w:val="32"/>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915.87</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99.8</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昌吉市绿洲路社区卫生服务中心</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昌吉市绿洲路社区卫生服务中心</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昌吉市绿洲路社区卫生服务中心</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11</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昌吉市绿洲路社区卫生服务中心</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昌吉市绿洲路社区卫生服务中心</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hint="eastAsia" w:ascii="仿宋_GB2312" w:eastAsia="仿宋_GB2312"/>
          <w:b/>
          <w:bCs/>
          <w:sz w:val="32"/>
          <w:szCs w:val="32"/>
        </w:rPr>
      </w:pPr>
      <w:r>
        <w:rPr>
          <w:rFonts w:hint="eastAsia" w:ascii="仿宋_GB2312" w:eastAsia="仿宋_GB2312"/>
          <w:b/>
          <w:bCs/>
          <w:sz w:val="32"/>
          <w:szCs w:val="32"/>
        </w:rPr>
        <w:t>4.项目效率性分析</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年中央基本公共卫生服务补助资金项目已完成，实施进度为100%，达到预期完成质量要求；</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年中央基本公共卫生服务补助资金（第二批）项目已完成，实施进度为100%，达到预期完成质量要求；</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年中央基本药物制度补助资金预算项目已完成，实施进度为100%，达到预期完成质量要求；</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年中央基本药物制度补助资金（第二批）项目已完成，实施进度为100%，达到预期完成质量要求；</w:t>
      </w:r>
    </w:p>
    <w:p>
      <w:pPr>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年自治区基本公共卫生服务补助资金预算项目已完成，实施进度为100%，达到预期完成质量要求；</w:t>
      </w:r>
    </w:p>
    <w:p>
      <w:pPr>
        <w:pStyle w:val="4"/>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年自治区基本公共卫生服务补助资金（第二批）项目已完成，实施进度为100%，达到预期完成质量要求。</w:t>
      </w:r>
    </w:p>
    <w:p>
      <w:pPr>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市本级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基本公共卫生服务补助资金（第二批）项目已完成，实施进度为100%，达到预期完成质量要求。</w:t>
      </w:r>
    </w:p>
    <w:p>
      <w:pPr>
        <w:rPr>
          <w:rFonts w:hint="eastAsia"/>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州级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基本公共卫生服务补助资金（第二批）项目已完成，实施进度为100%，达到预期完成质量要求。</w:t>
      </w:r>
    </w:p>
    <w:p>
      <w:pPr>
        <w:ind w:left="0" w:leftChars="0" w:firstLine="640" w:firstLineChars="200"/>
        <w:rPr>
          <w:rFonts w:hint="eastAsia"/>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市自治区全民体检</w:t>
      </w:r>
      <w:r>
        <w:rPr>
          <w:rFonts w:hint="eastAsia" w:ascii="仿宋_GB2312" w:hAnsi="仿宋" w:eastAsia="仿宋_GB2312" w:cs="Times New Roman"/>
          <w:b w:val="0"/>
          <w:bCs w:val="0"/>
          <w:color w:val="auto"/>
          <w:kern w:val="2"/>
          <w:sz w:val="32"/>
          <w:szCs w:val="32"/>
          <w:highlight w:val="none"/>
          <w:lang w:val="en-US" w:eastAsia="zh-CN" w:bidi="ar-SA"/>
        </w:rPr>
        <w:t>补助资金（第二批）项目已完成，实施进度为100%，达到预期完成质量要求。</w:t>
      </w:r>
    </w:p>
    <w:p>
      <w:pPr>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中央重大传染病防控经费</w:t>
      </w:r>
      <w:r>
        <w:rPr>
          <w:rFonts w:hint="eastAsia" w:ascii="仿宋_GB2312" w:hAnsi="仿宋" w:eastAsia="仿宋_GB2312" w:cs="Times New Roman"/>
          <w:b w:val="0"/>
          <w:bCs w:val="0"/>
          <w:color w:val="auto"/>
          <w:kern w:val="2"/>
          <w:sz w:val="32"/>
          <w:szCs w:val="32"/>
          <w:highlight w:val="none"/>
          <w:lang w:val="en-US" w:eastAsia="zh-CN" w:bidi="ar-SA"/>
        </w:rPr>
        <w:t>项目已完成，实施进度为100%，达到预期完成质量要求。</w:t>
      </w:r>
    </w:p>
    <w:p>
      <w:pPr>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_GB2312" w:eastAsia="仿宋_GB2312" w:cs="仿宋_GB2312"/>
          <w:i w:val="0"/>
          <w:iCs w:val="0"/>
          <w:caps w:val="0"/>
          <w:color w:val="auto"/>
          <w:spacing w:val="0"/>
          <w:sz w:val="32"/>
          <w:szCs w:val="32"/>
        </w:rPr>
        <w:t>2022年中央医疗服务与保障能力提升（医疗卫生机构</w:t>
      </w:r>
      <w:r>
        <w:rPr>
          <w:rFonts w:hint="eastAsia" w:ascii="仿宋_GB2312" w:hAnsi="仿宋_GB2312" w:eastAsia="仿宋_GB2312" w:cs="仿宋_GB2312"/>
          <w:i w:val="0"/>
          <w:iCs w:val="0"/>
          <w:caps w:val="0"/>
          <w:color w:val="auto"/>
          <w:spacing w:val="0"/>
          <w:sz w:val="32"/>
          <w:szCs w:val="32"/>
          <w:lang w:val="en-US" w:eastAsia="zh-CN"/>
        </w:rPr>
        <w:t>能力建设）补助资金（第二批）（中央直达资金）</w:t>
      </w:r>
      <w:r>
        <w:rPr>
          <w:rFonts w:hint="eastAsia" w:ascii="仿宋_GB2312" w:hAnsi="仿宋" w:eastAsia="仿宋_GB2312" w:cs="Times New Roman"/>
          <w:b w:val="0"/>
          <w:bCs w:val="0"/>
          <w:color w:val="auto"/>
          <w:kern w:val="2"/>
          <w:sz w:val="32"/>
          <w:szCs w:val="32"/>
          <w:highlight w:val="none"/>
          <w:lang w:val="en-US" w:eastAsia="zh-CN" w:bidi="ar-SA"/>
        </w:rPr>
        <w:t>项目</w:t>
      </w:r>
      <w:r>
        <w:rPr>
          <w:rFonts w:hint="eastAsia" w:ascii="仿宋_GB2312" w:eastAsia="仿宋_GB2312" w:cs="Times New Roman"/>
          <w:b w:val="0"/>
          <w:bCs w:val="0"/>
          <w:color w:val="auto"/>
          <w:kern w:val="2"/>
          <w:sz w:val="32"/>
          <w:szCs w:val="32"/>
          <w:highlight w:val="none"/>
          <w:lang w:val="en-US" w:eastAsia="zh-CN" w:bidi="ar-SA"/>
        </w:rPr>
        <w:t>未</w:t>
      </w:r>
      <w:r>
        <w:rPr>
          <w:rFonts w:hint="eastAsia" w:ascii="仿宋_GB2312" w:hAnsi="仿宋" w:eastAsia="仿宋_GB2312" w:cs="Times New Roman"/>
          <w:b w:val="0"/>
          <w:bCs w:val="0"/>
          <w:color w:val="auto"/>
          <w:kern w:val="2"/>
          <w:sz w:val="32"/>
          <w:szCs w:val="32"/>
          <w:highlight w:val="none"/>
          <w:lang w:val="en-US" w:eastAsia="zh-CN" w:bidi="ar-SA"/>
        </w:rPr>
        <w:t>完成，实施进度为100%，达到预期完成质量要求。</w:t>
      </w:r>
    </w:p>
    <w:p>
      <w:pPr>
        <w:rPr>
          <w:rFonts w:ascii="仿宋_GB2312" w:eastAsia="仿宋_GB2312"/>
          <w:b/>
          <w:bCs/>
          <w:sz w:val="32"/>
          <w:szCs w:val="32"/>
        </w:rPr>
      </w:pPr>
      <w:r>
        <w:rPr>
          <w:rFonts w:hint="eastAsia" w:ascii="仿宋_GB2312" w:eastAsia="仿宋_GB2312"/>
          <w:b/>
          <w:bCs/>
          <w:sz w:val="32"/>
          <w:szCs w:val="32"/>
        </w:rPr>
        <w:t>5.项目效益性分析</w:t>
      </w:r>
    </w:p>
    <w:p>
      <w:pPr>
        <w:spacing w:line="560" w:lineRule="exact"/>
        <w:ind w:firstLine="640"/>
        <w:jc w:val="left"/>
        <w:rPr>
          <w:rFonts w:hint="eastAsia" w:ascii="仿宋_GB2312" w:hAnsi="宋体" w:eastAsia="仿宋_GB2312"/>
          <w:color w:val="333333"/>
          <w:sz w:val="32"/>
          <w:szCs w:val="32"/>
        </w:rPr>
      </w:pP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rPr>
        <w:t>年，我单位积极开展了</w:t>
      </w:r>
      <w:r>
        <w:rPr>
          <w:rFonts w:hint="eastAsia" w:ascii="仿宋_GB2312" w:hAnsi="宋体" w:eastAsia="仿宋_GB2312" w:cs="宋体"/>
          <w:color w:val="333333"/>
          <w:kern w:val="0"/>
          <w:sz w:val="32"/>
          <w:szCs w:val="32"/>
          <w:lang w:val="en-US" w:eastAsia="zh-CN"/>
        </w:rPr>
        <w:t>基本公共卫生服务项目和基本药物</w:t>
      </w:r>
      <w:r>
        <w:rPr>
          <w:rFonts w:hint="eastAsia" w:ascii="仿宋_GB2312" w:hAnsi="宋体" w:eastAsia="仿宋_GB2312" w:cs="宋体"/>
          <w:color w:val="333333"/>
          <w:kern w:val="0"/>
          <w:sz w:val="32"/>
          <w:szCs w:val="32"/>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lang w:eastAsia="zh-CN"/>
        </w:rPr>
        <w:t>，</w:t>
      </w:r>
      <w:r>
        <w:rPr>
          <w:rFonts w:hint="eastAsia" w:ascii="仿宋_GB2312" w:hAnsi="宋体" w:eastAsia="仿宋_GB2312"/>
          <w:color w:val="333333"/>
          <w:sz w:val="32"/>
          <w:szCs w:val="32"/>
        </w:rPr>
        <w:t>引导和帮助</w:t>
      </w:r>
      <w:r>
        <w:rPr>
          <w:rFonts w:hint="eastAsia" w:ascii="仿宋_GB2312" w:hAnsi="宋体" w:eastAsia="仿宋_GB2312"/>
          <w:color w:val="333333"/>
          <w:sz w:val="32"/>
          <w:szCs w:val="32"/>
          <w:lang w:val="en-US" w:eastAsia="zh-CN"/>
        </w:rPr>
        <w:t>辖区</w:t>
      </w:r>
      <w:r>
        <w:rPr>
          <w:rFonts w:hint="eastAsia" w:ascii="仿宋_GB2312" w:hAnsi="宋体" w:eastAsia="仿宋_GB2312"/>
          <w:color w:val="333333"/>
          <w:sz w:val="32"/>
          <w:szCs w:val="32"/>
        </w:rPr>
        <w:t>农民建立</w:t>
      </w:r>
      <w:r>
        <w:rPr>
          <w:rFonts w:hint="eastAsia" w:ascii="仿宋_GB2312" w:hAnsi="宋体" w:eastAsia="仿宋_GB2312"/>
          <w:color w:val="333333"/>
          <w:sz w:val="32"/>
          <w:szCs w:val="32"/>
          <w:lang w:val="en-US" w:eastAsia="zh-CN"/>
        </w:rPr>
        <w:t>了</w:t>
      </w:r>
      <w:r>
        <w:rPr>
          <w:rFonts w:hint="eastAsia" w:ascii="仿宋_GB2312" w:hAnsi="宋体" w:eastAsia="仿宋_GB2312"/>
          <w:color w:val="333333"/>
          <w:sz w:val="32"/>
          <w:szCs w:val="32"/>
        </w:rPr>
        <w:t>良好的卫生习惯。</w:t>
      </w:r>
    </w:p>
    <w:p>
      <w:pPr>
        <w:pStyle w:val="3"/>
        <w:ind w:firstLine="640"/>
        <w:rPr>
          <w:rFonts w:ascii="黑体" w:hAnsi="黑体"/>
          <w:b w:val="0"/>
          <w:sz w:val="32"/>
          <w:szCs w:val="32"/>
        </w:rPr>
      </w:pPr>
      <w:r>
        <w:rPr>
          <w:rFonts w:hint="eastAsia" w:ascii="黑体" w:hAnsi="黑体"/>
          <w:b w:val="0"/>
          <w:sz w:val="32"/>
          <w:szCs w:val="32"/>
        </w:rPr>
        <w:t>四、资产管理情况</w:t>
      </w:r>
    </w:p>
    <w:p>
      <w:pPr>
        <w:pStyle w:val="2"/>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年12月31日，我单位资产账面总额为</w:t>
      </w:r>
      <w:r>
        <w:rPr>
          <w:rFonts w:hint="eastAsia" w:ascii="仿宋_GB2312" w:hAnsi="仿宋" w:eastAsia="仿宋_GB2312" w:cs="Times New Roman"/>
          <w:kern w:val="2"/>
          <w:sz w:val="32"/>
          <w:szCs w:val="32"/>
          <w:highlight w:val="none"/>
          <w:lang w:val="en-US" w:eastAsia="zh-CN" w:bidi="ar-SA"/>
        </w:rPr>
        <w:t>987</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67</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减少166.11</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下降14.4</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年初，流动资产总额为</w:t>
      </w:r>
      <w:r>
        <w:rPr>
          <w:rFonts w:hint="eastAsia" w:ascii="仿宋_GB2312" w:hAnsi="仿宋" w:eastAsia="仿宋_GB2312" w:cs="Times New Roman"/>
          <w:kern w:val="2"/>
          <w:sz w:val="32"/>
          <w:szCs w:val="32"/>
          <w:highlight w:val="none"/>
          <w:lang w:val="en-US" w:eastAsia="zh-CN" w:bidi="ar-SA"/>
        </w:rPr>
        <w:t>496</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53</w:t>
      </w:r>
      <w:r>
        <w:rPr>
          <w:rFonts w:hint="eastAsia" w:ascii="仿宋_GB2312" w:eastAsia="仿宋_GB2312"/>
          <w:sz w:val="32"/>
          <w:szCs w:val="32"/>
          <w:highlight w:val="none"/>
        </w:rPr>
        <w:t>万元，年末总额为</w:t>
      </w:r>
      <w:r>
        <w:rPr>
          <w:rFonts w:hint="eastAsia" w:ascii="仿宋_GB2312" w:hAnsi="仿宋" w:eastAsia="仿宋_GB2312" w:cs="Times New Roman"/>
          <w:kern w:val="2"/>
          <w:sz w:val="32"/>
          <w:szCs w:val="32"/>
          <w:highlight w:val="none"/>
          <w:lang w:val="en-US" w:eastAsia="zh-CN" w:bidi="ar-SA"/>
        </w:rPr>
        <w:t>478</w:t>
      </w:r>
      <w:r>
        <w:rPr>
          <w:rFonts w:hint="eastAsia" w:ascii="仿宋_GB2312" w:eastAsia="仿宋_GB2312" w:cs="Times New Roman"/>
          <w:kern w:val="2"/>
          <w:sz w:val="32"/>
          <w:szCs w:val="32"/>
          <w:highlight w:val="none"/>
          <w:lang w:val="en-US" w:eastAsia="zh-CN" w:bidi="ar-SA"/>
        </w:rPr>
        <w:t>.</w:t>
      </w:r>
      <w:r>
        <w:rPr>
          <w:rFonts w:hint="eastAsia" w:ascii="仿宋_GB2312" w:hAnsi="仿宋" w:eastAsia="仿宋_GB2312" w:cs="Times New Roman"/>
          <w:kern w:val="2"/>
          <w:sz w:val="32"/>
          <w:szCs w:val="32"/>
          <w:highlight w:val="none"/>
          <w:lang w:val="en-US" w:eastAsia="zh-CN" w:bidi="ar-SA"/>
        </w:rPr>
        <w:t>24</w:t>
      </w:r>
      <w:r>
        <w:rPr>
          <w:rFonts w:hint="eastAsia" w:ascii="仿宋_GB2312" w:eastAsia="仿宋_GB2312"/>
          <w:sz w:val="32"/>
          <w:szCs w:val="32"/>
          <w:highlight w:val="none"/>
        </w:rPr>
        <w:t>万元，较年初流动资产</w:t>
      </w:r>
      <w:r>
        <w:rPr>
          <w:rFonts w:hint="eastAsia" w:ascii="仿宋_GB2312" w:eastAsia="仿宋_GB2312"/>
          <w:sz w:val="32"/>
          <w:szCs w:val="32"/>
          <w:highlight w:val="none"/>
          <w:lang w:val="en-US" w:eastAsia="zh-CN"/>
        </w:rPr>
        <w:t>减少18.29</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下降3.7</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本年年末无财政结余资金，财政应返还额度减少为0</w:t>
      </w:r>
      <w:r>
        <w:rPr>
          <w:rFonts w:hint="eastAsia" w:ascii="仿宋_GB2312" w:eastAsia="仿宋_GB2312"/>
          <w:color w:val="000000" w:themeColor="text1"/>
          <w:sz w:val="32"/>
          <w:szCs w:val="32"/>
          <w:highlight w:val="none"/>
          <w:lang w:val="en-US" w:eastAsia="zh-CN"/>
        </w:rPr>
        <w:t>。</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年初，固定资产总额为</w:t>
      </w:r>
      <w:r>
        <w:rPr>
          <w:rFonts w:hint="eastAsia" w:ascii="仿宋_GB2312" w:eastAsia="仿宋_GB2312"/>
          <w:sz w:val="32"/>
          <w:szCs w:val="32"/>
          <w:highlight w:val="none"/>
          <w:lang w:val="en-US" w:eastAsia="zh-CN"/>
        </w:rPr>
        <w:t>846.69</w:t>
      </w:r>
      <w:r>
        <w:rPr>
          <w:rFonts w:hint="eastAsia" w:ascii="仿宋_GB2312" w:eastAsia="仿宋_GB2312"/>
          <w:sz w:val="32"/>
          <w:szCs w:val="32"/>
          <w:highlight w:val="none"/>
        </w:rPr>
        <w:t>万元，年末总额为</w:t>
      </w:r>
      <w:r>
        <w:rPr>
          <w:rFonts w:hint="eastAsia" w:ascii="仿宋_GB2312" w:eastAsia="仿宋_GB2312"/>
          <w:sz w:val="32"/>
          <w:szCs w:val="32"/>
          <w:highlight w:val="none"/>
          <w:lang w:val="en-US" w:eastAsia="zh-CN"/>
        </w:rPr>
        <w:t>813.15</w:t>
      </w:r>
      <w:r>
        <w:rPr>
          <w:rFonts w:hint="eastAsia" w:ascii="仿宋_GB2312" w:eastAsia="仿宋_GB2312"/>
          <w:sz w:val="32"/>
          <w:szCs w:val="32"/>
          <w:highlight w:val="none"/>
        </w:rPr>
        <w:t>万元，较年初固定资产</w:t>
      </w:r>
      <w:r>
        <w:rPr>
          <w:rFonts w:hint="eastAsia" w:ascii="仿宋_GB2312" w:eastAsia="仿宋_GB2312"/>
          <w:sz w:val="32"/>
          <w:szCs w:val="32"/>
          <w:highlight w:val="none"/>
          <w:lang w:val="en-US" w:eastAsia="zh-CN"/>
        </w:rPr>
        <w:t>减少33.54</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下降4.0</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本年处置了一台DR设备</w:t>
      </w:r>
      <w:r>
        <w:rPr>
          <w:rFonts w:hint="eastAsia" w:ascii="仿宋_GB2312" w:eastAsia="仿宋_GB2312"/>
          <w:sz w:val="32"/>
          <w:szCs w:val="32"/>
          <w:highlight w:val="none"/>
        </w:rPr>
        <w:t>。</w:t>
      </w:r>
    </w:p>
    <w:p>
      <w:pPr>
        <w:pStyle w:val="2"/>
        <w:numPr>
          <w:ilvl w:val="0"/>
          <w:numId w:val="6"/>
        </w:numPr>
        <w:ind w:firstLine="640"/>
        <w:rPr>
          <w:rFonts w:ascii="楷体_GB2312" w:eastAsia="楷体_GB2312"/>
          <w:szCs w:val="32"/>
          <w:highlight w:val="none"/>
        </w:rPr>
      </w:pPr>
      <w:r>
        <w:rPr>
          <w:rFonts w:hint="eastAsia" w:ascii="楷体_GB2312" w:eastAsia="楷体_GB2312"/>
          <w:szCs w:val="32"/>
          <w:highlight w:val="none"/>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昌吉市绿洲路社区卫生服务中心</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昌吉市绿洲路社区卫生服务中心</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pStyle w:val="4"/>
        <w:ind w:firstLine="640"/>
        <w:rPr>
          <w:sz w:val="32"/>
          <w:highlight w:val="none"/>
        </w:rPr>
      </w:pPr>
      <w:r>
        <w:rPr>
          <w:rFonts w:hint="eastAsia"/>
          <w:b w:val="0"/>
          <w:bCs w:val="0"/>
          <w:sz w:val="32"/>
          <w:highlight w:val="none"/>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rPr>
        <w:t>“</w:t>
      </w:r>
      <w:r>
        <w:rPr>
          <w:rFonts w:hint="eastAsia" w:ascii="仿宋_GB2312" w:eastAsia="仿宋_GB2312"/>
          <w:bCs/>
          <w:spacing w:val="-4"/>
          <w:sz w:val="32"/>
          <w:szCs w:val="32"/>
          <w:lang w:val="en-US" w:eastAsia="zh-CN"/>
        </w:rPr>
        <w:t>年均门急诊人次数</w:t>
      </w:r>
      <w:r>
        <w:rPr>
          <w:rFonts w:hint="eastAsia" w:ascii="仿宋_GB2312" w:eastAsia="仿宋_GB2312"/>
          <w:bCs/>
          <w:spacing w:val="-4"/>
          <w:sz w:val="32"/>
          <w:szCs w:val="32"/>
        </w:rPr>
        <w:t>”指标：预期指</w:t>
      </w:r>
      <w:bookmarkStart w:id="0" w:name="_GoBack"/>
      <w:bookmarkEnd w:id="0"/>
      <w:r>
        <w:rPr>
          <w:rFonts w:hint="eastAsia" w:ascii="仿宋_GB2312" w:eastAsia="仿宋_GB2312"/>
          <w:bCs/>
          <w:spacing w:val="-4"/>
          <w:sz w:val="32"/>
          <w:szCs w:val="32"/>
        </w:rPr>
        <w:t>标值为“</w:t>
      </w:r>
      <w:r>
        <w:rPr>
          <w:rFonts w:hint="eastAsia" w:ascii="仿宋_GB2312" w:eastAsia="仿宋_GB2312"/>
          <w:bCs/>
          <w:spacing w:val="-4"/>
          <w:sz w:val="32"/>
          <w:szCs w:val="32"/>
          <w:lang w:val="en-US" w:eastAsia="zh-CN"/>
        </w:rPr>
        <w:t>&gt;=140000.00人次</w:t>
      </w:r>
      <w:r>
        <w:rPr>
          <w:rFonts w:hint="eastAsia" w:ascii="仿宋_GB2312" w:eastAsia="仿宋_GB2312"/>
          <w:bCs/>
          <w:spacing w:val="-4"/>
          <w:sz w:val="32"/>
          <w:szCs w:val="32"/>
        </w:rPr>
        <w:t>”，实</w:t>
      </w:r>
      <w:r>
        <w:rPr>
          <w:rFonts w:hint="eastAsia" w:ascii="仿宋_GB2312" w:eastAsia="仿宋_GB2312"/>
          <w:bCs/>
          <w:spacing w:val="-4"/>
          <w:sz w:val="32"/>
          <w:szCs w:val="32"/>
          <w:lang w:val="en-US" w:eastAsia="zh-CN"/>
        </w:rPr>
        <w:t>际完成指标值为“199231人次”，指标完成率为100.0%;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“在编职工人数”指</w:t>
      </w:r>
      <w:r>
        <w:rPr>
          <w:rFonts w:hint="eastAsia" w:ascii="仿宋_GB2312" w:eastAsia="仿宋_GB2312"/>
          <w:bCs/>
          <w:spacing w:val="-4"/>
          <w:sz w:val="32"/>
          <w:szCs w:val="32"/>
        </w:rPr>
        <w:t>标：预期指标值为“</w:t>
      </w:r>
      <w:r>
        <w:rPr>
          <w:rFonts w:hint="eastAsia" w:ascii="仿宋_GB2312" w:eastAsia="仿宋_GB2312"/>
          <w:bCs/>
          <w:spacing w:val="-4"/>
          <w:sz w:val="32"/>
          <w:szCs w:val="32"/>
          <w:lang w:val="en-US" w:eastAsia="zh-CN"/>
        </w:rPr>
        <w:t>=30人</w:t>
      </w:r>
      <w:r>
        <w:rPr>
          <w:rFonts w:hint="eastAsia" w:ascii="仿宋_GB2312" w:eastAsia="仿宋_GB2312"/>
          <w:bCs/>
          <w:spacing w:val="-4"/>
          <w:sz w:val="32"/>
          <w:szCs w:val="32"/>
        </w:rPr>
        <w:t>”，实际完成指标值为“</w:t>
      </w:r>
      <w:r>
        <w:rPr>
          <w:rFonts w:hint="eastAsia" w:ascii="仿宋_GB2312" w:eastAsia="仿宋_GB2312"/>
          <w:bCs/>
          <w:spacing w:val="-4"/>
          <w:sz w:val="32"/>
          <w:szCs w:val="32"/>
          <w:lang w:val="en-US" w:eastAsia="zh-CN"/>
        </w:rPr>
        <w:t>30人</w:t>
      </w:r>
      <w:r>
        <w:rPr>
          <w:rFonts w:hint="eastAsia" w:ascii="仿宋_GB2312" w:eastAsia="仿宋_GB2312"/>
          <w:bCs/>
          <w:spacing w:val="-4"/>
          <w:sz w:val="32"/>
          <w:szCs w:val="32"/>
        </w:rPr>
        <w:t>”，指</w:t>
      </w:r>
      <w:r>
        <w:rPr>
          <w:rFonts w:hint="eastAsia" w:ascii="仿宋_GB2312" w:eastAsia="仿宋_GB2312"/>
          <w:bCs/>
          <w:spacing w:val="-4"/>
          <w:sz w:val="32"/>
          <w:szCs w:val="32"/>
          <w:lang w:val="en-US" w:eastAsia="zh-CN"/>
        </w:rPr>
        <w:t>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“基本药物种类配备”指标：预期指标值为“&gt;=250.00种”，实际完成指标值为“328.00种”，指标完成率为100.0%;</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“辖区服务年鉴人口数”指标：预期指标值为“&gt;=69257.00人”，实际完成指标值为“69257.00人”，指标完成率为100.0%;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bCs/>
          <w:spacing w:val="-4"/>
          <w:sz w:val="32"/>
          <w:szCs w:val="32"/>
          <w:lang w:val="en-US" w:eastAsia="zh-CN"/>
        </w:rPr>
        <w:t>“预期零差销售基本药物比例”指标：预期指标值为“&gt;=100.0%”，实际完成指标值为“100.0%”，指标完成率为100.0</w:t>
      </w:r>
      <w:r>
        <w:rPr>
          <w:rFonts w:hint="eastAsia" w:ascii="仿宋_GB2312" w:eastAsia="仿宋_GB2312"/>
          <w:sz w:val="32"/>
          <w:szCs w:val="32"/>
        </w:rPr>
        <w:t>%;</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“处方质量标准符合率”指标：预期指标值为“&gt;=9</w:t>
      </w:r>
      <w:r>
        <w:rPr>
          <w:rFonts w:hint="eastAsia" w:ascii="仿宋_GB2312" w:eastAsia="仿宋_GB2312" w:cs="Times New Roman"/>
          <w:b w:val="0"/>
          <w:bCs/>
          <w:spacing w:val="-4"/>
          <w:kern w:val="2"/>
          <w:sz w:val="32"/>
          <w:szCs w:val="32"/>
          <w:lang w:val="en-US" w:eastAsia="zh-CN" w:bidi="ar-SA"/>
        </w:rPr>
        <w:t>5</w:t>
      </w:r>
      <w:r>
        <w:rPr>
          <w:rFonts w:hint="eastAsia" w:ascii="仿宋_GB2312" w:hAnsi="仿宋" w:eastAsia="仿宋_GB2312" w:cs="Times New Roman"/>
          <w:b w:val="0"/>
          <w:bCs/>
          <w:spacing w:val="-4"/>
          <w:kern w:val="2"/>
          <w:sz w:val="32"/>
          <w:szCs w:val="32"/>
          <w:lang w:val="en-US" w:eastAsia="zh-CN" w:bidi="ar-SA"/>
        </w:rPr>
        <w:t>.0%”，实际完成指标值为“</w:t>
      </w:r>
      <w:r>
        <w:rPr>
          <w:rFonts w:hint="eastAsia" w:ascii="仿宋_GB2312" w:eastAsia="仿宋_GB2312" w:cs="Times New Roman"/>
          <w:b w:val="0"/>
          <w:bCs/>
          <w:spacing w:val="-4"/>
          <w:kern w:val="2"/>
          <w:sz w:val="32"/>
          <w:szCs w:val="32"/>
          <w:lang w:val="en-US" w:eastAsia="zh-CN" w:bidi="ar-SA"/>
        </w:rPr>
        <w:t>100</w:t>
      </w:r>
      <w:r>
        <w:rPr>
          <w:rFonts w:hint="eastAsia" w:ascii="仿宋_GB2312" w:hAnsi="仿宋" w:eastAsia="仿宋_GB2312" w:cs="Times New Roman"/>
          <w:b w:val="0"/>
          <w:bCs/>
          <w:spacing w:val="-4"/>
          <w:kern w:val="2"/>
          <w:sz w:val="32"/>
          <w:szCs w:val="32"/>
          <w:lang w:val="en-US" w:eastAsia="zh-CN" w:bidi="ar-SA"/>
        </w:rPr>
        <w:t>.0%”，指标完成率为100.0%;</w:t>
      </w:r>
    </w:p>
    <w:p>
      <w:pPr>
        <w:pStyle w:val="2"/>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“门诊抗菌药物2联及以上联用处方比例”指标：预期指标值为“&lt;=15.00%”，实际完成指标值为“10%”，指标完成率为100.0%;</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“门诊输液治疗比率”指标：预期指标值为“&lt;=</w:t>
      </w:r>
      <w:r>
        <w:rPr>
          <w:rFonts w:hint="eastAsia" w:ascii="仿宋_GB2312" w:eastAsia="仿宋_GB2312" w:cs="Times New Roman"/>
          <w:b w:val="0"/>
          <w:bCs/>
          <w:spacing w:val="-4"/>
          <w:kern w:val="2"/>
          <w:sz w:val="32"/>
          <w:szCs w:val="32"/>
          <w:lang w:val="en-US" w:eastAsia="zh-CN" w:bidi="ar-SA"/>
        </w:rPr>
        <w:t>15</w:t>
      </w:r>
      <w:r>
        <w:rPr>
          <w:rFonts w:hint="eastAsia" w:ascii="仿宋_GB2312" w:hAnsi="仿宋" w:eastAsia="仿宋_GB2312" w:cs="Times New Roman"/>
          <w:b w:val="0"/>
          <w:bCs/>
          <w:spacing w:val="-4"/>
          <w:kern w:val="2"/>
          <w:sz w:val="32"/>
          <w:szCs w:val="32"/>
          <w:lang w:val="en-US" w:eastAsia="zh-CN" w:bidi="ar-SA"/>
        </w:rPr>
        <w:t>.00%”，实际完成指标值为“</w:t>
      </w:r>
      <w:r>
        <w:rPr>
          <w:rFonts w:hint="eastAsia" w:ascii="仿宋_GB2312" w:eastAsia="仿宋_GB2312" w:cs="Times New Roman"/>
          <w:b w:val="0"/>
          <w:bCs/>
          <w:spacing w:val="-4"/>
          <w:kern w:val="2"/>
          <w:sz w:val="32"/>
          <w:szCs w:val="32"/>
          <w:lang w:val="en-US" w:eastAsia="zh-CN" w:bidi="ar-SA"/>
        </w:rPr>
        <w:t>11</w:t>
      </w:r>
      <w:r>
        <w:rPr>
          <w:rFonts w:hint="eastAsia" w:ascii="仿宋_GB2312" w:hAnsi="仿宋" w:eastAsia="仿宋_GB2312" w:cs="Times New Roman"/>
          <w:b w:val="0"/>
          <w:bCs/>
          <w:spacing w:val="-4"/>
          <w:kern w:val="2"/>
          <w:sz w:val="32"/>
          <w:szCs w:val="32"/>
          <w:lang w:val="en-US" w:eastAsia="zh-CN" w:bidi="ar-SA"/>
        </w:rPr>
        <w:t>%”，指标完成率为100.0%;</w:t>
      </w:r>
    </w:p>
    <w:p>
      <w:pPr>
        <w:pStyle w:val="2"/>
        <w:rPr>
          <w:rFonts w:hint="eastAsia"/>
          <w:lang w:val="en-US" w:eastAsia="zh-CN"/>
        </w:rPr>
      </w:pPr>
      <w:r>
        <w:rPr>
          <w:rFonts w:hint="eastAsia" w:ascii="仿宋_GB2312" w:hAnsi="仿宋" w:eastAsia="仿宋_GB2312" w:cs="Times New Roman"/>
          <w:b w:val="0"/>
          <w:bCs/>
          <w:spacing w:val="-4"/>
          <w:kern w:val="2"/>
          <w:sz w:val="32"/>
          <w:szCs w:val="32"/>
          <w:lang w:val="en-US" w:eastAsia="zh-CN" w:bidi="ar-SA"/>
        </w:rPr>
        <w:t>“激素处方比例”指标：预期指标值为“&lt;=10.00%”，实际完成指标值为“0.0%”，指标完成率为100.0%;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时效指标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“工作完成时间”指标：预期指标值为“202</w:t>
      </w:r>
      <w:r>
        <w:rPr>
          <w:rFonts w:hint="eastAsia" w:ascii="仿宋_GB2312" w:eastAsia="仿宋_GB2312" w:cs="Times New Roman"/>
          <w:b w:val="0"/>
          <w:bCs/>
          <w:spacing w:val="-4"/>
          <w:kern w:val="2"/>
          <w:sz w:val="32"/>
          <w:szCs w:val="32"/>
          <w:lang w:val="en-US" w:eastAsia="zh-CN" w:bidi="ar-SA"/>
        </w:rPr>
        <w:t>2</w:t>
      </w:r>
      <w:r>
        <w:rPr>
          <w:rFonts w:hint="eastAsia" w:ascii="仿宋_GB2312" w:hAnsi="仿宋" w:eastAsia="仿宋_GB2312" w:cs="Times New Roman"/>
          <w:b w:val="0"/>
          <w:bCs/>
          <w:spacing w:val="-4"/>
          <w:kern w:val="2"/>
          <w:sz w:val="32"/>
          <w:szCs w:val="32"/>
          <w:lang w:val="en-US" w:eastAsia="zh-CN" w:bidi="ar-SA"/>
        </w:rPr>
        <w:t>年12月31日”，实际完成指标值为“202</w:t>
      </w:r>
      <w:r>
        <w:rPr>
          <w:rFonts w:hint="eastAsia" w:ascii="仿宋_GB2312" w:eastAsia="仿宋_GB2312" w:cs="Times New Roman"/>
          <w:b w:val="0"/>
          <w:bCs/>
          <w:spacing w:val="-4"/>
          <w:kern w:val="2"/>
          <w:sz w:val="32"/>
          <w:szCs w:val="32"/>
          <w:lang w:val="en-US" w:eastAsia="zh-CN" w:bidi="ar-SA"/>
        </w:rPr>
        <w:t>2</w:t>
      </w:r>
      <w:r>
        <w:rPr>
          <w:rFonts w:hint="eastAsia" w:ascii="仿宋_GB2312" w:hAnsi="仿宋" w:eastAsia="仿宋_GB2312" w:cs="Times New Roman"/>
          <w:b w:val="0"/>
          <w:bCs/>
          <w:spacing w:val="-4"/>
          <w:kern w:val="2"/>
          <w:sz w:val="32"/>
          <w:szCs w:val="32"/>
          <w:lang w:val="en-US" w:eastAsia="zh-CN" w:bidi="ar-SA"/>
        </w:rPr>
        <w:t>年12月31日”，指标完成率为100.0%;</w:t>
      </w:r>
    </w:p>
    <w:p>
      <w:pPr>
        <w:numPr>
          <w:ilvl w:val="0"/>
          <w:numId w:val="8"/>
        </w:numPr>
        <w:ind w:firstLine="640"/>
        <w:rPr>
          <w:rFonts w:ascii="仿宋_GB2312" w:eastAsia="仿宋_GB2312"/>
          <w:sz w:val="32"/>
          <w:szCs w:val="32"/>
        </w:rPr>
      </w:pPr>
      <w:r>
        <w:rPr>
          <w:rFonts w:hint="eastAsia" w:ascii="仿宋_GB2312" w:eastAsia="仿宋_GB2312"/>
          <w:sz w:val="32"/>
          <w:szCs w:val="32"/>
        </w:rPr>
        <w:t>成本指标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“预算经费支出”指标：预期指标值为“=</w:t>
      </w:r>
      <w:r>
        <w:rPr>
          <w:rFonts w:hint="eastAsia" w:ascii="仿宋_GB2312" w:eastAsia="仿宋_GB2312" w:cs="Times New Roman"/>
          <w:b w:val="0"/>
          <w:bCs/>
          <w:spacing w:val="-4"/>
          <w:kern w:val="2"/>
          <w:sz w:val="32"/>
          <w:szCs w:val="32"/>
          <w:lang w:val="en-US" w:eastAsia="zh-CN" w:bidi="ar-SA"/>
        </w:rPr>
        <w:t>871.27</w:t>
      </w:r>
      <w:r>
        <w:rPr>
          <w:rFonts w:hint="eastAsia" w:ascii="仿宋_GB2312" w:hAnsi="仿宋" w:eastAsia="仿宋_GB2312" w:cs="Times New Roman"/>
          <w:b w:val="0"/>
          <w:bCs/>
          <w:spacing w:val="-4"/>
          <w:kern w:val="2"/>
          <w:sz w:val="32"/>
          <w:szCs w:val="32"/>
          <w:lang w:val="en-US" w:eastAsia="zh-CN" w:bidi="ar-SA"/>
        </w:rPr>
        <w:t>万元”，实际完成指标值为“</w:t>
      </w:r>
      <w:r>
        <w:rPr>
          <w:rFonts w:hint="eastAsia" w:ascii="仿宋_GB2312" w:eastAsia="仿宋_GB2312" w:cs="Times New Roman"/>
          <w:b w:val="0"/>
          <w:bCs/>
          <w:spacing w:val="-4"/>
          <w:kern w:val="2"/>
          <w:sz w:val="32"/>
          <w:szCs w:val="32"/>
          <w:lang w:val="en-US" w:eastAsia="zh-CN" w:bidi="ar-SA"/>
        </w:rPr>
        <w:t>1108.06</w:t>
      </w:r>
      <w:r>
        <w:rPr>
          <w:rFonts w:hint="eastAsia" w:ascii="仿宋_GB2312" w:hAnsi="仿宋" w:eastAsia="仿宋_GB2312" w:cs="Times New Roman"/>
          <w:b w:val="0"/>
          <w:bCs/>
          <w:spacing w:val="-4"/>
          <w:kern w:val="2"/>
          <w:sz w:val="32"/>
          <w:szCs w:val="32"/>
          <w:lang w:val="en-US" w:eastAsia="zh-CN" w:bidi="ar-SA"/>
        </w:rPr>
        <w:t>万元”，指标完成率为</w:t>
      </w:r>
      <w:r>
        <w:rPr>
          <w:rFonts w:hint="eastAsia" w:ascii="仿宋_GB2312" w:eastAsia="仿宋_GB2312" w:cs="Times New Roman"/>
          <w:b w:val="0"/>
          <w:bCs/>
          <w:spacing w:val="-4"/>
          <w:kern w:val="2"/>
          <w:sz w:val="32"/>
          <w:szCs w:val="32"/>
          <w:lang w:val="en-US" w:eastAsia="zh-CN" w:bidi="ar-SA"/>
        </w:rPr>
        <w:t>100.0</w:t>
      </w:r>
      <w:r>
        <w:rPr>
          <w:rFonts w:hint="eastAsia" w:ascii="仿宋_GB2312" w:hAnsi="仿宋" w:eastAsia="仿宋_GB2312" w:cs="Times New Roman"/>
          <w:b w:val="0"/>
          <w:bCs/>
          <w:spacing w:val="-4"/>
          <w:kern w:val="2"/>
          <w:sz w:val="32"/>
          <w:szCs w:val="32"/>
          <w:lang w:val="en-US" w:eastAsia="zh-CN" w:bidi="ar-SA"/>
        </w:rPr>
        <w:t>%;</w:t>
      </w:r>
    </w:p>
    <w:p>
      <w:pPr>
        <w:pStyle w:val="4"/>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“公共卫生均等化水平”指标：预期指标值为“逐步提高”，实际完成指标值为“有所提高”，指标完成率为100.0%；</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“为辖区内居民提供基本医疗服务的水平”指标：预期指标值为“逐步提高”，实际完成指标值为“有所提高”，指标完成率为100.0%；</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sz w:val="32"/>
          <w:szCs w:val="32"/>
        </w:rPr>
      </w:pPr>
      <w:r>
        <w:rPr>
          <w:rFonts w:hint="eastAsia" w:ascii="仿宋_GB2312" w:hAnsi="仿宋" w:eastAsia="仿宋_GB2312" w:cs="Times New Roman"/>
          <w:b w:val="0"/>
          <w:bCs/>
          <w:spacing w:val="-4"/>
          <w:kern w:val="2"/>
          <w:sz w:val="32"/>
          <w:szCs w:val="32"/>
          <w:lang w:val="en-US" w:eastAsia="zh-CN" w:bidi="ar-SA"/>
        </w:rPr>
        <w:t>无此项指标。</w:t>
      </w:r>
    </w:p>
    <w:p>
      <w:pPr>
        <w:numPr>
          <w:ilvl w:val="0"/>
          <w:numId w:val="9"/>
        </w:numPr>
        <w:ind w:firstLine="640"/>
        <w:rPr>
          <w:rFonts w:hint="eastAsia" w:ascii="仿宋_GB2312" w:eastAsia="仿宋_GB2312"/>
          <w:sz w:val="32"/>
          <w:szCs w:val="32"/>
        </w:rPr>
      </w:pPr>
      <w:r>
        <w:rPr>
          <w:rFonts w:hint="eastAsia" w:ascii="仿宋_GB2312" w:eastAsia="仿宋_GB2312"/>
          <w:sz w:val="32"/>
          <w:szCs w:val="32"/>
        </w:rPr>
        <w:t>可持续影响</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“辖区居民健康水平提高”指标：预期指标值为“逐步提高”，实际完成指标值为“有所提高”，指标完成率为100.0%；</w:t>
      </w:r>
    </w:p>
    <w:p>
      <w:pPr>
        <w:pStyle w:val="4"/>
        <w:ind w:firstLine="640"/>
        <w:rPr>
          <w:sz w:val="32"/>
        </w:rPr>
      </w:pPr>
      <w:r>
        <w:rPr>
          <w:rFonts w:hint="eastAsia"/>
          <w:sz w:val="32"/>
        </w:rPr>
        <w:t>3.满意度指标完成情况分析</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服务</w:t>
      </w:r>
      <w:r>
        <w:rPr>
          <w:rFonts w:hint="eastAsia" w:ascii="仿宋_GB2312" w:hAnsi="仿宋" w:eastAsia="仿宋_GB2312" w:cs="Times New Roman"/>
          <w:b w:val="0"/>
          <w:bCs/>
          <w:spacing w:val="-4"/>
          <w:kern w:val="2"/>
          <w:sz w:val="32"/>
          <w:szCs w:val="32"/>
          <w:lang w:val="en-US" w:eastAsia="zh-CN" w:bidi="ar-SA"/>
        </w:rPr>
        <w:t>对象满意度”指标：预期指标值为“&gt;=95.0%”，实际完成指标值为“9</w:t>
      </w:r>
      <w:r>
        <w:rPr>
          <w:rFonts w:hint="eastAsia" w:ascii="仿宋_GB2312" w:eastAsia="仿宋_GB2312" w:cs="Times New Roman"/>
          <w:b w:val="0"/>
          <w:bCs/>
          <w:spacing w:val="-4"/>
          <w:kern w:val="2"/>
          <w:sz w:val="32"/>
          <w:szCs w:val="32"/>
          <w:lang w:val="en-US" w:eastAsia="zh-CN" w:bidi="ar-SA"/>
        </w:rPr>
        <w:t>5</w:t>
      </w:r>
      <w:r>
        <w:rPr>
          <w:rFonts w:hint="eastAsia" w:ascii="仿宋_GB2312" w:hAnsi="仿宋" w:eastAsia="仿宋_GB2312" w:cs="Times New Roman"/>
          <w:b w:val="0"/>
          <w:bCs/>
          <w:spacing w:val="-4"/>
          <w:kern w:val="2"/>
          <w:sz w:val="32"/>
          <w:szCs w:val="32"/>
          <w:lang w:val="en-US" w:eastAsia="zh-CN" w:bidi="ar-SA"/>
        </w:rPr>
        <w:t>.0%”，指标完成率为100.0%</w:t>
      </w:r>
      <w:r>
        <w:rPr>
          <w:rFonts w:hint="eastAsia" w:ascii="仿宋_GB2312" w:eastAsia="仿宋_GB2312" w:cs="Times New Roman"/>
          <w:b w:val="0"/>
          <w:bCs/>
          <w:spacing w:val="-4"/>
          <w:kern w:val="2"/>
          <w:sz w:val="32"/>
          <w:szCs w:val="32"/>
          <w:lang w:val="en-US" w:eastAsia="zh-CN" w:bidi="ar-SA"/>
        </w:rPr>
        <w:t>。</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ascii="仿宋" w:hAnsi="仿宋" w:eastAsia="仿宋" w:cs="仿宋"/>
          <w:sz w:val="32"/>
          <w:szCs w:val="32"/>
          <w:lang w:val="en-US" w:eastAsia="zh-CN"/>
        </w:rPr>
      </w:pPr>
      <w:r>
        <w:rPr>
          <w:rFonts w:hint="eastAsia" w:ascii="仿宋_GB2312" w:eastAsia="仿宋_GB2312"/>
          <w:sz w:val="32"/>
          <w:szCs w:val="32"/>
          <w:lang w:val="en-US" w:eastAsia="zh-CN"/>
        </w:rPr>
        <w:t>2021年本单位整体支出绩效目标全部达成，不存在未完成原因分析</w:t>
      </w:r>
      <w:r>
        <w:rPr>
          <w:rFonts w:hint="eastAsia" w:ascii="仿宋" w:hAnsi="仿宋" w:eastAsia="仿宋" w:cs="仿宋"/>
          <w:sz w:val="32"/>
          <w:szCs w:val="32"/>
          <w:lang w:val="en-US" w:eastAsia="zh-CN"/>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2"/>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9"/>
        <w:gridCol w:w="769"/>
        <w:gridCol w:w="914"/>
        <w:gridCol w:w="1219"/>
        <w:gridCol w:w="876"/>
        <w:gridCol w:w="876"/>
        <w:gridCol w:w="701"/>
        <w:gridCol w:w="1206"/>
        <w:gridCol w:w="876"/>
        <w:gridCol w:w="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eastAsia"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54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345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昌吉市绿洲路社区卫生服务中心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14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7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1311" w:type="pct"/>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1344"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4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7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人员保障经费</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保障我单位在职、聘用、退休人员的正常办公，缴纳社会保险，保障退休人员安定生活及日常生活经费。</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250.54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250.54</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250.54</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250.54</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做好疫情防控工作</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切实做好疫情防控工作，提高新冠病毒的防治水平和应对能力，及时有效地采取防控措施，保障广大群众的身体健康及生命安全。</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做好健康档案管理工作</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对病人做好健康档案的登记及管理工作</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保障单位日常运转经费</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保障公务用车的日常运行，缴纳水电费、取暖费等</w:t>
            </w:r>
          </w:p>
        </w:tc>
        <w:tc>
          <w:tcPr>
            <w:tcW w:w="45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30.73</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30.73</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30.73</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30.73</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945"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4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421.27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421.27</w:t>
            </w:r>
          </w:p>
        </w:tc>
        <w:tc>
          <w:tcPr>
            <w:tcW w:w="4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446.27</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446.27</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239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2206"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2395"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绿洲路社区卫生服务中心2022年整体预算金额为421.27万元，其中人员保障经费390.54万元，保障单位运转经费30.73万元。人员保障经费主要用于保证办公人员30人工资的发放，供暖面积为1757.78平方米，保障单位1辆公务用车的日常运行，为中山路社区辖区内69257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2206"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绿洲路社区卫生服务中心2022年整体预算金额为421.27万元，其中人员保障经费390.54万元，保障单位运转经费30.73万元。人员保障经费主要用于保证办公人员30人工资的发放，供暖面积为1757.78平方米，保障单位1辆公务用车的日常运行，为中山路社区辖区内69257人提供卫生健康服务，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53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=30.00人</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=30人</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年均门急诊人次数</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&gt;=140000.00人次</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&gt;=140000人次</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&gt;=1.00辆</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&gt;=1辆</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&gt;=1757.78平方米</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&gt;=1757.78平方米</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辖区服务人口数</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&gt;=69257.00人</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&gt;=69257人</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资金使用合规率</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门诊处方合格率</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接诊及时率</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人员保障经费</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&lt;=390.54万元</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&lt;=390.54万元</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保障单位运转经费</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&lt;=30.73万元</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&lt;=30.73万元</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提高公共卫生服务水平</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有效提高</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居民健康水平提高</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长期</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61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服务对象满意度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职工满意度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&gt;=90.00%</w:t>
            </w:r>
          </w:p>
        </w:tc>
        <w:tc>
          <w:tcPr>
            <w:tcW w:w="4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&gt;=90%</w:t>
            </w:r>
          </w:p>
        </w:tc>
        <w:tc>
          <w:tcPr>
            <w:tcW w:w="43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bl>
    <w:p/>
    <w:p>
      <w:pPr>
        <w:pStyle w:val="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Malgun Gothic Semilight">
    <w:altName w:val="Malgun Gothic"/>
    <w:panose1 w:val="020B0502040204020203"/>
    <w:charset w:val="80"/>
    <w:family w:val="swiss"/>
    <w:pitch w:val="default"/>
    <w:sig w:usb0="00000000" w:usb1="00000000" w:usb2="00000012" w:usb3="00000000" w:csb0="203E01BD" w:csb1="D7FF0000"/>
  </w:font>
  <w:font w:name="Malgun Gothic">
    <w:panose1 w:val="020B0503020000020004"/>
    <w:charset w:val="81"/>
    <w:family w:val="auto"/>
    <w:pitch w:val="default"/>
    <w:sig w:usb0="900002AF" w:usb1="01D77CFB" w:usb2="00000012" w:usb3="00000000" w:csb0="00080001"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73351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7204F"/>
    <w:rsid w:val="0E9E33B0"/>
    <w:rsid w:val="0ECA415F"/>
    <w:rsid w:val="0EF5177C"/>
    <w:rsid w:val="0EF905AA"/>
    <w:rsid w:val="0F140AC0"/>
    <w:rsid w:val="0F14215B"/>
    <w:rsid w:val="0F3C74C6"/>
    <w:rsid w:val="0FE06440"/>
    <w:rsid w:val="1049193F"/>
    <w:rsid w:val="10566744"/>
    <w:rsid w:val="10625CF9"/>
    <w:rsid w:val="10950DBA"/>
    <w:rsid w:val="10B52A92"/>
    <w:rsid w:val="10D023F1"/>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96F36"/>
    <w:rsid w:val="187B711C"/>
    <w:rsid w:val="188D38D0"/>
    <w:rsid w:val="18B44DAA"/>
    <w:rsid w:val="18C44CD5"/>
    <w:rsid w:val="190F18AB"/>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8B47BC"/>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727BE3"/>
    <w:rsid w:val="289F2164"/>
    <w:rsid w:val="28B60026"/>
    <w:rsid w:val="28E215A0"/>
    <w:rsid w:val="29350CD3"/>
    <w:rsid w:val="29784CA5"/>
    <w:rsid w:val="29B80C93"/>
    <w:rsid w:val="29BB20D2"/>
    <w:rsid w:val="29D44C7C"/>
    <w:rsid w:val="29F33C34"/>
    <w:rsid w:val="2A380298"/>
    <w:rsid w:val="2A440C90"/>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0E14AE6"/>
    <w:rsid w:val="31121DE6"/>
    <w:rsid w:val="31367F00"/>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4E52CAB"/>
    <w:rsid w:val="35031EB5"/>
    <w:rsid w:val="35DE49C0"/>
    <w:rsid w:val="35FA7EA7"/>
    <w:rsid w:val="363B291C"/>
    <w:rsid w:val="363C1323"/>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040232"/>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611196"/>
    <w:rsid w:val="46751144"/>
    <w:rsid w:val="46D17A2C"/>
    <w:rsid w:val="470109B9"/>
    <w:rsid w:val="47067546"/>
    <w:rsid w:val="47133AE2"/>
    <w:rsid w:val="474801E9"/>
    <w:rsid w:val="47641CB1"/>
    <w:rsid w:val="477232C8"/>
    <w:rsid w:val="478C46CC"/>
    <w:rsid w:val="47AF67A7"/>
    <w:rsid w:val="47B339B4"/>
    <w:rsid w:val="47CB1091"/>
    <w:rsid w:val="48035F02"/>
    <w:rsid w:val="4860434A"/>
    <w:rsid w:val="4880017D"/>
    <w:rsid w:val="48D908C8"/>
    <w:rsid w:val="490010A1"/>
    <w:rsid w:val="493537CF"/>
    <w:rsid w:val="493F2E3C"/>
    <w:rsid w:val="49460D45"/>
    <w:rsid w:val="499D0663"/>
    <w:rsid w:val="4A74195A"/>
    <w:rsid w:val="4A7A3D76"/>
    <w:rsid w:val="4A8B6AB4"/>
    <w:rsid w:val="4A9F3033"/>
    <w:rsid w:val="4AA1493E"/>
    <w:rsid w:val="4AAE190E"/>
    <w:rsid w:val="4ADD6A46"/>
    <w:rsid w:val="4AE70AB8"/>
    <w:rsid w:val="4B223CE2"/>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284B39"/>
    <w:rsid w:val="50303A7C"/>
    <w:rsid w:val="50453781"/>
    <w:rsid w:val="50A26FF3"/>
    <w:rsid w:val="51525315"/>
    <w:rsid w:val="515C17D5"/>
    <w:rsid w:val="519223A8"/>
    <w:rsid w:val="51996860"/>
    <w:rsid w:val="51B45CF8"/>
    <w:rsid w:val="51CB5559"/>
    <w:rsid w:val="520F3713"/>
    <w:rsid w:val="52766D04"/>
    <w:rsid w:val="52B15B08"/>
    <w:rsid w:val="52CF7054"/>
    <w:rsid w:val="52EA6EF6"/>
    <w:rsid w:val="52FD6971"/>
    <w:rsid w:val="53223E56"/>
    <w:rsid w:val="53275AB8"/>
    <w:rsid w:val="537D5DC6"/>
    <w:rsid w:val="5388089F"/>
    <w:rsid w:val="53B05A8D"/>
    <w:rsid w:val="53D745FA"/>
    <w:rsid w:val="53DF7707"/>
    <w:rsid w:val="53E40714"/>
    <w:rsid w:val="53FD29C3"/>
    <w:rsid w:val="541A4F72"/>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40A36"/>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152AF"/>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3D534E"/>
    <w:rsid w:val="6E525581"/>
    <w:rsid w:val="6E6E6F1D"/>
    <w:rsid w:val="6E985F27"/>
    <w:rsid w:val="6EA63453"/>
    <w:rsid w:val="6F1C4DB2"/>
    <w:rsid w:val="6F1E006C"/>
    <w:rsid w:val="6F293DA9"/>
    <w:rsid w:val="6F52785B"/>
    <w:rsid w:val="6F6A53B1"/>
    <w:rsid w:val="6F905DF4"/>
    <w:rsid w:val="6FC83C68"/>
    <w:rsid w:val="6FCE226C"/>
    <w:rsid w:val="6FF67EDB"/>
    <w:rsid w:val="706747BD"/>
    <w:rsid w:val="707165D4"/>
    <w:rsid w:val="70A93F9B"/>
    <w:rsid w:val="70BF78D7"/>
    <w:rsid w:val="70E95E6A"/>
    <w:rsid w:val="712F11E7"/>
    <w:rsid w:val="71790E9D"/>
    <w:rsid w:val="717A3769"/>
    <w:rsid w:val="717A6C89"/>
    <w:rsid w:val="71AC1A5C"/>
    <w:rsid w:val="71C27B92"/>
    <w:rsid w:val="71CD17F6"/>
    <w:rsid w:val="71D4229F"/>
    <w:rsid w:val="72117E7E"/>
    <w:rsid w:val="723B41CF"/>
    <w:rsid w:val="728971FB"/>
    <w:rsid w:val="72D06024"/>
    <w:rsid w:val="732D45C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2E5D"/>
    <w:rsid w:val="771C6744"/>
    <w:rsid w:val="7771110B"/>
    <w:rsid w:val="77782D28"/>
    <w:rsid w:val="77C20123"/>
    <w:rsid w:val="77F538F8"/>
    <w:rsid w:val="788A3DEB"/>
    <w:rsid w:val="78D6469A"/>
    <w:rsid w:val="78D82626"/>
    <w:rsid w:val="790D3655"/>
    <w:rsid w:val="79111AC7"/>
    <w:rsid w:val="794E098B"/>
    <w:rsid w:val="799E36F7"/>
    <w:rsid w:val="79EA43CA"/>
    <w:rsid w:val="79F3334C"/>
    <w:rsid w:val="7A150EF7"/>
    <w:rsid w:val="7A2E1812"/>
    <w:rsid w:val="7A7029D6"/>
    <w:rsid w:val="7A751437"/>
    <w:rsid w:val="7AB2209C"/>
    <w:rsid w:val="7ACB6E73"/>
    <w:rsid w:val="7B033D7C"/>
    <w:rsid w:val="7B233171"/>
    <w:rsid w:val="7B3943CF"/>
    <w:rsid w:val="7B425F4F"/>
    <w:rsid w:val="7B634CE1"/>
    <w:rsid w:val="7B9C2512"/>
    <w:rsid w:val="7BFB110F"/>
    <w:rsid w:val="7C0443D6"/>
    <w:rsid w:val="7C09409A"/>
    <w:rsid w:val="7C215C7F"/>
    <w:rsid w:val="7C287D7E"/>
    <w:rsid w:val="7C3825FA"/>
    <w:rsid w:val="7D4B33BB"/>
    <w:rsid w:val="7D5A08C6"/>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Normal Indent"/>
    <w:basedOn w:val="1"/>
    <w:unhideWhenUsed/>
    <w:qFormat/>
    <w:uiPriority w:val="0"/>
    <w:pPr>
      <w:ind w:firstLine="480" w:firstLineChars="200"/>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4"/>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Body Text First Indent"/>
    <w:basedOn w:val="7"/>
    <w:qFormat/>
    <w:uiPriority w:val="0"/>
    <w:pPr>
      <w:spacing w:after="0" w:afterLines="0"/>
      <w:ind w:firstLine="200" w:firstLineChars="200"/>
    </w:pPr>
    <w:rPr>
      <w:rFonts w:ascii="Times New Roman" w:hAnsi="Times New Roman" w:eastAsia="宋体" w:cs="Times New Roman"/>
      <w:sz w:val="21"/>
      <w:szCs w:val="22"/>
    </w:rPr>
  </w:style>
  <w:style w:type="character" w:styleId="14">
    <w:name w:val="Strong"/>
    <w:basedOn w:val="13"/>
    <w:qFormat/>
    <w:uiPriority w:val="0"/>
    <w:rPr>
      <w:b/>
      <w:bCs/>
    </w:rPr>
  </w:style>
  <w:style w:type="paragraph" w:customStyle="1" w:styleId="15">
    <w:name w:val="HTML Address1"/>
    <w:basedOn w:val="1"/>
    <w:qFormat/>
    <w:uiPriority w:val="0"/>
    <w:rPr>
      <w:rFonts w:ascii="Calibri" w:hAnsi="Calibri" w:cs="黑体"/>
      <w:i/>
    </w:rPr>
  </w:style>
  <w:style w:type="paragraph" w:customStyle="1" w:styleId="16">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customStyle="1" w:styleId="17">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8">
    <w:name w:val="List Paragraph"/>
    <w:basedOn w:val="1"/>
    <w:unhideWhenUsed/>
    <w:qFormat/>
    <w:uiPriority w:val="99"/>
    <w:pPr>
      <w:ind w:firstLine="420"/>
    </w:pPr>
  </w:style>
  <w:style w:type="paragraph" w:customStyle="1" w:styleId="19">
    <w:name w:val="样式1"/>
    <w:basedOn w:val="1"/>
    <w:link w:val="21"/>
    <w:qFormat/>
    <w:uiPriority w:val="0"/>
    <w:pPr>
      <w:ind w:firstLine="560"/>
    </w:pPr>
  </w:style>
  <w:style w:type="paragraph" w:customStyle="1" w:styleId="20">
    <w:name w:val="样式2"/>
    <w:basedOn w:val="9"/>
    <w:link w:val="23"/>
    <w:qFormat/>
    <w:uiPriority w:val="0"/>
    <w:pPr>
      <w:pBdr>
        <w:bottom w:val="none" w:color="auto" w:sz="0" w:space="0"/>
      </w:pBdr>
      <w:ind w:firstLine="360"/>
    </w:pPr>
  </w:style>
  <w:style w:type="character" w:customStyle="1" w:styleId="21">
    <w:name w:val="样式1 Char"/>
    <w:basedOn w:val="13"/>
    <w:link w:val="19"/>
    <w:qFormat/>
    <w:uiPriority w:val="0"/>
    <w:rPr>
      <w:rFonts w:ascii="仿宋" w:hAnsi="仿宋" w:eastAsia="仿宋"/>
      <w:kern w:val="2"/>
      <w:sz w:val="28"/>
      <w:szCs w:val="24"/>
    </w:rPr>
  </w:style>
  <w:style w:type="character" w:customStyle="1" w:styleId="22">
    <w:name w:val="页眉 字符"/>
    <w:basedOn w:val="13"/>
    <w:link w:val="9"/>
    <w:qFormat/>
    <w:uiPriority w:val="99"/>
    <w:rPr>
      <w:rFonts w:ascii="仿宋" w:hAnsi="仿宋" w:eastAsia="仿宋"/>
      <w:kern w:val="2"/>
      <w:sz w:val="18"/>
      <w:szCs w:val="18"/>
    </w:rPr>
  </w:style>
  <w:style w:type="character" w:customStyle="1" w:styleId="23">
    <w:name w:val="样式2 Char"/>
    <w:basedOn w:val="22"/>
    <w:link w:val="20"/>
    <w:qFormat/>
    <w:uiPriority w:val="0"/>
    <w:rPr>
      <w:rFonts w:ascii="仿宋" w:hAnsi="仿宋" w:eastAsia="仿宋"/>
      <w:kern w:val="2"/>
      <w:sz w:val="18"/>
      <w:szCs w:val="18"/>
    </w:rPr>
  </w:style>
  <w:style w:type="character" w:customStyle="1" w:styleId="24">
    <w:name w:val="页脚 字符"/>
    <w:basedOn w:val="13"/>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999</Words>
  <Characters>5700</Characters>
  <Lines>47</Lines>
  <Paragraphs>13</Paragraphs>
  <TotalTime>23</TotalTime>
  <ScaleCrop>false</ScaleCrop>
  <LinksUpToDate>false</LinksUpToDate>
  <CharactersWithSpaces>6686</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2023-02-17T05:58:21Z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D12B107D3F4042D1A5D701C24816A3BA</vt:lpwstr>
  </property>
</Properties>
</file>