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4"/>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540" w:lineRule="exact"/>
        <w:ind w:firstLine="96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昌吉市广场景观管理服务中心整体支出绩效自评报告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default" w:ascii="仿宋_GB2312" w:hAnsi="宋体" w:eastAsia="仿宋_GB2312" w:cs="宋体"/>
          <w:kern w:val="0"/>
          <w:sz w:val="36"/>
          <w:szCs w:val="36"/>
          <w:lang w:val="en-US"/>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填报时间：202</w:t>
      </w:r>
      <w:r>
        <w:rPr>
          <w:rFonts w:hint="default" w:ascii="黑体" w:hAnsi="黑体" w:eastAsia="黑体" w:cs="黑体"/>
          <w:bCs/>
          <w:sz w:val="36"/>
          <w:szCs w:val="36"/>
          <w:lang w:val="en-US"/>
        </w:rPr>
        <w:t>3</w:t>
      </w:r>
      <w:r>
        <w:rPr>
          <w:rFonts w:hint="eastAsia" w:ascii="黑体" w:hAnsi="黑体" w:eastAsia="黑体" w:cs="黑体"/>
          <w:bCs/>
          <w:sz w:val="36"/>
          <w:szCs w:val="36"/>
        </w:rPr>
        <w:t>年</w:t>
      </w:r>
      <w:r>
        <w:rPr>
          <w:rFonts w:hint="default" w:ascii="黑体" w:hAnsi="黑体" w:eastAsia="黑体" w:cs="黑体"/>
          <w:bCs/>
          <w:sz w:val="36"/>
          <w:szCs w:val="36"/>
          <w:lang w:val="en-US"/>
        </w:rPr>
        <w:t>2</w:t>
      </w:r>
      <w:r>
        <w:rPr>
          <w:rFonts w:hint="eastAsia" w:ascii="黑体" w:hAnsi="黑体" w:eastAsia="黑体" w:cs="黑体"/>
          <w:bCs/>
          <w:sz w:val="36"/>
          <w:szCs w:val="36"/>
        </w:rPr>
        <w:t>月</w:t>
      </w:r>
      <w:r>
        <w:rPr>
          <w:rFonts w:hint="default" w:ascii="黑体" w:hAnsi="黑体" w:eastAsia="黑体" w:cs="黑体"/>
          <w:bCs/>
          <w:sz w:val="36"/>
          <w:szCs w:val="36"/>
          <w:lang w:val="en-US"/>
        </w:rPr>
        <w:t>15</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1.机构设置及人员情况</w:t>
      </w:r>
    </w:p>
    <w:p>
      <w:pPr>
        <w:spacing w:line="540" w:lineRule="exact"/>
        <w:ind w:firstLine="611" w:firstLineChars="196"/>
        <w:rPr>
          <w:rStyle w:val="13"/>
          <w:rFonts w:hint="default" w:eastAsia="仿宋" w:cstheme="minorBidi"/>
          <w:b w:val="0"/>
          <w:spacing w:val="-4"/>
          <w:sz w:val="32"/>
          <w:szCs w:val="32"/>
          <w:lang w:val="en-US" w:eastAsia="zh-CN"/>
        </w:rPr>
      </w:pPr>
      <w:r>
        <w:rPr>
          <w:rStyle w:val="13"/>
          <w:rFonts w:hint="eastAsia" w:cstheme="minorBidi"/>
          <w:b w:val="0"/>
          <w:spacing w:val="-4"/>
          <w:sz w:val="32"/>
          <w:szCs w:val="32"/>
        </w:rPr>
        <w:t>昌吉市广场景观管理服务中心由亚中广场管理处、滨湖河景区管理处于2018年3月机构改革合并成立的公益一类事业机构，本单位内设机构共8个，分别是：综合办、财务科、办公室、设备材科、督查科、水电设施科、巡查科、绿化卫生科。编制人数37人，其中：全额拨款事业单位人员编制37人。实有在职人数3</w:t>
      </w:r>
      <w:r>
        <w:rPr>
          <w:rStyle w:val="13"/>
          <w:rFonts w:hint="eastAsia" w:cstheme="minorBidi"/>
          <w:b w:val="0"/>
          <w:spacing w:val="-4"/>
          <w:sz w:val="32"/>
          <w:szCs w:val="32"/>
          <w:lang w:val="en-US" w:eastAsia="zh-CN"/>
        </w:rPr>
        <w:t>3</w:t>
      </w:r>
      <w:r>
        <w:rPr>
          <w:rStyle w:val="13"/>
          <w:rFonts w:hint="eastAsia" w:cstheme="minorBidi"/>
          <w:b w:val="0"/>
          <w:spacing w:val="-4"/>
          <w:sz w:val="32"/>
          <w:szCs w:val="32"/>
        </w:rPr>
        <w:t>人</w:t>
      </w:r>
      <w:r>
        <w:rPr>
          <w:rStyle w:val="13"/>
          <w:rFonts w:hint="eastAsia" w:cstheme="minorBidi"/>
          <w:b w:val="0"/>
          <w:spacing w:val="-4"/>
          <w:sz w:val="32"/>
          <w:szCs w:val="32"/>
          <w:lang w:eastAsia="zh-CN"/>
        </w:rPr>
        <w:t>，退休</w:t>
      </w:r>
      <w:r>
        <w:rPr>
          <w:rStyle w:val="13"/>
          <w:rFonts w:hint="eastAsia" w:cstheme="minorBidi"/>
          <w:b w:val="0"/>
          <w:spacing w:val="-4"/>
          <w:sz w:val="32"/>
          <w:szCs w:val="32"/>
          <w:lang w:val="en-US" w:eastAsia="zh-CN"/>
        </w:rPr>
        <w:t>40人，离休0人。</w:t>
      </w:r>
    </w:p>
    <w:p>
      <w:pPr>
        <w:numPr>
          <w:ilvl w:val="0"/>
          <w:numId w:val="1"/>
        </w:numPr>
        <w:spacing w:line="540" w:lineRule="exact"/>
        <w:ind w:firstLine="630" w:firstLineChars="196"/>
        <w:rPr>
          <w:rFonts w:ascii="仿宋_GB2312" w:eastAsia="仿宋_GB2312"/>
          <w:b/>
          <w:bCs/>
          <w:sz w:val="32"/>
          <w:szCs w:val="32"/>
        </w:rPr>
      </w:pPr>
      <w:r>
        <w:rPr>
          <w:rFonts w:hint="eastAsia" w:ascii="仿宋_GB2312" w:eastAsia="仿宋_GB2312"/>
          <w:b/>
          <w:bCs/>
          <w:sz w:val="32"/>
          <w:szCs w:val="32"/>
        </w:rPr>
        <w:t>主要职能</w:t>
      </w:r>
    </w:p>
    <w:p>
      <w:pPr>
        <w:spacing w:line="540" w:lineRule="exact"/>
        <w:ind w:firstLine="548" w:firstLineChars="196"/>
        <w:rPr>
          <w:rStyle w:val="13"/>
          <w:b w:val="0"/>
          <w:spacing w:val="-4"/>
          <w:sz w:val="32"/>
          <w:szCs w:val="32"/>
        </w:rPr>
      </w:pPr>
      <w:r>
        <w:rPr>
          <w:rFonts w:hint="eastAsia"/>
        </w:rPr>
        <w:t xml:space="preserve"> </w:t>
      </w:r>
      <w:r>
        <w:rPr>
          <w:rStyle w:val="13"/>
          <w:rFonts w:hint="eastAsia"/>
          <w:b w:val="0"/>
          <w:spacing w:val="-4"/>
          <w:sz w:val="32"/>
          <w:szCs w:val="32"/>
        </w:rPr>
        <w:t>主要的工作职责有：（1）负责广场景观管理服务中心日常工作面督办；旅游团体的接待；协助上级部门安排的各类大型活动；（2）负责城市广场景区管理服务中心水、电路设施、公共设施、基础设施的维护、维修与管理；（3）负责城市广场景区绿化、亮化、净化及生态景观养护与管理；（4）负责城市广场景区维稳、安全生产、应急、消防、溺水、游客人身的安全防范、河道的安全巡查；（5）负责城市广场景区和亚心广场公共秩序及各类临时摊点、游览与游乐项目组织管理；提供休闲场所，丰富人民群众的文化生活以及景区购买服务游园的监督检查及日常巡查工作；（6）负责城市广场景区所有国有资产和物资的保管、使用管理工作；（7）负责办理昌吉市城市管理局（昌吉市城市管理行政执法局）交办的其他工作。</w:t>
      </w:r>
    </w:p>
    <w:p>
      <w:pPr>
        <w:ind w:left="549" w:leftChars="196" w:firstLine="0" w:firstLineChars="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3.年度重点工作计划</w:t>
      </w:r>
    </w:p>
    <w:p>
      <w:pPr>
        <w:spacing w:line="540" w:lineRule="exact"/>
        <w:ind w:firstLine="611" w:firstLineChars="196"/>
        <w:rPr>
          <w:rStyle w:val="13"/>
          <w:rFonts w:hint="default"/>
          <w:b w:val="0"/>
          <w:spacing w:val="-4"/>
          <w:sz w:val="32"/>
          <w:szCs w:val="32"/>
          <w:lang w:val="en-US"/>
        </w:rPr>
      </w:pPr>
      <w:r>
        <w:rPr>
          <w:rStyle w:val="13"/>
          <w:rFonts w:hint="eastAsia"/>
          <w:b w:val="0"/>
          <w:spacing w:val="-4"/>
          <w:sz w:val="32"/>
          <w:szCs w:val="32"/>
        </w:rPr>
        <w:t>本年度总体绩效目标计划是完成广场景观管理服务中心</w:t>
      </w:r>
      <w:r>
        <w:rPr>
          <w:rFonts w:hint="eastAsia" w:ascii="仿宋_GB2312" w:hAnsi="仿宋_GB2312" w:eastAsia="仿宋_GB2312" w:cs="仿宋_GB2312"/>
          <w:color w:val="auto"/>
          <w:sz w:val="32"/>
          <w:szCs w:val="32"/>
          <w:lang w:eastAsia="zh-CN"/>
        </w:rPr>
        <w:t>维修并调试中央公园，政府门口及广场喷泉系统；维修保养各园区绿化机井及二次供水提升系统设备共计20套；</w:t>
      </w:r>
      <w:r>
        <w:rPr>
          <w:rStyle w:val="13"/>
          <w:rFonts w:hint="eastAsia"/>
          <w:b w:val="0"/>
          <w:spacing w:val="-4"/>
          <w:sz w:val="32"/>
          <w:szCs w:val="32"/>
        </w:rPr>
        <w:t>全年完成2758.7亩绿化指标、卫生保洁指标，全年完成4.</w:t>
      </w:r>
      <w:r>
        <w:rPr>
          <w:rStyle w:val="13"/>
          <w:rFonts w:hint="default"/>
          <w:b w:val="0"/>
          <w:spacing w:val="-4"/>
          <w:sz w:val="32"/>
          <w:szCs w:val="32"/>
          <w:lang w:val="en-US"/>
        </w:rPr>
        <w:t>0</w:t>
      </w:r>
      <w:r>
        <w:rPr>
          <w:rStyle w:val="13"/>
          <w:rFonts w:hint="eastAsia"/>
          <w:b w:val="0"/>
          <w:spacing w:val="-4"/>
          <w:sz w:val="32"/>
          <w:szCs w:val="32"/>
        </w:rPr>
        <w:t>万株花草种，0.</w:t>
      </w:r>
      <w:r>
        <w:rPr>
          <w:rStyle w:val="13"/>
          <w:rFonts w:hint="default"/>
          <w:b w:val="0"/>
          <w:spacing w:val="-4"/>
          <w:sz w:val="32"/>
          <w:szCs w:val="32"/>
          <w:lang w:val="en-US"/>
        </w:rPr>
        <w:t>41</w:t>
      </w:r>
      <w:r>
        <w:rPr>
          <w:rStyle w:val="13"/>
          <w:rFonts w:hint="eastAsia"/>
          <w:b w:val="0"/>
          <w:spacing w:val="-4"/>
          <w:sz w:val="32"/>
          <w:szCs w:val="32"/>
        </w:rPr>
        <w:t>万株绿灌种植</w:t>
      </w:r>
      <w:r>
        <w:rPr>
          <w:rStyle w:val="13"/>
          <w:rFonts w:hint="default"/>
          <w:b w:val="0"/>
          <w:spacing w:val="-4"/>
          <w:sz w:val="32"/>
          <w:szCs w:val="32"/>
          <w:lang w:val="en-US"/>
        </w:rPr>
        <w:t>.</w:t>
      </w:r>
    </w:p>
    <w:p>
      <w:pPr>
        <w:pStyle w:val="2"/>
        <w:ind w:firstLine="640"/>
        <w:rPr>
          <w:rFonts w:cs="仿宋_GB2312"/>
          <w:sz w:val="32"/>
        </w:rPr>
      </w:pPr>
      <w:r>
        <w:rPr>
          <w:rFonts w:hint="eastAsia" w:cs="仿宋_GB2312"/>
          <w:sz w:val="32"/>
        </w:rPr>
        <w:t>（二）单位决策机制</w:t>
      </w:r>
      <w:r>
        <w:rPr>
          <w:rFonts w:hint="eastAsia" w:cs="仿宋_GB2312"/>
          <w:sz w:val="32"/>
        </w:rPr>
        <w:tab/>
      </w:r>
    </w:p>
    <w:p>
      <w:pPr>
        <w:ind w:firstLine="640"/>
        <w:rPr>
          <w:rFonts w:ascii="仿宋_GB2312" w:eastAsia="仿宋_GB2312"/>
          <w:b/>
          <w:bCs/>
          <w:color w:val="000000" w:themeColor="text1"/>
          <w:sz w:val="32"/>
          <w:szCs w:val="32"/>
        </w:rPr>
      </w:pPr>
      <w:r>
        <w:rPr>
          <w:rFonts w:hint="eastAsia" w:ascii="仿宋_GB2312" w:eastAsia="仿宋_GB2312"/>
          <w:color w:val="000000" w:themeColor="text1"/>
          <w:sz w:val="32"/>
          <w:szCs w:val="32"/>
        </w:rPr>
        <w:t>昌吉市广场景观管理服务中心决策程序有明确的内控制度规范，我单位决策机制根据行政事业单位内部控制体系建设相关要求，逐步完善中心党支部会议决策制度《议事规则》、严格执行《三重一大会议制度》。</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pStyle w:val="15"/>
        <w:widowControl/>
        <w:numPr>
          <w:ilvl w:val="0"/>
          <w:numId w:val="3"/>
        </w:numPr>
        <w:ind w:firstLineChars="0"/>
        <w:jc w:val="left"/>
        <w:rPr>
          <w:rFonts w:hint="eastAsia" w:ascii="仿宋_GB2312" w:eastAsia="仿宋_GB2312" w:cs="仿宋"/>
          <w:b/>
          <w:sz w:val="32"/>
          <w:szCs w:val="32"/>
        </w:rPr>
      </w:pPr>
      <w:r>
        <w:rPr>
          <w:rFonts w:hint="eastAsia" w:ascii="仿宋_GB2312" w:eastAsia="仿宋_GB2312" w:cs="仿宋"/>
          <w:b/>
          <w:sz w:val="32"/>
          <w:szCs w:val="32"/>
        </w:rPr>
        <w:t>分配依据及结果。</w:t>
      </w:r>
    </w:p>
    <w:p>
      <w:pPr>
        <w:widowControl/>
        <w:ind w:firstLine="640"/>
        <w:jc w:val="left"/>
        <w:rPr>
          <w:rFonts w:ascii="仿宋_GB2312" w:eastAsia="仿宋_GB2312" w:cs="仿宋"/>
          <w:sz w:val="32"/>
          <w:szCs w:val="32"/>
        </w:rPr>
      </w:pPr>
      <w:r>
        <w:rPr>
          <w:rFonts w:hint="eastAsia" w:ascii="仿宋_GB2312" w:eastAsia="仿宋_GB2312" w:cs="仿宋"/>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pStyle w:val="15"/>
        <w:widowControl/>
        <w:numPr>
          <w:ilvl w:val="0"/>
          <w:numId w:val="3"/>
        </w:numPr>
        <w:ind w:firstLineChars="0"/>
        <w:jc w:val="left"/>
        <w:rPr>
          <w:rFonts w:hint="eastAsia" w:ascii="仿宋_GB2312" w:eastAsia="仿宋_GB2312"/>
          <w:b/>
          <w:sz w:val="32"/>
          <w:szCs w:val="32"/>
        </w:rPr>
      </w:pPr>
      <w:r>
        <w:rPr>
          <w:rFonts w:hint="eastAsia" w:ascii="仿宋_GB2312" w:eastAsia="仿宋_GB2312"/>
          <w:b/>
          <w:sz w:val="32"/>
          <w:szCs w:val="32"/>
        </w:rPr>
        <w:t>重点支出保障情况。</w:t>
      </w:r>
    </w:p>
    <w:p>
      <w:pPr>
        <w:widowControl/>
        <w:ind w:firstLine="640"/>
        <w:jc w:val="left"/>
        <w:rPr>
          <w:rFonts w:ascii="仿宋_GB2312" w:eastAsia="仿宋_GB2312" w:cs="仿宋"/>
          <w:sz w:val="32"/>
          <w:szCs w:val="32"/>
        </w:rPr>
      </w:pPr>
      <w:r>
        <w:rPr>
          <w:rFonts w:hint="eastAsia" w:ascii="仿宋_GB2312" w:eastAsia="仿宋_GB2312" w:cs="仿宋"/>
          <w:sz w:val="32"/>
          <w:szCs w:val="32"/>
        </w:rPr>
        <w:t>本年度本单位预算安排的重点项目0个，预算安排的重点项目支出金额为0万元，部门项目总支出金额为0万元，则重点项目支出占项目总支出的比率为0%。</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4"/>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960" w:firstLineChars="300"/>
        <w:rPr>
          <w:rFonts w:ascii="仿宋_GB2312" w:eastAsia="仿宋_GB2312"/>
          <w:color w:val="auto"/>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Style w:val="13"/>
          <w:rFonts w:hint="eastAsia" w:cstheme="minorBidi"/>
          <w:b w:val="0"/>
          <w:spacing w:val="-4"/>
          <w:sz w:val="32"/>
          <w:szCs w:val="32"/>
        </w:rPr>
        <w:t>昌吉市广场景观管理服务中心</w:t>
      </w:r>
      <w:r>
        <w:rPr>
          <w:rFonts w:hint="eastAsia" w:ascii="仿宋_GB2312" w:eastAsia="仿宋_GB2312"/>
          <w:bCs/>
          <w:sz w:val="32"/>
          <w:szCs w:val="32"/>
        </w:rPr>
        <w:t>部门整体支</w:t>
      </w:r>
      <w:r>
        <w:rPr>
          <w:rFonts w:hint="eastAsia" w:ascii="仿宋_GB2312" w:eastAsia="仿宋_GB2312"/>
          <w:bCs/>
          <w:color w:val="auto"/>
          <w:sz w:val="32"/>
          <w:szCs w:val="32"/>
        </w:rPr>
        <w:t>出年初预算金额为</w:t>
      </w:r>
      <w:r>
        <w:rPr>
          <w:rFonts w:hint="eastAsia" w:ascii="仿宋_GB2312" w:eastAsia="仿宋_GB2312"/>
          <w:color w:val="auto"/>
          <w:sz w:val="32"/>
          <w:szCs w:val="32"/>
          <w:lang w:val="en-US" w:eastAsia="zh-CN"/>
        </w:rPr>
        <w:t>871.25</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871.25</w:t>
      </w:r>
      <w:r>
        <w:rPr>
          <w:rFonts w:hint="eastAsia" w:ascii="仿宋_GB2312" w:eastAsia="仿宋_GB2312"/>
          <w:color w:val="auto"/>
          <w:sz w:val="32"/>
          <w:szCs w:val="32"/>
        </w:rPr>
        <w:t>万元，执行率为100.0%，其中：政府采购年初预算金额为</w:t>
      </w:r>
      <w:r>
        <w:rPr>
          <w:rFonts w:hint="eastAsia" w:ascii="仿宋_GB2312" w:hAnsi="宋体" w:eastAsia="仿宋_GB2312" w:cs="宋体"/>
          <w:color w:val="auto"/>
          <w:kern w:val="0"/>
          <w:sz w:val="32"/>
          <w:szCs w:val="32"/>
        </w:rPr>
        <w:t>53.14</w:t>
      </w:r>
      <w:r>
        <w:rPr>
          <w:rFonts w:hint="eastAsia" w:ascii="仿宋_GB2312" w:eastAsia="仿宋_GB2312"/>
          <w:color w:val="auto"/>
          <w:sz w:val="32"/>
          <w:szCs w:val="32"/>
        </w:rPr>
        <w:t>万元，支出金额为</w:t>
      </w:r>
      <w:r>
        <w:rPr>
          <w:rFonts w:hint="eastAsia" w:ascii="仿宋_GB2312" w:hAnsi="宋体" w:eastAsia="仿宋_GB2312" w:cs="宋体"/>
          <w:color w:val="auto"/>
          <w:kern w:val="0"/>
          <w:sz w:val="32"/>
          <w:szCs w:val="32"/>
        </w:rPr>
        <w:t>53.14</w:t>
      </w:r>
      <w:r>
        <w:rPr>
          <w:rFonts w:hint="eastAsia" w:ascii="仿宋_GB2312" w:eastAsia="仿宋_GB2312"/>
          <w:color w:val="auto"/>
          <w:sz w:val="32"/>
          <w:szCs w:val="32"/>
        </w:rPr>
        <w:t>万元，执行率为100.0%。年中调整预算金额为调增</w:t>
      </w:r>
      <w:r>
        <w:rPr>
          <w:rFonts w:hint="eastAsia" w:ascii="仿宋_GB2312" w:eastAsia="仿宋_GB2312"/>
          <w:color w:val="auto"/>
          <w:sz w:val="32"/>
          <w:szCs w:val="32"/>
          <w:lang w:val="en-US" w:eastAsia="zh-CN"/>
        </w:rPr>
        <w:t>176.14</w:t>
      </w:r>
      <w:r>
        <w:rPr>
          <w:rFonts w:hint="eastAsia" w:ascii="仿宋_GB2312" w:eastAsia="仿宋_GB2312"/>
          <w:color w:val="auto"/>
          <w:sz w:val="32"/>
          <w:szCs w:val="32"/>
        </w:rPr>
        <w:t>万元（注：追加预算），预算调整率（注：调整预算金额/年初预算金额的比率）为</w:t>
      </w:r>
      <w:r>
        <w:rPr>
          <w:rFonts w:hint="eastAsia" w:ascii="仿宋_GB2312" w:eastAsia="仿宋_GB2312"/>
          <w:color w:val="auto"/>
          <w:sz w:val="32"/>
          <w:szCs w:val="32"/>
          <w:highlight w:val="yellow"/>
        </w:rPr>
        <w:t>2</w:t>
      </w:r>
      <w:r>
        <w:rPr>
          <w:rFonts w:hint="eastAsia" w:ascii="仿宋_GB2312" w:eastAsia="仿宋_GB2312"/>
          <w:color w:val="auto"/>
          <w:sz w:val="32"/>
          <w:szCs w:val="32"/>
          <w:highlight w:val="yellow"/>
          <w:lang w:val="en-US" w:eastAsia="zh-CN"/>
        </w:rPr>
        <w:t>0</w:t>
      </w:r>
      <w:r>
        <w:rPr>
          <w:rFonts w:hint="eastAsia" w:ascii="仿宋_GB2312" w:eastAsia="仿宋_GB2312"/>
          <w:color w:val="auto"/>
          <w:sz w:val="32"/>
          <w:szCs w:val="32"/>
          <w:highlight w:val="yellow"/>
        </w:rPr>
        <w:t>.</w:t>
      </w:r>
      <w:r>
        <w:rPr>
          <w:rFonts w:hint="eastAsia" w:ascii="仿宋_GB2312" w:eastAsia="仿宋_GB2312"/>
          <w:color w:val="auto"/>
          <w:sz w:val="32"/>
          <w:szCs w:val="32"/>
          <w:highlight w:val="yellow"/>
          <w:lang w:val="en-US" w:eastAsia="zh-CN"/>
        </w:rPr>
        <w:t>0</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highlight w:val="yellow"/>
          <w:lang w:val="en-US" w:eastAsia="zh-CN"/>
        </w:rPr>
        <w:t>1047.39</w:t>
      </w:r>
      <w:r>
        <w:rPr>
          <w:rFonts w:hint="eastAsia" w:ascii="仿宋_GB2312" w:eastAsia="仿宋_GB2312"/>
          <w:color w:val="auto"/>
          <w:sz w:val="32"/>
          <w:szCs w:val="32"/>
        </w:rPr>
        <w:t>万元（注：年初预算+调整预算），支出总额为10</w:t>
      </w:r>
      <w:r>
        <w:rPr>
          <w:rFonts w:hint="eastAsia" w:ascii="仿宋_GB2312" w:eastAsia="仿宋_GB2312"/>
          <w:color w:val="auto"/>
          <w:sz w:val="32"/>
          <w:szCs w:val="32"/>
          <w:lang w:val="en-US" w:eastAsia="zh-CN"/>
        </w:rPr>
        <w:t>47.39</w:t>
      </w:r>
      <w:r>
        <w:rPr>
          <w:rFonts w:hint="eastAsia" w:ascii="仿宋_GB2312" w:eastAsia="仿宋_GB2312"/>
          <w:color w:val="auto"/>
          <w:sz w:val="32"/>
          <w:szCs w:val="32"/>
        </w:rPr>
        <w:t>万元（年初预算支出数+调整预算支出数），预算总执行率为100.0%（注：预算总额/支出总额）。</w:t>
      </w:r>
    </w:p>
    <w:p>
      <w:pPr>
        <w:pStyle w:val="2"/>
        <w:ind w:firstLine="640"/>
        <w:rPr>
          <w:color w:val="auto"/>
          <w:sz w:val="32"/>
        </w:rPr>
      </w:pPr>
      <w:r>
        <w:rPr>
          <w:rFonts w:hint="eastAsia"/>
          <w:color w:val="auto"/>
          <w:sz w:val="32"/>
        </w:rPr>
        <w:t>2.部门单位整体支出自评使用方法、主要内容、涉及范围</w:t>
      </w:r>
    </w:p>
    <w:p>
      <w:pPr>
        <w:ind w:firstLine="640"/>
        <w:rPr>
          <w:rFonts w:ascii="仿宋_GB2312" w:eastAsia="仿宋_GB2312"/>
          <w:b/>
          <w:bCs/>
          <w:color w:val="auto"/>
          <w:sz w:val="32"/>
          <w:szCs w:val="32"/>
        </w:rPr>
      </w:pPr>
      <w:r>
        <w:rPr>
          <w:rFonts w:hint="eastAsia" w:ascii="仿宋_GB2312" w:eastAsia="仿宋_GB2312"/>
          <w:b/>
          <w:bCs/>
          <w:color w:val="auto"/>
          <w:sz w:val="32"/>
          <w:szCs w:val="32"/>
        </w:rPr>
        <w:t>（1）自评使用方法</w:t>
      </w:r>
    </w:p>
    <w:p>
      <w:pPr>
        <w:ind w:firstLine="640"/>
        <w:rPr>
          <w:rFonts w:ascii="仿宋_GB2312" w:eastAsia="仿宋_GB2312"/>
          <w:color w:val="auto"/>
          <w:sz w:val="32"/>
          <w:szCs w:val="32"/>
        </w:rPr>
      </w:pPr>
      <w:r>
        <w:rPr>
          <w:rFonts w:hint="eastAsia" w:ascii="仿宋_GB2312" w:eastAsia="仿宋_GB2312"/>
          <w:color w:val="auto"/>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rPr>
      </w:pPr>
      <w:r>
        <w:rPr>
          <w:rFonts w:hint="eastAsia"/>
          <w:color w:val="auto"/>
          <w:sz w:val="32"/>
        </w:rPr>
        <w:t>（2）评价的主要内容和涉及范围</w:t>
      </w:r>
    </w:p>
    <w:p>
      <w:pPr>
        <w:ind w:firstLine="640"/>
        <w:rPr>
          <w:rFonts w:ascii="仿宋_GB2312" w:eastAsia="仿宋_GB2312"/>
          <w:color w:val="auto"/>
          <w:sz w:val="32"/>
          <w:szCs w:val="32"/>
        </w:rPr>
      </w:pPr>
      <w:r>
        <w:rPr>
          <w:rFonts w:hint="eastAsia" w:ascii="仿宋_GB2312" w:eastAsia="仿宋_GB2312"/>
          <w:color w:val="auto"/>
          <w:sz w:val="32"/>
          <w:szCs w:val="32"/>
        </w:rPr>
        <w:t>此次我单位根据</w:t>
      </w:r>
      <w:r>
        <w:rPr>
          <w:rFonts w:ascii="仿宋_GB2312" w:hAnsi="Arial" w:eastAsia="仿宋_GB2312" w:cs="宋体"/>
          <w:bCs/>
          <w:color w:val="auto"/>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rPr>
        <w:t>等文件要求，对202</w:t>
      </w:r>
      <w:r>
        <w:rPr>
          <w:rFonts w:ascii="仿宋_GB2312" w:eastAsia="仿宋_GB2312"/>
          <w:color w:val="auto"/>
          <w:sz w:val="32"/>
          <w:szCs w:val="32"/>
        </w:rPr>
        <w:t>1</w:t>
      </w:r>
      <w:r>
        <w:rPr>
          <w:rFonts w:hint="eastAsia" w:ascii="仿宋_GB2312" w:eastAsia="仿宋_GB2312"/>
          <w:color w:val="auto"/>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rPr>
      </w:pPr>
      <w:r>
        <w:rPr>
          <w:rFonts w:hint="eastAsia" w:ascii="黑体" w:hAnsi="黑体"/>
          <w:b w:val="0"/>
          <w:color w:val="auto"/>
          <w:sz w:val="32"/>
          <w:szCs w:val="32"/>
        </w:rPr>
        <w:t>二、部门单位整体支出管理及使用情况</w:t>
      </w:r>
    </w:p>
    <w:p>
      <w:pPr>
        <w:pStyle w:val="4"/>
        <w:numPr>
          <w:ilvl w:val="0"/>
          <w:numId w:val="5"/>
        </w:numPr>
        <w:ind w:firstLineChars="0"/>
        <w:rPr>
          <w:rFonts w:ascii="楷体_GB2312" w:eastAsia="楷体_GB2312"/>
          <w:color w:val="auto"/>
          <w:szCs w:val="32"/>
        </w:rPr>
      </w:pPr>
      <w:r>
        <w:rPr>
          <w:rFonts w:hint="eastAsia" w:ascii="楷体_GB2312" w:eastAsia="楷体_GB2312"/>
          <w:bCs/>
          <w:color w:val="auto"/>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昌吉市广场景观管理服务中心内控制度》，并严格按照此管理办法（制度）管理使用预算资金，严格按照政府信息公开有关规定及财政部门要求公开相关预决算信息。</w:t>
      </w:r>
    </w:p>
    <w:p>
      <w:pPr>
        <w:pStyle w:val="4"/>
        <w:numPr>
          <w:ilvl w:val="0"/>
          <w:numId w:val="5"/>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年，昌吉市广场景观管理服务中心基本支出年初预算金额为7</w:t>
      </w:r>
      <w:r>
        <w:rPr>
          <w:rFonts w:hint="eastAsia" w:ascii="仿宋_GB2312" w:eastAsia="仿宋_GB2312"/>
          <w:color w:val="auto"/>
          <w:sz w:val="32"/>
          <w:szCs w:val="32"/>
          <w:lang w:val="en-US" w:eastAsia="zh-CN"/>
        </w:rPr>
        <w:t>71.25</w:t>
      </w:r>
      <w:r>
        <w:rPr>
          <w:rFonts w:hint="eastAsia" w:ascii="仿宋_GB2312" w:eastAsia="仿宋_GB2312"/>
          <w:color w:val="auto"/>
          <w:sz w:val="32"/>
          <w:szCs w:val="32"/>
        </w:rPr>
        <w:t>万元，支出金额为8</w:t>
      </w:r>
      <w:r>
        <w:rPr>
          <w:rFonts w:hint="eastAsia" w:ascii="仿宋_GB2312" w:eastAsia="仿宋_GB2312"/>
          <w:color w:val="auto"/>
          <w:sz w:val="32"/>
          <w:szCs w:val="32"/>
          <w:lang w:val="en-US" w:eastAsia="zh-CN"/>
        </w:rPr>
        <w:t>70.68</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112</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99.43</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771.25</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870.68</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88</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735.56</w:t>
      </w:r>
      <w:r>
        <w:rPr>
          <w:rFonts w:hint="eastAsia" w:ascii="仿宋_GB2312" w:eastAsia="仿宋_GB2312"/>
          <w:color w:val="auto"/>
          <w:sz w:val="32"/>
          <w:szCs w:val="32"/>
        </w:rPr>
        <w:t>万元，公用经费3</w:t>
      </w:r>
      <w:r>
        <w:rPr>
          <w:rFonts w:hint="eastAsia" w:ascii="仿宋_GB2312" w:eastAsia="仿宋_GB2312"/>
          <w:color w:val="auto"/>
          <w:sz w:val="32"/>
          <w:szCs w:val="32"/>
          <w:lang w:val="en-US" w:eastAsia="zh-CN"/>
        </w:rPr>
        <w:t>5.69</w:t>
      </w:r>
      <w:r>
        <w:rPr>
          <w:rFonts w:hint="eastAsia" w:ascii="仿宋_GB2312" w:eastAsia="仿宋_GB2312"/>
          <w:color w:val="auto"/>
          <w:sz w:val="32"/>
          <w:szCs w:val="32"/>
        </w:rPr>
        <w:t>万元。（注：人员经费+公用经费=基本支出预算总额）</w:t>
      </w:r>
    </w:p>
    <w:p>
      <w:pPr>
        <w:ind w:firstLine="640"/>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年“三公”经费预算数为2.4万元，其中：因公出国（境）费0万元，公务用车购置及运行费</w:t>
      </w:r>
      <w:r>
        <w:rPr>
          <w:rFonts w:hint="eastAsia" w:ascii="仿宋_GB2312" w:eastAsia="仿宋_GB2312" w:cs="宋体"/>
          <w:color w:val="auto"/>
          <w:sz w:val="32"/>
          <w:szCs w:val="32"/>
          <w:lang w:val="en-US" w:eastAsia="zh-CN"/>
        </w:rPr>
        <w:t>2.396</w:t>
      </w:r>
      <w:r>
        <w:rPr>
          <w:rFonts w:hint="eastAsia" w:ascii="仿宋_GB2312" w:eastAsia="仿宋_GB2312" w:cs="宋体"/>
          <w:color w:val="auto"/>
          <w:sz w:val="32"/>
          <w:szCs w:val="32"/>
        </w:rPr>
        <w:t>万元（其中公务用车购置为0万元），公务接待费0万元。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年，全年“三公”经费决算支出2.</w:t>
      </w:r>
      <w:r>
        <w:rPr>
          <w:rFonts w:hint="eastAsia" w:ascii="仿宋_GB2312" w:eastAsia="仿宋_GB2312" w:cs="宋体"/>
          <w:color w:val="auto"/>
          <w:sz w:val="32"/>
          <w:szCs w:val="32"/>
          <w:lang w:val="en-US" w:eastAsia="zh-CN"/>
        </w:rPr>
        <w:t>396</w:t>
      </w:r>
      <w:r>
        <w:rPr>
          <w:rFonts w:hint="eastAsia" w:ascii="仿宋_GB2312" w:eastAsia="仿宋_GB2312" w:cs="宋体"/>
          <w:color w:val="auto"/>
          <w:sz w:val="32"/>
          <w:szCs w:val="32"/>
        </w:rPr>
        <w:t>万元，其中：因公出国（境）费用0万元、公务用车购置及运行费</w:t>
      </w:r>
      <w:r>
        <w:rPr>
          <w:rFonts w:hint="eastAsia" w:ascii="仿宋_GB2312" w:eastAsia="仿宋_GB2312" w:cs="宋体"/>
          <w:color w:val="auto"/>
          <w:sz w:val="32"/>
          <w:szCs w:val="32"/>
          <w:lang w:val="en-US" w:eastAsia="zh-CN"/>
        </w:rPr>
        <w:t>2.396</w:t>
      </w:r>
      <w:r>
        <w:rPr>
          <w:rFonts w:hint="eastAsia" w:ascii="仿宋_GB2312" w:eastAsia="仿宋_GB2312" w:cs="宋体"/>
          <w:color w:val="auto"/>
          <w:sz w:val="32"/>
          <w:szCs w:val="32"/>
        </w:rPr>
        <w:t>万元（其中公务用车购置为0万元）、公务接待费0万元。较上年“三公”经费决算支出2.4万元，减</w:t>
      </w:r>
      <w:r>
        <w:rPr>
          <w:rFonts w:hint="eastAsia" w:ascii="仿宋_GB2312" w:eastAsia="仿宋_GB2312" w:cs="宋体"/>
          <w:color w:val="auto"/>
          <w:sz w:val="32"/>
          <w:szCs w:val="32"/>
          <w:lang w:eastAsia="zh-CN"/>
        </w:rPr>
        <w:t>少</w:t>
      </w:r>
      <w:r>
        <w:rPr>
          <w:rFonts w:hint="eastAsia" w:ascii="仿宋_GB2312" w:eastAsia="仿宋_GB2312" w:cs="宋体"/>
          <w:color w:val="auto"/>
          <w:sz w:val="32"/>
          <w:szCs w:val="32"/>
          <w:lang w:val="en-US" w:eastAsia="zh-CN"/>
        </w:rPr>
        <w:t>0.004万元。</w:t>
      </w:r>
    </w:p>
    <w:p>
      <w:pPr>
        <w:pStyle w:val="4"/>
        <w:ind w:firstLine="640"/>
        <w:rPr>
          <w:rFonts w:ascii="楷体_GB2312" w:eastAsia="楷体_GB2312"/>
          <w:color w:val="auto"/>
          <w:szCs w:val="32"/>
        </w:rPr>
      </w:pPr>
      <w:r>
        <w:rPr>
          <w:rFonts w:hint="eastAsia" w:ascii="楷体_GB2312" w:eastAsia="楷体_GB2312"/>
          <w:color w:val="auto"/>
          <w:szCs w:val="32"/>
        </w:rPr>
        <w:t>（三）项目支出</w:t>
      </w:r>
      <w:r>
        <w:rPr>
          <w:rFonts w:hint="eastAsia" w:ascii="楷体_GB2312" w:hAnsi="Cambria" w:eastAsia="楷体_GB2312"/>
          <w:color w:val="auto"/>
          <w:szCs w:val="32"/>
        </w:rPr>
        <w:t>预算安排及支出情况</w:t>
      </w:r>
    </w:p>
    <w:p>
      <w:pPr>
        <w:ind w:firstLine="640"/>
        <w:rPr>
          <w:rFonts w:hint="eastAsia" w:ascii="仿宋_GB2312" w:eastAsia="仿宋_GB2312"/>
          <w:b/>
          <w:bCs/>
          <w:color w:val="auto"/>
          <w:sz w:val="32"/>
          <w:szCs w:val="32"/>
        </w:rPr>
      </w:pPr>
      <w:r>
        <w:rPr>
          <w:rFonts w:hint="eastAsia" w:ascii="仿宋_GB2312" w:eastAsia="仿宋_GB2312"/>
          <w:b/>
          <w:bCs/>
          <w:color w:val="auto"/>
          <w:sz w:val="32"/>
          <w:szCs w:val="32"/>
        </w:rPr>
        <w:t>1.项目支出情况</w:t>
      </w:r>
    </w:p>
    <w:p>
      <w:pPr>
        <w:ind w:firstLine="640"/>
        <w:rPr>
          <w:rFonts w:hint="eastAsia" w:eastAsia="仿宋_GB2312"/>
          <w:b w:val="0"/>
          <w:bCs w:val="0"/>
          <w:color w:val="auto"/>
          <w:sz w:val="32"/>
          <w:lang w:val="en-US" w:eastAsia="zh-CN"/>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年，昌吉市广场景观管理服务中心项目支出年初预算金额为100万元，支出金额为1</w:t>
      </w:r>
      <w:r>
        <w:rPr>
          <w:rFonts w:hint="eastAsia"/>
          <w:b w:val="0"/>
          <w:bCs w:val="0"/>
          <w:color w:val="auto"/>
          <w:sz w:val="32"/>
          <w:lang w:val="en-US" w:eastAsia="zh-CN"/>
        </w:rPr>
        <w:t>76.71</w:t>
      </w:r>
      <w:r>
        <w:rPr>
          <w:rFonts w:hint="eastAsia"/>
          <w:b w:val="0"/>
          <w:bCs w:val="0"/>
          <w:color w:val="auto"/>
          <w:sz w:val="32"/>
        </w:rPr>
        <w:t>万元，执行率为</w:t>
      </w:r>
      <w:r>
        <w:rPr>
          <w:rFonts w:hint="eastAsia"/>
          <w:b w:val="0"/>
          <w:bCs w:val="0"/>
          <w:color w:val="auto"/>
          <w:sz w:val="32"/>
          <w:lang w:val="en-US" w:eastAsia="zh-CN"/>
        </w:rPr>
        <w:t>176.71</w:t>
      </w:r>
      <w:r>
        <w:rPr>
          <w:rFonts w:hint="eastAsia"/>
          <w:b w:val="0"/>
          <w:bCs w:val="0"/>
          <w:color w:val="auto"/>
          <w:sz w:val="32"/>
        </w:rPr>
        <w:t>%，年中调整预算金额为</w:t>
      </w:r>
      <w:r>
        <w:rPr>
          <w:rFonts w:hint="eastAsia"/>
          <w:b w:val="0"/>
          <w:bCs w:val="0"/>
          <w:color w:val="auto"/>
          <w:sz w:val="32"/>
          <w:lang w:val="en-US" w:eastAsia="zh-CN"/>
        </w:rPr>
        <w:t>76.71</w:t>
      </w:r>
      <w:r>
        <w:rPr>
          <w:rFonts w:hint="eastAsia"/>
          <w:b w:val="0"/>
          <w:bCs w:val="0"/>
          <w:color w:val="auto"/>
          <w:sz w:val="32"/>
        </w:rPr>
        <w:t>万元。综上，我单位项目支出预算总额为100万元，支出总额为1</w:t>
      </w:r>
      <w:r>
        <w:rPr>
          <w:rFonts w:hint="eastAsia"/>
          <w:b w:val="0"/>
          <w:bCs w:val="0"/>
          <w:color w:val="auto"/>
          <w:sz w:val="32"/>
          <w:lang w:val="en-US" w:eastAsia="zh-CN"/>
        </w:rPr>
        <w:t>76.71</w:t>
      </w:r>
      <w:r>
        <w:rPr>
          <w:rFonts w:hint="eastAsia"/>
          <w:b w:val="0"/>
          <w:bCs w:val="0"/>
          <w:color w:val="auto"/>
          <w:sz w:val="32"/>
        </w:rPr>
        <w:t>万元，预算总执行率为</w:t>
      </w:r>
      <w:r>
        <w:rPr>
          <w:rFonts w:hint="eastAsia"/>
          <w:b w:val="0"/>
          <w:bCs w:val="0"/>
          <w:color w:val="auto"/>
          <w:sz w:val="32"/>
          <w:lang w:val="en-US" w:eastAsia="zh-CN"/>
        </w:rPr>
        <w:t>56</w:t>
      </w:r>
      <w:r>
        <w:rPr>
          <w:rFonts w:hint="eastAsia"/>
          <w:b w:val="0"/>
          <w:bCs w:val="0"/>
          <w:color w:val="auto"/>
          <w:sz w:val="32"/>
        </w:rPr>
        <w:t>%</w:t>
      </w:r>
      <w:r>
        <w:rPr>
          <w:rFonts w:hint="eastAsia"/>
          <w:b w:val="0"/>
          <w:bCs w:val="0"/>
          <w:color w:val="auto"/>
          <w:sz w:val="32"/>
          <w:lang w:val="en-US" w:eastAsia="zh-CN"/>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b w:val="0"/>
          <w:bCs w:val="0"/>
          <w:color w:val="auto"/>
          <w:sz w:val="32"/>
        </w:rPr>
        <w:t>昌吉市广场景观管理服务中心</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11</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11</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left="0" w:leftChars="0" w:firstLine="6930" w:firstLineChars="3300"/>
        <w:jc w:val="both"/>
        <w:rPr>
          <w:sz w:val="21"/>
          <w:szCs w:val="21"/>
        </w:rPr>
      </w:pPr>
      <w:r>
        <w:rPr>
          <w:rFonts w:hint="eastAsia"/>
          <w:sz w:val="21"/>
          <w:szCs w:val="21"/>
        </w:rPr>
        <w:t>单位：万元</w:t>
      </w:r>
    </w:p>
    <w:tbl>
      <w:tblPr>
        <w:tblStyle w:val="11"/>
        <w:tblW w:w="8698" w:type="dxa"/>
        <w:tblInd w:w="0" w:type="dxa"/>
        <w:tblLayout w:type="fixed"/>
        <w:tblCellMar>
          <w:top w:w="0" w:type="dxa"/>
          <w:left w:w="108" w:type="dxa"/>
          <w:bottom w:w="0" w:type="dxa"/>
          <w:right w:w="108" w:type="dxa"/>
        </w:tblCellMar>
      </w:tblPr>
      <w:tblGrid>
        <w:gridCol w:w="4021"/>
        <w:gridCol w:w="1157"/>
        <w:gridCol w:w="1157"/>
        <w:gridCol w:w="867"/>
        <w:gridCol w:w="692"/>
        <w:gridCol w:w="804"/>
      </w:tblGrid>
      <w:tr>
        <w:tblPrEx>
          <w:tblCellMar>
            <w:top w:w="0" w:type="dxa"/>
            <w:left w:w="108" w:type="dxa"/>
            <w:bottom w:w="0" w:type="dxa"/>
            <w:right w:w="108" w:type="dxa"/>
          </w:tblCellMar>
        </w:tblPrEx>
        <w:trPr>
          <w:trHeight w:val="1296" w:hRule="atLeast"/>
          <w:tblHeader/>
        </w:trPr>
        <w:tc>
          <w:tcPr>
            <w:tcW w:w="4021"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57"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57"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67"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92"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80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1059"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中小企业欠款化解资金（第二批）（滨湖河景区中山公园社会购买服务外包）</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val="en-US" w:eastAsia="zh-CN"/>
              </w:rPr>
              <w:t>5</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5</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100%</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925"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中小企业欠款化解资金（第二批）（滨湖河景区中山公园社会购买服务外包）</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5</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5</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仿宋_GB2312" w:eastAsia="仿宋_GB2312" w:cs="仿宋_GB2312"/>
                <w:kern w:val="0"/>
                <w:sz w:val="21"/>
                <w:szCs w:val="21"/>
              </w:rPr>
              <w:t>100%</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1109"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rPr>
              <w:t>广场景观管理服务中心保运转经费</w:t>
            </w:r>
            <w:r>
              <w:rPr>
                <w:rFonts w:hint="eastAsia" w:ascii="仿宋_GB2312" w:hAnsi="宋体" w:eastAsia="仿宋_GB2312" w:cs="宋体"/>
                <w:kern w:val="0"/>
                <w:sz w:val="21"/>
                <w:szCs w:val="21"/>
                <w:lang w:eastAsia="zh-CN"/>
              </w:rPr>
              <w:t>（临工工资）</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39</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39</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仿宋_GB2312" w:eastAsia="仿宋_GB2312" w:cs="仿宋_GB2312"/>
                <w:kern w:val="0"/>
                <w:sz w:val="21"/>
                <w:szCs w:val="21"/>
              </w:rPr>
              <w:t>100%</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585"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中小企业欠款化解资金（第三批）</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5</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5</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r>
              <w:rPr>
                <w:rFonts w:hint="eastAsia" w:ascii="仿宋_GB2312" w:hAnsi="宋体" w:eastAsia="仿宋_GB2312" w:cs="宋体"/>
                <w:kern w:val="0"/>
                <w:sz w:val="21"/>
                <w:szCs w:val="21"/>
              </w:rPr>
              <w:t>%</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569"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中小企业欠款化解资金（第三批）</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r>
              <w:rPr>
                <w:rFonts w:hint="eastAsia" w:ascii="仿宋_GB2312" w:hAnsi="宋体" w:eastAsia="仿宋_GB2312" w:cs="宋体"/>
                <w:kern w:val="0"/>
                <w:sz w:val="21"/>
                <w:szCs w:val="21"/>
              </w:rPr>
              <w:t>%</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eastAsia="仿宋_GB2312" w:cs="Calibri"/>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785"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2022年支付历年欠款</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r>
              <w:rPr>
                <w:rFonts w:hint="eastAsia" w:ascii="仿宋_GB2312" w:hAnsi="宋体" w:eastAsia="仿宋_GB2312" w:cs="宋体"/>
                <w:kern w:val="0"/>
                <w:sz w:val="21"/>
                <w:szCs w:val="21"/>
              </w:rPr>
              <w:t>%</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770"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2022年支付历年欠款</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12</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12</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r>
              <w:rPr>
                <w:rFonts w:hint="eastAsia" w:ascii="仿宋_GB2312" w:hAnsi="宋体" w:eastAsia="仿宋_GB2312" w:cs="宋体"/>
                <w:kern w:val="0"/>
                <w:sz w:val="21"/>
                <w:szCs w:val="21"/>
              </w:rPr>
              <w:t>%</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635"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2022年支付历年欠款</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r>
              <w:rPr>
                <w:rFonts w:hint="eastAsia" w:ascii="仿宋_GB2312" w:hAnsi="宋体" w:eastAsia="仿宋_GB2312" w:cs="宋体"/>
                <w:kern w:val="0"/>
                <w:sz w:val="21"/>
                <w:szCs w:val="21"/>
              </w:rPr>
              <w:t>%</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736"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保运转经费</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66.67</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r>
              <w:rPr>
                <w:rFonts w:hint="eastAsia" w:ascii="仿宋_GB2312" w:hAnsi="宋体" w:eastAsia="仿宋_GB2312" w:cs="宋体"/>
                <w:kern w:val="0"/>
                <w:sz w:val="21"/>
                <w:szCs w:val="21"/>
              </w:rPr>
              <w:t>%</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636"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2022年水资源费</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31.89</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31.89</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r>
              <w:rPr>
                <w:rFonts w:hint="eastAsia" w:ascii="仿宋_GB2312" w:hAnsi="宋体" w:eastAsia="仿宋_GB2312" w:cs="宋体"/>
                <w:kern w:val="0"/>
                <w:sz w:val="21"/>
                <w:szCs w:val="21"/>
              </w:rPr>
              <w:t>%</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686"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2022年“访惠聚”驻社区工作经费</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2.51</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19.31</w:t>
            </w:r>
            <w:r>
              <w:rPr>
                <w:rFonts w:hint="eastAsia" w:ascii="仿宋_GB2312" w:hAnsi="宋体" w:eastAsia="仿宋_GB2312" w:cs="宋体"/>
                <w:kern w:val="0"/>
                <w:sz w:val="21"/>
                <w:szCs w:val="21"/>
              </w:rPr>
              <w:t>%</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653" w:hRule="atLeast"/>
        </w:trPr>
        <w:tc>
          <w:tcPr>
            <w:tcW w:w="4021" w:type="dxa"/>
            <w:tcBorders>
              <w:top w:val="nil"/>
              <w:left w:val="single" w:color="auto" w:sz="8" w:space="0"/>
              <w:bottom w:val="single" w:color="auto" w:sz="8" w:space="0"/>
              <w:right w:val="single" w:color="auto" w:sz="8" w:space="0"/>
            </w:tcBorders>
            <w:shd w:val="clear" w:color="auto" w:fill="auto"/>
            <w:vAlign w:val="center"/>
          </w:tcPr>
          <w:p>
            <w:pPr>
              <w:widowControl/>
              <w:tabs>
                <w:tab w:val="left" w:pos="878"/>
              </w:tabs>
              <w:adjustRightInd w:val="0"/>
              <w:snapToGrid w:val="0"/>
              <w:spacing w:line="240" w:lineRule="auto"/>
              <w:ind w:firstLine="0" w:firstLineChars="0"/>
              <w:jc w:val="left"/>
              <w:rPr>
                <w:rFonts w:hint="eastAsia" w:ascii="仿宋_GB2312" w:hAnsi="宋体" w:eastAsia="仿宋_GB2312" w:cs="宋体"/>
                <w:b/>
                <w:bCs/>
                <w:kern w:val="0"/>
                <w:sz w:val="21"/>
                <w:szCs w:val="21"/>
                <w:lang w:eastAsia="zh-CN"/>
              </w:rPr>
            </w:pPr>
            <w:r>
              <w:rPr>
                <w:rFonts w:hint="eastAsia" w:ascii="仿宋_GB2312" w:hAnsi="宋体" w:eastAsia="仿宋_GB2312" w:cs="宋体"/>
                <w:b/>
                <w:bCs/>
                <w:kern w:val="0"/>
                <w:sz w:val="21"/>
                <w:szCs w:val="21"/>
                <w:lang w:eastAsia="zh-CN"/>
              </w:rPr>
              <w:tab/>
            </w:r>
            <w:r>
              <w:rPr>
                <w:rFonts w:hint="eastAsia" w:ascii="仿宋_GB2312" w:hAnsi="宋体" w:eastAsia="仿宋_GB2312" w:cs="宋体"/>
                <w:b/>
                <w:bCs/>
                <w:kern w:val="0"/>
                <w:sz w:val="21"/>
                <w:szCs w:val="21"/>
                <w:lang w:eastAsia="zh-CN"/>
              </w:rPr>
              <w:t>合</w:t>
            </w:r>
            <w:r>
              <w:rPr>
                <w:rFonts w:hint="eastAsia" w:ascii="仿宋_GB2312" w:hAnsi="宋体" w:eastAsia="仿宋_GB2312" w:cs="宋体"/>
                <w:b/>
                <w:bCs/>
                <w:kern w:val="0"/>
                <w:sz w:val="21"/>
                <w:szCs w:val="21"/>
                <w:lang w:val="en-US" w:eastAsia="zh-CN"/>
              </w:rPr>
              <w:t xml:space="preserve">   </w:t>
            </w:r>
            <w:r>
              <w:rPr>
                <w:rFonts w:hint="eastAsia" w:ascii="仿宋_GB2312" w:hAnsi="宋体" w:eastAsia="仿宋_GB2312" w:cs="宋体"/>
                <w:b/>
                <w:bCs/>
                <w:kern w:val="0"/>
                <w:sz w:val="21"/>
                <w:szCs w:val="21"/>
                <w:lang w:eastAsia="zh-CN"/>
              </w:rPr>
              <w:t>计</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230.89</w:t>
            </w:r>
          </w:p>
        </w:tc>
        <w:tc>
          <w:tcPr>
            <w:tcW w:w="115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187.07</w:t>
            </w:r>
          </w:p>
        </w:tc>
        <w:tc>
          <w:tcPr>
            <w:tcW w:w="867"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81.02%</w:t>
            </w:r>
          </w:p>
        </w:tc>
        <w:tc>
          <w:tcPr>
            <w:tcW w:w="6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kern w:val="0"/>
                <w:sz w:val="21"/>
                <w:szCs w:val="21"/>
              </w:rPr>
            </w:pPr>
          </w:p>
        </w:tc>
        <w:tc>
          <w:tcPr>
            <w:tcW w:w="80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r>
    </w:tbl>
    <w:p>
      <w:pPr>
        <w:numPr>
          <w:ilvl w:val="0"/>
          <w:numId w:val="0"/>
        </w:numPr>
        <w:ind w:firstLine="643" w:firstLineChars="200"/>
        <w:rPr>
          <w:rFonts w:ascii="仿宋_GB2312" w:eastAsia="仿宋_GB2312"/>
          <w:b/>
          <w:bCs/>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专项资金总投入及实际使用情况分析</w:t>
      </w:r>
    </w:p>
    <w:p>
      <w:pPr>
        <w:pStyle w:val="3"/>
        <w:ind w:firstLine="640"/>
        <w:rPr>
          <w:rFonts w:ascii="仿宋_GB2312" w:eastAsia="仿宋_GB2312"/>
          <w:b w:val="0"/>
          <w:bCs w:val="0"/>
          <w:sz w:val="32"/>
          <w:szCs w:val="32"/>
        </w:rPr>
      </w:pPr>
      <w:r>
        <w:rPr>
          <w:rFonts w:hint="eastAsia" w:ascii="仿宋_GB2312" w:eastAsia="仿宋_GB2312"/>
          <w:b w:val="0"/>
          <w:bCs w:val="0"/>
          <w:sz w:val="32"/>
          <w:szCs w:val="32"/>
        </w:rPr>
        <w:t>202</w:t>
      </w:r>
      <w:r>
        <w:rPr>
          <w:rFonts w:hint="eastAsia" w:ascii="仿宋_GB2312" w:eastAsia="仿宋_GB2312"/>
          <w:b w:val="0"/>
          <w:bCs w:val="0"/>
          <w:sz w:val="32"/>
          <w:szCs w:val="32"/>
          <w:lang w:val="en-US" w:eastAsia="zh-CN"/>
        </w:rPr>
        <w:t>2</w:t>
      </w:r>
      <w:r>
        <w:rPr>
          <w:rFonts w:hint="eastAsia" w:ascii="仿宋_GB2312" w:eastAsia="仿宋_GB2312"/>
          <w:b w:val="0"/>
          <w:bCs w:val="0"/>
          <w:sz w:val="32"/>
          <w:szCs w:val="32"/>
        </w:rPr>
        <w:t>年本单位全年未安排中央及自治区专项资金支出项目。</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6"/>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年本单位全年未安排中央及自治区专项资金支出项目。</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7"/>
        </w:numPr>
        <w:ind w:firstLine="640"/>
        <w:rPr>
          <w:rFonts w:ascii="楷体_GB2312" w:eastAsia="楷体_GB2312"/>
          <w:szCs w:val="32"/>
        </w:rPr>
      </w:pPr>
      <w:r>
        <w:rPr>
          <w:rFonts w:hint="eastAsia" w:ascii="楷体_GB2312" w:eastAsia="楷体_GB2312"/>
          <w:szCs w:val="32"/>
        </w:rPr>
        <w:t>资产情况及固定资产利用情况</w:t>
      </w:r>
    </w:p>
    <w:p>
      <w:pPr>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121.25</w:t>
      </w:r>
      <w:r>
        <w:rPr>
          <w:rFonts w:hint="eastAsia" w:ascii="仿宋_GB2312" w:eastAsia="仿宋_GB2312"/>
          <w:color w:val="auto"/>
          <w:sz w:val="32"/>
          <w:szCs w:val="32"/>
        </w:rPr>
        <w:t>万元，较年初资产总额减少</w:t>
      </w:r>
      <w:r>
        <w:rPr>
          <w:rFonts w:hint="eastAsia" w:ascii="仿宋_GB2312" w:eastAsia="仿宋_GB2312"/>
          <w:color w:val="auto"/>
          <w:sz w:val="32"/>
          <w:szCs w:val="32"/>
          <w:lang w:val="en-US" w:eastAsia="zh-CN"/>
        </w:rPr>
        <w:t>12.81</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9</w:t>
      </w:r>
      <w:r>
        <w:rPr>
          <w:rFonts w:hint="eastAsia" w:ascii="仿宋_GB2312" w:eastAsia="仿宋_GB2312"/>
          <w:color w:val="auto"/>
          <w:sz w:val="32"/>
          <w:szCs w:val="32"/>
        </w:rPr>
        <w:t>%，其中：</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68.1</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72.53</w:t>
      </w:r>
      <w:r>
        <w:rPr>
          <w:rFonts w:hint="eastAsia" w:ascii="仿宋_GB2312" w:eastAsia="仿宋_GB2312"/>
          <w:color w:val="auto"/>
          <w:sz w:val="32"/>
          <w:szCs w:val="32"/>
        </w:rPr>
        <w:t>万元，较年初流动资产增加</w:t>
      </w:r>
      <w:r>
        <w:rPr>
          <w:rFonts w:hint="eastAsia" w:ascii="仿宋_GB2312" w:eastAsia="仿宋_GB2312"/>
          <w:color w:val="auto"/>
          <w:sz w:val="32"/>
          <w:szCs w:val="32"/>
          <w:lang w:val="en-US" w:eastAsia="zh-CN"/>
        </w:rPr>
        <w:t>4.43</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货币资金年末增加。</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410.16</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410.16</w:t>
      </w:r>
      <w:r>
        <w:rPr>
          <w:rFonts w:hint="eastAsia" w:ascii="仿宋_GB2312" w:eastAsia="仿宋_GB2312"/>
          <w:color w:val="auto"/>
          <w:sz w:val="32"/>
          <w:szCs w:val="32"/>
        </w:rPr>
        <w:t>万元，较年初固定资产增加</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w:t>
      </w:r>
      <w:r>
        <w:rPr>
          <w:rFonts w:hint="eastAsia" w:ascii="仿宋_GB2312" w:eastAsia="仿宋_GB2312"/>
          <w:color w:val="auto"/>
          <w:sz w:val="32"/>
          <w:szCs w:val="32"/>
          <w:lang w:eastAsia="zh-CN"/>
        </w:rPr>
        <w:t>无增长</w:t>
      </w:r>
      <w:r>
        <w:rPr>
          <w:rFonts w:hint="eastAsia" w:ascii="仿宋_GB2312" w:eastAsia="仿宋_GB2312"/>
          <w:color w:val="auto"/>
          <w:sz w:val="32"/>
          <w:szCs w:val="32"/>
        </w:rPr>
        <w:t>变动</w:t>
      </w:r>
      <w:r>
        <w:rPr>
          <w:rFonts w:hint="eastAsia" w:ascii="仿宋_GB2312" w:eastAsia="仿宋_GB2312"/>
          <w:color w:val="auto"/>
          <w:sz w:val="32"/>
          <w:szCs w:val="32"/>
          <w:lang w:eastAsia="zh-CN"/>
        </w:rPr>
        <w:t>。</w:t>
      </w:r>
    </w:p>
    <w:p>
      <w:pPr>
        <w:pStyle w:val="4"/>
        <w:numPr>
          <w:ilvl w:val="0"/>
          <w:numId w:val="7"/>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rPr>
          <w:rFonts w:ascii="仿宋_GB2312" w:eastAsia="仿宋_GB2312"/>
          <w:color w:val="auto"/>
          <w:sz w:val="32"/>
          <w:szCs w:val="32"/>
        </w:rPr>
      </w:pPr>
      <w:r>
        <w:rPr>
          <w:rFonts w:hint="eastAsia" w:ascii="仿宋_GB2312" w:eastAsia="仿宋_GB2312"/>
          <w:color w:val="auto"/>
          <w:sz w:val="32"/>
          <w:szCs w:val="32"/>
        </w:rPr>
        <w:t>注：本段主要体现部门（单位）的资产是否保持安全完整，资金配置是否合理，资产使用和资产处理是否规范，用以反映和考核部门（单位）资产管理的整体水平。</w:t>
      </w:r>
    </w:p>
    <w:p>
      <w:pPr>
        <w:ind w:firstLine="640"/>
        <w:jc w:val="left"/>
        <w:rPr>
          <w:rFonts w:ascii="仿宋_GB2312" w:eastAsia="仿宋_GB2312" w:cs="仿宋_GB2312"/>
          <w:color w:val="auto"/>
          <w:kern w:val="1"/>
          <w:sz w:val="32"/>
          <w:szCs w:val="32"/>
        </w:rPr>
      </w:pPr>
      <w:r>
        <w:rPr>
          <w:rFonts w:hint="eastAsia" w:ascii="仿宋_GB2312" w:eastAsia="仿宋_GB2312" w:cs="仿宋_GB2312"/>
          <w:color w:val="auto"/>
          <w:kern w:val="1"/>
          <w:sz w:val="32"/>
          <w:szCs w:val="32"/>
        </w:rPr>
        <w:t>举例：</w:t>
      </w: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8"/>
        </w:numPr>
        <w:ind w:firstLine="640"/>
        <w:rPr>
          <w:rFonts w:ascii="黑体" w:hAnsi="黑体"/>
          <w:b w:val="0"/>
          <w:color w:val="auto"/>
          <w:sz w:val="32"/>
          <w:szCs w:val="32"/>
        </w:rPr>
      </w:pPr>
      <w:r>
        <w:rPr>
          <w:rFonts w:hint="eastAsia" w:ascii="黑体" w:hAnsi="黑体"/>
          <w:b w:val="0"/>
          <w:color w:val="auto"/>
          <w:sz w:val="32"/>
          <w:szCs w:val="32"/>
        </w:rPr>
        <w:t>部门单位整体支出绩效情况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注：下述内容中如有不涉及的二级指标，不允许删除二级指标，在此项下写明“无此项指标”。</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color w:val="auto"/>
          <w:sz w:val="32"/>
        </w:rPr>
        <w:t>昌吉市广场景观管理服务中心</w:t>
      </w:r>
      <w:r>
        <w:rPr>
          <w:rFonts w:hint="eastAsia" w:ascii="仿宋_GB2312" w:eastAsia="仿宋_GB2312"/>
          <w:bCs/>
          <w:color w:val="auto"/>
          <w:spacing w:val="-4"/>
          <w:sz w:val="32"/>
          <w:szCs w:val="32"/>
        </w:rPr>
        <w:t>部门单位整体支出绩效目标共设置一级指标3个，二级指标</w:t>
      </w:r>
      <w:r>
        <w:rPr>
          <w:rFonts w:hint="eastAsia" w:ascii="仿宋_GB2312" w:eastAsia="仿宋_GB2312"/>
          <w:bCs/>
          <w:color w:val="auto"/>
          <w:spacing w:val="-4"/>
          <w:sz w:val="32"/>
          <w:szCs w:val="32"/>
          <w:lang w:val="en-US" w:eastAsia="zh-CN"/>
        </w:rPr>
        <w:t>9</w:t>
      </w:r>
      <w:r>
        <w:rPr>
          <w:rFonts w:hint="eastAsia" w:ascii="仿宋_GB2312" w:eastAsia="仿宋_GB2312"/>
          <w:bCs/>
          <w:color w:val="auto"/>
          <w:spacing w:val="-4"/>
          <w:sz w:val="32"/>
          <w:szCs w:val="32"/>
        </w:rPr>
        <w:t>个，三级指标11个，其中：已完成三级指标1</w:t>
      </w:r>
      <w:r>
        <w:rPr>
          <w:rFonts w:hint="eastAsia" w:ascii="仿宋_GB2312" w:eastAsia="仿宋_GB2312"/>
          <w:bCs/>
          <w:color w:val="auto"/>
          <w:spacing w:val="-4"/>
          <w:sz w:val="32"/>
          <w:szCs w:val="32"/>
          <w:lang w:val="en-US" w:eastAsia="zh-CN"/>
        </w:rPr>
        <w:t>5</w:t>
      </w:r>
      <w:r>
        <w:rPr>
          <w:rFonts w:hint="eastAsia" w:ascii="仿宋_GB2312" w:eastAsia="仿宋_GB2312"/>
          <w:bCs/>
          <w:color w:val="auto"/>
          <w:spacing w:val="-4"/>
          <w:sz w:val="32"/>
          <w:szCs w:val="32"/>
        </w:rPr>
        <w:t>个，指标完成率为100%。</w:t>
      </w:r>
    </w:p>
    <w:p>
      <w:pPr>
        <w:pStyle w:val="2"/>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“完成日常管护园区面积”指标：预期指标值为“=2558.7亩”，实际完成指标值为“=2558.7亩”，指标完成率为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%;“完成日常管护园区数量”指标：预期指标值为“=8个”，实际完成指标值为“=8个”，指标完成率为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%;“组织实施义务劳动”指标：预期指标值为“</w:t>
      </w:r>
      <w:r>
        <w:rPr>
          <w:rFonts w:hint="eastAsia" w:ascii="宋体" w:hAnsi="宋体" w:eastAsia="宋体" w:cs="宋体"/>
          <w:color w:val="auto"/>
          <w:sz w:val="32"/>
          <w:szCs w:val="32"/>
        </w:rPr>
        <w:t>≧3次</w:t>
      </w:r>
      <w:r>
        <w:rPr>
          <w:rFonts w:hint="eastAsia" w:ascii="仿宋_GB2312" w:eastAsia="仿宋_GB2312"/>
          <w:color w:val="auto"/>
          <w:sz w:val="32"/>
          <w:szCs w:val="32"/>
        </w:rPr>
        <w:t>”，实际完成指标值为“</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8</w:t>
      </w:r>
      <w:r>
        <w:rPr>
          <w:rFonts w:hint="eastAsia" w:ascii="宋体" w:hAnsi="宋体" w:eastAsia="宋体" w:cs="宋体"/>
          <w:color w:val="auto"/>
          <w:sz w:val="32"/>
          <w:szCs w:val="32"/>
        </w:rPr>
        <w:t>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“房屋建筑物供暖面积”</w:t>
      </w:r>
      <w:r>
        <w:rPr>
          <w:rFonts w:hint="eastAsia" w:ascii="仿宋_GB2312" w:eastAsia="仿宋_GB2312"/>
          <w:color w:val="auto"/>
          <w:sz w:val="32"/>
          <w:szCs w:val="32"/>
        </w:rPr>
        <w:t>指标</w:t>
      </w:r>
      <w:r>
        <w:rPr>
          <w:rFonts w:hint="eastAsia" w:ascii="仿宋_GB2312" w:eastAsia="仿宋_GB2312"/>
          <w:color w:val="auto"/>
          <w:sz w:val="32"/>
          <w:szCs w:val="32"/>
          <w:lang w:eastAsia="zh-CN"/>
        </w:rPr>
        <w:t>：</w:t>
      </w:r>
      <w:r>
        <w:rPr>
          <w:rFonts w:hint="eastAsia" w:ascii="仿宋_GB2312" w:eastAsia="仿宋_GB2312"/>
          <w:color w:val="auto"/>
          <w:sz w:val="32"/>
          <w:szCs w:val="32"/>
        </w:rPr>
        <w:t>预期指标值为“</w:t>
      </w:r>
      <w:r>
        <w:rPr>
          <w:rFonts w:hint="eastAsia" w:ascii="宋体" w:hAnsi="宋体" w:eastAsia="宋体" w:cs="宋体"/>
          <w:color w:val="auto"/>
          <w:sz w:val="32"/>
          <w:szCs w:val="32"/>
        </w:rPr>
        <w:t>=3361.00平方米</w:t>
      </w:r>
      <w:r>
        <w:rPr>
          <w:rFonts w:hint="eastAsia" w:ascii="宋体" w:hAnsi="宋体" w:eastAsia="宋体" w:cs="宋体"/>
          <w:color w:val="auto"/>
          <w:sz w:val="32"/>
          <w:szCs w:val="32"/>
          <w:lang w:eastAsia="zh-CN"/>
        </w:rPr>
        <w:t>”，</w:t>
      </w:r>
      <w:r>
        <w:rPr>
          <w:rFonts w:hint="eastAsia" w:ascii="仿宋_GB2312" w:eastAsia="仿宋_GB2312"/>
          <w:color w:val="auto"/>
          <w:sz w:val="32"/>
          <w:szCs w:val="32"/>
        </w:rPr>
        <w:t>实际完成指标值为“=</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361.00</w:t>
      </w:r>
      <w:r>
        <w:rPr>
          <w:rFonts w:hint="eastAsia" w:ascii="宋体" w:hAnsi="宋体" w:eastAsia="宋体" w:cs="宋体"/>
          <w:color w:val="auto"/>
          <w:sz w:val="32"/>
          <w:szCs w:val="32"/>
        </w:rPr>
        <w:t>平方米</w:t>
      </w:r>
      <w:r>
        <w:rPr>
          <w:rFonts w:hint="eastAsia" w:ascii="仿宋_GB2312" w:eastAsia="仿宋_GB2312"/>
          <w:color w:val="auto"/>
          <w:sz w:val="32"/>
          <w:szCs w:val="32"/>
        </w:rPr>
        <w:t>”</w:t>
      </w:r>
      <w:r>
        <w:rPr>
          <w:rFonts w:hint="eastAsia" w:ascii="仿宋_GB2312" w:eastAsia="仿宋_GB2312"/>
          <w:color w:val="auto"/>
          <w:sz w:val="32"/>
          <w:szCs w:val="32"/>
          <w:lang w:eastAsia="zh-CN"/>
        </w:rPr>
        <w:t>；“保障办公人员数量”</w:t>
      </w:r>
      <w:r>
        <w:rPr>
          <w:rFonts w:hint="eastAsia" w:ascii="仿宋_GB2312" w:eastAsia="仿宋_GB2312"/>
          <w:color w:val="auto"/>
          <w:sz w:val="32"/>
          <w:szCs w:val="32"/>
        </w:rPr>
        <w:t>预期指标值为“</w:t>
      </w:r>
      <w:r>
        <w:rPr>
          <w:rFonts w:hint="eastAsia" w:ascii="宋体" w:hAnsi="宋体" w:eastAsia="宋体" w:cs="宋体"/>
          <w:color w:val="auto"/>
          <w:sz w:val="32"/>
          <w:szCs w:val="32"/>
          <w:lang w:val="en-US" w:eastAsia="zh-CN"/>
        </w:rPr>
        <w:t>=</w:t>
      </w:r>
      <w:r>
        <w:rPr>
          <w:rFonts w:hint="eastAsia" w:ascii="宋体" w:hAnsi="宋体" w:eastAsia="宋体" w:cs="宋体"/>
          <w:color w:val="auto"/>
          <w:sz w:val="32"/>
          <w:szCs w:val="32"/>
        </w:rPr>
        <w:t>3</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lang w:eastAsia="zh-CN"/>
        </w:rPr>
        <w:t>人</w:t>
      </w:r>
      <w:r>
        <w:rPr>
          <w:rFonts w:hint="eastAsia" w:ascii="仿宋_GB2312" w:eastAsia="仿宋_GB2312"/>
          <w:color w:val="auto"/>
          <w:sz w:val="32"/>
          <w:szCs w:val="32"/>
        </w:rPr>
        <w:t>”，实际完成指标值为“</w:t>
      </w:r>
      <w:r>
        <w:rPr>
          <w:rFonts w:hint="eastAsia" w:ascii="宋体" w:hAnsi="宋体" w:eastAsia="宋体" w:cs="宋体"/>
          <w:color w:val="auto"/>
          <w:sz w:val="32"/>
          <w:szCs w:val="32"/>
          <w:lang w:val="en-US" w:eastAsia="zh-CN"/>
        </w:rPr>
        <w:t>=</w:t>
      </w:r>
      <w:r>
        <w:rPr>
          <w:rFonts w:hint="eastAsia" w:ascii="宋体" w:hAnsi="宋体" w:eastAsia="宋体" w:cs="宋体"/>
          <w:color w:val="auto"/>
          <w:sz w:val="32"/>
          <w:szCs w:val="32"/>
        </w:rPr>
        <w:t>3</w:t>
      </w: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lang w:eastAsia="zh-CN"/>
        </w:rPr>
        <w:t>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3.77</w:t>
      </w:r>
      <w:r>
        <w:rPr>
          <w:rFonts w:hint="eastAsia" w:ascii="仿宋_GB2312" w:eastAsia="仿宋_GB2312"/>
          <w:color w:val="auto"/>
          <w:sz w:val="32"/>
          <w:szCs w:val="32"/>
        </w:rPr>
        <w:t>%;</w:t>
      </w:r>
    </w:p>
    <w:p>
      <w:pPr>
        <w:rPr>
          <w:rFonts w:ascii="仿宋_GB2312" w:eastAsia="仿宋_GB2312"/>
          <w:color w:val="auto"/>
          <w:sz w:val="32"/>
          <w:szCs w:val="32"/>
        </w:rPr>
      </w:pPr>
      <w:r>
        <w:rPr>
          <w:rFonts w:hint="eastAsia" w:ascii="仿宋_GB2312" w:eastAsia="仿宋_GB2312"/>
          <w:color w:val="auto"/>
          <w:sz w:val="32"/>
          <w:szCs w:val="32"/>
        </w:rPr>
        <w:t>（2）质量指标</w:t>
      </w:r>
    </w:p>
    <w:p>
      <w:pPr>
        <w:ind w:firstLine="640"/>
        <w:rPr>
          <w:rFonts w:ascii="仿宋_GB2312" w:eastAsia="仿宋_GB2312"/>
          <w:color w:val="auto"/>
          <w:sz w:val="32"/>
          <w:szCs w:val="32"/>
        </w:rPr>
      </w:pPr>
      <w:r>
        <w:rPr>
          <w:rFonts w:hint="eastAsia" w:ascii="仿宋_GB2312" w:eastAsia="仿宋_GB2312"/>
          <w:color w:val="auto"/>
          <w:sz w:val="32"/>
          <w:szCs w:val="32"/>
        </w:rPr>
        <w:t>“完成日常管护园区质量达标率”指标：预期指标值为“</w:t>
      </w:r>
      <w:r>
        <w:rPr>
          <w:rFonts w:hint="eastAsia" w:ascii="宋体" w:hAnsi="宋体" w:eastAsia="宋体" w:cs="宋体"/>
          <w:color w:val="auto"/>
          <w:sz w:val="32"/>
          <w:szCs w:val="32"/>
        </w:rPr>
        <w:t>≧9</w:t>
      </w:r>
      <w:r>
        <w:rPr>
          <w:rFonts w:hint="eastAsia" w:ascii="宋体" w:hAnsi="宋体" w:eastAsia="宋体" w:cs="宋体"/>
          <w:color w:val="auto"/>
          <w:sz w:val="32"/>
          <w:szCs w:val="32"/>
          <w:lang w:val="en-US" w:eastAsia="zh-CN"/>
        </w:rPr>
        <w:t>0</w:t>
      </w:r>
      <w:r>
        <w:rPr>
          <w:rFonts w:hint="eastAsia" w:ascii="宋体" w:hAnsi="宋体" w:eastAsia="宋体" w:cs="宋体"/>
          <w:color w:val="auto"/>
          <w:sz w:val="32"/>
          <w:szCs w:val="32"/>
        </w:rPr>
        <w:t>%</w:t>
      </w:r>
      <w:r>
        <w:rPr>
          <w:rFonts w:hint="eastAsia" w:ascii="仿宋_GB2312" w:eastAsia="仿宋_GB2312"/>
          <w:color w:val="auto"/>
          <w:sz w:val="32"/>
          <w:szCs w:val="32"/>
        </w:rPr>
        <w:t>”，实际完成指标值为“</w:t>
      </w:r>
      <w:r>
        <w:rPr>
          <w:rFonts w:hint="eastAsia" w:ascii="宋体" w:hAnsi="宋体" w:eastAsia="宋体" w:cs="宋体"/>
          <w:color w:val="auto"/>
          <w:sz w:val="32"/>
          <w:szCs w:val="32"/>
        </w:rPr>
        <w:t>≧9</w:t>
      </w:r>
      <w:r>
        <w:rPr>
          <w:rFonts w:hint="eastAsia" w:ascii="宋体" w:hAnsi="宋体" w:eastAsia="宋体" w:cs="宋体"/>
          <w:color w:val="auto"/>
          <w:sz w:val="32"/>
          <w:szCs w:val="32"/>
          <w:lang w:val="en-US" w:eastAsia="zh-CN"/>
        </w:rPr>
        <w:t>0</w:t>
      </w:r>
      <w:r>
        <w:rPr>
          <w:rFonts w:hint="eastAsia" w:ascii="宋体" w:hAnsi="宋体" w:eastAsia="宋体" w:cs="宋体"/>
          <w:color w:val="auto"/>
          <w:sz w:val="32"/>
          <w:szCs w:val="32"/>
        </w:rPr>
        <w:t>%</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p>
    <w:p>
      <w:pPr>
        <w:ind w:left="0" w:leftChars="0" w:firstLine="0" w:firstLineChars="0"/>
        <w:rPr>
          <w:rFonts w:ascii="仿宋_GB2312" w:eastAsia="仿宋_GB2312"/>
          <w:color w:val="auto"/>
          <w:sz w:val="32"/>
          <w:szCs w:val="32"/>
        </w:rPr>
      </w:pPr>
      <w:r>
        <w:rPr>
          <w:rFonts w:hint="eastAsia" w:ascii="仿宋_GB2312" w:eastAsia="仿宋_GB2312"/>
          <w:color w:val="auto"/>
          <w:sz w:val="32"/>
          <w:szCs w:val="32"/>
        </w:rPr>
        <w:t>“组织实施义务劳动成果质量达标率”指标：预期指标值为“</w:t>
      </w:r>
      <w:r>
        <w:rPr>
          <w:rFonts w:hint="eastAsia" w:ascii="宋体" w:hAnsi="宋体" w:eastAsia="宋体" w:cs="宋体"/>
          <w:color w:val="auto"/>
          <w:sz w:val="32"/>
          <w:szCs w:val="32"/>
        </w:rPr>
        <w:t>≧95%</w:t>
      </w:r>
      <w:r>
        <w:rPr>
          <w:rFonts w:hint="eastAsia" w:ascii="仿宋_GB2312" w:eastAsia="仿宋_GB2312"/>
          <w:color w:val="auto"/>
          <w:sz w:val="32"/>
          <w:szCs w:val="32"/>
        </w:rPr>
        <w:t>”，实际完成指标值为“</w:t>
      </w:r>
      <w:r>
        <w:rPr>
          <w:rFonts w:hint="eastAsia" w:ascii="宋体" w:hAnsi="宋体" w:eastAsia="宋体" w:cs="宋体"/>
          <w:color w:val="auto"/>
          <w:sz w:val="32"/>
          <w:szCs w:val="32"/>
        </w:rPr>
        <w:t>≧95%</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p>
    <w:p>
      <w:pPr>
        <w:numPr>
          <w:ilvl w:val="0"/>
          <w:numId w:val="9"/>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left="0" w:leftChars="0" w:firstLine="0" w:firstLineChars="0"/>
        <w:rPr>
          <w:rFonts w:ascii="仿宋_GB2312" w:eastAsia="仿宋_GB2312"/>
          <w:color w:val="auto"/>
          <w:sz w:val="32"/>
          <w:szCs w:val="32"/>
        </w:rPr>
      </w:pPr>
      <w:r>
        <w:rPr>
          <w:rFonts w:hint="eastAsia" w:ascii="仿宋_GB2312" w:eastAsia="仿宋_GB2312"/>
          <w:color w:val="auto"/>
          <w:sz w:val="32"/>
          <w:szCs w:val="32"/>
        </w:rPr>
        <w:t>“各项工作开展时效”指标：预期指标值为“202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年1月1日-202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年12月31日”，实际完成指标值为“202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年1月1日-2021年12月31日”，指标完成率为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%;“公用经费支付及时率”指标：预期指标值为“</w:t>
      </w:r>
      <w:r>
        <w:rPr>
          <w:rFonts w:hint="eastAsia" w:ascii="宋体" w:hAnsi="宋体" w:eastAsia="宋体" w:cs="宋体"/>
          <w:color w:val="auto"/>
          <w:sz w:val="32"/>
          <w:szCs w:val="32"/>
          <w:lang w:val="en-US" w:eastAsia="zh-CN"/>
        </w:rPr>
        <w:t>=100</w:t>
      </w:r>
      <w:r>
        <w:rPr>
          <w:rFonts w:hint="eastAsia" w:ascii="宋体" w:hAnsi="宋体" w:eastAsia="宋体" w:cs="宋体"/>
          <w:color w:val="auto"/>
          <w:sz w:val="32"/>
          <w:szCs w:val="32"/>
        </w:rPr>
        <w:t>%</w:t>
      </w:r>
      <w:r>
        <w:rPr>
          <w:rFonts w:hint="eastAsia" w:ascii="仿宋_GB2312" w:eastAsia="仿宋_GB2312"/>
          <w:color w:val="auto"/>
          <w:sz w:val="32"/>
          <w:szCs w:val="32"/>
        </w:rPr>
        <w:t>”，实际完成指标值为“</w:t>
      </w:r>
      <w:r>
        <w:rPr>
          <w:rFonts w:hint="eastAsia" w:ascii="宋体" w:hAnsi="宋体" w:eastAsia="宋体" w:cs="宋体"/>
          <w:color w:val="auto"/>
          <w:sz w:val="32"/>
          <w:szCs w:val="32"/>
          <w:lang w:val="en-US" w:eastAsia="zh-CN"/>
        </w:rPr>
        <w:t>=100</w:t>
      </w:r>
      <w:r>
        <w:rPr>
          <w:rFonts w:hint="eastAsia" w:ascii="宋体" w:hAnsi="宋体" w:eastAsia="宋体" w:cs="宋体"/>
          <w:color w:val="auto"/>
          <w:sz w:val="32"/>
          <w:szCs w:val="32"/>
        </w:rPr>
        <w:t>%</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p>
    <w:p>
      <w:pPr>
        <w:numPr>
          <w:numId w:val="0"/>
        </w:numPr>
        <w:ind w:firstLine="640" w:firstLineChars="200"/>
        <w:rPr>
          <w:rFonts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eastAsia="zh-CN"/>
        </w:rPr>
        <w:t>）</w:t>
      </w:r>
      <w:r>
        <w:rPr>
          <w:rFonts w:hint="eastAsia" w:ascii="仿宋_GB2312" w:eastAsia="仿宋_GB2312"/>
          <w:color w:val="auto"/>
          <w:sz w:val="32"/>
          <w:szCs w:val="32"/>
        </w:rPr>
        <w:t>成本指标</w:t>
      </w:r>
    </w:p>
    <w:p>
      <w:pPr>
        <w:ind w:firstLine="640"/>
        <w:rPr>
          <w:rFonts w:ascii="仿宋_GB2312" w:eastAsia="仿宋_GB2312"/>
          <w:color w:val="auto"/>
          <w:sz w:val="32"/>
          <w:szCs w:val="32"/>
        </w:rPr>
      </w:pPr>
      <w:r>
        <w:rPr>
          <w:rFonts w:hint="eastAsia" w:ascii="仿宋_GB2312" w:eastAsia="仿宋_GB2312"/>
          <w:color w:val="auto"/>
          <w:sz w:val="32"/>
          <w:szCs w:val="32"/>
        </w:rPr>
        <w:t>“人员经费”指标：预期指标值为“</w:t>
      </w:r>
      <w:r>
        <w:rPr>
          <w:rFonts w:hint="eastAsia" w:ascii="宋体" w:hAnsi="宋体" w:eastAsia="宋体" w:cs="宋体"/>
          <w:color w:val="auto"/>
          <w:sz w:val="32"/>
          <w:szCs w:val="32"/>
        </w:rPr>
        <w:t>&lt;=735.56万元</w:t>
      </w:r>
      <w:r>
        <w:rPr>
          <w:rFonts w:hint="eastAsia" w:ascii="仿宋_GB2312" w:eastAsia="仿宋_GB2312"/>
          <w:color w:val="auto"/>
          <w:sz w:val="32"/>
          <w:szCs w:val="32"/>
        </w:rPr>
        <w:t>”，实际完成指标值为“</w:t>
      </w:r>
      <w:r>
        <w:rPr>
          <w:rFonts w:hint="eastAsia" w:ascii="宋体" w:hAnsi="宋体" w:eastAsia="宋体" w:cs="宋体"/>
          <w:color w:val="auto"/>
          <w:sz w:val="32"/>
          <w:szCs w:val="32"/>
        </w:rPr>
        <w:t>&lt;=845.09万元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%;“日常运转经费”指标：预期指标值为“</w:t>
      </w:r>
      <w:r>
        <w:rPr>
          <w:rFonts w:hint="eastAsia" w:ascii="宋体" w:hAnsi="宋体" w:eastAsia="宋体" w:cs="宋体"/>
          <w:color w:val="auto"/>
          <w:sz w:val="32"/>
          <w:szCs w:val="32"/>
        </w:rPr>
        <w:t>&lt;=135.69万元</w:t>
      </w:r>
      <w:r>
        <w:rPr>
          <w:rFonts w:hint="eastAsia" w:ascii="仿宋_GB2312" w:eastAsia="仿宋_GB2312"/>
          <w:color w:val="auto"/>
          <w:sz w:val="32"/>
          <w:szCs w:val="32"/>
        </w:rPr>
        <w:t>”，实际完成指标值为“</w:t>
      </w:r>
      <w:r>
        <w:rPr>
          <w:rFonts w:hint="eastAsia" w:ascii="宋体" w:hAnsi="宋体" w:eastAsia="宋体" w:cs="宋体"/>
          <w:color w:val="auto"/>
          <w:sz w:val="32"/>
          <w:szCs w:val="32"/>
        </w:rPr>
        <w:t>&lt;=202.30万元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p>
    <w:p>
      <w:pPr>
        <w:pStyle w:val="2"/>
        <w:ind w:left="0" w:leftChars="0" w:firstLine="643" w:firstLineChars="20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960" w:firstLineChars="300"/>
        <w:rPr>
          <w:rFonts w:ascii="仿宋_GB2312" w:eastAsia="仿宋_GB2312"/>
          <w:color w:val="auto"/>
          <w:sz w:val="32"/>
          <w:szCs w:val="32"/>
        </w:rPr>
      </w:pPr>
      <w:r>
        <w:rPr>
          <w:rFonts w:hint="eastAsia" w:ascii="仿宋_GB2312" w:eastAsia="仿宋_GB2312"/>
          <w:color w:val="auto"/>
          <w:sz w:val="32"/>
          <w:szCs w:val="32"/>
        </w:rPr>
        <w:t>无</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提高社会服务水平</w:t>
      </w:r>
      <w:r>
        <w:rPr>
          <w:rFonts w:hint="eastAsia" w:ascii="仿宋_GB2312" w:eastAsia="仿宋_GB2312"/>
          <w:color w:val="auto"/>
          <w:sz w:val="32"/>
          <w:szCs w:val="32"/>
        </w:rPr>
        <w:t>”指标：预期指标值为“</w:t>
      </w:r>
      <w:r>
        <w:rPr>
          <w:rFonts w:hint="eastAsia" w:ascii="仿宋_GB2312" w:eastAsia="仿宋_GB2312"/>
          <w:color w:val="auto"/>
          <w:sz w:val="32"/>
          <w:szCs w:val="32"/>
          <w:lang w:eastAsia="zh-CN"/>
        </w:rPr>
        <w:t>有效</w:t>
      </w:r>
      <w:r>
        <w:rPr>
          <w:rFonts w:hint="eastAsia" w:ascii="仿宋_GB2312" w:eastAsia="仿宋_GB2312"/>
          <w:color w:val="auto"/>
          <w:sz w:val="32"/>
          <w:szCs w:val="32"/>
        </w:rPr>
        <w:t>提高”，实际完成指标值为“</w:t>
      </w:r>
      <w:r>
        <w:rPr>
          <w:rFonts w:hint="eastAsia" w:ascii="仿宋_GB2312" w:eastAsia="仿宋_GB2312"/>
          <w:color w:val="auto"/>
          <w:sz w:val="32"/>
          <w:szCs w:val="32"/>
          <w:lang w:eastAsia="zh-CN"/>
        </w:rPr>
        <w:t>有效</w:t>
      </w:r>
      <w:r>
        <w:rPr>
          <w:rFonts w:hint="eastAsia" w:ascii="仿宋_GB2312" w:eastAsia="仿宋_GB2312"/>
          <w:color w:val="auto"/>
          <w:sz w:val="32"/>
          <w:szCs w:val="32"/>
        </w:rPr>
        <w:t>提高”;指标完成率为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p>
    <w:p>
      <w:pPr>
        <w:ind w:left="0" w:leftChars="0" w:firstLine="640" w:firstLineChars="20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hint="eastAsia" w:ascii="仿宋_GB2312" w:eastAsia="仿宋_GB2312"/>
          <w:color w:val="auto"/>
          <w:sz w:val="32"/>
          <w:szCs w:val="32"/>
        </w:rPr>
      </w:pPr>
      <w:r>
        <w:rPr>
          <w:rFonts w:hint="eastAsia" w:ascii="仿宋_GB2312" w:eastAsia="仿宋_GB2312"/>
          <w:color w:val="auto"/>
          <w:sz w:val="32"/>
          <w:szCs w:val="32"/>
        </w:rPr>
        <w:t>“园区绿化率”指标：预期指标值为“</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6</w:t>
      </w:r>
      <w:r>
        <w:rPr>
          <w:rFonts w:hint="eastAsia" w:ascii="宋体" w:hAnsi="宋体" w:eastAsia="宋体" w:cs="宋体"/>
          <w:color w:val="auto"/>
          <w:sz w:val="32"/>
          <w:szCs w:val="32"/>
        </w:rPr>
        <w:t>0%</w:t>
      </w:r>
      <w:r>
        <w:rPr>
          <w:rFonts w:hint="eastAsia" w:ascii="仿宋_GB2312" w:eastAsia="仿宋_GB2312"/>
          <w:color w:val="auto"/>
          <w:sz w:val="32"/>
          <w:szCs w:val="32"/>
        </w:rPr>
        <w:t>”，实际完成指标值为“</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6</w:t>
      </w:r>
      <w:r>
        <w:rPr>
          <w:rFonts w:hint="eastAsia" w:ascii="宋体" w:hAnsi="宋体" w:eastAsia="宋体" w:cs="宋体"/>
          <w:color w:val="auto"/>
          <w:sz w:val="32"/>
          <w:szCs w:val="32"/>
        </w:rPr>
        <w:t>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w:t>
      </w:r>
      <w:r>
        <w:rPr>
          <w:rFonts w:hint="eastAsia" w:ascii="仿宋_GB2312" w:eastAsia="仿宋_GB2312"/>
          <w:bCs/>
          <w:color w:val="auto"/>
          <w:spacing w:val="-4"/>
          <w:sz w:val="32"/>
          <w:szCs w:val="32"/>
        </w:rPr>
        <w:t>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pStyle w:val="2"/>
        <w:ind w:firstLine="960" w:firstLineChars="30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无此项指标</w:t>
      </w:r>
    </w:p>
    <w:p>
      <w:pPr>
        <w:pStyle w:val="2"/>
        <w:ind w:firstLine="640"/>
        <w:rPr>
          <w:color w:val="auto"/>
          <w:sz w:val="32"/>
        </w:rPr>
      </w:pPr>
      <w:r>
        <w:rPr>
          <w:rFonts w:hint="eastAsia"/>
          <w:color w:val="auto"/>
          <w:sz w:val="32"/>
        </w:rPr>
        <w:t>3.满意度指标完成情况分析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“群众满意度”指标：预期指标值为“</w:t>
      </w:r>
      <w:r>
        <w:rPr>
          <w:rFonts w:hint="eastAsia" w:ascii="宋体" w:hAnsi="宋体" w:eastAsia="宋体" w:cs="宋体"/>
          <w:color w:val="auto"/>
          <w:sz w:val="32"/>
          <w:szCs w:val="32"/>
        </w:rPr>
        <w:t>≧95%</w:t>
      </w:r>
      <w:r>
        <w:rPr>
          <w:rFonts w:hint="eastAsia" w:ascii="仿宋_GB2312" w:eastAsia="仿宋_GB2312"/>
          <w:color w:val="auto"/>
          <w:sz w:val="32"/>
          <w:szCs w:val="32"/>
        </w:rPr>
        <w:t>”，实际完成指标值为“</w:t>
      </w:r>
      <w:r>
        <w:rPr>
          <w:rFonts w:hint="eastAsia" w:ascii="宋体" w:hAnsi="宋体" w:eastAsia="宋体" w:cs="宋体"/>
          <w:color w:val="auto"/>
          <w:sz w:val="32"/>
          <w:szCs w:val="32"/>
        </w:rPr>
        <w:t>≧9</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职工</w:t>
      </w:r>
      <w:r>
        <w:rPr>
          <w:rFonts w:hint="eastAsia" w:ascii="仿宋_GB2312" w:eastAsia="仿宋_GB2312"/>
          <w:color w:val="auto"/>
          <w:sz w:val="32"/>
          <w:szCs w:val="32"/>
        </w:rPr>
        <w:t>满意度”指标：预期指标值为“</w:t>
      </w:r>
      <w:r>
        <w:rPr>
          <w:rFonts w:hint="eastAsia" w:ascii="宋体" w:hAnsi="宋体" w:eastAsia="宋体" w:cs="宋体"/>
          <w:color w:val="auto"/>
          <w:sz w:val="32"/>
          <w:szCs w:val="32"/>
        </w:rPr>
        <w:t>≧95%</w:t>
      </w:r>
      <w:r>
        <w:rPr>
          <w:rFonts w:hint="eastAsia" w:ascii="仿宋_GB2312" w:eastAsia="仿宋_GB2312"/>
          <w:color w:val="auto"/>
          <w:sz w:val="32"/>
          <w:szCs w:val="32"/>
        </w:rPr>
        <w:t>”，实际完成指标值为“</w:t>
      </w:r>
      <w:r>
        <w:rPr>
          <w:rFonts w:hint="eastAsia" w:ascii="宋体" w:hAnsi="宋体" w:eastAsia="宋体" w:cs="宋体"/>
          <w:color w:val="auto"/>
          <w:sz w:val="32"/>
          <w:szCs w:val="32"/>
        </w:rPr>
        <w:t>≧9</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Style w:val="3"/>
        <w:ind w:left="0" w:leftChars="0" w:firstLine="640" w:firstLineChars="200"/>
        <w:rPr>
          <w:rFonts w:ascii="黑体" w:hAnsi="黑体"/>
          <w:b w:val="0"/>
          <w:color w:val="auto"/>
          <w:sz w:val="32"/>
          <w:szCs w:val="32"/>
        </w:rPr>
      </w:pPr>
      <w:r>
        <w:rPr>
          <w:rFonts w:hint="eastAsia" w:ascii="黑体" w:hAnsi="黑体"/>
          <w:b w:val="0"/>
          <w:color w:val="auto"/>
          <w:sz w:val="32"/>
          <w:szCs w:val="32"/>
        </w:rPr>
        <w:t>六、存在的主要问题</w:t>
      </w:r>
    </w:p>
    <w:p>
      <w:pPr>
        <w:snapToGrid w:val="0"/>
        <w:spacing w:line="540" w:lineRule="exact"/>
        <w:ind w:firstLine="624"/>
        <w:rPr>
          <w:rStyle w:val="13"/>
          <w:rFonts w:ascii="黑体" w:hAnsi="黑体" w:eastAsia="黑体"/>
          <w:color w:val="auto"/>
          <w:spacing w:val="-4"/>
          <w:sz w:val="32"/>
          <w:szCs w:val="32"/>
        </w:rPr>
      </w:pPr>
      <w:r>
        <w:rPr>
          <w:rStyle w:val="13"/>
          <w:rFonts w:hint="eastAsia"/>
          <w:b w:val="0"/>
          <w:color w:val="auto"/>
          <w:spacing w:val="-4"/>
          <w:sz w:val="32"/>
          <w:szCs w:val="32"/>
        </w:rPr>
        <w:t>绩效评价工作没有整体的理论体系，缺乏专业性。</w:t>
      </w:r>
    </w:p>
    <w:p>
      <w:pPr>
        <w:pStyle w:val="3"/>
        <w:ind w:firstLine="640"/>
        <w:rPr>
          <w:rFonts w:ascii="黑体" w:hAnsi="黑体"/>
          <w:b w:val="0"/>
          <w:color w:val="auto"/>
          <w:sz w:val="32"/>
          <w:szCs w:val="32"/>
        </w:rPr>
      </w:pPr>
      <w:r>
        <w:rPr>
          <w:rFonts w:hint="eastAsia" w:ascii="黑体" w:hAnsi="黑体"/>
          <w:b w:val="0"/>
          <w:color w:val="auto"/>
          <w:sz w:val="32"/>
          <w:szCs w:val="32"/>
        </w:rPr>
        <w:t>七、改进措施和建议</w:t>
      </w:r>
    </w:p>
    <w:p>
      <w:pPr>
        <w:snapToGrid w:val="0"/>
        <w:spacing w:line="540" w:lineRule="exact"/>
        <w:ind w:firstLine="624"/>
        <w:rPr>
          <w:rStyle w:val="13"/>
          <w:b w:val="0"/>
          <w:color w:val="auto"/>
          <w:spacing w:val="-4"/>
          <w:sz w:val="32"/>
          <w:szCs w:val="32"/>
        </w:rPr>
      </w:pPr>
      <w:r>
        <w:rPr>
          <w:rStyle w:val="13"/>
          <w:rFonts w:hint="eastAsia"/>
          <w:b w:val="0"/>
          <w:color w:val="auto"/>
          <w:spacing w:val="-4"/>
          <w:sz w:val="32"/>
          <w:szCs w:val="32"/>
        </w:rPr>
        <w:t>深入学习绩效目标管理，使绩效管理理念深入人心，认真重视绩效管理，学习项目绩效、绩效评价等专业知识，使绩效评价工作更加专业化。</w:t>
      </w:r>
      <w:bookmarkStart w:id="0" w:name="_GoBack"/>
      <w:bookmarkEnd w:id="0"/>
    </w:p>
    <w:p>
      <w:pPr>
        <w:pStyle w:val="3"/>
        <w:ind w:firstLine="640"/>
        <w:rPr>
          <w:rFonts w:ascii="黑体" w:hAnsi="黑体"/>
          <w:b w:val="0"/>
          <w:color w:val="auto"/>
          <w:sz w:val="32"/>
          <w:szCs w:val="32"/>
        </w:rPr>
      </w:pPr>
      <w:r>
        <w:rPr>
          <w:rFonts w:hint="eastAsia" w:ascii="黑体" w:hAnsi="黑体"/>
          <w:b w:val="0"/>
          <w:color w:val="auto"/>
          <w:sz w:val="32"/>
          <w:szCs w:val="32"/>
        </w:rPr>
        <w:t>八、附表</w:t>
      </w:r>
    </w:p>
    <w:p>
      <w:pPr>
        <w:ind w:firstLine="640"/>
        <w:rPr>
          <w:rFonts w:ascii="仿宋_GB2312" w:eastAsia="仿宋_GB2312"/>
          <w:color w:val="auto"/>
          <w:sz w:val="32"/>
          <w:szCs w:val="32"/>
        </w:rPr>
      </w:pPr>
      <w:r>
        <w:rPr>
          <w:rFonts w:hint="eastAsia" w:ascii="仿宋_GB2312" w:eastAsia="仿宋_GB2312"/>
          <w:color w:val="auto"/>
          <w:sz w:val="32"/>
          <w:szCs w:val="32"/>
        </w:rPr>
        <w:t>《部门整体支出绩效目标自评表》</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Malgun Gothic Semilight">
    <w:altName w:val="Malgun Gothic"/>
    <w:panose1 w:val="00000000000000000000"/>
    <w:charset w:val="80"/>
    <w:family w:val="swiss"/>
    <w:pitch w:val="default"/>
    <w:sig w:usb0="00000000" w:usb1="00000000" w:usb2="00000012" w:usb3="00000000" w:csb0="003E01BD" w:csb1="00000000"/>
  </w:font>
  <w:font w:name="Malgun Gothic">
    <w:panose1 w:val="020B0503020000020004"/>
    <w:charset w:val="81"/>
    <w:family w:val="auto"/>
    <w:pitch w:val="default"/>
    <w:sig w:usb0="900002AF" w:usb1="01D77CFB" w:usb2="00000012" w:usb3="00000000" w:csb0="0008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5</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A5999988"/>
    <w:multiLevelType w:val="singleLevel"/>
    <w:tmpl w:val="A5999988"/>
    <w:lvl w:ilvl="0" w:tentative="0">
      <w:start w:val="3"/>
      <w:numFmt w:val="decimal"/>
      <w:suff w:val="nothing"/>
      <w:lvlText w:val="（%1）"/>
      <w:lvlJc w:val="left"/>
    </w:lvl>
  </w:abstractNum>
  <w:abstractNum w:abstractNumId="2">
    <w:nsid w:val="C30CD17E"/>
    <w:multiLevelType w:val="singleLevel"/>
    <w:tmpl w:val="C30CD17E"/>
    <w:lvl w:ilvl="0" w:tentative="0">
      <w:start w:val="5"/>
      <w:numFmt w:val="chineseCounting"/>
      <w:suff w:val="nothing"/>
      <w:lvlText w:val="%1、"/>
      <w:lvlJc w:val="left"/>
      <w:rPr>
        <w:rFonts w:hint="eastAsia"/>
      </w:rPr>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7">
    <w:nsid w:val="48698FFF"/>
    <w:multiLevelType w:val="singleLevel"/>
    <w:tmpl w:val="48698FFF"/>
    <w:lvl w:ilvl="0" w:tentative="0">
      <w:start w:val="2"/>
      <w:numFmt w:val="decimal"/>
      <w:lvlText w:val="%1."/>
      <w:lvlJc w:val="left"/>
      <w:pPr>
        <w:tabs>
          <w:tab w:val="left" w:pos="312"/>
        </w:tabs>
      </w:pPr>
    </w:lvl>
  </w:abstractNum>
  <w:abstractNum w:abstractNumId="8">
    <w:nsid w:val="56C50B58"/>
    <w:multiLevelType w:val="multilevel"/>
    <w:tmpl w:val="56C50B58"/>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7"/>
  </w:num>
  <w:num w:numId="2">
    <w:abstractNumId w:val="5"/>
  </w:num>
  <w:num w:numId="3">
    <w:abstractNumId w:val="8"/>
  </w:num>
  <w:num w:numId="4">
    <w:abstractNumId w:val="4"/>
  </w:num>
  <w:num w:numId="5">
    <w:abstractNumId w:val="6"/>
  </w:num>
  <w:num w:numId="6">
    <w:abstractNumId w:val="3"/>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40"/>
  <w:drawingGridVerticalSpacing w:val="381"/>
  <w:displayHorizont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736CA"/>
    <w:rsid w:val="00012408"/>
    <w:rsid w:val="000127F0"/>
    <w:rsid w:val="00012F5F"/>
    <w:rsid w:val="000D3A82"/>
    <w:rsid w:val="00201A4A"/>
    <w:rsid w:val="002153DD"/>
    <w:rsid w:val="002640E4"/>
    <w:rsid w:val="00266868"/>
    <w:rsid w:val="00290A47"/>
    <w:rsid w:val="003B184C"/>
    <w:rsid w:val="003F473D"/>
    <w:rsid w:val="00455E2F"/>
    <w:rsid w:val="00485980"/>
    <w:rsid w:val="004D4927"/>
    <w:rsid w:val="004E4CA7"/>
    <w:rsid w:val="005736CA"/>
    <w:rsid w:val="005A124E"/>
    <w:rsid w:val="005D3F17"/>
    <w:rsid w:val="005E5D6E"/>
    <w:rsid w:val="005F7A93"/>
    <w:rsid w:val="00601640"/>
    <w:rsid w:val="00617C63"/>
    <w:rsid w:val="006C527B"/>
    <w:rsid w:val="00722410"/>
    <w:rsid w:val="0077571A"/>
    <w:rsid w:val="007A1B0F"/>
    <w:rsid w:val="007B6305"/>
    <w:rsid w:val="00894447"/>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133CD"/>
    <w:rsid w:val="00E65EF1"/>
    <w:rsid w:val="00E76F6F"/>
    <w:rsid w:val="00EA0F2D"/>
    <w:rsid w:val="012D3D63"/>
    <w:rsid w:val="01330A6C"/>
    <w:rsid w:val="01487A18"/>
    <w:rsid w:val="01720865"/>
    <w:rsid w:val="0189003F"/>
    <w:rsid w:val="01C42D66"/>
    <w:rsid w:val="02C15BF6"/>
    <w:rsid w:val="03673532"/>
    <w:rsid w:val="0379691F"/>
    <w:rsid w:val="039A3D95"/>
    <w:rsid w:val="03BE7262"/>
    <w:rsid w:val="04313FCA"/>
    <w:rsid w:val="046072C6"/>
    <w:rsid w:val="048C34B8"/>
    <w:rsid w:val="04993586"/>
    <w:rsid w:val="049D20FD"/>
    <w:rsid w:val="04C42719"/>
    <w:rsid w:val="04DF6C0B"/>
    <w:rsid w:val="050D0377"/>
    <w:rsid w:val="05560765"/>
    <w:rsid w:val="058D51FF"/>
    <w:rsid w:val="058E31DE"/>
    <w:rsid w:val="06222B2B"/>
    <w:rsid w:val="06401D70"/>
    <w:rsid w:val="06586D46"/>
    <w:rsid w:val="065A4860"/>
    <w:rsid w:val="06662B98"/>
    <w:rsid w:val="067565EE"/>
    <w:rsid w:val="067716E0"/>
    <w:rsid w:val="06C060E1"/>
    <w:rsid w:val="06DE0B3E"/>
    <w:rsid w:val="06F301EC"/>
    <w:rsid w:val="06F61BCB"/>
    <w:rsid w:val="07012CA8"/>
    <w:rsid w:val="07014925"/>
    <w:rsid w:val="07181247"/>
    <w:rsid w:val="073C28DF"/>
    <w:rsid w:val="073C70B0"/>
    <w:rsid w:val="073D47DD"/>
    <w:rsid w:val="07CA63EE"/>
    <w:rsid w:val="07D07530"/>
    <w:rsid w:val="08170519"/>
    <w:rsid w:val="08436556"/>
    <w:rsid w:val="0856616F"/>
    <w:rsid w:val="08622524"/>
    <w:rsid w:val="086A7EAD"/>
    <w:rsid w:val="08881A41"/>
    <w:rsid w:val="08E604A1"/>
    <w:rsid w:val="08EF03CC"/>
    <w:rsid w:val="0920012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151489"/>
    <w:rsid w:val="1049193F"/>
    <w:rsid w:val="10566744"/>
    <w:rsid w:val="10625CF9"/>
    <w:rsid w:val="10950DBA"/>
    <w:rsid w:val="109F0945"/>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B75872"/>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0278F"/>
    <w:rsid w:val="1B421E7E"/>
    <w:rsid w:val="1B460B56"/>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72749"/>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4768F"/>
    <w:rsid w:val="25A82154"/>
    <w:rsid w:val="25FC1269"/>
    <w:rsid w:val="2608337D"/>
    <w:rsid w:val="260C06F0"/>
    <w:rsid w:val="2620433E"/>
    <w:rsid w:val="269D5137"/>
    <w:rsid w:val="26BD3A0A"/>
    <w:rsid w:val="26BE70D6"/>
    <w:rsid w:val="26C301BC"/>
    <w:rsid w:val="26D424C1"/>
    <w:rsid w:val="26E81C8F"/>
    <w:rsid w:val="26F02D0C"/>
    <w:rsid w:val="26FD226B"/>
    <w:rsid w:val="27006B49"/>
    <w:rsid w:val="27260F03"/>
    <w:rsid w:val="27367DFA"/>
    <w:rsid w:val="273C2CA3"/>
    <w:rsid w:val="277371F3"/>
    <w:rsid w:val="278E79B1"/>
    <w:rsid w:val="27C51152"/>
    <w:rsid w:val="27EB3FF7"/>
    <w:rsid w:val="284171EC"/>
    <w:rsid w:val="286B4689"/>
    <w:rsid w:val="289F2164"/>
    <w:rsid w:val="28B60026"/>
    <w:rsid w:val="29350CD3"/>
    <w:rsid w:val="29443FDB"/>
    <w:rsid w:val="2970084B"/>
    <w:rsid w:val="29784CA5"/>
    <w:rsid w:val="29B80C93"/>
    <w:rsid w:val="29BB20D2"/>
    <w:rsid w:val="29D44C7C"/>
    <w:rsid w:val="29F33C34"/>
    <w:rsid w:val="2A380298"/>
    <w:rsid w:val="2A7B46E1"/>
    <w:rsid w:val="2A886FA9"/>
    <w:rsid w:val="2ABF76E9"/>
    <w:rsid w:val="2AC64A60"/>
    <w:rsid w:val="2B86795B"/>
    <w:rsid w:val="2C085CD5"/>
    <w:rsid w:val="2C5033C5"/>
    <w:rsid w:val="2C5C6A3E"/>
    <w:rsid w:val="2C664530"/>
    <w:rsid w:val="2C757BAF"/>
    <w:rsid w:val="2C8606C5"/>
    <w:rsid w:val="2C8C2E69"/>
    <w:rsid w:val="2C974E3D"/>
    <w:rsid w:val="2D07338F"/>
    <w:rsid w:val="2D6D7736"/>
    <w:rsid w:val="2DB93477"/>
    <w:rsid w:val="2DF65048"/>
    <w:rsid w:val="2E165B2D"/>
    <w:rsid w:val="2E9C69DA"/>
    <w:rsid w:val="2EE84ED3"/>
    <w:rsid w:val="2F047E61"/>
    <w:rsid w:val="2F062134"/>
    <w:rsid w:val="2F21289E"/>
    <w:rsid w:val="2F8507EF"/>
    <w:rsid w:val="2F912F13"/>
    <w:rsid w:val="2FA40373"/>
    <w:rsid w:val="2FD20B69"/>
    <w:rsid w:val="2FE745E9"/>
    <w:rsid w:val="30315A18"/>
    <w:rsid w:val="308C4C8C"/>
    <w:rsid w:val="30A14448"/>
    <w:rsid w:val="31121DE6"/>
    <w:rsid w:val="31793EC1"/>
    <w:rsid w:val="31BD13BA"/>
    <w:rsid w:val="31F242FB"/>
    <w:rsid w:val="31F82192"/>
    <w:rsid w:val="32025E0E"/>
    <w:rsid w:val="32031EA3"/>
    <w:rsid w:val="321C166B"/>
    <w:rsid w:val="32230A07"/>
    <w:rsid w:val="32805979"/>
    <w:rsid w:val="32E66065"/>
    <w:rsid w:val="331160AA"/>
    <w:rsid w:val="331827ED"/>
    <w:rsid w:val="33436432"/>
    <w:rsid w:val="335D23DB"/>
    <w:rsid w:val="33952FEB"/>
    <w:rsid w:val="33A34B5F"/>
    <w:rsid w:val="33A764C0"/>
    <w:rsid w:val="33AE0918"/>
    <w:rsid w:val="33E625F8"/>
    <w:rsid w:val="34054358"/>
    <w:rsid w:val="340E06AE"/>
    <w:rsid w:val="3417608E"/>
    <w:rsid w:val="341F4B68"/>
    <w:rsid w:val="342E7F12"/>
    <w:rsid w:val="343E7569"/>
    <w:rsid w:val="34496D65"/>
    <w:rsid w:val="345459E1"/>
    <w:rsid w:val="346976B5"/>
    <w:rsid w:val="346B7F37"/>
    <w:rsid w:val="34A94CBA"/>
    <w:rsid w:val="34B92F28"/>
    <w:rsid w:val="35031EB5"/>
    <w:rsid w:val="35DE49C0"/>
    <w:rsid w:val="35FA7EA7"/>
    <w:rsid w:val="35FD3C03"/>
    <w:rsid w:val="360F6B6F"/>
    <w:rsid w:val="363B291C"/>
    <w:rsid w:val="363E1F63"/>
    <w:rsid w:val="36F45916"/>
    <w:rsid w:val="37206D7C"/>
    <w:rsid w:val="375B421F"/>
    <w:rsid w:val="37905AF3"/>
    <w:rsid w:val="37A34800"/>
    <w:rsid w:val="37E02280"/>
    <w:rsid w:val="38026202"/>
    <w:rsid w:val="383B1C65"/>
    <w:rsid w:val="38764896"/>
    <w:rsid w:val="3884045B"/>
    <w:rsid w:val="388D632D"/>
    <w:rsid w:val="38962C73"/>
    <w:rsid w:val="38C05FA5"/>
    <w:rsid w:val="38CD3EED"/>
    <w:rsid w:val="38DF1F43"/>
    <w:rsid w:val="390339EB"/>
    <w:rsid w:val="3940029B"/>
    <w:rsid w:val="39D66640"/>
    <w:rsid w:val="3A2B1AF9"/>
    <w:rsid w:val="3A3453FF"/>
    <w:rsid w:val="3A5C0A17"/>
    <w:rsid w:val="3A8248E0"/>
    <w:rsid w:val="3AD61BDD"/>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EE763CC"/>
    <w:rsid w:val="3F24659E"/>
    <w:rsid w:val="3F2E2C76"/>
    <w:rsid w:val="3F3B5C85"/>
    <w:rsid w:val="3F3E0088"/>
    <w:rsid w:val="3F6E51CB"/>
    <w:rsid w:val="40006CAB"/>
    <w:rsid w:val="40085D42"/>
    <w:rsid w:val="401C7D12"/>
    <w:rsid w:val="402E562B"/>
    <w:rsid w:val="4046343E"/>
    <w:rsid w:val="40463EAA"/>
    <w:rsid w:val="405007A0"/>
    <w:rsid w:val="4061544C"/>
    <w:rsid w:val="40710710"/>
    <w:rsid w:val="407D7CD3"/>
    <w:rsid w:val="40F11DB3"/>
    <w:rsid w:val="40F61FC7"/>
    <w:rsid w:val="410A06F9"/>
    <w:rsid w:val="4125037B"/>
    <w:rsid w:val="413357D7"/>
    <w:rsid w:val="41447D45"/>
    <w:rsid w:val="41977304"/>
    <w:rsid w:val="41CD393D"/>
    <w:rsid w:val="41F949FB"/>
    <w:rsid w:val="421630C6"/>
    <w:rsid w:val="422B5E31"/>
    <w:rsid w:val="4252595A"/>
    <w:rsid w:val="42F5694E"/>
    <w:rsid w:val="437915D4"/>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8F2C49"/>
    <w:rsid w:val="47AF67A7"/>
    <w:rsid w:val="47B339B4"/>
    <w:rsid w:val="47CB1091"/>
    <w:rsid w:val="48035F02"/>
    <w:rsid w:val="48196D0A"/>
    <w:rsid w:val="4860434A"/>
    <w:rsid w:val="48D908C8"/>
    <w:rsid w:val="490010A1"/>
    <w:rsid w:val="493537CF"/>
    <w:rsid w:val="493A2864"/>
    <w:rsid w:val="49460D45"/>
    <w:rsid w:val="4A74195A"/>
    <w:rsid w:val="4A7A3D76"/>
    <w:rsid w:val="4A8B6AB4"/>
    <w:rsid w:val="4A9F3033"/>
    <w:rsid w:val="4AAE190E"/>
    <w:rsid w:val="4AC94FBF"/>
    <w:rsid w:val="4AE70AB8"/>
    <w:rsid w:val="4B7E595B"/>
    <w:rsid w:val="4B860D4F"/>
    <w:rsid w:val="4BB07602"/>
    <w:rsid w:val="4BF32BD8"/>
    <w:rsid w:val="4C421049"/>
    <w:rsid w:val="4C5411D7"/>
    <w:rsid w:val="4C546F81"/>
    <w:rsid w:val="4C564361"/>
    <w:rsid w:val="4C5904F7"/>
    <w:rsid w:val="4C99363E"/>
    <w:rsid w:val="4C9C4F4D"/>
    <w:rsid w:val="4CB96723"/>
    <w:rsid w:val="4CE4471C"/>
    <w:rsid w:val="4D8C30FA"/>
    <w:rsid w:val="4D960495"/>
    <w:rsid w:val="4DA25FB9"/>
    <w:rsid w:val="4DBB78A8"/>
    <w:rsid w:val="4E1A2AF8"/>
    <w:rsid w:val="4E3E44C6"/>
    <w:rsid w:val="4E580710"/>
    <w:rsid w:val="4E9D6C5F"/>
    <w:rsid w:val="4ED065C7"/>
    <w:rsid w:val="4ED60D0E"/>
    <w:rsid w:val="4F5E0911"/>
    <w:rsid w:val="4F6B3C7F"/>
    <w:rsid w:val="4F6C7D95"/>
    <w:rsid w:val="4F7B7863"/>
    <w:rsid w:val="4FB50A33"/>
    <w:rsid w:val="4FBC77EB"/>
    <w:rsid w:val="4FBD4AFA"/>
    <w:rsid w:val="50206576"/>
    <w:rsid w:val="50303A7C"/>
    <w:rsid w:val="50453781"/>
    <w:rsid w:val="50A26FF3"/>
    <w:rsid w:val="50DD2980"/>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054F57"/>
    <w:rsid w:val="55132799"/>
    <w:rsid w:val="552C223A"/>
    <w:rsid w:val="55A768F4"/>
    <w:rsid w:val="55B62452"/>
    <w:rsid w:val="55FE78A0"/>
    <w:rsid w:val="56253786"/>
    <w:rsid w:val="562D3283"/>
    <w:rsid w:val="566C0CF7"/>
    <w:rsid w:val="569156EC"/>
    <w:rsid w:val="569A770E"/>
    <w:rsid w:val="56CE2C6C"/>
    <w:rsid w:val="56E95104"/>
    <w:rsid w:val="56F013AB"/>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17151B"/>
    <w:rsid w:val="5A2E42CD"/>
    <w:rsid w:val="5A7F37F9"/>
    <w:rsid w:val="5A837878"/>
    <w:rsid w:val="5A9E7D61"/>
    <w:rsid w:val="5AB5421F"/>
    <w:rsid w:val="5B0C31BE"/>
    <w:rsid w:val="5B411C04"/>
    <w:rsid w:val="5B6E69E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3F7B40"/>
    <w:rsid w:val="6142313B"/>
    <w:rsid w:val="614D3BC8"/>
    <w:rsid w:val="618F1CE4"/>
    <w:rsid w:val="61B9511D"/>
    <w:rsid w:val="61CE240F"/>
    <w:rsid w:val="61D23BCD"/>
    <w:rsid w:val="6216105A"/>
    <w:rsid w:val="62302D5E"/>
    <w:rsid w:val="628804B1"/>
    <w:rsid w:val="62A43EEF"/>
    <w:rsid w:val="63277530"/>
    <w:rsid w:val="6352384A"/>
    <w:rsid w:val="63B16B0B"/>
    <w:rsid w:val="64340981"/>
    <w:rsid w:val="644B1C20"/>
    <w:rsid w:val="64643661"/>
    <w:rsid w:val="6471055F"/>
    <w:rsid w:val="64AE7D1C"/>
    <w:rsid w:val="64B97E4E"/>
    <w:rsid w:val="64C303D9"/>
    <w:rsid w:val="652B7127"/>
    <w:rsid w:val="656B579F"/>
    <w:rsid w:val="656E592B"/>
    <w:rsid w:val="65A165E9"/>
    <w:rsid w:val="65B52966"/>
    <w:rsid w:val="65C14A06"/>
    <w:rsid w:val="65C15488"/>
    <w:rsid w:val="660D76B4"/>
    <w:rsid w:val="6639023D"/>
    <w:rsid w:val="667136F9"/>
    <w:rsid w:val="66841ED9"/>
    <w:rsid w:val="66B24A2C"/>
    <w:rsid w:val="67024FEA"/>
    <w:rsid w:val="671073D1"/>
    <w:rsid w:val="67490614"/>
    <w:rsid w:val="678E06CE"/>
    <w:rsid w:val="679A602D"/>
    <w:rsid w:val="67CE680F"/>
    <w:rsid w:val="67E028BC"/>
    <w:rsid w:val="6809626F"/>
    <w:rsid w:val="684C2F37"/>
    <w:rsid w:val="68537B47"/>
    <w:rsid w:val="68620DC9"/>
    <w:rsid w:val="686C50AF"/>
    <w:rsid w:val="68A9552D"/>
    <w:rsid w:val="68C330AE"/>
    <w:rsid w:val="68D52CCF"/>
    <w:rsid w:val="68E45DE3"/>
    <w:rsid w:val="690E501B"/>
    <w:rsid w:val="691D1344"/>
    <w:rsid w:val="6934149F"/>
    <w:rsid w:val="6958671E"/>
    <w:rsid w:val="695E30CB"/>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6310B0"/>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751520"/>
    <w:rsid w:val="70A93F9B"/>
    <w:rsid w:val="70BF78D7"/>
    <w:rsid w:val="70E95E6A"/>
    <w:rsid w:val="712F11E7"/>
    <w:rsid w:val="71790E9D"/>
    <w:rsid w:val="717A6C89"/>
    <w:rsid w:val="71AC1A5C"/>
    <w:rsid w:val="71CD17F6"/>
    <w:rsid w:val="71D4229F"/>
    <w:rsid w:val="72117E7E"/>
    <w:rsid w:val="723B41CF"/>
    <w:rsid w:val="728971FB"/>
    <w:rsid w:val="72D06024"/>
    <w:rsid w:val="730B754C"/>
    <w:rsid w:val="733878DA"/>
    <w:rsid w:val="734779C2"/>
    <w:rsid w:val="7372294D"/>
    <w:rsid w:val="73B54BAF"/>
    <w:rsid w:val="73BF73C1"/>
    <w:rsid w:val="73C23920"/>
    <w:rsid w:val="73F201AA"/>
    <w:rsid w:val="73F56F27"/>
    <w:rsid w:val="741773F3"/>
    <w:rsid w:val="745E33A9"/>
    <w:rsid w:val="74802249"/>
    <w:rsid w:val="74AB56B7"/>
    <w:rsid w:val="74EB4810"/>
    <w:rsid w:val="75155729"/>
    <w:rsid w:val="75192ABB"/>
    <w:rsid w:val="75266207"/>
    <w:rsid w:val="75763149"/>
    <w:rsid w:val="75F5233E"/>
    <w:rsid w:val="765D19FC"/>
    <w:rsid w:val="769B14BB"/>
    <w:rsid w:val="76AA596C"/>
    <w:rsid w:val="76CF0956"/>
    <w:rsid w:val="76DF2EC8"/>
    <w:rsid w:val="76EB0D54"/>
    <w:rsid w:val="77045F8B"/>
    <w:rsid w:val="771C6744"/>
    <w:rsid w:val="773C017E"/>
    <w:rsid w:val="7771110B"/>
    <w:rsid w:val="77782D28"/>
    <w:rsid w:val="77C20123"/>
    <w:rsid w:val="77E3390D"/>
    <w:rsid w:val="77F538F8"/>
    <w:rsid w:val="788A3DEB"/>
    <w:rsid w:val="78B65776"/>
    <w:rsid w:val="78D6469A"/>
    <w:rsid w:val="78D82626"/>
    <w:rsid w:val="79111AC7"/>
    <w:rsid w:val="794E098B"/>
    <w:rsid w:val="799E36F7"/>
    <w:rsid w:val="79F3334C"/>
    <w:rsid w:val="7A150EF7"/>
    <w:rsid w:val="7A2E1812"/>
    <w:rsid w:val="7A7029D6"/>
    <w:rsid w:val="7A751437"/>
    <w:rsid w:val="7A7A77F3"/>
    <w:rsid w:val="7AB2209C"/>
    <w:rsid w:val="7ACB6E73"/>
    <w:rsid w:val="7B033D7C"/>
    <w:rsid w:val="7B233171"/>
    <w:rsid w:val="7B3943CF"/>
    <w:rsid w:val="7B396BBF"/>
    <w:rsid w:val="7B634CE1"/>
    <w:rsid w:val="7B9C2512"/>
    <w:rsid w:val="7BFB110F"/>
    <w:rsid w:val="7C09409A"/>
    <w:rsid w:val="7C287D7E"/>
    <w:rsid w:val="7C3825FA"/>
    <w:rsid w:val="7CE07A3C"/>
    <w:rsid w:val="7D4B33BB"/>
    <w:rsid w:val="7D7C4CEA"/>
    <w:rsid w:val="7D866779"/>
    <w:rsid w:val="7D901BCA"/>
    <w:rsid w:val="7D9F3F02"/>
    <w:rsid w:val="7E5F0EE8"/>
    <w:rsid w:val="7E7506DB"/>
    <w:rsid w:val="7E851F96"/>
    <w:rsid w:val="7EAB0E13"/>
    <w:rsid w:val="7EB2667C"/>
    <w:rsid w:val="7EC854AC"/>
    <w:rsid w:val="7EF90802"/>
    <w:rsid w:val="7F191C23"/>
    <w:rsid w:val="7F6A0F29"/>
    <w:rsid w:val="7F6B7827"/>
    <w:rsid w:val="7F961180"/>
    <w:rsid w:val="7FBF3709"/>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2"/>
    <w:semiHidden/>
    <w:unhideWhenUsed/>
    <w:qFormat/>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Char"/>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Char"/>
    <w:basedOn w:val="12"/>
    <w:link w:val="8"/>
    <w:qFormat/>
    <w:uiPriority w:val="99"/>
    <w:rPr>
      <w:rFonts w:eastAsia="仿宋"/>
      <w:kern w:val="2"/>
      <w:sz w:val="18"/>
      <w:szCs w:val="24"/>
    </w:rPr>
  </w:style>
  <w:style w:type="character" w:customStyle="1" w:styleId="22">
    <w:name w:val="批注框文本 Char"/>
    <w:basedOn w:val="12"/>
    <w:link w:val="7"/>
    <w:semiHidden/>
    <w:qFormat/>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5410</Words>
  <Characters>624</Characters>
  <Lines>5</Lines>
  <Paragraphs>12</Paragraphs>
  <TotalTime>2</TotalTime>
  <ScaleCrop>false</ScaleCrop>
  <LinksUpToDate>false</LinksUpToDate>
  <CharactersWithSpaces>6022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马国艳</cp:lastModifiedBy>
  <cp:lastPrinted>2022-03-07T02:41:00Z</cp:lastPrinted>
  <dcterms:modified xsi:type="dcterms:W3CDTF">2023-02-16T09:51:53Z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4C4FA65C88A647C8A18EE0A946157A92</vt:lpwstr>
  </property>
</Properties>
</file>