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rPr>
        <w:t>昌吉市农业农村局</w:t>
      </w:r>
      <w:r>
        <w:rPr>
          <w:rFonts w:hint="eastAsia" w:ascii="方正小标宋_GBK" w:hAnsi="华文中宋" w:eastAsia="方正小标宋_GBK" w:cs="宋体"/>
          <w:color w:val="auto"/>
          <w:kern w:val="0"/>
          <w:sz w:val="48"/>
          <w:szCs w:val="48"/>
          <w:highlight w:val="none"/>
          <w:lang w:val="en-US" w:eastAsia="zh-CN"/>
        </w:rPr>
        <w:t>部门单位</w:t>
      </w:r>
      <w:r>
        <w:rPr>
          <w:rFonts w:hint="eastAsia" w:ascii="方正小标宋_GBK" w:hAnsi="华文中宋" w:eastAsia="方正小标宋_GBK" w:cs="宋体"/>
          <w:color w:val="auto"/>
          <w:kern w:val="0"/>
          <w:sz w:val="48"/>
          <w:szCs w:val="48"/>
          <w:highlight w:val="none"/>
        </w:rPr>
        <w:t>整体支出绩效自评报告</w:t>
      </w:r>
    </w:p>
    <w:p>
      <w:pPr>
        <w:ind w:firstLine="0" w:firstLineChars="0"/>
        <w:jc w:val="center"/>
        <w:rPr>
          <w:rFonts w:ascii="华文中宋" w:hAnsi="华文中宋" w:eastAsia="华文中宋" w:cs="宋体"/>
          <w:b/>
          <w:color w:val="auto"/>
          <w:kern w:val="0"/>
          <w:sz w:val="52"/>
          <w:szCs w:val="52"/>
          <w:highlight w:val="none"/>
        </w:rPr>
      </w:pPr>
      <w:bookmarkStart w:id="0" w:name="_GoBack"/>
      <w:bookmarkEnd w:id="0"/>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（202</w:t>
      </w:r>
      <w:r>
        <w:rPr>
          <w:rFonts w:hint="eastAsia" w:ascii="仿宋_GB2312" w:hAnsi="宋体" w:eastAsia="仿宋_GB2312" w:cs="宋体"/>
          <w:color w:val="auto"/>
          <w:kern w:val="0"/>
          <w:sz w:val="36"/>
          <w:szCs w:val="36"/>
          <w:highlight w:val="none"/>
          <w:lang w:val="en-US" w:eastAsia="zh-CN"/>
        </w:rPr>
        <w:t>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部门单位名称（公章）：昌吉市农业农村局</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填报时间：</w:t>
      </w:r>
      <w:r>
        <w:rPr>
          <w:rFonts w:ascii="黑体" w:hAnsi="黑体" w:eastAsia="黑体" w:cs="黑体"/>
          <w:bCs/>
          <w:color w:val="auto"/>
          <w:sz w:val="36"/>
          <w:szCs w:val="36"/>
          <w:highlight w:val="none"/>
        </w:rPr>
        <w:t>202</w:t>
      </w:r>
      <w:r>
        <w:rPr>
          <w:rFonts w:hint="eastAsia" w:ascii="黑体" w:hAnsi="黑体" w:eastAsia="黑体" w:cs="黑体"/>
          <w:bCs/>
          <w:color w:val="auto"/>
          <w:sz w:val="36"/>
          <w:szCs w:val="36"/>
          <w:highlight w:val="none"/>
          <w:lang w:val="en-US" w:eastAsia="zh-CN"/>
        </w:rPr>
        <w:t>3</w:t>
      </w:r>
      <w:r>
        <w:rPr>
          <w:rFonts w:hint="eastAsia" w:ascii="黑体" w:hAnsi="黑体" w:eastAsia="黑体" w:cs="黑体"/>
          <w:bCs/>
          <w:color w:val="auto"/>
          <w:sz w:val="36"/>
          <w:szCs w:val="36"/>
          <w:highlight w:val="none"/>
        </w:rPr>
        <w:t>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月</w:t>
      </w:r>
      <w:r>
        <w:rPr>
          <w:rFonts w:ascii="黑体" w:hAnsi="黑体" w:eastAsia="黑体" w:cs="黑体"/>
          <w:bCs/>
          <w:color w:val="auto"/>
          <w:sz w:val="36"/>
          <w:szCs w:val="36"/>
          <w:highlight w:val="none"/>
        </w:rPr>
        <w:t>16</w:t>
      </w:r>
      <w:r>
        <w:rPr>
          <w:rFonts w:hint="eastAsia" w:ascii="黑体" w:hAnsi="黑体" w:eastAsia="黑体" w:cs="黑体"/>
          <w:bCs/>
          <w:color w:val="auto"/>
          <w:sz w:val="36"/>
          <w:szCs w:val="36"/>
          <w:highlight w:val="none"/>
        </w:rPr>
        <w:t>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ind w:firstLine="64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一、基本概况</w:t>
      </w:r>
    </w:p>
    <w:p>
      <w:pPr>
        <w:ind w:firstLine="643"/>
        <w:outlineLvl w:val="1"/>
        <w:rPr>
          <w:rFonts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（一）单位基本情况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昌吉市农业农村局编制数</w:t>
      </w:r>
      <w:r>
        <w:rPr>
          <w:rFonts w:ascii="仿宋_GB2312" w:eastAsia="仿宋_GB2312"/>
          <w:color w:val="auto"/>
          <w:sz w:val="32"/>
          <w:szCs w:val="32"/>
          <w:highlight w:val="none"/>
        </w:rPr>
        <w:t>69</w:t>
      </w:r>
      <w:r>
        <w:rPr>
          <w:rFonts w:hint="eastAsia" w:ascii="仿宋_GB2312" w:eastAsia="仿宋_GB2312"/>
          <w:color w:val="auto"/>
          <w:sz w:val="32"/>
          <w:szCs w:val="32"/>
          <w:highlight w:val="none"/>
        </w:rPr>
        <w:t>人，实有人数5</w:t>
      </w:r>
      <w:r>
        <w:rPr>
          <w:rFonts w:ascii="仿宋_GB2312" w:eastAsia="仿宋_GB2312"/>
          <w:color w:val="auto"/>
          <w:sz w:val="32"/>
          <w:szCs w:val="32"/>
          <w:highlight w:val="none"/>
        </w:rPr>
        <w:t>2</w:t>
      </w:r>
      <w:r>
        <w:rPr>
          <w:rFonts w:hint="eastAsia" w:ascii="仿宋_GB2312" w:eastAsia="仿宋_GB2312"/>
          <w:color w:val="auto"/>
          <w:sz w:val="32"/>
          <w:szCs w:val="32"/>
          <w:highlight w:val="none"/>
        </w:rPr>
        <w:t>人，下设</w:t>
      </w:r>
      <w:r>
        <w:rPr>
          <w:rFonts w:ascii="仿宋_GB2312" w:eastAsia="仿宋_GB2312"/>
          <w:color w:val="auto"/>
          <w:sz w:val="32"/>
          <w:szCs w:val="32"/>
          <w:highlight w:val="none"/>
        </w:rPr>
        <w:t>8</w:t>
      </w:r>
      <w:r>
        <w:rPr>
          <w:rFonts w:hint="eastAsia" w:ascii="仿宋_GB2312" w:eastAsia="仿宋_GB2312"/>
          <w:color w:val="auto"/>
          <w:sz w:val="32"/>
          <w:szCs w:val="32"/>
          <w:highlight w:val="none"/>
        </w:rPr>
        <w:t>个科室，分别是：党政办、农村社会事业科、项目管理科、畜牧渔政科、农业生产农机科、产业化发展科、安全监管科、项目建设科。</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主要职责：农业农村局主要职能共有五项，一是统筹实施乡村振兴战略，深化农业供给侧结构性改革，推动农业高质量发展，扎实推进美丽乡村建设；二是统筹推动发展农村社会事业、农村公共服务、农村基础设施和乡村治理；牵头组织改善农村人居环境；三是统筹抓好种植业、畜牧业和渔业生产，农业、畜牧、农机新技术推广；四是统筹抓好农业安全生产，做好重大动植物疫病防控、农畜产品质量安全和农机安全。五是负责农业投资管理，抓好重大项目建设。</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年度重点工作计划</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（1）产业振兴工作情况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按照“稳粮、优棉、强种、扩畜、精果、增饲、兴特”总体思路，优化产业布局，实现农业由总量扩张到质量提升的转变。落实粮食安全党政同责，将粮食生产纳入绩效考核内容，</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春小麦播种1054亩，完成任务的105%，优质小麦占总播面积80%以上；籽粒玉米播种8.8万亩，完成任务的221%；复播冬储菜4160亩，完成任务的208%；完成冬麦压种7.01万亩。建立化肥减量增效示范区1个，示范区化肥使用量减少3%。2020年3万亩高标准农田续建项目已完工，</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3万亩高标准农田建设项目完成总量的95%，较目标任务高10个百分点。高标准农田亩均投入超过1200元。</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预计牲畜存栏58.8万头只，出栏47.38万头只，全年肉产量3.48万吨、奶产量3.9万吨和蛋产量0.35万吨。全面完成新增奶牛存栏0.8万头，新增肉牛出栏1万头、生猪出栏1万头、家禽出栏50万只，肉羊饲养量达到50万只任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ascii="仿宋_GB2312" w:eastAsia="仿宋_GB2312"/>
          <w:color w:val="auto"/>
          <w:sz w:val="32"/>
          <w:szCs w:val="32"/>
          <w:highlight w:val="none"/>
        </w:rPr>
        <w:t>2</w:t>
      </w:r>
      <w:r>
        <w:rPr>
          <w:rFonts w:hint="eastAsia" w:ascii="仿宋_GB2312" w:eastAsia="仿宋_GB2312"/>
          <w:color w:val="auto"/>
          <w:sz w:val="32"/>
          <w:szCs w:val="32"/>
          <w:highlight w:val="none"/>
        </w:rPr>
        <w:t>）乡村建设工作情况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持续加大乡村基础设施建设投入，通过上级项目支持、政府投入、社会参与、村民自筹相结合的方式，筹集建设资金10亿余元，实施项目247个，覆盖安全饮水、排水、供热、道路硬化等9大类，涉及10个乡镇51个村203个片区，着力补齐农村基础设施和公共服务短板。目前，各类项目进展顺利。其中：昌吉市</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巩固拓展脱贫攻坚成果同乡村振兴衔接地债资金2.4亿元，项目共18个，全部开工建设，已支付金额2.4亿元，支付率100%。昌吉市</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财政衔接推进乡村振兴补助资金项目2679万元，共计7个项目，已支付2679万元，支付率为100%。全年实施昌吉市农村饮水工程维修养护项目16处，覆盖服务人口7.33万人。新改建农村公路61公里、回复路面182公里。完成29个村排水项目建设，惠及农户8490户。完成6个村3665户农村清洁供暖改造。全年实施农房抗震防灾工程94户。大力实施基本公共服务优质共享示范行动。加快完善市乡村三级农村物流体系。</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ascii="仿宋_GB2312" w:eastAsia="仿宋_GB2312"/>
          <w:color w:val="auto"/>
          <w:sz w:val="32"/>
          <w:szCs w:val="32"/>
          <w:highlight w:val="none"/>
        </w:rPr>
        <w:t>3</w:t>
      </w:r>
      <w:r>
        <w:rPr>
          <w:rFonts w:hint="eastAsia" w:ascii="仿宋_GB2312" w:eastAsia="仿宋_GB2312"/>
          <w:color w:val="auto"/>
          <w:sz w:val="32"/>
          <w:szCs w:val="32"/>
          <w:highlight w:val="none"/>
        </w:rPr>
        <w:t>）农村改革创新工作情况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完成农村土地承包经营权确权登记颁证工作，我市实测耕地总面积79.9万亩，其中：家庭承包地面积43.32万亩，其它方式承包面积9.09万亩，机动地面积27.49万亩。家庭承包户数18687户，家庭承包地块61407块，确权承包方家庭成员数97509人。清理账面资产总额达19.89亿元，核实资产总额达24亿元，其中经营性资产14.69亿元，经核实资产总额较清理前增加4.11亿元。全面清理资源性资产，集体土地较清理前增加了5.2万亩，集体林地4.48万亩，集体草地1.88万亩。集体建设性用地24.08万亩，未开发利用土地0.096万亩，清产核资成效明显。</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ascii="仿宋_GB2312" w:eastAsia="仿宋_GB2312"/>
          <w:color w:val="auto"/>
          <w:sz w:val="32"/>
          <w:szCs w:val="32"/>
          <w:highlight w:val="none"/>
        </w:rPr>
        <w:t>4</w:t>
      </w:r>
      <w:r>
        <w:rPr>
          <w:rFonts w:hint="eastAsia" w:ascii="仿宋_GB2312" w:eastAsia="仿宋_GB2312"/>
          <w:color w:val="auto"/>
          <w:sz w:val="32"/>
          <w:szCs w:val="32"/>
          <w:highlight w:val="none"/>
        </w:rPr>
        <w:t>）巩固脱贫攻坚成果</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严格落实“四个不摘”要求，切实做到“八个不变”，扎实推进“八个衔接”继续落实昌吉市“政府+企业+农户”产业扶贫政策，继续落实教育、民政、医疗、住房、饮水等重要保障政策，使相对低收入家庭平稳过渡。继续对原低保户、残疾户等关注的家庭中有劳动力能力或半劳动能力安排环卫保洁、园林管护等公益性岗位，确保家庭收入稳定。巩固推进社会兜底政策。城乡低保标准由</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的上半年每人每月不低于550元提高至每人每月不低于580元，全年每人6960元。为农村低保226户498人低保对象发放全年低保资金及提标补发资金农村低保217.6276万元；发放农村五保267.33万元。巩固推进义务教育政策。义务教育阶段实施“两免一补”</w:t>
      </w:r>
      <w:r>
        <w:rPr>
          <w:rFonts w:ascii="Calibri" w:hAnsi="Calibri" w:eastAsia="仿宋_GB2312" w:cs="Calibri"/>
          <w:color w:val="auto"/>
          <w:sz w:val="32"/>
          <w:szCs w:val="32"/>
          <w:highlight w:val="none"/>
        </w:rPr>
        <w:t> </w:t>
      </w:r>
      <w:r>
        <w:rPr>
          <w:rFonts w:hint="eastAsia" w:ascii="仿宋_GB2312" w:eastAsia="仿宋_GB2312"/>
          <w:color w:val="auto"/>
          <w:sz w:val="32"/>
          <w:szCs w:val="32"/>
          <w:highlight w:val="none"/>
        </w:rPr>
        <w:t>资助政策，发放家庭经济困难寄宿生生活费补助金3255人239.9625万元；发放家庭经济困难非寄宿生生活费11959人390.1249万元；“泉昌情•圆梦助学基金”为2189名经济困难家庭中小学、幼儿园学生补助教辅资料费、生活费134.64万元；为72名疆内疆外经济困难大学生发放补助39.3万元。妇联“爱心一元捐”为50名中小学经济困难家庭发放补助生活费2.5万元。</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（5）实施美丽乡村建设示范行动</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加大生活垃圾处理力度。我市先后建设垃圾中转站三个，其中:城北垃圾中转站，日处理100方，承担六工镇，大西渠镇、佃坝镇、滨湖镇生活垃圾转运工作，城西垃圾中转站日处理300方，承担大西渠，二六工镇、榆树沟镇垃圾转用工作，城南垃圾中转站日处理300方，承担三工镇，硫磺沟镇、阿什里乡垃圾转用工作。各乡镇共配备3T清扫车10辆、12T垃圾压缩车10辆、5T洒水车10辆，实现每个乡镇各一辆；配备电动三轮车130辆，实现每个村2-3辆。</w:t>
      </w:r>
    </w:p>
    <w:p>
      <w:pPr>
        <w:ind w:firstLine="643"/>
        <w:outlineLvl w:val="1"/>
        <w:rPr>
          <w:rFonts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（二）单位决策机制</w:t>
      </w:r>
    </w:p>
    <w:p>
      <w:pPr>
        <w:ind w:firstLine="640"/>
        <w:rPr>
          <w:rFonts w:ascii="仿宋_GB2312" w:eastAsia="仿宋_GB2312"/>
          <w:color w:val="auto"/>
          <w:sz w:val="32"/>
          <w:szCs w:val="32"/>
          <w:highlight w:val="none"/>
        </w:rPr>
      </w:pPr>
      <w:r>
        <w:rPr>
          <w:rFonts w:ascii="仿宋_GB2312" w:eastAsia="仿宋_GB2312"/>
          <w:color w:val="auto"/>
          <w:sz w:val="32"/>
          <w:szCs w:val="32"/>
          <w:highlight w:val="none"/>
        </w:rPr>
        <w:t>1</w:t>
      </w:r>
      <w:r>
        <w:rPr>
          <w:rFonts w:hint="eastAsia" w:ascii="仿宋_GB2312" w:eastAsia="仿宋_GB2312"/>
          <w:color w:val="auto"/>
          <w:sz w:val="32"/>
          <w:szCs w:val="32"/>
          <w:highlight w:val="none"/>
        </w:rPr>
        <w:t>.</w:t>
      </w:r>
      <w:r>
        <w:rPr>
          <w:rFonts w:ascii="仿宋_GB2312" w:eastAsia="仿宋_GB2312"/>
          <w:color w:val="auto"/>
          <w:sz w:val="32"/>
          <w:szCs w:val="32"/>
          <w:highlight w:val="none"/>
        </w:rPr>
        <w:t xml:space="preserve">议事决策机制：单位最高议事决策机构是党总支会。议事决策机制是集体研究，专家论证和技术咨询相结合。决策原则是民主集中制及首长负责制，实行决策权、执行权与监督权分置，三者各负其责各尽其职。 </w:t>
      </w:r>
    </w:p>
    <w:p>
      <w:pPr>
        <w:ind w:firstLine="640"/>
        <w:rPr>
          <w:rFonts w:ascii="仿宋_GB2312" w:eastAsia="仿宋_GB2312"/>
          <w:color w:val="auto"/>
          <w:sz w:val="32"/>
          <w:szCs w:val="32"/>
          <w:highlight w:val="none"/>
        </w:rPr>
      </w:pPr>
      <w:r>
        <w:rPr>
          <w:rFonts w:ascii="仿宋_GB2312" w:eastAsia="仿宋_GB2312"/>
          <w:color w:val="auto"/>
          <w:sz w:val="32"/>
          <w:szCs w:val="32"/>
          <w:highlight w:val="none"/>
        </w:rPr>
        <w:t>2</w:t>
      </w:r>
      <w:r>
        <w:rPr>
          <w:rFonts w:hint="eastAsia" w:ascii="仿宋_GB2312" w:eastAsia="仿宋_GB2312"/>
          <w:color w:val="auto"/>
          <w:sz w:val="32"/>
          <w:szCs w:val="32"/>
          <w:highlight w:val="none"/>
        </w:rPr>
        <w:t>．</w:t>
      </w:r>
      <w:r>
        <w:rPr>
          <w:rFonts w:ascii="仿宋_GB2312" w:eastAsia="仿宋_GB2312"/>
          <w:color w:val="auto"/>
          <w:sz w:val="32"/>
          <w:szCs w:val="32"/>
          <w:highlight w:val="none"/>
        </w:rPr>
        <w:t>议事决策规则：包括：议事成员构成、决策事项范围、投票表决规则、决策纪要的撰写、流转和保存、决策事项贯彻落实、监督检查等。</w:t>
      </w:r>
    </w:p>
    <w:p>
      <w:pPr>
        <w:ind w:firstLine="640"/>
        <w:rPr>
          <w:rFonts w:ascii="仿宋_GB2312" w:eastAsia="仿宋_GB2312"/>
          <w:color w:val="auto"/>
          <w:sz w:val="32"/>
          <w:szCs w:val="32"/>
          <w:highlight w:val="none"/>
        </w:rPr>
      </w:pPr>
      <w:r>
        <w:rPr>
          <w:rFonts w:ascii="仿宋_GB2312" w:eastAsia="仿宋_GB2312"/>
          <w:color w:val="auto"/>
          <w:sz w:val="32"/>
          <w:szCs w:val="32"/>
          <w:highlight w:val="none"/>
        </w:rPr>
        <w:t>3</w:t>
      </w:r>
      <w:r>
        <w:rPr>
          <w:rFonts w:hint="eastAsia" w:ascii="仿宋_GB2312" w:eastAsia="仿宋_GB2312"/>
          <w:color w:val="auto"/>
          <w:sz w:val="32"/>
          <w:szCs w:val="32"/>
          <w:highlight w:val="none"/>
        </w:rPr>
        <w:t>．</w:t>
      </w:r>
      <w:r>
        <w:rPr>
          <w:rFonts w:ascii="仿宋_GB2312" w:eastAsia="仿宋_GB2312"/>
          <w:color w:val="auto"/>
          <w:sz w:val="32"/>
          <w:szCs w:val="32"/>
          <w:highlight w:val="none"/>
        </w:rPr>
        <w:t>议事决策内容：单位执行“三重一大”事项集体决策机制，为加强科学决策、民主决策的要求，切实把执行“三重一大”事项集体决策制度作为贯彻民主集中制</w:t>
      </w:r>
      <w:r>
        <w:rPr>
          <w:rFonts w:hint="eastAsia" w:ascii="仿宋_GB2312" w:eastAsia="仿宋_GB2312"/>
          <w:color w:val="auto"/>
          <w:sz w:val="32"/>
          <w:szCs w:val="32"/>
          <w:highlight w:val="none"/>
        </w:rPr>
        <w:t>，防止个人或少数人决策的重要措施，推进集体决策的制度化、规范化和程序化。</w:t>
      </w:r>
      <w:r>
        <w:rPr>
          <w:rFonts w:ascii="仿宋_GB2312" w:eastAsia="仿宋_GB2312"/>
          <w:color w:val="auto"/>
          <w:sz w:val="32"/>
          <w:szCs w:val="32"/>
          <w:highlight w:val="none"/>
        </w:rPr>
        <w:t>“三重一大”事项集体决策机制：即重大事项决策、重要干部任免、重要项目安排、大额资金使用。“三重一大”的具体标准由单位党总支会议确定。</w:t>
      </w:r>
    </w:p>
    <w:p>
      <w:pPr>
        <w:ind w:firstLine="640"/>
        <w:rPr>
          <w:rFonts w:ascii="仿宋_GB2312" w:eastAsia="仿宋_GB2312"/>
          <w:color w:val="auto"/>
          <w:sz w:val="32"/>
          <w:szCs w:val="32"/>
          <w:highlight w:val="none"/>
        </w:rPr>
      </w:pPr>
      <w:r>
        <w:rPr>
          <w:rFonts w:ascii="仿宋_GB2312" w:eastAsia="仿宋_GB2312"/>
          <w:color w:val="auto"/>
          <w:sz w:val="32"/>
          <w:szCs w:val="32"/>
          <w:highlight w:val="none"/>
        </w:rPr>
        <w:t>4</w:t>
      </w:r>
      <w:r>
        <w:rPr>
          <w:rFonts w:hint="eastAsia" w:ascii="仿宋_GB2312" w:eastAsia="仿宋_GB2312"/>
          <w:color w:val="auto"/>
          <w:sz w:val="32"/>
          <w:szCs w:val="32"/>
          <w:highlight w:val="none"/>
        </w:rPr>
        <w:t>．</w:t>
      </w:r>
      <w:r>
        <w:rPr>
          <w:rFonts w:ascii="仿宋_GB2312" w:eastAsia="仿宋_GB2312"/>
          <w:color w:val="auto"/>
          <w:sz w:val="32"/>
          <w:szCs w:val="32"/>
          <w:highlight w:val="none"/>
        </w:rPr>
        <w:t>大额资金决策：大额资金使用通过党总支会集体讨论决定。班子各成员应对决策事项逐个明确表示意见。会议决策应按大多数成员的意见形成，讨论须执行有关回避规定。决策“三重一大”事项需表决的，应按规定进行表决。决定多个事项时，应当逐项进行表决。对少数人的不同意见，应认真考虑。如对重大问题分歧意见较大时，应暂缓决</w:t>
      </w:r>
      <w:r>
        <w:rPr>
          <w:rFonts w:hint="eastAsia" w:ascii="仿宋_GB2312" w:eastAsia="仿宋_GB2312"/>
          <w:color w:val="auto"/>
          <w:sz w:val="32"/>
          <w:szCs w:val="32"/>
          <w:highlight w:val="none"/>
        </w:rPr>
        <w:t>定，并进一步调查研究，交换意见，下次再进行表决。决策“三重一大”事项时，应完整地做好会议纪录，必要时并印发会议纪要，会议记录、纪要应明确记载会议时间、地点、参会人员、讨论具体事项、决策过程和决策结论。会议文件、记录等资料存档。</w:t>
      </w:r>
      <w:r>
        <w:rPr>
          <w:rFonts w:ascii="仿宋_GB2312" w:eastAsia="仿宋_GB2312"/>
          <w:color w:val="auto"/>
          <w:sz w:val="32"/>
          <w:szCs w:val="32"/>
          <w:highlight w:val="none"/>
        </w:rPr>
        <w:tab/>
      </w:r>
    </w:p>
    <w:p>
      <w:pPr>
        <w:numPr>
          <w:ilvl w:val="0"/>
          <w:numId w:val="2"/>
        </w:numPr>
        <w:ind w:firstLine="643"/>
        <w:outlineLvl w:val="1"/>
        <w:rPr>
          <w:rFonts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单位资金分配情况</w:t>
      </w:r>
    </w:p>
    <w:p>
      <w:pPr>
        <w:widowControl/>
        <w:ind w:firstLine="560" w:firstLineChars="0"/>
        <w:jc w:val="left"/>
        <w:rPr>
          <w:rFonts w:hint="eastAsia" w:ascii="仿宋_GB2312" w:eastAsia="仿宋_GB2312"/>
          <w:b/>
          <w:color w:val="auto"/>
          <w:sz w:val="32"/>
          <w:szCs w:val="32"/>
          <w:highlight w:val="none"/>
        </w:rPr>
      </w:pPr>
      <w:r>
        <w:rPr>
          <w:rFonts w:hint="eastAsia" w:ascii="仿宋_GB2312" w:eastAsia="仿宋_GB2312"/>
          <w:b/>
          <w:color w:val="auto"/>
          <w:sz w:val="32"/>
          <w:szCs w:val="32"/>
          <w:highlight w:val="none"/>
        </w:rPr>
        <w:t>1.分配依据及结果。</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560" w:firstLineChars="0"/>
        <w:jc w:val="left"/>
        <w:rPr>
          <w:rFonts w:ascii="仿宋_GB2312" w:eastAsia="仿宋_GB2312"/>
          <w:b/>
          <w:color w:val="auto"/>
          <w:sz w:val="32"/>
          <w:szCs w:val="32"/>
          <w:highlight w:val="none"/>
        </w:rPr>
      </w:pPr>
      <w:r>
        <w:rPr>
          <w:rFonts w:hint="eastAsia" w:ascii="仿宋_GB2312" w:eastAsia="仿宋_GB2312"/>
          <w:b/>
          <w:color w:val="auto"/>
          <w:sz w:val="32"/>
          <w:szCs w:val="32"/>
          <w:highlight w:val="none"/>
        </w:rPr>
        <w:t>2.重点支出保障情况。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本年度本单位预算安排的重点项目</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个，预算安排的重点项目支出金额为</w:t>
      </w:r>
      <w:r>
        <w:rPr>
          <w:rFonts w:hint="eastAsia" w:ascii="仿宋_GB2312" w:eastAsia="仿宋_GB2312"/>
          <w:color w:val="auto"/>
          <w:sz w:val="32"/>
          <w:szCs w:val="32"/>
          <w:highlight w:val="none"/>
          <w:lang w:val="en-US" w:eastAsia="zh-CN"/>
        </w:rPr>
        <w:t>5.26</w:t>
      </w:r>
      <w:r>
        <w:rPr>
          <w:rFonts w:hint="eastAsia" w:ascii="仿宋_GB2312" w:eastAsia="仿宋_GB2312"/>
          <w:color w:val="auto"/>
          <w:sz w:val="32"/>
          <w:szCs w:val="32"/>
          <w:highlight w:val="none"/>
        </w:rPr>
        <w:t>万元，部门项目总支出金额为</w:t>
      </w:r>
      <w:r>
        <w:rPr>
          <w:rFonts w:hint="eastAsia" w:ascii="仿宋_GB2312" w:eastAsia="仿宋_GB2312"/>
          <w:color w:val="auto"/>
          <w:sz w:val="32"/>
          <w:szCs w:val="32"/>
          <w:highlight w:val="none"/>
          <w:lang w:val="en-US" w:eastAsia="zh-CN"/>
        </w:rPr>
        <w:t>141799.53</w:t>
      </w:r>
      <w:r>
        <w:rPr>
          <w:rFonts w:hint="eastAsia" w:ascii="仿宋_GB2312" w:eastAsia="仿宋_GB2312"/>
          <w:color w:val="auto"/>
          <w:sz w:val="32"/>
          <w:szCs w:val="32"/>
          <w:highlight w:val="none"/>
        </w:rPr>
        <w:t>万元。</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pStyle w:val="2"/>
        <w:ind w:firstLine="640"/>
        <w:rPr>
          <w:rFonts w:hint="eastAsia"/>
          <w:color w:val="auto"/>
          <w:sz w:val="32"/>
          <w:highlight w:val="none"/>
        </w:rPr>
      </w:pPr>
      <w:r>
        <w:rPr>
          <w:rFonts w:hint="eastAsia"/>
          <w:color w:val="auto"/>
          <w:sz w:val="32"/>
          <w:highlight w:val="none"/>
          <w:lang w:val="en-US" w:eastAsia="zh-CN"/>
        </w:rPr>
        <w:t>1.</w:t>
      </w:r>
      <w:r>
        <w:rPr>
          <w:rFonts w:hint="eastAsia"/>
          <w:color w:val="auto"/>
          <w:sz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年度，昌吉市农业农村局部门单位整体支出年初预算金额为</w:t>
      </w:r>
      <w:r>
        <w:rPr>
          <w:rFonts w:hint="eastAsia" w:ascii="仿宋_GB2312" w:eastAsia="仿宋_GB2312"/>
          <w:color w:val="auto"/>
          <w:sz w:val="32"/>
          <w:szCs w:val="32"/>
          <w:highlight w:val="none"/>
          <w:lang w:val="en-US" w:eastAsia="zh-CN"/>
        </w:rPr>
        <w:t>1000.83</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971.41</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97.1</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32.03</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32.03</w:t>
      </w:r>
      <w:r>
        <w:rPr>
          <w:rFonts w:hint="eastAsia" w:ascii="仿宋_GB2312" w:eastAsia="仿宋_GB2312"/>
          <w:color w:val="auto"/>
          <w:sz w:val="32"/>
          <w:szCs w:val="32"/>
          <w:highlight w:val="none"/>
        </w:rPr>
        <w:t>万元，执行率为</w:t>
      </w:r>
      <w:r>
        <w:rPr>
          <w:rFonts w:ascii="仿宋_GB2312" w:eastAsia="仿宋_GB2312"/>
          <w:color w:val="auto"/>
          <w:sz w:val="32"/>
          <w:szCs w:val="32"/>
          <w:highlight w:val="none"/>
        </w:rPr>
        <w:t>100.0</w:t>
      </w:r>
      <w:r>
        <w:rPr>
          <w:rFonts w:hint="eastAsia" w:ascii="仿宋_GB2312" w:eastAsia="仿宋_GB2312"/>
          <w:color w:val="auto"/>
          <w:sz w:val="32"/>
          <w:szCs w:val="32"/>
          <w:highlight w:val="none"/>
        </w:rPr>
        <w:t>%。年中调整预算金额为调增</w:t>
      </w:r>
      <w:r>
        <w:rPr>
          <w:rFonts w:hint="eastAsia" w:ascii="仿宋_GB2312" w:eastAsia="仿宋_GB2312"/>
          <w:color w:val="auto"/>
          <w:sz w:val="32"/>
          <w:szCs w:val="32"/>
          <w:highlight w:val="none"/>
          <w:lang w:val="en-US" w:eastAsia="zh-CN"/>
        </w:rPr>
        <w:t>141983.93</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14186.6</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142955.34</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142955.34</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ind w:firstLine="640"/>
        <w:rPr>
          <w:rFonts w:hint="eastAsia" w:ascii="仿宋_GB2312" w:eastAsia="仿宋_GB2312"/>
          <w:b/>
          <w:bCs/>
          <w:color w:val="auto"/>
          <w:sz w:val="32"/>
          <w:szCs w:val="32"/>
          <w:highlight w:val="none"/>
        </w:rPr>
      </w:pPr>
      <w:r>
        <w:rPr>
          <w:rFonts w:hint="eastAsia" w:ascii="仿宋_GB2312" w:eastAsia="仿宋_GB2312"/>
          <w:b/>
          <w:bCs/>
          <w:color w:val="auto"/>
          <w:sz w:val="32"/>
          <w:szCs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w:t>
      </w:r>
      <w:r>
        <w:rPr>
          <w:rFonts w:hint="eastAsia" w:ascii="仿宋_GB2312" w:hAnsi="Arial" w:eastAsia="仿宋_GB2312" w:cs="宋体"/>
          <w:bCs/>
          <w:color w:val="auto"/>
          <w:sz w:val="32"/>
          <w:szCs w:val="32"/>
          <w:highlight w:val="none"/>
        </w:rPr>
        <w:t>《</w:t>
      </w:r>
      <w:r>
        <w:rPr>
          <w:rFonts w:ascii="仿宋_GB2312" w:hAnsi="Arial" w:eastAsia="仿宋_GB2312" w:cs="宋体"/>
          <w:bCs/>
          <w:color w:val="auto"/>
          <w:sz w:val="32"/>
          <w:szCs w:val="32"/>
          <w:highlight w:val="none"/>
        </w:rPr>
        <w:t>关于印发</w:t>
      </w:r>
      <w:r>
        <w:rPr>
          <w:rFonts w:hint="eastAsia" w:ascii="仿宋_GB2312" w:hAnsi="Arial" w:eastAsia="仿宋_GB2312" w:cs="宋体"/>
          <w:bCs/>
          <w:color w:val="auto"/>
          <w:sz w:val="32"/>
          <w:szCs w:val="32"/>
          <w:highlight w:val="none"/>
        </w:rPr>
        <w:t>&lt;</w:t>
      </w:r>
      <w:r>
        <w:rPr>
          <w:rFonts w:ascii="仿宋_GB2312" w:hAnsi="Arial" w:eastAsia="仿宋_GB2312" w:cs="宋体"/>
          <w:bCs/>
          <w:color w:val="auto"/>
          <w:sz w:val="32"/>
          <w:szCs w:val="32"/>
          <w:highlight w:val="none"/>
        </w:rPr>
        <w:t>昌吉市全面实施预算绩效管理工作方案</w:t>
      </w:r>
      <w:r>
        <w:rPr>
          <w:rFonts w:hint="eastAsia" w:ascii="仿宋_GB2312" w:hAnsi="Arial" w:eastAsia="仿宋_GB2312" w:cs="宋体"/>
          <w:bCs/>
          <w:color w:val="auto"/>
          <w:sz w:val="32"/>
          <w:szCs w:val="32"/>
          <w:highlight w:val="none"/>
        </w:rPr>
        <w:t>&gt;</w:t>
      </w:r>
      <w:r>
        <w:rPr>
          <w:rFonts w:ascii="仿宋_GB2312" w:hAnsi="Arial" w:eastAsia="仿宋_GB2312" w:cs="宋体"/>
          <w:bCs/>
          <w:color w:val="auto"/>
          <w:sz w:val="32"/>
          <w:szCs w:val="32"/>
          <w:highlight w:val="none"/>
        </w:rPr>
        <w:t>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2022年度</w:t>
      </w:r>
      <w:r>
        <w:rPr>
          <w:rFonts w:hint="eastAsia" w:ascii="仿宋_GB2312" w:eastAsia="仿宋_GB2312"/>
          <w:color w:val="auto"/>
          <w:sz w:val="32"/>
          <w:szCs w:val="32"/>
          <w:highlight w:val="none"/>
        </w:rPr>
        <w:t>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3"/>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财务制度和固定资产管理办法，并严格按照此管理办法管理使用预算资金，严格按照政府信息公开有关规定及财政部门要求公开相关预决算信息。</w:t>
      </w:r>
    </w:p>
    <w:p>
      <w:pPr>
        <w:pStyle w:val="4"/>
        <w:numPr>
          <w:ilvl w:val="0"/>
          <w:numId w:val="3"/>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，昌吉市农业农村局基本支出年初预算金额为</w:t>
      </w:r>
      <w:r>
        <w:rPr>
          <w:rFonts w:hint="eastAsia" w:ascii="仿宋_GB2312" w:eastAsia="仿宋_GB2312"/>
          <w:color w:val="auto"/>
          <w:sz w:val="32"/>
          <w:szCs w:val="32"/>
          <w:highlight w:val="none"/>
          <w:lang w:val="en-US" w:eastAsia="zh-CN"/>
        </w:rPr>
        <w:t>995.57</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966.15</w:t>
      </w:r>
      <w:r>
        <w:rPr>
          <w:rFonts w:hint="eastAsia" w:ascii="仿宋_GB2312" w:eastAsia="仿宋_GB2312"/>
          <w:color w:val="auto"/>
          <w:sz w:val="32"/>
          <w:szCs w:val="32"/>
          <w:highlight w:val="none"/>
        </w:rPr>
        <w:t>万元，执行率为</w:t>
      </w:r>
      <w:r>
        <w:rPr>
          <w:rFonts w:ascii="仿宋_GB2312" w:eastAsia="仿宋_GB2312"/>
          <w:color w:val="auto"/>
          <w:sz w:val="32"/>
          <w:szCs w:val="32"/>
          <w:highlight w:val="none"/>
        </w:rPr>
        <w:t>9</w:t>
      </w:r>
      <w:r>
        <w:rPr>
          <w:rFonts w:hint="eastAsia" w:ascii="仿宋_GB2312" w:eastAsia="仿宋_GB2312"/>
          <w:color w:val="auto"/>
          <w:sz w:val="32"/>
          <w:szCs w:val="32"/>
          <w:highlight w:val="none"/>
          <w:lang w:val="en-US" w:eastAsia="zh-CN"/>
        </w:rPr>
        <w:t>7.0</w:t>
      </w:r>
      <w:r>
        <w:rPr>
          <w:rFonts w:hint="eastAsia" w:ascii="仿宋_GB2312" w:eastAsia="仿宋_GB2312"/>
          <w:color w:val="auto"/>
          <w:sz w:val="32"/>
          <w:szCs w:val="32"/>
          <w:highlight w:val="none"/>
        </w:rPr>
        <w:t>%，年中调整预算金额调</w:t>
      </w:r>
      <w:r>
        <w:rPr>
          <w:rFonts w:hint="eastAsia" w:ascii="仿宋_GB2312" w:eastAsia="仿宋_GB2312"/>
          <w:color w:val="auto"/>
          <w:sz w:val="32"/>
          <w:szCs w:val="32"/>
          <w:highlight w:val="none"/>
          <w:lang w:val="en-US" w:eastAsia="zh-CN"/>
        </w:rPr>
        <w:t>增160.24</w:t>
      </w:r>
      <w:r>
        <w:rPr>
          <w:rFonts w:hint="eastAsia" w:ascii="仿宋_GB2312" w:eastAsia="仿宋_GB2312"/>
          <w:color w:val="auto"/>
          <w:sz w:val="32"/>
          <w:szCs w:val="32"/>
          <w:highlight w:val="none"/>
        </w:rPr>
        <w:t>万元，调整率</w:t>
      </w:r>
      <w:r>
        <w:rPr>
          <w:rFonts w:hint="eastAsia" w:ascii="仿宋_GB2312" w:eastAsia="仿宋_GB2312"/>
          <w:color w:val="auto"/>
          <w:sz w:val="32"/>
          <w:szCs w:val="32"/>
          <w:highlight w:val="none"/>
          <w:lang w:val="en-US" w:eastAsia="zh-CN"/>
        </w:rPr>
        <w:t>16.1</w:t>
      </w:r>
      <w:r>
        <w:rPr>
          <w:rFonts w:hint="eastAsia" w:ascii="仿宋_GB2312" w:eastAsia="仿宋_GB2312"/>
          <w:color w:val="auto"/>
          <w:sz w:val="32"/>
          <w:szCs w:val="32"/>
          <w:highlight w:val="none"/>
        </w:rPr>
        <w:t>%。综上，我单位基本支出预算总额为</w:t>
      </w:r>
      <w:r>
        <w:rPr>
          <w:rFonts w:hint="eastAsia" w:ascii="仿宋_GB2312" w:eastAsia="仿宋_GB2312"/>
          <w:color w:val="auto"/>
          <w:sz w:val="32"/>
          <w:szCs w:val="32"/>
          <w:highlight w:val="none"/>
          <w:lang w:val="en-US" w:eastAsia="zh-CN"/>
        </w:rPr>
        <w:t>1155.81</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1155.81</w:t>
      </w:r>
      <w:r>
        <w:rPr>
          <w:rFonts w:hint="eastAsia" w:ascii="仿宋_GB2312" w:eastAsia="仿宋_GB2312"/>
          <w:color w:val="auto"/>
          <w:sz w:val="32"/>
          <w:szCs w:val="32"/>
          <w:highlight w:val="none"/>
        </w:rPr>
        <w:t>万元，预算总执行率为100.0%，其中人员经费</w:t>
      </w:r>
      <w:r>
        <w:rPr>
          <w:rFonts w:hint="eastAsia" w:ascii="仿宋_GB2312" w:eastAsia="仿宋_GB2312"/>
          <w:color w:val="auto"/>
          <w:sz w:val="32"/>
          <w:szCs w:val="32"/>
          <w:highlight w:val="none"/>
          <w:lang w:val="en-US" w:eastAsia="zh-CN"/>
        </w:rPr>
        <w:t>1122.71</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33.09</w:t>
      </w:r>
      <w:r>
        <w:rPr>
          <w:rFonts w:hint="eastAsia" w:ascii="仿宋_GB2312" w:eastAsia="仿宋_GB2312"/>
          <w:color w:val="auto"/>
          <w:sz w:val="32"/>
          <w:szCs w:val="32"/>
          <w:highlight w:val="none"/>
        </w:rPr>
        <w:t>万元。</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我单位认真贯彻落实中央关于厉行节约的有关规定，严格执行《党政机关厉行节约反对浪费条例》，</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“三公”经费预算数为</w:t>
      </w:r>
      <w:r>
        <w:rPr>
          <w:rFonts w:hint="eastAsia" w:ascii="仿宋_GB2312" w:eastAsia="仿宋_GB2312"/>
          <w:color w:val="auto"/>
          <w:sz w:val="32"/>
          <w:szCs w:val="32"/>
          <w:highlight w:val="none"/>
          <w:lang w:val="en-US" w:eastAsia="zh-CN"/>
        </w:rPr>
        <w:t>18.20</w:t>
      </w:r>
      <w:r>
        <w:rPr>
          <w:rFonts w:hint="eastAsia" w:ascii="仿宋_GB2312" w:eastAsia="仿宋_GB2312"/>
          <w:color w:val="auto"/>
          <w:sz w:val="32"/>
          <w:szCs w:val="32"/>
          <w:highlight w:val="none"/>
        </w:rPr>
        <w:t>万元，其中：因公出国（境）费</w:t>
      </w:r>
      <w:r>
        <w:rPr>
          <w:rFonts w:ascii="仿宋_GB2312" w:eastAsia="仿宋_GB2312"/>
          <w:color w:val="auto"/>
          <w:sz w:val="32"/>
          <w:szCs w:val="32"/>
          <w:highlight w:val="none"/>
        </w:rPr>
        <w:t>0.00</w:t>
      </w:r>
      <w:r>
        <w:rPr>
          <w:rFonts w:hint="eastAsia" w:ascii="仿宋_GB2312" w:eastAsia="仿宋_GB2312"/>
          <w:color w:val="auto"/>
          <w:sz w:val="32"/>
          <w:szCs w:val="32"/>
          <w:highlight w:val="none"/>
        </w:rPr>
        <w:t>万元，公务用车购置及运行费</w:t>
      </w:r>
      <w:r>
        <w:rPr>
          <w:rFonts w:hint="eastAsia" w:ascii="仿宋_GB2312" w:eastAsia="仿宋_GB2312"/>
          <w:color w:val="auto"/>
          <w:sz w:val="32"/>
          <w:szCs w:val="32"/>
          <w:highlight w:val="none"/>
          <w:lang w:val="en-US" w:eastAsia="zh-CN"/>
        </w:rPr>
        <w:t>18.20</w:t>
      </w:r>
      <w:r>
        <w:rPr>
          <w:rFonts w:hint="eastAsia" w:ascii="仿宋_GB2312" w:eastAsia="仿宋_GB2312"/>
          <w:color w:val="auto"/>
          <w:sz w:val="32"/>
          <w:szCs w:val="32"/>
          <w:highlight w:val="none"/>
        </w:rPr>
        <w:t>万元（其中公务用车购置为</w:t>
      </w:r>
      <w:r>
        <w:rPr>
          <w:rFonts w:ascii="仿宋_GB2312" w:eastAsia="仿宋_GB2312"/>
          <w:color w:val="auto"/>
          <w:sz w:val="32"/>
          <w:szCs w:val="32"/>
          <w:highlight w:val="none"/>
        </w:rPr>
        <w:t>0</w:t>
      </w:r>
      <w:r>
        <w:rPr>
          <w:rFonts w:hint="eastAsia" w:ascii="仿宋_GB2312" w:eastAsia="仿宋_GB2312"/>
          <w:color w:val="auto"/>
          <w:sz w:val="32"/>
          <w:szCs w:val="32"/>
          <w:highlight w:val="none"/>
        </w:rPr>
        <w:t>.00万元），公务接待费</w:t>
      </w:r>
      <w:r>
        <w:rPr>
          <w:rFonts w:ascii="仿宋_GB2312" w:eastAsia="仿宋_GB2312"/>
          <w:color w:val="auto"/>
          <w:sz w:val="32"/>
          <w:szCs w:val="32"/>
          <w:highlight w:val="none"/>
        </w:rPr>
        <w:t>0</w:t>
      </w:r>
      <w:r>
        <w:rPr>
          <w:rFonts w:hint="eastAsia" w:ascii="仿宋_GB2312" w:eastAsia="仿宋_GB2312"/>
          <w:color w:val="auto"/>
          <w:sz w:val="32"/>
          <w:szCs w:val="32"/>
          <w:highlight w:val="none"/>
        </w:rPr>
        <w:t>.00万元。</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，全年“三公”经费决算支出</w:t>
      </w:r>
      <w:r>
        <w:rPr>
          <w:rFonts w:hint="eastAsia" w:ascii="仿宋_GB2312" w:eastAsia="仿宋_GB2312"/>
          <w:color w:val="auto"/>
          <w:sz w:val="32"/>
          <w:szCs w:val="32"/>
          <w:highlight w:val="none"/>
          <w:lang w:val="en-US" w:eastAsia="zh-CN"/>
        </w:rPr>
        <w:t>11.48</w:t>
      </w:r>
      <w:r>
        <w:rPr>
          <w:rFonts w:hint="eastAsia" w:ascii="仿宋_GB2312" w:eastAsia="仿宋_GB2312"/>
          <w:color w:val="auto"/>
          <w:sz w:val="32"/>
          <w:szCs w:val="32"/>
          <w:highlight w:val="none"/>
        </w:rPr>
        <w:t>万元，其中：因公出国（境）费用</w:t>
      </w:r>
      <w:r>
        <w:rPr>
          <w:rFonts w:ascii="仿宋_GB2312" w:eastAsia="仿宋_GB2312"/>
          <w:color w:val="auto"/>
          <w:sz w:val="32"/>
          <w:szCs w:val="32"/>
          <w:highlight w:val="none"/>
        </w:rPr>
        <w:t>0.00</w:t>
      </w:r>
      <w:r>
        <w:rPr>
          <w:rFonts w:hint="eastAsia" w:ascii="仿宋_GB2312" w:eastAsia="仿宋_GB2312"/>
          <w:color w:val="auto"/>
          <w:sz w:val="32"/>
          <w:szCs w:val="32"/>
          <w:highlight w:val="none"/>
        </w:rPr>
        <w:t>万元、公务用车购置及运行费</w:t>
      </w:r>
      <w:r>
        <w:rPr>
          <w:rFonts w:hint="eastAsia" w:ascii="仿宋_GB2312" w:eastAsia="仿宋_GB2312"/>
          <w:color w:val="auto"/>
          <w:sz w:val="32"/>
          <w:szCs w:val="32"/>
          <w:highlight w:val="none"/>
          <w:lang w:val="en-US" w:eastAsia="zh-CN"/>
        </w:rPr>
        <w:t>11.48</w:t>
      </w:r>
      <w:r>
        <w:rPr>
          <w:rFonts w:hint="eastAsia" w:ascii="仿宋_GB2312" w:eastAsia="仿宋_GB2312"/>
          <w:color w:val="auto"/>
          <w:sz w:val="32"/>
          <w:szCs w:val="32"/>
          <w:highlight w:val="none"/>
        </w:rPr>
        <w:t>万元（其中公务用车购置为</w:t>
      </w:r>
      <w:r>
        <w:rPr>
          <w:rFonts w:ascii="仿宋_GB2312" w:eastAsia="仿宋_GB2312"/>
          <w:color w:val="auto"/>
          <w:sz w:val="32"/>
          <w:szCs w:val="32"/>
          <w:highlight w:val="none"/>
        </w:rPr>
        <w:t>0.00</w:t>
      </w:r>
      <w:r>
        <w:rPr>
          <w:rFonts w:hint="eastAsia" w:ascii="仿宋_GB2312" w:eastAsia="仿宋_GB2312"/>
          <w:color w:val="auto"/>
          <w:sz w:val="32"/>
          <w:szCs w:val="32"/>
          <w:highlight w:val="none"/>
        </w:rPr>
        <w:t>万元）、公务接待费</w:t>
      </w:r>
      <w:r>
        <w:rPr>
          <w:rFonts w:ascii="仿宋_GB2312" w:eastAsia="仿宋_GB2312"/>
          <w:color w:val="auto"/>
          <w:sz w:val="32"/>
          <w:szCs w:val="32"/>
          <w:highlight w:val="none"/>
        </w:rPr>
        <w:t>0.00</w:t>
      </w:r>
      <w:r>
        <w:rPr>
          <w:rFonts w:hint="eastAsia" w:ascii="仿宋_GB2312" w:eastAsia="仿宋_GB2312"/>
          <w:color w:val="auto"/>
          <w:sz w:val="32"/>
          <w:szCs w:val="32"/>
          <w:highlight w:val="none"/>
        </w:rPr>
        <w:t>万元。较上年“三公”经费决算支出</w:t>
      </w:r>
      <w:r>
        <w:rPr>
          <w:rFonts w:hint="eastAsia" w:ascii="仿宋_GB2312" w:eastAsia="仿宋_GB2312"/>
          <w:color w:val="auto"/>
          <w:sz w:val="32"/>
          <w:szCs w:val="32"/>
          <w:highlight w:val="none"/>
          <w:lang w:val="en-US" w:eastAsia="zh-CN"/>
        </w:rPr>
        <w:t>16.77</w:t>
      </w:r>
      <w:r>
        <w:rPr>
          <w:rFonts w:hint="eastAsia" w:ascii="仿宋_GB2312" w:eastAsia="仿宋_GB2312"/>
          <w:color w:val="auto"/>
          <w:sz w:val="32"/>
          <w:szCs w:val="32"/>
          <w:highlight w:val="none"/>
        </w:rPr>
        <w:t>万元，减少</w:t>
      </w:r>
      <w:r>
        <w:rPr>
          <w:rFonts w:hint="eastAsia" w:ascii="仿宋_GB2312" w:eastAsia="仿宋_GB2312"/>
          <w:color w:val="auto"/>
          <w:sz w:val="32"/>
          <w:szCs w:val="32"/>
          <w:highlight w:val="none"/>
          <w:lang w:val="en-US" w:eastAsia="zh-CN"/>
        </w:rPr>
        <w:t>5.29</w:t>
      </w:r>
      <w:r>
        <w:rPr>
          <w:rFonts w:hint="eastAsia" w:ascii="仿宋_GB2312" w:eastAsia="仿宋_GB2312"/>
          <w:color w:val="auto"/>
          <w:sz w:val="32"/>
          <w:szCs w:val="32"/>
          <w:highlight w:val="none"/>
        </w:rPr>
        <w:t>万元，下降</w:t>
      </w:r>
      <w:r>
        <w:rPr>
          <w:rFonts w:ascii="仿宋_GB2312" w:eastAsia="仿宋_GB2312"/>
          <w:color w:val="auto"/>
          <w:sz w:val="32"/>
          <w:szCs w:val="32"/>
          <w:highlight w:val="none"/>
        </w:rPr>
        <w:t>3</w:t>
      </w:r>
      <w:r>
        <w:rPr>
          <w:rFonts w:hint="eastAsia" w:ascii="仿宋_GB2312" w:eastAsia="仿宋_GB2312"/>
          <w:color w:val="auto"/>
          <w:sz w:val="32"/>
          <w:szCs w:val="32"/>
          <w:highlight w:val="none"/>
          <w:lang w:val="en-US" w:eastAsia="zh-CN"/>
        </w:rPr>
        <w:t>1.5</w:t>
      </w:r>
      <w:r>
        <w:rPr>
          <w:rFonts w:hint="eastAsia" w:ascii="仿宋_GB2312" w:eastAsia="仿宋_GB2312"/>
          <w:color w:val="auto"/>
          <w:sz w:val="32"/>
          <w:szCs w:val="32"/>
          <w:highlight w:val="none"/>
        </w:rPr>
        <w:t>%。</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，昌吉市农业农村局项目支出年初预算金额为</w:t>
      </w:r>
      <w:r>
        <w:rPr>
          <w:rFonts w:hint="eastAsia" w:ascii="仿宋_GB2312" w:eastAsia="仿宋_GB2312"/>
          <w:color w:val="auto"/>
          <w:sz w:val="32"/>
          <w:szCs w:val="32"/>
          <w:highlight w:val="none"/>
          <w:lang w:val="en-US" w:eastAsia="zh-CN"/>
        </w:rPr>
        <w:t>5.26</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5.26</w:t>
      </w:r>
      <w:r>
        <w:rPr>
          <w:rFonts w:hint="eastAsia" w:ascii="仿宋_GB2312" w:eastAsia="仿宋_GB2312"/>
          <w:color w:val="auto"/>
          <w:sz w:val="32"/>
          <w:szCs w:val="32"/>
          <w:highlight w:val="none"/>
        </w:rPr>
        <w:t>万元，执行率为</w:t>
      </w:r>
      <w:r>
        <w:rPr>
          <w:rFonts w:ascii="仿宋_GB2312" w:eastAsia="仿宋_GB2312"/>
          <w:color w:val="auto"/>
          <w:sz w:val="32"/>
          <w:szCs w:val="32"/>
          <w:highlight w:val="none"/>
        </w:rPr>
        <w:t>100.0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141794.27</w:t>
      </w:r>
      <w:r>
        <w:rPr>
          <w:rFonts w:hint="eastAsia" w:ascii="仿宋_GB2312" w:eastAsia="仿宋_GB2312"/>
          <w:color w:val="auto"/>
          <w:sz w:val="32"/>
          <w:szCs w:val="32"/>
          <w:highlight w:val="none"/>
        </w:rPr>
        <w:t>万元。综上，我单位项目支出预算总额为</w:t>
      </w:r>
      <w:r>
        <w:rPr>
          <w:rFonts w:hint="eastAsia" w:ascii="仿宋_GB2312" w:eastAsia="仿宋_GB2312"/>
          <w:color w:val="auto"/>
          <w:sz w:val="32"/>
          <w:szCs w:val="32"/>
          <w:highlight w:val="none"/>
          <w:lang w:val="en-US" w:eastAsia="zh-CN"/>
        </w:rPr>
        <w:t>141799.53</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141799.53</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p>
    <w:p>
      <w:pPr>
        <w:pStyle w:val="3"/>
        <w:ind w:firstLine="960" w:firstLineChars="30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4"/>
        </w:numPr>
        <w:ind w:firstLine="640"/>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12月31日，我单位资产账面总额为</w:t>
      </w:r>
      <w:r>
        <w:rPr>
          <w:rFonts w:ascii="仿宋_GB2312" w:eastAsia="仿宋_GB2312"/>
          <w:color w:val="auto"/>
          <w:sz w:val="32"/>
          <w:szCs w:val="32"/>
          <w:highlight w:val="none"/>
        </w:rPr>
        <w:t>393.04</w:t>
      </w:r>
      <w:r>
        <w:rPr>
          <w:rFonts w:hint="eastAsia" w:ascii="仿宋_GB2312" w:eastAsia="仿宋_GB2312"/>
          <w:color w:val="auto"/>
          <w:sz w:val="32"/>
          <w:szCs w:val="32"/>
          <w:highlight w:val="none"/>
        </w:rPr>
        <w:t>万元，较年初资产总额</w:t>
      </w:r>
      <w:r>
        <w:rPr>
          <w:rFonts w:ascii="仿宋_GB2312" w:eastAsia="仿宋_GB2312"/>
          <w:color w:val="auto"/>
          <w:sz w:val="32"/>
          <w:szCs w:val="32"/>
          <w:highlight w:val="none"/>
        </w:rPr>
        <w:t>4369.69</w:t>
      </w:r>
      <w:r>
        <w:rPr>
          <w:rFonts w:hint="eastAsia" w:ascii="仿宋_GB2312" w:eastAsia="仿宋_GB2312"/>
          <w:color w:val="auto"/>
          <w:sz w:val="32"/>
          <w:szCs w:val="32"/>
          <w:highlight w:val="none"/>
        </w:rPr>
        <w:t>万元，减少了</w:t>
      </w:r>
      <w:r>
        <w:rPr>
          <w:rFonts w:ascii="仿宋_GB2312" w:eastAsia="仿宋_GB2312"/>
          <w:color w:val="auto"/>
          <w:sz w:val="32"/>
          <w:szCs w:val="32"/>
          <w:highlight w:val="none"/>
        </w:rPr>
        <w:t>3976.65</w:t>
      </w:r>
      <w:r>
        <w:rPr>
          <w:rFonts w:hint="eastAsia" w:ascii="仿宋_GB2312" w:eastAsia="仿宋_GB2312"/>
          <w:color w:val="auto"/>
          <w:sz w:val="32"/>
          <w:szCs w:val="32"/>
          <w:highlight w:val="none"/>
        </w:rPr>
        <w:t>万元，其中：</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流动资产：</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初，流动资产总额为</w:t>
      </w:r>
      <w:r>
        <w:rPr>
          <w:rFonts w:ascii="仿宋_GB2312" w:eastAsia="仿宋_GB2312"/>
          <w:color w:val="auto"/>
          <w:sz w:val="32"/>
          <w:szCs w:val="32"/>
          <w:highlight w:val="none"/>
        </w:rPr>
        <w:t>4181.60</w:t>
      </w:r>
      <w:r>
        <w:rPr>
          <w:rFonts w:hint="eastAsia" w:ascii="仿宋_GB2312" w:eastAsia="仿宋_GB2312"/>
          <w:color w:val="auto"/>
          <w:sz w:val="32"/>
          <w:szCs w:val="32"/>
          <w:highlight w:val="none"/>
        </w:rPr>
        <w:t>万元，年末总额为</w:t>
      </w:r>
      <w:r>
        <w:rPr>
          <w:rFonts w:ascii="仿宋_GB2312" w:eastAsia="仿宋_GB2312"/>
          <w:color w:val="auto"/>
          <w:sz w:val="32"/>
          <w:szCs w:val="32"/>
          <w:highlight w:val="none"/>
        </w:rPr>
        <w:t>249.60</w:t>
      </w:r>
      <w:r>
        <w:rPr>
          <w:rFonts w:hint="eastAsia" w:ascii="仿宋_GB2312" w:eastAsia="仿宋_GB2312"/>
          <w:color w:val="auto"/>
          <w:sz w:val="32"/>
          <w:szCs w:val="32"/>
          <w:highlight w:val="none"/>
        </w:rPr>
        <w:t>万元，较年初流动资产减少</w:t>
      </w:r>
      <w:r>
        <w:rPr>
          <w:rFonts w:ascii="仿宋_GB2312" w:eastAsia="仿宋_GB2312"/>
          <w:color w:val="auto"/>
          <w:sz w:val="32"/>
          <w:szCs w:val="32"/>
          <w:highlight w:val="none"/>
        </w:rPr>
        <w:t>3932</w:t>
      </w:r>
      <w:r>
        <w:rPr>
          <w:rFonts w:hint="eastAsia" w:ascii="仿宋_GB2312" w:eastAsia="仿宋_GB2312"/>
          <w:color w:val="auto"/>
          <w:sz w:val="32"/>
          <w:szCs w:val="32"/>
          <w:highlight w:val="none"/>
        </w:rPr>
        <w:t>万元，下降</w:t>
      </w:r>
      <w:r>
        <w:rPr>
          <w:rFonts w:ascii="仿宋_GB2312" w:eastAsia="仿宋_GB2312"/>
          <w:color w:val="auto"/>
          <w:sz w:val="32"/>
          <w:szCs w:val="32"/>
          <w:highlight w:val="none"/>
        </w:rPr>
        <w:t>94.0</w:t>
      </w:r>
      <w:r>
        <w:rPr>
          <w:rFonts w:hint="eastAsia" w:ascii="仿宋_GB2312" w:eastAsia="仿宋_GB2312"/>
          <w:color w:val="auto"/>
          <w:sz w:val="32"/>
          <w:szCs w:val="32"/>
          <w:highlight w:val="none"/>
        </w:rPr>
        <w:t>%，主要变动原因是：货币资金增加，财政应返还额度减少。</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固定资产：</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初，固定资产总额为</w:t>
      </w:r>
      <w:r>
        <w:rPr>
          <w:rFonts w:ascii="仿宋_GB2312" w:eastAsia="仿宋_GB2312"/>
          <w:color w:val="auto"/>
          <w:sz w:val="32"/>
          <w:szCs w:val="32"/>
          <w:highlight w:val="none"/>
        </w:rPr>
        <w:t>188.10</w:t>
      </w:r>
      <w:r>
        <w:rPr>
          <w:rFonts w:hint="eastAsia" w:ascii="仿宋_GB2312" w:eastAsia="仿宋_GB2312"/>
          <w:color w:val="auto"/>
          <w:sz w:val="32"/>
          <w:szCs w:val="32"/>
          <w:highlight w:val="none"/>
        </w:rPr>
        <w:t>万元，年末总额为</w:t>
      </w:r>
      <w:r>
        <w:rPr>
          <w:rFonts w:ascii="仿宋_GB2312" w:eastAsia="仿宋_GB2312"/>
          <w:color w:val="auto"/>
          <w:sz w:val="32"/>
          <w:szCs w:val="32"/>
          <w:highlight w:val="none"/>
        </w:rPr>
        <w:t>143.44</w:t>
      </w:r>
      <w:r>
        <w:rPr>
          <w:rFonts w:hint="eastAsia" w:ascii="仿宋_GB2312" w:eastAsia="仿宋_GB2312"/>
          <w:color w:val="auto"/>
          <w:sz w:val="32"/>
          <w:szCs w:val="32"/>
          <w:highlight w:val="none"/>
        </w:rPr>
        <w:t>万元，较年初固定资产减少</w:t>
      </w:r>
      <w:r>
        <w:rPr>
          <w:rFonts w:ascii="仿宋_GB2312" w:eastAsia="仿宋_GB2312"/>
          <w:color w:val="auto"/>
          <w:sz w:val="32"/>
          <w:szCs w:val="32"/>
          <w:highlight w:val="none"/>
        </w:rPr>
        <w:t>44.66</w:t>
      </w:r>
      <w:r>
        <w:rPr>
          <w:rFonts w:hint="eastAsia" w:ascii="仿宋_GB2312" w:eastAsia="仿宋_GB2312"/>
          <w:color w:val="auto"/>
          <w:sz w:val="32"/>
          <w:szCs w:val="32"/>
          <w:highlight w:val="none"/>
        </w:rPr>
        <w:t>万元，增长</w:t>
      </w:r>
      <w:r>
        <w:rPr>
          <w:rFonts w:ascii="仿宋_GB2312" w:eastAsia="仿宋_GB2312"/>
          <w:color w:val="auto"/>
          <w:sz w:val="32"/>
          <w:szCs w:val="32"/>
          <w:highlight w:val="none"/>
        </w:rPr>
        <w:t>23.7</w:t>
      </w:r>
      <w:r>
        <w:rPr>
          <w:rFonts w:hint="eastAsia" w:ascii="仿宋_GB2312" w:eastAsia="仿宋_GB2312"/>
          <w:color w:val="auto"/>
          <w:sz w:val="32"/>
          <w:szCs w:val="32"/>
          <w:highlight w:val="none"/>
        </w:rPr>
        <w:t>%，主要变动原因是：固定资产折旧。</w:t>
      </w:r>
    </w:p>
    <w:p>
      <w:pPr>
        <w:pStyle w:val="4"/>
        <w:numPr>
          <w:ilvl w:val="0"/>
          <w:numId w:val="4"/>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81" w:firstLineChars="213"/>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4.流动资产的管理</w:t>
      </w:r>
    </w:p>
    <w:p>
      <w:pPr>
        <w:ind w:firstLine="681" w:firstLineChars="213"/>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ind w:firstLine="681" w:firstLineChars="213"/>
        <w:jc w:val="left"/>
        <w:rPr>
          <w:rFonts w:ascii="仿宋_GB2312" w:eastAsia="仿宋_GB2312"/>
          <w:color w:val="auto"/>
          <w:sz w:val="32"/>
          <w:szCs w:val="32"/>
          <w:highlight w:val="none"/>
        </w:rPr>
      </w:pPr>
      <w:r>
        <w:rPr>
          <w:rFonts w:hint="eastAsia" w:ascii="仿宋_GB2312" w:eastAsia="仿宋_GB2312"/>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5"/>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2022年度</w:t>
      </w:r>
      <w:r>
        <w:rPr>
          <w:rFonts w:hint="eastAsia" w:ascii="仿宋_GB2312" w:eastAsia="仿宋_GB2312"/>
          <w:color w:val="auto"/>
          <w:sz w:val="32"/>
          <w:szCs w:val="32"/>
          <w:highlight w:val="none"/>
        </w:rPr>
        <w:t>，我单位整体支出绩效目标共设置一级指标3个，二级指标</w:t>
      </w:r>
      <w:r>
        <w:rPr>
          <w:rFonts w:hint="eastAsia" w:ascii="仿宋_GB2312" w:eastAsia="仿宋_GB2312"/>
          <w:color w:val="auto"/>
          <w:sz w:val="32"/>
          <w:szCs w:val="32"/>
          <w:highlight w:val="none"/>
          <w:lang w:val="en-US" w:eastAsia="zh-CN"/>
        </w:rPr>
        <w:t>7</w:t>
      </w:r>
      <w:r>
        <w:rPr>
          <w:rFonts w:hint="eastAsia" w:ascii="仿宋_GB2312" w:eastAsia="仿宋_GB2312"/>
          <w:color w:val="auto"/>
          <w:sz w:val="32"/>
          <w:szCs w:val="32"/>
          <w:highlight w:val="none"/>
        </w:rPr>
        <w:t>个，三级指标</w:t>
      </w:r>
      <w:r>
        <w:rPr>
          <w:rFonts w:ascii="仿宋_GB2312" w:eastAsia="仿宋_GB2312"/>
          <w:color w:val="auto"/>
          <w:sz w:val="32"/>
          <w:szCs w:val="32"/>
          <w:highlight w:val="none"/>
        </w:rPr>
        <w:t>1</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个，其中：已完成三级指标</w:t>
      </w:r>
      <w:r>
        <w:rPr>
          <w:rFonts w:hint="eastAsia" w:ascii="仿宋_GB2312" w:eastAsia="仿宋_GB2312"/>
          <w:color w:val="auto"/>
          <w:sz w:val="32"/>
          <w:szCs w:val="32"/>
          <w:highlight w:val="none"/>
          <w:lang w:val="en-US" w:eastAsia="zh-CN"/>
        </w:rPr>
        <w:t>13</w:t>
      </w:r>
      <w:r>
        <w:rPr>
          <w:rFonts w:hint="eastAsia" w:ascii="仿宋_GB2312" w:eastAsia="仿宋_GB2312"/>
          <w:color w:val="auto"/>
          <w:sz w:val="32"/>
          <w:szCs w:val="32"/>
          <w:highlight w:val="none"/>
        </w:rPr>
        <w:t>个，指标完成率为</w:t>
      </w:r>
      <w:r>
        <w:rPr>
          <w:rFonts w:ascii="仿宋_GB2312" w:eastAsia="仿宋_GB2312"/>
          <w:color w:val="auto"/>
          <w:sz w:val="32"/>
          <w:szCs w:val="32"/>
          <w:highlight w:val="none"/>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“保障办公人员数量”指标：预期指标值为“=</w:t>
      </w:r>
      <w:r>
        <w:rPr>
          <w:rFonts w:ascii="仿宋_GB2312" w:eastAsia="仿宋_GB2312"/>
          <w:color w:val="auto"/>
          <w:sz w:val="32"/>
          <w:szCs w:val="32"/>
          <w:highlight w:val="none"/>
        </w:rPr>
        <w:t>1</w:t>
      </w:r>
      <w:r>
        <w:rPr>
          <w:rFonts w:hint="eastAsia" w:ascii="仿宋_GB2312" w:eastAsia="仿宋_GB2312"/>
          <w:color w:val="auto"/>
          <w:sz w:val="32"/>
          <w:szCs w:val="32"/>
          <w:highlight w:val="none"/>
          <w:lang w:val="en-US" w:eastAsia="zh-CN"/>
        </w:rPr>
        <w:t>53人</w:t>
      </w:r>
      <w:r>
        <w:rPr>
          <w:rFonts w:hint="eastAsia" w:ascii="仿宋_GB2312" w:eastAsia="仿宋_GB2312"/>
          <w:color w:val="auto"/>
          <w:sz w:val="32"/>
          <w:szCs w:val="32"/>
          <w:highlight w:val="none"/>
        </w:rPr>
        <w:t>”，实际完成指标值为“</w:t>
      </w:r>
      <w:r>
        <w:rPr>
          <w:rFonts w:ascii="仿宋_GB2312" w:eastAsia="仿宋_GB2312"/>
          <w:color w:val="auto"/>
          <w:sz w:val="32"/>
          <w:szCs w:val="32"/>
          <w:highlight w:val="none"/>
        </w:rPr>
        <w:t>1</w:t>
      </w:r>
      <w:r>
        <w:rPr>
          <w:rFonts w:hint="eastAsia" w:ascii="仿宋_GB2312" w:eastAsia="仿宋_GB2312"/>
          <w:color w:val="auto"/>
          <w:sz w:val="32"/>
          <w:szCs w:val="32"/>
          <w:highlight w:val="none"/>
          <w:lang w:val="en-US" w:eastAsia="zh-CN"/>
        </w:rPr>
        <w:t>53人</w:t>
      </w:r>
      <w:r>
        <w:rPr>
          <w:rFonts w:hint="eastAsia" w:ascii="仿宋_GB2312" w:eastAsia="仿宋_GB2312"/>
          <w:color w:val="auto"/>
          <w:sz w:val="32"/>
          <w:szCs w:val="32"/>
          <w:highlight w:val="none"/>
        </w:rPr>
        <w:t>”，指标完成率为</w:t>
      </w:r>
      <w:r>
        <w:rPr>
          <w:rFonts w:ascii="仿宋_GB2312" w:eastAsia="仿宋_GB2312"/>
          <w:bCs/>
          <w:color w:val="auto"/>
          <w:spacing w:val="-4"/>
          <w:sz w:val="32"/>
          <w:szCs w:val="32"/>
          <w:highlight w:val="none"/>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“公务保障用车数量”指标：预期指标值为“=</w:t>
      </w:r>
      <w:r>
        <w:rPr>
          <w:rFonts w:hint="eastAsia" w:ascii="仿宋_GB2312" w:eastAsia="仿宋_GB2312"/>
          <w:color w:val="auto"/>
          <w:sz w:val="32"/>
          <w:szCs w:val="32"/>
          <w:highlight w:val="none"/>
          <w:lang w:val="en-US" w:eastAsia="zh-CN"/>
        </w:rPr>
        <w:t>7辆</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7辆</w:t>
      </w:r>
      <w:r>
        <w:rPr>
          <w:rFonts w:hint="eastAsia" w:ascii="仿宋_GB2312" w:eastAsia="仿宋_GB2312"/>
          <w:color w:val="auto"/>
          <w:sz w:val="32"/>
          <w:szCs w:val="32"/>
          <w:highlight w:val="none"/>
        </w:rPr>
        <w:t>”，指标完成率为</w:t>
      </w:r>
      <w:r>
        <w:rPr>
          <w:rFonts w:ascii="仿宋_GB2312" w:eastAsia="仿宋_GB2312"/>
          <w:bCs/>
          <w:color w:val="auto"/>
          <w:spacing w:val="-4"/>
          <w:sz w:val="32"/>
          <w:szCs w:val="32"/>
          <w:highlight w:val="none"/>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“行政执法制式服装采购人数”指标：预期指标值为“</w:t>
      </w:r>
      <w:r>
        <w:rPr>
          <w:rFonts w:hint="eastAsia" w:ascii="仿宋_GB2312" w:eastAsia="仿宋_GB2312"/>
          <w:color w:val="auto"/>
          <w:sz w:val="32"/>
          <w:szCs w:val="32"/>
          <w:highlight w:val="none"/>
          <w:lang w:val="en-US" w:eastAsia="zh-CN"/>
        </w:rPr>
        <w:t>=21人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21人</w:t>
      </w:r>
      <w:r>
        <w:rPr>
          <w:rFonts w:hint="eastAsia" w:ascii="仿宋_GB2312" w:eastAsia="仿宋_GB2312"/>
          <w:color w:val="auto"/>
          <w:sz w:val="32"/>
          <w:szCs w:val="32"/>
          <w:highlight w:val="none"/>
        </w:rPr>
        <w:t>”，指标完成率为100.0%;</w:t>
      </w:r>
    </w:p>
    <w:p>
      <w:pPr>
        <w:numPr>
          <w:ilvl w:val="0"/>
          <w:numId w:val="6"/>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“公用经费使用合规率”指标：预期指标值为“</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%”，实际完成指标值为“</w:t>
      </w:r>
      <w:r>
        <w:rPr>
          <w:rFonts w:ascii="仿宋_GB2312" w:eastAsia="仿宋_GB2312"/>
          <w:color w:val="auto"/>
          <w:sz w:val="32"/>
          <w:szCs w:val="32"/>
          <w:highlight w:val="none"/>
        </w:rPr>
        <w:t>100</w:t>
      </w:r>
      <w:r>
        <w:rPr>
          <w:rFonts w:hint="eastAsia" w:ascii="仿宋_GB2312" w:eastAsia="仿宋_GB2312"/>
          <w:color w:val="auto"/>
          <w:sz w:val="32"/>
          <w:szCs w:val="32"/>
          <w:highlight w:val="none"/>
        </w:rPr>
        <w:t>%”，指标完成率为</w:t>
      </w:r>
      <w:r>
        <w:rPr>
          <w:rFonts w:ascii="仿宋_GB2312" w:eastAsia="仿宋_GB2312"/>
          <w:bCs/>
          <w:color w:val="auto"/>
          <w:spacing w:val="-4"/>
          <w:sz w:val="32"/>
          <w:szCs w:val="32"/>
          <w:highlight w:val="none"/>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“商品服务类采购验收合格率”指标：预期指标值为“100%”，实际完成指标值为“100%”，指标完成率为100.0%;</w:t>
      </w:r>
    </w:p>
    <w:p>
      <w:pPr>
        <w:numPr>
          <w:ilvl w:val="0"/>
          <w:numId w:val="6"/>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“保障机构运转时间”指标：预期指标值为“</w:t>
      </w:r>
      <w:r>
        <w:rPr>
          <w:rFonts w:hint="eastAsia" w:ascii="仿宋_GB2312" w:eastAsia="仿宋_GB2312"/>
          <w:color w:val="auto"/>
          <w:sz w:val="32"/>
          <w:szCs w:val="32"/>
          <w:highlight w:val="none"/>
          <w:lang w:val="en-US" w:eastAsia="zh-CN"/>
        </w:rPr>
        <w:t>=1奶奶</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1年</w:t>
      </w:r>
      <w:r>
        <w:rPr>
          <w:rFonts w:hint="eastAsia" w:ascii="仿宋_GB2312" w:eastAsia="仿宋_GB2312"/>
          <w:color w:val="auto"/>
          <w:sz w:val="32"/>
          <w:szCs w:val="32"/>
          <w:highlight w:val="none"/>
        </w:rPr>
        <w:t>”，指标完成率为</w:t>
      </w:r>
      <w:r>
        <w:rPr>
          <w:rFonts w:ascii="仿宋_GB2312" w:eastAsia="仿宋_GB2312"/>
          <w:bCs/>
          <w:color w:val="auto"/>
          <w:spacing w:val="-4"/>
          <w:sz w:val="32"/>
          <w:szCs w:val="32"/>
          <w:highlight w:val="none"/>
        </w:rPr>
        <w:t>100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“公用经费支付及时率”指标：预期指标值为“100%”，实际完成指标值为“100%”，指标完成率为100.0%;</w:t>
      </w:r>
    </w:p>
    <w:p>
      <w:pPr>
        <w:numPr>
          <w:ilvl w:val="0"/>
          <w:numId w:val="6"/>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“人员经费支出”指标：预期指标值为“=933.06万元”，实际完成指标值为“933.06万元”，指标完成率为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“商品服务类采购经费”指标：预期指标值为“=62.51万元”，实际完成指标值为“33.09万元”，指标完成率为100.0%;</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“人均制式服装及标志采购成本”指标：预期指标值为“&lt;=2505.20元/人”，实际完成指标值为“2505.20元/人”，指标完成率为100.0%;</w:t>
      </w:r>
    </w:p>
    <w:p>
      <w:pPr>
        <w:pStyle w:val="2"/>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无此项指标</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“保障机构正常运转，完成相应职责”指标：预期指标值为“</w:t>
      </w:r>
      <w:r>
        <w:rPr>
          <w:rFonts w:hint="eastAsia" w:ascii="仿宋_GB2312" w:eastAsia="仿宋_GB2312"/>
          <w:color w:val="auto"/>
          <w:sz w:val="32"/>
          <w:szCs w:val="32"/>
          <w:highlight w:val="none"/>
          <w:lang w:val="en-US" w:eastAsia="zh-CN"/>
        </w:rPr>
        <w:t>有效保障</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有效保障</w:t>
      </w:r>
      <w:r>
        <w:rPr>
          <w:rFonts w:hint="eastAsia" w:ascii="仿宋_GB2312" w:eastAsia="仿宋_GB2312"/>
          <w:color w:val="auto"/>
          <w:sz w:val="32"/>
          <w:szCs w:val="32"/>
          <w:highlight w:val="none"/>
        </w:rPr>
        <w:t>”，指标完成率为</w:t>
      </w:r>
      <w:r>
        <w:rPr>
          <w:rFonts w:ascii="仿宋_GB2312" w:eastAsia="仿宋_GB2312"/>
          <w:bCs/>
          <w:color w:val="auto"/>
          <w:spacing w:val="-4"/>
          <w:sz w:val="32"/>
          <w:szCs w:val="32"/>
          <w:highlight w:val="none"/>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无此项指标</w:t>
      </w:r>
      <w:r>
        <w:rPr>
          <w:rFonts w:hint="eastAsia" w:ascii="仿宋_GB2312" w:eastAsia="仿宋_GB2312"/>
          <w:color w:val="auto"/>
          <w:sz w:val="32"/>
          <w:szCs w:val="32"/>
          <w:highlight w:val="none"/>
          <w:lang w:eastAsia="zh-CN"/>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“持续提高履职尽责能力”指标：预期指标值为“</w:t>
      </w:r>
      <w:r>
        <w:rPr>
          <w:rFonts w:hint="eastAsia" w:ascii="仿宋_GB2312" w:eastAsia="仿宋_GB2312"/>
          <w:color w:val="auto"/>
          <w:sz w:val="32"/>
          <w:szCs w:val="32"/>
          <w:highlight w:val="none"/>
          <w:lang w:val="en-US" w:eastAsia="zh-CN"/>
        </w:rPr>
        <w:t>持续提高</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持续提高</w:t>
      </w:r>
      <w:r>
        <w:rPr>
          <w:rFonts w:hint="eastAsia" w:ascii="仿宋_GB2312" w:eastAsia="仿宋_GB2312"/>
          <w:color w:val="auto"/>
          <w:sz w:val="32"/>
          <w:szCs w:val="32"/>
          <w:highlight w:val="none"/>
        </w:rPr>
        <w:t>”，指标完成率为100.0%;</w:t>
      </w:r>
    </w:p>
    <w:p>
      <w:pPr>
        <w:pStyle w:val="2"/>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“职工满意度”指标：预期指标值为“≥9</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%”，实际完成指标值为“</w:t>
      </w:r>
      <w:r>
        <w:rPr>
          <w:rFonts w:ascii="仿宋_GB2312" w:eastAsia="仿宋_GB2312"/>
          <w:color w:val="auto"/>
          <w:sz w:val="32"/>
          <w:szCs w:val="32"/>
          <w:highlight w:val="none"/>
        </w:rPr>
        <w:t>9</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%”，指标完成率为</w:t>
      </w:r>
      <w:r>
        <w:rPr>
          <w:rFonts w:ascii="仿宋_GB2312" w:eastAsia="仿宋_GB2312"/>
          <w:bCs/>
          <w:color w:val="auto"/>
          <w:spacing w:val="-4"/>
          <w:sz w:val="32"/>
          <w:szCs w:val="32"/>
          <w:highlight w:val="none"/>
        </w:rPr>
        <w:t>100.0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pPr>
        <w:adjustRightInd w:val="0"/>
        <w:snapToGrid w:val="0"/>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本单位整体支出绩效目标全部达成，不存在未完成原因分析。</w:t>
      </w:r>
    </w:p>
    <w:p>
      <w:pPr>
        <w:pStyle w:val="3"/>
        <w:ind w:firstLine="640"/>
        <w:rPr>
          <w:rFonts w:hint="eastAsia" w:ascii="黑体" w:hAnsi="黑体"/>
          <w:b w:val="0"/>
          <w:color w:val="auto"/>
          <w:sz w:val="32"/>
          <w:szCs w:val="32"/>
          <w:highlight w:val="none"/>
        </w:rPr>
      </w:pPr>
      <w:r>
        <w:rPr>
          <w:rFonts w:hint="eastAsia" w:ascii="黑体" w:hAnsi="黑体"/>
          <w:b w:val="0"/>
          <w:color w:val="auto"/>
          <w:sz w:val="32"/>
          <w:szCs w:val="32"/>
          <w:highlight w:val="none"/>
          <w:lang w:val="en-US" w:eastAsia="zh-CN"/>
        </w:rPr>
        <w:t>七、</w:t>
      </w:r>
      <w:r>
        <w:rPr>
          <w:rFonts w:hint="eastAsia" w:ascii="黑体" w:hAnsi="黑体"/>
          <w:b w:val="0"/>
          <w:color w:val="auto"/>
          <w:sz w:val="32"/>
          <w:szCs w:val="32"/>
          <w:highlight w:val="none"/>
        </w:rPr>
        <w:t>改进措施和建议</w:t>
      </w:r>
    </w:p>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绩效目标设置与实际工作还有差距；绩效目标设置不够细化；绩效目标与重点工作结合不够紧密.将绩效目标作为年度开展相关工作的前置条件，严格按照相应目标落实相关工作内容,严格制定工作实施方案，将绩效目标进一步细化分解，作为可量化衡量的依据；绩效目标设置应进一步加强重点工作的结合。</w:t>
      </w:r>
    </w:p>
    <w:p>
      <w:pPr>
        <w:ind w:left="920" w:firstLine="0" w:firstLineChars="0"/>
        <w:rPr>
          <w:rFonts w:ascii="黑体" w:hAnsi="黑体"/>
          <w:b/>
          <w:bCs/>
          <w:color w:val="auto"/>
          <w:sz w:val="32"/>
          <w:szCs w:val="32"/>
          <w:highlight w:val="none"/>
        </w:rPr>
      </w:pPr>
      <w:r>
        <w:rPr>
          <w:rFonts w:hint="eastAsia" w:ascii="黑体" w:hAnsi="黑体"/>
          <w:b/>
          <w:bCs/>
          <w:color w:val="auto"/>
          <w:sz w:val="32"/>
          <w:szCs w:val="32"/>
          <w:highlight w:val="none"/>
        </w:rPr>
        <w:t>八、附表</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7"/>
        <w:gridCol w:w="697"/>
        <w:gridCol w:w="697"/>
        <w:gridCol w:w="1284"/>
        <w:gridCol w:w="1305"/>
        <w:gridCol w:w="845"/>
        <w:gridCol w:w="697"/>
        <w:gridCol w:w="898"/>
        <w:gridCol w:w="704"/>
        <w:gridCol w:w="698"/>
      </w:tblGrid>
      <w:tr>
        <w:trPr>
          <w:trHeight w:val="800" w:hRule="atLeast"/>
        </w:trPr>
        <w:tc>
          <w:tcPr>
            <w:tcW w:w="5000" w:type="pct"/>
            <w:gridSpan w:val="10"/>
            <w:tcBorders>
              <w:top w:val="nil"/>
              <w:left w:val="nil"/>
              <w:bottom w:val="nil"/>
              <w:right w:val="nil"/>
            </w:tcBorders>
            <w:shd w:val="clear" w:color="auto" w:fill="auto"/>
            <w:vAlign w:val="center"/>
          </w:tcPr>
          <w:p>
            <w:pPr>
              <w:adjustRightInd w:val="0"/>
              <w:snapToGrid w:val="0"/>
              <w:ind w:firstLine="640"/>
              <w:jc w:val="center"/>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部门整体支出绩效目标自评表</w:t>
            </w:r>
          </w:p>
        </w:tc>
      </w:tr>
      <w:tr>
        <w:tblPrEx>
          <w:shd w:val="clear" w:color="auto" w:fill="auto"/>
        </w:tblPrEx>
        <w:trPr>
          <w:trHeight w:val="680" w:hRule="atLeast"/>
        </w:trPr>
        <w:tc>
          <w:tcPr>
            <w:tcW w:w="5000" w:type="pct"/>
            <w:gridSpan w:val="10"/>
            <w:tcBorders>
              <w:top w:val="nil"/>
              <w:left w:val="nil"/>
              <w:bottom w:val="single" w:color="000000" w:sz="4" w:space="0"/>
              <w:right w:val="nil"/>
            </w:tcBorders>
            <w:shd w:val="clear" w:color="auto" w:fill="auto"/>
            <w:vAlign w:val="center"/>
          </w:tcPr>
          <w:p>
            <w:pPr>
              <w:adjustRightInd w:val="0"/>
              <w:snapToGrid w:val="0"/>
              <w:ind w:firstLine="640"/>
              <w:jc w:val="center"/>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（2022年度）</w:t>
            </w:r>
          </w:p>
        </w:tc>
      </w:tr>
      <w:tr>
        <w:tblPrEx>
          <w:shd w:val="clear" w:color="auto" w:fill="auto"/>
        </w:tblPrEx>
        <w:trPr>
          <w:trHeight w:val="540" w:hRule="atLeast"/>
        </w:trPr>
        <w:tc>
          <w:tcPr>
            <w:tcW w:w="105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部门（单位）名称</w:t>
            </w:r>
          </w:p>
        </w:tc>
        <w:tc>
          <w:tcPr>
            <w:tcW w:w="3943"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昌吉市农业农村局</w:t>
            </w:r>
          </w:p>
        </w:tc>
      </w:tr>
      <w:tr>
        <w:tblPrEx>
          <w:shd w:val="clear" w:color="auto" w:fill="auto"/>
        </w:tblPrEx>
        <w:trPr>
          <w:trHeight w:val="560" w:hRule="atLeast"/>
        </w:trPr>
        <w:tc>
          <w:tcPr>
            <w:tcW w:w="3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年度主要任务</w:t>
            </w:r>
          </w:p>
        </w:tc>
        <w:tc>
          <w:tcPr>
            <w:tcW w:w="70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任务名称</w:t>
            </w:r>
          </w:p>
        </w:tc>
        <w:tc>
          <w:tcPr>
            <w:tcW w:w="6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主要内容</w:t>
            </w:r>
          </w:p>
        </w:tc>
        <w:tc>
          <w:tcPr>
            <w:tcW w:w="1698" w:type="pct"/>
            <w:gridSpan w:val="3"/>
            <w:tcBorders>
              <w:top w:val="single" w:color="000000" w:sz="4" w:space="0"/>
              <w:left w:val="nil"/>
              <w:bottom w:val="nil"/>
              <w:right w:val="nil"/>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预算金额（万元）</w:t>
            </w:r>
          </w:p>
        </w:tc>
        <w:tc>
          <w:tcPr>
            <w:tcW w:w="154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实际执行（万元）</w:t>
            </w:r>
          </w:p>
        </w:tc>
      </w:tr>
      <w:tr>
        <w:tblPrEx>
          <w:shd w:val="clear" w:color="auto" w:fill="auto"/>
        </w:tblPrEx>
        <w:trPr>
          <w:trHeight w:val="84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70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6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总额</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财政拨款</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、其他资金</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总额</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财政拨款</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其他资金</w:t>
            </w:r>
          </w:p>
        </w:tc>
      </w:tr>
      <w:tr>
        <w:tblPrEx>
          <w:shd w:val="clear" w:color="auto" w:fill="auto"/>
        </w:tblPrEx>
        <w:trPr>
          <w:trHeight w:val="84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7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保障机构正常运转</w:t>
            </w:r>
          </w:p>
        </w:tc>
        <w:tc>
          <w:tcPr>
            <w:tcW w:w="696" w:type="pct"/>
            <w:tcBorders>
              <w:top w:val="single" w:color="000000" w:sz="4" w:space="0"/>
              <w:left w:val="single" w:color="000000" w:sz="4" w:space="0"/>
              <w:bottom w:val="single" w:color="000000" w:sz="4" w:space="0"/>
              <w:right w:val="nil"/>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人员经费</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933.06 </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933.06 </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0.00 </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933.06 </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933.0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0.00 </w:t>
            </w:r>
          </w:p>
        </w:tc>
      </w:tr>
      <w:tr>
        <w:tblPrEx>
          <w:shd w:val="clear" w:color="auto" w:fill="auto"/>
        </w:tblPrEx>
        <w:trPr>
          <w:trHeight w:val="84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7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提升履职能力</w:t>
            </w:r>
          </w:p>
        </w:tc>
        <w:tc>
          <w:tcPr>
            <w:tcW w:w="696" w:type="pct"/>
            <w:vMerge w:val="restart"/>
            <w:tcBorders>
              <w:top w:val="single" w:color="000000" w:sz="4" w:space="0"/>
              <w:left w:val="single" w:color="000000" w:sz="4" w:space="0"/>
              <w:bottom w:val="single" w:color="000000" w:sz="4" w:space="0"/>
              <w:right w:val="nil"/>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商品服务类支出</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62.51 </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62.51 </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0.00 </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33.09 </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33.09 </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0.00 </w:t>
            </w:r>
          </w:p>
        </w:tc>
      </w:tr>
      <w:tr>
        <w:tblPrEx>
          <w:shd w:val="clear" w:color="auto" w:fill="auto"/>
        </w:tblPrEx>
        <w:trPr>
          <w:trHeight w:val="14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7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行政执法制式服装和标志采购</w:t>
            </w:r>
          </w:p>
        </w:tc>
        <w:tc>
          <w:tcPr>
            <w:tcW w:w="696" w:type="pct"/>
            <w:vMerge w:val="continue"/>
            <w:tcBorders>
              <w:top w:val="single" w:color="000000" w:sz="4" w:space="0"/>
              <w:left w:val="single" w:color="000000" w:sz="4" w:space="0"/>
              <w:bottom w:val="single" w:color="000000" w:sz="4" w:space="0"/>
              <w:right w:val="nil"/>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5.26 </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5.26 </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0.00 </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5.26 </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5.26 </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0.00 </w:t>
            </w:r>
          </w:p>
        </w:tc>
      </w:tr>
      <w:tr>
        <w:tblPrEx>
          <w:shd w:val="clear" w:color="auto" w:fill="auto"/>
        </w:tblPrEx>
        <w:trPr>
          <w:trHeight w:val="54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140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合计</w:t>
            </w:r>
          </w:p>
        </w:tc>
        <w:tc>
          <w:tcPr>
            <w:tcW w:w="7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1000.83</w:t>
            </w:r>
          </w:p>
        </w:tc>
        <w:tc>
          <w:tcPr>
            <w:tcW w:w="556"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1000.83 </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0.00 </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971.41 </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971.41 </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 xml:space="preserve">0.00 </w:t>
            </w:r>
          </w:p>
        </w:tc>
      </w:tr>
      <w:tr>
        <w:tblPrEx>
          <w:shd w:val="clear" w:color="auto" w:fill="auto"/>
        </w:tblPrEx>
        <w:trPr>
          <w:trHeight w:val="465" w:hRule="atLeast"/>
        </w:trPr>
        <w:tc>
          <w:tcPr>
            <w:tcW w:w="3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年度总体目标</w:t>
            </w:r>
          </w:p>
        </w:tc>
        <w:tc>
          <w:tcPr>
            <w:tcW w:w="210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预期目标</w:t>
            </w:r>
          </w:p>
        </w:tc>
        <w:tc>
          <w:tcPr>
            <w:tcW w:w="2539" w:type="pct"/>
            <w:gridSpan w:val="5"/>
            <w:tcBorders>
              <w:top w:val="single" w:color="000000" w:sz="4" w:space="0"/>
              <w:left w:val="nil"/>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实际完成目标</w:t>
            </w:r>
          </w:p>
        </w:tc>
      </w:tr>
      <w:tr>
        <w:tblPrEx>
          <w:shd w:val="clear" w:color="auto" w:fill="auto"/>
        </w:tblPrEx>
        <w:trPr>
          <w:trHeight w:val="226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210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昌吉市农业农村局是昌吉市人民政府主管全市教育事业的工作部门，2022年度预算995.57万元，经费主要支出方向为保障153名办公人员经费支出，公务保障用车7辆，以此确保机构正常运转，其次为商品服务类采购，以提升昌吉市农村农村局履职能力。</w:t>
            </w:r>
          </w:p>
        </w:tc>
        <w:tc>
          <w:tcPr>
            <w:tcW w:w="2539" w:type="pct"/>
            <w:gridSpan w:val="5"/>
            <w:tcBorders>
              <w:top w:val="single" w:color="000000" w:sz="4" w:space="0"/>
              <w:left w:val="nil"/>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2022年我单位实际支出971.41万元，人员经费933.06万元，公用经费33.09万元，购买行政执法制式服装5.26万元，保障153名办公人员经费支出，公务保障用车7辆，以此确保机构正常运转，提升了昌吉市农村农村局履职能力。</w:t>
            </w:r>
          </w:p>
        </w:tc>
      </w:tr>
      <w:tr>
        <w:tblPrEx>
          <w:shd w:val="clear" w:color="auto" w:fill="auto"/>
        </w:tblPrEx>
        <w:trPr>
          <w:trHeight w:val="780" w:hRule="atLeast"/>
        </w:trPr>
        <w:tc>
          <w:tcPr>
            <w:tcW w:w="3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年度绩效指标完成情况</w:t>
            </w: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一级指标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二级指标</w:t>
            </w: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三级指标</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绩效目标值</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实际完成值</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指标分值</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得分</w:t>
            </w: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项目完成</w:t>
            </w:r>
          </w:p>
        </w:tc>
        <w:tc>
          <w:tcPr>
            <w:tcW w:w="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数量指标</w:t>
            </w: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保障办公人员数量</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=153.00人</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=153.00人</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公务保障用车数量</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=7.00辆</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=7.00辆</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行政执法制式服装采购人数</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=21.00人</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=21.00人</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质量指标</w:t>
            </w: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公用经费使用合规率</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=100.00%</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=100.00%</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商品服务类采购验收合格率</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=100.00%</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=100.00%</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时效指标</w:t>
            </w: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保障机构运转时间</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=1.00年</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=1.00年</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公用经费支付及时率</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=100.00%</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=100.00%</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3" w:type="pct"/>
            <w:vMerge w:val="restart"/>
            <w:tcBorders>
              <w:top w:val="nil"/>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成本指标</w:t>
            </w: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人员经费支出</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=933.06万元</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=933.06万元</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3" w:type="pct"/>
            <w:vMerge w:val="continue"/>
            <w:tcBorders>
              <w:top w:val="nil"/>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商品服务类采购经费</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=62.51万元</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=33.09万元</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3" w:type="pct"/>
            <w:vMerge w:val="continue"/>
            <w:tcBorders>
              <w:top w:val="nil"/>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人均制式服装及标志采购成本</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&lt;=2505.20元/人</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=2505.20元/人</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6</w:t>
            </w: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项目效益</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经济效益指标</w:t>
            </w: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社会效益指标</w:t>
            </w: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保障机构正常运转，完成相应职责</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有效保障</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有效保障</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15</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15</w:t>
            </w: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生态效益指标</w:t>
            </w: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可持续影响指标</w:t>
            </w: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持续提高履职尽责能力</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持续提高</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持续提高</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15</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15</w:t>
            </w:r>
          </w:p>
        </w:tc>
      </w:tr>
      <w:tr>
        <w:tblPrEx>
          <w:shd w:val="clear" w:color="auto" w:fill="auto"/>
        </w:tblPrEx>
        <w:trPr>
          <w:trHeight w:val="880" w:hRule="atLeast"/>
        </w:trPr>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p>
        </w:tc>
        <w:tc>
          <w:tcPr>
            <w:tcW w:w="352"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满意度指标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满意度指标</w:t>
            </w:r>
          </w:p>
        </w:tc>
        <w:tc>
          <w:tcPr>
            <w:tcW w:w="14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职工满意度</w:t>
            </w:r>
          </w:p>
        </w:tc>
        <w:tc>
          <w:tcPr>
            <w:tcW w:w="990"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&gt;=90.00%</w:t>
            </w:r>
          </w:p>
        </w:tc>
        <w:tc>
          <w:tcPr>
            <w:tcW w:w="59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left="0" w:leftChars="0" w:firstLine="0" w:firstLineChars="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=90.00%</w:t>
            </w:r>
          </w:p>
        </w:tc>
        <w:tc>
          <w:tcPr>
            <w:tcW w:w="51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10</w:t>
            </w:r>
          </w:p>
        </w:tc>
        <w:tc>
          <w:tcPr>
            <w:tcW w:w="435"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10</w:t>
            </w:r>
          </w:p>
        </w:tc>
      </w:tr>
    </w:tbl>
    <w:p>
      <w:pPr>
        <w:adjustRightInd w:val="0"/>
        <w:snapToGrid w:val="0"/>
        <w:ind w:firstLine="640"/>
        <w:rPr>
          <w:rFonts w:hint="eastAsia" w:ascii="仿宋_GB2312" w:eastAsia="仿宋_GB2312"/>
          <w:color w:val="auto"/>
          <w:sz w:val="32"/>
          <w:szCs w:val="32"/>
          <w:highlight w:val="none"/>
          <w:lang w:eastAsia="zh-CN"/>
        </w:rPr>
      </w:pPr>
    </w:p>
    <w:p>
      <w:pPr>
        <w:adjustRightInd w:val="0"/>
        <w:snapToGrid w:val="0"/>
        <w:ind w:firstLine="640"/>
        <w:rPr>
          <w:rFonts w:hint="eastAsia" w:ascii="仿宋_GB2312" w:eastAsia="仿宋_GB2312"/>
          <w:color w:val="auto"/>
          <w:sz w:val="32"/>
          <w:szCs w:val="32"/>
          <w:highlight w:val="none"/>
          <w:lang w:eastAsia="zh-CN"/>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00000000" w:usb1="00000000" w:usb2="00000000" w:usb3="00000000" w:csb0="00160000" w:csb1="00000000"/>
  </w:font>
  <w:font w:name="仿宋_GB2312">
    <w:altName w:val="方正仿宋_GBK"/>
    <w:panose1 w:val="00000000000000000000"/>
    <w:charset w:val="86"/>
    <w:family w:val="modern"/>
    <w:pitch w:val="default"/>
    <w:sig w:usb0="00000000" w:usb1="00000000" w:usb2="0000001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方正小标宋_GBK">
    <w:altName w:val="汉仪书宋二KW"/>
    <w:panose1 w:val="00000000000000000000"/>
    <w:charset w:val="86"/>
    <w:family w:val="script"/>
    <w:pitch w:val="default"/>
    <w:sig w:usb0="00000000" w:usb1="00000000" w:usb2="00000000" w:usb3="00000000" w:csb0="00040000" w:csb1="00000000"/>
  </w:font>
  <w:font w:name="Malgun Gothic Semilight">
    <w:altName w:val="苹方-简"/>
    <w:panose1 w:val="020B0502040204020203"/>
    <w:charset w:val="86"/>
    <w:family w:val="swiss"/>
    <w:pitch w:val="default"/>
    <w:sig w:usb0="00000000" w:usb1="00000000" w:usb2="00000012" w:usb3="00000000" w:csb0="203E01BD" w:csb1="D7FF0000"/>
  </w:font>
  <w:font w:name="苹方-简">
    <w:panose1 w:val="020B0400000000000000"/>
    <w:charset w:val="86"/>
    <w:family w:val="auto"/>
    <w:pitch w:val="default"/>
    <w:sig w:usb0="00000000" w:usb1="00000000" w:usb2="00000000" w:usb3="00000000" w:csb0="00160000" w:csb1="00000000"/>
  </w:font>
  <w:font w:name="楷体_GB2312">
    <w:altName w:val="汉仪楷体简"/>
    <w:panose1 w:val="00000000000000000000"/>
    <w:charset w:val="86"/>
    <w:family w:val="modern"/>
    <w:pitch w:val="default"/>
    <w:sig w:usb0="00000000" w:usb1="00000000" w:usb2="00000000" w:usb3="00000000" w:csb0="00040000" w:csb1="00000000"/>
  </w:font>
  <w:font w:name="汉仪楷体简">
    <w:panose1 w:val="02010600000101010101"/>
    <w:charset w:val="86"/>
    <w:family w:val="auto"/>
    <w:pitch w:val="default"/>
    <w:sig w:usb0="00000000" w:usb1="00000000" w:usb2="00000000" w:usb3="00000000" w:csb0="00060000" w:csb1="00000000"/>
  </w:font>
  <w:font w:name="Cambria">
    <w:altName w:val="苹方-简"/>
    <w:panose1 w:val="02040503050406030204"/>
    <w:charset w:val="00"/>
    <w:family w:val="roman"/>
    <w:pitch w:val="default"/>
    <w:sig w:usb0="00000000" w:usb1="00000000" w:usb2="02000000" w:usb3="00000000" w:csb0="2000019F" w:csb1="00000000"/>
  </w:font>
  <w:font w:name="冬青黑体简体中文">
    <w:panose1 w:val="020B0300000000000000"/>
    <w:charset w:val="86"/>
    <w:family w:val="auto"/>
    <w:pitch w:val="default"/>
    <w:sig w:usb0="00000000" w:usb1="00000000" w:usb2="00000000" w:usb3="00000000" w:csb0="00160000" w:csb1="00000000"/>
  </w:font>
  <w:font w:name="宋体-简">
    <w:panose1 w:val="02010600040101010101"/>
    <w:charset w:val="86"/>
    <w:family w:val="auto"/>
    <w:pitch w:val="default"/>
    <w:sig w:usb0="00000000" w:usb1="00000000" w:usb2="00000000" w:usb3="00000000" w:csb0="00160000" w:csb1="00000000"/>
  </w:font>
  <w:font w:name="PingFang SC">
    <w:panose1 w:val="020B0400000000000000"/>
    <w:charset w:val="86"/>
    <w:family w:val="auto"/>
    <w:pitch w:val="default"/>
    <w:sig w:usb0="00000000" w:usb1="00000000" w:usb2="00000000" w:usb3="00000000" w:csb0="00160000" w:csb1="00000000"/>
  </w:font>
  <w:font w:name="Tahoma">
    <w:panose1 w:val="020B06040305040402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B7AFB3F"/>
    <w:multiLevelType w:val="singleLevel"/>
    <w:tmpl w:val="FB7AFB3F"/>
    <w:lvl w:ilvl="0" w:tentative="0">
      <w:start w:val="2"/>
      <w:numFmt w:val="decimal"/>
      <w:suff w:val="nothing"/>
      <w:lvlText w:val="%1."/>
      <w:lvlJc w:val="left"/>
    </w:lvl>
  </w:abstractNum>
  <w:abstractNum w:abstractNumId="4">
    <w:nsid w:val="282FBCCD"/>
    <w:multiLevelType w:val="singleLevel"/>
    <w:tmpl w:val="282FBCCD"/>
    <w:lvl w:ilvl="0" w:tentative="0">
      <w:start w:val="3"/>
      <w:numFmt w:val="chineseCounting"/>
      <w:suff w:val="nothing"/>
      <w:lvlText w:val="（%1）"/>
      <w:lvlJc w:val="left"/>
      <w:rPr>
        <w:rFonts w:hint="eastAsia"/>
      </w:rPr>
    </w:lvl>
  </w:abstractNum>
  <w:abstractNum w:abstractNumId="5">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2N2ZmNWQ0MDcyNWZkNmQ1YjZhNzhjMmNmMzkxZjgifQ=="/>
  </w:docVars>
  <w:rsids>
    <w:rsidRoot w:val="005736CA"/>
    <w:rsid w:val="00012408"/>
    <w:rsid w:val="000127F0"/>
    <w:rsid w:val="00012F5F"/>
    <w:rsid w:val="00041FBF"/>
    <w:rsid w:val="00052FCA"/>
    <w:rsid w:val="0008605C"/>
    <w:rsid w:val="000A02E8"/>
    <w:rsid w:val="000A70A2"/>
    <w:rsid w:val="0011143C"/>
    <w:rsid w:val="00171BA6"/>
    <w:rsid w:val="001C1C71"/>
    <w:rsid w:val="00201A4A"/>
    <w:rsid w:val="002153DD"/>
    <w:rsid w:val="00217B75"/>
    <w:rsid w:val="0022062A"/>
    <w:rsid w:val="0023491A"/>
    <w:rsid w:val="002640E4"/>
    <w:rsid w:val="00266868"/>
    <w:rsid w:val="0028255C"/>
    <w:rsid w:val="002A136F"/>
    <w:rsid w:val="002C1BE9"/>
    <w:rsid w:val="002D54F6"/>
    <w:rsid w:val="002E1825"/>
    <w:rsid w:val="00344A33"/>
    <w:rsid w:val="003B0053"/>
    <w:rsid w:val="003B184C"/>
    <w:rsid w:val="003C2D99"/>
    <w:rsid w:val="003F473D"/>
    <w:rsid w:val="00401A36"/>
    <w:rsid w:val="004247D0"/>
    <w:rsid w:val="00455E2F"/>
    <w:rsid w:val="00485980"/>
    <w:rsid w:val="004C45FD"/>
    <w:rsid w:val="004D4927"/>
    <w:rsid w:val="004E4CA7"/>
    <w:rsid w:val="005126A2"/>
    <w:rsid w:val="00540902"/>
    <w:rsid w:val="005446D7"/>
    <w:rsid w:val="00560707"/>
    <w:rsid w:val="005736CA"/>
    <w:rsid w:val="00582476"/>
    <w:rsid w:val="0059265F"/>
    <w:rsid w:val="005A124E"/>
    <w:rsid w:val="005D3F17"/>
    <w:rsid w:val="005E5D6E"/>
    <w:rsid w:val="005F0D16"/>
    <w:rsid w:val="005F7A93"/>
    <w:rsid w:val="00601640"/>
    <w:rsid w:val="00611EA8"/>
    <w:rsid w:val="00617C63"/>
    <w:rsid w:val="006214C6"/>
    <w:rsid w:val="00645528"/>
    <w:rsid w:val="00650931"/>
    <w:rsid w:val="006B6538"/>
    <w:rsid w:val="006C55F2"/>
    <w:rsid w:val="006C58C8"/>
    <w:rsid w:val="006D5F01"/>
    <w:rsid w:val="006E4927"/>
    <w:rsid w:val="00706FD7"/>
    <w:rsid w:val="00722410"/>
    <w:rsid w:val="007651B8"/>
    <w:rsid w:val="007714A6"/>
    <w:rsid w:val="0077571A"/>
    <w:rsid w:val="007903C5"/>
    <w:rsid w:val="007A1B0F"/>
    <w:rsid w:val="007B6305"/>
    <w:rsid w:val="007C312E"/>
    <w:rsid w:val="007C7CB8"/>
    <w:rsid w:val="007E5653"/>
    <w:rsid w:val="00846D0E"/>
    <w:rsid w:val="0088338B"/>
    <w:rsid w:val="008A09A7"/>
    <w:rsid w:val="008A1C5E"/>
    <w:rsid w:val="008D5E7B"/>
    <w:rsid w:val="00901238"/>
    <w:rsid w:val="00906048"/>
    <w:rsid w:val="00906083"/>
    <w:rsid w:val="0090615A"/>
    <w:rsid w:val="0090625D"/>
    <w:rsid w:val="009164D6"/>
    <w:rsid w:val="0092491C"/>
    <w:rsid w:val="00931A42"/>
    <w:rsid w:val="0093493D"/>
    <w:rsid w:val="009443DA"/>
    <w:rsid w:val="009540D4"/>
    <w:rsid w:val="00961F8B"/>
    <w:rsid w:val="00980D3D"/>
    <w:rsid w:val="009A0236"/>
    <w:rsid w:val="009D6347"/>
    <w:rsid w:val="009D748D"/>
    <w:rsid w:val="009E3226"/>
    <w:rsid w:val="009E4FE0"/>
    <w:rsid w:val="009E68A2"/>
    <w:rsid w:val="00A20096"/>
    <w:rsid w:val="00A7110C"/>
    <w:rsid w:val="00A720BD"/>
    <w:rsid w:val="00A85EC6"/>
    <w:rsid w:val="00A87301"/>
    <w:rsid w:val="00A95478"/>
    <w:rsid w:val="00AB565C"/>
    <w:rsid w:val="00AE0359"/>
    <w:rsid w:val="00B00384"/>
    <w:rsid w:val="00B27242"/>
    <w:rsid w:val="00B40102"/>
    <w:rsid w:val="00B67356"/>
    <w:rsid w:val="00B75B22"/>
    <w:rsid w:val="00B7680F"/>
    <w:rsid w:val="00B805C2"/>
    <w:rsid w:val="00B80F1B"/>
    <w:rsid w:val="00B8452D"/>
    <w:rsid w:val="00BC7E1D"/>
    <w:rsid w:val="00BD21AA"/>
    <w:rsid w:val="00C069F3"/>
    <w:rsid w:val="00C11C70"/>
    <w:rsid w:val="00C13F0F"/>
    <w:rsid w:val="00C16518"/>
    <w:rsid w:val="00C5695F"/>
    <w:rsid w:val="00CA0283"/>
    <w:rsid w:val="00CA660D"/>
    <w:rsid w:val="00CA6AC3"/>
    <w:rsid w:val="00CB1FC9"/>
    <w:rsid w:val="00CC7920"/>
    <w:rsid w:val="00CD147B"/>
    <w:rsid w:val="00D23582"/>
    <w:rsid w:val="00D24728"/>
    <w:rsid w:val="00D2747D"/>
    <w:rsid w:val="00D34689"/>
    <w:rsid w:val="00D34758"/>
    <w:rsid w:val="00D40734"/>
    <w:rsid w:val="00D4290B"/>
    <w:rsid w:val="00D81057"/>
    <w:rsid w:val="00D816FD"/>
    <w:rsid w:val="00D8792A"/>
    <w:rsid w:val="00DB3723"/>
    <w:rsid w:val="00DC7874"/>
    <w:rsid w:val="00DE64D1"/>
    <w:rsid w:val="00E122EB"/>
    <w:rsid w:val="00E42BF8"/>
    <w:rsid w:val="00E65EF1"/>
    <w:rsid w:val="00E76F6F"/>
    <w:rsid w:val="00EA0F2D"/>
    <w:rsid w:val="00F959CE"/>
    <w:rsid w:val="012D3D63"/>
    <w:rsid w:val="01330A6C"/>
    <w:rsid w:val="01487A18"/>
    <w:rsid w:val="01720865"/>
    <w:rsid w:val="0189003F"/>
    <w:rsid w:val="01C42D66"/>
    <w:rsid w:val="02C15BF6"/>
    <w:rsid w:val="03673532"/>
    <w:rsid w:val="0379691F"/>
    <w:rsid w:val="03BE7262"/>
    <w:rsid w:val="03C918BF"/>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836570"/>
    <w:rsid w:val="09DA2AA5"/>
    <w:rsid w:val="0A570F00"/>
    <w:rsid w:val="0AD23979"/>
    <w:rsid w:val="0AE14729"/>
    <w:rsid w:val="0B4635B9"/>
    <w:rsid w:val="0B5A20E8"/>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BC4056"/>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9660A2"/>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076C5"/>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9D61D2"/>
    <w:rsid w:val="30A14448"/>
    <w:rsid w:val="31121DE6"/>
    <w:rsid w:val="31793EC1"/>
    <w:rsid w:val="31F242FB"/>
    <w:rsid w:val="31F82192"/>
    <w:rsid w:val="32025E0E"/>
    <w:rsid w:val="32031EA3"/>
    <w:rsid w:val="321C166B"/>
    <w:rsid w:val="32805979"/>
    <w:rsid w:val="32CA61C1"/>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E127F3"/>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5015B9"/>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003033"/>
    <w:rsid w:val="46751144"/>
    <w:rsid w:val="46D17A2C"/>
    <w:rsid w:val="470109B9"/>
    <w:rsid w:val="47067546"/>
    <w:rsid w:val="474801E9"/>
    <w:rsid w:val="477232C8"/>
    <w:rsid w:val="47774020"/>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5BB270"/>
    <w:rsid w:val="578A3F51"/>
    <w:rsid w:val="57CC6BA1"/>
    <w:rsid w:val="57CE3E29"/>
    <w:rsid w:val="581B6FA6"/>
    <w:rsid w:val="58F37117"/>
    <w:rsid w:val="59033B05"/>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2E2BFF"/>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C059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2E17DF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34"/>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 w:type="character" w:customStyle="1" w:styleId="21">
    <w:name w:val="NormalCharacter"/>
    <w:semiHidden/>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33</Pages>
  <Words>2419</Words>
  <Characters>13791</Characters>
  <Lines>114</Lines>
  <Paragraphs>32</Paragraphs>
  <TotalTime>4</TotalTime>
  <ScaleCrop>false</ScaleCrop>
  <LinksUpToDate>false</LinksUpToDate>
  <CharactersWithSpaces>16178</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黄大俊</cp:lastModifiedBy>
  <dcterms:modified xsi:type="dcterms:W3CDTF">2023-02-27T12:45:18Z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0C5886600E633C295E35FC63D4414758</vt:lpwstr>
  </property>
</Properties>
</file>