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540" w:lineRule="exact"/>
        <w:ind w:firstLine="96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eastAsia="zh-CN"/>
        </w:rPr>
        <w:t>昌吉市青少年宫（昌吉市美术馆）</w:t>
      </w:r>
      <w:r>
        <w:rPr>
          <w:rFonts w:hint="eastAsia" w:ascii="方正小标宋_GBK" w:hAnsi="华文中宋" w:eastAsia="方正小标宋_GBK" w:cs="宋体"/>
          <w:kern w:val="0"/>
          <w:sz w:val="48"/>
          <w:szCs w:val="48"/>
        </w:rPr>
        <w:t>部门单位整体支出绩效自评报告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（2022年度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4677" w:leftChars="256" w:hanging="3960" w:hangingChars="1100"/>
        <w:rPr>
          <w:rFonts w:hint="eastAsia" w:ascii="黑体" w:hAnsi="黑体" w:eastAsia="黑体" w:cs="黑体"/>
          <w:bCs/>
          <w:sz w:val="36"/>
          <w:szCs w:val="36"/>
          <w:lang w:eastAsia="zh-CN"/>
        </w:rPr>
      </w:pPr>
      <w:r>
        <w:rPr>
          <w:rFonts w:hint="eastAsia" w:ascii="黑体" w:hAnsi="黑体" w:eastAsia="黑体" w:cs="黑体"/>
          <w:bCs/>
          <w:sz w:val="36"/>
          <w:szCs w:val="36"/>
          <w:lang w:eastAsia="zh-CN"/>
        </w:rPr>
        <w:t>部门单位名称（公章）：昌吉市青少年宫（昌吉市美术馆）</w:t>
      </w:r>
    </w:p>
    <w:p>
      <w:pPr>
        <w:spacing w:line="600" w:lineRule="exact"/>
        <w:ind w:firstLine="720"/>
        <w:rPr>
          <w:rFonts w:hint="eastAsia" w:ascii="黑体" w:hAnsi="黑体" w:eastAsia="黑体" w:cs="黑体"/>
          <w:bCs/>
          <w:sz w:val="36"/>
          <w:szCs w:val="36"/>
        </w:rPr>
      </w:pPr>
      <w:r>
        <w:rPr>
          <w:rFonts w:hint="eastAsia" w:ascii="黑体" w:hAnsi="黑体" w:eastAsia="黑体" w:cs="黑体"/>
          <w:bCs/>
          <w:sz w:val="36"/>
          <w:szCs w:val="36"/>
        </w:rPr>
        <w:t>填报时间： 202</w:t>
      </w:r>
      <w:r>
        <w:rPr>
          <w:rFonts w:hint="eastAsia" w:ascii="黑体" w:hAnsi="黑体" w:eastAsia="黑体" w:cs="黑体"/>
          <w:bCs/>
          <w:sz w:val="36"/>
          <w:szCs w:val="36"/>
          <w:lang w:val="en-US" w:eastAsia="zh-CN"/>
        </w:rPr>
        <w:t>3</w:t>
      </w:r>
      <w:r>
        <w:rPr>
          <w:rFonts w:hint="eastAsia" w:ascii="黑体" w:hAnsi="黑体" w:eastAsia="黑体" w:cs="黑体"/>
          <w:bCs/>
          <w:sz w:val="36"/>
          <w:szCs w:val="36"/>
        </w:rPr>
        <w:t xml:space="preserve"> 年  3月 4 日</w:t>
      </w:r>
    </w:p>
    <w:p>
      <w:pPr>
        <w:spacing w:line="600" w:lineRule="exact"/>
        <w:ind w:firstLine="720"/>
        <w:rPr>
          <w:rFonts w:hint="eastAsia" w:ascii="黑体" w:hAnsi="黑体" w:eastAsia="黑体" w:cs="黑体"/>
          <w:bCs/>
          <w:sz w:val="36"/>
          <w:szCs w:val="36"/>
        </w:rPr>
      </w:pPr>
    </w:p>
    <w:p>
      <w:pPr>
        <w:ind w:firstLine="560"/>
      </w:pPr>
    </w:p>
    <w:p>
      <w:pPr>
        <w:ind w:firstLine="560"/>
      </w:pPr>
      <w:r>
        <w:rPr>
          <w:rFonts w:hint="eastAsia"/>
        </w:rPr>
        <w:br w:type="page"/>
      </w:r>
    </w:p>
    <w:p>
      <w:pPr>
        <w:ind w:firstLine="640"/>
        <w:outlineLvl w:val="0"/>
        <w:rPr>
          <w:rFonts w:ascii="黑体" w:hAnsi="黑体" w:eastAsia="黑体" w:cs="黑体"/>
          <w:sz w:val="32"/>
          <w:szCs w:val="32"/>
        </w:rPr>
      </w:pPr>
      <w:r>
        <w:rPr>
          <w:rFonts w:hint="eastAsia" w:ascii="黑体" w:hAnsi="黑体" w:eastAsia="黑体" w:cs="黑体"/>
          <w:sz w:val="32"/>
          <w:szCs w:val="32"/>
        </w:rPr>
        <w:t>一、基本概况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（一）单位基本情况</w:t>
      </w:r>
    </w:p>
    <w:p>
      <w:pPr>
        <w:ind w:firstLine="643"/>
        <w:rPr>
          <w:rFonts w:ascii="仿宋_GB2312" w:eastAsia="仿宋_GB2312"/>
          <w:b/>
          <w:bCs/>
          <w:sz w:val="32"/>
          <w:szCs w:val="32"/>
        </w:rPr>
      </w:pPr>
      <w:r>
        <w:rPr>
          <w:rFonts w:hint="eastAsia" w:ascii="仿宋_GB2312" w:eastAsia="仿宋_GB2312"/>
          <w:b/>
          <w:bCs/>
          <w:sz w:val="32"/>
          <w:szCs w:val="32"/>
        </w:rPr>
        <w:t>1.机构设置及人员情况</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昌吉市青少年宫（昌吉市美术馆）无下属预算单位。</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昌吉市青少年宫（昌吉市美术馆）编制数7人 ，实有人数7人，其中：在职</w:t>
      </w: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 xml:space="preserve">人； 退休6人，离休0人。 </w:t>
      </w:r>
    </w:p>
    <w:p>
      <w:pPr>
        <w:ind w:firstLine="643"/>
        <w:rPr>
          <w:rFonts w:ascii="仿宋_GB2312" w:eastAsia="仿宋_GB2312"/>
          <w:b/>
          <w:bCs/>
          <w:sz w:val="32"/>
          <w:szCs w:val="32"/>
        </w:rPr>
      </w:pPr>
      <w:r>
        <w:rPr>
          <w:rFonts w:hint="eastAsia" w:ascii="仿宋_GB2312" w:eastAsia="仿宋_GB2312"/>
          <w:b/>
          <w:bCs/>
          <w:sz w:val="32"/>
          <w:szCs w:val="32"/>
        </w:rPr>
        <w:t>2.主要职能</w:t>
      </w:r>
    </w:p>
    <w:p>
      <w:pPr>
        <w:widowControl/>
        <w:spacing w:line="580" w:lineRule="exact"/>
        <w:ind w:firstLine="640"/>
        <w:jc w:val="left"/>
        <w:rPr>
          <w:rFonts w:hint="eastAsia" w:ascii="仿宋_GB2312" w:hAnsi="宋体" w:eastAsia="仿宋_GB2312" w:cs="宋体"/>
          <w:kern w:val="0"/>
          <w:sz w:val="32"/>
          <w:szCs w:val="32"/>
          <w:lang w:eastAsia="zh-CN"/>
        </w:rPr>
      </w:pPr>
      <w:r>
        <w:rPr>
          <w:rFonts w:hint="eastAsia" w:ascii="仿宋_GB2312" w:hAnsi="宋体" w:eastAsia="仿宋_GB2312" w:cs="宋体"/>
          <w:kern w:val="0"/>
          <w:sz w:val="32"/>
          <w:szCs w:val="32"/>
        </w:rPr>
        <w:t>根据机构改革三定方案，本单位承担的职能共4项，具体是：</w:t>
      </w:r>
      <w:r>
        <w:rPr>
          <w:rFonts w:hint="eastAsia" w:ascii="仿宋_GB2312" w:hAnsi="宋体" w:eastAsia="仿宋_GB2312" w:cs="宋体"/>
          <w:kern w:val="0"/>
          <w:sz w:val="32"/>
          <w:szCs w:val="32"/>
        </w:rPr>
        <w:br w:type="textWrapping"/>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 1、负责青少年艺术特长、促进青少年全面发展；</w:t>
      </w:r>
      <w:r>
        <w:rPr>
          <w:rFonts w:hint="eastAsia" w:ascii="仿宋_GB2312" w:hAnsi="宋体" w:eastAsia="仿宋_GB2312" w:cs="宋体"/>
          <w:kern w:val="0"/>
          <w:sz w:val="32"/>
          <w:szCs w:val="32"/>
        </w:rPr>
        <w:br w:type="textWrapping"/>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 2、组织开展青少年对外文化交流活动；</w:t>
      </w:r>
      <w:r>
        <w:rPr>
          <w:rFonts w:hint="eastAsia" w:ascii="仿宋_GB2312" w:hAnsi="宋体" w:eastAsia="仿宋_GB2312" w:cs="宋体"/>
          <w:kern w:val="0"/>
          <w:sz w:val="32"/>
          <w:szCs w:val="32"/>
        </w:rPr>
        <w:br w:type="textWrapping"/>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 3、完成上级部门交办的其他任务。</w:t>
      </w:r>
      <w:r>
        <w:rPr>
          <w:rFonts w:hint="eastAsia" w:ascii="仿宋_GB2312" w:hAnsi="宋体" w:eastAsia="仿宋_GB2312" w:cs="宋体"/>
          <w:kern w:val="0"/>
          <w:sz w:val="32"/>
          <w:szCs w:val="32"/>
        </w:rPr>
        <w:br w:type="textWrapping"/>
      </w:r>
      <w:r>
        <w:rPr>
          <w:rFonts w:hint="eastAsia" w:ascii="仿宋_GB2312" w:hAnsi="宋体" w:eastAsia="仿宋_GB2312" w:cs="宋体"/>
          <w:kern w:val="0"/>
          <w:sz w:val="32"/>
          <w:szCs w:val="32"/>
        </w:rPr>
        <w:t xml:space="preserve">  </w:t>
      </w:r>
      <w:r>
        <w:rPr>
          <w:rFonts w:hint="eastAsia" w:ascii="仿宋_GB2312" w:hAnsi="宋体" w:eastAsia="仿宋_GB2312" w:cs="宋体"/>
          <w:kern w:val="0"/>
          <w:sz w:val="32"/>
          <w:szCs w:val="32"/>
          <w:lang w:val="en-US" w:eastAsia="zh-CN"/>
        </w:rPr>
        <w:t xml:space="preserve">  </w:t>
      </w:r>
      <w:r>
        <w:rPr>
          <w:rFonts w:hint="eastAsia" w:ascii="仿宋_GB2312" w:hAnsi="宋体" w:eastAsia="仿宋_GB2312" w:cs="宋体"/>
          <w:kern w:val="0"/>
          <w:sz w:val="32"/>
          <w:szCs w:val="32"/>
        </w:rPr>
        <w:t> 4、青少年短期艺术特长培训(相关社会服务)。</w:t>
      </w:r>
    </w:p>
    <w:p>
      <w:pPr>
        <w:ind w:firstLine="643"/>
        <w:rPr>
          <w:rFonts w:ascii="仿宋_GB2312" w:eastAsia="仿宋_GB2312"/>
          <w:b/>
          <w:bCs/>
          <w:sz w:val="32"/>
          <w:szCs w:val="32"/>
        </w:rPr>
      </w:pPr>
      <w:r>
        <w:rPr>
          <w:rFonts w:hint="eastAsia" w:ascii="仿宋_GB2312" w:eastAsia="仿宋_GB2312"/>
          <w:b/>
          <w:bCs/>
          <w:sz w:val="32"/>
          <w:szCs w:val="32"/>
        </w:rPr>
        <w:t>3.年度重点工作计划</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、负责青少年艺术特长、促进青少年全面发展；组织开展青少年对外文化交流活动；青少年短期艺术特长培训(相关社会服务)，使业务保障能力有效提升；</w:t>
      </w:r>
    </w:p>
    <w:p>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通过免费开放地方美术馆、公共图书馆、文化馆［站］，负责组织开展群众文化、文艺活动，为工人群众文化提供场所和服务，达成保障群众文化生活、为文艺活动和工人群众提供场所和服务的目的，提升群众满意度及幸福感。</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（二）单位决策机制</w:t>
      </w:r>
    </w:p>
    <w:p>
      <w:pPr>
        <w:adjustRightInd w:val="0"/>
        <w:snapToGrid w:val="0"/>
        <w:spacing w:line="50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我单位决策机制根据行政事业单位内部控制体系建设相关要求，逐步完善《昌吉市青少年宫财务报销管理制度》、《三重一大会议制度》。进一步加强对单位整体绩效的认识和重视，加强内部各科室之间的协作配合，尤其是负责项目实施的科室应当对项目实施制定详细的推进计划，确保项目按计划实施，提高资金使用效益。加强财务管理，严格财务审核，细化资金使用计划，并对整体支出进行跟踪监控。加强项目开展进度的跟踪，开展项目绩效评价，确保项目绩效目标的完成。完善各项制度的建设，根据各项制度进行单位事项决策。</w:t>
      </w:r>
    </w:p>
    <w:p>
      <w:pPr>
        <w:adjustRightInd w:val="0"/>
        <w:snapToGrid w:val="0"/>
        <w:spacing w:line="50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（三）单位资金分配情况</w:t>
      </w:r>
    </w:p>
    <w:p>
      <w:pPr>
        <w:adjustRightInd w:val="0"/>
        <w:snapToGrid w:val="0"/>
        <w:spacing w:line="50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1.分配依据及结果。基本支出根据单位人员编制、实有人数、资产情况等要素进行预算编制。预算批复后，严格按照财政部门批复的预算和绩效目标执行。</w:t>
      </w:r>
    </w:p>
    <w:p>
      <w:pPr>
        <w:adjustRightInd w:val="0"/>
        <w:snapToGrid w:val="0"/>
        <w:spacing w:line="50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2.重点支出保障情况。</w:t>
      </w:r>
    </w:p>
    <w:p>
      <w:pPr>
        <w:adjustRightInd w:val="0"/>
        <w:snapToGrid w:val="0"/>
        <w:spacing w:line="500" w:lineRule="exact"/>
        <w:ind w:firstLine="640"/>
        <w:jc w:val="left"/>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本年度本单位预算安排的重点项目 2 个，预算安排的重点项目支出金额为20万元，部门项目总支出金额为14.34 万元，则重点项目支出占项目总支出的比率为89.62%。</w:t>
      </w:r>
    </w:p>
    <w:p>
      <w:pPr>
        <w:adjustRightInd w:val="0"/>
        <w:snapToGrid w:val="0"/>
        <w:spacing w:line="50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（四）部门单位整体支出规模、使用方法和主要内容、涉及范围</w:t>
      </w:r>
    </w:p>
    <w:p>
      <w:pPr>
        <w:adjustRightInd w:val="0"/>
        <w:snapToGrid w:val="0"/>
        <w:spacing w:line="500" w:lineRule="exact"/>
        <w:ind w:firstLine="640"/>
        <w:jc w:val="left"/>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lang w:val="en-US" w:eastAsia="zh-CN"/>
        </w:rPr>
        <w:t>1.部门单位整体支出规模</w:t>
      </w:r>
    </w:p>
    <w:p>
      <w:pPr>
        <w:ind w:firstLine="640"/>
        <w:rPr>
          <w:rFonts w:hint="eastAsia" w:ascii="仿宋_GB2312" w:eastAsia="仿宋_GB2312"/>
          <w:color w:val="FF0000"/>
          <w:sz w:val="32"/>
          <w:szCs w:val="32"/>
        </w:rPr>
      </w:pPr>
      <w:r>
        <w:rPr>
          <w:rFonts w:hint="eastAsia" w:ascii="仿宋_GB2312" w:eastAsia="仿宋_GB2312"/>
          <w:color w:val="auto"/>
          <w:sz w:val="32"/>
          <w:szCs w:val="32"/>
          <w:lang w:val="en-US" w:eastAsia="zh-CN"/>
        </w:rPr>
        <w:t>2022年度，昌吉市青少年宫部门单位整体支出年初预算金额为110.6万元，支出金额为110.6 万元，执行率为100%，其中：政府</w:t>
      </w:r>
      <w:r>
        <w:rPr>
          <w:rFonts w:hint="eastAsia" w:ascii="仿宋_GB2312" w:eastAsia="仿宋_GB2312"/>
          <w:color w:val="auto"/>
          <w:sz w:val="32"/>
          <w:szCs w:val="32"/>
        </w:rPr>
        <w:t>采购年初预算金额为</w:t>
      </w:r>
      <w:r>
        <w:rPr>
          <w:rFonts w:hint="eastAsia" w:ascii="仿宋_GB2312" w:eastAsia="仿宋_GB2312"/>
          <w:color w:val="auto"/>
          <w:sz w:val="32"/>
          <w:szCs w:val="32"/>
          <w:lang w:val="en-US" w:eastAsia="zh-CN"/>
        </w:rPr>
        <w:t>3.60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3.60</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32.14</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29.06</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142.74</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142.74</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ind w:firstLine="643"/>
        <w:rPr>
          <w:rFonts w:hint="eastAsia" w:ascii="仿宋_GB2312" w:eastAsia="仿宋_GB2312"/>
          <w:b w:val="0"/>
          <w:bCs w:val="0"/>
          <w:sz w:val="32"/>
          <w:szCs w:val="32"/>
        </w:rPr>
      </w:pPr>
      <w:r>
        <w:rPr>
          <w:rFonts w:hint="eastAsia" w:ascii="仿宋_GB2312" w:eastAsia="仿宋_GB2312"/>
          <w:b w:val="0"/>
          <w:bCs w:val="0"/>
          <w:sz w:val="32"/>
          <w:szCs w:val="32"/>
        </w:rPr>
        <w:t>2.部门单位整体支出自评使用方法、主要内容、涉及范围</w:t>
      </w:r>
    </w:p>
    <w:p>
      <w:pPr>
        <w:ind w:firstLine="643"/>
        <w:rPr>
          <w:rFonts w:hint="eastAsia" w:ascii="仿宋_GB2312" w:eastAsia="仿宋_GB2312"/>
          <w:b w:val="0"/>
          <w:bCs w:val="0"/>
          <w:sz w:val="32"/>
          <w:szCs w:val="32"/>
        </w:rPr>
      </w:pPr>
      <w:r>
        <w:rPr>
          <w:rFonts w:hint="eastAsia" w:ascii="仿宋_GB2312" w:eastAsia="仿宋_GB2312"/>
          <w:b w:val="0"/>
          <w:bCs w:val="0"/>
          <w:sz w:val="32"/>
          <w:szCs w:val="32"/>
        </w:rPr>
        <w:t>（1）自评使用方法</w:t>
      </w:r>
    </w:p>
    <w:p>
      <w:pPr>
        <w:ind w:firstLine="643"/>
        <w:rPr>
          <w:rFonts w:hint="eastAsia" w:ascii="仿宋_GB2312" w:eastAsia="仿宋_GB2312"/>
          <w:b w:val="0"/>
          <w:bCs w:val="0"/>
          <w:sz w:val="32"/>
          <w:szCs w:val="32"/>
        </w:rPr>
      </w:pPr>
      <w:r>
        <w:rPr>
          <w:rFonts w:hint="eastAsia" w:ascii="仿宋_GB2312" w:eastAsia="仿宋_GB2312"/>
          <w:b w:val="0"/>
          <w:bCs w:val="0"/>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ind w:firstLine="643"/>
        <w:rPr>
          <w:rFonts w:hint="eastAsia" w:ascii="仿宋_GB2312" w:eastAsia="仿宋_GB2312"/>
          <w:b w:val="0"/>
          <w:bCs w:val="0"/>
          <w:sz w:val="32"/>
          <w:szCs w:val="32"/>
        </w:rPr>
      </w:pPr>
      <w:r>
        <w:rPr>
          <w:rFonts w:hint="eastAsia" w:ascii="仿宋_GB2312" w:eastAsia="仿宋_GB2312"/>
          <w:b w:val="0"/>
          <w:bCs w:val="0"/>
          <w:sz w:val="32"/>
          <w:szCs w:val="32"/>
        </w:rPr>
        <w:t>（2）评价的主要内容和涉及范围</w:t>
      </w:r>
    </w:p>
    <w:p>
      <w:pPr>
        <w:ind w:firstLine="643"/>
        <w:rPr>
          <w:rFonts w:hint="eastAsia" w:ascii="仿宋_GB2312" w:eastAsia="仿宋_GB2312"/>
          <w:b w:val="0"/>
          <w:bCs w:val="0"/>
          <w:sz w:val="32"/>
          <w:szCs w:val="32"/>
        </w:rPr>
      </w:pPr>
      <w:r>
        <w:rPr>
          <w:rFonts w:hint="eastAsia" w:ascii="仿宋_GB2312" w:eastAsia="仿宋_GB2312"/>
          <w:b w:val="0"/>
          <w:bCs w:val="0"/>
          <w:sz w:val="32"/>
          <w:szCs w:val="32"/>
        </w:rPr>
        <w:t>此次我单位根据《预算法》、《财政支出绩效评价管理暂行办法》（财预〔2021〕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ind w:firstLine="640"/>
        <w:outlineLvl w:val="0"/>
        <w:rPr>
          <w:rFonts w:hint="eastAsia" w:ascii="黑体" w:hAnsi="黑体" w:eastAsia="黑体" w:cs="黑体"/>
          <w:sz w:val="32"/>
          <w:szCs w:val="32"/>
        </w:rPr>
      </w:pPr>
      <w:r>
        <w:rPr>
          <w:rFonts w:hint="eastAsia" w:ascii="黑体" w:hAnsi="黑体" w:eastAsia="黑体" w:cs="黑体"/>
          <w:sz w:val="32"/>
          <w:szCs w:val="32"/>
        </w:rPr>
        <w:t>二、部门单位整体支出管理及使用情况</w:t>
      </w:r>
    </w:p>
    <w:p>
      <w:pPr>
        <w:ind w:firstLine="643"/>
        <w:outlineLvl w:val="1"/>
        <w:rPr>
          <w:rFonts w:hint="eastAsia" w:ascii="楷体" w:hAnsi="楷体" w:eastAsia="楷体" w:cs="楷体"/>
          <w:b/>
          <w:bCs/>
          <w:sz w:val="32"/>
          <w:szCs w:val="32"/>
        </w:rPr>
      </w:pPr>
      <w:r>
        <w:rPr>
          <w:rFonts w:hint="eastAsia" w:ascii="楷体" w:hAnsi="楷体" w:eastAsia="楷体" w:cs="楷体"/>
          <w:b/>
          <w:bCs/>
          <w:sz w:val="32"/>
          <w:szCs w:val="32"/>
        </w:rPr>
        <w:t>（一）预算管理情况</w:t>
      </w:r>
    </w:p>
    <w:p>
      <w:pPr>
        <w:ind w:firstLine="640"/>
        <w:rPr>
          <w:rFonts w:hint="eastAsia" w:ascii="仿宋_GB2312" w:eastAsia="仿宋_GB2312"/>
          <w:sz w:val="32"/>
          <w:szCs w:val="32"/>
        </w:rPr>
      </w:pPr>
      <w:r>
        <w:rPr>
          <w:rFonts w:hint="eastAsia" w:ascii="仿宋_GB2312" w:eastAsia="仿宋_GB2312"/>
          <w:sz w:val="32"/>
          <w:szCs w:val="32"/>
        </w:rPr>
        <w:t>我单位为加强预算管理、规范财务行为、加强内部控制体系建设，制定了</w:t>
      </w:r>
      <w:r>
        <w:rPr>
          <w:rFonts w:hint="eastAsia" w:ascii="仿宋_GB2312" w:eastAsia="仿宋_GB2312"/>
          <w:sz w:val="32"/>
          <w:szCs w:val="32"/>
          <w:lang w:eastAsia="zh-CN"/>
        </w:rPr>
        <w:t>昌吉市青少年宫</w:t>
      </w:r>
      <w:r>
        <w:rPr>
          <w:rFonts w:hint="eastAsia" w:ascii="仿宋_GB2312" w:eastAsia="仿宋_GB2312"/>
          <w:sz w:val="32"/>
          <w:szCs w:val="32"/>
        </w:rPr>
        <w:t>内控管理制度和财务管理办法（制度），并严格按照此管理办法（制度）管理使用预算资金，严格按照政府信息公开有关规定及财政部门要求公开相关预决算信息。</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（二）基本支出预算安排及支出情况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hAnsi="宋体" w:eastAsia="仿宋_GB2312" w:cs="宋体"/>
          <w:color w:val="auto"/>
          <w:kern w:val="0"/>
          <w:sz w:val="32"/>
          <w:szCs w:val="32"/>
        </w:rPr>
      </w:pPr>
      <w:r>
        <w:rPr>
          <w:rFonts w:hint="eastAsia" w:ascii="仿宋_GB2312" w:eastAsia="仿宋_GB2312"/>
          <w:color w:val="auto"/>
          <w:sz w:val="32"/>
          <w:szCs w:val="32"/>
        </w:rPr>
        <w:t>2022年，</w:t>
      </w:r>
      <w:r>
        <w:rPr>
          <w:rFonts w:hint="eastAsia" w:ascii="仿宋_GB2312" w:eastAsia="仿宋_GB2312"/>
          <w:color w:val="auto"/>
          <w:sz w:val="32"/>
          <w:szCs w:val="32"/>
          <w:lang w:eastAsia="zh-CN"/>
        </w:rPr>
        <w:t>昌吉市青少年宫</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110.6</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110.6</w:t>
      </w:r>
      <w:r>
        <w:rPr>
          <w:rFonts w:hint="eastAsia" w:ascii="仿宋_GB2312" w:eastAsia="仿宋_GB2312"/>
          <w:color w:val="auto"/>
          <w:sz w:val="32"/>
          <w:szCs w:val="32"/>
        </w:rPr>
        <w:t>万元，执行率为100.0%，年中调整预算金额为</w:t>
      </w:r>
      <w:r>
        <w:rPr>
          <w:rFonts w:hint="eastAsia" w:ascii="仿宋_GB2312" w:eastAsia="仿宋_GB2312"/>
          <w:color w:val="auto"/>
          <w:sz w:val="32"/>
          <w:szCs w:val="32"/>
          <w:lang w:val="en-US" w:eastAsia="zh-CN"/>
        </w:rPr>
        <w:t>17.8</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128.40</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128.40</w:t>
      </w:r>
      <w:r>
        <w:rPr>
          <w:rFonts w:hint="eastAsia" w:ascii="仿宋_GB2312" w:eastAsia="仿宋_GB2312"/>
          <w:color w:val="auto"/>
          <w:sz w:val="32"/>
          <w:szCs w:val="32"/>
        </w:rPr>
        <w:t>万元，预算总执行率为100.0%，</w:t>
      </w:r>
      <w:r>
        <w:rPr>
          <w:rFonts w:hint="eastAsia" w:ascii="仿宋_GB2312" w:hAnsi="宋体" w:eastAsia="仿宋_GB2312" w:cs="宋体"/>
          <w:color w:val="auto"/>
          <w:kern w:val="0"/>
          <w:sz w:val="32"/>
          <w:szCs w:val="32"/>
        </w:rPr>
        <w:t>人员经费</w:t>
      </w:r>
      <w:r>
        <w:rPr>
          <w:rFonts w:hint="eastAsia" w:ascii="仿宋_GB2312" w:eastAsia="仿宋_GB2312"/>
          <w:color w:val="auto"/>
          <w:sz w:val="32"/>
          <w:szCs w:val="32"/>
          <w:lang w:val="en-US" w:eastAsia="zh-CN"/>
        </w:rPr>
        <w:t>123.61</w:t>
      </w:r>
      <w:r>
        <w:rPr>
          <w:rFonts w:hint="eastAsia" w:ascii="仿宋_GB2312" w:hAnsi="宋体" w:eastAsia="仿宋_GB2312" w:cs="宋体"/>
          <w:color w:val="auto"/>
          <w:kern w:val="0"/>
          <w:sz w:val="32"/>
          <w:szCs w:val="32"/>
        </w:rPr>
        <w:t>万元，公用经费</w:t>
      </w:r>
      <w:r>
        <w:rPr>
          <w:rFonts w:hint="eastAsia" w:ascii="仿宋_GB2312" w:hAnsi="宋体" w:eastAsia="仿宋_GB2312" w:cs="宋体"/>
          <w:color w:val="auto"/>
          <w:kern w:val="0"/>
          <w:sz w:val="32"/>
          <w:szCs w:val="32"/>
          <w:lang w:val="en-US" w:eastAsia="zh-CN"/>
        </w:rPr>
        <w:t>4.79</w:t>
      </w:r>
      <w:r>
        <w:rPr>
          <w:rFonts w:hint="eastAsia" w:ascii="仿宋_GB2312" w:hAnsi="宋体" w:eastAsia="仿宋_GB2312" w:cs="宋体"/>
          <w:color w:val="auto"/>
          <w:kern w:val="0"/>
          <w:sz w:val="32"/>
          <w:szCs w:val="32"/>
        </w:rPr>
        <w:t>万元</w:t>
      </w:r>
      <w:r>
        <w:rPr>
          <w:rFonts w:hint="eastAsia" w:ascii="仿宋_GB2312" w:eastAsia="仿宋_GB2312"/>
          <w:color w:val="auto"/>
          <w:sz w:val="32"/>
          <w:szCs w:val="32"/>
        </w:rPr>
        <w:t>。</w:t>
      </w:r>
    </w:p>
    <w:p>
      <w:pPr>
        <w:ind w:firstLine="643"/>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2.“三公”经费情况</w:t>
      </w:r>
    </w:p>
    <w:p>
      <w:pPr>
        <w:ind w:firstLine="640"/>
        <w:jc w:val="left"/>
        <w:rPr>
          <w:rFonts w:ascii="仿宋_GB2312" w:eastAsia="仿宋_GB2312" w:cs="宋体"/>
          <w:color w:val="auto"/>
          <w:sz w:val="32"/>
          <w:szCs w:val="32"/>
        </w:rPr>
      </w:pPr>
      <w:r>
        <w:rPr>
          <w:rFonts w:hint="eastAsia" w:ascii="仿宋_GB2312" w:eastAsia="仿宋_GB2312" w:cs="宋体"/>
          <w:sz w:val="32"/>
          <w:szCs w:val="32"/>
        </w:rPr>
        <w:t>我单位认真贯彻落实中央关于厉行节约的有关规</w:t>
      </w:r>
      <w:bookmarkStart w:id="0" w:name="_GoBack"/>
      <w:bookmarkEnd w:id="0"/>
      <w:r>
        <w:rPr>
          <w:rFonts w:hint="eastAsia" w:ascii="仿宋_GB2312" w:eastAsia="仿宋_GB2312" w:cs="宋体"/>
          <w:sz w:val="32"/>
          <w:szCs w:val="32"/>
        </w:rPr>
        <w:t>定，严格执行《党政机关厉行节约反对浪费条例》，</w:t>
      </w:r>
      <w:r>
        <w:rPr>
          <w:rFonts w:hint="eastAsia" w:ascii="仿宋_GB2312" w:eastAsia="仿宋_GB2312" w:cs="宋体"/>
          <w:color w:val="auto"/>
          <w:sz w:val="32"/>
          <w:szCs w:val="32"/>
        </w:rPr>
        <w:t>2022年“三公”经费预算数为2.4万元，其中：因公出国（境）费0.00万元，公务用车购置及运行费</w:t>
      </w:r>
      <w:r>
        <w:rPr>
          <w:rFonts w:hint="eastAsia" w:ascii="仿宋_GB2312" w:eastAsia="仿宋_GB2312" w:cs="宋体"/>
          <w:color w:val="auto"/>
          <w:sz w:val="32"/>
          <w:szCs w:val="32"/>
          <w:lang w:val="en-US" w:eastAsia="zh-CN"/>
        </w:rPr>
        <w:t>0.94</w:t>
      </w:r>
      <w:r>
        <w:rPr>
          <w:rFonts w:hint="eastAsia" w:ascii="仿宋_GB2312" w:eastAsia="仿宋_GB2312" w:cs="宋体"/>
          <w:color w:val="auto"/>
          <w:sz w:val="32"/>
          <w:szCs w:val="32"/>
        </w:rPr>
        <w:t>万元（其中公务用车购置为0.00万元），公务接待费0.00万元。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2022年，全年“三公”经费决算支出</w:t>
      </w:r>
      <w:r>
        <w:rPr>
          <w:rFonts w:hint="eastAsia" w:ascii="仿宋_GB2312" w:eastAsia="仿宋_GB2312" w:cs="宋体"/>
          <w:color w:val="auto"/>
          <w:sz w:val="32"/>
          <w:szCs w:val="32"/>
          <w:lang w:val="en-US" w:eastAsia="zh-CN"/>
        </w:rPr>
        <w:t>0.94</w:t>
      </w:r>
      <w:r>
        <w:rPr>
          <w:rFonts w:hint="eastAsia" w:ascii="仿宋_GB2312" w:eastAsia="仿宋_GB2312" w:cs="宋体"/>
          <w:color w:val="auto"/>
          <w:sz w:val="32"/>
          <w:szCs w:val="32"/>
        </w:rPr>
        <w:t>万元，其中：因公出国（境）费用0.00万元、公务用车购置及运行费</w:t>
      </w:r>
      <w:r>
        <w:rPr>
          <w:rFonts w:hint="eastAsia" w:ascii="仿宋_GB2312" w:eastAsia="仿宋_GB2312" w:cs="宋体"/>
          <w:color w:val="auto"/>
          <w:sz w:val="32"/>
          <w:szCs w:val="32"/>
          <w:lang w:val="en-US" w:eastAsia="zh-CN"/>
        </w:rPr>
        <w:t>0.94</w:t>
      </w:r>
      <w:r>
        <w:rPr>
          <w:rFonts w:hint="eastAsia" w:ascii="仿宋_GB2312" w:eastAsia="仿宋_GB2312" w:cs="宋体"/>
          <w:color w:val="auto"/>
          <w:sz w:val="32"/>
          <w:szCs w:val="32"/>
        </w:rPr>
        <w:t>万元（其中公务用车购置为0.00万元）、公务接待费0.00万元。较上年“三公”经费决算支出</w:t>
      </w:r>
      <w:r>
        <w:rPr>
          <w:rFonts w:hint="eastAsia" w:ascii="仿宋_GB2312" w:eastAsia="仿宋_GB2312" w:cs="宋体"/>
          <w:color w:val="auto"/>
          <w:sz w:val="32"/>
          <w:szCs w:val="32"/>
          <w:lang w:eastAsia="zh-CN"/>
        </w:rPr>
        <w:t>持平</w:t>
      </w:r>
      <w:r>
        <w:rPr>
          <w:rFonts w:hint="eastAsia" w:ascii="仿宋_GB2312" w:eastAsia="仿宋_GB2312" w:cs="宋体"/>
          <w:color w:val="auto"/>
          <w:sz w:val="32"/>
          <w:szCs w:val="32"/>
        </w:rPr>
        <w:t>，增加0.00万元，0.0%。</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（三）项目支出预算安排及支出情况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1.项目支出情况</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我单位项目支出预算总额为20万元，支出总额</w:t>
      </w:r>
      <w:r>
        <w:rPr>
          <w:rFonts w:hint="eastAsia" w:ascii="仿宋_GB2312" w:eastAsia="仿宋_GB2312"/>
          <w:color w:val="auto"/>
          <w:sz w:val="32"/>
          <w:szCs w:val="32"/>
          <w:highlight w:val="none"/>
          <w:lang w:val="en-US" w:eastAsia="zh-CN"/>
        </w:rPr>
        <w:t>14.34</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89.62</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2022年，</w:t>
      </w:r>
      <w:r>
        <w:rPr>
          <w:rFonts w:hint="eastAsia" w:ascii="仿宋_GB2312" w:eastAsia="仿宋_GB2312"/>
          <w:color w:val="auto"/>
          <w:sz w:val="32"/>
          <w:szCs w:val="32"/>
          <w:highlight w:val="none"/>
          <w:lang w:eastAsia="zh-CN"/>
        </w:rPr>
        <w:t>昌吉市青少年宫</w:t>
      </w:r>
      <w:r>
        <w:rPr>
          <w:rFonts w:hint="eastAsia" w:ascii="仿宋_GB2312" w:eastAsia="仿宋_GB2312"/>
          <w:color w:val="auto"/>
          <w:sz w:val="32"/>
          <w:szCs w:val="32"/>
          <w:highlight w:val="none"/>
        </w:rPr>
        <w:t xml:space="preserve">共有2个中央、自治区、地区、县本级财力安排项目，已完成项目数量2个，未完成项目数据0个。2022年度中央、自治区、地区、县本级财力安排项目预算及执行情况见下表： </w:t>
      </w:r>
    </w:p>
    <w:tbl>
      <w:tblPr>
        <w:tblStyle w:val="12"/>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20" w:type="dxa"/>
          </w:tcPr>
          <w:p>
            <w:pPr>
              <w:pStyle w:val="2"/>
              <w:ind w:firstLine="0" w:firstLineChars="0"/>
            </w:pPr>
            <w:r>
              <w:rPr>
                <w:rFonts w:hint="eastAsia"/>
              </w:rPr>
              <w:t>项目名称</w:t>
            </w:r>
          </w:p>
        </w:tc>
        <w:tc>
          <w:tcPr>
            <w:tcW w:w="1420" w:type="dxa"/>
          </w:tcPr>
          <w:p>
            <w:pPr>
              <w:pStyle w:val="2"/>
              <w:ind w:firstLine="0" w:firstLineChars="0"/>
            </w:pPr>
            <w:r>
              <w:rPr>
                <w:rFonts w:hint="eastAsia"/>
              </w:rPr>
              <w:t>预算金额</w:t>
            </w:r>
          </w:p>
        </w:tc>
        <w:tc>
          <w:tcPr>
            <w:tcW w:w="1420" w:type="dxa"/>
          </w:tcPr>
          <w:p>
            <w:pPr>
              <w:pStyle w:val="2"/>
              <w:ind w:firstLine="0" w:firstLineChars="0"/>
            </w:pPr>
            <w:r>
              <w:rPr>
                <w:rFonts w:hint="eastAsia"/>
              </w:rPr>
              <w:t>执行金额</w:t>
            </w:r>
          </w:p>
        </w:tc>
        <w:tc>
          <w:tcPr>
            <w:tcW w:w="1420" w:type="dxa"/>
          </w:tcPr>
          <w:p>
            <w:pPr>
              <w:pStyle w:val="2"/>
              <w:ind w:firstLine="0" w:firstLineChars="0"/>
            </w:pPr>
            <w:r>
              <w:rPr>
                <w:rFonts w:hint="eastAsia"/>
              </w:rPr>
              <w:t>执行率</w:t>
            </w:r>
          </w:p>
        </w:tc>
        <w:tc>
          <w:tcPr>
            <w:tcW w:w="1421" w:type="dxa"/>
          </w:tcPr>
          <w:p>
            <w:pPr>
              <w:pStyle w:val="2"/>
              <w:ind w:firstLine="0" w:firstLineChars="0"/>
            </w:pPr>
            <w:r>
              <w:rPr>
                <w:rFonts w:hint="eastAsia"/>
              </w:rPr>
              <w:t>项目是否完成</w:t>
            </w:r>
          </w:p>
        </w:tc>
        <w:tc>
          <w:tcPr>
            <w:tcW w:w="1421" w:type="dxa"/>
          </w:tcPr>
          <w:p>
            <w:pPr>
              <w:pStyle w:val="2"/>
              <w:ind w:firstLine="0" w:firstLineChars="0"/>
            </w:pPr>
            <w:r>
              <w:rPr>
                <w:rFonts w:hint="eastAsia"/>
              </w:rPr>
              <w:t>是否上级专项资金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20" w:type="dxa"/>
          </w:tcPr>
          <w:p>
            <w:pPr>
              <w:pStyle w:val="2"/>
              <w:spacing w:line="380" w:lineRule="exact"/>
              <w:ind w:firstLine="0" w:firstLineChars="0"/>
              <w:rPr>
                <w:sz w:val="21"/>
                <w:szCs w:val="21"/>
              </w:rPr>
            </w:pPr>
            <w:r>
              <w:rPr>
                <w:sz w:val="21"/>
                <w:szCs w:val="21"/>
              </w:rPr>
              <w:t>202</w:t>
            </w:r>
            <w:r>
              <w:rPr>
                <w:rFonts w:hint="eastAsia"/>
                <w:sz w:val="21"/>
                <w:szCs w:val="21"/>
              </w:rPr>
              <w:t>2</w:t>
            </w:r>
            <w:r>
              <w:rPr>
                <w:sz w:val="21"/>
                <w:szCs w:val="21"/>
              </w:rPr>
              <w:t>年中央补助地方美术馆、公共文化馆、文化馆（站）免费开放补助资金</w:t>
            </w:r>
          </w:p>
        </w:tc>
        <w:tc>
          <w:tcPr>
            <w:tcW w:w="1420" w:type="dxa"/>
          </w:tcPr>
          <w:p>
            <w:pPr>
              <w:pStyle w:val="2"/>
              <w:ind w:firstLine="0" w:firstLineChars="0"/>
            </w:pPr>
            <w:r>
              <w:rPr>
                <w:rFonts w:hint="eastAsia"/>
              </w:rPr>
              <w:t>16</w:t>
            </w:r>
          </w:p>
        </w:tc>
        <w:tc>
          <w:tcPr>
            <w:tcW w:w="1420" w:type="dxa"/>
          </w:tcPr>
          <w:p>
            <w:pPr>
              <w:pStyle w:val="2"/>
              <w:ind w:firstLine="0" w:firstLineChars="0"/>
              <w:rPr>
                <w:rFonts w:hint="default" w:eastAsia="仿宋_GB2312"/>
                <w:lang w:val="en-US" w:eastAsia="zh-CN"/>
              </w:rPr>
            </w:pPr>
            <w:r>
              <w:rPr>
                <w:rFonts w:hint="eastAsia"/>
              </w:rPr>
              <w:t>1</w:t>
            </w:r>
            <w:r>
              <w:rPr>
                <w:rFonts w:hint="eastAsia"/>
                <w:lang w:val="en-US" w:eastAsia="zh-CN"/>
              </w:rPr>
              <w:t>0.34</w:t>
            </w:r>
          </w:p>
        </w:tc>
        <w:tc>
          <w:tcPr>
            <w:tcW w:w="1420" w:type="dxa"/>
          </w:tcPr>
          <w:p>
            <w:pPr>
              <w:pStyle w:val="2"/>
              <w:ind w:firstLine="0" w:firstLineChars="0"/>
            </w:pPr>
            <w:r>
              <w:rPr>
                <w:rFonts w:hint="eastAsia"/>
                <w:lang w:val="en-US" w:eastAsia="zh-CN"/>
              </w:rPr>
              <w:t>64.63</w:t>
            </w:r>
            <w:r>
              <w:rPr>
                <w:rFonts w:hint="eastAsia"/>
              </w:rPr>
              <w:t>%</w:t>
            </w:r>
          </w:p>
        </w:tc>
        <w:tc>
          <w:tcPr>
            <w:tcW w:w="1421" w:type="dxa"/>
          </w:tcPr>
          <w:p>
            <w:pPr>
              <w:pStyle w:val="2"/>
              <w:ind w:firstLine="0" w:firstLineChars="0"/>
            </w:pPr>
            <w:r>
              <w:rPr>
                <w:rFonts w:hint="eastAsia"/>
              </w:rPr>
              <w:t>是</w:t>
            </w:r>
          </w:p>
        </w:tc>
        <w:tc>
          <w:tcPr>
            <w:tcW w:w="1421" w:type="dxa"/>
          </w:tcPr>
          <w:p>
            <w:pPr>
              <w:pStyle w:val="2"/>
              <w:ind w:firstLine="0" w:firstLineChars="0"/>
            </w:pPr>
            <w:r>
              <w:rPr>
                <w:rFonts w:hint="eastAsia"/>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20" w:type="dxa"/>
          </w:tcPr>
          <w:p>
            <w:pPr>
              <w:pStyle w:val="2"/>
              <w:spacing w:line="360" w:lineRule="exact"/>
              <w:ind w:firstLine="0" w:firstLineChars="0"/>
            </w:pPr>
            <w:r>
              <w:rPr>
                <w:rFonts w:hint="eastAsia"/>
                <w:sz w:val="21"/>
                <w:szCs w:val="21"/>
              </w:rPr>
              <w:t>自治区</w:t>
            </w:r>
            <w:r>
              <w:rPr>
                <w:sz w:val="21"/>
                <w:szCs w:val="21"/>
              </w:rPr>
              <w:t>2023年美术馆、公共图书馆、文化馆（站）免费开放补助资金</w:t>
            </w:r>
          </w:p>
        </w:tc>
        <w:tc>
          <w:tcPr>
            <w:tcW w:w="1420" w:type="dxa"/>
          </w:tcPr>
          <w:p>
            <w:pPr>
              <w:pStyle w:val="2"/>
              <w:ind w:firstLine="0" w:firstLineChars="0"/>
            </w:pPr>
            <w:r>
              <w:rPr>
                <w:rFonts w:hint="eastAsia"/>
              </w:rPr>
              <w:t>4</w:t>
            </w:r>
          </w:p>
        </w:tc>
        <w:tc>
          <w:tcPr>
            <w:tcW w:w="1420" w:type="dxa"/>
          </w:tcPr>
          <w:p>
            <w:pPr>
              <w:pStyle w:val="2"/>
              <w:ind w:firstLine="0" w:firstLineChars="0"/>
              <w:rPr>
                <w:rFonts w:hint="eastAsia" w:eastAsia="仿宋_GB2312"/>
                <w:lang w:eastAsia="zh-CN"/>
              </w:rPr>
            </w:pPr>
            <w:r>
              <w:rPr>
                <w:rFonts w:hint="eastAsia"/>
                <w:lang w:val="en-US" w:eastAsia="zh-CN"/>
              </w:rPr>
              <w:t>4</w:t>
            </w:r>
          </w:p>
        </w:tc>
        <w:tc>
          <w:tcPr>
            <w:tcW w:w="1420" w:type="dxa"/>
          </w:tcPr>
          <w:p>
            <w:pPr>
              <w:pStyle w:val="2"/>
              <w:ind w:firstLine="0" w:firstLineChars="0"/>
            </w:pPr>
            <w:r>
              <w:rPr>
                <w:rFonts w:hint="eastAsia"/>
                <w:lang w:val="en-US" w:eastAsia="zh-CN"/>
              </w:rPr>
              <w:t>100</w:t>
            </w:r>
            <w:r>
              <w:rPr>
                <w:rFonts w:hint="eastAsia"/>
              </w:rPr>
              <w:t>%</w:t>
            </w:r>
          </w:p>
        </w:tc>
        <w:tc>
          <w:tcPr>
            <w:tcW w:w="1421" w:type="dxa"/>
          </w:tcPr>
          <w:p>
            <w:pPr>
              <w:pStyle w:val="2"/>
              <w:ind w:firstLine="0" w:firstLineChars="0"/>
            </w:pPr>
            <w:r>
              <w:rPr>
                <w:rFonts w:hint="eastAsia"/>
              </w:rPr>
              <w:t>是</w:t>
            </w:r>
          </w:p>
        </w:tc>
        <w:tc>
          <w:tcPr>
            <w:tcW w:w="1421" w:type="dxa"/>
          </w:tcPr>
          <w:p>
            <w:pPr>
              <w:pStyle w:val="2"/>
              <w:ind w:firstLine="0" w:firstLineChars="0"/>
            </w:pPr>
            <w:r>
              <w:rPr>
                <w:rFonts w:hint="eastAsia"/>
              </w:rPr>
              <w:t>是</w:t>
            </w:r>
          </w:p>
        </w:tc>
      </w:tr>
    </w:tbl>
    <w:p>
      <w:pPr>
        <w:pStyle w:val="2"/>
        <w:ind w:firstLine="562"/>
      </w:pPr>
    </w:p>
    <w:p>
      <w:pPr>
        <w:ind w:firstLine="643"/>
        <w:rPr>
          <w:rFonts w:ascii="仿宋_GB2312" w:eastAsia="仿宋_GB2312"/>
          <w:b/>
          <w:bCs/>
          <w:sz w:val="32"/>
          <w:szCs w:val="32"/>
        </w:rPr>
      </w:pPr>
      <w:r>
        <w:rPr>
          <w:rFonts w:hint="eastAsia" w:ascii="仿宋_GB2312" w:eastAsia="仿宋_GB2312"/>
          <w:b/>
          <w:bCs/>
          <w:sz w:val="32"/>
          <w:szCs w:val="32"/>
        </w:rPr>
        <w:t>2.专项资金总投入及实际使用情况分析</w:t>
      </w:r>
    </w:p>
    <w:p>
      <w:pPr>
        <w:pStyle w:val="10"/>
        <w:widowControl/>
        <w:spacing w:before="40" w:beforeAutospacing="0" w:after="0" w:afterAutospacing="0"/>
        <w:ind w:firstLine="640"/>
        <w:jc w:val="both"/>
        <w:rPr>
          <w:rFonts w:ascii="仿宋_GB2312" w:eastAsia="仿宋_GB2312" w:cs="仿宋"/>
          <w:color w:val="auto"/>
          <w:sz w:val="32"/>
          <w:szCs w:val="32"/>
        </w:rPr>
      </w:pPr>
      <w:r>
        <w:rPr>
          <w:rFonts w:hint="eastAsia" w:ascii="仿宋_GB2312" w:eastAsia="仿宋_GB2312" w:cs="仿宋"/>
          <w:color w:val="auto"/>
          <w:sz w:val="32"/>
          <w:szCs w:val="32"/>
        </w:rPr>
        <w:t>2022年，预算安排专项资金20万元，实际使用</w:t>
      </w:r>
      <w:r>
        <w:rPr>
          <w:rFonts w:hint="eastAsia" w:ascii="仿宋_GB2312" w:eastAsia="仿宋_GB2312" w:cs="仿宋"/>
          <w:color w:val="auto"/>
          <w:sz w:val="32"/>
          <w:szCs w:val="32"/>
          <w:lang w:val="en-US" w:eastAsia="zh-CN"/>
        </w:rPr>
        <w:t>14.34</w:t>
      </w:r>
      <w:r>
        <w:rPr>
          <w:rFonts w:hint="eastAsia" w:ascii="仿宋_GB2312" w:eastAsia="仿宋_GB2312" w:cs="仿宋"/>
          <w:color w:val="auto"/>
          <w:sz w:val="32"/>
          <w:szCs w:val="32"/>
        </w:rPr>
        <w:t>万元,结转</w:t>
      </w:r>
      <w:r>
        <w:rPr>
          <w:rFonts w:hint="eastAsia" w:ascii="仿宋_GB2312" w:eastAsia="仿宋_GB2312" w:cs="仿宋"/>
          <w:color w:val="auto"/>
          <w:sz w:val="32"/>
          <w:szCs w:val="32"/>
          <w:lang w:val="en-US" w:eastAsia="zh-CN"/>
        </w:rPr>
        <w:t>5.66</w:t>
      </w:r>
      <w:r>
        <w:rPr>
          <w:rFonts w:hint="eastAsia" w:ascii="仿宋_GB2312" w:eastAsia="仿宋_GB2312" w:cs="仿宋"/>
          <w:color w:val="auto"/>
          <w:sz w:val="32"/>
          <w:szCs w:val="32"/>
        </w:rPr>
        <w:t>万元。</w:t>
      </w:r>
    </w:p>
    <w:p>
      <w:pPr>
        <w:ind w:firstLine="640"/>
        <w:outlineLvl w:val="0"/>
        <w:rPr>
          <w:rFonts w:hint="eastAsia" w:ascii="黑体" w:hAnsi="黑体" w:eastAsia="黑体" w:cs="黑体"/>
          <w:sz w:val="32"/>
          <w:szCs w:val="32"/>
        </w:rPr>
      </w:pPr>
      <w:r>
        <w:rPr>
          <w:rFonts w:hint="eastAsia" w:ascii="黑体" w:hAnsi="黑体" w:eastAsia="黑体" w:cs="黑体"/>
          <w:sz w:val="32"/>
          <w:szCs w:val="32"/>
        </w:rPr>
        <w:t>三、部门单位专项组织实施情况</w:t>
      </w:r>
    </w:p>
    <w:p>
      <w:pPr>
        <w:ind w:firstLine="643"/>
        <w:outlineLvl w:val="1"/>
        <w:rPr>
          <w:rFonts w:hint="eastAsia" w:ascii="楷体" w:hAnsi="楷体" w:eastAsia="楷体" w:cs="楷体"/>
          <w:b/>
          <w:bCs/>
          <w:sz w:val="32"/>
          <w:szCs w:val="32"/>
        </w:rPr>
      </w:pPr>
      <w:r>
        <w:rPr>
          <w:rFonts w:hint="eastAsia" w:ascii="楷体" w:hAnsi="楷体" w:eastAsia="楷体" w:cs="楷体"/>
          <w:b/>
          <w:bCs/>
          <w:sz w:val="32"/>
          <w:szCs w:val="32"/>
        </w:rPr>
        <w:t>（一）专项组织情况分析</w:t>
      </w:r>
    </w:p>
    <w:p>
      <w:pPr>
        <w:ind w:firstLine="643"/>
        <w:rPr>
          <w:rFonts w:hint="eastAsia" w:ascii="仿宋_GB2312" w:eastAsia="仿宋_GB2312"/>
          <w:b/>
          <w:bCs/>
          <w:sz w:val="32"/>
          <w:szCs w:val="32"/>
        </w:rPr>
      </w:pPr>
      <w:r>
        <w:rPr>
          <w:rFonts w:hint="eastAsia" w:ascii="仿宋_GB2312" w:eastAsia="仿宋_GB2312"/>
          <w:b/>
          <w:bCs/>
          <w:sz w:val="32"/>
          <w:szCs w:val="32"/>
        </w:rPr>
        <w:t>1.前期准备</w:t>
      </w:r>
    </w:p>
    <w:p>
      <w:pPr>
        <w:ind w:firstLine="640"/>
        <w:rPr>
          <w:rFonts w:hint="eastAsia" w:ascii="仿宋_GB2312" w:eastAsia="仿宋_GB2312"/>
          <w:sz w:val="32"/>
          <w:szCs w:val="32"/>
        </w:rPr>
      </w:pPr>
      <w:r>
        <w:rPr>
          <w:rFonts w:hint="eastAsia" w:ascii="仿宋_GB2312" w:eastAsia="仿宋_GB2312"/>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hint="eastAsia" w:ascii="仿宋_GB2312" w:eastAsia="仿宋_GB2312"/>
          <w:b/>
          <w:bCs/>
          <w:sz w:val="32"/>
          <w:szCs w:val="32"/>
        </w:rPr>
      </w:pPr>
      <w:r>
        <w:rPr>
          <w:rFonts w:hint="eastAsia" w:ascii="仿宋_GB2312" w:eastAsia="仿宋_GB2312"/>
          <w:b/>
          <w:bCs/>
          <w:sz w:val="32"/>
          <w:szCs w:val="32"/>
        </w:rPr>
        <w:t>2.组织实施</w:t>
      </w:r>
    </w:p>
    <w:p>
      <w:pPr>
        <w:ind w:firstLine="640"/>
        <w:rPr>
          <w:rFonts w:hint="eastAsia"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hint="eastAsia"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hint="eastAsia"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（二）专项管理情况分析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我单位项目支出预算总额为20万元，支出总额</w:t>
      </w:r>
      <w:r>
        <w:rPr>
          <w:rFonts w:hint="eastAsia" w:ascii="仿宋_GB2312" w:eastAsia="仿宋_GB2312"/>
          <w:color w:val="auto"/>
          <w:sz w:val="32"/>
          <w:szCs w:val="32"/>
          <w:highlight w:val="none"/>
          <w:lang w:val="en-US" w:eastAsia="zh-CN"/>
        </w:rPr>
        <w:t>14.34</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64.63</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2022年，</w:t>
      </w:r>
      <w:r>
        <w:rPr>
          <w:rFonts w:hint="eastAsia" w:ascii="仿宋_GB2312" w:eastAsia="仿宋_GB2312"/>
          <w:color w:val="auto"/>
          <w:sz w:val="32"/>
          <w:szCs w:val="32"/>
          <w:highlight w:val="none"/>
          <w:lang w:eastAsia="zh-CN"/>
        </w:rPr>
        <w:t>昌吉市青少年宫</w:t>
      </w:r>
      <w:r>
        <w:rPr>
          <w:rFonts w:hint="eastAsia" w:ascii="仿宋_GB2312" w:eastAsia="仿宋_GB2312"/>
          <w:color w:val="auto"/>
          <w:sz w:val="32"/>
          <w:szCs w:val="32"/>
          <w:highlight w:val="none"/>
        </w:rPr>
        <w:t xml:space="preserve">共有2个中央、自治区、地区、县本级财力安排项目，已完成项目数量2个，未完成项目数据0个。2022年度中央、自治区、地区、县本级财力安排项目预算及执行情况见下表： </w:t>
      </w:r>
    </w:p>
    <w:tbl>
      <w:tblPr>
        <w:tblStyle w:val="12"/>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20" w:type="dxa"/>
          </w:tcPr>
          <w:p>
            <w:pPr>
              <w:pStyle w:val="2"/>
              <w:ind w:firstLine="0" w:firstLineChars="0"/>
            </w:pPr>
            <w:r>
              <w:rPr>
                <w:rFonts w:hint="eastAsia"/>
              </w:rPr>
              <w:t>项目名称</w:t>
            </w:r>
          </w:p>
        </w:tc>
        <w:tc>
          <w:tcPr>
            <w:tcW w:w="1420" w:type="dxa"/>
          </w:tcPr>
          <w:p>
            <w:pPr>
              <w:pStyle w:val="2"/>
              <w:ind w:firstLine="0" w:firstLineChars="0"/>
            </w:pPr>
            <w:r>
              <w:rPr>
                <w:rFonts w:hint="eastAsia"/>
              </w:rPr>
              <w:t>预算金额</w:t>
            </w:r>
          </w:p>
        </w:tc>
        <w:tc>
          <w:tcPr>
            <w:tcW w:w="1420" w:type="dxa"/>
          </w:tcPr>
          <w:p>
            <w:pPr>
              <w:pStyle w:val="2"/>
              <w:ind w:firstLine="0" w:firstLineChars="0"/>
            </w:pPr>
            <w:r>
              <w:rPr>
                <w:rFonts w:hint="eastAsia"/>
              </w:rPr>
              <w:t>执行金额</w:t>
            </w:r>
          </w:p>
        </w:tc>
        <w:tc>
          <w:tcPr>
            <w:tcW w:w="1420" w:type="dxa"/>
          </w:tcPr>
          <w:p>
            <w:pPr>
              <w:pStyle w:val="2"/>
              <w:ind w:firstLine="0" w:firstLineChars="0"/>
            </w:pPr>
            <w:r>
              <w:rPr>
                <w:rFonts w:hint="eastAsia"/>
              </w:rPr>
              <w:t>执行率</w:t>
            </w:r>
          </w:p>
        </w:tc>
        <w:tc>
          <w:tcPr>
            <w:tcW w:w="1421" w:type="dxa"/>
          </w:tcPr>
          <w:p>
            <w:pPr>
              <w:pStyle w:val="2"/>
              <w:ind w:firstLine="0" w:firstLineChars="0"/>
            </w:pPr>
            <w:r>
              <w:rPr>
                <w:rFonts w:hint="eastAsia"/>
              </w:rPr>
              <w:t>项目是否完成</w:t>
            </w:r>
          </w:p>
        </w:tc>
        <w:tc>
          <w:tcPr>
            <w:tcW w:w="1421" w:type="dxa"/>
          </w:tcPr>
          <w:p>
            <w:pPr>
              <w:pStyle w:val="2"/>
              <w:ind w:firstLine="0" w:firstLineChars="0"/>
            </w:pPr>
            <w:r>
              <w:rPr>
                <w:rFonts w:hint="eastAsia"/>
              </w:rPr>
              <w:t>是否上级专项资金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20" w:type="dxa"/>
          </w:tcPr>
          <w:p>
            <w:pPr>
              <w:pStyle w:val="2"/>
              <w:spacing w:line="380" w:lineRule="exact"/>
              <w:ind w:firstLine="0" w:firstLineChars="0"/>
              <w:rPr>
                <w:sz w:val="21"/>
                <w:szCs w:val="21"/>
              </w:rPr>
            </w:pPr>
            <w:r>
              <w:rPr>
                <w:sz w:val="21"/>
                <w:szCs w:val="21"/>
              </w:rPr>
              <w:t>202</w:t>
            </w:r>
            <w:r>
              <w:rPr>
                <w:rFonts w:hint="eastAsia"/>
                <w:sz w:val="21"/>
                <w:szCs w:val="21"/>
              </w:rPr>
              <w:t>2</w:t>
            </w:r>
            <w:r>
              <w:rPr>
                <w:sz w:val="21"/>
                <w:szCs w:val="21"/>
              </w:rPr>
              <w:t>年中央补助地方美术馆、公共文化馆、文化馆（站）免费开放补助资金</w:t>
            </w:r>
          </w:p>
        </w:tc>
        <w:tc>
          <w:tcPr>
            <w:tcW w:w="1420" w:type="dxa"/>
          </w:tcPr>
          <w:p>
            <w:pPr>
              <w:pStyle w:val="2"/>
              <w:ind w:firstLine="0" w:firstLineChars="0"/>
              <w:jc w:val="center"/>
              <w:rPr>
                <w:sz w:val="21"/>
                <w:szCs w:val="21"/>
              </w:rPr>
            </w:pPr>
            <w:r>
              <w:rPr>
                <w:rFonts w:hint="eastAsia"/>
                <w:sz w:val="21"/>
                <w:szCs w:val="21"/>
              </w:rPr>
              <w:t>16</w:t>
            </w:r>
          </w:p>
        </w:tc>
        <w:tc>
          <w:tcPr>
            <w:tcW w:w="1420" w:type="dxa"/>
          </w:tcPr>
          <w:p>
            <w:pPr>
              <w:pStyle w:val="2"/>
              <w:ind w:firstLine="0" w:firstLineChars="0"/>
              <w:jc w:val="center"/>
              <w:rPr>
                <w:rFonts w:hint="default" w:eastAsia="仿宋_GB2312"/>
                <w:sz w:val="21"/>
                <w:szCs w:val="21"/>
                <w:lang w:val="en-US" w:eastAsia="zh-CN"/>
              </w:rPr>
            </w:pPr>
            <w:r>
              <w:rPr>
                <w:rFonts w:hint="eastAsia"/>
                <w:sz w:val="21"/>
                <w:szCs w:val="21"/>
                <w:lang w:val="en-US" w:eastAsia="zh-CN"/>
              </w:rPr>
              <w:t>10.34</w:t>
            </w:r>
          </w:p>
        </w:tc>
        <w:tc>
          <w:tcPr>
            <w:tcW w:w="1420" w:type="dxa"/>
          </w:tcPr>
          <w:p>
            <w:pPr>
              <w:pStyle w:val="2"/>
              <w:ind w:firstLine="0" w:firstLineChars="0"/>
              <w:jc w:val="center"/>
              <w:rPr>
                <w:sz w:val="21"/>
                <w:szCs w:val="21"/>
              </w:rPr>
            </w:pPr>
            <w:r>
              <w:rPr>
                <w:rFonts w:hint="eastAsia"/>
                <w:sz w:val="21"/>
                <w:szCs w:val="21"/>
                <w:lang w:val="en-US" w:eastAsia="zh-CN"/>
              </w:rPr>
              <w:t>64.62</w:t>
            </w:r>
            <w:r>
              <w:rPr>
                <w:rFonts w:hint="eastAsia"/>
                <w:sz w:val="21"/>
                <w:szCs w:val="21"/>
              </w:rPr>
              <w:t>%</w:t>
            </w:r>
          </w:p>
        </w:tc>
        <w:tc>
          <w:tcPr>
            <w:tcW w:w="1421" w:type="dxa"/>
          </w:tcPr>
          <w:p>
            <w:pPr>
              <w:pStyle w:val="2"/>
              <w:ind w:firstLine="0" w:firstLineChars="0"/>
              <w:jc w:val="center"/>
              <w:rPr>
                <w:sz w:val="21"/>
                <w:szCs w:val="21"/>
              </w:rPr>
            </w:pPr>
            <w:r>
              <w:rPr>
                <w:rFonts w:hint="eastAsia"/>
                <w:sz w:val="21"/>
                <w:szCs w:val="21"/>
              </w:rPr>
              <w:t>是</w:t>
            </w:r>
          </w:p>
        </w:tc>
        <w:tc>
          <w:tcPr>
            <w:tcW w:w="1421" w:type="dxa"/>
          </w:tcPr>
          <w:p>
            <w:pPr>
              <w:pStyle w:val="2"/>
              <w:ind w:firstLine="0" w:firstLineChars="0"/>
              <w:jc w:val="center"/>
              <w:rPr>
                <w:sz w:val="21"/>
                <w:szCs w:val="21"/>
              </w:rPr>
            </w:pPr>
            <w:r>
              <w:rPr>
                <w:rFonts w:hint="eastAsia"/>
                <w:sz w:val="21"/>
                <w:szCs w:val="21"/>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20" w:type="dxa"/>
          </w:tcPr>
          <w:p>
            <w:pPr>
              <w:pStyle w:val="2"/>
              <w:spacing w:line="360" w:lineRule="exact"/>
              <w:ind w:firstLine="0" w:firstLineChars="0"/>
            </w:pPr>
            <w:r>
              <w:rPr>
                <w:rFonts w:hint="eastAsia"/>
                <w:sz w:val="21"/>
                <w:szCs w:val="21"/>
              </w:rPr>
              <w:t>自治区</w:t>
            </w:r>
            <w:r>
              <w:rPr>
                <w:sz w:val="21"/>
                <w:szCs w:val="21"/>
              </w:rPr>
              <w:t>2023年美术馆、公共图书馆、文化馆（站）免费开放补助资金</w:t>
            </w:r>
          </w:p>
        </w:tc>
        <w:tc>
          <w:tcPr>
            <w:tcW w:w="1420" w:type="dxa"/>
          </w:tcPr>
          <w:p>
            <w:pPr>
              <w:pStyle w:val="2"/>
              <w:ind w:firstLine="0" w:firstLineChars="0"/>
              <w:jc w:val="center"/>
              <w:rPr>
                <w:sz w:val="21"/>
                <w:szCs w:val="21"/>
              </w:rPr>
            </w:pPr>
            <w:r>
              <w:rPr>
                <w:rFonts w:hint="eastAsia"/>
                <w:sz w:val="21"/>
                <w:szCs w:val="21"/>
              </w:rPr>
              <w:t>4</w:t>
            </w:r>
          </w:p>
        </w:tc>
        <w:tc>
          <w:tcPr>
            <w:tcW w:w="1420" w:type="dxa"/>
          </w:tcPr>
          <w:p>
            <w:pPr>
              <w:pStyle w:val="2"/>
              <w:ind w:firstLine="0" w:firstLineChars="0"/>
              <w:jc w:val="center"/>
              <w:rPr>
                <w:rFonts w:hint="eastAsia" w:eastAsia="仿宋_GB2312"/>
                <w:sz w:val="21"/>
                <w:szCs w:val="21"/>
                <w:lang w:eastAsia="zh-CN"/>
              </w:rPr>
            </w:pPr>
            <w:r>
              <w:rPr>
                <w:rFonts w:hint="eastAsia"/>
                <w:sz w:val="21"/>
                <w:szCs w:val="21"/>
                <w:lang w:val="en-US" w:eastAsia="zh-CN"/>
              </w:rPr>
              <w:t>4</w:t>
            </w:r>
          </w:p>
        </w:tc>
        <w:tc>
          <w:tcPr>
            <w:tcW w:w="1420" w:type="dxa"/>
          </w:tcPr>
          <w:p>
            <w:pPr>
              <w:pStyle w:val="2"/>
              <w:ind w:firstLine="0" w:firstLineChars="0"/>
              <w:jc w:val="center"/>
              <w:rPr>
                <w:sz w:val="21"/>
                <w:szCs w:val="21"/>
              </w:rPr>
            </w:pPr>
            <w:r>
              <w:rPr>
                <w:rFonts w:hint="eastAsia"/>
                <w:sz w:val="21"/>
                <w:szCs w:val="21"/>
                <w:lang w:val="en-US" w:eastAsia="zh-CN"/>
              </w:rPr>
              <w:t>100</w:t>
            </w:r>
            <w:r>
              <w:rPr>
                <w:rFonts w:hint="eastAsia"/>
                <w:sz w:val="21"/>
                <w:szCs w:val="21"/>
              </w:rPr>
              <w:t>%</w:t>
            </w:r>
          </w:p>
        </w:tc>
        <w:tc>
          <w:tcPr>
            <w:tcW w:w="1421" w:type="dxa"/>
          </w:tcPr>
          <w:p>
            <w:pPr>
              <w:pStyle w:val="2"/>
              <w:ind w:firstLine="0" w:firstLineChars="0"/>
              <w:jc w:val="center"/>
              <w:rPr>
                <w:sz w:val="21"/>
                <w:szCs w:val="21"/>
              </w:rPr>
            </w:pPr>
            <w:r>
              <w:rPr>
                <w:rFonts w:hint="eastAsia"/>
                <w:sz w:val="21"/>
                <w:szCs w:val="21"/>
              </w:rPr>
              <w:t>是</w:t>
            </w:r>
          </w:p>
        </w:tc>
        <w:tc>
          <w:tcPr>
            <w:tcW w:w="1421" w:type="dxa"/>
          </w:tcPr>
          <w:p>
            <w:pPr>
              <w:pStyle w:val="2"/>
              <w:ind w:firstLine="0" w:firstLineChars="0"/>
              <w:jc w:val="center"/>
              <w:rPr>
                <w:sz w:val="21"/>
                <w:szCs w:val="21"/>
              </w:rPr>
            </w:pPr>
            <w:r>
              <w:rPr>
                <w:rFonts w:hint="eastAsia"/>
                <w:sz w:val="21"/>
                <w:szCs w:val="21"/>
              </w:rPr>
              <w:t>是</w:t>
            </w:r>
          </w:p>
        </w:tc>
      </w:tr>
    </w:tbl>
    <w:p>
      <w:pPr>
        <w:pStyle w:val="2"/>
        <w:ind w:firstLine="562"/>
      </w:pPr>
    </w:p>
    <w:p>
      <w:pPr>
        <w:ind w:firstLine="640"/>
        <w:outlineLvl w:val="0"/>
        <w:rPr>
          <w:rFonts w:hint="eastAsia" w:ascii="黑体" w:hAnsi="黑体" w:eastAsia="黑体" w:cs="黑体"/>
          <w:sz w:val="32"/>
          <w:szCs w:val="32"/>
        </w:rPr>
      </w:pPr>
      <w:r>
        <w:rPr>
          <w:rFonts w:hint="eastAsia" w:ascii="黑体" w:hAnsi="黑体" w:eastAsia="黑体" w:cs="黑体"/>
          <w:sz w:val="32"/>
          <w:szCs w:val="32"/>
        </w:rPr>
        <w:t>四、资产管理情况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（一）资产情况及固定资产利用情况</w:t>
      </w:r>
    </w:p>
    <w:p>
      <w:pPr>
        <w:ind w:firstLine="640"/>
        <w:rPr>
          <w:rFonts w:hint="eastAsia" w:ascii="仿宋_GB2312" w:eastAsia="仿宋_GB2312"/>
          <w:color w:val="auto"/>
          <w:sz w:val="32"/>
          <w:szCs w:val="32"/>
        </w:rPr>
      </w:pPr>
      <w:r>
        <w:rPr>
          <w:rFonts w:hint="eastAsia" w:ascii="仿宋_GB2312" w:eastAsia="仿宋_GB2312"/>
          <w:color w:val="auto"/>
          <w:sz w:val="32"/>
          <w:szCs w:val="32"/>
        </w:rPr>
        <w:t>截止2022年12月31日，我单位资产账面总额为</w:t>
      </w:r>
      <w:r>
        <w:rPr>
          <w:rFonts w:hint="eastAsia" w:ascii="仿宋_GB2312" w:eastAsia="仿宋_GB2312"/>
          <w:color w:val="auto"/>
          <w:sz w:val="32"/>
          <w:szCs w:val="32"/>
          <w:lang w:val="en-US" w:eastAsia="zh-CN"/>
        </w:rPr>
        <w:t>81.78</w:t>
      </w:r>
      <w:r>
        <w:rPr>
          <w:rFonts w:hint="eastAsia" w:ascii="仿宋_GB2312" w:eastAsia="仿宋_GB2312"/>
          <w:color w:val="auto"/>
          <w:sz w:val="32"/>
          <w:szCs w:val="32"/>
        </w:rPr>
        <w:t>万元，较年初资产总额</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8.44</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增长</w:t>
      </w:r>
      <w:r>
        <w:rPr>
          <w:rFonts w:hint="eastAsia" w:ascii="仿宋_GB2312" w:eastAsia="仿宋_GB2312"/>
          <w:color w:val="auto"/>
          <w:sz w:val="32"/>
          <w:szCs w:val="32"/>
          <w:lang w:val="en-US" w:eastAsia="zh-CN"/>
        </w:rPr>
        <w:t>11.51</w:t>
      </w:r>
      <w:r>
        <w:rPr>
          <w:rFonts w:hint="eastAsia" w:ascii="仿宋_GB2312" w:eastAsia="仿宋_GB2312"/>
          <w:color w:val="auto"/>
          <w:sz w:val="32"/>
          <w:szCs w:val="32"/>
        </w:rPr>
        <w:t>%，其中：</w:t>
      </w:r>
    </w:p>
    <w:p>
      <w:pPr>
        <w:ind w:firstLine="640"/>
        <w:rPr>
          <w:rFonts w:hint="eastAsia" w:ascii="仿宋_GB2312" w:eastAsia="仿宋_GB2312"/>
          <w:color w:val="auto"/>
          <w:sz w:val="32"/>
          <w:szCs w:val="32"/>
        </w:rPr>
      </w:pPr>
      <w:r>
        <w:rPr>
          <w:rFonts w:hint="eastAsia" w:ascii="仿宋_GB2312" w:eastAsia="仿宋_GB2312"/>
          <w:color w:val="auto"/>
          <w:sz w:val="32"/>
          <w:szCs w:val="32"/>
        </w:rPr>
        <w:t>2022年初，流动资产总额</w:t>
      </w:r>
      <w:r>
        <w:rPr>
          <w:rFonts w:hint="eastAsia" w:ascii="仿宋_GB2312" w:eastAsia="仿宋_GB2312"/>
          <w:color w:val="auto"/>
          <w:sz w:val="32"/>
          <w:szCs w:val="32"/>
          <w:lang w:val="en-US" w:eastAsia="zh-CN"/>
        </w:rPr>
        <w:t>20.44</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28.88</w:t>
      </w:r>
      <w:r>
        <w:rPr>
          <w:rFonts w:hint="eastAsia" w:ascii="仿宋_GB2312" w:eastAsia="仿宋_GB2312"/>
          <w:color w:val="auto"/>
          <w:sz w:val="32"/>
          <w:szCs w:val="32"/>
        </w:rPr>
        <w:t>万元，较年初流动资产</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8.44</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增长</w:t>
      </w:r>
      <w:r>
        <w:rPr>
          <w:rFonts w:hint="eastAsia" w:ascii="仿宋_GB2312" w:eastAsia="仿宋_GB2312"/>
          <w:color w:val="auto"/>
          <w:sz w:val="32"/>
          <w:szCs w:val="32"/>
          <w:lang w:val="en-US" w:eastAsia="zh-CN"/>
        </w:rPr>
        <w:t>41.29</w:t>
      </w:r>
      <w:r>
        <w:rPr>
          <w:rFonts w:hint="eastAsia" w:ascii="仿宋_GB2312" w:eastAsia="仿宋_GB2312"/>
          <w:color w:val="auto"/>
          <w:sz w:val="32"/>
          <w:szCs w:val="32"/>
        </w:rPr>
        <w:t>%，主要变动原因是：财政拨款</w:t>
      </w:r>
      <w:r>
        <w:rPr>
          <w:rFonts w:hint="eastAsia" w:ascii="仿宋_GB2312" w:eastAsia="仿宋_GB2312"/>
          <w:color w:val="auto"/>
          <w:sz w:val="32"/>
          <w:szCs w:val="32"/>
          <w:lang w:eastAsia="zh-CN"/>
        </w:rPr>
        <w:t>增加</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2022年初，固定资产总额为</w:t>
      </w:r>
      <w:r>
        <w:rPr>
          <w:rFonts w:hint="eastAsia" w:ascii="仿宋_GB2312" w:eastAsia="仿宋_GB2312"/>
          <w:color w:val="auto"/>
          <w:sz w:val="32"/>
          <w:szCs w:val="32"/>
          <w:lang w:val="en-US" w:eastAsia="zh-CN"/>
        </w:rPr>
        <w:t>52.90</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52.90</w:t>
      </w:r>
      <w:r>
        <w:rPr>
          <w:rFonts w:hint="eastAsia" w:ascii="仿宋_GB2312" w:eastAsia="仿宋_GB2312"/>
          <w:color w:val="auto"/>
          <w:sz w:val="32"/>
          <w:szCs w:val="32"/>
        </w:rPr>
        <w:t>万元，较年初固定资产减少0万元，减少0%，主要变动原因是：无新增资产。</w:t>
      </w:r>
    </w:p>
    <w:p>
      <w:pPr>
        <w:ind w:firstLine="643"/>
        <w:outlineLvl w:val="1"/>
        <w:rPr>
          <w:rFonts w:hint="eastAsia" w:ascii="楷体" w:hAnsi="楷体" w:eastAsia="楷体" w:cs="楷体"/>
          <w:b/>
          <w:bCs/>
          <w:sz w:val="32"/>
          <w:szCs w:val="32"/>
        </w:rPr>
      </w:pPr>
      <w:r>
        <w:rPr>
          <w:rFonts w:hint="eastAsia" w:ascii="楷体" w:hAnsi="楷体" w:eastAsia="楷体" w:cs="楷体"/>
          <w:b/>
          <w:bCs/>
          <w:sz w:val="32"/>
          <w:szCs w:val="32"/>
        </w:rPr>
        <w:t>（二）资产管理规范性分析</w:t>
      </w:r>
    </w:p>
    <w:p>
      <w:pPr>
        <w:ind w:firstLine="643"/>
        <w:jc w:val="left"/>
        <w:rPr>
          <w:rFonts w:hint="eastAsia" w:ascii="仿宋_GB2312" w:eastAsia="仿宋_GB2312" w:cs="仿宋_GB2312"/>
          <w:b/>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hint="eastAsia" w:ascii="仿宋_GB2312" w:eastAsia="仿宋_GB2312" w:cs="仿宋"/>
          <w:kern w:val="1"/>
          <w:sz w:val="32"/>
          <w:szCs w:val="32"/>
        </w:rPr>
      </w:pPr>
      <w:r>
        <w:rPr>
          <w:rFonts w:hint="eastAsia" w:ascii="仿宋_GB2312" w:eastAsia="仿宋_GB2312" w:cs="仿宋"/>
          <w:kern w:val="1"/>
          <w:sz w:val="32"/>
          <w:szCs w:val="32"/>
          <w:lang w:eastAsia="zh-CN"/>
        </w:rPr>
        <w:t>昌吉市青少年宫</w:t>
      </w:r>
      <w:r>
        <w:rPr>
          <w:rFonts w:hint="eastAsia" w:ascii="仿宋_GB2312" w:eastAsia="仿宋_GB2312" w:cs="仿宋"/>
          <w:kern w:val="1"/>
          <w:sz w:val="32"/>
          <w:szCs w:val="32"/>
        </w:rPr>
        <w:t>资产管理制度健全，合理配备并节约、账实相符，固定资产使用效率高。2022年，单位各项资产均能继续良好使用，没有资产处置收入，固定资产利用率为100%。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rPr>
          <w:rFonts w:hint="eastAsia" w:ascii="仿宋_GB2312" w:eastAsia="仿宋_GB2312"/>
          <w:b/>
          <w:bCs/>
          <w:sz w:val="32"/>
          <w:szCs w:val="32"/>
        </w:rPr>
      </w:pPr>
      <w:r>
        <w:rPr>
          <w:rFonts w:hint="eastAsia" w:ascii="仿宋_GB2312" w:eastAsia="仿宋_GB2312"/>
          <w:b/>
          <w:bCs/>
          <w:sz w:val="32"/>
          <w:szCs w:val="32"/>
        </w:rPr>
        <w:t>2.运行机制和管理方式</w:t>
      </w:r>
    </w:p>
    <w:p>
      <w:pPr>
        <w:ind w:firstLine="681" w:firstLineChars="213"/>
        <w:jc w:val="left"/>
        <w:rPr>
          <w:rFonts w:hint="eastAsia"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rPr>
          <w:rFonts w:ascii="仿宋_GB2312" w:eastAsia="仿宋_GB2312"/>
          <w:b/>
          <w:bCs/>
          <w:sz w:val="32"/>
          <w:szCs w:val="32"/>
        </w:rPr>
      </w:pPr>
      <w:r>
        <w:rPr>
          <w:rFonts w:hint="eastAsia" w:ascii="仿宋_GB2312" w:eastAsia="仿宋_GB2312"/>
          <w:b/>
          <w:bCs/>
          <w:sz w:val="32"/>
          <w:szCs w:val="32"/>
        </w:rPr>
        <w:t>3.信息化建设方面</w:t>
      </w:r>
    </w:p>
    <w:p>
      <w:pPr>
        <w:ind w:firstLine="640"/>
        <w:jc w:val="left"/>
        <w:rPr>
          <w:rFonts w:hint="eastAsia" w:ascii="仿宋_GB2312" w:eastAsia="仿宋_GB2312" w:cs="仿宋"/>
          <w:kern w:val="1"/>
          <w:sz w:val="32"/>
          <w:szCs w:val="32"/>
        </w:rPr>
      </w:pPr>
      <w:r>
        <w:rPr>
          <w:rFonts w:hint="eastAsia" w:ascii="仿宋_GB2312" w:eastAsia="仿宋_GB2312" w:cs="仿宋"/>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rPr>
          <w:rFonts w:ascii="仿宋_GB2312" w:eastAsia="仿宋_GB2312"/>
          <w:b/>
          <w:bCs/>
          <w:sz w:val="32"/>
          <w:szCs w:val="32"/>
        </w:rPr>
      </w:pPr>
      <w:r>
        <w:rPr>
          <w:rFonts w:hint="eastAsia" w:ascii="仿宋_GB2312" w:eastAsia="仿宋_GB2312"/>
          <w:b/>
          <w:bCs/>
          <w:sz w:val="32"/>
          <w:szCs w:val="32"/>
        </w:rPr>
        <w:t>4.流动资产的管理</w:t>
      </w:r>
    </w:p>
    <w:p>
      <w:pPr>
        <w:pStyle w:val="10"/>
        <w:widowControl/>
        <w:spacing w:before="40" w:beforeAutospacing="0" w:after="0" w:afterAutospacing="0"/>
        <w:ind w:firstLine="640"/>
        <w:jc w:val="both"/>
        <w:rPr>
          <w:rFonts w:hint="eastAsia"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pPr>
        <w:ind w:firstLine="643"/>
        <w:rPr>
          <w:rFonts w:hint="eastAsia" w:ascii="仿宋_GB2312" w:eastAsia="仿宋_GB2312"/>
          <w:b/>
          <w:bCs/>
          <w:sz w:val="32"/>
          <w:szCs w:val="32"/>
        </w:rPr>
      </w:pPr>
      <w:r>
        <w:rPr>
          <w:rFonts w:hint="eastAsia" w:ascii="仿宋_GB2312" w:eastAsia="仿宋_GB2312"/>
          <w:b/>
          <w:bCs/>
          <w:sz w:val="32"/>
          <w:szCs w:val="32"/>
        </w:rPr>
        <w:t>5.固定资产的管理</w:t>
      </w:r>
    </w:p>
    <w:p>
      <w:pPr>
        <w:pStyle w:val="10"/>
        <w:widowControl/>
        <w:spacing w:before="40" w:beforeAutospacing="0" w:after="0" w:afterAutospacing="0"/>
        <w:ind w:firstLine="640"/>
        <w:jc w:val="both"/>
        <w:rPr>
          <w:rFonts w:hint="eastAsia" w:ascii="仿宋_GB2312" w:eastAsia="仿宋_GB2312" w:cs="宋体"/>
          <w:sz w:val="32"/>
          <w:szCs w:val="32"/>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ind w:firstLine="640"/>
        <w:outlineLvl w:val="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五、部门单位整体支出绩效情况</w:t>
      </w:r>
    </w:p>
    <w:p>
      <w:pPr>
        <w:adjustRightInd w:val="0"/>
        <w:snapToGrid w:val="0"/>
        <w:ind w:firstLine="624"/>
        <w:rPr>
          <w:rFonts w:hint="eastAsia" w:ascii="仿宋_GB2312" w:eastAsia="仿宋_GB2312"/>
          <w:bCs/>
          <w:color w:val="auto"/>
          <w:spacing w:val="-4"/>
          <w:sz w:val="32"/>
          <w:szCs w:val="32"/>
        </w:rPr>
      </w:pPr>
      <w:r>
        <w:rPr>
          <w:rFonts w:hint="eastAsia" w:ascii="仿宋_GB2312" w:eastAsia="仿宋_GB2312"/>
          <w:bCs/>
          <w:color w:val="auto"/>
          <w:spacing w:val="-4"/>
          <w:sz w:val="32"/>
          <w:szCs w:val="32"/>
        </w:rPr>
        <w:t>2022年度，</w:t>
      </w:r>
      <w:r>
        <w:rPr>
          <w:rFonts w:hint="eastAsia" w:ascii="仿宋_GB2312" w:eastAsia="仿宋_GB2312"/>
          <w:bCs/>
          <w:color w:val="auto"/>
          <w:spacing w:val="-4"/>
          <w:sz w:val="32"/>
          <w:szCs w:val="32"/>
          <w:lang w:eastAsia="zh-CN"/>
        </w:rPr>
        <w:t>昌吉市青少年宫</w:t>
      </w:r>
      <w:r>
        <w:rPr>
          <w:rFonts w:hint="eastAsia" w:ascii="仿宋_GB2312" w:eastAsia="仿宋_GB2312"/>
          <w:bCs/>
          <w:color w:val="auto"/>
          <w:spacing w:val="-4"/>
          <w:sz w:val="32"/>
          <w:szCs w:val="32"/>
        </w:rPr>
        <w:t>部门单位整体支出绩效目标共设置一级指标3个，二级指标7个，三级指标1</w:t>
      </w:r>
      <w:r>
        <w:rPr>
          <w:rFonts w:hint="eastAsia" w:ascii="仿宋_GB2312" w:eastAsia="仿宋_GB2312"/>
          <w:bCs/>
          <w:color w:val="auto"/>
          <w:spacing w:val="-4"/>
          <w:sz w:val="32"/>
          <w:szCs w:val="32"/>
          <w:lang w:val="en-US" w:eastAsia="zh-CN"/>
        </w:rPr>
        <w:t>6</w:t>
      </w:r>
      <w:r>
        <w:rPr>
          <w:rFonts w:hint="eastAsia" w:ascii="仿宋_GB2312" w:eastAsia="仿宋_GB2312"/>
          <w:bCs/>
          <w:color w:val="auto"/>
          <w:spacing w:val="-4"/>
          <w:sz w:val="32"/>
          <w:szCs w:val="32"/>
        </w:rPr>
        <w:t>个，其中：已完成三级指标1</w:t>
      </w:r>
      <w:r>
        <w:rPr>
          <w:rFonts w:hint="eastAsia" w:ascii="仿宋_GB2312" w:eastAsia="仿宋_GB2312"/>
          <w:bCs/>
          <w:color w:val="auto"/>
          <w:spacing w:val="-4"/>
          <w:sz w:val="32"/>
          <w:szCs w:val="32"/>
          <w:lang w:val="en-US" w:eastAsia="zh-CN"/>
        </w:rPr>
        <w:t>6</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w:t>
      </w:r>
      <w:r>
        <w:rPr>
          <w:rFonts w:hint="eastAsia" w:ascii="仿宋_GB2312" w:eastAsia="仿宋_GB2312"/>
          <w:bCs/>
          <w:color w:val="auto"/>
          <w:spacing w:val="-4"/>
          <w:sz w:val="32"/>
          <w:szCs w:val="32"/>
        </w:rPr>
        <w:t>%。</w:t>
      </w:r>
    </w:p>
    <w:p>
      <w:pPr>
        <w:ind w:firstLine="643"/>
        <w:rPr>
          <w:rFonts w:hint="eastAsia"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1.产出指标完成情况分析</w:t>
      </w:r>
    </w:p>
    <w:p>
      <w:pPr>
        <w:ind w:firstLine="643"/>
        <w:rPr>
          <w:rFonts w:ascii="仿宋_GB2312" w:eastAsia="仿宋_GB2312"/>
          <w:b/>
          <w:bCs/>
          <w:color w:val="auto"/>
          <w:sz w:val="32"/>
          <w:szCs w:val="32"/>
        </w:rPr>
      </w:pPr>
      <w:r>
        <w:rPr>
          <w:rFonts w:hint="eastAsia" w:ascii="仿宋_GB2312" w:eastAsia="仿宋_GB2312"/>
          <w:b/>
          <w:bCs/>
          <w:color w:val="auto"/>
          <w:sz w:val="32"/>
          <w:szCs w:val="32"/>
        </w:rPr>
        <w:t>（1）数量指标</w:t>
      </w:r>
    </w:p>
    <w:p>
      <w:pPr>
        <w:ind w:firstLine="640"/>
        <w:rPr>
          <w:rFonts w:ascii="仿宋_GB2312" w:eastAsia="仿宋_GB2312"/>
          <w:color w:val="FF0000"/>
          <w:sz w:val="32"/>
          <w:szCs w:val="32"/>
        </w:rPr>
      </w:pPr>
      <w:r>
        <w:rPr>
          <w:rFonts w:hint="eastAsia" w:ascii="仿宋_GB2312" w:eastAsia="仿宋_GB2312"/>
          <w:color w:val="auto"/>
          <w:sz w:val="32"/>
          <w:szCs w:val="32"/>
        </w:rPr>
        <w:t>“为丰富</w:t>
      </w:r>
      <w:r>
        <w:rPr>
          <w:rFonts w:hint="eastAsia" w:ascii="仿宋_GB2312" w:eastAsia="仿宋_GB2312"/>
          <w:color w:val="auto"/>
          <w:sz w:val="32"/>
          <w:szCs w:val="32"/>
          <w:lang w:eastAsia="zh-CN"/>
        </w:rPr>
        <w:t>少儿艺术活动，全年免费少儿艺术</w:t>
      </w:r>
      <w:r>
        <w:rPr>
          <w:rFonts w:hint="eastAsia" w:ascii="仿宋_GB2312" w:eastAsia="仿宋_GB2312"/>
          <w:color w:val="auto"/>
          <w:sz w:val="32"/>
          <w:szCs w:val="32"/>
          <w:lang w:val="en-US" w:eastAsia="zh-CN"/>
        </w:rPr>
        <w:t>培训</w:t>
      </w:r>
      <w:r>
        <w:rPr>
          <w:rFonts w:hint="eastAsia" w:ascii="仿宋_GB2312" w:eastAsia="仿宋_GB2312"/>
          <w:color w:val="auto"/>
          <w:sz w:val="32"/>
          <w:szCs w:val="32"/>
        </w:rPr>
        <w:t>”指标：预期指标值为“</w:t>
      </w:r>
      <w:r>
        <w:rPr>
          <w:rFonts w:hint="eastAsia" w:ascii="宋体" w:hAnsi="宋体" w:eastAsia="宋体" w:cs="宋体"/>
          <w:color w:val="auto"/>
          <w:sz w:val="32"/>
          <w:szCs w:val="32"/>
        </w:rPr>
        <w:t>≧</w:t>
      </w:r>
      <w:r>
        <w:rPr>
          <w:rFonts w:hint="eastAsia" w:ascii="仿宋_GB2312" w:eastAsia="仿宋_GB2312"/>
          <w:color w:val="auto"/>
          <w:sz w:val="32"/>
          <w:szCs w:val="32"/>
          <w:lang w:val="en-US" w:eastAsia="zh-CN"/>
        </w:rPr>
        <w:t>600人次</w:t>
      </w:r>
      <w:r>
        <w:rPr>
          <w:rFonts w:hint="eastAsia" w:ascii="仿宋_GB2312" w:eastAsia="仿宋_GB2312"/>
          <w:color w:val="auto"/>
          <w:sz w:val="32"/>
          <w:szCs w:val="32"/>
        </w:rPr>
        <w:t>”，实际完成指标值为“</w:t>
      </w:r>
      <w:r>
        <w:rPr>
          <w:rFonts w:hint="eastAsia" w:ascii="宋体" w:hAnsi="宋体" w:eastAsia="宋体" w:cs="宋体"/>
          <w:color w:val="auto"/>
          <w:sz w:val="32"/>
          <w:szCs w:val="32"/>
        </w:rPr>
        <w:t>≧</w:t>
      </w:r>
      <w:r>
        <w:rPr>
          <w:rFonts w:hint="eastAsia" w:ascii="仿宋_GB2312" w:eastAsia="仿宋_GB2312"/>
          <w:color w:val="auto"/>
          <w:sz w:val="32"/>
          <w:szCs w:val="32"/>
          <w:lang w:val="en-US" w:eastAsia="zh-CN"/>
        </w:rPr>
        <w:t>600人次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创作少儿艺术作品</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w:t>
      </w:r>
      <w:r>
        <w:rPr>
          <w:rFonts w:hint="eastAsia" w:ascii="仿宋_GB2312" w:eastAsia="仿宋_GB2312"/>
          <w:color w:val="auto"/>
          <w:sz w:val="32"/>
          <w:szCs w:val="32"/>
          <w:lang w:eastAsia="zh-CN"/>
        </w:rPr>
        <w:t>个</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w:t>
      </w:r>
      <w:r>
        <w:rPr>
          <w:rFonts w:hint="eastAsia" w:ascii="仿宋_GB2312" w:eastAsia="仿宋_GB2312"/>
          <w:color w:val="auto"/>
          <w:sz w:val="32"/>
          <w:szCs w:val="32"/>
          <w:lang w:eastAsia="zh-CN"/>
        </w:rPr>
        <w:t>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举办各类书画展</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7</w:t>
      </w:r>
      <w:r>
        <w:rPr>
          <w:rFonts w:hint="eastAsia" w:ascii="仿宋_GB2312" w:eastAsia="仿宋_GB2312"/>
          <w:color w:val="auto"/>
          <w:sz w:val="32"/>
          <w:szCs w:val="32"/>
          <w:lang w:eastAsia="zh-CN"/>
        </w:rPr>
        <w:t>个</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7</w:t>
      </w:r>
      <w:r>
        <w:rPr>
          <w:rFonts w:hint="eastAsia" w:ascii="仿宋_GB2312" w:eastAsia="仿宋_GB2312"/>
          <w:color w:val="auto"/>
          <w:sz w:val="32"/>
          <w:szCs w:val="32"/>
          <w:lang w:eastAsia="zh-CN"/>
        </w:rPr>
        <w:t>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创作书法、美术作品</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25</w:t>
      </w:r>
      <w:r>
        <w:rPr>
          <w:rFonts w:hint="eastAsia" w:ascii="仿宋_GB2312" w:eastAsia="仿宋_GB2312"/>
          <w:color w:val="auto"/>
          <w:sz w:val="32"/>
          <w:szCs w:val="32"/>
          <w:lang w:eastAsia="zh-CN"/>
        </w:rPr>
        <w:t>个</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25</w:t>
      </w:r>
      <w:r>
        <w:rPr>
          <w:rFonts w:hint="eastAsia" w:ascii="仿宋_GB2312" w:eastAsia="仿宋_GB2312"/>
          <w:color w:val="auto"/>
          <w:sz w:val="32"/>
          <w:szCs w:val="32"/>
          <w:lang w:eastAsia="zh-CN"/>
        </w:rPr>
        <w:t>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保障办公人员数量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7</w:t>
      </w:r>
      <w:r>
        <w:rPr>
          <w:rFonts w:hint="eastAsia" w:ascii="仿宋_GB2312" w:eastAsia="仿宋_GB2312"/>
          <w:color w:val="auto"/>
          <w:sz w:val="32"/>
          <w:szCs w:val="32"/>
          <w:lang w:eastAsia="zh-CN"/>
        </w:rPr>
        <w:t>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6</w:t>
      </w:r>
      <w:r>
        <w:rPr>
          <w:rFonts w:hint="eastAsia" w:ascii="仿宋_GB2312" w:eastAsia="仿宋_GB2312"/>
          <w:color w:val="auto"/>
          <w:sz w:val="32"/>
          <w:szCs w:val="32"/>
          <w:lang w:eastAsia="zh-CN"/>
        </w:rPr>
        <w:t>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w:t>
      </w:r>
    </w:p>
    <w:p>
      <w:pPr>
        <w:ind w:firstLine="640"/>
        <w:rPr>
          <w:color w:val="auto"/>
        </w:rPr>
      </w:pPr>
      <w:r>
        <w:rPr>
          <w:rFonts w:hint="eastAsia" w:ascii="仿宋_GB2312" w:eastAsia="仿宋_GB2312"/>
          <w:color w:val="auto"/>
          <w:sz w:val="32"/>
          <w:szCs w:val="32"/>
        </w:rPr>
        <w:t>“</w:t>
      </w:r>
      <w:r>
        <w:rPr>
          <w:rFonts w:hint="eastAsia" w:ascii="仿宋_GB2312" w:eastAsia="仿宋_GB2312"/>
          <w:color w:val="auto"/>
          <w:sz w:val="32"/>
          <w:szCs w:val="32"/>
          <w:lang w:eastAsia="zh-CN"/>
        </w:rPr>
        <w:t>公务保障用车数量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eastAsia="zh-CN"/>
        </w:rPr>
        <w:t>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w:t>
      </w:r>
      <w:r>
        <w:rPr>
          <w:rFonts w:hint="eastAsia" w:ascii="仿宋_GB2312" w:eastAsia="仿宋_GB2312"/>
          <w:color w:val="auto"/>
          <w:sz w:val="32"/>
          <w:szCs w:val="32"/>
          <w:lang w:eastAsia="zh-CN"/>
        </w:rPr>
        <w:t>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w:t>
      </w:r>
    </w:p>
    <w:p>
      <w:pPr>
        <w:numPr>
          <w:ilvl w:val="0"/>
          <w:numId w:val="1"/>
        </w:numPr>
        <w:ind w:firstLine="640" w:firstLineChars="0"/>
        <w:rPr>
          <w:color w:val="auto"/>
        </w:rPr>
      </w:pPr>
      <w:r>
        <w:rPr>
          <w:rFonts w:hint="eastAsia" w:ascii="仿宋_GB2312" w:eastAsia="仿宋_GB2312"/>
          <w:color w:val="auto"/>
          <w:sz w:val="32"/>
          <w:szCs w:val="32"/>
        </w:rPr>
        <w:t>质量指标</w:t>
      </w:r>
    </w:p>
    <w:p>
      <w:pPr>
        <w:ind w:firstLine="640"/>
        <w:rPr>
          <w:rFonts w:ascii="仿宋_GB2312" w:eastAsia="仿宋_GB2312"/>
          <w:color w:val="auto"/>
          <w:sz w:val="32"/>
          <w:szCs w:val="32"/>
        </w:rPr>
      </w:pPr>
      <w:r>
        <w:rPr>
          <w:rFonts w:hint="eastAsia" w:ascii="仿宋_GB2312" w:eastAsia="仿宋_GB2312"/>
          <w:color w:val="auto"/>
          <w:sz w:val="32"/>
          <w:szCs w:val="32"/>
        </w:rPr>
        <w:t>“保证州、市考核达标率”指标：预期指标值为“＞=100%”，实际完成指标值为“100%”，指标完成率为</w:t>
      </w:r>
      <w:r>
        <w:rPr>
          <w:rFonts w:hint="eastAsia" w:ascii="仿宋_GB2312" w:eastAsia="仿宋_GB2312"/>
          <w:bCs/>
          <w:color w:val="auto"/>
          <w:spacing w:val="-4"/>
          <w:sz w:val="32"/>
          <w:szCs w:val="32"/>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“资金使用合规率”指标：预期指标值为“＞=100%”，实际完成指标值为“100%”，指标完成率为</w:t>
      </w:r>
      <w:r>
        <w:rPr>
          <w:rFonts w:hint="eastAsia" w:ascii="仿宋_GB2312" w:eastAsia="仿宋_GB2312"/>
          <w:bCs/>
          <w:color w:val="auto"/>
          <w:spacing w:val="-4"/>
          <w:sz w:val="32"/>
          <w:szCs w:val="32"/>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“举办</w:t>
      </w:r>
      <w:r>
        <w:rPr>
          <w:rFonts w:hint="eastAsia" w:ascii="仿宋_GB2312" w:eastAsia="仿宋_GB2312"/>
          <w:color w:val="auto"/>
          <w:sz w:val="32"/>
          <w:szCs w:val="32"/>
          <w:lang w:eastAsia="zh-CN"/>
        </w:rPr>
        <w:t>画展达标</w:t>
      </w:r>
      <w:r>
        <w:rPr>
          <w:rFonts w:hint="eastAsia" w:ascii="仿宋_GB2312" w:eastAsia="仿宋_GB2312"/>
          <w:color w:val="auto"/>
          <w:sz w:val="32"/>
          <w:szCs w:val="32"/>
        </w:rPr>
        <w:t>率”指标：预期指标值为“＞=95%”，实际完成指标值为“100%”，指标完成率为</w:t>
      </w:r>
      <w:r>
        <w:rPr>
          <w:rFonts w:hint="eastAsia" w:ascii="仿宋_GB2312" w:eastAsia="仿宋_GB2312"/>
          <w:bCs/>
          <w:color w:val="auto"/>
          <w:spacing w:val="-4"/>
          <w:sz w:val="32"/>
          <w:szCs w:val="32"/>
        </w:rPr>
        <w:t>100.0</w:t>
      </w:r>
      <w:r>
        <w:rPr>
          <w:rFonts w:hint="eastAsia" w:ascii="仿宋_GB2312" w:eastAsia="仿宋_GB2312"/>
          <w:color w:val="auto"/>
          <w:sz w:val="32"/>
          <w:szCs w:val="32"/>
        </w:rPr>
        <w:t>%;</w:t>
      </w:r>
    </w:p>
    <w:p>
      <w:pPr>
        <w:ind w:firstLine="640"/>
        <w:rPr>
          <w:color w:val="auto"/>
        </w:rPr>
      </w:pPr>
      <w:r>
        <w:rPr>
          <w:rFonts w:hint="eastAsia" w:ascii="仿宋_GB2312" w:eastAsia="仿宋_GB2312"/>
          <w:color w:val="auto"/>
          <w:sz w:val="32"/>
          <w:szCs w:val="32"/>
        </w:rPr>
        <w:t>“</w:t>
      </w:r>
      <w:r>
        <w:rPr>
          <w:rFonts w:hint="eastAsia" w:ascii="仿宋_GB2312" w:eastAsia="仿宋_GB2312"/>
          <w:color w:val="auto"/>
          <w:sz w:val="32"/>
          <w:szCs w:val="32"/>
          <w:lang w:eastAsia="zh-CN"/>
        </w:rPr>
        <w:t>少儿培训达标</w:t>
      </w:r>
      <w:r>
        <w:rPr>
          <w:rFonts w:hint="eastAsia" w:ascii="仿宋_GB2312" w:eastAsia="仿宋_GB2312"/>
          <w:color w:val="auto"/>
          <w:sz w:val="32"/>
          <w:szCs w:val="32"/>
        </w:rPr>
        <w:t>率”指标：预期指标值为“＞=95%”，实际完成指标值为“100%”，指标完成率为</w:t>
      </w:r>
      <w:r>
        <w:rPr>
          <w:rFonts w:hint="eastAsia" w:ascii="仿宋_GB2312" w:eastAsia="仿宋_GB2312"/>
          <w:bCs/>
          <w:color w:val="auto"/>
          <w:spacing w:val="-4"/>
          <w:sz w:val="32"/>
          <w:szCs w:val="32"/>
        </w:rPr>
        <w:t>100.0</w:t>
      </w:r>
      <w:r>
        <w:rPr>
          <w:rFonts w:hint="eastAsia" w:ascii="仿宋_GB2312" w:eastAsia="仿宋_GB2312"/>
          <w:color w:val="auto"/>
          <w:sz w:val="32"/>
          <w:szCs w:val="32"/>
        </w:rPr>
        <w:t>%;</w:t>
      </w:r>
    </w:p>
    <w:p>
      <w:pPr>
        <w:numPr>
          <w:ilvl w:val="0"/>
          <w:numId w:val="1"/>
        </w:numPr>
        <w:ind w:firstLine="640" w:firstLineChars="0"/>
        <w:rPr>
          <w:color w:val="auto"/>
        </w:rPr>
      </w:pPr>
      <w:r>
        <w:rPr>
          <w:rFonts w:hint="eastAsia" w:ascii="仿宋_GB2312" w:eastAsia="仿宋_GB2312"/>
          <w:color w:val="auto"/>
          <w:sz w:val="32"/>
          <w:szCs w:val="32"/>
        </w:rPr>
        <w:t>时效指标</w:t>
      </w:r>
    </w:p>
    <w:p>
      <w:pPr>
        <w:ind w:firstLine="640"/>
        <w:rPr>
          <w:rFonts w:ascii="仿宋_GB2312" w:eastAsia="仿宋_GB2312"/>
          <w:color w:val="auto"/>
          <w:sz w:val="32"/>
          <w:szCs w:val="32"/>
        </w:rPr>
      </w:pPr>
      <w:r>
        <w:rPr>
          <w:rFonts w:hint="eastAsia" w:ascii="仿宋_GB2312" w:eastAsia="仿宋_GB2312"/>
          <w:color w:val="auto"/>
          <w:sz w:val="32"/>
          <w:szCs w:val="32"/>
        </w:rPr>
        <w:t>“公务经费支付及时率”指标：预期指标值为“=100%”，实际完成指标值为“=100%”，指标完成率为</w:t>
      </w:r>
      <w:r>
        <w:rPr>
          <w:rFonts w:hint="eastAsia" w:ascii="仿宋_GB2312" w:eastAsia="仿宋_GB2312"/>
          <w:bCs/>
          <w:color w:val="auto"/>
          <w:spacing w:val="-4"/>
          <w:sz w:val="32"/>
          <w:szCs w:val="32"/>
        </w:rPr>
        <w:t>100.0</w:t>
      </w:r>
      <w:r>
        <w:rPr>
          <w:rFonts w:hint="eastAsia" w:ascii="仿宋_GB2312" w:eastAsia="仿宋_GB2312"/>
          <w:color w:val="auto"/>
          <w:sz w:val="32"/>
          <w:szCs w:val="32"/>
        </w:rPr>
        <w:t>%;</w:t>
      </w:r>
    </w:p>
    <w:p>
      <w:pPr>
        <w:numPr>
          <w:ilvl w:val="0"/>
          <w:numId w:val="1"/>
        </w:numPr>
        <w:ind w:firstLine="640" w:firstLineChars="0"/>
        <w:rPr>
          <w:color w:val="auto"/>
        </w:rPr>
      </w:pPr>
      <w:r>
        <w:rPr>
          <w:rFonts w:hint="eastAsia" w:ascii="仿宋_GB2312" w:eastAsia="仿宋_GB2312"/>
          <w:color w:val="auto"/>
          <w:sz w:val="32"/>
          <w:szCs w:val="32"/>
        </w:rPr>
        <w:t>成本指标</w:t>
      </w:r>
    </w:p>
    <w:p>
      <w:pPr>
        <w:ind w:firstLine="640"/>
        <w:rPr>
          <w:rFonts w:ascii="仿宋_GB2312" w:eastAsia="仿宋_GB2312"/>
          <w:color w:val="auto"/>
          <w:sz w:val="32"/>
          <w:szCs w:val="32"/>
        </w:rPr>
      </w:pPr>
      <w:r>
        <w:rPr>
          <w:rFonts w:hint="eastAsia" w:ascii="仿宋_GB2312" w:eastAsia="仿宋_GB2312"/>
          <w:color w:val="auto"/>
          <w:sz w:val="32"/>
          <w:szCs w:val="32"/>
        </w:rPr>
        <w:t>“人员经费数”指标：预期指标值为“＞=</w:t>
      </w:r>
      <w:r>
        <w:rPr>
          <w:rFonts w:hint="eastAsia" w:ascii="仿宋_GB2312" w:eastAsia="仿宋_GB2312"/>
          <w:color w:val="auto"/>
          <w:sz w:val="32"/>
          <w:szCs w:val="32"/>
          <w:lang w:val="en-US" w:eastAsia="zh-CN"/>
        </w:rPr>
        <w:t>123.61</w:t>
      </w:r>
      <w:r>
        <w:rPr>
          <w:rFonts w:hint="eastAsia" w:ascii="仿宋_GB2312" w:eastAsia="仿宋_GB2312"/>
          <w:color w:val="auto"/>
          <w:sz w:val="32"/>
          <w:szCs w:val="32"/>
        </w:rPr>
        <w:t>万元”，实际完成指标值为“</w:t>
      </w:r>
      <w:r>
        <w:rPr>
          <w:rFonts w:hint="eastAsia" w:ascii="仿宋_GB2312" w:eastAsia="仿宋_GB2312"/>
          <w:color w:val="auto"/>
          <w:sz w:val="32"/>
          <w:szCs w:val="32"/>
          <w:lang w:val="en-US" w:eastAsia="zh-CN"/>
        </w:rPr>
        <w:t>123.61</w:t>
      </w:r>
      <w:r>
        <w:rPr>
          <w:rFonts w:hint="eastAsia" w:ascii="仿宋_GB2312" w:eastAsia="仿宋_GB2312"/>
          <w:color w:val="auto"/>
          <w:sz w:val="32"/>
          <w:szCs w:val="32"/>
        </w:rPr>
        <w:t>万元”，指标完成率为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“公用经费数”指标：预期指标值为“＜=</w:t>
      </w:r>
      <w:r>
        <w:rPr>
          <w:rFonts w:hint="eastAsia" w:ascii="仿宋_GB2312" w:eastAsia="仿宋_GB2312"/>
          <w:color w:val="auto"/>
          <w:sz w:val="32"/>
          <w:szCs w:val="32"/>
          <w:lang w:val="en-US" w:eastAsia="zh-CN"/>
        </w:rPr>
        <w:t>19.13</w:t>
      </w:r>
      <w:r>
        <w:rPr>
          <w:rFonts w:hint="eastAsia" w:ascii="仿宋_GB2312" w:eastAsia="仿宋_GB2312"/>
          <w:color w:val="auto"/>
          <w:sz w:val="32"/>
          <w:szCs w:val="32"/>
        </w:rPr>
        <w:t>万元”，实际完成指标值为“</w:t>
      </w:r>
      <w:r>
        <w:rPr>
          <w:rFonts w:hint="eastAsia" w:ascii="仿宋_GB2312" w:eastAsia="仿宋_GB2312"/>
          <w:color w:val="auto"/>
          <w:sz w:val="32"/>
          <w:szCs w:val="32"/>
          <w:lang w:val="en-US" w:eastAsia="zh-CN"/>
        </w:rPr>
        <w:t>19.13</w:t>
      </w:r>
      <w:r>
        <w:rPr>
          <w:rFonts w:hint="eastAsia" w:ascii="仿宋_GB2312" w:eastAsia="仿宋_GB2312"/>
          <w:color w:val="auto"/>
          <w:sz w:val="32"/>
          <w:szCs w:val="32"/>
        </w:rPr>
        <w:t>万元”，指标完成率为</w:t>
      </w:r>
      <w:r>
        <w:rPr>
          <w:rFonts w:hint="eastAsia" w:ascii="仿宋_GB2312" w:eastAsia="仿宋_GB2312"/>
          <w:bCs/>
          <w:color w:val="auto"/>
          <w:spacing w:val="-4"/>
          <w:sz w:val="32"/>
          <w:szCs w:val="32"/>
        </w:rPr>
        <w:t>100</w:t>
      </w:r>
      <w:r>
        <w:rPr>
          <w:rFonts w:hint="eastAsia" w:ascii="仿宋_GB2312" w:eastAsia="仿宋_GB2312"/>
          <w:color w:val="auto"/>
          <w:sz w:val="32"/>
          <w:szCs w:val="32"/>
        </w:rPr>
        <w:t>%;</w:t>
      </w:r>
    </w:p>
    <w:p>
      <w:pPr>
        <w:ind w:firstLine="643"/>
        <w:rPr>
          <w:rFonts w:ascii="仿宋_GB2312" w:eastAsia="仿宋_GB2312"/>
          <w:b/>
          <w:bCs/>
          <w:color w:val="auto"/>
          <w:sz w:val="32"/>
          <w:szCs w:val="32"/>
        </w:rPr>
      </w:pPr>
      <w:r>
        <w:rPr>
          <w:rFonts w:hint="eastAsia" w:ascii="仿宋_GB2312" w:eastAsia="仿宋_GB2312"/>
          <w:b/>
          <w:bCs/>
          <w:color w:val="auto"/>
          <w:sz w:val="32"/>
          <w:szCs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开展美术馆免费开放活动，扩大昌吉市民受艺术熏陶覆盖率</w:t>
      </w:r>
      <w:r>
        <w:rPr>
          <w:rFonts w:hint="eastAsia" w:ascii="仿宋_GB2312" w:eastAsia="仿宋_GB2312"/>
          <w:color w:val="auto"/>
          <w:sz w:val="32"/>
          <w:szCs w:val="32"/>
        </w:rPr>
        <w:t>”指标：预期指标值为“＞=90%”，实际完成指标值为“90%”，指标完成率为</w:t>
      </w:r>
      <w:r>
        <w:rPr>
          <w:rFonts w:hint="eastAsia" w:ascii="仿宋_GB2312" w:eastAsia="仿宋_GB2312"/>
          <w:bCs/>
          <w:color w:val="auto"/>
          <w:spacing w:val="-4"/>
          <w:sz w:val="32"/>
          <w:szCs w:val="32"/>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11" w:firstLineChars="196"/>
        <w:rPr>
          <w:rStyle w:val="14"/>
          <w:b w:val="0"/>
          <w:color w:val="auto"/>
          <w:spacing w:val="-4"/>
          <w:sz w:val="32"/>
          <w:szCs w:val="32"/>
        </w:rPr>
      </w:pPr>
      <w:r>
        <w:rPr>
          <w:rStyle w:val="14"/>
          <w:b w:val="0"/>
          <w:color w:val="auto"/>
          <w:spacing w:val="-4"/>
          <w:sz w:val="32"/>
          <w:szCs w:val="32"/>
        </w:rPr>
        <w:t>1</w:t>
      </w:r>
      <w:r>
        <w:rPr>
          <w:rStyle w:val="14"/>
          <w:rFonts w:hint="eastAsia"/>
          <w:b w:val="0"/>
          <w:color w:val="auto"/>
          <w:spacing w:val="-4"/>
          <w:sz w:val="32"/>
          <w:szCs w:val="32"/>
        </w:rPr>
        <w:t>、</w:t>
      </w:r>
      <w:r>
        <w:rPr>
          <w:rStyle w:val="14"/>
          <w:rFonts w:hint="eastAsia"/>
          <w:b w:val="0"/>
          <w:color w:val="auto"/>
          <w:spacing w:val="-4"/>
          <w:sz w:val="32"/>
          <w:szCs w:val="32"/>
          <w:lang w:eastAsia="zh-CN"/>
        </w:rPr>
        <w:t>单位工作人员工作积极性</w:t>
      </w:r>
      <w:r>
        <w:rPr>
          <w:rStyle w:val="14"/>
          <w:rFonts w:hint="eastAsia"/>
          <w:b w:val="0"/>
          <w:color w:val="auto"/>
          <w:spacing w:val="-4"/>
          <w:sz w:val="32"/>
          <w:szCs w:val="32"/>
        </w:rPr>
        <w:t>，指标完成率</w:t>
      </w:r>
      <w:r>
        <w:rPr>
          <w:rStyle w:val="14"/>
          <w:b w:val="0"/>
          <w:color w:val="auto"/>
          <w:spacing w:val="-4"/>
          <w:sz w:val="32"/>
          <w:szCs w:val="32"/>
        </w:rPr>
        <w:t>100</w:t>
      </w:r>
      <w:r>
        <w:rPr>
          <w:rStyle w:val="14"/>
          <w:rFonts w:hint="eastAsia"/>
          <w:b w:val="0"/>
          <w:color w:val="auto"/>
          <w:spacing w:val="-4"/>
          <w:sz w:val="32"/>
          <w:szCs w:val="32"/>
        </w:rPr>
        <w:t>.0</w:t>
      </w:r>
      <w:r>
        <w:rPr>
          <w:rStyle w:val="14"/>
          <w:b w:val="0"/>
          <w:color w:val="auto"/>
          <w:spacing w:val="-4"/>
          <w:sz w:val="32"/>
          <w:szCs w:val="32"/>
        </w:rPr>
        <w:t>%</w:t>
      </w:r>
      <w:r>
        <w:rPr>
          <w:rStyle w:val="14"/>
          <w:rFonts w:hint="eastAsia"/>
          <w:b w:val="0"/>
          <w:color w:val="auto"/>
          <w:spacing w:val="-4"/>
          <w:sz w:val="32"/>
          <w:szCs w:val="32"/>
        </w:rPr>
        <w:t>；</w:t>
      </w:r>
    </w:p>
    <w:p>
      <w:pPr>
        <w:ind w:firstLine="643"/>
        <w:rPr>
          <w:rFonts w:ascii="仿宋_GB2312" w:eastAsia="仿宋_GB2312"/>
          <w:b/>
          <w:bCs/>
          <w:color w:val="auto"/>
          <w:sz w:val="32"/>
          <w:szCs w:val="32"/>
        </w:rPr>
      </w:pPr>
      <w:r>
        <w:rPr>
          <w:rFonts w:hint="eastAsia" w:ascii="仿宋_GB2312" w:eastAsia="仿宋_GB2312"/>
          <w:b/>
          <w:bCs/>
          <w:color w:val="auto"/>
          <w:sz w:val="32"/>
          <w:szCs w:val="32"/>
        </w:rPr>
        <w:t>3.满意度指标完成情况分析</w:t>
      </w:r>
    </w:p>
    <w:p>
      <w:pPr>
        <w:ind w:firstLine="627" w:firstLineChars="196"/>
        <w:rPr>
          <w:rFonts w:hint="eastAsia" w:ascii="仿宋_GB2312" w:eastAsia="仿宋_GB2312"/>
          <w:color w:val="auto"/>
          <w:sz w:val="32"/>
          <w:szCs w:val="32"/>
        </w:rPr>
      </w:pPr>
      <w:r>
        <w:rPr>
          <w:rFonts w:hint="eastAsia" w:ascii="仿宋_GB2312" w:eastAsia="仿宋_GB2312"/>
          <w:color w:val="auto"/>
          <w:sz w:val="32"/>
          <w:szCs w:val="32"/>
        </w:rPr>
        <w:t>预期指标值为大于等于90%，实际完成指标值为“100%”指标完成率为</w:t>
      </w:r>
      <w:r>
        <w:rPr>
          <w:rFonts w:hint="eastAsia" w:ascii="仿宋_GB2312" w:eastAsia="仿宋_GB2312"/>
          <w:bCs/>
          <w:color w:val="auto"/>
          <w:spacing w:val="-4"/>
          <w:sz w:val="32"/>
          <w:szCs w:val="32"/>
        </w:rPr>
        <w:t>100.0</w:t>
      </w:r>
      <w:r>
        <w:rPr>
          <w:rFonts w:hint="eastAsia" w:ascii="仿宋_GB2312" w:eastAsia="仿宋_GB2312"/>
          <w:color w:val="auto"/>
          <w:sz w:val="32"/>
          <w:szCs w:val="32"/>
        </w:rPr>
        <w:t>%；</w:t>
      </w:r>
    </w:p>
    <w:p>
      <w:pPr>
        <w:ind w:firstLine="627" w:firstLineChars="196"/>
        <w:rPr>
          <w:rFonts w:hint="eastAsia"/>
          <w:b w:val="0"/>
          <w:bCs w:val="0"/>
          <w:color w:val="auto"/>
          <w:sz w:val="32"/>
          <w:szCs w:val="32"/>
          <w:lang w:val="en-US" w:eastAsia="zh-CN"/>
        </w:rPr>
      </w:pPr>
      <w:r>
        <w:rPr>
          <w:rFonts w:hint="eastAsia"/>
          <w:b w:val="0"/>
          <w:bCs w:val="0"/>
          <w:color w:val="auto"/>
          <w:sz w:val="32"/>
          <w:szCs w:val="32"/>
          <w:lang w:val="en-US" w:eastAsia="zh-CN"/>
        </w:rPr>
        <w:t>1.职工满意度，指标完成率100%</w:t>
      </w:r>
    </w:p>
    <w:p>
      <w:pPr>
        <w:numPr>
          <w:ilvl w:val="0"/>
          <w:numId w:val="0"/>
        </w:numPr>
        <w:rPr>
          <w:rFonts w:hint="default"/>
          <w:b w:val="0"/>
          <w:bCs w:val="0"/>
          <w:color w:val="auto"/>
          <w:sz w:val="32"/>
          <w:szCs w:val="32"/>
          <w:lang w:val="en-US" w:eastAsia="zh-CN"/>
        </w:rPr>
      </w:pPr>
      <w:r>
        <w:rPr>
          <w:rFonts w:hint="eastAsia"/>
          <w:color w:val="auto"/>
          <w:lang w:val="en-US" w:eastAsia="zh-CN"/>
        </w:rPr>
        <w:t xml:space="preserve">     </w:t>
      </w:r>
      <w:r>
        <w:rPr>
          <w:rFonts w:hint="eastAsia"/>
          <w:b w:val="0"/>
          <w:bCs w:val="0"/>
          <w:color w:val="auto"/>
          <w:sz w:val="32"/>
          <w:szCs w:val="32"/>
          <w:lang w:val="en-US" w:eastAsia="zh-CN"/>
        </w:rPr>
        <w:t>2.青少年及家长满意度，指标完成率100%</w:t>
      </w:r>
    </w:p>
    <w:p>
      <w:pPr>
        <w:adjustRightInd w:val="0"/>
        <w:snapToGrid w:val="0"/>
        <w:ind w:firstLine="624"/>
        <w:rPr>
          <w:rFonts w:ascii="黑体" w:hAnsi="黑体" w:eastAsia="黑体" w:cs="黑体"/>
          <w:color w:val="auto"/>
          <w:sz w:val="32"/>
          <w:szCs w:val="32"/>
        </w:rPr>
      </w:pPr>
      <w:r>
        <w:rPr>
          <w:rFonts w:hint="eastAsia" w:ascii="黑体" w:hAnsi="黑体" w:eastAsia="黑体" w:cs="黑体"/>
          <w:color w:val="auto"/>
          <w:sz w:val="32"/>
          <w:szCs w:val="32"/>
        </w:rPr>
        <w:t>六、存在的主要问题</w:t>
      </w:r>
    </w:p>
    <w:p>
      <w:pPr>
        <w:adjustRightInd w:val="0"/>
        <w:snapToGrid w:val="0"/>
        <w:ind w:firstLine="624"/>
        <w:rPr>
          <w:rFonts w:hint="eastAsia" w:ascii="仿宋_GB2312" w:eastAsia="仿宋_GB2312"/>
          <w:color w:val="000000" w:themeColor="text1"/>
          <w:spacing w:val="-4"/>
          <w:sz w:val="32"/>
          <w:szCs w:val="32"/>
          <w14:textFill>
            <w14:solidFill>
              <w14:schemeClr w14:val="tx1"/>
            </w14:solidFill>
          </w14:textFill>
        </w:rPr>
      </w:pPr>
      <w:r>
        <w:rPr>
          <w:rFonts w:hint="eastAsia" w:ascii="仿宋_GB2312" w:eastAsia="仿宋_GB2312"/>
          <w:color w:val="000000" w:themeColor="text1"/>
          <w:spacing w:val="-4"/>
          <w:sz w:val="32"/>
          <w:szCs w:val="32"/>
          <w14:textFill>
            <w14:solidFill>
              <w14:schemeClr w14:val="tx1"/>
            </w14:solidFill>
          </w14:textFill>
        </w:rPr>
        <w:t>2022年本单位整体支出绩效目标全部达成，不存在未完成原因分析。</w:t>
      </w:r>
    </w:p>
    <w:p>
      <w:pPr>
        <w:ind w:firstLine="640"/>
        <w:outlineLvl w:val="0"/>
        <w:rPr>
          <w:rFonts w:ascii="黑体" w:hAnsi="黑体" w:eastAsia="黑体" w:cs="黑体"/>
          <w:sz w:val="32"/>
          <w:szCs w:val="32"/>
        </w:rPr>
      </w:pPr>
      <w:r>
        <w:rPr>
          <w:rFonts w:hint="eastAsia" w:ascii="黑体" w:hAnsi="黑体" w:eastAsia="黑体" w:cs="黑体"/>
          <w:sz w:val="32"/>
          <w:szCs w:val="32"/>
        </w:rPr>
        <w:t>七、改进措施和建议</w:t>
      </w:r>
    </w:p>
    <w:p>
      <w:pPr>
        <w:ind w:firstLine="624"/>
        <w:jc w:val="left"/>
        <w:rPr>
          <w:rFonts w:hint="eastAsia" w:ascii="仿宋_GB2312" w:hAnsi="楷体" w:eastAsia="仿宋_GB2312"/>
          <w:bCs/>
          <w:spacing w:val="-4"/>
          <w:sz w:val="32"/>
          <w:szCs w:val="32"/>
        </w:rPr>
      </w:pPr>
      <w:r>
        <w:rPr>
          <w:rFonts w:hint="eastAsia" w:ascii="仿宋_GB2312" w:hAnsi="楷体" w:eastAsia="仿宋_GB2312"/>
          <w:bCs/>
          <w:spacing w:val="-4"/>
          <w:sz w:val="32"/>
          <w:szCs w:val="32"/>
        </w:rPr>
        <w:t>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 进一步加强单位内部的预算管理意识及全局意识，单位组织学习预算绩效管理的相关内容，提高对绩效管理工作的重视程度，使各科室间能相互配合，严格按照预算编制相关制度、要求，科学合理的进行预算绩效监控表的编制。 不定期进行绩效过程监控，及时发现问题及时调整。在实际操作中，不断总结经验，向上级部门和统计部门学习，掌握丰富的工作经验，加以完善。</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ascii="仿宋_GB2312" w:eastAsia="仿宋_GB2312"/>
          <w:sz w:val="32"/>
          <w:szCs w:val="32"/>
        </w:rPr>
      </w:pPr>
      <w:r>
        <w:rPr>
          <w:rFonts w:hint="eastAsia" w:ascii="仿宋_GB2312" w:eastAsia="仿宋_GB2312"/>
          <w:sz w:val="32"/>
          <w:szCs w:val="32"/>
        </w:rPr>
        <w:t>《部门整体支出绩效目标自评表》</w:t>
      </w:r>
    </w:p>
    <w:p>
      <w:pPr>
        <w:ind w:firstLine="640"/>
        <w:rPr>
          <w:rFonts w:ascii="仿宋_GB2312" w:eastAsia="仿宋_GB2312"/>
          <w:sz w:val="32"/>
          <w:szCs w:val="32"/>
        </w:rPr>
      </w:pPr>
    </w:p>
    <w:p>
      <w:pPr>
        <w:pStyle w:val="2"/>
        <w:rPr>
          <w:rFonts w:ascii="仿宋_GB2312" w:eastAsia="仿宋_GB2312"/>
          <w:sz w:val="32"/>
          <w:szCs w:val="32"/>
        </w:rPr>
      </w:pPr>
    </w:p>
    <w:p>
      <w:pPr>
        <w:rPr>
          <w:rFonts w:ascii="仿宋_GB2312" w:eastAsia="仿宋_GB2312"/>
          <w:sz w:val="32"/>
          <w:szCs w:val="32"/>
        </w:rPr>
      </w:pPr>
    </w:p>
    <w:p>
      <w:pPr>
        <w:pStyle w:val="2"/>
        <w:rPr>
          <w:rFonts w:ascii="仿宋_GB2312" w:eastAsia="仿宋_GB2312"/>
          <w:sz w:val="32"/>
          <w:szCs w:val="32"/>
        </w:rPr>
      </w:pPr>
    </w:p>
    <w:p>
      <w:pPr>
        <w:rPr>
          <w:rFonts w:ascii="仿宋_GB2312" w:eastAsia="仿宋_GB2312"/>
          <w:sz w:val="32"/>
          <w:szCs w:val="32"/>
        </w:rPr>
      </w:pPr>
    </w:p>
    <w:p>
      <w:pPr>
        <w:pStyle w:val="2"/>
      </w:pPr>
    </w:p>
    <w:tbl>
      <w:tblPr>
        <w:tblStyle w:val="11"/>
        <w:tblW w:w="9000" w:type="dxa"/>
        <w:tblInd w:w="93" w:type="dxa"/>
        <w:shd w:val="clear" w:color="auto" w:fill="auto"/>
        <w:tblLayout w:type="autofit"/>
        <w:tblCellMar>
          <w:top w:w="0" w:type="dxa"/>
          <w:left w:w="108" w:type="dxa"/>
          <w:bottom w:w="0" w:type="dxa"/>
          <w:right w:w="108" w:type="dxa"/>
        </w:tblCellMar>
      </w:tblPr>
      <w:tblGrid>
        <w:gridCol w:w="688"/>
        <w:gridCol w:w="688"/>
        <w:gridCol w:w="688"/>
        <w:gridCol w:w="835"/>
        <w:gridCol w:w="1056"/>
        <w:gridCol w:w="1056"/>
        <w:gridCol w:w="762"/>
        <w:gridCol w:w="1336"/>
        <w:gridCol w:w="1056"/>
        <w:gridCol w:w="835"/>
      </w:tblGrid>
      <w:tr>
        <w:tblPrEx>
          <w:shd w:val="clear" w:color="auto" w:fill="auto"/>
          <w:tblCellMar>
            <w:top w:w="0" w:type="dxa"/>
            <w:left w:w="108" w:type="dxa"/>
            <w:bottom w:w="0" w:type="dxa"/>
            <w:right w:w="108" w:type="dxa"/>
          </w:tblCellMar>
        </w:tblPrEx>
        <w:trPr>
          <w:trHeight w:val="700" w:hRule="atLeast"/>
        </w:trPr>
        <w:tc>
          <w:tcPr>
            <w:tcW w:w="9000" w:type="dxa"/>
            <w:gridSpan w:val="10"/>
            <w:tcBorders>
              <w:top w:val="nil"/>
              <w:left w:val="nil"/>
              <w:bottom w:val="nil"/>
              <w:right w:val="nil"/>
            </w:tcBorders>
            <w:shd w:val="clear" w:color="auto" w:fill="auto"/>
            <w:vAlign w:val="center"/>
          </w:tcPr>
          <w:p>
            <w:pPr>
              <w:spacing w:line="240" w:lineRule="auto"/>
              <w:ind w:firstLine="0" w:firstLineChars="0"/>
              <w:jc w:val="center"/>
            </w:pPr>
            <w:r>
              <w:rPr>
                <w:rFonts w:hint="eastAsia"/>
                <w:b/>
                <w:bCs/>
                <w:lang w:val="en-US" w:eastAsia="zh-CN"/>
              </w:rPr>
              <w:t>部门整体支出绩效目标自评表</w:t>
            </w:r>
          </w:p>
        </w:tc>
      </w:tr>
      <w:tr>
        <w:tblPrEx>
          <w:shd w:val="clear" w:color="auto" w:fill="auto"/>
          <w:tblCellMar>
            <w:top w:w="0" w:type="dxa"/>
            <w:left w:w="108" w:type="dxa"/>
            <w:bottom w:w="0" w:type="dxa"/>
            <w:right w:w="108" w:type="dxa"/>
          </w:tblCellMar>
        </w:tblPrEx>
        <w:trPr>
          <w:trHeight w:val="540" w:hRule="atLeast"/>
        </w:trPr>
        <w:tc>
          <w:tcPr>
            <w:tcW w:w="9000" w:type="dxa"/>
            <w:gridSpan w:val="10"/>
            <w:tcBorders>
              <w:top w:val="nil"/>
              <w:left w:val="nil"/>
              <w:bottom w:val="single" w:color="000000" w:sz="4" w:space="0"/>
              <w:right w:val="nil"/>
            </w:tcBorders>
            <w:shd w:val="clear" w:color="auto" w:fill="auto"/>
            <w:vAlign w:val="center"/>
          </w:tcPr>
          <w:p>
            <w:pPr>
              <w:spacing w:line="240" w:lineRule="auto"/>
              <w:ind w:firstLine="0" w:firstLineChars="0"/>
              <w:jc w:val="center"/>
              <w:rPr>
                <w:rFonts w:hint="eastAsia"/>
              </w:rPr>
            </w:pPr>
            <w:r>
              <w:rPr>
                <w:rFonts w:hint="eastAsia"/>
                <w:lang w:val="en-US" w:eastAsia="zh-CN"/>
              </w:rPr>
              <w:t>（2022年度）</w:t>
            </w:r>
          </w:p>
        </w:tc>
      </w:tr>
      <w:tr>
        <w:tblPrEx>
          <w:shd w:val="clear" w:color="auto" w:fill="auto"/>
          <w:tblCellMar>
            <w:top w:w="0" w:type="dxa"/>
            <w:left w:w="108" w:type="dxa"/>
            <w:bottom w:w="0" w:type="dxa"/>
            <w:right w:w="108" w:type="dxa"/>
          </w:tblCellMar>
        </w:tblPrEx>
        <w:trPr>
          <w:trHeight w:val="540" w:hRule="atLeast"/>
        </w:trPr>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部门（单位）名称</w:t>
            </w:r>
          </w:p>
        </w:tc>
        <w:tc>
          <w:tcPr>
            <w:tcW w:w="63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昌吉市青少年宫(昌吉市美术馆)</w:t>
            </w:r>
          </w:p>
        </w:tc>
      </w:tr>
      <w:tr>
        <w:tblPrEx>
          <w:shd w:val="clear" w:color="auto" w:fill="auto"/>
          <w:tblCellMar>
            <w:top w:w="0" w:type="dxa"/>
            <w:left w:w="108" w:type="dxa"/>
            <w:bottom w:w="0" w:type="dxa"/>
            <w:right w:w="108" w:type="dxa"/>
          </w:tblCellMar>
        </w:tblPrEx>
        <w:trPr>
          <w:trHeight w:val="56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年度主要任务</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任务名称</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主要内容</w:t>
            </w:r>
          </w:p>
        </w:tc>
        <w:tc>
          <w:tcPr>
            <w:tcW w:w="2700" w:type="dxa"/>
            <w:gridSpan w:val="3"/>
            <w:tcBorders>
              <w:top w:val="single" w:color="000000" w:sz="4" w:space="0"/>
              <w:left w:val="nil"/>
              <w:bottom w:val="nil"/>
              <w:right w:val="nil"/>
            </w:tcBorders>
            <w:shd w:val="clear" w:color="auto" w:fill="auto"/>
            <w:vAlign w:val="center"/>
          </w:tcPr>
          <w:p>
            <w:pPr>
              <w:spacing w:line="240" w:lineRule="auto"/>
              <w:ind w:firstLine="0" w:firstLineChars="0"/>
              <w:rPr>
                <w:rFonts w:hint="eastAsia"/>
              </w:rPr>
            </w:pPr>
            <w:r>
              <w:rPr>
                <w:rFonts w:hint="eastAsia"/>
                <w:lang w:val="en-US" w:eastAsia="zh-CN"/>
              </w:rPr>
              <w:t>预算金额（万元）</w:t>
            </w: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实际执行（万元）</w:t>
            </w:r>
          </w:p>
        </w:tc>
      </w:tr>
      <w:tr>
        <w:tblPrEx>
          <w:shd w:val="clear" w:color="auto" w:fill="auto"/>
          <w:tblCellMar>
            <w:top w:w="0" w:type="dxa"/>
            <w:left w:w="108" w:type="dxa"/>
            <w:bottom w:w="0" w:type="dxa"/>
            <w:right w:w="108" w:type="dxa"/>
          </w:tblCellMar>
        </w:tblPrEx>
        <w:trPr>
          <w:trHeight w:val="8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总额</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其他资金</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总额</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财政拨款</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其他资金</w:t>
            </w:r>
          </w:p>
        </w:tc>
      </w:tr>
      <w:tr>
        <w:tblPrEx>
          <w:shd w:val="clear" w:color="auto" w:fill="auto"/>
          <w:tblCellMar>
            <w:top w:w="0" w:type="dxa"/>
            <w:left w:w="108" w:type="dxa"/>
            <w:bottom w:w="0" w:type="dxa"/>
            <w:right w:w="108" w:type="dxa"/>
          </w:tblCellMar>
        </w:tblPrEx>
        <w:trPr>
          <w:trHeight w:val="7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tcBorders>
              <w:top w:val="single" w:color="000000" w:sz="4" w:space="0"/>
              <w:left w:val="single" w:color="000000" w:sz="4" w:space="0"/>
              <w:bottom w:val="single" w:color="000000" w:sz="4" w:space="0"/>
              <w:right w:val="nil"/>
            </w:tcBorders>
            <w:shd w:val="clear" w:color="auto" w:fill="auto"/>
            <w:vAlign w:val="center"/>
          </w:tcPr>
          <w:p>
            <w:pPr>
              <w:spacing w:line="240" w:lineRule="auto"/>
              <w:ind w:firstLine="0" w:firstLineChars="0"/>
              <w:rPr>
                <w:rFonts w:hint="eastAsia"/>
              </w:rPr>
            </w:pPr>
            <w:r>
              <w:rPr>
                <w:rFonts w:hint="eastAsia"/>
                <w:lang w:val="en-US" w:eastAsia="zh-CN"/>
              </w:rPr>
              <w:t>保障工作人员日常工作正常开展，促进少儿艺术培训工作的进行</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人员工资、社保等</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102.41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102.41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102.41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102.41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0</w:t>
            </w:r>
          </w:p>
        </w:tc>
      </w:tr>
      <w:tr>
        <w:tblPrEx>
          <w:shd w:val="clear" w:color="auto" w:fill="auto"/>
          <w:tblCellMar>
            <w:top w:w="0" w:type="dxa"/>
            <w:left w:w="108" w:type="dxa"/>
            <w:bottom w:w="0" w:type="dxa"/>
            <w:right w:w="108" w:type="dxa"/>
          </w:tblCellMar>
        </w:tblPrEx>
        <w:trPr>
          <w:trHeight w:val="7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tcBorders>
              <w:top w:val="single" w:color="000000" w:sz="4" w:space="0"/>
              <w:left w:val="single" w:color="000000" w:sz="4" w:space="0"/>
              <w:bottom w:val="single" w:color="000000" w:sz="4" w:space="0"/>
              <w:right w:val="nil"/>
            </w:tcBorders>
            <w:shd w:val="clear" w:color="auto" w:fill="auto"/>
            <w:vAlign w:val="center"/>
          </w:tcPr>
          <w:p>
            <w:pPr>
              <w:spacing w:line="240" w:lineRule="auto"/>
              <w:ind w:firstLine="0" w:firstLineChars="0"/>
              <w:rPr>
                <w:rFonts w:hint="eastAsia"/>
              </w:rPr>
            </w:pPr>
            <w:r>
              <w:rPr>
                <w:rFonts w:hint="eastAsia"/>
                <w:lang w:val="en-US" w:eastAsia="zh-CN"/>
              </w:rPr>
              <w:t>美术馆日常工作</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办公费、公车运行费、水电费等</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8.19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8.19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8.19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8.19</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0</w:t>
            </w:r>
          </w:p>
        </w:tc>
      </w:tr>
      <w:tr>
        <w:tblPrEx>
          <w:shd w:val="clear" w:color="auto" w:fill="auto"/>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27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合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rPr>
                <w:rFonts w:hint="eastAsia"/>
              </w:rPr>
            </w:pPr>
            <w:r>
              <w:rPr>
                <w:rFonts w:hint="eastAsia"/>
                <w:lang w:val="en-US" w:eastAsia="zh-CN"/>
              </w:rPr>
              <w:t>110.6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110.6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110.6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110.6</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0.0</w:t>
            </w:r>
          </w:p>
        </w:tc>
      </w:tr>
      <w:tr>
        <w:tblPrEx>
          <w:shd w:val="clear" w:color="auto" w:fill="auto"/>
          <w:tblCellMar>
            <w:top w:w="0" w:type="dxa"/>
            <w:left w:w="108" w:type="dxa"/>
            <w:bottom w:w="0" w:type="dxa"/>
            <w:right w:w="108" w:type="dxa"/>
          </w:tblCellMar>
        </w:tblPrEx>
        <w:trPr>
          <w:trHeight w:val="465"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年度总体目标</w:t>
            </w:r>
          </w:p>
        </w:tc>
        <w:tc>
          <w:tcPr>
            <w:tcW w:w="36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预期目标</w:t>
            </w:r>
          </w:p>
        </w:tc>
        <w:tc>
          <w:tcPr>
            <w:tcW w:w="4500" w:type="dxa"/>
            <w:gridSpan w:val="5"/>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实际完成目标</w:t>
            </w:r>
          </w:p>
        </w:tc>
      </w:tr>
      <w:tr>
        <w:tblPrEx>
          <w:shd w:val="clear" w:color="auto" w:fill="auto"/>
          <w:tblCellMar>
            <w:top w:w="0" w:type="dxa"/>
            <w:left w:w="108" w:type="dxa"/>
            <w:bottom w:w="0" w:type="dxa"/>
            <w:right w:w="108" w:type="dxa"/>
          </w:tblCellMar>
        </w:tblPrEx>
        <w:trPr>
          <w:trHeight w:val="240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36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为持续提升本单位职工对全市少儿艺术培训能力，及提升公众文化熏陶覆盖率，昌吉市青少年宫（昌吉市美术馆）按照上级要求以及自身职能，制定2022年全年预算资金110.6万元，其中人员经费102.41万元、公用经费8.19万元，主要用于发放单位7人工资，全年开展少儿艺术培训不少于600人次，创作少儿艺术作品1个，举办免费画展至少6次，创作美术作品25个，通过开展美术馆免费开放活动，扩大昌吉市市民受艺术熏陶覆盖面，提高单位人员工作积极性，丰富群众文化生活，加快公共文化事业发展，使职工满意度及青少年及家长满意度达到95%。</w:t>
            </w:r>
          </w:p>
        </w:tc>
        <w:tc>
          <w:tcPr>
            <w:tcW w:w="4500" w:type="dxa"/>
            <w:gridSpan w:val="5"/>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 xml:space="preserve">全年开展全年免费少儿艺术培训实现预期600人目标，创作少儿艺术作品1个，举办各类书画展7场，创作书法、美术作品25个，保障办公人员数量6人，公务保障用车1量，资金使用合规率达到100%，举办画展达标率达到95%，少儿培训达标率达到95%，公用经费支付及时率达到100%。人员经费使用102.41万元，公用经费使用金额8.19万元，有效扩大昌吉市市民受艺术熏陶覆盖面，提高单位人员工作积极性，职工满意度达到95%，青少年及家长满意度达到95% </w:t>
            </w:r>
            <w:r>
              <w:rPr>
                <w:rFonts w:hint="eastAsia"/>
                <w:lang w:val="en-US" w:eastAsia="zh-CN"/>
              </w:rPr>
              <w:br w:type="textWrapping"/>
            </w:r>
            <w:r>
              <w:rPr>
                <w:rFonts w:hint="eastAsia"/>
                <w:lang w:val="en-US" w:eastAsia="zh-CN"/>
              </w:rPr>
              <w:t xml:space="preserve"> </w:t>
            </w:r>
          </w:p>
        </w:tc>
      </w:tr>
      <w:tr>
        <w:tblPrEx>
          <w:shd w:val="clear" w:color="auto" w:fill="auto"/>
          <w:tblCellMar>
            <w:top w:w="0" w:type="dxa"/>
            <w:left w:w="108" w:type="dxa"/>
            <w:bottom w:w="0" w:type="dxa"/>
            <w:right w:w="108" w:type="dxa"/>
          </w:tblCellMar>
        </w:tblPrEx>
        <w:trPr>
          <w:trHeight w:val="78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年度绩效指标完成情况</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一级指标</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二级指标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三级指标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绩效目标值</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实际完成值</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指标分值</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得分</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项目完成</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数量指标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全年免费少儿艺术培训</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&gt;=600.00人次</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&gt;=600人次</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创作少儿艺术作品</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=1.00个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举办各类书画展</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&gt;=6.00个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&gt;=7个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创作书法、美术作品</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=25.00个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=25个</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保障办公人员数量</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=7.00人</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=6人</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4.29</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公务保障用车数量</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=1.00辆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=1辆</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质量指标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资金使用合规率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=100.00%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举办画展达标率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&gt;=95.00%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&gt;=95%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少儿培训达标率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&gt;=95.00%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&gt;=95%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时效指标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公用经费支付及时率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=100.00%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成本指标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人员经费数</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&lt;=102.41万元</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&lt;=102.41万元</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公用经费数</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&lt;=8.19万元</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&lt;=8.19万元</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项目效益</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经济效益指标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社会效益指标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开展美术馆免费开放活动，扩大昌吉市市民受艺术熏陶覆盖面</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有效扩大</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95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生态效益指标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可持续影响指标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提高单位人员工作积极性</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有效提高</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15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满意度指标</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满意度指标</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职工满意度</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&gt;=95.00%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8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青少年及家长满意度</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&gt;=95.00%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&gt;=100%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rPr>
                <w:rFonts w:hint="eastAsia"/>
              </w:rPr>
            </w:pPr>
            <w:r>
              <w:rPr>
                <w:rFonts w:hint="eastAsia"/>
                <w:lang w:val="en-US" w:eastAsia="zh-CN"/>
              </w:rPr>
              <w:t>5</w:t>
            </w:r>
          </w:p>
        </w:tc>
      </w:tr>
      <w:tr>
        <w:tblPrEx>
          <w:shd w:val="clear" w:color="auto" w:fill="auto"/>
          <w:tblCellMar>
            <w:top w:w="0" w:type="dxa"/>
            <w:left w:w="108" w:type="dxa"/>
            <w:bottom w:w="0" w:type="dxa"/>
            <w:right w:w="108" w:type="dxa"/>
          </w:tblCellMar>
        </w:tblPrEx>
        <w:trPr>
          <w:trHeight w:val="560" w:hRule="atLeast"/>
        </w:trPr>
        <w:tc>
          <w:tcPr>
            <w:tcW w:w="9000" w:type="dxa"/>
            <w:gridSpan w:val="10"/>
            <w:tcBorders>
              <w:top w:val="nil"/>
              <w:left w:val="nil"/>
              <w:bottom w:val="nil"/>
              <w:right w:val="nil"/>
            </w:tcBorders>
            <w:shd w:val="clear" w:color="auto" w:fill="auto"/>
            <w:vAlign w:val="center"/>
          </w:tcPr>
          <w:p>
            <w:pPr>
              <w:spacing w:line="240" w:lineRule="auto"/>
              <w:ind w:firstLine="0" w:firstLineChars="0"/>
              <w:rPr>
                <w:rFonts w:hint="eastAsia"/>
              </w:rPr>
            </w:pPr>
          </w:p>
        </w:tc>
      </w:tr>
      <w:tr>
        <w:tblPrEx>
          <w:shd w:val="clear" w:color="auto" w:fill="auto"/>
          <w:tblCellMar>
            <w:top w:w="0" w:type="dxa"/>
            <w:left w:w="108" w:type="dxa"/>
            <w:bottom w:w="0" w:type="dxa"/>
            <w:right w:w="108" w:type="dxa"/>
          </w:tblCellMar>
        </w:tblPrEx>
        <w:trPr>
          <w:trHeight w:val="520" w:hRule="atLeast"/>
        </w:trPr>
        <w:tc>
          <w:tcPr>
            <w:tcW w:w="9000" w:type="dxa"/>
            <w:gridSpan w:val="10"/>
            <w:tcBorders>
              <w:top w:val="nil"/>
              <w:left w:val="nil"/>
              <w:bottom w:val="nil"/>
              <w:right w:val="nil"/>
            </w:tcBorders>
            <w:shd w:val="clear" w:color="auto" w:fill="auto"/>
            <w:vAlign w:val="center"/>
          </w:tcPr>
          <w:p>
            <w:pPr>
              <w:spacing w:line="240" w:lineRule="auto"/>
              <w:ind w:firstLine="0" w:firstLineChars="0"/>
              <w:rPr>
                <w:rFonts w:hint="eastAsia"/>
              </w:rPr>
            </w:pPr>
          </w:p>
        </w:tc>
      </w:tr>
    </w:tbl>
    <w:p>
      <w:pPr>
        <w:spacing w:line="240" w:lineRule="auto"/>
        <w:ind w:firstLine="0" w:firstLineChars="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14</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8CBA3B"/>
    <w:multiLevelType w:val="singleLevel"/>
    <w:tmpl w:val="F68CBA3B"/>
    <w:lvl w:ilvl="0" w:tentative="0">
      <w:start w:val="2"/>
      <w:numFmt w:val="decimal"/>
      <w:suff w:val="nothing"/>
      <w:lvlText w:val="（%1）"/>
      <w:lvlJc w:val="left"/>
      <w:pPr>
        <w:ind w:left="-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YTlmODZkMWI0MTI4YzM3YjQ4NGZlOTQzZmIxYmIifQ=="/>
  </w:docVars>
  <w:rsids>
    <w:rsidRoot w:val="005736CA"/>
    <w:rsid w:val="00012408"/>
    <w:rsid w:val="000127F0"/>
    <w:rsid w:val="00012F5F"/>
    <w:rsid w:val="000F675C"/>
    <w:rsid w:val="00121C95"/>
    <w:rsid w:val="00154474"/>
    <w:rsid w:val="001905F3"/>
    <w:rsid w:val="0020197C"/>
    <w:rsid w:val="00201A4A"/>
    <w:rsid w:val="002153DD"/>
    <w:rsid w:val="002640E4"/>
    <w:rsid w:val="00266868"/>
    <w:rsid w:val="003B184C"/>
    <w:rsid w:val="003F473D"/>
    <w:rsid w:val="00455E2F"/>
    <w:rsid w:val="00485980"/>
    <w:rsid w:val="004D4927"/>
    <w:rsid w:val="004E4CA7"/>
    <w:rsid w:val="005736CA"/>
    <w:rsid w:val="005A124E"/>
    <w:rsid w:val="005B3AD4"/>
    <w:rsid w:val="005D3F17"/>
    <w:rsid w:val="005E5D6E"/>
    <w:rsid w:val="005F7A93"/>
    <w:rsid w:val="00601640"/>
    <w:rsid w:val="00617C63"/>
    <w:rsid w:val="00722410"/>
    <w:rsid w:val="0077571A"/>
    <w:rsid w:val="007A1B0F"/>
    <w:rsid w:val="007A585B"/>
    <w:rsid w:val="007B6305"/>
    <w:rsid w:val="007D0AA2"/>
    <w:rsid w:val="008A09A7"/>
    <w:rsid w:val="008A1C5E"/>
    <w:rsid w:val="008D5E7B"/>
    <w:rsid w:val="0090615A"/>
    <w:rsid w:val="00931A42"/>
    <w:rsid w:val="009443DA"/>
    <w:rsid w:val="00961F8B"/>
    <w:rsid w:val="009D6347"/>
    <w:rsid w:val="009E68A2"/>
    <w:rsid w:val="00A22796"/>
    <w:rsid w:val="00A615BA"/>
    <w:rsid w:val="00A7110C"/>
    <w:rsid w:val="00A720BD"/>
    <w:rsid w:val="00A73929"/>
    <w:rsid w:val="00A85EC6"/>
    <w:rsid w:val="00A87301"/>
    <w:rsid w:val="00A95478"/>
    <w:rsid w:val="00AE0359"/>
    <w:rsid w:val="00B00384"/>
    <w:rsid w:val="00B40102"/>
    <w:rsid w:val="00B81249"/>
    <w:rsid w:val="00BC7E1D"/>
    <w:rsid w:val="00C11C70"/>
    <w:rsid w:val="00C36E51"/>
    <w:rsid w:val="00C5695F"/>
    <w:rsid w:val="00CA0283"/>
    <w:rsid w:val="00CD147B"/>
    <w:rsid w:val="00D04820"/>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266D56"/>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1F22D2"/>
    <w:rsid w:val="08436556"/>
    <w:rsid w:val="0856616F"/>
    <w:rsid w:val="08622524"/>
    <w:rsid w:val="086A7EAD"/>
    <w:rsid w:val="08881A41"/>
    <w:rsid w:val="08E604A1"/>
    <w:rsid w:val="08EF03CC"/>
    <w:rsid w:val="092D6339"/>
    <w:rsid w:val="097A0CA3"/>
    <w:rsid w:val="09925994"/>
    <w:rsid w:val="09DA2AA5"/>
    <w:rsid w:val="0A570F00"/>
    <w:rsid w:val="0AD23979"/>
    <w:rsid w:val="0AE14729"/>
    <w:rsid w:val="0B4635B9"/>
    <w:rsid w:val="0B6905E9"/>
    <w:rsid w:val="0B6C582B"/>
    <w:rsid w:val="0B735A1E"/>
    <w:rsid w:val="0B927CE4"/>
    <w:rsid w:val="0BA1208D"/>
    <w:rsid w:val="0BB15D99"/>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682AF0"/>
    <w:rsid w:val="0E820056"/>
    <w:rsid w:val="0E9E33B0"/>
    <w:rsid w:val="0ED5584A"/>
    <w:rsid w:val="0EF905AA"/>
    <w:rsid w:val="0F140AC0"/>
    <w:rsid w:val="0F14215B"/>
    <w:rsid w:val="0F171AE6"/>
    <w:rsid w:val="0F3C74C6"/>
    <w:rsid w:val="0FB35FED"/>
    <w:rsid w:val="0FD2175C"/>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9638F"/>
    <w:rsid w:val="132A631E"/>
    <w:rsid w:val="13332723"/>
    <w:rsid w:val="13336BAF"/>
    <w:rsid w:val="134D7FF4"/>
    <w:rsid w:val="13523DC0"/>
    <w:rsid w:val="136819A2"/>
    <w:rsid w:val="13A27094"/>
    <w:rsid w:val="13B42D72"/>
    <w:rsid w:val="13CE2B9A"/>
    <w:rsid w:val="13D06674"/>
    <w:rsid w:val="13D44D7F"/>
    <w:rsid w:val="14120FE1"/>
    <w:rsid w:val="142C48EB"/>
    <w:rsid w:val="143E5526"/>
    <w:rsid w:val="14703A03"/>
    <w:rsid w:val="1493153C"/>
    <w:rsid w:val="14A60FE7"/>
    <w:rsid w:val="14B33F8F"/>
    <w:rsid w:val="14F81E1D"/>
    <w:rsid w:val="15343BE6"/>
    <w:rsid w:val="15357338"/>
    <w:rsid w:val="153612FD"/>
    <w:rsid w:val="154136C6"/>
    <w:rsid w:val="15530DDD"/>
    <w:rsid w:val="156F1B1C"/>
    <w:rsid w:val="15FA6724"/>
    <w:rsid w:val="15FE0438"/>
    <w:rsid w:val="16050D98"/>
    <w:rsid w:val="1605350A"/>
    <w:rsid w:val="164D645C"/>
    <w:rsid w:val="167B52F3"/>
    <w:rsid w:val="16811A70"/>
    <w:rsid w:val="16D97F04"/>
    <w:rsid w:val="16DC79A8"/>
    <w:rsid w:val="16F4505A"/>
    <w:rsid w:val="17136C0E"/>
    <w:rsid w:val="17383D5F"/>
    <w:rsid w:val="177D3D5F"/>
    <w:rsid w:val="178761BB"/>
    <w:rsid w:val="17C573FD"/>
    <w:rsid w:val="18142FD5"/>
    <w:rsid w:val="18647115"/>
    <w:rsid w:val="186610FD"/>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BBF7E22"/>
    <w:rsid w:val="1BE93DF5"/>
    <w:rsid w:val="1C0E12CD"/>
    <w:rsid w:val="1C3C0819"/>
    <w:rsid w:val="1C5A6A79"/>
    <w:rsid w:val="1C603202"/>
    <w:rsid w:val="1C9A0200"/>
    <w:rsid w:val="1CCE5055"/>
    <w:rsid w:val="1CD529D6"/>
    <w:rsid w:val="1DEB6607"/>
    <w:rsid w:val="1DED007E"/>
    <w:rsid w:val="1DFB6F14"/>
    <w:rsid w:val="1E47773B"/>
    <w:rsid w:val="1E4B6E86"/>
    <w:rsid w:val="1EFC309E"/>
    <w:rsid w:val="1F0539AE"/>
    <w:rsid w:val="1F7D50C8"/>
    <w:rsid w:val="1F893367"/>
    <w:rsid w:val="1FCB3375"/>
    <w:rsid w:val="1FE173B4"/>
    <w:rsid w:val="1FE72E58"/>
    <w:rsid w:val="200667A3"/>
    <w:rsid w:val="20173A7C"/>
    <w:rsid w:val="203B1607"/>
    <w:rsid w:val="20783813"/>
    <w:rsid w:val="20F25F2A"/>
    <w:rsid w:val="20F27184"/>
    <w:rsid w:val="212F5EEF"/>
    <w:rsid w:val="213A4AC2"/>
    <w:rsid w:val="21491BF2"/>
    <w:rsid w:val="218738BE"/>
    <w:rsid w:val="219A700D"/>
    <w:rsid w:val="21B21339"/>
    <w:rsid w:val="21BF20AD"/>
    <w:rsid w:val="21C43928"/>
    <w:rsid w:val="21F330F9"/>
    <w:rsid w:val="220041A2"/>
    <w:rsid w:val="22235E02"/>
    <w:rsid w:val="228C2437"/>
    <w:rsid w:val="22AA70CA"/>
    <w:rsid w:val="23052B27"/>
    <w:rsid w:val="23585C4E"/>
    <w:rsid w:val="236A7EFE"/>
    <w:rsid w:val="23765811"/>
    <w:rsid w:val="23805685"/>
    <w:rsid w:val="23880F1A"/>
    <w:rsid w:val="23A43F46"/>
    <w:rsid w:val="23BA6588"/>
    <w:rsid w:val="23DC635E"/>
    <w:rsid w:val="23DF7B59"/>
    <w:rsid w:val="242659B0"/>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110088"/>
    <w:rsid w:val="2A380298"/>
    <w:rsid w:val="2A390D7C"/>
    <w:rsid w:val="2A6E4316"/>
    <w:rsid w:val="2A7B46E1"/>
    <w:rsid w:val="2A886FA9"/>
    <w:rsid w:val="2AA4303B"/>
    <w:rsid w:val="2AC64A60"/>
    <w:rsid w:val="2C085CD5"/>
    <w:rsid w:val="2C5033C5"/>
    <w:rsid w:val="2C5C6A3E"/>
    <w:rsid w:val="2C757BAF"/>
    <w:rsid w:val="2C8606C5"/>
    <w:rsid w:val="2C8C2E69"/>
    <w:rsid w:val="2C974E3D"/>
    <w:rsid w:val="2D07338F"/>
    <w:rsid w:val="2DB93477"/>
    <w:rsid w:val="2DC172D3"/>
    <w:rsid w:val="2DF65048"/>
    <w:rsid w:val="2E165B2D"/>
    <w:rsid w:val="2E1B46D1"/>
    <w:rsid w:val="2E9C69DA"/>
    <w:rsid w:val="2EE84ED3"/>
    <w:rsid w:val="2F047E61"/>
    <w:rsid w:val="2F062134"/>
    <w:rsid w:val="2F097580"/>
    <w:rsid w:val="2F21289E"/>
    <w:rsid w:val="2F8507EF"/>
    <w:rsid w:val="2F912F13"/>
    <w:rsid w:val="30315A18"/>
    <w:rsid w:val="308C4C8C"/>
    <w:rsid w:val="30A14448"/>
    <w:rsid w:val="31121DE6"/>
    <w:rsid w:val="31793EC1"/>
    <w:rsid w:val="31F242FB"/>
    <w:rsid w:val="31F82192"/>
    <w:rsid w:val="32025E0E"/>
    <w:rsid w:val="32031EA3"/>
    <w:rsid w:val="321C166B"/>
    <w:rsid w:val="32805979"/>
    <w:rsid w:val="32BB081F"/>
    <w:rsid w:val="32E66065"/>
    <w:rsid w:val="331160AA"/>
    <w:rsid w:val="33436432"/>
    <w:rsid w:val="335D23DB"/>
    <w:rsid w:val="33952FEB"/>
    <w:rsid w:val="33A34B5F"/>
    <w:rsid w:val="33A764C0"/>
    <w:rsid w:val="33AE0918"/>
    <w:rsid w:val="33BF2906"/>
    <w:rsid w:val="34054358"/>
    <w:rsid w:val="3417608E"/>
    <w:rsid w:val="342E7F12"/>
    <w:rsid w:val="343E7569"/>
    <w:rsid w:val="34496D65"/>
    <w:rsid w:val="345459E1"/>
    <w:rsid w:val="346976B5"/>
    <w:rsid w:val="346B7F37"/>
    <w:rsid w:val="34A94CBA"/>
    <w:rsid w:val="34B92F28"/>
    <w:rsid w:val="35031EB5"/>
    <w:rsid w:val="355401DE"/>
    <w:rsid w:val="35DE49C0"/>
    <w:rsid w:val="35FA7EA7"/>
    <w:rsid w:val="363B291C"/>
    <w:rsid w:val="363E1F63"/>
    <w:rsid w:val="37206D7C"/>
    <w:rsid w:val="375B421F"/>
    <w:rsid w:val="37905AF3"/>
    <w:rsid w:val="37A34800"/>
    <w:rsid w:val="37E02280"/>
    <w:rsid w:val="38026202"/>
    <w:rsid w:val="383B1C65"/>
    <w:rsid w:val="38764896"/>
    <w:rsid w:val="388D632D"/>
    <w:rsid w:val="38962C73"/>
    <w:rsid w:val="389D1210"/>
    <w:rsid w:val="38C05FA5"/>
    <w:rsid w:val="38CD3EED"/>
    <w:rsid w:val="38DF1F43"/>
    <w:rsid w:val="38F84920"/>
    <w:rsid w:val="390339EB"/>
    <w:rsid w:val="39D66640"/>
    <w:rsid w:val="39EB4452"/>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350BD6"/>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3E421CA"/>
    <w:rsid w:val="44016A8B"/>
    <w:rsid w:val="440D4A0E"/>
    <w:rsid w:val="441B763D"/>
    <w:rsid w:val="443F0A8A"/>
    <w:rsid w:val="44483F56"/>
    <w:rsid w:val="444C0E2A"/>
    <w:rsid w:val="44703E7E"/>
    <w:rsid w:val="44867A3B"/>
    <w:rsid w:val="44BB2E1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544C9B"/>
    <w:rsid w:val="4A74195A"/>
    <w:rsid w:val="4A7A3D76"/>
    <w:rsid w:val="4A8B6AB4"/>
    <w:rsid w:val="4A9F3033"/>
    <w:rsid w:val="4AAE190E"/>
    <w:rsid w:val="4AE70AB8"/>
    <w:rsid w:val="4B2803BA"/>
    <w:rsid w:val="4B7E595B"/>
    <w:rsid w:val="4BB07602"/>
    <w:rsid w:val="4BE66665"/>
    <w:rsid w:val="4BF32BD8"/>
    <w:rsid w:val="4C24523D"/>
    <w:rsid w:val="4C421049"/>
    <w:rsid w:val="4C5411D7"/>
    <w:rsid w:val="4C546F81"/>
    <w:rsid w:val="4C564361"/>
    <w:rsid w:val="4C5904F7"/>
    <w:rsid w:val="4C99363E"/>
    <w:rsid w:val="4C9C4F4D"/>
    <w:rsid w:val="4CB96723"/>
    <w:rsid w:val="4CE4471C"/>
    <w:rsid w:val="4D0A2F51"/>
    <w:rsid w:val="4D1D44CA"/>
    <w:rsid w:val="4D6B197A"/>
    <w:rsid w:val="4D744EAC"/>
    <w:rsid w:val="4D8C30FA"/>
    <w:rsid w:val="4D960495"/>
    <w:rsid w:val="4E1A2AF8"/>
    <w:rsid w:val="4E3E44C6"/>
    <w:rsid w:val="4E5E1429"/>
    <w:rsid w:val="4E9D6C5F"/>
    <w:rsid w:val="4ED065C7"/>
    <w:rsid w:val="4ED60D0E"/>
    <w:rsid w:val="4EFE1CAD"/>
    <w:rsid w:val="4F5E0911"/>
    <w:rsid w:val="4F6C7D95"/>
    <w:rsid w:val="4F7B7863"/>
    <w:rsid w:val="4FBC77EB"/>
    <w:rsid w:val="4FBD4AFA"/>
    <w:rsid w:val="4FE90FA2"/>
    <w:rsid w:val="50206576"/>
    <w:rsid w:val="50303A7C"/>
    <w:rsid w:val="50453781"/>
    <w:rsid w:val="50705DDC"/>
    <w:rsid w:val="50A26FF3"/>
    <w:rsid w:val="51525315"/>
    <w:rsid w:val="515C17D5"/>
    <w:rsid w:val="519223A8"/>
    <w:rsid w:val="51B45CF8"/>
    <w:rsid w:val="51CB5559"/>
    <w:rsid w:val="51CF316D"/>
    <w:rsid w:val="520F3713"/>
    <w:rsid w:val="52880A98"/>
    <w:rsid w:val="52CF7054"/>
    <w:rsid w:val="52EA6EF6"/>
    <w:rsid w:val="52FD6971"/>
    <w:rsid w:val="53223E56"/>
    <w:rsid w:val="53275AB8"/>
    <w:rsid w:val="537D5DC6"/>
    <w:rsid w:val="5388089F"/>
    <w:rsid w:val="53B05A8D"/>
    <w:rsid w:val="53D745FA"/>
    <w:rsid w:val="53D84625"/>
    <w:rsid w:val="53E40714"/>
    <w:rsid w:val="53FD29C3"/>
    <w:rsid w:val="541F5ED8"/>
    <w:rsid w:val="54467244"/>
    <w:rsid w:val="54511C79"/>
    <w:rsid w:val="54520573"/>
    <w:rsid w:val="547D34B8"/>
    <w:rsid w:val="548D7C01"/>
    <w:rsid w:val="54942775"/>
    <w:rsid w:val="549930BD"/>
    <w:rsid w:val="549C23F0"/>
    <w:rsid w:val="54B8713B"/>
    <w:rsid w:val="55132799"/>
    <w:rsid w:val="55355F31"/>
    <w:rsid w:val="55A768F4"/>
    <w:rsid w:val="55B62452"/>
    <w:rsid w:val="55FE78A0"/>
    <w:rsid w:val="56253786"/>
    <w:rsid w:val="562D3283"/>
    <w:rsid w:val="566C0CF7"/>
    <w:rsid w:val="569156EC"/>
    <w:rsid w:val="56CE2C6C"/>
    <w:rsid w:val="56E95104"/>
    <w:rsid w:val="571924B2"/>
    <w:rsid w:val="572109E0"/>
    <w:rsid w:val="5747400E"/>
    <w:rsid w:val="575751FD"/>
    <w:rsid w:val="57623F96"/>
    <w:rsid w:val="578A3F51"/>
    <w:rsid w:val="57CC6BA1"/>
    <w:rsid w:val="57CE3E29"/>
    <w:rsid w:val="581B6FA6"/>
    <w:rsid w:val="589773B3"/>
    <w:rsid w:val="58F37117"/>
    <w:rsid w:val="594D3747"/>
    <w:rsid w:val="596F52DD"/>
    <w:rsid w:val="59783883"/>
    <w:rsid w:val="59BE14BB"/>
    <w:rsid w:val="59CB7C49"/>
    <w:rsid w:val="59E91E58"/>
    <w:rsid w:val="5A0207F8"/>
    <w:rsid w:val="5A0F7C73"/>
    <w:rsid w:val="5A100CE1"/>
    <w:rsid w:val="5A1256F7"/>
    <w:rsid w:val="5A132397"/>
    <w:rsid w:val="5A2E42CD"/>
    <w:rsid w:val="5A7F37F9"/>
    <w:rsid w:val="5A837878"/>
    <w:rsid w:val="5A9E7D61"/>
    <w:rsid w:val="5AB5421F"/>
    <w:rsid w:val="5AB67D0C"/>
    <w:rsid w:val="5B0C31BE"/>
    <w:rsid w:val="5B767297"/>
    <w:rsid w:val="5B887615"/>
    <w:rsid w:val="5BBC41DB"/>
    <w:rsid w:val="5BE35827"/>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9C760D"/>
    <w:rsid w:val="5DAA0B93"/>
    <w:rsid w:val="5DCE0E18"/>
    <w:rsid w:val="5E2A4BFC"/>
    <w:rsid w:val="5EAC236D"/>
    <w:rsid w:val="5EB34C8F"/>
    <w:rsid w:val="5EB67EDE"/>
    <w:rsid w:val="5EDB0D8B"/>
    <w:rsid w:val="5F3732A8"/>
    <w:rsid w:val="5FCC33D8"/>
    <w:rsid w:val="60033350"/>
    <w:rsid w:val="601A432E"/>
    <w:rsid w:val="602266C7"/>
    <w:rsid w:val="603B7C36"/>
    <w:rsid w:val="60534AA3"/>
    <w:rsid w:val="60680187"/>
    <w:rsid w:val="60832CD9"/>
    <w:rsid w:val="60CB1B4D"/>
    <w:rsid w:val="60DC42D6"/>
    <w:rsid w:val="61217D14"/>
    <w:rsid w:val="613172F2"/>
    <w:rsid w:val="6142313B"/>
    <w:rsid w:val="614D3BC8"/>
    <w:rsid w:val="618F1CE4"/>
    <w:rsid w:val="61B9511D"/>
    <w:rsid w:val="61CC46A0"/>
    <w:rsid w:val="61CE240F"/>
    <w:rsid w:val="61D23BCD"/>
    <w:rsid w:val="62007435"/>
    <w:rsid w:val="620D7C35"/>
    <w:rsid w:val="622E2CF7"/>
    <w:rsid w:val="62302D5E"/>
    <w:rsid w:val="62A43EEF"/>
    <w:rsid w:val="63277530"/>
    <w:rsid w:val="6352384A"/>
    <w:rsid w:val="64340981"/>
    <w:rsid w:val="644B1C20"/>
    <w:rsid w:val="646A403C"/>
    <w:rsid w:val="6471055F"/>
    <w:rsid w:val="64AE7D1C"/>
    <w:rsid w:val="64B97E4E"/>
    <w:rsid w:val="64C303D9"/>
    <w:rsid w:val="652B7127"/>
    <w:rsid w:val="656B579F"/>
    <w:rsid w:val="656E592B"/>
    <w:rsid w:val="65A165E9"/>
    <w:rsid w:val="65C14A06"/>
    <w:rsid w:val="65C15488"/>
    <w:rsid w:val="660D76B4"/>
    <w:rsid w:val="667136F9"/>
    <w:rsid w:val="66841ED9"/>
    <w:rsid w:val="668F1AD8"/>
    <w:rsid w:val="66B24A2C"/>
    <w:rsid w:val="67024FEA"/>
    <w:rsid w:val="671073D1"/>
    <w:rsid w:val="678E06CE"/>
    <w:rsid w:val="679A602D"/>
    <w:rsid w:val="67E028BC"/>
    <w:rsid w:val="67F81964"/>
    <w:rsid w:val="68537B47"/>
    <w:rsid w:val="68620DC9"/>
    <w:rsid w:val="68A9552D"/>
    <w:rsid w:val="68C330AE"/>
    <w:rsid w:val="68D52CCF"/>
    <w:rsid w:val="68E45DE3"/>
    <w:rsid w:val="691D1344"/>
    <w:rsid w:val="6934149F"/>
    <w:rsid w:val="69461986"/>
    <w:rsid w:val="694E5D5C"/>
    <w:rsid w:val="6958671E"/>
    <w:rsid w:val="6A1D02B0"/>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B36903"/>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BC00EB"/>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7E738E"/>
    <w:rsid w:val="7AB2209C"/>
    <w:rsid w:val="7ACB6E73"/>
    <w:rsid w:val="7B033D7C"/>
    <w:rsid w:val="7B233171"/>
    <w:rsid w:val="7B3943CF"/>
    <w:rsid w:val="7B634CE1"/>
    <w:rsid w:val="7B9C2512"/>
    <w:rsid w:val="7BFB110F"/>
    <w:rsid w:val="7C09409A"/>
    <w:rsid w:val="7C264DF2"/>
    <w:rsid w:val="7C287D7E"/>
    <w:rsid w:val="7C3825FA"/>
    <w:rsid w:val="7C3829D4"/>
    <w:rsid w:val="7D2A2168"/>
    <w:rsid w:val="7D3613D1"/>
    <w:rsid w:val="7D4B33BB"/>
    <w:rsid w:val="7D7C4CEA"/>
    <w:rsid w:val="7D866779"/>
    <w:rsid w:val="7D9F3F02"/>
    <w:rsid w:val="7E5F0EE8"/>
    <w:rsid w:val="7E7506DB"/>
    <w:rsid w:val="7E851F96"/>
    <w:rsid w:val="7EAB0E13"/>
    <w:rsid w:val="7EB2667C"/>
    <w:rsid w:val="7EC854AC"/>
    <w:rsid w:val="7EF90802"/>
    <w:rsid w:val="7EFD215B"/>
    <w:rsid w:val="7F191C23"/>
    <w:rsid w:val="7F961180"/>
    <w:rsid w:val="7FD25BD3"/>
    <w:rsid w:val="7FDC49AB"/>
    <w:rsid w:val="7FE845F4"/>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4"/>
    <w:semiHidden/>
    <w:unhideWhenUsed/>
    <w:qFormat/>
    <w:uiPriority w:val="0"/>
    <w:pPr>
      <w:spacing w:line="240" w:lineRule="auto"/>
    </w:pPr>
    <w:rPr>
      <w:sz w:val="18"/>
      <w:szCs w:val="18"/>
    </w:rPr>
  </w:style>
  <w:style w:type="paragraph" w:styleId="8">
    <w:name w:val="footer"/>
    <w:basedOn w:val="1"/>
    <w:link w:val="23"/>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table" w:styleId="12">
    <w:name w:val="Table Grid"/>
    <w:basedOn w:val="11"/>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basedOn w:val="13"/>
    <w:qFormat/>
    <w:uiPriority w:val="0"/>
    <w:rPr>
      <w:b/>
      <w:bCs/>
    </w:rPr>
  </w:style>
  <w:style w:type="paragraph" w:customStyle="1" w:styleId="15">
    <w:name w:val="Char"/>
    <w:basedOn w:val="1"/>
    <w:qFormat/>
    <w:uiPriority w:val="99"/>
    <w:pPr>
      <w:widowControl/>
      <w:spacing w:after="160" w:line="240" w:lineRule="exact"/>
      <w:jc w:val="left"/>
    </w:pPr>
  </w:style>
  <w:style w:type="paragraph" w:customStyle="1" w:styleId="16">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7">
    <w:name w:val="List Paragraph"/>
    <w:basedOn w:val="1"/>
    <w:unhideWhenUsed/>
    <w:qFormat/>
    <w:uiPriority w:val="99"/>
    <w:pPr>
      <w:ind w:firstLine="420"/>
    </w:pPr>
  </w:style>
  <w:style w:type="paragraph" w:customStyle="1" w:styleId="18">
    <w:name w:val="样式1"/>
    <w:basedOn w:val="1"/>
    <w:link w:val="20"/>
    <w:qFormat/>
    <w:uiPriority w:val="0"/>
    <w:pPr>
      <w:ind w:firstLine="560"/>
    </w:pPr>
  </w:style>
  <w:style w:type="paragraph" w:customStyle="1" w:styleId="19">
    <w:name w:val="样式2"/>
    <w:basedOn w:val="9"/>
    <w:link w:val="22"/>
    <w:qFormat/>
    <w:uiPriority w:val="0"/>
    <w:pPr>
      <w:pBdr>
        <w:bottom w:val="none" w:color="auto" w:sz="0" w:space="0"/>
      </w:pBdr>
      <w:ind w:firstLine="360"/>
    </w:pPr>
  </w:style>
  <w:style w:type="character" w:customStyle="1" w:styleId="20">
    <w:name w:val="样式1 Char"/>
    <w:basedOn w:val="13"/>
    <w:link w:val="18"/>
    <w:qFormat/>
    <w:uiPriority w:val="0"/>
    <w:rPr>
      <w:rFonts w:ascii="仿宋" w:hAnsi="仿宋" w:eastAsia="仿宋"/>
      <w:kern w:val="2"/>
      <w:sz w:val="28"/>
      <w:szCs w:val="24"/>
    </w:rPr>
  </w:style>
  <w:style w:type="character" w:customStyle="1" w:styleId="21">
    <w:name w:val="页眉 Char"/>
    <w:basedOn w:val="13"/>
    <w:link w:val="9"/>
    <w:qFormat/>
    <w:uiPriority w:val="99"/>
    <w:rPr>
      <w:rFonts w:ascii="仿宋" w:hAnsi="仿宋" w:eastAsia="仿宋"/>
      <w:kern w:val="2"/>
      <w:sz w:val="18"/>
      <w:szCs w:val="18"/>
    </w:rPr>
  </w:style>
  <w:style w:type="character" w:customStyle="1" w:styleId="22">
    <w:name w:val="样式2 Char"/>
    <w:basedOn w:val="21"/>
    <w:link w:val="19"/>
    <w:qFormat/>
    <w:uiPriority w:val="0"/>
    <w:rPr>
      <w:rFonts w:ascii="仿宋" w:hAnsi="仿宋" w:eastAsia="仿宋"/>
      <w:kern w:val="2"/>
      <w:sz w:val="18"/>
      <w:szCs w:val="18"/>
    </w:rPr>
  </w:style>
  <w:style w:type="character" w:customStyle="1" w:styleId="23">
    <w:name w:val="页脚 Char"/>
    <w:basedOn w:val="13"/>
    <w:link w:val="8"/>
    <w:qFormat/>
    <w:uiPriority w:val="99"/>
    <w:rPr>
      <w:rFonts w:eastAsia="仿宋"/>
      <w:kern w:val="2"/>
      <w:sz w:val="18"/>
      <w:szCs w:val="24"/>
    </w:rPr>
  </w:style>
  <w:style w:type="character" w:customStyle="1" w:styleId="24">
    <w:name w:val="批注框文本 Char"/>
    <w:basedOn w:val="13"/>
    <w:link w:val="7"/>
    <w:semiHidden/>
    <w:qFormat/>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5462</Words>
  <Characters>5965</Characters>
  <Lines>5</Lines>
  <Paragraphs>12</Paragraphs>
  <TotalTime>0</TotalTime>
  <ScaleCrop>false</ScaleCrop>
  <LinksUpToDate>false</LinksUpToDate>
  <CharactersWithSpaces>6007</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cp:lastModifiedBy>
  <cp:lastPrinted>2023-02-20T06:27:00Z</cp:lastPrinted>
  <dcterms:modified xsi:type="dcterms:W3CDTF">2023-02-21T02:33:03Z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DE23143A8B4C407280373991E43A8D61</vt:lpwstr>
  </property>
</Properties>
</file>