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color w:val="auto"/>
          <w:kern w:val="0"/>
          <w:sz w:val="52"/>
          <w:szCs w:val="52"/>
        </w:rPr>
      </w:pPr>
      <w:r>
        <w:rPr>
          <w:rFonts w:hint="eastAsia"/>
          <w:color w:val="auto"/>
        </w:rPr>
        <w:br w:type="textWrapping"/>
      </w:r>
    </w:p>
    <w:p>
      <w:pPr>
        <w:ind w:firstLine="1041"/>
        <w:rPr>
          <w:rFonts w:ascii="华文中宋" w:hAnsi="华文中宋" w:eastAsia="华文中宋" w:cs="宋体"/>
          <w:b/>
          <w:color w:val="auto"/>
          <w:kern w:val="0"/>
          <w:sz w:val="52"/>
          <w:szCs w:val="52"/>
        </w:rPr>
      </w:pPr>
    </w:p>
    <w:p>
      <w:pPr>
        <w:ind w:firstLine="0" w:firstLineChars="0"/>
        <w:jc w:val="center"/>
        <w:rPr>
          <w:rFonts w:ascii="华文中宋" w:hAnsi="华文中宋" w:eastAsia="华文中宋" w:cs="宋体"/>
          <w:b/>
          <w:color w:val="auto"/>
          <w:kern w:val="0"/>
          <w:sz w:val="52"/>
          <w:szCs w:val="52"/>
        </w:rPr>
      </w:pPr>
    </w:p>
    <w:p>
      <w:pPr>
        <w:spacing w:line="600" w:lineRule="exact"/>
        <w:ind w:firstLine="0" w:firstLineChars="0"/>
        <w:jc w:val="center"/>
        <w:rPr>
          <w:rFonts w:ascii="方正小标宋_GBK" w:hAnsi="华文中宋" w:eastAsia="方正小标宋_GBK" w:cs="宋体"/>
          <w:color w:val="auto"/>
          <w:kern w:val="0"/>
          <w:sz w:val="48"/>
          <w:szCs w:val="48"/>
        </w:rPr>
      </w:pPr>
      <w:r>
        <w:rPr>
          <w:rFonts w:hint="eastAsia" w:ascii="方正小标宋_GBK" w:hAnsi="华文中宋" w:eastAsia="方正小标宋_GBK" w:cs="宋体"/>
          <w:color w:val="auto"/>
          <w:kern w:val="0"/>
          <w:sz w:val="48"/>
          <w:szCs w:val="48"/>
          <w:lang w:eastAsia="zh-CN"/>
        </w:rPr>
        <w:t>昌吉市</w:t>
      </w:r>
      <w:r>
        <w:rPr>
          <w:rFonts w:hint="eastAsia" w:ascii="方正小标宋_GBK" w:hAnsi="华文中宋" w:eastAsia="方正小标宋_GBK" w:cs="宋体"/>
          <w:color w:val="auto"/>
          <w:kern w:val="0"/>
          <w:sz w:val="48"/>
          <w:szCs w:val="48"/>
        </w:rPr>
        <w:t>部门单位整体支出绩效</w:t>
      </w:r>
    </w:p>
    <w:p>
      <w:pPr>
        <w:spacing w:line="600" w:lineRule="exact"/>
        <w:ind w:firstLine="0" w:firstLineChars="0"/>
        <w:jc w:val="center"/>
        <w:rPr>
          <w:rFonts w:ascii="方正小标宋_GBK" w:hAnsi="华文中宋" w:eastAsia="方正小标宋_GBK" w:cs="宋体"/>
          <w:color w:val="auto"/>
          <w:kern w:val="0"/>
          <w:sz w:val="48"/>
          <w:szCs w:val="48"/>
        </w:rPr>
      </w:pPr>
      <w:r>
        <w:rPr>
          <w:rFonts w:hint="eastAsia" w:ascii="方正小标宋_GBK" w:hAnsi="华文中宋" w:eastAsia="方正小标宋_GBK" w:cs="宋体"/>
          <w:color w:val="auto"/>
          <w:kern w:val="0"/>
          <w:sz w:val="48"/>
          <w:szCs w:val="48"/>
        </w:rPr>
        <w:t>自评报告</w:t>
      </w:r>
    </w:p>
    <w:p>
      <w:pPr>
        <w:ind w:firstLine="0" w:firstLineChars="0"/>
        <w:jc w:val="center"/>
        <w:rPr>
          <w:rFonts w:ascii="华文中宋" w:hAnsi="华文中宋" w:eastAsia="华文中宋" w:cs="宋体"/>
          <w:b/>
          <w:color w:val="auto"/>
          <w:kern w:val="0"/>
          <w:sz w:val="52"/>
          <w:szCs w:val="52"/>
        </w:rPr>
      </w:pPr>
    </w:p>
    <w:p>
      <w:pPr>
        <w:ind w:firstLine="0" w:firstLineChars="0"/>
        <w:jc w:val="center"/>
        <w:rPr>
          <w:rFonts w:ascii="仿宋_GB2312" w:hAnsi="宋体" w:eastAsia="仿宋_GB2312" w:cs="宋体"/>
          <w:color w:val="auto"/>
          <w:kern w:val="0"/>
          <w:sz w:val="36"/>
          <w:szCs w:val="36"/>
        </w:rPr>
      </w:pPr>
      <w:r>
        <w:rPr>
          <w:rFonts w:hint="eastAsia" w:ascii="仿宋_GB2312" w:hAnsi="宋体" w:eastAsia="仿宋_GB2312" w:cs="宋体"/>
          <w:color w:val="auto"/>
          <w:kern w:val="0"/>
          <w:sz w:val="36"/>
          <w:szCs w:val="36"/>
        </w:rPr>
        <w:t>（</w:t>
      </w:r>
      <w:r>
        <w:rPr>
          <w:rFonts w:hint="eastAsia" w:ascii="仿宋_GB2312" w:hAnsi="宋体" w:eastAsia="仿宋_GB2312" w:cs="宋体"/>
          <w:color w:val="auto"/>
          <w:kern w:val="0"/>
          <w:sz w:val="36"/>
          <w:szCs w:val="36"/>
          <w:lang w:eastAsia="zh-CN"/>
        </w:rPr>
        <w:t>2022年度</w:t>
      </w:r>
      <w:r>
        <w:rPr>
          <w:rFonts w:hint="eastAsia" w:ascii="仿宋_GB2312" w:hAnsi="Malgun Gothic Semilight" w:eastAsia="仿宋_GB2312" w:cs="Malgun Gothic Semilight"/>
          <w:color w:val="auto"/>
          <w:kern w:val="0"/>
          <w:sz w:val="36"/>
          <w:szCs w:val="36"/>
        </w:rPr>
        <w:t>）</w:t>
      </w:r>
    </w:p>
    <w:p>
      <w:pPr>
        <w:ind w:firstLine="600"/>
        <w:jc w:val="center"/>
        <w:rPr>
          <w:rFonts w:hAnsi="宋体" w:eastAsia="仿宋_GB2312" w:cs="宋体"/>
          <w:color w:val="auto"/>
          <w:kern w:val="0"/>
          <w:sz w:val="30"/>
          <w:szCs w:val="30"/>
        </w:rPr>
      </w:pPr>
    </w:p>
    <w:p>
      <w:pPr>
        <w:spacing w:line="540" w:lineRule="exact"/>
        <w:ind w:firstLine="600"/>
        <w:jc w:val="center"/>
        <w:rPr>
          <w:rFonts w:hAnsi="宋体" w:eastAsia="仿宋_GB2312" w:cs="宋体"/>
          <w:color w:val="auto"/>
          <w:kern w:val="0"/>
          <w:sz w:val="30"/>
          <w:szCs w:val="30"/>
        </w:rPr>
      </w:pPr>
    </w:p>
    <w:p>
      <w:pPr>
        <w:spacing w:line="540" w:lineRule="exact"/>
        <w:ind w:firstLine="720"/>
        <w:jc w:val="center"/>
        <w:rPr>
          <w:rFonts w:ascii="方正小标宋_GBK" w:hAnsi="宋体" w:eastAsia="方正小标宋_GBK" w:cs="宋体"/>
          <w:color w:val="auto"/>
          <w:kern w:val="0"/>
          <w:sz w:val="36"/>
          <w:szCs w:val="36"/>
        </w:rPr>
      </w:pPr>
    </w:p>
    <w:p>
      <w:pPr>
        <w:spacing w:line="540" w:lineRule="exact"/>
        <w:ind w:firstLine="720"/>
        <w:jc w:val="center"/>
        <w:rPr>
          <w:rFonts w:ascii="方正小标宋_GBK" w:hAnsi="宋体" w:eastAsia="方正小标宋_GBK" w:cs="宋体"/>
          <w:color w:val="auto"/>
          <w:kern w:val="0"/>
          <w:sz w:val="36"/>
          <w:szCs w:val="36"/>
        </w:rPr>
      </w:pPr>
    </w:p>
    <w:p>
      <w:pPr>
        <w:spacing w:line="540" w:lineRule="exact"/>
        <w:ind w:firstLine="600"/>
        <w:jc w:val="center"/>
        <w:rPr>
          <w:rFonts w:hAnsi="宋体" w:eastAsia="仿宋_GB2312" w:cs="宋体"/>
          <w:color w:val="auto"/>
          <w:kern w:val="0"/>
          <w:sz w:val="30"/>
          <w:szCs w:val="30"/>
        </w:rPr>
      </w:pPr>
    </w:p>
    <w:p>
      <w:pPr>
        <w:spacing w:line="540" w:lineRule="exact"/>
        <w:ind w:firstLine="600"/>
        <w:jc w:val="center"/>
        <w:rPr>
          <w:rFonts w:hAnsi="宋体" w:eastAsia="仿宋_GB2312" w:cs="宋体"/>
          <w:color w:val="auto"/>
          <w:kern w:val="0"/>
          <w:sz w:val="30"/>
          <w:szCs w:val="30"/>
        </w:rPr>
      </w:pPr>
    </w:p>
    <w:p>
      <w:pPr>
        <w:spacing w:line="540" w:lineRule="exact"/>
        <w:ind w:firstLine="600"/>
        <w:rPr>
          <w:rFonts w:hAnsi="宋体" w:eastAsia="仿宋_GB2312" w:cs="宋体"/>
          <w:color w:val="auto"/>
          <w:kern w:val="0"/>
          <w:sz w:val="30"/>
          <w:szCs w:val="30"/>
        </w:rPr>
      </w:pPr>
    </w:p>
    <w:p>
      <w:pPr>
        <w:spacing w:line="700" w:lineRule="exact"/>
        <w:ind w:firstLine="720"/>
        <w:jc w:val="left"/>
        <w:rPr>
          <w:rFonts w:hAnsi="宋体" w:eastAsia="仿宋_GB2312" w:cs="宋体"/>
          <w:color w:val="auto"/>
          <w:kern w:val="0"/>
          <w:sz w:val="36"/>
          <w:szCs w:val="36"/>
        </w:rPr>
      </w:pPr>
    </w:p>
    <w:p>
      <w:pPr>
        <w:spacing w:line="600" w:lineRule="exact"/>
        <w:ind w:firstLine="720"/>
        <w:rPr>
          <w:rFonts w:hint="default" w:ascii="黑体" w:hAnsi="黑体" w:eastAsia="黑体" w:cs="黑体"/>
          <w:bCs/>
          <w:color w:val="auto"/>
          <w:sz w:val="36"/>
          <w:szCs w:val="36"/>
          <w:lang w:val="en-US" w:eastAsia="zh-CN"/>
        </w:rPr>
      </w:pPr>
      <w:r>
        <w:rPr>
          <w:rFonts w:hint="eastAsia" w:ascii="黑体" w:hAnsi="黑体" w:eastAsia="黑体" w:cs="黑体"/>
          <w:bCs/>
          <w:color w:val="auto"/>
          <w:sz w:val="36"/>
          <w:szCs w:val="36"/>
        </w:rPr>
        <w:t>部门单位名称（公章）：</w:t>
      </w:r>
      <w:r>
        <w:rPr>
          <w:rFonts w:hint="eastAsia" w:ascii="黑体" w:hAnsi="黑体" w:eastAsia="黑体" w:cs="黑体"/>
          <w:bCs/>
          <w:color w:val="auto"/>
          <w:sz w:val="36"/>
          <w:szCs w:val="36"/>
          <w:lang w:eastAsia="zh-CN"/>
        </w:rPr>
        <w:t>昌吉市公共就业服务局</w:t>
      </w:r>
    </w:p>
    <w:p>
      <w:pPr>
        <w:spacing w:line="600" w:lineRule="exact"/>
        <w:ind w:firstLine="720"/>
        <w:rPr>
          <w:rFonts w:ascii="黑体" w:hAnsi="黑体" w:eastAsia="黑体" w:cs="黑体"/>
          <w:bCs/>
          <w:color w:val="auto"/>
          <w:sz w:val="36"/>
          <w:szCs w:val="36"/>
        </w:rPr>
      </w:pPr>
      <w:r>
        <w:rPr>
          <w:rFonts w:hint="eastAsia" w:ascii="黑体" w:hAnsi="黑体" w:eastAsia="黑体" w:cs="黑体"/>
          <w:bCs/>
          <w:color w:val="auto"/>
          <w:sz w:val="36"/>
          <w:szCs w:val="36"/>
        </w:rPr>
        <w:t>填报时间：</w:t>
      </w:r>
      <w:r>
        <w:rPr>
          <w:rFonts w:hint="eastAsia" w:ascii="黑体" w:hAnsi="黑体" w:eastAsia="黑体" w:cs="黑体"/>
          <w:bCs/>
          <w:color w:val="auto"/>
          <w:sz w:val="36"/>
          <w:szCs w:val="36"/>
          <w:lang w:val="en-US" w:eastAsia="zh-CN"/>
        </w:rPr>
        <w:t>2023年2</w:t>
      </w:r>
      <w:r>
        <w:rPr>
          <w:rFonts w:hint="eastAsia" w:ascii="黑体" w:hAnsi="黑体" w:eastAsia="黑体" w:cs="黑体"/>
          <w:bCs/>
          <w:color w:val="auto"/>
          <w:sz w:val="36"/>
          <w:szCs w:val="36"/>
        </w:rPr>
        <w:t>月</w:t>
      </w:r>
      <w:r>
        <w:rPr>
          <w:rFonts w:hint="eastAsia" w:ascii="黑体" w:hAnsi="黑体" w:eastAsia="黑体" w:cs="黑体"/>
          <w:bCs/>
          <w:color w:val="auto"/>
          <w:sz w:val="36"/>
          <w:szCs w:val="36"/>
          <w:lang w:val="en-US" w:eastAsia="zh-CN"/>
        </w:rPr>
        <w:t>17</w:t>
      </w:r>
      <w:r>
        <w:rPr>
          <w:rFonts w:hint="eastAsia" w:ascii="黑体" w:hAnsi="黑体" w:eastAsia="黑体" w:cs="黑体"/>
          <w:bCs/>
          <w:color w:val="auto"/>
          <w:sz w:val="36"/>
          <w:szCs w:val="36"/>
        </w:rPr>
        <w:t>日</w:t>
      </w:r>
    </w:p>
    <w:p>
      <w:pPr>
        <w:spacing w:line="700" w:lineRule="exact"/>
        <w:ind w:firstLine="849" w:firstLineChars="236"/>
        <w:jc w:val="left"/>
        <w:rPr>
          <w:rFonts w:hAnsi="宋体" w:eastAsia="仿宋_GB2312" w:cs="宋体"/>
          <w:color w:val="auto"/>
          <w:kern w:val="0"/>
          <w:sz w:val="36"/>
          <w:szCs w:val="36"/>
        </w:rPr>
      </w:pPr>
    </w:p>
    <w:p>
      <w:pPr>
        <w:ind w:firstLine="560"/>
        <w:rPr>
          <w:color w:val="auto"/>
        </w:rPr>
      </w:pPr>
    </w:p>
    <w:p>
      <w:pPr>
        <w:ind w:firstLine="560"/>
        <w:rPr>
          <w:color w:val="auto"/>
        </w:rPr>
      </w:pPr>
      <w:r>
        <w:rPr>
          <w:rFonts w:hint="eastAsia"/>
          <w:color w:val="auto"/>
        </w:rPr>
        <w:br w:type="page"/>
      </w:r>
    </w:p>
    <w:p>
      <w:pPr>
        <w:pStyle w:val="3"/>
        <w:ind w:firstLine="640"/>
        <w:rPr>
          <w:rFonts w:ascii="黑体" w:hAnsi="黑体"/>
          <w:b w:val="0"/>
          <w:color w:val="auto"/>
          <w:sz w:val="32"/>
          <w:szCs w:val="32"/>
        </w:rPr>
      </w:pPr>
      <w:r>
        <w:rPr>
          <w:rFonts w:hint="eastAsia" w:ascii="黑体" w:hAnsi="黑体"/>
          <w:b w:val="0"/>
          <w:color w:val="auto"/>
          <w:sz w:val="32"/>
          <w:szCs w:val="32"/>
        </w:rPr>
        <w:t>一、基本概况</w:t>
      </w:r>
    </w:p>
    <w:p>
      <w:pPr>
        <w:pStyle w:val="4"/>
        <w:ind w:firstLine="640"/>
        <w:rPr>
          <w:rFonts w:ascii="楷体_GB2312" w:eastAsia="楷体_GB2312"/>
          <w:color w:val="auto"/>
          <w:szCs w:val="32"/>
        </w:rPr>
      </w:pPr>
      <w:r>
        <w:rPr>
          <w:rFonts w:hint="eastAsia" w:ascii="楷体_GB2312" w:eastAsia="楷体_GB2312"/>
          <w:color w:val="auto"/>
          <w:szCs w:val="32"/>
        </w:rPr>
        <w:t>（一）单位基本情况</w:t>
      </w:r>
    </w:p>
    <w:p>
      <w:pPr>
        <w:ind w:firstLine="640"/>
        <w:rPr>
          <w:rFonts w:ascii="仿宋_GB2312" w:eastAsia="仿宋_GB2312"/>
          <w:b/>
          <w:bCs/>
          <w:color w:val="auto"/>
          <w:sz w:val="32"/>
          <w:szCs w:val="32"/>
        </w:rPr>
      </w:pPr>
      <w:r>
        <w:rPr>
          <w:rFonts w:hint="eastAsia" w:ascii="仿宋_GB2312" w:eastAsia="仿宋_GB2312"/>
          <w:b/>
          <w:bCs/>
          <w:color w:val="auto"/>
          <w:sz w:val="32"/>
          <w:szCs w:val="32"/>
        </w:rPr>
        <w:t>1.机构设置及人员情况</w:t>
      </w:r>
    </w:p>
    <w:p>
      <w:pPr>
        <w:pStyle w:val="5"/>
        <w:ind w:firstLine="640"/>
        <w:rPr>
          <w:b w:val="0"/>
          <w:bCs w:val="0"/>
          <w:color w:val="auto"/>
          <w:sz w:val="32"/>
        </w:rPr>
      </w:pPr>
      <w:r>
        <w:rPr>
          <w:rFonts w:hint="eastAsia" w:ascii="仿宋_GB2312" w:hAnsi="仿宋" w:eastAsia="仿宋_GB2312"/>
          <w:b w:val="0"/>
          <w:bCs w:val="0"/>
          <w:color w:val="auto"/>
          <w:sz w:val="32"/>
          <w:szCs w:val="32"/>
        </w:rPr>
        <w:t>昌吉市公共就业服务局系全额拨款独立核算的参照公务员法管理的事业单位，属一级预算单位，执行事业单位会计制度，昌吉市公共就业服务局设行政办公室 、就业服务指导科、人力资源市场科3个内设机构。核定参照公务员管理事业编制16名，在职在编</w:t>
      </w:r>
      <w:r>
        <w:rPr>
          <w:rFonts w:hint="eastAsia" w:hAnsi="仿宋"/>
          <w:b w:val="0"/>
          <w:bCs w:val="0"/>
          <w:color w:val="auto"/>
          <w:sz w:val="32"/>
          <w:szCs w:val="32"/>
          <w:lang w:val="en-US" w:eastAsia="zh-CN"/>
        </w:rPr>
        <w:t>17</w:t>
      </w:r>
      <w:r>
        <w:rPr>
          <w:rFonts w:hint="eastAsia" w:ascii="仿宋_GB2312" w:hAnsi="仿宋" w:eastAsia="仿宋_GB2312"/>
          <w:b w:val="0"/>
          <w:bCs w:val="0"/>
          <w:color w:val="auto"/>
          <w:sz w:val="32"/>
          <w:szCs w:val="32"/>
        </w:rPr>
        <w:t>人；退休人员</w:t>
      </w:r>
      <w:r>
        <w:rPr>
          <w:rFonts w:hint="eastAsia" w:hAnsi="仿宋"/>
          <w:b w:val="0"/>
          <w:bCs w:val="0"/>
          <w:color w:val="auto"/>
          <w:sz w:val="32"/>
          <w:szCs w:val="32"/>
          <w:lang w:val="en-US" w:eastAsia="zh-CN"/>
        </w:rPr>
        <w:t>21</w:t>
      </w:r>
      <w:r>
        <w:rPr>
          <w:rFonts w:hint="eastAsia" w:ascii="仿宋_GB2312" w:hAnsi="仿宋" w:eastAsia="仿宋_GB2312"/>
          <w:b w:val="0"/>
          <w:bCs w:val="0"/>
          <w:color w:val="auto"/>
          <w:sz w:val="32"/>
          <w:szCs w:val="32"/>
        </w:rPr>
        <w:t>人。</w:t>
      </w:r>
    </w:p>
    <w:p>
      <w:pPr>
        <w:numPr>
          <w:ilvl w:val="0"/>
          <w:numId w:val="1"/>
        </w:numPr>
        <w:ind w:firstLine="640"/>
        <w:rPr>
          <w:rFonts w:ascii="仿宋_GB2312" w:eastAsia="仿宋_GB2312"/>
          <w:b/>
          <w:bCs/>
          <w:color w:val="auto"/>
          <w:sz w:val="32"/>
          <w:szCs w:val="32"/>
        </w:rPr>
      </w:pPr>
      <w:r>
        <w:rPr>
          <w:rFonts w:hint="eastAsia" w:ascii="仿宋_GB2312" w:eastAsia="仿宋_GB2312"/>
          <w:b/>
          <w:bCs/>
          <w:color w:val="auto"/>
          <w:sz w:val="32"/>
          <w:szCs w:val="32"/>
        </w:rPr>
        <w:t>主要职能</w:t>
      </w:r>
    </w:p>
    <w:p>
      <w:pPr>
        <w:pStyle w:val="5"/>
        <w:rPr>
          <w:b w:val="0"/>
          <w:bCs w:val="0"/>
          <w:color w:val="auto"/>
        </w:rPr>
      </w:pPr>
      <w:r>
        <w:rPr>
          <w:rFonts w:hint="eastAsia" w:ascii="仿宋_GB2312" w:hAnsi="黑体" w:eastAsia="仿宋_GB2312" w:cs="宋体"/>
          <w:b w:val="0"/>
          <w:bCs w:val="0"/>
          <w:color w:val="auto"/>
          <w:kern w:val="0"/>
          <w:sz w:val="32"/>
          <w:szCs w:val="32"/>
        </w:rPr>
        <w:t>政府主要职能是负责贯彻执行自治州促进就业再就业有关政策，规划；负责提供就业政策法规咨询；落实就业援助政策，负责对就业困难人员实施就业援助；推进就业服务体系建设；城镇就业岗位开发，新增就业、城镇登记失业率等工作规划和年度计划，承担人力资源市场管理，人力资源交流工作；负责就业登记、失业登记、职业指导；负责为用工单位提供用工信息的发布及岗位对接和人员招聘活动；负责指导、组织、协调城镇失业人员、城镇就成长劳动力、大中专毕业生、失业农民和农村富余劳动力等各类群体就业工作。</w:t>
      </w:r>
    </w:p>
    <w:p>
      <w:pPr>
        <w:numPr>
          <w:ilvl w:val="0"/>
          <w:numId w:val="1"/>
        </w:numPr>
        <w:ind w:firstLine="640"/>
        <w:rPr>
          <w:rFonts w:ascii="仿宋_GB2312" w:eastAsia="仿宋_GB2312"/>
          <w:b/>
          <w:bCs/>
          <w:color w:val="auto"/>
          <w:sz w:val="32"/>
          <w:szCs w:val="32"/>
        </w:rPr>
      </w:pPr>
      <w:r>
        <w:rPr>
          <w:rFonts w:hint="eastAsia" w:ascii="仿宋_GB2312" w:eastAsia="仿宋_GB2312"/>
          <w:b/>
          <w:bCs/>
          <w:color w:val="auto"/>
          <w:sz w:val="32"/>
          <w:szCs w:val="32"/>
        </w:rPr>
        <w:t>年度重点工作计划</w:t>
      </w:r>
    </w:p>
    <w:p>
      <w:pPr>
        <w:pStyle w:val="5"/>
        <w:ind w:firstLine="640" w:firstLineChars="200"/>
        <w:rPr>
          <w:b w:val="0"/>
          <w:bCs w:val="0"/>
          <w:color w:val="auto"/>
          <w:sz w:val="32"/>
        </w:rPr>
      </w:pPr>
      <w:r>
        <w:rPr>
          <w:rFonts w:hint="eastAsia" w:ascii="仿宋_GB2312" w:hAnsi="黑体" w:eastAsia="仿宋_GB2312" w:cs="宋体"/>
          <w:b w:val="0"/>
          <w:bCs w:val="0"/>
          <w:color w:val="auto"/>
          <w:kern w:val="0"/>
          <w:sz w:val="32"/>
          <w:szCs w:val="32"/>
          <w:lang w:val="en-US" w:eastAsia="zh-CN"/>
        </w:rPr>
        <w:t>202</w:t>
      </w:r>
      <w:r>
        <w:rPr>
          <w:rFonts w:hint="eastAsia" w:hAnsi="黑体" w:cs="宋体"/>
          <w:b w:val="0"/>
          <w:bCs w:val="0"/>
          <w:color w:val="auto"/>
          <w:kern w:val="0"/>
          <w:sz w:val="32"/>
          <w:szCs w:val="32"/>
          <w:lang w:val="en-US" w:eastAsia="zh-CN"/>
        </w:rPr>
        <w:t>2</w:t>
      </w:r>
      <w:r>
        <w:rPr>
          <w:rFonts w:hint="eastAsia" w:ascii="仿宋_GB2312" w:hAnsi="黑体" w:eastAsia="仿宋_GB2312" w:cs="宋体"/>
          <w:b w:val="0"/>
          <w:bCs w:val="0"/>
          <w:color w:val="auto"/>
          <w:kern w:val="0"/>
          <w:sz w:val="32"/>
          <w:szCs w:val="32"/>
          <w:lang w:val="en-US" w:eastAsia="zh-CN"/>
        </w:rPr>
        <w:t>年目标任务新增农村富余劳动力转移就业人数23200人次；组织开展公共就业服务专项活动</w:t>
      </w:r>
      <w:r>
        <w:rPr>
          <w:rFonts w:hint="eastAsia" w:hAnsi="黑体" w:cs="宋体"/>
          <w:b w:val="0"/>
          <w:bCs w:val="0"/>
          <w:color w:val="auto"/>
          <w:kern w:val="0"/>
          <w:sz w:val="32"/>
          <w:szCs w:val="32"/>
          <w:lang w:val="en-US" w:eastAsia="zh-CN"/>
        </w:rPr>
        <w:t>5</w:t>
      </w:r>
      <w:r>
        <w:rPr>
          <w:rFonts w:hint="eastAsia" w:ascii="仿宋_GB2312" w:hAnsi="黑体" w:eastAsia="仿宋_GB2312" w:cs="宋体"/>
          <w:b w:val="0"/>
          <w:bCs w:val="0"/>
          <w:color w:val="auto"/>
          <w:kern w:val="0"/>
          <w:sz w:val="32"/>
          <w:szCs w:val="32"/>
          <w:lang w:val="en-US" w:eastAsia="zh-CN"/>
        </w:rPr>
        <w:t>场次；完成国有企业退休人员档案移交管理6000份；确保务工人员工作、社保发放率达100%。</w:t>
      </w:r>
    </w:p>
    <w:p>
      <w:pPr>
        <w:pStyle w:val="4"/>
        <w:tabs>
          <w:tab w:val="left" w:pos="6195"/>
        </w:tabs>
        <w:ind w:firstLine="640"/>
        <w:rPr>
          <w:rFonts w:ascii="楷体_GB2312" w:eastAsia="楷体_GB2312"/>
          <w:color w:val="auto"/>
          <w:szCs w:val="32"/>
        </w:rPr>
      </w:pPr>
      <w:r>
        <w:rPr>
          <w:rFonts w:hint="eastAsia" w:ascii="楷体_GB2312" w:eastAsia="楷体_GB2312"/>
          <w:color w:val="auto"/>
          <w:szCs w:val="32"/>
        </w:rPr>
        <w:t>（二）单位决策机制</w:t>
      </w:r>
      <w:r>
        <w:rPr>
          <w:rFonts w:ascii="楷体_GB2312" w:eastAsia="楷体_GB2312"/>
          <w:color w:val="auto"/>
          <w:szCs w:val="32"/>
        </w:rPr>
        <w:tab/>
      </w:r>
    </w:p>
    <w:p>
      <w:pPr>
        <w:ind w:firstLine="640"/>
        <w:rPr>
          <w:rFonts w:hint="eastAsia" w:ascii="仿宋_GB2312" w:eastAsia="仿宋_GB2312"/>
          <w:b/>
          <w:bCs/>
          <w:color w:val="auto"/>
          <w:sz w:val="32"/>
          <w:szCs w:val="32"/>
          <w:lang w:eastAsia="zh-CN"/>
        </w:rPr>
      </w:pPr>
      <w:r>
        <w:rPr>
          <w:rFonts w:hint="eastAsia" w:ascii="仿宋_GB2312" w:eastAsia="仿宋_GB2312"/>
          <w:color w:val="auto"/>
          <w:sz w:val="32"/>
          <w:szCs w:val="32"/>
          <w:lang w:eastAsia="zh-CN"/>
        </w:rPr>
        <w:t>我单位决策机制根据行政事业单位内部控制体系建设相关要求，</w:t>
      </w:r>
      <w:r>
        <w:rPr>
          <w:rFonts w:hint="eastAsia" w:ascii="仿宋_GB2312" w:eastAsia="仿宋_GB2312"/>
          <w:color w:val="auto"/>
          <w:sz w:val="32"/>
          <w:szCs w:val="32"/>
          <w:lang w:val="en-US" w:eastAsia="zh-CN"/>
        </w:rPr>
        <w:t>2022年规范《昌吉市公共财务支出管理规范》，严格按照局委会决策部署，严格执行</w:t>
      </w:r>
      <w:r>
        <w:rPr>
          <w:rFonts w:hint="eastAsia" w:ascii="仿宋_GB2312" w:eastAsia="仿宋_GB2312"/>
          <w:color w:val="auto"/>
          <w:sz w:val="32"/>
          <w:szCs w:val="32"/>
        </w:rPr>
        <w:t>《三重一大会议制度》</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涉及财务收支2000元以上金额，召开财经领导小组会议研究</w:t>
      </w:r>
      <w:r>
        <w:rPr>
          <w:rFonts w:hint="eastAsia" w:ascii="仿宋_GB2312" w:eastAsia="仿宋_GB2312"/>
          <w:color w:val="auto"/>
          <w:sz w:val="32"/>
          <w:szCs w:val="32"/>
          <w:lang w:eastAsia="zh-CN"/>
        </w:rPr>
        <w:t>，确保各项重大事项合理、合规。</w:t>
      </w:r>
    </w:p>
    <w:p>
      <w:pPr>
        <w:pStyle w:val="4"/>
        <w:numPr>
          <w:ilvl w:val="0"/>
          <w:numId w:val="2"/>
        </w:numPr>
        <w:ind w:firstLine="640"/>
        <w:rPr>
          <w:rFonts w:ascii="楷体_GB2312" w:eastAsia="楷体_GB2312"/>
          <w:color w:val="auto"/>
          <w:szCs w:val="32"/>
        </w:rPr>
      </w:pPr>
      <w:r>
        <w:rPr>
          <w:rFonts w:hint="eastAsia" w:ascii="楷体_GB2312" w:eastAsia="楷体_GB2312"/>
          <w:color w:val="auto"/>
          <w:szCs w:val="32"/>
        </w:rPr>
        <w:t>单位资金分配情况</w:t>
      </w:r>
    </w:p>
    <w:p>
      <w:pPr>
        <w:widowControl/>
        <w:spacing w:line="500" w:lineRule="exact"/>
        <w:ind w:firstLine="643" w:firstLineChars="200"/>
        <w:jc w:val="left"/>
        <w:rPr>
          <w:rFonts w:ascii="仿宋_GB2312" w:hAnsi="楷体" w:eastAsia="仿宋_GB2312"/>
          <w:bCs/>
          <w:spacing w:val="-4"/>
          <w:sz w:val="32"/>
          <w:szCs w:val="32"/>
        </w:rPr>
      </w:pPr>
      <w:r>
        <w:rPr>
          <w:rFonts w:hint="eastAsia" w:ascii="仿宋_GB2312" w:eastAsia="仿宋_GB2312" w:cs="仿宋"/>
          <w:b/>
          <w:color w:val="auto"/>
          <w:sz w:val="32"/>
          <w:szCs w:val="32"/>
        </w:rPr>
        <w:t>1.分配依据及结果。</w:t>
      </w:r>
      <w:r>
        <w:rPr>
          <w:rFonts w:hint="eastAsia" w:ascii="仿宋_GB2312" w:eastAsia="仿宋_GB2312" w:cs="仿宋"/>
          <w:b w:val="0"/>
          <w:bCs/>
          <w:color w:val="auto"/>
          <w:sz w:val="32"/>
          <w:szCs w:val="32"/>
          <w:lang w:val="en-US" w:eastAsia="zh-CN"/>
        </w:rPr>
        <w:t>2022年我单位</w:t>
      </w:r>
      <w:r>
        <w:rPr>
          <w:rFonts w:hint="eastAsia" w:ascii="仿宋_GB2312" w:eastAsia="仿宋_GB2312" w:cs="仿宋"/>
          <w:color w:val="auto"/>
          <w:sz w:val="32"/>
          <w:szCs w:val="32"/>
        </w:rPr>
        <w:t>基本支出根据单位人员编制、实有人数、资产情况等要素进行预算编制</w:t>
      </w:r>
      <w:r>
        <w:rPr>
          <w:rFonts w:hint="eastAsia" w:ascii="仿宋_GB2312" w:eastAsia="仿宋_GB2312" w:cs="仿宋"/>
          <w:color w:val="auto"/>
          <w:sz w:val="32"/>
          <w:szCs w:val="32"/>
          <w:lang w:eastAsia="zh-CN"/>
        </w:rPr>
        <w:t>，</w:t>
      </w:r>
      <w:r>
        <w:rPr>
          <w:rFonts w:hint="eastAsia" w:ascii="仿宋_GB2312" w:eastAsia="仿宋_GB2312" w:cs="仿宋"/>
          <w:color w:val="auto"/>
          <w:sz w:val="32"/>
          <w:szCs w:val="32"/>
        </w:rPr>
        <w:t>预算批复后，严格按照财政部门批复的预算和绩效目标执行。</w:t>
      </w:r>
      <w:r>
        <w:rPr>
          <w:rFonts w:hint="eastAsia" w:ascii="仿宋_GB2312" w:eastAsia="仿宋_GB2312"/>
          <w:color w:val="auto"/>
          <w:sz w:val="32"/>
          <w:szCs w:val="32"/>
          <w:lang w:eastAsia="zh-CN"/>
        </w:rPr>
        <w:t>我单为</w:t>
      </w:r>
      <w:r>
        <w:rPr>
          <w:rFonts w:hint="eastAsia" w:ascii="仿宋_GB2312" w:hAnsi="仿宋"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hAnsi="仿宋" w:eastAsia="仿宋_GB2312"/>
          <w:color w:val="auto"/>
          <w:sz w:val="32"/>
          <w:szCs w:val="32"/>
        </w:rPr>
        <w:t>年</w:t>
      </w:r>
      <w:r>
        <w:rPr>
          <w:rFonts w:hint="eastAsia" w:ascii="仿宋_GB2312" w:eastAsia="仿宋_GB2312"/>
          <w:color w:val="auto"/>
          <w:sz w:val="32"/>
          <w:szCs w:val="32"/>
          <w:lang w:eastAsia="zh-CN"/>
        </w:rPr>
        <w:t>编制</w:t>
      </w:r>
      <w:r>
        <w:rPr>
          <w:rFonts w:hint="eastAsia" w:ascii="仿宋_GB2312" w:eastAsia="仿宋_GB2312"/>
          <w:color w:val="auto"/>
          <w:sz w:val="32"/>
          <w:szCs w:val="32"/>
          <w:lang w:val="en-US" w:eastAsia="zh-CN"/>
        </w:rPr>
        <w:t>16人，实有人数17人，</w:t>
      </w:r>
      <w:r>
        <w:rPr>
          <w:rFonts w:hint="eastAsia" w:ascii="仿宋_GB2312" w:hAnsi="仿宋" w:eastAsia="仿宋_GB2312"/>
          <w:color w:val="auto"/>
          <w:sz w:val="32"/>
          <w:szCs w:val="32"/>
        </w:rPr>
        <w:t>初预算安排收入</w:t>
      </w:r>
      <w:r>
        <w:rPr>
          <w:rFonts w:hint="eastAsia" w:ascii="仿宋_GB2312" w:hAnsi="仿宋" w:eastAsia="仿宋_GB2312"/>
          <w:sz w:val="32"/>
          <w:szCs w:val="32"/>
        </w:rPr>
        <w:t>265.1</w:t>
      </w:r>
      <w:r>
        <w:rPr>
          <w:rFonts w:hint="eastAsia" w:ascii="仿宋_GB2312" w:hAnsi="仿宋" w:eastAsia="仿宋_GB2312"/>
          <w:color w:val="auto"/>
          <w:sz w:val="32"/>
          <w:szCs w:val="32"/>
        </w:rPr>
        <w:t>万元，调整预算收入</w:t>
      </w:r>
      <w:r>
        <w:rPr>
          <w:rFonts w:hint="eastAsia" w:ascii="仿宋_GB2312" w:hAnsi="仿宋" w:eastAsia="仿宋_GB2312"/>
          <w:sz w:val="32"/>
          <w:szCs w:val="32"/>
        </w:rPr>
        <w:t>328.28</w:t>
      </w:r>
      <w:r>
        <w:rPr>
          <w:rFonts w:hint="eastAsia" w:ascii="仿宋_GB2312" w:hAnsi="仿宋" w:eastAsia="仿宋_GB2312"/>
          <w:color w:val="auto"/>
          <w:sz w:val="32"/>
          <w:szCs w:val="32"/>
        </w:rPr>
        <w:t>万元，整体支出</w:t>
      </w:r>
      <w:r>
        <w:rPr>
          <w:rFonts w:hint="eastAsia" w:ascii="仿宋_GB2312" w:hAnsi="仿宋" w:eastAsia="仿宋_GB2312"/>
          <w:sz w:val="32"/>
          <w:szCs w:val="32"/>
        </w:rPr>
        <w:t>328.28</w:t>
      </w:r>
      <w:r>
        <w:rPr>
          <w:rFonts w:hint="eastAsia" w:ascii="仿宋_GB2312" w:hAnsi="仿宋" w:eastAsia="仿宋_GB2312"/>
          <w:color w:val="auto"/>
          <w:sz w:val="32"/>
          <w:szCs w:val="32"/>
        </w:rPr>
        <w:t>万元，支出比率100</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0</w:t>
      </w:r>
      <w:r>
        <w:rPr>
          <w:rFonts w:hint="eastAsia" w:ascii="仿宋_GB2312" w:hAnsi="仿宋" w:eastAsia="仿宋_GB2312"/>
          <w:color w:val="auto"/>
          <w:sz w:val="32"/>
          <w:szCs w:val="32"/>
        </w:rPr>
        <w:t>%，其中：基本支出预算</w:t>
      </w:r>
      <w:r>
        <w:rPr>
          <w:rFonts w:hint="eastAsia" w:ascii="仿宋_GB2312" w:hAnsi="仿宋" w:eastAsia="仿宋_GB2312"/>
          <w:sz w:val="32"/>
          <w:szCs w:val="32"/>
        </w:rPr>
        <w:t>304.31</w:t>
      </w:r>
      <w:r>
        <w:rPr>
          <w:rFonts w:hint="eastAsia" w:ascii="仿宋_GB2312" w:hAnsi="仿宋" w:eastAsia="仿宋_GB2312"/>
          <w:color w:val="auto"/>
          <w:sz w:val="32"/>
          <w:szCs w:val="32"/>
        </w:rPr>
        <w:t>万元，实际基本支出：</w:t>
      </w:r>
      <w:r>
        <w:rPr>
          <w:rFonts w:hint="eastAsia" w:ascii="仿宋_GB2312" w:hAnsi="仿宋" w:eastAsia="仿宋_GB2312"/>
          <w:sz w:val="32"/>
          <w:szCs w:val="32"/>
        </w:rPr>
        <w:t>304.31</w:t>
      </w:r>
      <w:r>
        <w:rPr>
          <w:rFonts w:hint="eastAsia" w:ascii="仿宋_GB2312" w:hAnsi="仿宋" w:eastAsia="仿宋_GB2312"/>
          <w:color w:val="auto"/>
          <w:sz w:val="32"/>
          <w:szCs w:val="32"/>
        </w:rPr>
        <w:t>万元支出比率100%；基本支出主要用于日常工作运转开支，包括人员的工资福利支出、一般商品和服务支出、对个人和家庭的补助支出。公用经费按照厉行节约的原则规范资金使用流程，尤其是“三公”经费严格控制在预算指标内。</w:t>
      </w:r>
      <w:r>
        <w:rPr>
          <w:rFonts w:hint="eastAsia" w:ascii="仿宋_GB2312" w:hAnsi="仿宋" w:eastAsia="仿宋_GB2312"/>
          <w:sz w:val="32"/>
          <w:szCs w:val="32"/>
        </w:rPr>
        <w:t>年内追加项目23.97万元。</w:t>
      </w:r>
    </w:p>
    <w:p>
      <w:pPr>
        <w:widowControl/>
        <w:ind w:firstLine="640"/>
        <w:jc w:val="left"/>
        <w:rPr>
          <w:rFonts w:ascii="仿宋_GB2312" w:eastAsia="仿宋_GB2312" w:cs="仿宋"/>
          <w:b w:val="0"/>
          <w:bCs/>
          <w:color w:val="auto"/>
          <w:sz w:val="32"/>
          <w:szCs w:val="32"/>
        </w:rPr>
      </w:pPr>
      <w:r>
        <w:rPr>
          <w:rFonts w:hint="eastAsia" w:ascii="仿宋_GB2312" w:eastAsia="仿宋_GB2312" w:cs="仿宋"/>
          <w:b/>
          <w:color w:val="auto"/>
          <w:sz w:val="32"/>
          <w:szCs w:val="32"/>
        </w:rPr>
        <w:t>2.</w:t>
      </w:r>
      <w:r>
        <w:rPr>
          <w:rFonts w:hint="eastAsia" w:ascii="仿宋_GB2312" w:eastAsia="仿宋_GB2312"/>
          <w:b/>
          <w:color w:val="auto"/>
          <w:sz w:val="32"/>
          <w:szCs w:val="32"/>
        </w:rPr>
        <w:t>重点支出保障情况。</w:t>
      </w:r>
      <w:r>
        <w:rPr>
          <w:rFonts w:hint="eastAsia" w:ascii="仿宋_GB2312" w:eastAsia="仿宋_GB2312"/>
          <w:b w:val="0"/>
          <w:bCs/>
          <w:color w:val="auto"/>
          <w:sz w:val="32"/>
          <w:szCs w:val="32"/>
          <w:lang w:val="en-US" w:eastAsia="zh-CN"/>
        </w:rPr>
        <w:t>2022年</w:t>
      </w:r>
      <w:r>
        <w:rPr>
          <w:rFonts w:hint="eastAsia" w:ascii="仿宋_GB2312" w:hAnsi="仿宋" w:eastAsia="仿宋_GB2312"/>
          <w:sz w:val="32"/>
          <w:szCs w:val="32"/>
        </w:rPr>
        <w:t>年内追加项目23.97万元</w:t>
      </w:r>
    </w:p>
    <w:p>
      <w:pPr>
        <w:pStyle w:val="4"/>
        <w:numPr>
          <w:ilvl w:val="0"/>
          <w:numId w:val="2"/>
        </w:numPr>
        <w:ind w:firstLine="640"/>
        <w:rPr>
          <w:rFonts w:ascii="楷体_GB2312" w:eastAsia="楷体_GB2312"/>
          <w:color w:val="auto"/>
          <w:szCs w:val="32"/>
        </w:rPr>
      </w:pPr>
      <w:r>
        <w:rPr>
          <w:rFonts w:hint="eastAsia" w:ascii="楷体_GB2312" w:eastAsia="楷体_GB2312"/>
          <w:color w:val="auto"/>
          <w:szCs w:val="32"/>
        </w:rPr>
        <w:t>部门单位整体支出规模、使用方法和主要内容、涉及范围</w:t>
      </w:r>
    </w:p>
    <w:p>
      <w:pPr>
        <w:numPr>
          <w:ilvl w:val="0"/>
          <w:numId w:val="3"/>
        </w:numPr>
        <w:ind w:firstLine="640"/>
        <w:rPr>
          <w:rFonts w:ascii="仿宋_GB2312" w:eastAsia="仿宋_GB2312"/>
          <w:b/>
          <w:bCs/>
          <w:color w:val="auto"/>
          <w:sz w:val="32"/>
          <w:szCs w:val="32"/>
        </w:rPr>
      </w:pPr>
      <w:r>
        <w:rPr>
          <w:rFonts w:hint="eastAsia" w:ascii="仿宋_GB2312" w:eastAsia="仿宋_GB2312"/>
          <w:b/>
          <w:bCs/>
          <w:color w:val="auto"/>
          <w:sz w:val="32"/>
          <w:szCs w:val="32"/>
        </w:rPr>
        <w:t>部门单位整体支出规模</w:t>
      </w:r>
    </w:p>
    <w:p>
      <w:pPr>
        <w:ind w:firstLine="640"/>
        <w:rPr>
          <w:rFonts w:ascii="仿宋_GB2312" w:eastAsia="仿宋_GB2312"/>
          <w:color w:val="auto"/>
          <w:sz w:val="32"/>
          <w:szCs w:val="32"/>
        </w:rPr>
      </w:pPr>
      <w:r>
        <w:rPr>
          <w:rFonts w:hint="eastAsia" w:ascii="仿宋_GB2312" w:eastAsia="仿宋_GB2312"/>
          <w:color w:val="auto"/>
          <w:sz w:val="32"/>
          <w:szCs w:val="32"/>
          <w:lang w:eastAsia="zh-CN"/>
        </w:rPr>
        <w:t>2022年度</w:t>
      </w:r>
      <w:r>
        <w:rPr>
          <w:rFonts w:hint="eastAsia" w:ascii="仿宋_GB2312" w:eastAsia="仿宋_GB2312"/>
          <w:color w:val="auto"/>
          <w:sz w:val="32"/>
          <w:szCs w:val="32"/>
        </w:rPr>
        <w:t>，</w:t>
      </w:r>
      <w:r>
        <w:rPr>
          <w:rFonts w:hint="eastAsia" w:ascii="仿宋_GB2312" w:eastAsia="仿宋_GB2312"/>
          <w:bCs/>
          <w:color w:val="auto"/>
          <w:sz w:val="32"/>
          <w:szCs w:val="32"/>
          <w:lang w:eastAsia="zh-CN"/>
        </w:rPr>
        <w:t>昌吉市公共就业服务局</w:t>
      </w:r>
      <w:r>
        <w:rPr>
          <w:rFonts w:hint="eastAsia" w:ascii="仿宋_GB2312" w:eastAsia="仿宋_GB2312"/>
          <w:bCs/>
          <w:color w:val="auto"/>
          <w:sz w:val="32"/>
          <w:szCs w:val="32"/>
        </w:rPr>
        <w:t>部门单位整体支出年初预算金额为</w:t>
      </w:r>
      <w:r>
        <w:rPr>
          <w:rFonts w:hint="eastAsia" w:ascii="仿宋_GB2312" w:hAnsi="仿宋" w:eastAsia="仿宋_GB2312"/>
          <w:color w:val="auto"/>
          <w:sz w:val="32"/>
          <w:szCs w:val="32"/>
        </w:rPr>
        <w:t>265.1</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万元，支出金额为</w:t>
      </w:r>
      <w:r>
        <w:rPr>
          <w:rFonts w:hint="eastAsia" w:ascii="仿宋_GB2312" w:hAnsi="仿宋" w:eastAsia="仿宋_GB2312"/>
          <w:color w:val="auto"/>
          <w:sz w:val="32"/>
          <w:szCs w:val="32"/>
        </w:rPr>
        <w:t>328.28</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114.79</w:t>
      </w:r>
      <w:r>
        <w:rPr>
          <w:rFonts w:hint="eastAsia" w:ascii="仿宋_GB2312" w:eastAsia="仿宋_GB2312"/>
          <w:color w:val="auto"/>
          <w:sz w:val="32"/>
          <w:szCs w:val="32"/>
        </w:rPr>
        <w:t>%，其中：政府采购年初预算金额为</w:t>
      </w:r>
      <w:r>
        <w:rPr>
          <w:rFonts w:hint="eastAsia" w:ascii="仿宋_GB2312" w:eastAsia="仿宋_GB2312"/>
          <w:color w:val="auto"/>
          <w:sz w:val="32"/>
          <w:szCs w:val="32"/>
          <w:lang w:val="en-US" w:eastAsia="zh-CN"/>
        </w:rPr>
        <w:t>8.60</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8.53</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99.2</w:t>
      </w:r>
      <w:r>
        <w:rPr>
          <w:rFonts w:hint="eastAsia" w:ascii="仿宋_GB2312" w:eastAsia="仿宋_GB2312"/>
          <w:color w:val="auto"/>
          <w:sz w:val="32"/>
          <w:szCs w:val="32"/>
        </w:rPr>
        <w:t>%。年中调整预算金额</w:t>
      </w:r>
      <w:r>
        <w:rPr>
          <w:rFonts w:hint="eastAsia" w:ascii="仿宋_GB2312" w:eastAsia="仿宋_GB2312"/>
          <w:color w:val="auto"/>
          <w:sz w:val="32"/>
          <w:szCs w:val="32"/>
          <w:lang w:val="en-US" w:eastAsia="zh-CN"/>
        </w:rPr>
        <w:t>63.18</w:t>
      </w:r>
      <w:r>
        <w:rPr>
          <w:rFonts w:hint="eastAsia" w:ascii="仿宋_GB2312" w:eastAsia="仿宋_GB2312"/>
          <w:color w:val="auto"/>
          <w:sz w:val="32"/>
          <w:szCs w:val="32"/>
        </w:rPr>
        <w:t>万元，预算调整率为</w:t>
      </w:r>
      <w:r>
        <w:rPr>
          <w:rFonts w:hint="eastAsia" w:ascii="仿宋_GB2312" w:eastAsia="仿宋_GB2312"/>
          <w:color w:val="auto"/>
          <w:sz w:val="32"/>
          <w:szCs w:val="32"/>
          <w:lang w:val="en-US" w:eastAsia="zh-CN"/>
        </w:rPr>
        <w:t>23.83</w:t>
      </w:r>
      <w:r>
        <w:rPr>
          <w:rFonts w:hint="eastAsia" w:ascii="仿宋_GB2312" w:eastAsia="仿宋_GB2312"/>
          <w:color w:val="auto"/>
          <w:sz w:val="32"/>
          <w:szCs w:val="32"/>
        </w:rPr>
        <w:t>%。综上，我单位部门单位整体预算总额为</w:t>
      </w:r>
      <w:r>
        <w:rPr>
          <w:rFonts w:hint="eastAsia" w:ascii="仿宋_GB2312" w:hAnsi="仿宋" w:eastAsia="仿宋_GB2312"/>
          <w:color w:val="auto"/>
          <w:sz w:val="32"/>
          <w:szCs w:val="32"/>
        </w:rPr>
        <w:t>328.28</w:t>
      </w:r>
      <w:r>
        <w:rPr>
          <w:rFonts w:hint="eastAsia" w:ascii="仿宋_GB2312" w:eastAsia="仿宋_GB2312"/>
          <w:color w:val="auto"/>
          <w:sz w:val="32"/>
          <w:szCs w:val="32"/>
        </w:rPr>
        <w:t>万元，支出总额为</w:t>
      </w:r>
      <w:r>
        <w:rPr>
          <w:rFonts w:hint="eastAsia" w:ascii="仿宋_GB2312" w:hAnsi="仿宋" w:eastAsia="仿宋_GB2312"/>
          <w:color w:val="auto"/>
          <w:sz w:val="32"/>
          <w:szCs w:val="32"/>
        </w:rPr>
        <w:t>328.28</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100.00</w:t>
      </w:r>
      <w:r>
        <w:rPr>
          <w:rFonts w:hint="eastAsia" w:ascii="仿宋_GB2312" w:eastAsia="仿宋_GB2312"/>
          <w:color w:val="auto"/>
          <w:sz w:val="32"/>
          <w:szCs w:val="32"/>
        </w:rPr>
        <w:t>%。</w:t>
      </w:r>
    </w:p>
    <w:p>
      <w:pPr>
        <w:pStyle w:val="5"/>
        <w:ind w:firstLine="640"/>
        <w:rPr>
          <w:color w:val="auto"/>
          <w:sz w:val="32"/>
        </w:rPr>
      </w:pPr>
      <w:r>
        <w:rPr>
          <w:rFonts w:hint="eastAsia"/>
          <w:color w:val="auto"/>
          <w:sz w:val="32"/>
        </w:rPr>
        <w:t>2.部门单位整体支出自评使用方法、主要内容、涉及范围</w:t>
      </w:r>
    </w:p>
    <w:p>
      <w:pPr>
        <w:ind w:firstLine="640"/>
        <w:rPr>
          <w:rFonts w:ascii="仿宋_GB2312" w:eastAsia="仿宋_GB2312"/>
          <w:b/>
          <w:bCs/>
          <w:color w:val="auto"/>
          <w:sz w:val="32"/>
          <w:szCs w:val="32"/>
        </w:rPr>
      </w:pPr>
      <w:r>
        <w:rPr>
          <w:rFonts w:hint="eastAsia" w:ascii="仿宋_GB2312" w:eastAsia="仿宋_GB2312"/>
          <w:b/>
          <w:bCs/>
          <w:color w:val="auto"/>
          <w:sz w:val="32"/>
          <w:szCs w:val="32"/>
        </w:rPr>
        <w:t>（1）自评使用方法</w:t>
      </w:r>
    </w:p>
    <w:p>
      <w:pPr>
        <w:ind w:firstLine="640"/>
        <w:rPr>
          <w:rFonts w:ascii="仿宋_GB2312" w:eastAsia="仿宋_GB2312"/>
          <w:color w:val="auto"/>
          <w:sz w:val="32"/>
          <w:szCs w:val="32"/>
        </w:rPr>
      </w:pPr>
      <w:r>
        <w:rPr>
          <w:rFonts w:hint="eastAsia" w:ascii="仿宋_GB2312" w:eastAsia="仿宋_GB2312"/>
          <w:color w:val="auto"/>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5"/>
        <w:ind w:firstLine="640"/>
        <w:rPr>
          <w:color w:val="auto"/>
          <w:sz w:val="32"/>
        </w:rPr>
      </w:pPr>
      <w:r>
        <w:rPr>
          <w:rFonts w:hint="eastAsia"/>
          <w:color w:val="auto"/>
          <w:sz w:val="32"/>
        </w:rPr>
        <w:t>（2）评价的主要内容和涉及范围</w:t>
      </w:r>
    </w:p>
    <w:p>
      <w:pPr>
        <w:ind w:firstLine="640"/>
        <w:rPr>
          <w:rFonts w:ascii="仿宋_GB2312" w:eastAsia="仿宋_GB2312"/>
          <w:color w:val="auto"/>
          <w:sz w:val="32"/>
          <w:szCs w:val="32"/>
        </w:rPr>
      </w:pPr>
      <w:r>
        <w:rPr>
          <w:rFonts w:hint="eastAsia" w:ascii="仿宋_GB2312" w:eastAsia="仿宋_GB2312"/>
          <w:color w:val="auto"/>
          <w:sz w:val="32"/>
          <w:szCs w:val="32"/>
        </w:rPr>
        <w:t>此次我单位根据</w:t>
      </w:r>
      <w:r>
        <w:rPr>
          <w:rFonts w:ascii="仿宋_GB2312" w:hAnsi="Arial" w:eastAsia="仿宋_GB2312" w:cs="宋体"/>
          <w:bCs/>
          <w:color w:val="auto"/>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color w:val="auto"/>
          <w:sz w:val="32"/>
          <w:szCs w:val="32"/>
        </w:rPr>
        <w:t>等文件要求，对</w:t>
      </w:r>
      <w:r>
        <w:rPr>
          <w:rFonts w:hint="eastAsia" w:ascii="仿宋_GB2312" w:eastAsia="仿宋_GB2312"/>
          <w:color w:val="auto"/>
          <w:sz w:val="32"/>
          <w:szCs w:val="32"/>
          <w:lang w:eastAsia="zh-CN"/>
        </w:rPr>
        <w:t>2022年度</w:t>
      </w:r>
      <w:r>
        <w:rPr>
          <w:rFonts w:hint="eastAsia" w:ascii="仿宋_GB2312" w:eastAsia="仿宋_GB2312"/>
          <w:color w:val="auto"/>
          <w:sz w:val="32"/>
          <w:szCs w:val="32"/>
        </w:rPr>
        <w:t>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color w:val="auto"/>
          <w:sz w:val="32"/>
          <w:szCs w:val="32"/>
        </w:rPr>
      </w:pPr>
      <w:r>
        <w:rPr>
          <w:rFonts w:hint="eastAsia" w:ascii="黑体" w:hAnsi="黑体"/>
          <w:b w:val="0"/>
          <w:color w:val="auto"/>
          <w:sz w:val="32"/>
          <w:szCs w:val="32"/>
        </w:rPr>
        <w:t>二、部门单位整体支出管理及使用情况</w:t>
      </w:r>
    </w:p>
    <w:p>
      <w:pPr>
        <w:pStyle w:val="4"/>
        <w:numPr>
          <w:ilvl w:val="0"/>
          <w:numId w:val="4"/>
        </w:numPr>
        <w:ind w:firstLineChars="0"/>
        <w:rPr>
          <w:rFonts w:ascii="楷体_GB2312" w:eastAsia="楷体_GB2312"/>
          <w:color w:val="auto"/>
          <w:szCs w:val="32"/>
        </w:rPr>
      </w:pPr>
      <w:r>
        <w:rPr>
          <w:rFonts w:hint="eastAsia" w:ascii="楷体_GB2312" w:eastAsia="楷体_GB2312"/>
          <w:bCs/>
          <w:color w:val="auto"/>
          <w:szCs w:val="32"/>
        </w:rPr>
        <w:t>预算管理情况</w:t>
      </w:r>
    </w:p>
    <w:p>
      <w:pPr>
        <w:ind w:firstLine="640"/>
        <w:rPr>
          <w:rFonts w:ascii="仿宋_GB2312" w:eastAsia="仿宋_GB2312"/>
          <w:color w:val="auto"/>
          <w:sz w:val="32"/>
          <w:szCs w:val="32"/>
        </w:rPr>
      </w:pPr>
      <w:r>
        <w:rPr>
          <w:rFonts w:hint="eastAsia" w:ascii="仿宋_GB2312" w:eastAsia="仿宋_GB2312"/>
          <w:color w:val="auto"/>
          <w:sz w:val="32"/>
          <w:szCs w:val="32"/>
        </w:rPr>
        <w:t>我单位为加强预算管理、规范财务行为、加强内部控制体系建设，制定了</w:t>
      </w:r>
      <w:r>
        <w:rPr>
          <w:rFonts w:hint="eastAsia" w:ascii="仿宋_GB2312" w:eastAsia="仿宋_GB2312"/>
          <w:color w:val="auto"/>
          <w:sz w:val="32"/>
          <w:szCs w:val="32"/>
          <w:lang w:eastAsia="zh-CN"/>
        </w:rPr>
        <w:t>财务支出管理办法</w:t>
      </w:r>
      <w:r>
        <w:rPr>
          <w:rFonts w:hint="eastAsia" w:ascii="仿宋_GB2312" w:eastAsia="仿宋_GB2312"/>
          <w:color w:val="auto"/>
          <w:sz w:val="32"/>
          <w:szCs w:val="32"/>
        </w:rPr>
        <w:t>和</w:t>
      </w:r>
      <w:r>
        <w:rPr>
          <w:rFonts w:hint="eastAsia" w:ascii="仿宋_GB2312" w:eastAsia="仿宋_GB2312"/>
          <w:color w:val="auto"/>
          <w:sz w:val="32"/>
          <w:szCs w:val="32"/>
          <w:lang w:eastAsia="zh-CN"/>
        </w:rPr>
        <w:t>昌吉市公共就业服务局收支</w:t>
      </w:r>
      <w:r>
        <w:rPr>
          <w:rFonts w:hint="eastAsia" w:ascii="仿宋_GB2312" w:eastAsia="仿宋_GB2312"/>
          <w:color w:val="auto"/>
          <w:sz w:val="32"/>
          <w:szCs w:val="32"/>
        </w:rPr>
        <w:t>管理制度，并严格按照此管理制度管理使用预算资金，严格按照政府信息公开有关规定及财政部门要求公开相关预决算信息。</w:t>
      </w:r>
    </w:p>
    <w:p>
      <w:pPr>
        <w:pStyle w:val="4"/>
        <w:numPr>
          <w:ilvl w:val="0"/>
          <w:numId w:val="4"/>
        </w:numPr>
        <w:ind w:firstLineChars="0"/>
        <w:rPr>
          <w:rFonts w:ascii="楷体_GB2312" w:eastAsia="楷体_GB2312"/>
          <w:bCs/>
          <w:color w:val="auto"/>
          <w:szCs w:val="32"/>
        </w:rPr>
      </w:pPr>
      <w:r>
        <w:rPr>
          <w:rFonts w:hint="eastAsia" w:ascii="楷体_GB2312" w:eastAsia="楷体_GB2312"/>
          <w:bCs/>
          <w:color w:val="auto"/>
          <w:szCs w:val="32"/>
        </w:rPr>
        <w:t>基本支出预算安排及支出情况</w:t>
      </w:r>
    </w:p>
    <w:p>
      <w:pPr>
        <w:ind w:firstLine="640"/>
        <w:rPr>
          <w:rFonts w:ascii="仿宋_GB2312" w:eastAsia="仿宋_GB2312"/>
          <w:b/>
          <w:bCs/>
          <w:color w:val="auto"/>
          <w:sz w:val="32"/>
          <w:szCs w:val="32"/>
        </w:rPr>
      </w:pPr>
      <w:r>
        <w:rPr>
          <w:rFonts w:hint="eastAsia" w:ascii="仿宋_GB2312" w:eastAsia="仿宋_GB2312"/>
          <w:b/>
          <w:bCs/>
          <w:color w:val="auto"/>
          <w:sz w:val="32"/>
          <w:szCs w:val="32"/>
        </w:rPr>
        <w:t>1.基本支出情况</w:t>
      </w:r>
    </w:p>
    <w:p>
      <w:pPr>
        <w:ind w:firstLine="640"/>
        <w:rPr>
          <w:rFonts w:hint="eastAsia" w:ascii="仿宋_GB2312" w:eastAsia="仿宋_GB2312"/>
          <w:color w:val="auto"/>
          <w:sz w:val="32"/>
          <w:szCs w:val="32"/>
        </w:rPr>
      </w:pPr>
      <w:r>
        <w:rPr>
          <w:rFonts w:hint="eastAsia" w:ascii="仿宋_GB2312" w:eastAsia="仿宋_GB2312"/>
          <w:color w:val="auto"/>
          <w:sz w:val="32"/>
          <w:szCs w:val="32"/>
        </w:rPr>
        <w:t>202</w:t>
      </w:r>
      <w:r>
        <w:rPr>
          <w:rFonts w:ascii="仿宋_GB2312" w:eastAsia="仿宋_GB2312"/>
          <w:color w:val="auto"/>
          <w:sz w:val="32"/>
          <w:szCs w:val="32"/>
        </w:rPr>
        <w:t>1</w:t>
      </w:r>
      <w:r>
        <w:rPr>
          <w:rFonts w:hint="eastAsia" w:ascii="仿宋_GB2312" w:eastAsia="仿宋_GB2312"/>
          <w:color w:val="auto"/>
          <w:sz w:val="32"/>
          <w:szCs w:val="32"/>
        </w:rPr>
        <w:t>年，</w:t>
      </w:r>
      <w:r>
        <w:rPr>
          <w:rFonts w:hint="eastAsia" w:ascii="仿宋_GB2312" w:eastAsia="仿宋_GB2312"/>
          <w:color w:val="auto"/>
          <w:sz w:val="32"/>
          <w:szCs w:val="32"/>
          <w:lang w:eastAsia="zh-CN"/>
        </w:rPr>
        <w:t>昌吉市公共就业服务局</w:t>
      </w:r>
      <w:r>
        <w:rPr>
          <w:rFonts w:hint="eastAsia" w:ascii="仿宋_GB2312" w:eastAsia="仿宋_GB2312"/>
          <w:color w:val="auto"/>
          <w:sz w:val="32"/>
          <w:szCs w:val="32"/>
        </w:rPr>
        <w:t>基本支出年初预算金额为</w:t>
      </w:r>
      <w:r>
        <w:rPr>
          <w:rFonts w:hint="eastAsia" w:ascii="仿宋_GB2312" w:eastAsia="仿宋_GB2312"/>
          <w:color w:val="auto"/>
          <w:sz w:val="32"/>
          <w:szCs w:val="32"/>
          <w:lang w:val="en-US" w:eastAsia="zh-CN"/>
        </w:rPr>
        <w:t>265.10</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304.31</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114.79</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39.21</w:t>
      </w:r>
      <w:r>
        <w:rPr>
          <w:rFonts w:hint="eastAsia" w:ascii="仿宋_GB2312" w:eastAsia="仿宋_GB2312"/>
          <w:color w:val="auto"/>
          <w:sz w:val="32"/>
          <w:szCs w:val="32"/>
        </w:rPr>
        <w:t>万元。综上，我单位基本支出预算总额为</w:t>
      </w:r>
      <w:r>
        <w:rPr>
          <w:rFonts w:hint="eastAsia" w:ascii="仿宋_GB2312" w:eastAsia="仿宋_GB2312"/>
          <w:color w:val="auto"/>
          <w:sz w:val="32"/>
          <w:szCs w:val="32"/>
          <w:lang w:val="en-US" w:eastAsia="zh-CN"/>
        </w:rPr>
        <w:t>304.31</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304.31</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%，其中人员经费</w:t>
      </w:r>
      <w:r>
        <w:rPr>
          <w:rFonts w:hint="eastAsia" w:ascii="仿宋_GB2312" w:eastAsia="仿宋_GB2312"/>
          <w:color w:val="auto"/>
          <w:sz w:val="32"/>
          <w:szCs w:val="32"/>
          <w:lang w:val="en-US" w:eastAsia="zh-CN"/>
        </w:rPr>
        <w:t>297.64</w:t>
      </w:r>
      <w:r>
        <w:rPr>
          <w:rFonts w:hint="eastAsia" w:ascii="仿宋_GB2312" w:eastAsia="仿宋_GB2312"/>
          <w:color w:val="auto"/>
          <w:sz w:val="32"/>
          <w:szCs w:val="32"/>
        </w:rPr>
        <w:t>万元，公用经费</w:t>
      </w:r>
      <w:r>
        <w:rPr>
          <w:rFonts w:hint="eastAsia" w:ascii="仿宋_GB2312" w:eastAsia="仿宋_GB2312"/>
          <w:color w:val="auto"/>
          <w:sz w:val="32"/>
          <w:szCs w:val="32"/>
          <w:lang w:val="en-US" w:eastAsia="zh-CN"/>
        </w:rPr>
        <w:t>6.67</w:t>
      </w:r>
      <w:r>
        <w:rPr>
          <w:rFonts w:hint="eastAsia" w:ascii="仿宋_GB2312" w:eastAsia="仿宋_GB2312"/>
          <w:color w:val="auto"/>
          <w:sz w:val="32"/>
          <w:szCs w:val="32"/>
        </w:rPr>
        <w:t>万元。</w:t>
      </w:r>
    </w:p>
    <w:p>
      <w:pPr>
        <w:ind w:firstLine="640"/>
        <w:rPr>
          <w:rFonts w:ascii="仿宋_GB2312" w:eastAsia="仿宋_GB2312"/>
          <w:b/>
          <w:bCs/>
          <w:color w:val="auto"/>
          <w:sz w:val="32"/>
          <w:szCs w:val="32"/>
        </w:rPr>
      </w:pPr>
      <w:r>
        <w:rPr>
          <w:rFonts w:hint="eastAsia" w:ascii="仿宋_GB2312" w:eastAsia="仿宋_GB2312"/>
          <w:b/>
          <w:bCs/>
          <w:color w:val="auto"/>
          <w:sz w:val="32"/>
          <w:szCs w:val="32"/>
        </w:rPr>
        <w:t>2.“三公”经费情况</w:t>
      </w:r>
    </w:p>
    <w:p>
      <w:pPr>
        <w:ind w:firstLine="640"/>
        <w:jc w:val="left"/>
        <w:rPr>
          <w:rFonts w:ascii="仿宋_GB2312" w:eastAsia="仿宋_GB2312" w:cs="宋体"/>
          <w:color w:val="auto"/>
          <w:sz w:val="32"/>
          <w:szCs w:val="32"/>
        </w:rPr>
      </w:pPr>
      <w:r>
        <w:rPr>
          <w:rFonts w:hint="eastAsia" w:ascii="仿宋_GB2312" w:eastAsia="仿宋_GB2312" w:cs="宋体"/>
          <w:color w:val="auto"/>
          <w:sz w:val="32"/>
          <w:szCs w:val="32"/>
        </w:rPr>
        <w:t>我单位认真贯彻落实中央关于厉行节约的有关规定，严格执行《党政机关厉行节约反对浪费条例》，202</w:t>
      </w:r>
      <w:r>
        <w:rPr>
          <w:rFonts w:ascii="仿宋_GB2312" w:eastAsia="仿宋_GB2312" w:cs="宋体"/>
          <w:color w:val="auto"/>
          <w:sz w:val="32"/>
          <w:szCs w:val="32"/>
        </w:rPr>
        <w:t>1</w:t>
      </w:r>
      <w:r>
        <w:rPr>
          <w:rFonts w:hint="eastAsia" w:ascii="仿宋_GB2312" w:eastAsia="仿宋_GB2312" w:cs="宋体"/>
          <w:color w:val="auto"/>
          <w:sz w:val="32"/>
          <w:szCs w:val="32"/>
        </w:rPr>
        <w:t>年“三公”经费预算数为</w:t>
      </w:r>
      <w:r>
        <w:rPr>
          <w:rFonts w:hint="eastAsia" w:ascii="仿宋_GB2312" w:eastAsia="仿宋_GB2312" w:cs="宋体"/>
          <w:color w:val="auto"/>
          <w:sz w:val="32"/>
          <w:szCs w:val="32"/>
          <w:lang w:val="en-US" w:eastAsia="zh-CN"/>
        </w:rPr>
        <w:t>2.60</w:t>
      </w:r>
      <w:r>
        <w:rPr>
          <w:rFonts w:hint="eastAsia" w:ascii="仿宋_GB2312" w:eastAsia="仿宋_GB2312" w:cs="宋体"/>
          <w:color w:val="auto"/>
          <w:sz w:val="32"/>
          <w:szCs w:val="32"/>
        </w:rPr>
        <w:t>万元，其中：因公出国（境）费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2.60</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w:t>
      </w:r>
    </w:p>
    <w:p>
      <w:pPr>
        <w:ind w:firstLine="681" w:firstLineChars="213"/>
        <w:jc w:val="left"/>
        <w:rPr>
          <w:rFonts w:ascii="仿宋_GB2312" w:eastAsia="仿宋_GB2312" w:cs="宋体"/>
          <w:color w:val="auto"/>
          <w:sz w:val="32"/>
          <w:szCs w:val="32"/>
        </w:rPr>
      </w:pPr>
      <w:r>
        <w:rPr>
          <w:rFonts w:hint="eastAsia" w:ascii="仿宋_GB2312" w:eastAsia="仿宋_GB2312" w:cs="宋体"/>
          <w:color w:val="auto"/>
          <w:sz w:val="32"/>
          <w:szCs w:val="32"/>
        </w:rPr>
        <w:t>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年，全年“三公”经费决算支出</w:t>
      </w:r>
      <w:r>
        <w:rPr>
          <w:rFonts w:hint="eastAsia" w:ascii="仿宋_GB2312" w:eastAsia="仿宋_GB2312" w:cs="宋体"/>
          <w:color w:val="auto"/>
          <w:sz w:val="32"/>
          <w:szCs w:val="32"/>
          <w:lang w:val="en-US" w:eastAsia="zh-CN"/>
        </w:rPr>
        <w:t>1.56</w:t>
      </w:r>
      <w:r>
        <w:rPr>
          <w:rFonts w:hint="eastAsia" w:ascii="仿宋_GB2312" w:eastAsia="仿宋_GB2312" w:cs="宋体"/>
          <w:color w:val="auto"/>
          <w:sz w:val="32"/>
          <w:szCs w:val="32"/>
        </w:rPr>
        <w:t>万元，其中：因公出国（境）费用</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1.56</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万元。较上年“三公”经费决算支出</w:t>
      </w:r>
      <w:r>
        <w:rPr>
          <w:rFonts w:hint="eastAsia" w:ascii="仿宋_GB2312" w:eastAsia="仿宋_GB2312" w:cs="宋体"/>
          <w:color w:val="auto"/>
          <w:sz w:val="32"/>
          <w:szCs w:val="32"/>
          <w:lang w:val="en-US" w:eastAsia="zh-CN"/>
        </w:rPr>
        <w:t>2.58</w:t>
      </w:r>
      <w:r>
        <w:rPr>
          <w:rFonts w:hint="eastAsia" w:ascii="仿宋_GB2312" w:eastAsia="仿宋_GB2312" w:cs="宋体"/>
          <w:color w:val="auto"/>
          <w:sz w:val="32"/>
          <w:szCs w:val="32"/>
        </w:rPr>
        <w:t>万元，</w:t>
      </w:r>
      <w:r>
        <w:rPr>
          <w:rFonts w:hint="eastAsia" w:ascii="仿宋_GB2312" w:eastAsia="仿宋_GB2312" w:cs="宋体"/>
          <w:color w:val="auto"/>
          <w:sz w:val="32"/>
          <w:szCs w:val="32"/>
          <w:lang w:val="en-US" w:eastAsia="zh-CN"/>
        </w:rPr>
        <w:t>减少1.02</w:t>
      </w:r>
      <w:r>
        <w:rPr>
          <w:rFonts w:hint="eastAsia" w:ascii="仿宋_GB2312" w:eastAsia="仿宋_GB2312" w:cs="宋体"/>
          <w:color w:val="auto"/>
          <w:sz w:val="32"/>
          <w:szCs w:val="32"/>
        </w:rPr>
        <w:t>万元，</w:t>
      </w:r>
      <w:r>
        <w:rPr>
          <w:rFonts w:hint="eastAsia" w:ascii="仿宋_GB2312" w:eastAsia="仿宋_GB2312" w:cs="宋体"/>
          <w:color w:val="auto"/>
          <w:sz w:val="32"/>
          <w:szCs w:val="32"/>
          <w:lang w:val="en-US" w:eastAsia="zh-CN"/>
        </w:rPr>
        <w:t>下降39.53</w:t>
      </w:r>
      <w:r>
        <w:rPr>
          <w:rFonts w:hint="eastAsia" w:ascii="仿宋_GB2312" w:eastAsia="仿宋_GB2312" w:cs="宋体"/>
          <w:color w:val="auto"/>
          <w:sz w:val="32"/>
          <w:szCs w:val="32"/>
        </w:rPr>
        <w:t>%。</w:t>
      </w:r>
    </w:p>
    <w:p>
      <w:pPr>
        <w:pStyle w:val="4"/>
        <w:ind w:firstLine="640"/>
        <w:rPr>
          <w:rFonts w:ascii="楷体_GB2312" w:eastAsia="楷体_GB2312"/>
          <w:color w:val="auto"/>
          <w:szCs w:val="32"/>
        </w:rPr>
      </w:pPr>
      <w:r>
        <w:rPr>
          <w:rFonts w:hint="eastAsia" w:ascii="楷体_GB2312" w:eastAsia="楷体_GB2312"/>
          <w:color w:val="auto"/>
          <w:szCs w:val="32"/>
        </w:rPr>
        <w:t>（三）项目支出</w:t>
      </w:r>
      <w:r>
        <w:rPr>
          <w:rFonts w:hint="eastAsia" w:ascii="楷体_GB2312" w:hAnsi="Cambria" w:eastAsia="楷体_GB2312"/>
          <w:color w:val="auto"/>
          <w:szCs w:val="32"/>
        </w:rPr>
        <w:t>预算安排及支出情况</w:t>
      </w:r>
    </w:p>
    <w:p>
      <w:pPr>
        <w:ind w:firstLine="640"/>
        <w:rPr>
          <w:rFonts w:ascii="仿宋_GB2312" w:eastAsia="仿宋_GB2312"/>
          <w:b/>
          <w:bCs/>
          <w:color w:val="auto"/>
          <w:sz w:val="32"/>
          <w:szCs w:val="32"/>
        </w:rPr>
      </w:pPr>
      <w:r>
        <w:rPr>
          <w:rFonts w:hint="eastAsia" w:ascii="仿宋_GB2312" w:eastAsia="仿宋_GB2312"/>
          <w:b/>
          <w:bCs/>
          <w:color w:val="auto"/>
          <w:sz w:val="32"/>
          <w:szCs w:val="32"/>
        </w:rPr>
        <w:t>1.项目支出情况</w:t>
      </w:r>
    </w:p>
    <w:p>
      <w:pPr>
        <w:pStyle w:val="5"/>
        <w:ind w:firstLine="640"/>
        <w:rPr>
          <w:b w:val="0"/>
          <w:bCs w:val="0"/>
          <w:color w:val="auto"/>
          <w:sz w:val="32"/>
        </w:rPr>
      </w:pPr>
      <w:r>
        <w:rPr>
          <w:rFonts w:hint="eastAsia"/>
          <w:b w:val="0"/>
          <w:bCs w:val="0"/>
          <w:color w:val="auto"/>
          <w:sz w:val="32"/>
        </w:rPr>
        <w:t>202</w:t>
      </w:r>
      <w:r>
        <w:rPr>
          <w:rFonts w:hint="eastAsia"/>
          <w:b w:val="0"/>
          <w:bCs w:val="0"/>
          <w:color w:val="auto"/>
          <w:sz w:val="32"/>
          <w:lang w:val="en-US" w:eastAsia="zh-CN"/>
        </w:rPr>
        <w:t>2</w:t>
      </w:r>
      <w:r>
        <w:rPr>
          <w:rFonts w:hint="eastAsia"/>
          <w:b w:val="0"/>
          <w:bCs w:val="0"/>
          <w:color w:val="auto"/>
          <w:sz w:val="32"/>
        </w:rPr>
        <w:t>年，</w:t>
      </w:r>
      <w:r>
        <w:rPr>
          <w:rFonts w:hint="eastAsia"/>
          <w:b w:val="0"/>
          <w:bCs w:val="0"/>
          <w:color w:val="auto"/>
          <w:sz w:val="32"/>
          <w:lang w:eastAsia="zh-CN"/>
        </w:rPr>
        <w:t>昌吉市公共就业服务局</w:t>
      </w:r>
      <w:r>
        <w:rPr>
          <w:rFonts w:hint="eastAsia"/>
          <w:b w:val="0"/>
          <w:bCs w:val="0"/>
          <w:color w:val="auto"/>
          <w:sz w:val="32"/>
        </w:rPr>
        <w:t>项目支出年初预算金额为</w:t>
      </w:r>
      <w:r>
        <w:rPr>
          <w:rFonts w:hint="eastAsia"/>
          <w:b w:val="0"/>
          <w:bCs w:val="0"/>
          <w:color w:val="auto"/>
          <w:sz w:val="32"/>
          <w:lang w:val="en-US" w:eastAsia="zh-CN"/>
        </w:rPr>
        <w:t>0.00</w:t>
      </w:r>
      <w:r>
        <w:rPr>
          <w:rFonts w:hint="eastAsia"/>
          <w:b w:val="0"/>
          <w:bCs w:val="0"/>
          <w:color w:val="auto"/>
          <w:sz w:val="32"/>
        </w:rPr>
        <w:t>万元，支出金额为</w:t>
      </w:r>
      <w:r>
        <w:rPr>
          <w:rFonts w:hint="eastAsia"/>
          <w:b w:val="0"/>
          <w:bCs w:val="0"/>
          <w:color w:val="auto"/>
          <w:sz w:val="32"/>
          <w:lang w:val="en-US" w:eastAsia="zh-CN"/>
        </w:rPr>
        <w:t>23.97</w:t>
      </w:r>
      <w:r>
        <w:rPr>
          <w:rFonts w:hint="eastAsia"/>
          <w:b w:val="0"/>
          <w:bCs w:val="0"/>
          <w:color w:val="auto"/>
          <w:sz w:val="32"/>
        </w:rPr>
        <w:t>万元，执行率为</w:t>
      </w:r>
      <w:r>
        <w:rPr>
          <w:rFonts w:hint="eastAsia"/>
          <w:b w:val="0"/>
          <w:bCs w:val="0"/>
          <w:color w:val="auto"/>
          <w:sz w:val="32"/>
          <w:lang w:val="en-US" w:eastAsia="zh-CN"/>
        </w:rPr>
        <w:t>100</w:t>
      </w:r>
      <w:r>
        <w:rPr>
          <w:rFonts w:hint="eastAsia"/>
          <w:b w:val="0"/>
          <w:bCs w:val="0"/>
          <w:color w:val="auto"/>
          <w:sz w:val="32"/>
        </w:rPr>
        <w:t>%，年中调整预算金额为</w:t>
      </w:r>
      <w:r>
        <w:rPr>
          <w:rFonts w:hint="eastAsia"/>
          <w:b w:val="0"/>
          <w:bCs w:val="0"/>
          <w:color w:val="auto"/>
          <w:sz w:val="32"/>
          <w:lang w:val="en-US" w:eastAsia="zh-CN"/>
        </w:rPr>
        <w:t>23.97</w:t>
      </w:r>
      <w:r>
        <w:rPr>
          <w:rFonts w:hint="eastAsia"/>
          <w:b w:val="0"/>
          <w:bCs w:val="0"/>
          <w:color w:val="auto"/>
          <w:sz w:val="32"/>
        </w:rPr>
        <w:t>万元。综上，我单位项目支出预算总额为</w:t>
      </w:r>
      <w:r>
        <w:rPr>
          <w:rFonts w:hint="eastAsia"/>
          <w:b w:val="0"/>
          <w:bCs w:val="0"/>
          <w:color w:val="auto"/>
          <w:sz w:val="32"/>
          <w:lang w:val="en-US" w:eastAsia="zh-CN"/>
        </w:rPr>
        <w:t>23.97</w:t>
      </w:r>
      <w:r>
        <w:rPr>
          <w:rFonts w:hint="eastAsia"/>
          <w:b w:val="0"/>
          <w:bCs w:val="0"/>
          <w:color w:val="auto"/>
          <w:sz w:val="32"/>
        </w:rPr>
        <w:t>万元，支出总额为</w:t>
      </w:r>
      <w:r>
        <w:rPr>
          <w:rFonts w:hint="eastAsia"/>
          <w:b w:val="0"/>
          <w:bCs w:val="0"/>
          <w:color w:val="auto"/>
          <w:sz w:val="32"/>
          <w:lang w:val="en-US" w:eastAsia="zh-CN"/>
        </w:rPr>
        <w:t>23.97</w:t>
      </w:r>
      <w:r>
        <w:rPr>
          <w:rFonts w:hint="eastAsia"/>
          <w:b w:val="0"/>
          <w:bCs w:val="0"/>
          <w:color w:val="auto"/>
          <w:sz w:val="32"/>
        </w:rPr>
        <w:t>万元，预算总执行率为</w:t>
      </w:r>
      <w:r>
        <w:rPr>
          <w:rFonts w:hint="eastAsia"/>
          <w:b w:val="0"/>
          <w:bCs w:val="0"/>
          <w:color w:val="auto"/>
          <w:sz w:val="32"/>
          <w:lang w:val="en-US" w:eastAsia="zh-CN"/>
        </w:rPr>
        <w:t>100.00</w:t>
      </w:r>
      <w:r>
        <w:rPr>
          <w:rFonts w:hint="eastAsia"/>
          <w:b w:val="0"/>
          <w:bCs w:val="0"/>
          <w:color w:val="auto"/>
          <w:sz w:val="32"/>
        </w:rPr>
        <w:t>%</w:t>
      </w:r>
    </w:p>
    <w:p>
      <w:pPr>
        <w:numPr>
          <w:ilvl w:val="0"/>
          <w:numId w:val="3"/>
        </w:numPr>
        <w:ind w:firstLine="640"/>
        <w:rPr>
          <w:rFonts w:ascii="仿宋_GB2312" w:eastAsia="仿宋_GB2312"/>
          <w:b/>
          <w:bCs/>
          <w:color w:val="auto"/>
          <w:sz w:val="32"/>
          <w:szCs w:val="32"/>
        </w:rPr>
      </w:pPr>
      <w:r>
        <w:rPr>
          <w:rFonts w:hint="eastAsia" w:ascii="仿宋_GB2312" w:eastAsia="仿宋_GB2312"/>
          <w:b/>
          <w:bCs/>
          <w:color w:val="auto"/>
          <w:sz w:val="32"/>
          <w:szCs w:val="32"/>
        </w:rPr>
        <w:t>专项资金总投入及实际使用情况分析</w:t>
      </w:r>
    </w:p>
    <w:p>
      <w:pPr>
        <w:pStyle w:val="9"/>
        <w:widowControl/>
        <w:spacing w:before="40" w:beforeAutospacing="0" w:after="0" w:afterAutospacing="0"/>
        <w:ind w:firstLine="640"/>
        <w:jc w:val="both"/>
        <w:rPr>
          <w:rFonts w:ascii="仿宋_GB2312" w:eastAsia="仿宋_GB2312" w:cs="仿宋"/>
          <w:color w:val="auto"/>
          <w:sz w:val="32"/>
          <w:szCs w:val="32"/>
        </w:rPr>
      </w:pPr>
      <w:r>
        <w:rPr>
          <w:rFonts w:hint="eastAsia" w:ascii="仿宋_GB2312" w:eastAsia="仿宋_GB2312" w:cs="仿宋"/>
          <w:color w:val="auto"/>
          <w:sz w:val="32"/>
          <w:szCs w:val="32"/>
        </w:rPr>
        <w:t>202</w:t>
      </w:r>
      <w:r>
        <w:rPr>
          <w:rFonts w:hint="eastAsia" w:ascii="仿宋_GB2312" w:eastAsia="仿宋_GB2312" w:cs="仿宋"/>
          <w:color w:val="auto"/>
          <w:sz w:val="32"/>
          <w:szCs w:val="32"/>
          <w:lang w:val="en-US" w:eastAsia="zh-CN"/>
        </w:rPr>
        <w:t>2</w:t>
      </w:r>
      <w:r>
        <w:rPr>
          <w:rFonts w:hint="eastAsia" w:ascii="仿宋_GB2312" w:eastAsia="仿宋_GB2312" w:cs="仿宋"/>
          <w:color w:val="auto"/>
          <w:sz w:val="32"/>
          <w:szCs w:val="32"/>
        </w:rPr>
        <w:t>年，</w:t>
      </w:r>
      <w:r>
        <w:rPr>
          <w:rFonts w:hint="eastAsia" w:ascii="仿宋_GB2312" w:eastAsia="仿宋_GB2312" w:cs="仿宋"/>
          <w:color w:val="auto"/>
          <w:sz w:val="32"/>
          <w:szCs w:val="32"/>
          <w:lang w:eastAsia="zh-CN"/>
        </w:rPr>
        <w:t>本单位无专项资金，</w:t>
      </w:r>
      <w:r>
        <w:rPr>
          <w:rFonts w:hint="eastAsia" w:ascii="仿宋_GB2312" w:eastAsia="仿宋_GB2312" w:cs="仿宋"/>
          <w:color w:val="auto"/>
          <w:sz w:val="32"/>
          <w:szCs w:val="32"/>
        </w:rPr>
        <w:t>预算安排专项资金</w:t>
      </w:r>
      <w:r>
        <w:rPr>
          <w:rFonts w:hint="eastAsia" w:ascii="仿宋_GB2312" w:eastAsia="仿宋_GB2312" w:cs="仿宋"/>
          <w:color w:val="auto"/>
          <w:sz w:val="32"/>
          <w:szCs w:val="32"/>
          <w:lang w:val="en-US" w:eastAsia="zh-CN"/>
        </w:rPr>
        <w:t>0.00</w:t>
      </w:r>
      <w:r>
        <w:rPr>
          <w:rFonts w:hint="eastAsia" w:ascii="仿宋_GB2312" w:eastAsia="仿宋_GB2312" w:cs="仿宋"/>
          <w:color w:val="auto"/>
          <w:sz w:val="32"/>
          <w:szCs w:val="32"/>
        </w:rPr>
        <w:t>万元，实际使用</w:t>
      </w:r>
      <w:r>
        <w:rPr>
          <w:rFonts w:hint="eastAsia" w:ascii="仿宋_GB2312" w:eastAsia="仿宋_GB2312" w:cs="仿宋"/>
          <w:color w:val="auto"/>
          <w:sz w:val="32"/>
          <w:szCs w:val="32"/>
          <w:lang w:val="en-US" w:eastAsia="zh-CN"/>
        </w:rPr>
        <w:t>0.00</w:t>
      </w:r>
      <w:r>
        <w:rPr>
          <w:rFonts w:hint="eastAsia" w:ascii="仿宋_GB2312" w:eastAsia="仿宋_GB2312" w:cs="仿宋"/>
          <w:color w:val="auto"/>
          <w:sz w:val="32"/>
          <w:szCs w:val="32"/>
        </w:rPr>
        <w:t>万元,结转</w:t>
      </w:r>
      <w:r>
        <w:rPr>
          <w:rFonts w:hint="eastAsia" w:ascii="仿宋_GB2312" w:eastAsia="仿宋_GB2312" w:cs="仿宋"/>
          <w:color w:val="auto"/>
          <w:sz w:val="32"/>
          <w:szCs w:val="32"/>
          <w:lang w:val="en-US" w:eastAsia="zh-CN"/>
        </w:rPr>
        <w:t>0</w:t>
      </w:r>
      <w:r>
        <w:rPr>
          <w:rFonts w:hint="eastAsia" w:ascii="仿宋_GB2312" w:eastAsia="仿宋_GB2312" w:cs="仿宋"/>
          <w:color w:val="auto"/>
          <w:sz w:val="32"/>
          <w:szCs w:val="32"/>
        </w:rPr>
        <w:t>.</w:t>
      </w:r>
      <w:r>
        <w:rPr>
          <w:rFonts w:hint="eastAsia" w:ascii="仿宋_GB2312" w:eastAsia="仿宋_GB2312" w:cs="仿宋"/>
          <w:color w:val="auto"/>
          <w:sz w:val="32"/>
          <w:szCs w:val="32"/>
          <w:lang w:val="en-US" w:eastAsia="zh-CN"/>
        </w:rPr>
        <w:t>00</w:t>
      </w:r>
      <w:r>
        <w:rPr>
          <w:rFonts w:hint="eastAsia" w:ascii="仿宋_GB2312" w:eastAsia="仿宋_GB2312" w:cs="仿宋"/>
          <w:color w:val="auto"/>
          <w:sz w:val="32"/>
          <w:szCs w:val="32"/>
        </w:rPr>
        <w:t>万元。</w:t>
      </w:r>
    </w:p>
    <w:p>
      <w:pPr>
        <w:pStyle w:val="3"/>
        <w:ind w:firstLine="640"/>
        <w:rPr>
          <w:rFonts w:ascii="黑体" w:hAnsi="黑体"/>
          <w:b w:val="0"/>
          <w:color w:val="auto"/>
          <w:sz w:val="32"/>
          <w:szCs w:val="32"/>
        </w:rPr>
      </w:pPr>
      <w:r>
        <w:rPr>
          <w:rFonts w:hint="eastAsia" w:ascii="黑体" w:hAnsi="黑体"/>
          <w:b w:val="0"/>
          <w:color w:val="auto"/>
          <w:sz w:val="32"/>
          <w:szCs w:val="32"/>
        </w:rPr>
        <w:t>三、部门单位专项组织实施情况</w:t>
      </w:r>
    </w:p>
    <w:p>
      <w:pPr>
        <w:pStyle w:val="4"/>
        <w:ind w:firstLine="640"/>
        <w:rPr>
          <w:rFonts w:ascii="楷体_GB2312" w:eastAsia="楷体_GB2312"/>
          <w:color w:val="auto"/>
          <w:szCs w:val="32"/>
        </w:rPr>
      </w:pPr>
      <w:r>
        <w:rPr>
          <w:rFonts w:hint="eastAsia" w:ascii="楷体_GB2312" w:eastAsia="楷体_GB2312"/>
          <w:color w:val="auto"/>
          <w:szCs w:val="32"/>
        </w:rPr>
        <w:t>（一）专项组织情况分析</w:t>
      </w:r>
    </w:p>
    <w:p>
      <w:pPr>
        <w:ind w:firstLine="640"/>
        <w:rPr>
          <w:rFonts w:ascii="仿宋_GB2312" w:eastAsia="仿宋_GB2312"/>
          <w:color w:val="auto"/>
          <w:sz w:val="32"/>
          <w:szCs w:val="32"/>
        </w:rPr>
      </w:pPr>
      <w:r>
        <w:rPr>
          <w:rFonts w:hint="eastAsia" w:ascii="仿宋_GB2312" w:eastAsia="仿宋_GB2312"/>
          <w:b/>
          <w:bCs/>
          <w:color w:val="auto"/>
          <w:sz w:val="32"/>
          <w:szCs w:val="32"/>
        </w:rPr>
        <w:t>1.前期准备</w:t>
      </w:r>
    </w:p>
    <w:p>
      <w:pPr>
        <w:ind w:firstLine="640"/>
        <w:rPr>
          <w:rFonts w:ascii="仿宋_GB2312" w:eastAsia="仿宋_GB2312"/>
          <w:color w:val="auto"/>
          <w:sz w:val="32"/>
          <w:szCs w:val="32"/>
        </w:rPr>
      </w:pPr>
      <w:r>
        <w:rPr>
          <w:rFonts w:hint="eastAsia" w:ascii="仿宋_GB2312" w:eastAsia="仿宋_GB2312"/>
          <w:color w:val="auto"/>
          <w:sz w:val="32"/>
          <w:szCs w:val="32"/>
        </w:rPr>
        <w:t>梳理202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color w:val="auto"/>
          <w:sz w:val="32"/>
          <w:szCs w:val="32"/>
        </w:rPr>
      </w:pPr>
      <w:r>
        <w:rPr>
          <w:rFonts w:hint="eastAsia" w:ascii="仿宋_GB2312" w:eastAsia="仿宋_GB2312"/>
          <w:b/>
          <w:bCs/>
          <w:color w:val="auto"/>
          <w:sz w:val="32"/>
          <w:szCs w:val="32"/>
        </w:rPr>
        <w:t>2.组织实施</w:t>
      </w:r>
    </w:p>
    <w:p>
      <w:pPr>
        <w:ind w:firstLine="640"/>
        <w:rPr>
          <w:rFonts w:ascii="仿宋_GB2312" w:eastAsia="仿宋_GB2312"/>
          <w:color w:val="auto"/>
          <w:sz w:val="32"/>
          <w:szCs w:val="32"/>
        </w:rPr>
      </w:pPr>
      <w:r>
        <w:rPr>
          <w:rFonts w:hint="eastAsia" w:ascii="仿宋_GB2312" w:eastAsia="仿宋_GB2312"/>
          <w:color w:val="auto"/>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color w:val="auto"/>
          <w:sz w:val="32"/>
          <w:szCs w:val="32"/>
          <w:lang w:val="zh-TW" w:eastAsia="zh-TW"/>
        </w:rPr>
      </w:pPr>
      <w:r>
        <w:rPr>
          <w:rFonts w:hint="eastAsia" w:ascii="仿宋_GB2312" w:eastAsia="仿宋_GB2312"/>
          <w:color w:val="auto"/>
          <w:sz w:val="32"/>
          <w:szCs w:val="32"/>
          <w:lang w:val="zh-TW" w:eastAsia="zh-TW"/>
        </w:rPr>
        <w:t>对</w:t>
      </w:r>
      <w:r>
        <w:rPr>
          <w:rFonts w:hint="eastAsia" w:ascii="仿宋_GB2312" w:eastAsia="仿宋_GB2312"/>
          <w:color w:val="auto"/>
          <w:sz w:val="32"/>
          <w:szCs w:val="32"/>
        </w:rPr>
        <w:t>专项</w:t>
      </w:r>
      <w:r>
        <w:rPr>
          <w:rFonts w:hint="eastAsia" w:ascii="仿宋_GB2312" w:eastAsia="仿宋_GB2312"/>
          <w:color w:val="auto"/>
          <w:sz w:val="32"/>
          <w:szCs w:val="32"/>
          <w:lang w:val="zh-TW"/>
        </w:rPr>
        <w:t>项目预算执行情况进行分析，</w:t>
      </w:r>
      <w:r>
        <w:rPr>
          <w:rFonts w:hint="eastAsia" w:ascii="仿宋_GB2312" w:eastAsia="仿宋_GB2312"/>
          <w:color w:val="auto"/>
          <w:sz w:val="32"/>
          <w:szCs w:val="32"/>
        </w:rPr>
        <w:t>分析</w:t>
      </w:r>
      <w:r>
        <w:rPr>
          <w:rFonts w:hint="eastAsia" w:ascii="仿宋_GB2312" w:eastAsia="仿宋_GB2312"/>
          <w:color w:val="auto"/>
          <w:sz w:val="32"/>
          <w:szCs w:val="32"/>
          <w:lang w:val="zh-TW"/>
        </w:rPr>
        <w:t>专项项目产出、项目目标的实现程度和管理有效性，从而总结项目取得的业绩和经验，发现项目存在的不足之处</w:t>
      </w:r>
      <w:r>
        <w:rPr>
          <w:rFonts w:hint="eastAsia" w:ascii="仿宋_GB2312" w:eastAsia="仿宋_GB2312"/>
          <w:color w:val="auto"/>
          <w:sz w:val="32"/>
          <w:szCs w:val="32"/>
          <w:lang w:val="zh-TW" w:eastAsia="zh-TW"/>
        </w:rPr>
        <w:t>。</w:t>
      </w:r>
    </w:p>
    <w:p>
      <w:pPr>
        <w:ind w:firstLine="640"/>
        <w:rPr>
          <w:rFonts w:ascii="仿宋_GB2312" w:eastAsia="仿宋_GB2312"/>
          <w:color w:val="auto"/>
          <w:sz w:val="32"/>
          <w:szCs w:val="32"/>
        </w:rPr>
      </w:pPr>
      <w:r>
        <w:rPr>
          <w:rFonts w:hint="eastAsia" w:ascii="仿宋_GB2312" w:eastAsia="仿宋_GB2312"/>
          <w:color w:val="auto"/>
          <w:sz w:val="32"/>
          <w:szCs w:val="32"/>
          <w:lang w:val="zh-TW"/>
        </w:rPr>
        <w:t>对财政资金使用合规性进行评价，</w:t>
      </w:r>
      <w:r>
        <w:rPr>
          <w:rFonts w:hint="eastAsia" w:ascii="仿宋_GB2312" w:eastAsia="仿宋_GB2312"/>
          <w:color w:val="auto"/>
          <w:sz w:val="32"/>
          <w:szCs w:val="32"/>
        </w:rPr>
        <w:t>主要评价：①</w:t>
      </w:r>
      <w:r>
        <w:rPr>
          <w:rFonts w:hint="eastAsia" w:ascii="仿宋_GB2312" w:eastAsia="仿宋_GB2312"/>
          <w:color w:val="auto"/>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color w:val="auto"/>
          <w:sz w:val="32"/>
          <w:szCs w:val="32"/>
        </w:rPr>
        <w:t>通过评价</w:t>
      </w:r>
      <w:r>
        <w:rPr>
          <w:rFonts w:hint="eastAsia" w:ascii="仿宋_GB2312" w:eastAsia="仿宋_GB2312"/>
          <w:color w:val="auto"/>
          <w:sz w:val="32"/>
          <w:szCs w:val="32"/>
          <w:lang w:val="zh-TW"/>
        </w:rPr>
        <w:t>发现财政资金使用中存在的合规性问题，总结财务内控中存在的不足之处。</w:t>
      </w:r>
    </w:p>
    <w:p>
      <w:pPr>
        <w:pStyle w:val="4"/>
        <w:numPr>
          <w:ilvl w:val="0"/>
          <w:numId w:val="5"/>
        </w:numPr>
        <w:ind w:firstLine="640"/>
        <w:rPr>
          <w:rFonts w:ascii="楷体_GB2312" w:eastAsia="楷体_GB2312"/>
          <w:color w:val="auto"/>
          <w:szCs w:val="32"/>
        </w:rPr>
      </w:pPr>
      <w:r>
        <w:rPr>
          <w:rFonts w:hint="eastAsia" w:ascii="楷体_GB2312" w:eastAsia="楷体_GB2312"/>
          <w:color w:val="auto"/>
          <w:szCs w:val="32"/>
        </w:rPr>
        <w:t>专项管理情况分析</w:t>
      </w:r>
    </w:p>
    <w:p>
      <w:pPr>
        <w:ind w:firstLine="640"/>
        <w:rPr>
          <w:rFonts w:ascii="仿宋_GB2312" w:eastAsia="仿宋_GB2312" w:cs="仿宋"/>
          <w:b/>
          <w:bCs/>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年本单位全年</w:t>
      </w:r>
      <w:r>
        <w:rPr>
          <w:rFonts w:hint="eastAsia" w:ascii="仿宋_GB2312" w:eastAsia="仿宋_GB2312"/>
          <w:color w:val="auto"/>
          <w:sz w:val="32"/>
          <w:szCs w:val="32"/>
          <w:lang w:val="en-US" w:eastAsia="zh-CN"/>
        </w:rPr>
        <w:t>安排</w:t>
      </w:r>
      <w:r>
        <w:rPr>
          <w:rFonts w:hint="eastAsia" w:ascii="仿宋_GB2312" w:eastAsia="仿宋_GB2312"/>
          <w:color w:val="auto"/>
          <w:sz w:val="32"/>
          <w:szCs w:val="32"/>
        </w:rPr>
        <w:t>2022年自治区就业补助（自治区直达资金）</w:t>
      </w:r>
      <w:r>
        <w:rPr>
          <w:rFonts w:hint="eastAsia" w:ascii="仿宋_GB2312" w:eastAsia="仿宋_GB2312"/>
          <w:color w:val="auto"/>
          <w:sz w:val="32"/>
          <w:szCs w:val="32"/>
          <w:lang w:val="en-US" w:eastAsia="zh-CN"/>
        </w:rPr>
        <w:t>14.00万元，实际支出14.00万元，执行率100.0%</w:t>
      </w:r>
      <w:r>
        <w:rPr>
          <w:rFonts w:hint="eastAsia" w:ascii="仿宋_GB2312" w:eastAsia="仿宋_GB2312"/>
          <w:color w:val="auto"/>
          <w:sz w:val="32"/>
          <w:szCs w:val="32"/>
        </w:rPr>
        <w:t>。</w:t>
      </w:r>
    </w:p>
    <w:p>
      <w:pPr>
        <w:pStyle w:val="3"/>
        <w:ind w:firstLine="640"/>
        <w:rPr>
          <w:rFonts w:ascii="黑体" w:hAnsi="黑体"/>
          <w:b w:val="0"/>
          <w:color w:val="auto"/>
          <w:sz w:val="32"/>
          <w:szCs w:val="32"/>
        </w:rPr>
      </w:pPr>
      <w:r>
        <w:rPr>
          <w:rFonts w:hint="eastAsia" w:ascii="黑体" w:hAnsi="黑体"/>
          <w:b w:val="0"/>
          <w:color w:val="auto"/>
          <w:sz w:val="32"/>
          <w:szCs w:val="32"/>
        </w:rPr>
        <w:t>四、资产管理情况</w:t>
      </w:r>
    </w:p>
    <w:p>
      <w:pPr>
        <w:pStyle w:val="4"/>
        <w:numPr>
          <w:ilvl w:val="0"/>
          <w:numId w:val="6"/>
        </w:numPr>
        <w:ind w:firstLine="640"/>
        <w:rPr>
          <w:rFonts w:ascii="楷体_GB2312" w:eastAsia="楷体_GB2312"/>
          <w:color w:val="auto"/>
          <w:szCs w:val="32"/>
        </w:rPr>
      </w:pPr>
      <w:r>
        <w:rPr>
          <w:rFonts w:hint="eastAsia" w:ascii="楷体_GB2312" w:eastAsia="楷体_GB2312"/>
          <w:color w:val="auto"/>
          <w:szCs w:val="32"/>
        </w:rPr>
        <w:t>资产情况及固定资产利用情况</w:t>
      </w:r>
    </w:p>
    <w:p>
      <w:pPr>
        <w:ind w:firstLine="640"/>
        <w:rPr>
          <w:rFonts w:hint="eastAsia" w:ascii="仿宋_GB2312" w:hAnsi="仿宋" w:eastAsia="仿宋_GB2312" w:cs="Times New Roman"/>
          <w:kern w:val="2"/>
          <w:sz w:val="32"/>
          <w:szCs w:val="32"/>
          <w:lang w:val="en-US" w:eastAsia="zh-CN" w:bidi="ar-SA"/>
        </w:rPr>
      </w:pPr>
      <w:r>
        <w:rPr>
          <w:rFonts w:hint="eastAsia" w:ascii="仿宋_GB2312" w:eastAsia="仿宋_GB2312"/>
          <w:color w:val="auto"/>
          <w:sz w:val="32"/>
          <w:szCs w:val="32"/>
        </w:rPr>
        <w:t>截止202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年12月31日，我单位资产账面总额为</w:t>
      </w:r>
      <w:r>
        <w:rPr>
          <w:rFonts w:hint="eastAsia" w:ascii="仿宋_GB2312" w:hAnsi="仿宋" w:eastAsia="仿宋_GB2312" w:cs="Times New Roman"/>
          <w:kern w:val="2"/>
          <w:sz w:val="32"/>
          <w:szCs w:val="32"/>
          <w:lang w:val="en-US" w:eastAsia="zh-CN" w:bidi="ar-SA"/>
        </w:rPr>
        <w:t>126</w:t>
      </w:r>
      <w:r>
        <w:rPr>
          <w:rFonts w:hint="eastAsia" w:ascii="仿宋_GB2312" w:eastAsia="仿宋_GB2312" w:cs="Times New Roman"/>
          <w:kern w:val="2"/>
          <w:sz w:val="32"/>
          <w:szCs w:val="32"/>
          <w:lang w:val="en-US" w:eastAsia="zh-CN" w:bidi="ar-SA"/>
        </w:rPr>
        <w:t>.</w:t>
      </w:r>
      <w:r>
        <w:rPr>
          <w:rFonts w:hint="eastAsia" w:ascii="仿宋_GB2312" w:hAnsi="仿宋" w:eastAsia="仿宋_GB2312" w:cs="Times New Roman"/>
          <w:kern w:val="2"/>
          <w:sz w:val="32"/>
          <w:szCs w:val="32"/>
          <w:lang w:val="en-US" w:eastAsia="zh-CN" w:bidi="ar-SA"/>
        </w:rPr>
        <w:t>51</w:t>
      </w:r>
    </w:p>
    <w:p>
      <w:pPr>
        <w:ind w:left="0" w:leftChars="0" w:firstLine="0" w:firstLineChars="0"/>
        <w:rPr>
          <w:rFonts w:hint="eastAsia" w:ascii="仿宋_GB2312" w:eastAsia="仿宋_GB2312"/>
          <w:color w:val="auto"/>
          <w:sz w:val="32"/>
          <w:szCs w:val="32"/>
        </w:rPr>
      </w:pPr>
      <w:r>
        <w:rPr>
          <w:rFonts w:hint="eastAsia" w:ascii="仿宋_GB2312" w:eastAsia="仿宋_GB2312"/>
          <w:color w:val="auto"/>
          <w:sz w:val="32"/>
          <w:szCs w:val="32"/>
        </w:rPr>
        <w:t>万元，较年初资产总额</w:t>
      </w:r>
      <w:r>
        <w:rPr>
          <w:rFonts w:hint="eastAsia" w:ascii="仿宋_GB2312" w:eastAsia="仿宋_GB2312"/>
          <w:color w:val="auto"/>
          <w:sz w:val="32"/>
          <w:szCs w:val="32"/>
          <w:lang w:val="en-US" w:eastAsia="zh-CN"/>
        </w:rPr>
        <w:t>降低28.65</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,降低18.6</w:t>
      </w:r>
      <w:r>
        <w:rPr>
          <w:rFonts w:hint="eastAsia"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其中：</w:t>
      </w:r>
    </w:p>
    <w:p>
      <w:pPr>
        <w:ind w:firstLine="640"/>
        <w:rPr>
          <w:rFonts w:hint="eastAsia" w:ascii="仿宋_GB2312" w:eastAsia="仿宋_GB2312"/>
          <w:color w:val="auto"/>
          <w:sz w:val="32"/>
          <w:szCs w:val="32"/>
          <w:lang w:eastAsia="zh-CN"/>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年初，流动资产总额为</w:t>
      </w:r>
      <w:r>
        <w:rPr>
          <w:rFonts w:hint="eastAsia" w:ascii="仿宋_GB2312" w:eastAsia="仿宋_GB2312"/>
          <w:color w:val="auto"/>
          <w:sz w:val="32"/>
          <w:szCs w:val="32"/>
          <w:lang w:val="en-US" w:eastAsia="zh-CN"/>
        </w:rPr>
        <w:t>129.10</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108.92</w:t>
      </w:r>
      <w:r>
        <w:rPr>
          <w:rFonts w:hint="eastAsia" w:ascii="仿宋_GB2312" w:eastAsia="仿宋_GB2312"/>
          <w:color w:val="auto"/>
          <w:sz w:val="32"/>
          <w:szCs w:val="32"/>
        </w:rPr>
        <w:t>万元，较年初流动资产</w:t>
      </w:r>
      <w:r>
        <w:rPr>
          <w:rFonts w:hint="eastAsia" w:ascii="仿宋_GB2312" w:eastAsia="仿宋_GB2312"/>
          <w:color w:val="auto"/>
          <w:sz w:val="32"/>
          <w:szCs w:val="32"/>
          <w:lang w:val="en-US" w:eastAsia="zh-CN"/>
        </w:rPr>
        <w:t>减少20.18</w:t>
      </w:r>
      <w:r>
        <w:rPr>
          <w:rFonts w:hint="eastAsia" w:ascii="仿宋_GB2312" w:eastAsia="仿宋_GB2312"/>
          <w:color w:val="auto"/>
          <w:sz w:val="32"/>
          <w:szCs w:val="32"/>
        </w:rPr>
        <w:t>万元，增长</w:t>
      </w:r>
      <w:r>
        <w:rPr>
          <w:rFonts w:hint="eastAsia" w:ascii="仿宋_GB2312" w:eastAsia="仿宋_GB2312"/>
          <w:color w:val="auto"/>
          <w:sz w:val="32"/>
          <w:szCs w:val="32"/>
          <w:lang w:val="en-US" w:eastAsia="zh-CN"/>
        </w:rPr>
        <w:t>15.63</w:t>
      </w:r>
      <w:r>
        <w:rPr>
          <w:rFonts w:hint="eastAsia" w:ascii="仿宋_GB2312" w:eastAsia="仿宋_GB2312"/>
          <w:color w:val="auto"/>
          <w:sz w:val="32"/>
          <w:szCs w:val="32"/>
        </w:rPr>
        <w:t>%，主要变动原因是：</w:t>
      </w:r>
      <w:r>
        <w:rPr>
          <w:rFonts w:hint="eastAsia" w:ascii="仿宋_GB2312" w:eastAsia="仿宋_GB2312"/>
          <w:color w:val="auto"/>
          <w:sz w:val="32"/>
          <w:szCs w:val="32"/>
          <w:lang w:eastAsia="zh-CN"/>
        </w:rPr>
        <w:t>上级部门工作经费</w:t>
      </w:r>
      <w:r>
        <w:rPr>
          <w:rFonts w:hint="eastAsia" w:ascii="仿宋_GB2312" w:eastAsia="仿宋_GB2312"/>
          <w:color w:val="auto"/>
          <w:sz w:val="32"/>
          <w:szCs w:val="32"/>
          <w:lang w:val="en-US" w:eastAsia="zh-CN"/>
        </w:rPr>
        <w:t>年内支出</w:t>
      </w:r>
      <w:r>
        <w:rPr>
          <w:rFonts w:hint="eastAsia" w:ascii="仿宋_GB2312" w:eastAsia="仿宋_GB2312"/>
          <w:color w:val="auto"/>
          <w:sz w:val="32"/>
          <w:szCs w:val="32"/>
          <w:lang w:eastAsia="zh-CN"/>
        </w:rPr>
        <w:t>。</w:t>
      </w:r>
    </w:p>
    <w:p>
      <w:pPr>
        <w:ind w:firstLine="640"/>
        <w:rPr>
          <w:rFonts w:hint="eastAsia" w:ascii="仿宋_GB2312" w:eastAsia="仿宋_GB2312"/>
          <w:color w:val="auto"/>
          <w:sz w:val="32"/>
          <w:szCs w:val="32"/>
          <w:lang w:eastAsia="zh-CN"/>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年初，固定资产总额为</w:t>
      </w:r>
      <w:r>
        <w:rPr>
          <w:rFonts w:hint="eastAsia" w:ascii="仿宋_GB2312" w:eastAsia="仿宋_GB2312"/>
          <w:color w:val="auto"/>
          <w:sz w:val="32"/>
          <w:szCs w:val="32"/>
          <w:lang w:val="en-US" w:eastAsia="zh-CN"/>
        </w:rPr>
        <w:t>78.61</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74.38</w:t>
      </w:r>
      <w:r>
        <w:rPr>
          <w:rFonts w:hint="eastAsia" w:ascii="仿宋_GB2312" w:eastAsia="仿宋_GB2312"/>
          <w:color w:val="auto"/>
          <w:sz w:val="32"/>
          <w:szCs w:val="32"/>
        </w:rPr>
        <w:t>万元，</w:t>
      </w:r>
      <w:r>
        <w:rPr>
          <w:rFonts w:hint="eastAsia" w:ascii="仿宋_GB2312" w:eastAsia="仿宋_GB2312"/>
          <w:color w:val="auto"/>
          <w:sz w:val="32"/>
          <w:szCs w:val="32"/>
          <w:lang w:eastAsia="zh-CN"/>
        </w:rPr>
        <w:t>固定资产净值为</w:t>
      </w:r>
      <w:r>
        <w:rPr>
          <w:rFonts w:hint="eastAsia" w:ascii="仿宋_GB2312" w:hAnsi="仿宋" w:eastAsia="仿宋_GB2312" w:cs="Times New Roman"/>
          <w:kern w:val="2"/>
          <w:sz w:val="32"/>
          <w:szCs w:val="32"/>
          <w:lang w:val="en-US" w:eastAsia="zh-CN" w:bidi="ar-SA"/>
        </w:rPr>
        <w:t>17</w:t>
      </w:r>
      <w:r>
        <w:rPr>
          <w:rFonts w:hint="eastAsia" w:ascii="仿宋_GB2312" w:eastAsia="仿宋_GB2312" w:cs="Times New Roman"/>
          <w:kern w:val="2"/>
          <w:sz w:val="32"/>
          <w:szCs w:val="32"/>
          <w:lang w:val="en-US" w:eastAsia="zh-CN" w:bidi="ar-SA"/>
        </w:rPr>
        <w:t>.</w:t>
      </w:r>
      <w:r>
        <w:rPr>
          <w:rFonts w:hint="eastAsia" w:ascii="仿宋_GB2312" w:hAnsi="仿宋" w:eastAsia="仿宋_GB2312" w:cs="Times New Roman"/>
          <w:kern w:val="2"/>
          <w:sz w:val="32"/>
          <w:szCs w:val="32"/>
          <w:lang w:val="en-US" w:eastAsia="zh-CN" w:bidi="ar-SA"/>
        </w:rPr>
        <w:t>59</w:t>
      </w:r>
      <w:r>
        <w:rPr>
          <w:rFonts w:hint="eastAsia" w:ascii="仿宋_GB2312" w:eastAsia="仿宋_GB2312"/>
          <w:color w:val="auto"/>
          <w:sz w:val="32"/>
          <w:szCs w:val="32"/>
          <w:lang w:val="en-US" w:eastAsia="zh-CN"/>
        </w:rPr>
        <w:t>万元，</w:t>
      </w:r>
      <w:r>
        <w:rPr>
          <w:rFonts w:hint="eastAsia" w:ascii="仿宋_GB2312" w:eastAsia="仿宋_GB2312"/>
          <w:color w:val="auto"/>
          <w:sz w:val="32"/>
          <w:szCs w:val="32"/>
        </w:rPr>
        <w:t>较年初固定资产减少</w:t>
      </w:r>
      <w:r>
        <w:rPr>
          <w:rFonts w:hint="eastAsia" w:ascii="仿宋_GB2312" w:eastAsia="仿宋_GB2312"/>
          <w:color w:val="auto"/>
          <w:sz w:val="32"/>
          <w:szCs w:val="32"/>
          <w:lang w:val="en-US" w:eastAsia="zh-CN"/>
        </w:rPr>
        <w:t>4.23</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5.38</w:t>
      </w:r>
      <w:r>
        <w:rPr>
          <w:rFonts w:hint="eastAsia" w:ascii="仿宋_GB2312" w:eastAsia="仿宋_GB2312"/>
          <w:color w:val="auto"/>
          <w:sz w:val="32"/>
          <w:szCs w:val="32"/>
        </w:rPr>
        <w:t>%，主要变动原因是：</w:t>
      </w:r>
      <w:r>
        <w:rPr>
          <w:rFonts w:hint="eastAsia" w:ascii="仿宋_GB2312" w:eastAsia="仿宋_GB2312"/>
          <w:color w:val="auto"/>
          <w:sz w:val="32"/>
          <w:szCs w:val="32"/>
          <w:lang w:eastAsia="zh-CN"/>
        </w:rPr>
        <w:t>年内部分资产报废核销。</w:t>
      </w:r>
    </w:p>
    <w:p>
      <w:pPr>
        <w:pStyle w:val="4"/>
        <w:numPr>
          <w:ilvl w:val="0"/>
          <w:numId w:val="6"/>
        </w:numPr>
        <w:ind w:firstLine="640"/>
        <w:rPr>
          <w:rFonts w:ascii="楷体_GB2312" w:eastAsia="楷体_GB2312"/>
          <w:color w:val="auto"/>
          <w:szCs w:val="32"/>
        </w:rPr>
      </w:pPr>
      <w:r>
        <w:rPr>
          <w:rFonts w:hint="eastAsia" w:ascii="楷体_GB2312" w:eastAsia="楷体_GB2312"/>
          <w:color w:val="auto"/>
          <w:szCs w:val="32"/>
        </w:rPr>
        <w:t>资产管理规范性分析</w:t>
      </w:r>
    </w:p>
    <w:p>
      <w:pPr>
        <w:ind w:firstLine="640"/>
        <w:jc w:val="left"/>
        <w:rPr>
          <w:rFonts w:ascii="仿宋_GB2312" w:eastAsia="仿宋_GB2312" w:cs="仿宋_GB2312"/>
          <w:color w:val="auto"/>
          <w:kern w:val="1"/>
          <w:sz w:val="32"/>
          <w:szCs w:val="32"/>
        </w:rPr>
      </w:pPr>
      <w:r>
        <w:rPr>
          <w:rFonts w:hint="eastAsia" w:ascii="仿宋_GB2312" w:eastAsia="仿宋_GB2312" w:cs="仿宋_GB2312"/>
          <w:b/>
          <w:color w:val="auto"/>
          <w:kern w:val="1"/>
          <w:sz w:val="32"/>
          <w:szCs w:val="32"/>
        </w:rPr>
        <w:t>1.资产管理体制和制度建设方面</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2.运行机制和管理方式</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3.信息化建设方面</w:t>
      </w:r>
    </w:p>
    <w:p>
      <w:pPr>
        <w:ind w:firstLine="640"/>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 xml:space="preserve"> 4.流动资产的管理</w:t>
      </w:r>
    </w:p>
    <w:p>
      <w:pPr>
        <w:pStyle w:val="9"/>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5.固定资产的管理</w:t>
      </w:r>
    </w:p>
    <w:p>
      <w:pPr>
        <w:pStyle w:val="9"/>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color w:val="auto"/>
          <w:sz w:val="32"/>
          <w:szCs w:val="32"/>
        </w:rPr>
      </w:pPr>
      <w:r>
        <w:rPr>
          <w:rFonts w:hint="eastAsia" w:ascii="黑体" w:hAnsi="黑体"/>
          <w:b w:val="0"/>
          <w:color w:val="auto"/>
          <w:sz w:val="32"/>
          <w:szCs w:val="32"/>
        </w:rPr>
        <w:t>部门单位整体支出绩效情况</w:t>
      </w:r>
    </w:p>
    <w:p>
      <w:pPr>
        <w:adjustRightInd w:val="0"/>
        <w:snapToGrid w:val="0"/>
        <w:ind w:firstLine="624"/>
        <w:rPr>
          <w:rFonts w:ascii="仿宋_GB2312" w:eastAsia="仿宋_GB2312"/>
          <w:bCs/>
          <w:color w:val="auto"/>
          <w:spacing w:val="-4"/>
          <w:sz w:val="32"/>
          <w:szCs w:val="32"/>
        </w:rPr>
      </w:pPr>
      <w:r>
        <w:rPr>
          <w:rFonts w:hint="eastAsia" w:ascii="仿宋_GB2312" w:eastAsia="仿宋_GB2312"/>
          <w:bCs/>
          <w:color w:val="auto"/>
          <w:spacing w:val="-4"/>
          <w:sz w:val="32"/>
          <w:szCs w:val="32"/>
          <w:lang w:eastAsia="zh-CN"/>
        </w:rPr>
        <w:t>2022年度</w:t>
      </w:r>
      <w:r>
        <w:rPr>
          <w:rFonts w:hint="eastAsia" w:ascii="仿宋_GB2312" w:eastAsia="仿宋_GB2312"/>
          <w:bCs/>
          <w:color w:val="auto"/>
          <w:spacing w:val="-4"/>
          <w:sz w:val="32"/>
          <w:szCs w:val="32"/>
        </w:rPr>
        <w:t>，</w:t>
      </w:r>
      <w:r>
        <w:rPr>
          <w:rFonts w:hint="eastAsia" w:ascii="仿宋_GB2312" w:eastAsia="仿宋_GB2312"/>
          <w:color w:val="auto"/>
          <w:sz w:val="32"/>
          <w:szCs w:val="32"/>
          <w:lang w:eastAsia="zh-CN"/>
        </w:rPr>
        <w:t>昌吉市公共就业服务局</w:t>
      </w:r>
      <w:r>
        <w:rPr>
          <w:rFonts w:hint="eastAsia" w:ascii="仿宋_GB2312" w:eastAsia="仿宋_GB2312"/>
          <w:bCs/>
          <w:color w:val="auto"/>
          <w:spacing w:val="-4"/>
          <w:sz w:val="32"/>
          <w:szCs w:val="32"/>
        </w:rPr>
        <w:t>部门单位整体支出绩效目标共设置一级指标3个，二级指标</w:t>
      </w:r>
      <w:r>
        <w:rPr>
          <w:rFonts w:hint="eastAsia" w:ascii="仿宋_GB2312" w:eastAsia="仿宋_GB2312"/>
          <w:bCs/>
          <w:color w:val="auto"/>
          <w:spacing w:val="-4"/>
          <w:sz w:val="32"/>
          <w:szCs w:val="32"/>
          <w:lang w:val="en-US" w:eastAsia="zh-CN"/>
        </w:rPr>
        <w:t>7</w:t>
      </w:r>
      <w:r>
        <w:rPr>
          <w:rFonts w:hint="eastAsia" w:ascii="仿宋_GB2312" w:eastAsia="仿宋_GB2312"/>
          <w:bCs/>
          <w:color w:val="auto"/>
          <w:spacing w:val="-4"/>
          <w:sz w:val="32"/>
          <w:szCs w:val="32"/>
        </w:rPr>
        <w:t>个，三级指标</w:t>
      </w:r>
      <w:r>
        <w:rPr>
          <w:rFonts w:hint="eastAsia" w:ascii="仿宋_GB2312" w:eastAsia="仿宋_GB2312"/>
          <w:bCs/>
          <w:color w:val="auto"/>
          <w:spacing w:val="-4"/>
          <w:sz w:val="32"/>
          <w:szCs w:val="32"/>
          <w:lang w:val="en-US" w:eastAsia="zh-CN"/>
        </w:rPr>
        <w:t>13</w:t>
      </w:r>
      <w:r>
        <w:rPr>
          <w:rFonts w:hint="eastAsia" w:ascii="仿宋_GB2312" w:eastAsia="仿宋_GB2312"/>
          <w:bCs/>
          <w:color w:val="auto"/>
          <w:spacing w:val="-4"/>
          <w:sz w:val="32"/>
          <w:szCs w:val="32"/>
        </w:rPr>
        <w:t>个，其中：已完成三级指标</w:t>
      </w:r>
      <w:r>
        <w:rPr>
          <w:rFonts w:hint="eastAsia" w:ascii="仿宋_GB2312" w:eastAsia="仿宋_GB2312"/>
          <w:bCs/>
          <w:color w:val="auto"/>
          <w:spacing w:val="-4"/>
          <w:sz w:val="32"/>
          <w:szCs w:val="32"/>
          <w:lang w:val="en-US" w:eastAsia="zh-CN"/>
        </w:rPr>
        <w:t>13</w:t>
      </w:r>
      <w:r>
        <w:rPr>
          <w:rFonts w:hint="eastAsia" w:ascii="仿宋_GB2312" w:eastAsia="仿宋_GB2312"/>
          <w:bCs/>
          <w:color w:val="auto"/>
          <w:spacing w:val="-4"/>
          <w:sz w:val="32"/>
          <w:szCs w:val="32"/>
        </w:rPr>
        <w:t>个，指标完成率为</w:t>
      </w:r>
      <w:r>
        <w:rPr>
          <w:rFonts w:hint="eastAsia" w:ascii="仿宋_GB2312" w:eastAsia="仿宋_GB2312"/>
          <w:bCs/>
          <w:color w:val="auto"/>
          <w:spacing w:val="-4"/>
          <w:sz w:val="32"/>
          <w:szCs w:val="32"/>
          <w:lang w:val="en-US" w:eastAsia="zh-CN"/>
        </w:rPr>
        <w:t>100.0</w:t>
      </w:r>
      <w:r>
        <w:rPr>
          <w:rFonts w:hint="eastAsia" w:ascii="仿宋_GB2312" w:eastAsia="仿宋_GB2312"/>
          <w:bCs/>
          <w:color w:val="auto"/>
          <w:spacing w:val="-4"/>
          <w:sz w:val="32"/>
          <w:szCs w:val="32"/>
        </w:rPr>
        <w:t>%。</w:t>
      </w:r>
    </w:p>
    <w:p>
      <w:pPr>
        <w:pStyle w:val="5"/>
        <w:ind w:firstLine="640"/>
        <w:rPr>
          <w:color w:val="auto"/>
          <w:sz w:val="32"/>
        </w:rPr>
      </w:pPr>
      <w:r>
        <w:rPr>
          <w:rFonts w:hint="eastAsia"/>
          <w:color w:val="auto"/>
          <w:sz w:val="32"/>
        </w:rPr>
        <w:t>1.产出指标完成情况分析</w:t>
      </w:r>
    </w:p>
    <w:p>
      <w:pPr>
        <w:ind w:firstLine="640"/>
        <w:rPr>
          <w:rFonts w:ascii="仿宋_GB2312" w:eastAsia="仿宋_GB2312"/>
          <w:color w:val="auto"/>
          <w:sz w:val="32"/>
          <w:szCs w:val="32"/>
        </w:rPr>
      </w:pPr>
      <w:r>
        <w:rPr>
          <w:rFonts w:hint="eastAsia" w:ascii="仿宋_GB2312" w:eastAsia="仿宋_GB2312"/>
          <w:color w:val="auto"/>
          <w:sz w:val="32"/>
          <w:szCs w:val="32"/>
        </w:rPr>
        <w:t>（1）数量指标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“农村富余劳动力转移就业人数”指标：预期指标值为“&gt;=23200.00人次”，实际完成指标值为“2426</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.00”，指标完成率为</w:t>
      </w:r>
      <w:r>
        <w:rPr>
          <w:rFonts w:hint="eastAsia" w:ascii="仿宋_GB2312" w:eastAsia="仿宋_GB2312"/>
          <w:bCs/>
          <w:color w:val="auto"/>
          <w:spacing w:val="-4"/>
          <w:sz w:val="32"/>
          <w:szCs w:val="32"/>
          <w:lang w:val="en-US" w:eastAsia="zh-CN"/>
        </w:rPr>
        <w:t>104.6</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“组织开展公共就业服务专项活动”指标：预期指标值为“=</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.00场次”，实际完成指标值为“</w:t>
      </w:r>
      <w:r>
        <w:rPr>
          <w:rFonts w:hint="eastAsia" w:ascii="仿宋_GB2312" w:eastAsia="仿宋_GB2312"/>
          <w:color w:val="auto"/>
          <w:sz w:val="32"/>
          <w:szCs w:val="32"/>
          <w:lang w:val="en-US" w:eastAsia="zh-CN"/>
        </w:rPr>
        <w:t>26</w:t>
      </w:r>
      <w:r>
        <w:rPr>
          <w:rFonts w:hint="eastAsia" w:ascii="仿宋_GB2312" w:eastAsia="仿宋_GB2312"/>
          <w:color w:val="auto"/>
          <w:sz w:val="32"/>
          <w:szCs w:val="32"/>
        </w:rPr>
        <w:t>.00”，指标完成率为</w:t>
      </w:r>
      <w:r>
        <w:rPr>
          <w:rFonts w:hint="eastAsia" w:ascii="仿宋_GB2312" w:eastAsia="仿宋_GB2312"/>
          <w:bCs/>
          <w:color w:val="auto"/>
          <w:spacing w:val="-4"/>
          <w:sz w:val="32"/>
          <w:szCs w:val="32"/>
          <w:lang w:val="en-US" w:eastAsia="zh-CN"/>
        </w:rPr>
        <w:t>420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rPr>
        <w:t>公务保障用车数量</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指标：</w:t>
      </w:r>
      <w:r>
        <w:rPr>
          <w:rFonts w:hint="eastAsia" w:ascii="仿宋_GB2312" w:eastAsia="仿宋_GB2312"/>
          <w:color w:val="auto"/>
          <w:sz w:val="32"/>
          <w:szCs w:val="32"/>
        </w:rPr>
        <w:t>预期指标值为“</w:t>
      </w:r>
      <w:r>
        <w:rPr>
          <w:rFonts w:hint="eastAsia" w:ascii="仿宋_GB2312" w:eastAsia="仿宋_GB2312"/>
          <w:color w:val="auto"/>
          <w:sz w:val="32"/>
          <w:szCs w:val="32"/>
          <w:lang w:val="en-US" w:eastAsia="zh-CN"/>
        </w:rPr>
        <w:t>=1辆</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1辆</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rPr>
        <w:t>保障办公人员数量</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指标：</w:t>
      </w:r>
      <w:r>
        <w:rPr>
          <w:rFonts w:hint="eastAsia" w:ascii="仿宋_GB2312" w:eastAsia="仿宋_GB2312"/>
          <w:color w:val="auto"/>
          <w:sz w:val="32"/>
          <w:szCs w:val="32"/>
        </w:rPr>
        <w:t>预期指标值为“</w:t>
      </w:r>
      <w:r>
        <w:rPr>
          <w:rFonts w:hint="eastAsia" w:ascii="仿宋_GB2312" w:eastAsia="仿宋_GB2312"/>
          <w:color w:val="auto"/>
          <w:sz w:val="32"/>
          <w:szCs w:val="32"/>
          <w:lang w:val="en-US" w:eastAsia="zh-CN"/>
        </w:rPr>
        <w:t>=21人</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21人</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numPr>
          <w:ilvl w:val="0"/>
          <w:numId w:val="8"/>
        </w:numPr>
        <w:ind w:firstLine="640"/>
        <w:rPr>
          <w:rFonts w:ascii="仿宋_GB2312" w:eastAsia="仿宋_GB2312"/>
          <w:color w:val="auto"/>
          <w:sz w:val="32"/>
          <w:szCs w:val="32"/>
        </w:rPr>
      </w:pPr>
      <w:r>
        <w:rPr>
          <w:rFonts w:hint="eastAsia" w:ascii="仿宋_GB2312" w:eastAsia="仿宋_GB2312"/>
          <w:color w:val="auto"/>
          <w:sz w:val="32"/>
          <w:szCs w:val="32"/>
        </w:rPr>
        <w:t>质量指标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“南疆籍有组织转移就业人员工资、社保发放率”指标：预期指标值为“=100.00%”，实际完成指标值为“100.00”，指标完成率为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“南疆籍有组织转移就业人员合同签订率”指标：预期指标值为“=100.00%”，实际完成指标值为“100.00”，指标完成率为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numPr>
          <w:ilvl w:val="0"/>
          <w:numId w:val="8"/>
        </w:numPr>
        <w:ind w:firstLine="640"/>
        <w:rPr>
          <w:rFonts w:ascii="仿宋_GB2312" w:eastAsia="仿宋_GB2312"/>
          <w:color w:val="auto"/>
          <w:sz w:val="32"/>
          <w:szCs w:val="32"/>
        </w:rPr>
      </w:pPr>
      <w:r>
        <w:rPr>
          <w:rFonts w:hint="eastAsia" w:ascii="仿宋_GB2312" w:eastAsia="仿宋_GB2312"/>
          <w:color w:val="auto"/>
          <w:sz w:val="32"/>
          <w:szCs w:val="32"/>
        </w:rPr>
        <w:t>时效指标</w:t>
      </w:r>
    </w:p>
    <w:p>
      <w:pPr>
        <w:ind w:firstLine="640"/>
        <w:rPr>
          <w:rFonts w:ascii="仿宋_GB2312" w:eastAsia="仿宋_GB2312"/>
          <w:color w:val="auto"/>
          <w:sz w:val="32"/>
          <w:szCs w:val="32"/>
        </w:rPr>
      </w:pPr>
      <w:r>
        <w:rPr>
          <w:rFonts w:hint="eastAsia" w:ascii="仿宋_GB2312" w:eastAsia="仿宋_GB2312"/>
          <w:color w:val="auto"/>
          <w:sz w:val="32"/>
          <w:szCs w:val="32"/>
        </w:rPr>
        <w:t>“工作完成时限”指标：预期指标值为“202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年12月31日”，实际完成指标值为“202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年12月31日”，指标完成率为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numPr>
          <w:ilvl w:val="0"/>
          <w:numId w:val="8"/>
        </w:numPr>
        <w:ind w:firstLine="640"/>
        <w:rPr>
          <w:rFonts w:ascii="仿宋_GB2312" w:eastAsia="仿宋_GB2312"/>
          <w:color w:val="auto"/>
          <w:sz w:val="32"/>
          <w:szCs w:val="32"/>
        </w:rPr>
      </w:pPr>
      <w:r>
        <w:rPr>
          <w:rFonts w:hint="eastAsia" w:ascii="仿宋_GB2312" w:eastAsia="仿宋_GB2312"/>
          <w:color w:val="auto"/>
          <w:sz w:val="32"/>
          <w:szCs w:val="32"/>
        </w:rPr>
        <w:t>成本指标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“开展公共就业服务人员支出”指标：预期指标值为“=249.86万元”，实际完成指标值为“297.64”，指标完成率为</w:t>
      </w:r>
      <w:r>
        <w:rPr>
          <w:rFonts w:hint="eastAsia" w:ascii="仿宋_GB2312" w:eastAsia="仿宋_GB2312"/>
          <w:bCs/>
          <w:color w:val="auto"/>
          <w:spacing w:val="-4"/>
          <w:sz w:val="32"/>
          <w:szCs w:val="32"/>
          <w:lang w:val="en-US" w:eastAsia="zh-CN"/>
        </w:rPr>
        <w:t>119.12</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“开展公共就业服务日常公用支出”指标：预期指标值为“=15.24万元”，实际完成指标值为“6.67”，指标完成率为</w:t>
      </w:r>
      <w:r>
        <w:rPr>
          <w:rFonts w:hint="eastAsia" w:ascii="仿宋_GB2312" w:eastAsia="仿宋_GB2312"/>
          <w:bCs/>
          <w:color w:val="auto"/>
          <w:spacing w:val="-4"/>
          <w:sz w:val="32"/>
          <w:szCs w:val="32"/>
          <w:lang w:val="en-US" w:eastAsia="zh-CN"/>
        </w:rPr>
        <w:t>43.77</w:t>
      </w:r>
      <w:r>
        <w:rPr>
          <w:rFonts w:hint="eastAsia" w:ascii="仿宋_GB2312" w:eastAsia="仿宋_GB2312"/>
          <w:color w:val="auto"/>
          <w:sz w:val="32"/>
          <w:szCs w:val="32"/>
        </w:rPr>
        <w:t>%;</w:t>
      </w:r>
    </w:p>
    <w:p>
      <w:pPr>
        <w:pStyle w:val="5"/>
        <w:ind w:firstLine="640"/>
        <w:rPr>
          <w:color w:val="auto"/>
          <w:sz w:val="32"/>
        </w:rPr>
      </w:pPr>
      <w:r>
        <w:rPr>
          <w:rFonts w:hint="eastAsia"/>
          <w:color w:val="auto"/>
          <w:sz w:val="32"/>
        </w:rPr>
        <w:t>2.效益指标完成情况分析</w:t>
      </w:r>
    </w:p>
    <w:p>
      <w:pPr>
        <w:ind w:firstLine="640"/>
        <w:rPr>
          <w:rFonts w:ascii="仿宋_GB2312" w:eastAsia="仿宋_GB2312"/>
          <w:color w:val="auto"/>
          <w:sz w:val="32"/>
          <w:szCs w:val="32"/>
        </w:rPr>
      </w:pPr>
      <w:r>
        <w:rPr>
          <w:rFonts w:hint="eastAsia" w:ascii="仿宋_GB2312" w:eastAsia="仿宋_GB2312"/>
          <w:color w:val="auto"/>
          <w:sz w:val="32"/>
          <w:szCs w:val="32"/>
        </w:rPr>
        <w:t>（1）经济效益</w:t>
      </w:r>
    </w:p>
    <w:p>
      <w:pPr>
        <w:ind w:firstLine="640"/>
        <w:rPr>
          <w:rFonts w:hint="eastAsia" w:ascii="仿宋_GB2312" w:eastAsia="仿宋_GB2312"/>
          <w:color w:val="auto"/>
          <w:sz w:val="32"/>
          <w:szCs w:val="32"/>
        </w:rPr>
      </w:pPr>
      <w:r>
        <w:rPr>
          <w:rFonts w:hint="eastAsia" w:ascii="仿宋_GB2312" w:eastAsia="仿宋_GB2312"/>
          <w:color w:val="auto"/>
          <w:sz w:val="32"/>
          <w:szCs w:val="32"/>
        </w:rPr>
        <w:t>无此项指标</w:t>
      </w:r>
    </w:p>
    <w:p>
      <w:pPr>
        <w:ind w:firstLine="640"/>
        <w:rPr>
          <w:rFonts w:ascii="仿宋_GB2312" w:eastAsia="仿宋_GB2312"/>
          <w:color w:val="auto"/>
          <w:sz w:val="32"/>
          <w:szCs w:val="32"/>
        </w:rPr>
      </w:pPr>
      <w:r>
        <w:rPr>
          <w:rFonts w:hint="eastAsia" w:ascii="仿宋_GB2312" w:eastAsia="仿宋_GB2312"/>
          <w:color w:val="auto"/>
          <w:sz w:val="32"/>
          <w:szCs w:val="32"/>
        </w:rPr>
        <w:t>（2）社会效益</w:t>
      </w:r>
    </w:p>
    <w:p>
      <w:pPr>
        <w:ind w:firstLine="640"/>
        <w:rPr>
          <w:rFonts w:hint="eastAsia" w:ascii="仿宋_GB2312" w:eastAsia="仿宋_GB2312" w:cs="Times New Roman"/>
          <w:color w:val="auto"/>
          <w:sz w:val="32"/>
          <w:szCs w:val="32"/>
        </w:rPr>
      </w:pPr>
      <w:r>
        <w:rPr>
          <w:rFonts w:hint="eastAsia" w:ascii="仿宋_GB2312" w:eastAsia="仿宋_GB2312" w:cs="Times New Roman"/>
          <w:color w:val="auto"/>
          <w:sz w:val="32"/>
          <w:szCs w:val="32"/>
        </w:rPr>
        <w:t>“为企业和求职者搭建就业服务平台”指标：预期指标值为“持续完善”，实际完成指标值为“持续完善”，指标完成率为</w:t>
      </w:r>
      <w:r>
        <w:rPr>
          <w:rFonts w:hint="eastAsia" w:ascii="仿宋_GB2312" w:eastAsia="仿宋_GB2312" w:cs="Times New Roman"/>
          <w:color w:val="auto"/>
          <w:sz w:val="32"/>
          <w:szCs w:val="32"/>
          <w:lang w:val="en-US" w:eastAsia="zh-CN"/>
        </w:rPr>
        <w:t>100.0</w:t>
      </w:r>
      <w:r>
        <w:rPr>
          <w:rFonts w:hint="eastAsia" w:ascii="仿宋_GB2312" w:eastAsia="仿宋_GB2312" w:cs="Times New Roman"/>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（3）生态效益</w:t>
      </w:r>
    </w:p>
    <w:p>
      <w:pPr>
        <w:ind w:firstLine="640"/>
        <w:rPr>
          <w:rFonts w:hint="eastAsia" w:ascii="仿宋_GB2312" w:eastAsia="仿宋_GB2312"/>
          <w:color w:val="auto"/>
          <w:sz w:val="32"/>
          <w:szCs w:val="32"/>
        </w:rPr>
      </w:pPr>
      <w:r>
        <w:rPr>
          <w:rFonts w:hint="eastAsia" w:ascii="仿宋_GB2312" w:eastAsia="仿宋_GB2312"/>
          <w:color w:val="auto"/>
          <w:sz w:val="32"/>
          <w:szCs w:val="32"/>
        </w:rPr>
        <w:t>无此项指标</w:t>
      </w:r>
    </w:p>
    <w:p>
      <w:pPr>
        <w:ind w:firstLine="640"/>
        <w:rPr>
          <w:rFonts w:ascii="仿宋_GB2312" w:eastAsia="仿宋_GB2312"/>
          <w:color w:val="auto"/>
          <w:sz w:val="32"/>
          <w:szCs w:val="32"/>
        </w:rPr>
      </w:pPr>
      <w:r>
        <w:rPr>
          <w:rFonts w:hint="eastAsia" w:ascii="仿宋_GB2312" w:eastAsia="仿宋_GB2312"/>
          <w:color w:val="auto"/>
          <w:sz w:val="32"/>
          <w:szCs w:val="32"/>
        </w:rPr>
        <w:t>（4）可持续影响</w:t>
      </w:r>
    </w:p>
    <w:p>
      <w:pPr>
        <w:ind w:firstLine="640"/>
        <w:rPr>
          <w:rFonts w:hint="eastAsia" w:ascii="仿宋_GB2312" w:eastAsia="仿宋_GB2312" w:cs="Times New Roman"/>
          <w:color w:val="auto"/>
          <w:sz w:val="32"/>
          <w:szCs w:val="32"/>
        </w:rPr>
      </w:pPr>
      <w:r>
        <w:rPr>
          <w:rFonts w:hint="eastAsia" w:ascii="仿宋_GB2312" w:eastAsia="仿宋_GB2312"/>
          <w:color w:val="auto"/>
          <w:sz w:val="32"/>
          <w:szCs w:val="32"/>
        </w:rPr>
        <w:t>“公共就业服务水平”指标：预期指标值为</w:t>
      </w:r>
      <w:r>
        <w:rPr>
          <w:rFonts w:hint="eastAsia" w:ascii="仿宋_GB2312" w:eastAsia="仿宋_GB2312" w:cs="Times New Roman"/>
          <w:color w:val="auto"/>
          <w:sz w:val="32"/>
          <w:szCs w:val="32"/>
        </w:rPr>
        <w:t>“持续提高”，实际完成指标值为“持续提高”，指标完成率为</w:t>
      </w:r>
      <w:r>
        <w:rPr>
          <w:rFonts w:hint="eastAsia" w:ascii="仿宋_GB2312" w:eastAsia="仿宋_GB2312" w:cs="Times New Roman"/>
          <w:color w:val="auto"/>
          <w:sz w:val="32"/>
          <w:szCs w:val="32"/>
          <w:lang w:val="en-US" w:eastAsia="zh-CN"/>
        </w:rPr>
        <w:t>100.0</w:t>
      </w:r>
      <w:r>
        <w:rPr>
          <w:rFonts w:hint="eastAsia" w:ascii="仿宋_GB2312" w:eastAsia="仿宋_GB2312" w:cs="Times New Roman"/>
          <w:color w:val="auto"/>
          <w:sz w:val="32"/>
          <w:szCs w:val="32"/>
        </w:rPr>
        <w:t>%;</w:t>
      </w:r>
    </w:p>
    <w:p>
      <w:pPr>
        <w:pStyle w:val="5"/>
        <w:ind w:firstLine="640"/>
        <w:rPr>
          <w:color w:val="auto"/>
          <w:sz w:val="32"/>
        </w:rPr>
      </w:pPr>
      <w:r>
        <w:rPr>
          <w:rFonts w:hint="eastAsia"/>
          <w:color w:val="auto"/>
          <w:sz w:val="32"/>
        </w:rPr>
        <w:t>3.满意度指标完成情况分析</w:t>
      </w:r>
    </w:p>
    <w:p>
      <w:pPr>
        <w:ind w:firstLine="640"/>
        <w:rPr>
          <w:rFonts w:hint="eastAsia" w:ascii="仿宋_GB2312" w:eastAsia="仿宋_GB2312"/>
          <w:color w:val="auto"/>
          <w:sz w:val="32"/>
          <w:szCs w:val="32"/>
        </w:rPr>
      </w:pPr>
      <w:r>
        <w:rPr>
          <w:rFonts w:hint="eastAsia" w:ascii="仿宋_GB2312" w:eastAsia="仿宋_GB2312"/>
          <w:color w:val="auto"/>
          <w:sz w:val="32"/>
          <w:szCs w:val="32"/>
        </w:rPr>
        <w:t>“服务对象满意率”指标：预期指标值为“&gt;=9</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.00%”，实际完成指标值为“9</w:t>
      </w:r>
      <w:r>
        <w:rPr>
          <w:rFonts w:hint="eastAsia" w:ascii="仿宋_GB2312" w:eastAsia="仿宋_GB2312"/>
          <w:color w:val="auto"/>
          <w:sz w:val="32"/>
          <w:szCs w:val="32"/>
          <w:lang w:val="en-US" w:eastAsia="zh-CN"/>
        </w:rPr>
        <w:t>6</w:t>
      </w:r>
      <w:r>
        <w:rPr>
          <w:rFonts w:hint="eastAsia" w:ascii="仿宋_GB2312" w:eastAsia="仿宋_GB2312"/>
          <w:color w:val="auto"/>
          <w:sz w:val="32"/>
          <w:szCs w:val="32"/>
        </w:rPr>
        <w:t>.00”，指标完成率为</w:t>
      </w:r>
      <w:r>
        <w:rPr>
          <w:rFonts w:hint="eastAsia" w:ascii="仿宋_GB2312" w:eastAsia="仿宋_GB2312"/>
          <w:bCs/>
          <w:color w:val="auto"/>
          <w:spacing w:val="-4"/>
          <w:sz w:val="32"/>
          <w:szCs w:val="32"/>
          <w:lang w:val="en-US" w:eastAsia="zh-CN"/>
        </w:rPr>
        <w:t>1.03</w:t>
      </w:r>
      <w:r>
        <w:rPr>
          <w:rFonts w:hint="eastAsia"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“职工满意度”指标：预期指标值为“&gt;=9</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.00%”，实际完成指标值为“9</w:t>
      </w:r>
      <w:r>
        <w:rPr>
          <w:rFonts w:hint="eastAsia" w:ascii="仿宋_GB2312" w:eastAsia="仿宋_GB2312"/>
          <w:color w:val="auto"/>
          <w:sz w:val="32"/>
          <w:szCs w:val="32"/>
          <w:lang w:val="en-US" w:eastAsia="zh-CN"/>
        </w:rPr>
        <w:t>9</w:t>
      </w:r>
      <w:r>
        <w:rPr>
          <w:rFonts w:hint="eastAsia" w:ascii="仿宋_GB2312" w:eastAsia="仿宋_GB2312"/>
          <w:color w:val="auto"/>
          <w:sz w:val="32"/>
          <w:szCs w:val="32"/>
        </w:rPr>
        <w:t>.00”，指标完成率为</w:t>
      </w:r>
      <w:r>
        <w:rPr>
          <w:rFonts w:hint="eastAsia" w:ascii="仿宋_GB2312" w:eastAsia="仿宋_GB2312"/>
          <w:bCs/>
          <w:color w:val="auto"/>
          <w:spacing w:val="-4"/>
          <w:sz w:val="32"/>
          <w:szCs w:val="32"/>
          <w:lang w:val="en-US" w:eastAsia="zh-CN"/>
        </w:rPr>
        <w:t>1.04</w:t>
      </w:r>
      <w:r>
        <w:rPr>
          <w:rFonts w:hint="eastAsia" w:ascii="仿宋_GB2312" w:eastAsia="仿宋_GB2312"/>
          <w:color w:val="auto"/>
          <w:sz w:val="32"/>
          <w:szCs w:val="32"/>
        </w:rPr>
        <w:t>%;</w:t>
      </w:r>
    </w:p>
    <w:p>
      <w:pPr>
        <w:pStyle w:val="2"/>
      </w:pPr>
    </w:p>
    <w:p>
      <w:pPr>
        <w:pStyle w:val="3"/>
        <w:ind w:firstLine="640"/>
        <w:rPr>
          <w:rFonts w:ascii="黑体" w:hAnsi="黑体"/>
          <w:b w:val="0"/>
          <w:color w:val="auto"/>
          <w:sz w:val="32"/>
          <w:szCs w:val="32"/>
        </w:rPr>
      </w:pPr>
      <w:r>
        <w:rPr>
          <w:rFonts w:hint="eastAsia" w:ascii="黑体" w:hAnsi="黑体"/>
          <w:b w:val="0"/>
          <w:color w:val="auto"/>
          <w:sz w:val="32"/>
          <w:szCs w:val="32"/>
        </w:rPr>
        <w:t>六、存在的主要问题</w:t>
      </w:r>
    </w:p>
    <w:p>
      <w:pPr>
        <w:ind w:firstLine="640"/>
        <w:rPr>
          <w:rFonts w:hint="eastAsia" w:ascii="仿宋_GB2312" w:eastAsia="仿宋_GB2312" w:cs="Times New Roman"/>
          <w:color w:val="auto"/>
          <w:sz w:val="32"/>
          <w:szCs w:val="32"/>
          <w:lang w:eastAsia="zh-CN"/>
        </w:rPr>
      </w:pPr>
      <w:r>
        <w:rPr>
          <w:rFonts w:hint="eastAsia" w:ascii="仿宋_GB2312" w:eastAsia="仿宋_GB2312" w:cs="Times New Roman"/>
          <w:color w:val="auto"/>
          <w:sz w:val="32"/>
          <w:szCs w:val="32"/>
        </w:rPr>
        <w:t>202</w:t>
      </w:r>
      <w:r>
        <w:rPr>
          <w:rFonts w:hint="eastAsia" w:ascii="仿宋_GB2312" w:eastAsia="仿宋_GB2312" w:cs="Times New Roman"/>
          <w:color w:val="auto"/>
          <w:sz w:val="32"/>
          <w:szCs w:val="32"/>
          <w:lang w:val="en-US" w:eastAsia="zh-CN"/>
        </w:rPr>
        <w:t>2</w:t>
      </w:r>
      <w:r>
        <w:rPr>
          <w:rFonts w:hint="eastAsia" w:ascii="仿宋_GB2312" w:eastAsia="仿宋_GB2312" w:cs="Times New Roman"/>
          <w:color w:val="auto"/>
          <w:sz w:val="32"/>
          <w:szCs w:val="32"/>
        </w:rPr>
        <w:t>年本单位整体支出绩效目标</w:t>
      </w:r>
      <w:r>
        <w:rPr>
          <w:rFonts w:hint="eastAsia" w:ascii="仿宋_GB2312" w:eastAsia="仿宋_GB2312" w:cs="Times New Roman"/>
          <w:color w:val="auto"/>
          <w:sz w:val="32"/>
          <w:szCs w:val="32"/>
          <w:lang w:eastAsia="zh-CN"/>
        </w:rPr>
        <w:t>虽已</w:t>
      </w:r>
      <w:r>
        <w:rPr>
          <w:rFonts w:hint="eastAsia" w:ascii="仿宋_GB2312" w:eastAsia="仿宋_GB2312" w:cs="Times New Roman"/>
          <w:color w:val="auto"/>
          <w:sz w:val="32"/>
          <w:szCs w:val="32"/>
        </w:rPr>
        <w:t>全部达成，</w:t>
      </w:r>
      <w:r>
        <w:rPr>
          <w:rFonts w:hint="eastAsia" w:ascii="仿宋_GB2312" w:eastAsia="仿宋_GB2312" w:cs="Times New Roman"/>
          <w:color w:val="auto"/>
          <w:sz w:val="32"/>
          <w:szCs w:val="32"/>
          <w:lang w:eastAsia="zh-CN"/>
        </w:rPr>
        <w:t>但在今后的工作中进一步细化绩效目标，加强绩效评价工作的学习，设置目标具有可量化。</w:t>
      </w:r>
    </w:p>
    <w:p>
      <w:pPr>
        <w:pStyle w:val="3"/>
        <w:ind w:firstLine="640"/>
        <w:rPr>
          <w:rFonts w:ascii="黑体" w:hAnsi="黑体"/>
          <w:b w:val="0"/>
          <w:color w:val="auto"/>
          <w:sz w:val="32"/>
          <w:szCs w:val="32"/>
        </w:rPr>
      </w:pPr>
      <w:r>
        <w:rPr>
          <w:rFonts w:hint="eastAsia" w:ascii="黑体" w:hAnsi="黑体"/>
          <w:b w:val="0"/>
          <w:color w:val="auto"/>
          <w:sz w:val="32"/>
          <w:szCs w:val="32"/>
        </w:rPr>
        <w:t>七、改进措施和建议</w:t>
      </w:r>
    </w:p>
    <w:p>
      <w:pPr>
        <w:pBdr>
          <w:bottom w:val="single" w:color="FFFFFF" w:sz="4" w:space="29"/>
        </w:pBdr>
        <w:adjustRightInd w:val="0"/>
        <w:snapToGrid w:val="0"/>
        <w:spacing w:line="500" w:lineRule="exact"/>
        <w:ind w:firstLine="640" w:firstLineChars="200"/>
        <w:rPr>
          <w:rFonts w:hint="eastAsia" w:ascii="仿宋_GB2312" w:eastAsia="仿宋_GB2312" w:cs="宋体" w:hAnsiTheme="minorEastAsia"/>
          <w:color w:val="auto"/>
          <w:kern w:val="0"/>
          <w:sz w:val="32"/>
          <w:szCs w:val="32"/>
          <w:lang w:val="en-US" w:eastAsia="zh-CN"/>
        </w:rPr>
      </w:pPr>
      <w:r>
        <w:rPr>
          <w:rFonts w:hint="eastAsia" w:ascii="仿宋_GB2312" w:eastAsia="仿宋_GB2312" w:cs="宋体" w:hAnsiTheme="minorEastAsia"/>
          <w:color w:val="auto"/>
          <w:kern w:val="0"/>
          <w:sz w:val="32"/>
          <w:szCs w:val="32"/>
        </w:rPr>
        <w:t>建议财政部门加大业务知识培训力度，</w:t>
      </w:r>
      <w:r>
        <w:rPr>
          <w:rFonts w:hint="eastAsia" w:ascii="仿宋_GB2312" w:eastAsia="仿宋_GB2312" w:cs="宋体" w:hAnsiTheme="minorEastAsia"/>
          <w:color w:val="auto"/>
          <w:kern w:val="0"/>
          <w:sz w:val="32"/>
          <w:szCs w:val="32"/>
          <w:lang w:val="en-US" w:eastAsia="zh-CN"/>
        </w:rPr>
        <w:t>加强绩效管理指导，</w:t>
      </w:r>
      <w:r>
        <w:rPr>
          <w:rFonts w:hint="eastAsia" w:ascii="仿宋_GB2312" w:eastAsia="仿宋_GB2312" w:cs="宋体" w:hAnsiTheme="minorEastAsia"/>
          <w:color w:val="auto"/>
          <w:kern w:val="0"/>
          <w:sz w:val="32"/>
          <w:szCs w:val="32"/>
        </w:rPr>
        <w:t>组织预算单位学习《预算法》等相关法律法规，学习现代财政预算管理体系，提高单位领导对全面预算管理的重视程度，增强财务人员的预算意识，树立预算绩效管理支出理念</w:t>
      </w:r>
      <w:r>
        <w:rPr>
          <w:rFonts w:hint="eastAsia" w:ascii="仿宋_GB2312" w:eastAsia="仿宋_GB2312" w:cs="宋体" w:hAnsiTheme="minorEastAsia"/>
          <w:color w:val="auto"/>
          <w:kern w:val="0"/>
          <w:sz w:val="32"/>
          <w:szCs w:val="32"/>
          <w:lang w:val="en-US" w:eastAsia="zh-CN"/>
        </w:rPr>
        <w:t>.</w:t>
      </w:r>
    </w:p>
    <w:p>
      <w:pPr>
        <w:pStyle w:val="3"/>
        <w:ind w:firstLine="640"/>
        <w:rPr>
          <w:rFonts w:ascii="黑体" w:hAnsi="黑体"/>
          <w:b w:val="0"/>
          <w:color w:val="auto"/>
          <w:sz w:val="32"/>
          <w:szCs w:val="32"/>
        </w:rPr>
      </w:pPr>
      <w:r>
        <w:rPr>
          <w:rFonts w:hint="eastAsia" w:ascii="黑体" w:hAnsi="黑体"/>
          <w:b w:val="0"/>
          <w:color w:val="auto"/>
          <w:sz w:val="32"/>
          <w:szCs w:val="32"/>
        </w:rPr>
        <w:t>八、附表</w:t>
      </w:r>
    </w:p>
    <w:p>
      <w:pPr>
        <w:ind w:firstLine="640"/>
        <w:rPr>
          <w:rFonts w:hint="eastAsia" w:ascii="仿宋_GB2312" w:eastAsia="仿宋_GB2312"/>
          <w:color w:val="auto"/>
          <w:sz w:val="32"/>
          <w:szCs w:val="32"/>
        </w:rPr>
      </w:pPr>
      <w:r>
        <w:rPr>
          <w:rFonts w:hint="eastAsia" w:ascii="仿宋_GB2312" w:eastAsia="仿宋_GB2312"/>
          <w:color w:val="auto"/>
          <w:sz w:val="32"/>
          <w:szCs w:val="32"/>
        </w:rPr>
        <w:t>《部门整体支出绩效目标自评表》</w:t>
      </w:r>
    </w:p>
    <w:tbl>
      <w:tblPr>
        <w:tblW w:w="5000" w:type="pct"/>
        <w:tblInd w:w="0" w:type="dxa"/>
        <w:shd w:val="clear"/>
        <w:tblLayout w:type="autofit"/>
        <w:tblCellMar>
          <w:top w:w="0" w:type="dxa"/>
          <w:left w:w="0" w:type="dxa"/>
          <w:bottom w:w="0" w:type="dxa"/>
          <w:right w:w="0" w:type="dxa"/>
        </w:tblCellMar>
      </w:tblPr>
      <w:tblGrid>
        <w:gridCol w:w="622"/>
        <w:gridCol w:w="847"/>
        <w:gridCol w:w="990"/>
        <w:gridCol w:w="1293"/>
        <w:gridCol w:w="710"/>
        <w:gridCol w:w="690"/>
        <w:gridCol w:w="661"/>
        <w:gridCol w:w="1130"/>
        <w:gridCol w:w="690"/>
        <w:gridCol w:w="703"/>
      </w:tblGrid>
      <w:tr>
        <w:tblPrEx>
          <w:shd w:val="clear"/>
          <w:tblCellMar>
            <w:top w:w="0" w:type="dxa"/>
            <w:left w:w="0" w:type="dxa"/>
            <w:bottom w:w="0" w:type="dxa"/>
            <w:right w:w="0" w:type="dxa"/>
          </w:tblCellMar>
        </w:tblPrEx>
        <w:trPr>
          <w:trHeight w:val="800" w:hRule="atLeast"/>
        </w:trPr>
        <w:tc>
          <w:tcPr>
            <w:tcW w:w="5000" w:type="pct"/>
            <w:gridSpan w:val="10"/>
            <w:tcBorders>
              <w:top w:val="nil"/>
              <w:left w:val="nil"/>
              <w:bottom w:val="nil"/>
              <w:right w:val="nil"/>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方正小标宋简体" w:hAnsi="方正小标宋简体" w:eastAsia="方正小标宋简体" w:cs="方正小标宋简体"/>
                <w:i w:val="0"/>
                <w:color w:val="000000"/>
                <w:sz w:val="40"/>
                <w:szCs w:val="40"/>
                <w:u w:val="none"/>
              </w:rPr>
            </w:pPr>
            <w:r>
              <w:rPr>
                <w:rFonts w:hint="eastAsia" w:ascii="方正小标宋简体" w:hAnsi="方正小标宋简体" w:eastAsia="方正小标宋简体" w:cs="方正小标宋简体"/>
                <w:i w:val="0"/>
                <w:color w:val="000000"/>
                <w:kern w:val="0"/>
                <w:sz w:val="40"/>
                <w:szCs w:val="40"/>
                <w:u w:val="none"/>
                <w:bdr w:val="none" w:color="auto" w:sz="0" w:space="0"/>
                <w:lang w:val="en-US" w:eastAsia="zh-CN" w:bidi="ar"/>
              </w:rPr>
              <w:t>部门整体支出绩效目标自评表</w:t>
            </w:r>
          </w:p>
        </w:tc>
      </w:tr>
      <w:tr>
        <w:tblPrEx>
          <w:tblCellMar>
            <w:top w:w="0" w:type="dxa"/>
            <w:left w:w="0" w:type="dxa"/>
            <w:bottom w:w="0" w:type="dxa"/>
            <w:right w:w="0" w:type="dxa"/>
          </w:tblCellMar>
        </w:tblPrEx>
        <w:trPr>
          <w:trHeight w:val="680" w:hRule="atLeast"/>
        </w:trPr>
        <w:tc>
          <w:tcPr>
            <w:tcW w:w="5000" w:type="pct"/>
            <w:gridSpan w:val="10"/>
            <w:tcBorders>
              <w:top w:val="nil"/>
              <w:left w:val="nil"/>
              <w:bottom w:val="single" w:color="000000" w:sz="4" w:space="0"/>
              <w:right w:val="nil"/>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（2022年度）</w:t>
            </w:r>
          </w:p>
        </w:tc>
      </w:tr>
      <w:tr>
        <w:tblPrEx>
          <w:tblCellMar>
            <w:top w:w="0" w:type="dxa"/>
            <w:left w:w="0" w:type="dxa"/>
            <w:bottom w:w="0" w:type="dxa"/>
            <w:right w:w="0" w:type="dxa"/>
          </w:tblCellMar>
        </w:tblPrEx>
        <w:trPr>
          <w:trHeight w:val="540" w:hRule="atLeast"/>
        </w:trPr>
        <w:tc>
          <w:tcPr>
            <w:tcW w:w="1556" w:type="pct"/>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部门（单位）名称</w:t>
            </w:r>
          </w:p>
        </w:tc>
        <w:tc>
          <w:tcPr>
            <w:tcW w:w="3443" w:type="pct"/>
            <w:gridSpan w:val="7"/>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昌吉市公共就业服务局</w:t>
            </w:r>
          </w:p>
        </w:tc>
      </w:tr>
      <w:tr>
        <w:tblPrEx>
          <w:tblCellMar>
            <w:top w:w="0" w:type="dxa"/>
            <w:left w:w="0" w:type="dxa"/>
            <w:bottom w:w="0" w:type="dxa"/>
            <w:right w:w="0" w:type="dxa"/>
          </w:tblCellMar>
        </w:tblPrEx>
        <w:trPr>
          <w:trHeight w:val="560" w:hRule="atLeast"/>
        </w:trPr>
        <w:tc>
          <w:tcPr>
            <w:tcW w:w="400"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年度主要任务</w:t>
            </w:r>
          </w:p>
        </w:tc>
        <w:tc>
          <w:tcPr>
            <w:tcW w:w="1156" w:type="pct"/>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任务名称</w:t>
            </w:r>
          </w:p>
        </w:tc>
        <w:tc>
          <w:tcPr>
            <w:tcW w:w="802"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主要内容</w:t>
            </w:r>
          </w:p>
        </w:tc>
        <w:tc>
          <w:tcPr>
            <w:tcW w:w="1314" w:type="pct"/>
            <w:gridSpan w:val="3"/>
            <w:tcBorders>
              <w:top w:val="single" w:color="000000" w:sz="4" w:space="0"/>
              <w:left w:val="nil"/>
              <w:bottom w:val="nil"/>
              <w:right w:val="nil"/>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预算金额（万元）</w:t>
            </w:r>
            <w:bookmarkStart w:id="0" w:name="_GoBack"/>
            <w:bookmarkEnd w:id="0"/>
          </w:p>
        </w:tc>
        <w:tc>
          <w:tcPr>
            <w:tcW w:w="1326" w:type="pct"/>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实际执行（万元）</w:t>
            </w:r>
          </w:p>
        </w:tc>
      </w:tr>
      <w:tr>
        <w:tblPrEx>
          <w:tblCellMar>
            <w:top w:w="0" w:type="dxa"/>
            <w:left w:w="0" w:type="dxa"/>
            <w:bottom w:w="0" w:type="dxa"/>
            <w:right w:w="0" w:type="dxa"/>
          </w:tblCellMar>
        </w:tblPrEx>
        <w:trPr>
          <w:trHeight w:val="84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156" w:type="pct"/>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802"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451"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总额</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财政拨款</w:t>
            </w:r>
          </w:p>
        </w:tc>
        <w:tc>
          <w:tcPr>
            <w:tcW w:w="42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其他资金</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总额</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财政拨款</w:t>
            </w:r>
          </w:p>
        </w:tc>
        <w:tc>
          <w:tcPr>
            <w:tcW w:w="44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其他资金</w:t>
            </w:r>
          </w:p>
        </w:tc>
      </w:tr>
      <w:tr>
        <w:tblPrEx>
          <w:tblCellMar>
            <w:top w:w="0" w:type="dxa"/>
            <w:left w:w="0" w:type="dxa"/>
            <w:bottom w:w="0" w:type="dxa"/>
            <w:right w:w="0" w:type="dxa"/>
          </w:tblCellMar>
        </w:tblPrEx>
        <w:trPr>
          <w:trHeight w:val="70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156" w:type="pct"/>
            <w:gridSpan w:val="2"/>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人员经费</w:t>
            </w:r>
          </w:p>
        </w:tc>
        <w:tc>
          <w:tcPr>
            <w:tcW w:w="8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为职工发放工资、缴纳社保、住房公积等</w:t>
            </w:r>
          </w:p>
        </w:tc>
        <w:tc>
          <w:tcPr>
            <w:tcW w:w="451"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249.86</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249.86</w:t>
            </w:r>
          </w:p>
        </w:tc>
        <w:tc>
          <w:tcPr>
            <w:tcW w:w="42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297.64</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297.64</w:t>
            </w:r>
          </w:p>
        </w:tc>
        <w:tc>
          <w:tcPr>
            <w:tcW w:w="44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r>
      <w:tr>
        <w:tblPrEx>
          <w:tblCellMar>
            <w:top w:w="0" w:type="dxa"/>
            <w:left w:w="0" w:type="dxa"/>
            <w:bottom w:w="0" w:type="dxa"/>
            <w:right w:w="0" w:type="dxa"/>
          </w:tblCellMar>
        </w:tblPrEx>
        <w:trPr>
          <w:trHeight w:val="96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156" w:type="pct"/>
            <w:gridSpan w:val="2"/>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单位日常运转经费</w:t>
            </w:r>
          </w:p>
        </w:tc>
        <w:tc>
          <w:tcPr>
            <w:tcW w:w="802"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保障单位日常办公用品购置、车辆运转、缴纳水电费等</w:t>
            </w:r>
          </w:p>
        </w:tc>
        <w:tc>
          <w:tcPr>
            <w:tcW w:w="451"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15.24</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15.24</w:t>
            </w:r>
          </w:p>
        </w:tc>
        <w:tc>
          <w:tcPr>
            <w:tcW w:w="42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6.67</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6.67</w:t>
            </w:r>
          </w:p>
        </w:tc>
        <w:tc>
          <w:tcPr>
            <w:tcW w:w="44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r>
      <w:tr>
        <w:tblPrEx>
          <w:tblCellMar>
            <w:top w:w="0" w:type="dxa"/>
            <w:left w:w="0" w:type="dxa"/>
            <w:bottom w:w="0" w:type="dxa"/>
            <w:right w:w="0" w:type="dxa"/>
          </w:tblCellMar>
        </w:tblPrEx>
        <w:trPr>
          <w:trHeight w:val="54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958" w:type="pct"/>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合　计</w:t>
            </w:r>
          </w:p>
        </w:tc>
        <w:tc>
          <w:tcPr>
            <w:tcW w:w="451" w:type="pct"/>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265.1</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265.1</w:t>
            </w:r>
          </w:p>
        </w:tc>
        <w:tc>
          <w:tcPr>
            <w:tcW w:w="424"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304.31</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304.31</w:t>
            </w:r>
          </w:p>
        </w:tc>
        <w:tc>
          <w:tcPr>
            <w:tcW w:w="44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w:t>
            </w:r>
          </w:p>
        </w:tc>
      </w:tr>
      <w:tr>
        <w:tblPrEx>
          <w:tblCellMar>
            <w:top w:w="0" w:type="dxa"/>
            <w:left w:w="0" w:type="dxa"/>
            <w:bottom w:w="0" w:type="dxa"/>
            <w:right w:w="0" w:type="dxa"/>
          </w:tblCellMar>
        </w:tblPrEx>
        <w:trPr>
          <w:trHeight w:val="465" w:hRule="atLeast"/>
        </w:trPr>
        <w:tc>
          <w:tcPr>
            <w:tcW w:w="400"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年度总体目标</w:t>
            </w:r>
          </w:p>
        </w:tc>
        <w:tc>
          <w:tcPr>
            <w:tcW w:w="2410" w:type="pct"/>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预期目标</w:t>
            </w:r>
          </w:p>
        </w:tc>
        <w:tc>
          <w:tcPr>
            <w:tcW w:w="2189" w:type="pct"/>
            <w:gridSpan w:val="5"/>
            <w:tcBorders>
              <w:top w:val="single" w:color="000000" w:sz="4" w:space="0"/>
              <w:left w:val="nil"/>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实际完成目标</w:t>
            </w:r>
          </w:p>
        </w:tc>
      </w:tr>
      <w:tr>
        <w:tblPrEx>
          <w:tblCellMar>
            <w:top w:w="0" w:type="dxa"/>
            <w:left w:w="0" w:type="dxa"/>
            <w:bottom w:w="0" w:type="dxa"/>
            <w:right w:w="0" w:type="dxa"/>
          </w:tblCellMar>
        </w:tblPrEx>
        <w:trPr>
          <w:trHeight w:val="460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2410" w:type="pct"/>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昌吉市公共就业服务局2022年年度预算为265.1万元，其中人员保障经费249.86万元，其中主要保障21名办公人员日常工作经费；单位日常运转经费15.24万元，其中公务保障用车数量1辆。通过保证昌吉市公共就业服务局正常运转主要达到以下年度目标： </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 xml:space="preserve">1、以就业服务为中心，以促进就业为重点，组织开展线上线下各类专项活动不少于5次。 </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 xml:space="preserve">2、人力资源市场建设为抓手，为用工单位和求职者搭建供需交流平台，做好求职、用工登记就业指导，切实提高公共就业服务水平。 </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 xml:space="preserve">3、做好企业调研，召开服务企业用工座谈会2次，下企业开展调研活动，及时掌握就业人员和企业供需矛盾。 </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 xml:space="preserve">4、做好南疆籍有组织转移就业工作，指导用工企业与用工人员签订合同、缴纳转移人员社保和工作发放工作。 </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 xml:space="preserve">5、年内农村富余劳动力转移就业23200人次。 </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 xml:space="preserve">6、保障职工人数21人，主要发放工资、缴纳社保、公积金等 </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7、保障单位日常运转，主要购买办公用品、车辆维修、保险、燃油等。</w:t>
            </w:r>
          </w:p>
        </w:tc>
        <w:tc>
          <w:tcPr>
            <w:tcW w:w="2189" w:type="pct"/>
            <w:gridSpan w:val="5"/>
            <w:tcBorders>
              <w:top w:val="single" w:color="000000" w:sz="4" w:space="0"/>
              <w:left w:val="nil"/>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昌吉市公共就业服务局2022年年度预算为265.1万元，调整预算收入328.28万元，整体支出328.28万元，支出比率100%，其中：基本支出预算304.31万元，实际基本支出：304.31万元支出比率100%；基本支出主要用于日常工作运转开支，包括人员的工资福利支出、一般商品和服务支出、对个人和家庭的补助支出。公用经费按照厉行节约的原则规范资金使用流程，尤其是“三公”经费严格控制在预算指标内。年内追加项目23.97万元。 </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 xml:space="preserve">1、以就业服务为中心，以促进就业为重点，组织开展线上线下各类专项活动26场次。 </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 xml:space="preserve">2、人力资源市场建设为抓手，为用工单位和求职者搭建供需交流平台，做好求职、用工登记就业指导，切实提高公共就业服务水平。 </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 xml:space="preserve">3、做好企业调研，召开服务企业用工座谈会2次，下企业开展调研活动，及时掌握就业人员和企业供需矛盾。 </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 xml:space="preserve">4、做好南疆籍有组织转移就业工作，指导用工企业与用工人员签订合同、缴纳转移人员社保和工作发放工作。 </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 xml:space="preserve">5、年内农村富余劳动力转移就业24265人次。 </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 xml:space="preserve">6、保障职工人数21人，主要发放工资、缴纳社保、公积金等 </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 xml:space="preserve">7、保障单位日常运转，主要购买办公用品、车辆维修、保险、燃油等。 </w:t>
            </w:r>
          </w:p>
        </w:tc>
      </w:tr>
      <w:tr>
        <w:tblPrEx>
          <w:shd w:val="clear"/>
          <w:tblCellMar>
            <w:top w:w="0" w:type="dxa"/>
            <w:left w:w="0" w:type="dxa"/>
            <w:bottom w:w="0" w:type="dxa"/>
            <w:right w:w="0" w:type="dxa"/>
          </w:tblCellMar>
        </w:tblPrEx>
        <w:trPr>
          <w:trHeight w:val="780" w:hRule="atLeast"/>
        </w:trPr>
        <w:tc>
          <w:tcPr>
            <w:tcW w:w="400"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年度绩效指标完成情况</w:t>
            </w:r>
          </w:p>
        </w:tc>
        <w:tc>
          <w:tcPr>
            <w:tcW w:w="535"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一级指标</w:t>
            </w:r>
          </w:p>
        </w:tc>
        <w:tc>
          <w:tcPr>
            <w:tcW w:w="620"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二级指标</w:t>
            </w:r>
          </w:p>
        </w:tc>
        <w:tc>
          <w:tcPr>
            <w:tcW w:w="125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三级指标</w:t>
            </w:r>
          </w:p>
        </w:tc>
        <w:tc>
          <w:tcPr>
            <w:tcW w:w="86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绩效目标值</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实际完成值</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指标分值</w:t>
            </w:r>
          </w:p>
        </w:tc>
        <w:tc>
          <w:tcPr>
            <w:tcW w:w="44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得分</w:t>
            </w:r>
          </w:p>
        </w:tc>
      </w:tr>
      <w:tr>
        <w:tblPrEx>
          <w:tblCellMar>
            <w:top w:w="0" w:type="dxa"/>
            <w:left w:w="0" w:type="dxa"/>
            <w:bottom w:w="0" w:type="dxa"/>
            <w:right w:w="0"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535"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项目完成</w:t>
            </w:r>
          </w:p>
        </w:tc>
        <w:tc>
          <w:tcPr>
            <w:tcW w:w="620"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数量指标</w:t>
            </w:r>
          </w:p>
        </w:tc>
        <w:tc>
          <w:tcPr>
            <w:tcW w:w="125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农村富余劳动力转移就业人数</w:t>
            </w:r>
          </w:p>
        </w:tc>
        <w:tc>
          <w:tcPr>
            <w:tcW w:w="86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&gt;=23200.00人次</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&gt;=24265.00人次</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w:t>
            </w:r>
          </w:p>
        </w:tc>
        <w:tc>
          <w:tcPr>
            <w:tcW w:w="44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w:t>
            </w:r>
          </w:p>
        </w:tc>
      </w:tr>
      <w:tr>
        <w:tblPrEx>
          <w:tblCellMar>
            <w:top w:w="0" w:type="dxa"/>
            <w:left w:w="0" w:type="dxa"/>
            <w:bottom w:w="0" w:type="dxa"/>
            <w:right w:w="0"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535"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20"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25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组织开展公共就业服务专项活动</w:t>
            </w:r>
          </w:p>
        </w:tc>
        <w:tc>
          <w:tcPr>
            <w:tcW w:w="86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&gt;=5.00场次</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&gt;=26.00场次</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w:t>
            </w:r>
          </w:p>
        </w:tc>
        <w:tc>
          <w:tcPr>
            <w:tcW w:w="44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w:t>
            </w:r>
          </w:p>
        </w:tc>
      </w:tr>
      <w:tr>
        <w:tblPrEx>
          <w:tblCellMar>
            <w:top w:w="0" w:type="dxa"/>
            <w:left w:w="0" w:type="dxa"/>
            <w:bottom w:w="0" w:type="dxa"/>
            <w:right w:w="0"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535"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20"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25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公务保障用车数量</w:t>
            </w:r>
          </w:p>
        </w:tc>
        <w:tc>
          <w:tcPr>
            <w:tcW w:w="86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=1.00辆</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=1.00辆</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w:t>
            </w:r>
          </w:p>
        </w:tc>
        <w:tc>
          <w:tcPr>
            <w:tcW w:w="44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w:t>
            </w:r>
          </w:p>
        </w:tc>
      </w:tr>
      <w:tr>
        <w:tblPrEx>
          <w:tblCellMar>
            <w:top w:w="0" w:type="dxa"/>
            <w:left w:w="0" w:type="dxa"/>
            <w:bottom w:w="0" w:type="dxa"/>
            <w:right w:w="0"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535"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20"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25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保障办公人员数量</w:t>
            </w:r>
          </w:p>
        </w:tc>
        <w:tc>
          <w:tcPr>
            <w:tcW w:w="86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=21.00人</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=21人</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w:t>
            </w:r>
          </w:p>
        </w:tc>
        <w:tc>
          <w:tcPr>
            <w:tcW w:w="44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w:t>
            </w:r>
          </w:p>
        </w:tc>
      </w:tr>
      <w:tr>
        <w:tblPrEx>
          <w:tblCellMar>
            <w:top w:w="0" w:type="dxa"/>
            <w:left w:w="0" w:type="dxa"/>
            <w:bottom w:w="0" w:type="dxa"/>
            <w:right w:w="0"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535"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20"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质量指标</w:t>
            </w:r>
          </w:p>
        </w:tc>
        <w:tc>
          <w:tcPr>
            <w:tcW w:w="125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南疆籍有组织转移就业人员工资、社保发放率</w:t>
            </w:r>
          </w:p>
        </w:tc>
        <w:tc>
          <w:tcPr>
            <w:tcW w:w="86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=100.00%</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=100.00%</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w:t>
            </w:r>
          </w:p>
        </w:tc>
        <w:tc>
          <w:tcPr>
            <w:tcW w:w="44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w:t>
            </w:r>
          </w:p>
        </w:tc>
      </w:tr>
      <w:tr>
        <w:tblPrEx>
          <w:tblCellMar>
            <w:top w:w="0" w:type="dxa"/>
            <w:left w:w="0" w:type="dxa"/>
            <w:bottom w:w="0" w:type="dxa"/>
            <w:right w:w="0"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535"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20"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25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南疆籍有组织转移就业人员合同签订率</w:t>
            </w:r>
          </w:p>
        </w:tc>
        <w:tc>
          <w:tcPr>
            <w:tcW w:w="86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=100.00%</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=100.00%</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w:t>
            </w:r>
          </w:p>
        </w:tc>
        <w:tc>
          <w:tcPr>
            <w:tcW w:w="44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w:t>
            </w:r>
          </w:p>
        </w:tc>
      </w:tr>
      <w:tr>
        <w:tblPrEx>
          <w:tblCellMar>
            <w:top w:w="0" w:type="dxa"/>
            <w:left w:w="0" w:type="dxa"/>
            <w:bottom w:w="0" w:type="dxa"/>
            <w:right w:w="0"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535"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20"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时效指标</w:t>
            </w:r>
          </w:p>
        </w:tc>
        <w:tc>
          <w:tcPr>
            <w:tcW w:w="125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工作完成时限</w:t>
            </w:r>
          </w:p>
        </w:tc>
        <w:tc>
          <w:tcPr>
            <w:tcW w:w="86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2022年12月31日</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2022年12月31日</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w:t>
            </w:r>
          </w:p>
        </w:tc>
        <w:tc>
          <w:tcPr>
            <w:tcW w:w="44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w:t>
            </w:r>
          </w:p>
        </w:tc>
      </w:tr>
      <w:tr>
        <w:tblPrEx>
          <w:tblCellMar>
            <w:top w:w="0" w:type="dxa"/>
            <w:left w:w="0" w:type="dxa"/>
            <w:bottom w:w="0" w:type="dxa"/>
            <w:right w:w="0"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535"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20"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成本指标</w:t>
            </w:r>
          </w:p>
        </w:tc>
        <w:tc>
          <w:tcPr>
            <w:tcW w:w="125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开展公共就业服务人员支出</w:t>
            </w:r>
          </w:p>
        </w:tc>
        <w:tc>
          <w:tcPr>
            <w:tcW w:w="86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=249.86万元</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#NAME?</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w:t>
            </w:r>
          </w:p>
        </w:tc>
        <w:tc>
          <w:tcPr>
            <w:tcW w:w="44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w:t>
            </w:r>
          </w:p>
        </w:tc>
      </w:tr>
      <w:tr>
        <w:tblPrEx>
          <w:tblCellMar>
            <w:top w:w="0" w:type="dxa"/>
            <w:left w:w="0" w:type="dxa"/>
            <w:bottom w:w="0" w:type="dxa"/>
            <w:right w:w="0"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535"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20"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25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开展公共就业服务日常公用支出</w:t>
            </w:r>
          </w:p>
        </w:tc>
        <w:tc>
          <w:tcPr>
            <w:tcW w:w="86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=15.24万元</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=6.67万元</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w:t>
            </w:r>
          </w:p>
        </w:tc>
        <w:tc>
          <w:tcPr>
            <w:tcW w:w="44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2.63</w:t>
            </w:r>
          </w:p>
        </w:tc>
      </w:tr>
      <w:tr>
        <w:tblPrEx>
          <w:tblCellMar>
            <w:top w:w="0" w:type="dxa"/>
            <w:left w:w="0" w:type="dxa"/>
            <w:bottom w:w="0" w:type="dxa"/>
            <w:right w:w="0"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535"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项目效益</w:t>
            </w:r>
          </w:p>
        </w:tc>
        <w:tc>
          <w:tcPr>
            <w:tcW w:w="620"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经济效益指标</w:t>
            </w:r>
          </w:p>
        </w:tc>
        <w:tc>
          <w:tcPr>
            <w:tcW w:w="125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86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44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r>
      <w:tr>
        <w:tblPrEx>
          <w:tblCellMar>
            <w:top w:w="0" w:type="dxa"/>
            <w:left w:w="0" w:type="dxa"/>
            <w:bottom w:w="0" w:type="dxa"/>
            <w:right w:w="0"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535"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20"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社会效益指标</w:t>
            </w:r>
          </w:p>
        </w:tc>
        <w:tc>
          <w:tcPr>
            <w:tcW w:w="125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为企业和求职者搭建就业服务平台</w:t>
            </w:r>
          </w:p>
        </w:tc>
        <w:tc>
          <w:tcPr>
            <w:tcW w:w="86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持续完善</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持续完善</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15</w:t>
            </w:r>
          </w:p>
        </w:tc>
        <w:tc>
          <w:tcPr>
            <w:tcW w:w="44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15</w:t>
            </w:r>
          </w:p>
        </w:tc>
      </w:tr>
      <w:tr>
        <w:tblPrEx>
          <w:tblCellMar>
            <w:top w:w="0" w:type="dxa"/>
            <w:left w:w="0" w:type="dxa"/>
            <w:bottom w:w="0" w:type="dxa"/>
            <w:right w:w="0"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535"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20"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生态效益指标</w:t>
            </w:r>
          </w:p>
        </w:tc>
        <w:tc>
          <w:tcPr>
            <w:tcW w:w="125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86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c>
          <w:tcPr>
            <w:tcW w:w="44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w:t>
            </w:r>
          </w:p>
        </w:tc>
      </w:tr>
      <w:tr>
        <w:tblPrEx>
          <w:tblCellMar>
            <w:top w:w="0" w:type="dxa"/>
            <w:left w:w="0" w:type="dxa"/>
            <w:bottom w:w="0" w:type="dxa"/>
            <w:right w:w="0"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535"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20"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可持续影响指标</w:t>
            </w:r>
          </w:p>
        </w:tc>
        <w:tc>
          <w:tcPr>
            <w:tcW w:w="125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公共就业服务水平</w:t>
            </w:r>
          </w:p>
        </w:tc>
        <w:tc>
          <w:tcPr>
            <w:tcW w:w="86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持续提高</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100.00</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15</w:t>
            </w:r>
          </w:p>
        </w:tc>
        <w:tc>
          <w:tcPr>
            <w:tcW w:w="44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15</w:t>
            </w:r>
          </w:p>
        </w:tc>
      </w:tr>
      <w:tr>
        <w:tblPrEx>
          <w:tblCellMar>
            <w:top w:w="0" w:type="dxa"/>
            <w:left w:w="0" w:type="dxa"/>
            <w:bottom w:w="0" w:type="dxa"/>
            <w:right w:w="0"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535"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满意度指标</w:t>
            </w:r>
          </w:p>
        </w:tc>
        <w:tc>
          <w:tcPr>
            <w:tcW w:w="620" w:type="pct"/>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满意度指标</w:t>
            </w:r>
          </w:p>
        </w:tc>
        <w:tc>
          <w:tcPr>
            <w:tcW w:w="125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服务对象满意率</w:t>
            </w:r>
          </w:p>
        </w:tc>
        <w:tc>
          <w:tcPr>
            <w:tcW w:w="86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&gt;=95.00%</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&gt;=96.00%</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44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r>
        <w:tblPrEx>
          <w:tblCellMar>
            <w:top w:w="0" w:type="dxa"/>
            <w:left w:w="0" w:type="dxa"/>
            <w:bottom w:w="0" w:type="dxa"/>
            <w:right w:w="0"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535"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20" w:type="pct"/>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25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职工满意度</w:t>
            </w:r>
          </w:p>
        </w:tc>
        <w:tc>
          <w:tcPr>
            <w:tcW w:w="863" w:type="pct"/>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&gt;=95.00%</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&gt;=99.00%</w:t>
            </w:r>
          </w:p>
        </w:tc>
        <w:tc>
          <w:tcPr>
            <w:tcW w:w="439"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448" w:type="pc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bl>
    <w:p>
      <w:pPr>
        <w:pStyle w:val="2"/>
        <w:rPr>
          <w:rFonts w:hint="eastAsia" w:ascii="仿宋_GB2312" w:eastAsia="仿宋_GB2312"/>
          <w:color w:val="auto"/>
          <w:sz w:val="32"/>
          <w:szCs w:val="32"/>
        </w:rPr>
      </w:pPr>
    </w:p>
    <w:p>
      <w:pPr>
        <w:pStyle w:val="2"/>
        <w:rPr>
          <w:rFonts w:hint="eastAsia" w:ascii="仿宋_GB2312" w:eastAsia="仿宋_GB2312"/>
          <w:color w:val="auto"/>
          <w:sz w:val="32"/>
          <w:szCs w:val="32"/>
        </w:rPr>
      </w:pPr>
    </w:p>
    <w:p>
      <w:pPr>
        <w:pStyle w:val="2"/>
        <w:rPr>
          <w:rFonts w:hint="eastAsia" w:ascii="仿宋_GB2312" w:eastAsia="仿宋_GB2312"/>
          <w:color w:val="auto"/>
          <w:sz w:val="32"/>
          <w:szCs w:val="32"/>
        </w:rPr>
      </w:pPr>
    </w:p>
    <w:p>
      <w:pPr>
        <w:pStyle w:val="2"/>
        <w:rPr>
          <w:rFonts w:hint="eastAsia" w:ascii="仿宋_GB2312" w:eastAsia="仿宋_GB2312"/>
          <w:color w:val="auto"/>
          <w:sz w:val="32"/>
          <w:szCs w:val="32"/>
        </w:rPr>
      </w:pPr>
    </w:p>
    <w:p>
      <w:pPr>
        <w:pStyle w:val="2"/>
        <w:rPr>
          <w:rFonts w:hint="eastAsia" w:ascii="仿宋_GB2312" w:eastAsia="仿宋_GB2312"/>
          <w:color w:val="auto"/>
          <w:sz w:val="32"/>
          <w:szCs w:val="32"/>
        </w:rPr>
      </w:pPr>
    </w:p>
    <w:p>
      <w:pPr>
        <w:pStyle w:val="2"/>
        <w:rPr>
          <w:rFonts w:hint="eastAsia" w:ascii="仿宋_GB2312" w:eastAsia="仿宋_GB2312"/>
          <w:color w:val="auto"/>
          <w:sz w:val="32"/>
          <w:szCs w:val="32"/>
        </w:rPr>
      </w:pPr>
    </w:p>
    <w:p>
      <w:pPr>
        <w:pStyle w:val="2"/>
        <w:rPr>
          <w:rFonts w:hint="eastAsia" w:ascii="仿宋_GB2312" w:eastAsia="仿宋_GB2312"/>
          <w:color w:val="auto"/>
          <w:sz w:val="32"/>
          <w:szCs w:val="32"/>
        </w:rPr>
      </w:pPr>
    </w:p>
    <w:p>
      <w:pPr>
        <w:pStyle w:val="2"/>
        <w:rPr>
          <w:rFonts w:hint="eastAsia" w:ascii="仿宋_GB2312" w:eastAsia="仿宋_GB2312"/>
          <w:color w:val="auto"/>
          <w:sz w:val="32"/>
          <w:szCs w:val="32"/>
        </w:rPr>
      </w:pPr>
    </w:p>
    <w:p>
      <w:pPr>
        <w:pStyle w:val="2"/>
        <w:rPr>
          <w:rFonts w:hint="eastAsia" w:ascii="仿宋_GB2312" w:eastAsia="仿宋_GB2312"/>
          <w:color w:val="auto"/>
          <w:sz w:val="32"/>
          <w:szCs w:val="32"/>
        </w:rPr>
      </w:pPr>
    </w:p>
    <w:p>
      <w:pPr>
        <w:pStyle w:val="2"/>
        <w:rPr>
          <w:rFonts w:hint="eastAsia" w:ascii="仿宋_GB2312" w:eastAsia="仿宋_GB2312"/>
          <w:color w:val="auto"/>
          <w:sz w:val="32"/>
          <w:szCs w:val="32"/>
        </w:rPr>
      </w:pPr>
    </w:p>
    <w:p>
      <w:pPr>
        <w:pStyle w:val="2"/>
        <w:rPr>
          <w:rFonts w:hint="eastAsia" w:ascii="仿宋_GB2312" w:eastAsia="仿宋_GB2312"/>
          <w:color w:val="auto"/>
          <w:sz w:val="32"/>
          <w:szCs w:val="32"/>
        </w:rPr>
      </w:pPr>
    </w:p>
    <w:p>
      <w:pPr>
        <w:pStyle w:val="2"/>
        <w:rPr>
          <w:rFonts w:hint="eastAsia" w:ascii="仿宋_GB2312" w:eastAsia="仿宋_GB2312"/>
          <w:color w:val="auto"/>
          <w:sz w:val="32"/>
          <w:szCs w:val="32"/>
        </w:rPr>
      </w:pPr>
    </w:p>
    <w:p>
      <w:pPr>
        <w:pStyle w:val="2"/>
        <w:rPr>
          <w:rFonts w:hint="eastAsia" w:ascii="仿宋_GB2312" w:eastAsia="仿宋_GB2312"/>
          <w:color w:val="auto"/>
          <w:sz w:val="32"/>
          <w:szCs w:val="32"/>
        </w:rPr>
      </w:pPr>
    </w:p>
    <w:p>
      <w:pPr>
        <w:pStyle w:val="2"/>
        <w:rPr>
          <w:rFonts w:hint="eastAsia" w:ascii="仿宋_GB2312" w:eastAsia="仿宋_GB2312"/>
          <w:color w:val="auto"/>
          <w:sz w:val="32"/>
          <w:szCs w:val="32"/>
        </w:rPr>
      </w:pPr>
    </w:p>
    <w:p>
      <w:pPr>
        <w:pStyle w:val="2"/>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titlePg/>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B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Malgun Gothic Semilight">
    <w:altName w:val="Malgun Gothic"/>
    <w:panose1 w:val="020B0502040204020203"/>
    <w:charset w:val="80"/>
    <w:family w:val="swiss"/>
    <w:pitch w:val="default"/>
    <w:sig w:usb0="00000000" w:usb1="00000000" w:usb2="00000012" w:usb3="00000000" w:csb0="003E01BD"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Malgun Gothic">
    <w:panose1 w:val="020B0503020000020004"/>
    <w:charset w:val="81"/>
    <w:family w:val="auto"/>
    <w:pitch w:val="default"/>
    <w:sig w:usb0="900002AF" w:usb1="01D77CFB" w:usb2="00000012" w:usb3="00000000" w:csb0="00080001"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903B71"/>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0524"/>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BA64CC0"/>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A53237"/>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BF3359"/>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8E22122"/>
    <w:rsid w:val="490010A1"/>
    <w:rsid w:val="493537CF"/>
    <w:rsid w:val="49460D45"/>
    <w:rsid w:val="4A74195A"/>
    <w:rsid w:val="4A7A3D76"/>
    <w:rsid w:val="4A8B6AB4"/>
    <w:rsid w:val="4A9F3033"/>
    <w:rsid w:val="4AAE190E"/>
    <w:rsid w:val="4AE70AB8"/>
    <w:rsid w:val="4B7E595B"/>
    <w:rsid w:val="4B7F2F0D"/>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9B09D6"/>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435499"/>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5">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pPr>
      <w:spacing w:after="120"/>
    </w:pPr>
    <w:rPr>
      <w:rFonts w:ascii="Times New Roman" w:hAnsi="Times New Roman" w:eastAsia="宋体"/>
    </w:rPr>
  </w:style>
  <w:style w:type="paragraph" w:styleId="6">
    <w:name w:val="annotation text"/>
    <w:basedOn w:val="1"/>
    <w:qFormat/>
    <w:uiPriority w:val="0"/>
    <w:pPr>
      <w:jc w:val="left"/>
    </w:p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字符"/>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字符"/>
    <w:basedOn w:val="11"/>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16</Pages>
  <Words>999</Words>
  <Characters>5700</Characters>
  <Lines>47</Lines>
  <Paragraphs>13</Paragraphs>
  <TotalTime>1</TotalTime>
  <ScaleCrop>false</ScaleCrop>
  <LinksUpToDate>false</LinksUpToDate>
  <CharactersWithSpaces>6686</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2023-02-17T11:33:06Z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