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E27CD">
      <w:pPr>
        <w:snapToGrid w:val="0"/>
        <w:spacing w:after="334" w:line="657" w:lineRule="atLeast"/>
        <w:ind w:firstLine="3948" w:firstLineChars="787"/>
        <w:rPr>
          <w:rFonts w:ascii="仿宋_GB2312" w:hAnsi="仿宋" w:eastAsia="仿宋_GB2312"/>
          <w:spacing w:val="40"/>
          <w:w w:val="80"/>
        </w:rPr>
      </w:pPr>
      <w:r>
        <w:rPr>
          <w:rFonts w:hint="eastAsia" w:ascii="仿宋_GB2312" w:hAnsi="仿宋" w:eastAsia="仿宋_GB2312"/>
          <w:b/>
          <w:spacing w:val="40"/>
          <w:sz w:val="42"/>
        </w:rPr>
        <w:t>二0二一年昌吉市财政总决算编报说明与分析</w:t>
      </w:r>
    </w:p>
    <w:p w14:paraId="6D0CB410">
      <w:pPr>
        <w:snapToGrid w:val="0"/>
        <w:spacing w:line="440" w:lineRule="exact"/>
        <w:ind w:firstLine="640" w:firstLineChars="200"/>
        <w:rPr>
          <w:rFonts w:ascii="仿宋_GB2312" w:hAnsi="仿宋" w:eastAsia="仿宋_GB2312" w:cs="仿宋"/>
          <w:sz w:val="32"/>
          <w:szCs w:val="32"/>
          <w:lang w:val="zh-CN"/>
        </w:rPr>
      </w:pPr>
      <w:r>
        <w:rPr>
          <w:rFonts w:hint="eastAsia" w:ascii="仿宋_GB2312" w:hAnsi="仿宋" w:eastAsia="仿宋_GB2312" w:cs="仿宋"/>
          <w:sz w:val="32"/>
          <w:szCs w:val="32"/>
          <w:lang w:val="zh-CN"/>
        </w:rPr>
        <w:t>2021年昌吉市财政工作在市委、市政府的正确领导下，在上级财政部门的关心、支持下，坚持以党的十九大精神为指导，紧紧围绕我市社会稳定和长治久安总目标，积极发挥财政职能作用。经过财税部门的共同努力，克服了结构性减税和国家紧缩政策变化等带来的不利影响，完成了财政预算收入任务，财政收入继续实现了平稳增长。全市地方财政一般预算支出在供需矛盾突出的情况下，坚持强化支出结构，深化财政制度改革，努力筹措调度资金，保障了行政事业单位的正常运转及对市委、市政府确定的重点项目支持，稳定了对“三农”、教育、科技创新的投入，维护社会稳定、保障弱势群体以及惠及百姓的重点民生支出得到了进一步加强。</w:t>
      </w:r>
    </w:p>
    <w:p w14:paraId="1D308FD5">
      <w:pPr>
        <w:snapToGrid w:val="0"/>
        <w:spacing w:line="440" w:lineRule="exact"/>
        <w:ind w:firstLine="643" w:firstLineChars="200"/>
        <w:rPr>
          <w:rFonts w:ascii="仿宋_GB2312" w:hAnsi="仿宋" w:eastAsia="仿宋_GB2312"/>
          <w:color w:val="000000"/>
          <w:sz w:val="32"/>
          <w:szCs w:val="32"/>
        </w:rPr>
      </w:pPr>
      <w:r>
        <w:rPr>
          <w:rFonts w:hint="eastAsia" w:ascii="仿宋_GB2312" w:hAnsi="仿宋" w:eastAsia="仿宋_GB2312"/>
          <w:b/>
          <w:color w:val="000000"/>
          <w:sz w:val="32"/>
          <w:szCs w:val="32"/>
        </w:rPr>
        <w:t>一、2021年财政收入完成情况分析</w:t>
      </w:r>
    </w:p>
    <w:p w14:paraId="62D7DB63">
      <w:pPr>
        <w:spacing w:line="540" w:lineRule="exact"/>
        <w:ind w:firstLine="420" w:firstLineChars="200"/>
        <w:rPr>
          <w:rFonts w:ascii="仿宋_GB2312" w:hAnsi="仿宋" w:eastAsia="仿宋_GB2312"/>
          <w:sz w:val="32"/>
          <w:szCs w:val="32"/>
          <w:lang w:val="zh-CN"/>
        </w:rPr>
      </w:pPr>
      <w:r>
        <w:rPr>
          <w:rFonts w:hint="eastAsia" w:ascii="仿宋_GB2312" w:hAnsi="仿宋" w:eastAsia="仿宋_GB2312"/>
        </w:rPr>
        <w:t xml:space="preserve">    </w:t>
      </w:r>
      <w:r>
        <w:rPr>
          <w:rFonts w:hint="eastAsia" w:ascii="仿宋_GB2312" w:hAnsi="仿宋" w:eastAsia="仿宋_GB2312" w:cs="仿宋"/>
          <w:sz w:val="32"/>
          <w:szCs w:val="32"/>
          <w:lang w:val="zh-CN"/>
        </w:rPr>
        <w:t>2021年全年实际完成地方财政收入1240493万元。</w:t>
      </w:r>
    </w:p>
    <w:p w14:paraId="33D7529D">
      <w:pPr>
        <w:spacing w:line="540" w:lineRule="exact"/>
        <w:ind w:firstLine="643" w:firstLineChars="200"/>
        <w:rPr>
          <w:rFonts w:ascii="仿宋_GB2312" w:hAnsi="仿宋" w:eastAsia="仿宋_GB2312"/>
          <w:sz w:val="32"/>
          <w:szCs w:val="32"/>
        </w:rPr>
      </w:pPr>
      <w:r>
        <w:rPr>
          <w:rFonts w:hint="eastAsia" w:ascii="仿宋_GB2312" w:hAnsi="仿宋" w:eastAsia="仿宋_GB2312" w:cs="仿宋"/>
          <w:b/>
          <w:bCs/>
          <w:sz w:val="32"/>
          <w:szCs w:val="32"/>
          <w:lang w:val="zh-CN"/>
        </w:rPr>
        <w:t>（一）按“四本预算”分解为</w:t>
      </w:r>
      <w:r>
        <w:rPr>
          <w:rFonts w:hint="eastAsia" w:ascii="仿宋_GB2312" w:hAnsi="仿宋" w:eastAsia="仿宋_GB2312" w:cs="仿宋"/>
          <w:sz w:val="32"/>
          <w:szCs w:val="32"/>
          <w:lang w:val="zh-CN"/>
        </w:rPr>
        <w:t>：</w:t>
      </w:r>
    </w:p>
    <w:p w14:paraId="74CC1143">
      <w:pPr>
        <w:spacing w:line="540" w:lineRule="exact"/>
        <w:ind w:firstLine="640" w:firstLineChars="200"/>
        <w:rPr>
          <w:rFonts w:ascii="仿宋_GB2312" w:hAnsi="仿宋" w:eastAsia="仿宋_GB2312"/>
          <w:sz w:val="32"/>
          <w:szCs w:val="32"/>
        </w:rPr>
      </w:pPr>
      <w:r>
        <w:rPr>
          <w:rFonts w:hint="eastAsia" w:ascii="仿宋_GB2312" w:hAnsi="仿宋" w:eastAsia="仿宋_GB2312" w:cs="仿宋"/>
          <w:sz w:val="32"/>
          <w:szCs w:val="32"/>
        </w:rPr>
        <w:t>1.</w:t>
      </w:r>
      <w:r>
        <w:rPr>
          <w:rFonts w:hint="eastAsia" w:ascii="仿宋_GB2312" w:hAnsi="仿宋" w:eastAsia="仿宋_GB2312" w:cs="仿宋"/>
          <w:sz w:val="32"/>
          <w:szCs w:val="32"/>
          <w:lang w:val="zh-CN"/>
        </w:rPr>
        <w:t>一般公共预算收入实际完成816091万元，其中：一般公共预算收入405830万元（税收254219万元、非税151611万元），</w:t>
      </w:r>
      <w:r>
        <w:rPr>
          <w:rFonts w:hint="eastAsia" w:ascii="仿宋_GB2312" w:hAnsi="仿宋" w:eastAsia="仿宋_GB2312" w:cs="仿宋"/>
          <w:sz w:val="32"/>
          <w:szCs w:val="32"/>
        </w:rPr>
        <w:t>较上年（</w:t>
      </w:r>
      <w:r>
        <w:rPr>
          <w:rFonts w:hint="eastAsia" w:ascii="仿宋_GB2312" w:hAnsi="仿宋" w:eastAsia="仿宋_GB2312" w:cs="仿宋"/>
          <w:sz w:val="32"/>
          <w:szCs w:val="32"/>
          <w:lang w:val="zh-CN"/>
        </w:rPr>
        <w:t>396507</w:t>
      </w:r>
      <w:r>
        <w:rPr>
          <w:rFonts w:hint="eastAsia" w:ascii="仿宋_GB2312" w:hAnsi="仿宋" w:eastAsia="仿宋_GB2312" w:cs="仿宋"/>
          <w:sz w:val="32"/>
          <w:szCs w:val="32"/>
        </w:rPr>
        <w:t>）增加9323万元，与上年</w:t>
      </w:r>
      <w:r>
        <w:rPr>
          <w:rFonts w:hint="eastAsia" w:ascii="仿宋_GB2312" w:hAnsi="仿宋" w:eastAsia="仿宋_GB2312" w:cs="仿宋"/>
          <w:sz w:val="32"/>
          <w:szCs w:val="32"/>
          <w:lang w:val="zh-CN"/>
        </w:rPr>
        <w:t>同比增长2.35%；</w:t>
      </w:r>
      <w:r>
        <w:rPr>
          <w:rFonts w:hint="eastAsia" w:ascii="仿宋_GB2312" w:hAnsi="仿宋" w:eastAsia="仿宋_GB2312" w:cs="仿宋"/>
          <w:sz w:val="32"/>
          <w:szCs w:val="32"/>
        </w:rPr>
        <w:t>上级补助收入223226万元（返还性收入8544万元，一般性转移支付收入164123万元、专项转移支付收入50559万元）；上年结余结转7743万元；调入资金123万元（国有资本经营预算调入123万元）；一般债券转贷收入179100万元（</w:t>
      </w:r>
      <w:r>
        <w:rPr>
          <w:rFonts w:hint="eastAsia" w:ascii="仿宋_GB2312" w:hAnsi="仿宋" w:eastAsia="仿宋_GB2312" w:cs="仿宋"/>
          <w:color w:val="000000"/>
          <w:sz w:val="32"/>
          <w:szCs w:val="32"/>
        </w:rPr>
        <w:t>再融资债券47500万元、新增债券131600万元</w:t>
      </w:r>
      <w:r>
        <w:rPr>
          <w:rFonts w:hint="eastAsia" w:ascii="仿宋_GB2312" w:hAnsi="仿宋" w:eastAsia="仿宋_GB2312" w:cs="仿宋"/>
          <w:sz w:val="32"/>
          <w:szCs w:val="32"/>
        </w:rPr>
        <w:t>）；动用预算稳定调节基金69万元。</w:t>
      </w:r>
    </w:p>
    <w:p w14:paraId="143AFA1E">
      <w:pPr>
        <w:spacing w:line="540" w:lineRule="exact"/>
        <w:ind w:firstLine="640" w:firstLineChars="200"/>
        <w:rPr>
          <w:rFonts w:ascii="仿宋_GB2312" w:hAnsi="仿宋" w:eastAsia="仿宋_GB2312"/>
          <w:sz w:val="32"/>
          <w:szCs w:val="32"/>
          <w:lang w:val="zh-CN"/>
        </w:rPr>
      </w:pPr>
      <w:r>
        <w:rPr>
          <w:rFonts w:hint="eastAsia" w:ascii="仿宋_GB2312" w:hAnsi="仿宋" w:eastAsia="仿宋_GB2312" w:cs="仿宋"/>
          <w:sz w:val="32"/>
          <w:szCs w:val="32"/>
          <w:lang w:val="zh-CN"/>
        </w:rPr>
        <w:t>2．政府性基金收入实际完成423743万元，其中：政府性基金预算收入</w:t>
      </w:r>
      <w:r>
        <w:rPr>
          <w:rFonts w:hint="eastAsia" w:ascii="仿宋_GB2312" w:hAnsi="仿宋" w:eastAsia="仿宋_GB2312" w:cs="仿宋"/>
          <w:color w:val="000000"/>
          <w:sz w:val="32"/>
          <w:szCs w:val="32"/>
          <w:lang w:val="zh-CN"/>
        </w:rPr>
        <w:t>212751</w:t>
      </w:r>
      <w:r>
        <w:rPr>
          <w:rFonts w:hint="eastAsia" w:ascii="仿宋_GB2312" w:hAnsi="仿宋" w:eastAsia="仿宋_GB2312" w:cs="仿宋"/>
          <w:sz w:val="32"/>
          <w:szCs w:val="32"/>
          <w:lang w:val="zh-CN"/>
        </w:rPr>
        <w:t>万元，与上年（</w:t>
      </w:r>
      <w:r>
        <w:rPr>
          <w:rFonts w:hint="eastAsia" w:ascii="仿宋_GB2312" w:hAnsi="仿宋" w:eastAsia="仿宋_GB2312" w:cs="仿宋"/>
          <w:color w:val="000000"/>
          <w:sz w:val="32"/>
          <w:szCs w:val="32"/>
          <w:lang w:val="zh-CN"/>
        </w:rPr>
        <w:t>140515</w:t>
      </w:r>
      <w:r>
        <w:rPr>
          <w:rFonts w:hint="eastAsia" w:ascii="仿宋_GB2312" w:hAnsi="仿宋" w:eastAsia="仿宋_GB2312" w:cs="仿宋"/>
          <w:sz w:val="32"/>
          <w:szCs w:val="32"/>
          <w:lang w:val="zh-CN"/>
        </w:rPr>
        <w:t>）同比增加72236万元，与上年同比增长51.41%；政府性基金上级补助收入811万元（政府性基金转移支付收入811万元、抗疫特别国债转移支付收入0万元）；政府性基金上年结余6181万元；地方政府</w:t>
      </w:r>
      <w:r>
        <w:rPr>
          <w:rFonts w:hint="eastAsia" w:ascii="仿宋_GB2312" w:hAnsi="仿宋" w:eastAsia="仿宋_GB2312" w:cs="仿宋"/>
          <w:sz w:val="32"/>
          <w:szCs w:val="32"/>
        </w:rPr>
        <w:t>专项债券转贷收入204000万元（再融资债券8000万元，专项新增债券196000万元）</w:t>
      </w:r>
      <w:r>
        <w:rPr>
          <w:rFonts w:hint="eastAsia" w:ascii="仿宋_GB2312" w:hAnsi="仿宋" w:eastAsia="仿宋_GB2312" w:cs="仿宋"/>
          <w:sz w:val="32"/>
          <w:szCs w:val="32"/>
          <w:lang w:val="zh-CN"/>
        </w:rPr>
        <w:t>。</w:t>
      </w:r>
    </w:p>
    <w:p w14:paraId="2D485B29">
      <w:pPr>
        <w:spacing w:line="540" w:lineRule="exact"/>
        <w:ind w:firstLine="640" w:firstLineChars="200"/>
        <w:rPr>
          <w:rFonts w:ascii="仿宋_GB2312" w:hAnsi="仿宋" w:eastAsia="仿宋_GB2312"/>
          <w:sz w:val="32"/>
          <w:szCs w:val="32"/>
          <w:lang w:val="zh-CN"/>
        </w:rPr>
      </w:pPr>
      <w:r>
        <w:rPr>
          <w:rFonts w:hint="eastAsia" w:ascii="仿宋_GB2312" w:hAnsi="仿宋" w:eastAsia="仿宋_GB2312" w:cs="仿宋"/>
          <w:sz w:val="32"/>
          <w:szCs w:val="32"/>
          <w:lang w:val="zh-CN"/>
        </w:rPr>
        <w:t>3．国有资本经营收入实际完成659万元。其中：国有资本经营预算收入411万元，上级补助收入248万元。</w:t>
      </w:r>
    </w:p>
    <w:p w14:paraId="39EC6A75">
      <w:pPr>
        <w:spacing w:line="540" w:lineRule="exact"/>
        <w:ind w:firstLine="640" w:firstLineChars="200"/>
        <w:rPr>
          <w:rFonts w:ascii="仿宋_GB2312" w:hAnsi="仿宋" w:eastAsia="仿宋_GB2312"/>
        </w:rPr>
      </w:pPr>
      <w:r>
        <w:rPr>
          <w:rFonts w:hint="eastAsia" w:ascii="仿宋_GB2312" w:hAnsi="仿宋" w:eastAsia="仿宋_GB2312" w:cs="仿宋"/>
          <w:sz w:val="32"/>
          <w:szCs w:val="32"/>
          <w:lang w:val="zh-CN"/>
        </w:rPr>
        <w:t>4．社会保险基金预算收入按照决算填报口径，实行州级统筹，县（市）一级不反映。</w:t>
      </w:r>
    </w:p>
    <w:p w14:paraId="18BCCE5B">
      <w:pPr>
        <w:spacing w:line="540" w:lineRule="exact"/>
        <w:ind w:firstLine="643" w:firstLineChars="200"/>
        <w:rPr>
          <w:rFonts w:ascii="仿宋_GB2312" w:hAnsi="仿宋" w:eastAsia="仿宋_GB2312"/>
          <w:sz w:val="32"/>
          <w:szCs w:val="32"/>
        </w:rPr>
      </w:pPr>
      <w:r>
        <w:rPr>
          <w:rFonts w:hint="eastAsia" w:ascii="仿宋_GB2312" w:hAnsi="仿宋" w:eastAsia="仿宋_GB2312" w:cs="仿宋"/>
          <w:b/>
          <w:bCs/>
          <w:sz w:val="32"/>
          <w:szCs w:val="32"/>
        </w:rPr>
        <w:t>（二）按预算级次划分为</w:t>
      </w:r>
      <w:r>
        <w:rPr>
          <w:rFonts w:hint="eastAsia" w:ascii="仿宋_GB2312" w:hAnsi="仿宋" w:eastAsia="仿宋_GB2312" w:cs="仿宋"/>
          <w:sz w:val="32"/>
          <w:szCs w:val="32"/>
        </w:rPr>
        <w:t>：</w:t>
      </w:r>
    </w:p>
    <w:p w14:paraId="41511631">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000000"/>
          <w:sz w:val="32"/>
          <w:szCs w:val="32"/>
        </w:rPr>
        <w:t>1.</w:t>
      </w:r>
      <w:r>
        <w:rPr>
          <w:rFonts w:hint="eastAsia" w:ascii="仿宋_GB2312" w:hAnsi="仿宋" w:eastAsia="仿宋_GB2312" w:cs="仿宋"/>
          <w:b/>
          <w:bCs/>
          <w:color w:val="000000"/>
          <w:sz w:val="32"/>
          <w:szCs w:val="32"/>
        </w:rPr>
        <w:t>市本级</w:t>
      </w:r>
      <w:r>
        <w:rPr>
          <w:rFonts w:hint="eastAsia" w:ascii="仿宋_GB2312" w:hAnsi="仿宋" w:eastAsia="仿宋_GB2312" w:cs="仿宋"/>
          <w:b/>
          <w:bCs/>
          <w:color w:val="000000"/>
          <w:sz w:val="32"/>
          <w:szCs w:val="32"/>
          <w:lang w:val="zh-CN"/>
        </w:rPr>
        <w:t>全年实际完成地方财政收入1168125元</w:t>
      </w:r>
      <w:r>
        <w:rPr>
          <w:rFonts w:hint="eastAsia" w:ascii="仿宋_GB2312" w:hAnsi="仿宋" w:eastAsia="仿宋_GB2312" w:cs="仿宋"/>
          <w:color w:val="000000"/>
          <w:sz w:val="32"/>
          <w:szCs w:val="32"/>
          <w:lang w:val="zh-CN"/>
        </w:rPr>
        <w:t>，其中：</w:t>
      </w:r>
    </w:p>
    <w:p w14:paraId="3DB3E080">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rPr>
        <w:t>1、</w:t>
      </w:r>
      <w:r>
        <w:rPr>
          <w:rFonts w:hint="eastAsia" w:ascii="仿宋_GB2312" w:hAnsi="仿宋" w:eastAsia="仿宋_GB2312" w:cs="仿宋"/>
          <w:color w:val="000000"/>
          <w:sz w:val="32"/>
          <w:szCs w:val="32"/>
          <w:lang w:val="zh-CN"/>
        </w:rPr>
        <w:t>一般公共预算收入实际完成759710万元，其中：一般公共预算收入373797万元（税收235762万元、非税138035万元），</w:t>
      </w:r>
      <w:r>
        <w:rPr>
          <w:rFonts w:hint="eastAsia" w:ascii="仿宋_GB2312" w:hAnsi="仿宋" w:eastAsia="仿宋_GB2312" w:cs="仿宋"/>
          <w:sz w:val="32"/>
          <w:szCs w:val="32"/>
        </w:rPr>
        <w:t>与上年（</w:t>
      </w:r>
      <w:r>
        <w:rPr>
          <w:rFonts w:hint="eastAsia" w:ascii="仿宋_GB2312" w:hAnsi="仿宋" w:eastAsia="仿宋_GB2312" w:cs="仿宋"/>
          <w:color w:val="000000"/>
          <w:sz w:val="32"/>
          <w:szCs w:val="32"/>
          <w:lang w:val="zh-CN"/>
        </w:rPr>
        <w:t>353660</w:t>
      </w:r>
      <w:r>
        <w:rPr>
          <w:rFonts w:hint="eastAsia" w:ascii="仿宋_GB2312" w:hAnsi="仿宋" w:eastAsia="仿宋_GB2312" w:cs="仿宋"/>
          <w:sz w:val="32"/>
          <w:szCs w:val="32"/>
        </w:rPr>
        <w:t>）同比增加20137万元，与上年</w:t>
      </w:r>
      <w:r>
        <w:rPr>
          <w:rFonts w:hint="eastAsia" w:ascii="仿宋_GB2312" w:hAnsi="仿宋" w:eastAsia="仿宋_GB2312" w:cs="仿宋"/>
          <w:color w:val="000000"/>
          <w:sz w:val="32"/>
          <w:szCs w:val="32"/>
          <w:lang w:val="zh-CN"/>
        </w:rPr>
        <w:t>同比增长5.69%；</w:t>
      </w:r>
      <w:r>
        <w:rPr>
          <w:rFonts w:hint="eastAsia" w:ascii="仿宋_GB2312" w:hAnsi="仿宋" w:eastAsia="仿宋_GB2312" w:cs="仿宋"/>
          <w:sz w:val="32"/>
          <w:szCs w:val="32"/>
        </w:rPr>
        <w:t>上级补助收入207053万元（返还性收入8544万元，一般性转移支付收入148999万元、专项转移支付收入49510万元）；上年结余结转568万元；调入资金123万元（国有资本经营预算调入123万元），一般债券转贷收入178100万元（</w:t>
      </w:r>
      <w:r>
        <w:rPr>
          <w:rFonts w:hint="eastAsia" w:ascii="仿宋_GB2312" w:hAnsi="仿宋" w:eastAsia="仿宋_GB2312" w:cs="仿宋"/>
          <w:color w:val="000000"/>
          <w:sz w:val="32"/>
          <w:szCs w:val="32"/>
        </w:rPr>
        <w:t>再融资债券46500万元、新增债券131600万元</w:t>
      </w:r>
      <w:r>
        <w:rPr>
          <w:rFonts w:hint="eastAsia" w:ascii="仿宋_GB2312" w:hAnsi="仿宋" w:eastAsia="仿宋_GB2312" w:cs="仿宋"/>
          <w:sz w:val="32"/>
          <w:szCs w:val="32"/>
        </w:rPr>
        <w:t>），动用预算稳定调节基金69万元。</w:t>
      </w:r>
    </w:p>
    <w:p w14:paraId="19E4D5C2">
      <w:pPr>
        <w:spacing w:line="540" w:lineRule="exact"/>
        <w:ind w:firstLine="640" w:firstLineChars="200"/>
        <w:rPr>
          <w:rFonts w:ascii="仿宋_GB2312" w:hAnsi="仿宋" w:eastAsia="仿宋_GB2312"/>
          <w:sz w:val="32"/>
          <w:szCs w:val="32"/>
          <w:lang w:val="zh-CN"/>
        </w:rPr>
      </w:pPr>
      <w:r>
        <w:rPr>
          <w:rFonts w:hint="eastAsia" w:ascii="仿宋_GB2312" w:hAnsi="仿宋" w:eastAsia="仿宋_GB2312" w:cs="仿宋"/>
          <w:color w:val="000000"/>
          <w:sz w:val="32"/>
          <w:szCs w:val="32"/>
        </w:rPr>
        <w:t>2、</w:t>
      </w:r>
      <w:r>
        <w:rPr>
          <w:rFonts w:hint="eastAsia" w:ascii="仿宋_GB2312" w:hAnsi="仿宋" w:eastAsia="仿宋_GB2312" w:cs="仿宋"/>
          <w:color w:val="000000"/>
          <w:sz w:val="32"/>
          <w:szCs w:val="32"/>
          <w:lang w:val="zh-CN"/>
        </w:rPr>
        <w:t>政府性基金收入实际完成407756万元，其中：</w:t>
      </w:r>
      <w:r>
        <w:rPr>
          <w:rFonts w:hint="eastAsia" w:ascii="仿宋_GB2312" w:hAnsi="仿宋" w:eastAsia="仿宋_GB2312" w:cs="仿宋"/>
          <w:sz w:val="32"/>
          <w:szCs w:val="32"/>
          <w:lang w:val="zh-CN"/>
        </w:rPr>
        <w:t>政府性基金收入</w:t>
      </w:r>
      <w:r>
        <w:rPr>
          <w:rFonts w:hint="eastAsia" w:ascii="仿宋_GB2312" w:hAnsi="仿宋" w:eastAsia="仿宋_GB2312" w:cs="仿宋"/>
          <w:color w:val="000000"/>
          <w:sz w:val="32"/>
          <w:szCs w:val="32"/>
          <w:lang w:val="zh-CN"/>
        </w:rPr>
        <w:t>202497</w:t>
      </w:r>
      <w:r>
        <w:rPr>
          <w:rFonts w:hint="eastAsia" w:ascii="仿宋_GB2312" w:hAnsi="仿宋" w:eastAsia="仿宋_GB2312" w:cs="仿宋"/>
          <w:sz w:val="32"/>
          <w:szCs w:val="32"/>
          <w:lang w:val="zh-CN"/>
        </w:rPr>
        <w:t>万元，与上年（</w:t>
      </w:r>
      <w:r>
        <w:rPr>
          <w:rFonts w:hint="eastAsia" w:ascii="仿宋_GB2312" w:hAnsi="仿宋" w:eastAsia="仿宋_GB2312" w:cs="仿宋"/>
          <w:color w:val="000000"/>
          <w:sz w:val="32"/>
          <w:szCs w:val="32"/>
          <w:lang w:val="zh-CN"/>
        </w:rPr>
        <w:t>128314</w:t>
      </w:r>
      <w:r>
        <w:rPr>
          <w:rFonts w:hint="eastAsia" w:ascii="仿宋_GB2312" w:hAnsi="仿宋" w:eastAsia="仿宋_GB2312" w:cs="仿宋"/>
          <w:sz w:val="32"/>
          <w:szCs w:val="32"/>
          <w:lang w:val="zh-CN"/>
        </w:rPr>
        <w:t>）同比增加74183万元，与上年同比增加57.81%；政府性基金上级补助收入811万元（政府性基金转移支付收入811万元、抗疫特别国债转移支付收入0万元）；政府性基金上年结余1348万元；地方政府</w:t>
      </w:r>
      <w:r>
        <w:rPr>
          <w:rFonts w:hint="eastAsia" w:ascii="仿宋_GB2312" w:hAnsi="仿宋" w:eastAsia="仿宋_GB2312" w:cs="仿宋"/>
          <w:sz w:val="32"/>
          <w:szCs w:val="32"/>
        </w:rPr>
        <w:t>专项债券转贷收入203100万元（再融资债券7100万元，新增债券196000万元）</w:t>
      </w:r>
      <w:r>
        <w:rPr>
          <w:rFonts w:hint="eastAsia" w:ascii="仿宋_GB2312" w:hAnsi="仿宋" w:eastAsia="仿宋_GB2312" w:cs="仿宋"/>
          <w:sz w:val="32"/>
          <w:szCs w:val="32"/>
          <w:lang w:val="zh-CN"/>
        </w:rPr>
        <w:t>。</w:t>
      </w:r>
    </w:p>
    <w:p w14:paraId="1DFA7CFB">
      <w:pPr>
        <w:spacing w:line="540" w:lineRule="exact"/>
        <w:ind w:firstLine="640" w:firstLineChars="200"/>
        <w:rPr>
          <w:rFonts w:ascii="仿宋_GB2312" w:hAnsi="仿宋" w:eastAsia="仿宋_GB2312" w:cs="仿宋"/>
          <w:sz w:val="32"/>
          <w:szCs w:val="32"/>
          <w:lang w:val="zh-CN"/>
        </w:rPr>
      </w:pPr>
      <w:r>
        <w:rPr>
          <w:rFonts w:hint="eastAsia" w:ascii="仿宋_GB2312" w:hAnsi="仿宋" w:eastAsia="仿宋_GB2312" w:cs="仿宋"/>
          <w:color w:val="000000"/>
          <w:sz w:val="32"/>
          <w:szCs w:val="32"/>
          <w:lang w:val="zh-CN"/>
        </w:rPr>
        <w:t>3、</w:t>
      </w:r>
      <w:r>
        <w:rPr>
          <w:rFonts w:hint="eastAsia" w:ascii="仿宋_GB2312" w:hAnsi="仿宋" w:eastAsia="仿宋_GB2312" w:cs="仿宋"/>
          <w:sz w:val="32"/>
          <w:szCs w:val="32"/>
          <w:lang w:val="zh-CN"/>
        </w:rPr>
        <w:t>国有资本经营收入实际完成659万元。其中：国有资本经营预算收入411万元，上级补助收入248万元。</w:t>
      </w:r>
    </w:p>
    <w:p w14:paraId="630D6E04">
      <w:pPr>
        <w:spacing w:line="540" w:lineRule="exact"/>
        <w:ind w:firstLine="640" w:firstLineChars="200"/>
        <w:rPr>
          <w:rFonts w:ascii="仿宋_GB2312" w:hAnsi="仿宋" w:eastAsia="仿宋_GB2312"/>
          <w:color w:val="FF0000"/>
          <w:sz w:val="32"/>
          <w:szCs w:val="32"/>
          <w:lang w:val="zh-CN"/>
        </w:rPr>
      </w:pPr>
      <w:r>
        <w:rPr>
          <w:rFonts w:hint="eastAsia" w:ascii="仿宋_GB2312" w:hAnsi="仿宋" w:eastAsia="仿宋_GB2312" w:cs="仿宋"/>
          <w:color w:val="000000"/>
          <w:sz w:val="32"/>
          <w:szCs w:val="32"/>
          <w:lang w:val="zh-CN"/>
        </w:rPr>
        <w:t>4、</w:t>
      </w:r>
      <w:r>
        <w:rPr>
          <w:rFonts w:hint="eastAsia" w:ascii="仿宋_GB2312" w:hAnsi="仿宋" w:eastAsia="仿宋_GB2312" w:cs="仿宋"/>
          <w:sz w:val="32"/>
          <w:szCs w:val="32"/>
          <w:lang w:val="zh-CN"/>
        </w:rPr>
        <w:t>社会保险基金预算收入按照决算填报口径，实行州级统筹，县（市）一级不反映。</w:t>
      </w:r>
    </w:p>
    <w:p w14:paraId="79E8CB82">
      <w:pPr>
        <w:spacing w:line="540" w:lineRule="exact"/>
        <w:ind w:firstLine="643" w:firstLineChars="200"/>
        <w:rPr>
          <w:rFonts w:ascii="仿宋_GB2312" w:hAnsi="仿宋" w:eastAsia="仿宋_GB2312" w:cs="仿宋"/>
          <w:b/>
          <w:bCs/>
          <w:color w:val="000000"/>
          <w:sz w:val="32"/>
          <w:szCs w:val="32"/>
          <w:lang w:val="zh-CN"/>
        </w:rPr>
      </w:pPr>
      <w:r>
        <w:rPr>
          <w:rFonts w:hint="eastAsia" w:ascii="仿宋_GB2312" w:hAnsi="仿宋" w:eastAsia="仿宋_GB2312" w:cs="仿宋"/>
          <w:b/>
          <w:bCs/>
          <w:color w:val="000000"/>
          <w:sz w:val="32"/>
          <w:szCs w:val="32"/>
          <w:lang w:val="zh-CN"/>
        </w:rPr>
        <w:t>2.高新区全年预计完成地方财政收入72368万元</w:t>
      </w:r>
      <w:r>
        <w:rPr>
          <w:rFonts w:hint="eastAsia" w:ascii="仿宋_GB2312" w:hAnsi="仿宋" w:eastAsia="仿宋_GB2312" w:cs="仿宋"/>
          <w:color w:val="000000"/>
          <w:sz w:val="32"/>
          <w:szCs w:val="32"/>
          <w:lang w:val="zh-CN"/>
        </w:rPr>
        <w:t>，其中：</w:t>
      </w:r>
    </w:p>
    <w:p w14:paraId="3A9F72F1">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000000"/>
          <w:sz w:val="32"/>
          <w:szCs w:val="32"/>
        </w:rPr>
        <w:t>1、</w:t>
      </w:r>
      <w:r>
        <w:rPr>
          <w:rFonts w:hint="eastAsia" w:ascii="仿宋_GB2312" w:hAnsi="仿宋" w:eastAsia="仿宋_GB2312" w:cs="仿宋"/>
          <w:color w:val="000000"/>
          <w:sz w:val="32"/>
          <w:szCs w:val="32"/>
          <w:lang w:val="zh-CN"/>
        </w:rPr>
        <w:t>一般公共预算收入实际完成56381万元，其中：一般公共预算收入32033万元（税收收入18457万元、非税收入13576万元），与上年（42847）同比减少10814万元，与上年同比减少25.24%；上级补助收入16173万元</w:t>
      </w:r>
      <w:r>
        <w:rPr>
          <w:rFonts w:hint="eastAsia" w:ascii="仿宋_GB2312" w:hAnsi="仿宋" w:eastAsia="仿宋_GB2312" w:cs="仿宋"/>
          <w:sz w:val="32"/>
          <w:szCs w:val="32"/>
        </w:rPr>
        <w:t>（返还性收入0万元，一般性转移支付收入15124万元、专项转移支付收入1049万元）；上年结余结转7175万元；一般债券转贷收入1000万元（再融资债券1000万元）。</w:t>
      </w:r>
    </w:p>
    <w:p w14:paraId="65226943">
      <w:pPr>
        <w:spacing w:line="540" w:lineRule="exact"/>
        <w:ind w:firstLine="640" w:firstLineChars="200"/>
        <w:rPr>
          <w:rFonts w:ascii="仿宋_GB2312" w:hAnsi="仿宋" w:eastAsia="仿宋_GB2312"/>
          <w:sz w:val="32"/>
          <w:szCs w:val="32"/>
          <w:lang w:val="zh-CN"/>
        </w:rPr>
      </w:pPr>
      <w:r>
        <w:rPr>
          <w:rFonts w:hint="eastAsia" w:ascii="仿宋_GB2312" w:hAnsi="仿宋" w:eastAsia="仿宋_GB2312" w:cs="仿宋"/>
          <w:color w:val="000000"/>
          <w:sz w:val="32"/>
          <w:szCs w:val="32"/>
        </w:rPr>
        <w:t>2、</w:t>
      </w:r>
      <w:r>
        <w:rPr>
          <w:rFonts w:hint="eastAsia" w:ascii="仿宋_GB2312" w:hAnsi="仿宋" w:eastAsia="仿宋_GB2312" w:cs="仿宋"/>
          <w:color w:val="000000"/>
          <w:sz w:val="32"/>
          <w:szCs w:val="32"/>
          <w:lang w:val="zh-CN"/>
        </w:rPr>
        <w:t>政府性基金收入实际完成15987万元，其中：政府性基金收入10254万元，与上年（12201）同比减少1947万元，与上年同比减少15.96%；</w:t>
      </w:r>
      <w:r>
        <w:rPr>
          <w:rFonts w:hint="eastAsia" w:ascii="仿宋_GB2312" w:hAnsi="仿宋" w:eastAsia="仿宋_GB2312" w:cs="仿宋"/>
          <w:sz w:val="32"/>
          <w:szCs w:val="32"/>
          <w:lang w:val="zh-CN"/>
        </w:rPr>
        <w:t>政府性基金上年结余4833万元；地方政府</w:t>
      </w:r>
      <w:r>
        <w:rPr>
          <w:rFonts w:hint="eastAsia" w:ascii="仿宋_GB2312" w:hAnsi="仿宋" w:eastAsia="仿宋_GB2312" w:cs="仿宋"/>
          <w:sz w:val="32"/>
          <w:szCs w:val="32"/>
        </w:rPr>
        <w:t>专项债券转贷收入900万元（再融资债券900万）</w:t>
      </w:r>
      <w:r>
        <w:rPr>
          <w:rFonts w:hint="eastAsia" w:ascii="仿宋_GB2312" w:hAnsi="仿宋" w:eastAsia="仿宋_GB2312" w:cs="仿宋"/>
          <w:sz w:val="32"/>
          <w:szCs w:val="32"/>
          <w:lang w:val="zh-CN"/>
        </w:rPr>
        <w:t>。</w:t>
      </w:r>
    </w:p>
    <w:p w14:paraId="24979EB5">
      <w:pPr>
        <w:ind w:firstLine="800" w:firstLineChars="250"/>
        <w:rPr>
          <w:rFonts w:ascii="仿宋_GB2312" w:hAnsi="仿宋" w:eastAsia="仿宋_GB2312"/>
          <w:sz w:val="32"/>
          <w:szCs w:val="32"/>
        </w:rPr>
      </w:pPr>
      <w:r>
        <w:rPr>
          <w:rFonts w:hint="eastAsia" w:ascii="仿宋_GB2312" w:hAnsi="仿宋" w:eastAsia="仿宋_GB2312"/>
          <w:sz w:val="32"/>
          <w:szCs w:val="32"/>
        </w:rPr>
        <w:t xml:space="preserve"> 一般公共预算收入按部门完成情况分析：</w:t>
      </w:r>
    </w:p>
    <w:p w14:paraId="4F4EB9F6">
      <w:pPr>
        <w:ind w:firstLine="640" w:firstLineChars="200"/>
        <w:rPr>
          <w:rFonts w:ascii="仿宋_GB2312" w:hAnsi="仿宋" w:eastAsia="仿宋_GB2312"/>
          <w:sz w:val="28"/>
          <w:szCs w:val="32"/>
        </w:rPr>
      </w:pPr>
      <w:r>
        <w:rPr>
          <w:rFonts w:hint="eastAsia" w:ascii="仿宋_GB2312" w:hAnsi="仿宋" w:eastAsia="仿宋_GB2312"/>
          <w:sz w:val="32"/>
          <w:szCs w:val="32"/>
        </w:rPr>
        <w:t>1、税收收入完成</w:t>
      </w:r>
      <w:r>
        <w:rPr>
          <w:rFonts w:hint="eastAsia" w:ascii="仿宋_GB2312" w:hAnsi="仿宋" w:eastAsia="仿宋_GB2312" w:cs="仿宋"/>
          <w:sz w:val="32"/>
          <w:szCs w:val="32"/>
          <w:lang w:val="zh-CN"/>
        </w:rPr>
        <w:t>254219</w:t>
      </w:r>
      <w:r>
        <w:rPr>
          <w:rFonts w:hint="eastAsia" w:ascii="仿宋_GB2312" w:hAnsi="仿宋" w:eastAsia="仿宋_GB2312"/>
          <w:sz w:val="32"/>
          <w:szCs w:val="32"/>
        </w:rPr>
        <w:t>万元，与上年（229514）同比增收24705万元，与上年同比增长10.76%。</w:t>
      </w:r>
    </w:p>
    <w:p w14:paraId="58173A44">
      <w:pPr>
        <w:ind w:firstLine="645"/>
        <w:rPr>
          <w:rFonts w:ascii="仿宋_GB2312" w:hAnsi="仿宋" w:eastAsia="仿宋_GB2312"/>
          <w:sz w:val="32"/>
          <w:szCs w:val="32"/>
        </w:rPr>
      </w:pPr>
      <w:r>
        <w:rPr>
          <w:rFonts w:hint="eastAsia" w:ascii="仿宋_GB2312" w:hAnsi="仿宋" w:eastAsia="仿宋_GB2312"/>
          <w:sz w:val="32"/>
          <w:szCs w:val="32"/>
        </w:rPr>
        <w:t>2、财政非税收入完成</w:t>
      </w:r>
      <w:r>
        <w:rPr>
          <w:rFonts w:hint="eastAsia" w:ascii="仿宋_GB2312" w:hAnsi="仿宋" w:eastAsia="仿宋_GB2312" w:cs="仿宋"/>
          <w:sz w:val="32"/>
          <w:szCs w:val="32"/>
          <w:lang w:val="zh-CN"/>
        </w:rPr>
        <w:t>151611</w:t>
      </w:r>
      <w:r>
        <w:rPr>
          <w:rFonts w:hint="eastAsia" w:ascii="仿宋_GB2312" w:hAnsi="仿宋" w:eastAsia="仿宋_GB2312"/>
          <w:sz w:val="32"/>
          <w:szCs w:val="32"/>
        </w:rPr>
        <w:t>万元，与上年（166993）同比减收15382万元，与上年同比下降9.21%。</w:t>
      </w:r>
    </w:p>
    <w:p w14:paraId="68FB78D3">
      <w:pPr>
        <w:ind w:firstLine="645"/>
        <w:rPr>
          <w:rFonts w:ascii="仿宋_GB2312" w:hAnsi="仿宋" w:eastAsia="仿宋_GB2312"/>
          <w:sz w:val="32"/>
          <w:szCs w:val="32"/>
        </w:rPr>
      </w:pPr>
      <w:r>
        <w:rPr>
          <w:rFonts w:hint="eastAsia" w:ascii="仿宋_GB2312" w:hAnsi="仿宋" w:eastAsia="仿宋_GB2312"/>
          <w:sz w:val="32"/>
          <w:szCs w:val="32"/>
        </w:rPr>
        <w:t>其中：昌吉市累计完成税收收入</w:t>
      </w:r>
      <w:r>
        <w:rPr>
          <w:rFonts w:ascii="仿宋_GB2312" w:hAnsi="仿宋" w:eastAsia="仿宋_GB2312"/>
          <w:sz w:val="32"/>
          <w:szCs w:val="32"/>
        </w:rPr>
        <w:t>235762</w:t>
      </w:r>
      <w:r>
        <w:rPr>
          <w:rFonts w:hint="eastAsia" w:ascii="仿宋_GB2312" w:hAnsi="仿宋" w:eastAsia="仿宋_GB2312"/>
          <w:sz w:val="32"/>
          <w:szCs w:val="32"/>
        </w:rPr>
        <w:t>万元，非税收入</w:t>
      </w:r>
      <w:r>
        <w:rPr>
          <w:rFonts w:ascii="仿宋_GB2312" w:hAnsi="仿宋" w:eastAsia="仿宋_GB2312"/>
          <w:sz w:val="32"/>
          <w:szCs w:val="32"/>
        </w:rPr>
        <w:t>138035</w:t>
      </w:r>
      <w:r>
        <w:rPr>
          <w:rFonts w:hint="eastAsia" w:ascii="仿宋_GB2312" w:hAnsi="仿宋" w:eastAsia="仿宋_GB2312"/>
          <w:sz w:val="32"/>
          <w:szCs w:val="32"/>
        </w:rPr>
        <w:t>万元。高新区累计完成税收收入</w:t>
      </w:r>
      <w:r>
        <w:rPr>
          <w:rFonts w:ascii="仿宋_GB2312" w:hAnsi="仿宋" w:eastAsia="仿宋_GB2312"/>
          <w:sz w:val="32"/>
          <w:szCs w:val="32"/>
        </w:rPr>
        <w:t>18457</w:t>
      </w:r>
      <w:r>
        <w:rPr>
          <w:rFonts w:hint="eastAsia" w:ascii="仿宋_GB2312" w:hAnsi="仿宋" w:eastAsia="仿宋_GB2312"/>
          <w:sz w:val="32"/>
          <w:szCs w:val="32"/>
        </w:rPr>
        <w:t>万元，非税收入</w:t>
      </w:r>
      <w:r>
        <w:rPr>
          <w:rFonts w:ascii="仿宋_GB2312" w:hAnsi="仿宋" w:eastAsia="仿宋_GB2312"/>
          <w:sz w:val="32"/>
          <w:szCs w:val="32"/>
        </w:rPr>
        <w:t>13576</w:t>
      </w:r>
      <w:r>
        <w:rPr>
          <w:rFonts w:hint="eastAsia" w:ascii="仿宋_GB2312" w:hAnsi="仿宋" w:eastAsia="仿宋_GB2312"/>
          <w:sz w:val="32"/>
          <w:szCs w:val="32"/>
        </w:rPr>
        <w:t>万元。</w:t>
      </w:r>
    </w:p>
    <w:p w14:paraId="45A582FC">
      <w:pPr>
        <w:ind w:firstLine="645"/>
        <w:rPr>
          <w:rFonts w:ascii="仿宋_GB2312" w:hAnsi="仿宋" w:eastAsia="仿宋_GB2312"/>
          <w:b/>
          <w:sz w:val="32"/>
          <w:szCs w:val="32"/>
        </w:rPr>
      </w:pPr>
      <w:r>
        <w:rPr>
          <w:rFonts w:hint="eastAsia" w:ascii="仿宋_GB2312" w:hAnsi="仿宋" w:eastAsia="仿宋_GB2312"/>
          <w:b/>
          <w:sz w:val="32"/>
          <w:szCs w:val="32"/>
        </w:rPr>
        <w:t>具体税种分析如下：</w:t>
      </w:r>
    </w:p>
    <w:p w14:paraId="01DF36BA">
      <w:pPr>
        <w:topLinePunct/>
        <w:snapToGrid w:val="0"/>
        <w:spacing w:line="360" w:lineRule="auto"/>
        <w:ind w:firstLine="640" w:firstLineChars="200"/>
        <w:rPr>
          <w:rFonts w:ascii="仿宋_GB2312" w:hAnsi="Calibri" w:eastAsia="仿宋_GB2312"/>
          <w:sz w:val="32"/>
          <w:szCs w:val="32"/>
        </w:rPr>
      </w:pPr>
      <w:r>
        <w:rPr>
          <w:rFonts w:hint="eastAsia" w:ascii="仿宋_GB2312" w:hAnsi="仿宋" w:eastAsia="仿宋_GB2312"/>
          <w:sz w:val="32"/>
          <w:szCs w:val="32"/>
        </w:rPr>
        <w:t>增值税累计入库87404万元，与上年（69738）同比增收17666万元，与上年同比增长25.33%。</w:t>
      </w:r>
    </w:p>
    <w:p w14:paraId="465E3D6F">
      <w:pPr>
        <w:topLinePunct/>
        <w:snapToGrid w:val="0"/>
        <w:spacing w:line="360" w:lineRule="auto"/>
        <w:ind w:firstLine="640" w:firstLineChars="200"/>
        <w:rPr>
          <w:rFonts w:ascii="仿宋_GB2312" w:hAnsi="Calibri" w:eastAsia="仿宋_GB2312"/>
          <w:sz w:val="32"/>
          <w:szCs w:val="32"/>
        </w:rPr>
      </w:pPr>
      <w:r>
        <w:rPr>
          <w:rFonts w:hint="eastAsia" w:ascii="仿宋_GB2312" w:hAnsi="仿宋" w:eastAsia="仿宋_GB2312"/>
          <w:kern w:val="0"/>
          <w:sz w:val="32"/>
          <w:szCs w:val="32"/>
        </w:rPr>
        <w:t>企业所得税累计入库24248万元，与上年（20591）同比增收3657万元，与上年同比增长17.76%</w:t>
      </w:r>
      <w:r>
        <w:rPr>
          <w:rFonts w:hint="eastAsia" w:ascii="仿宋_GB2312" w:hAnsi="宋体" w:eastAsia="仿宋_GB2312"/>
          <w:kern w:val="0"/>
          <w:sz w:val="32"/>
          <w:szCs w:val="32"/>
        </w:rPr>
        <w:t>。</w:t>
      </w:r>
    </w:p>
    <w:p w14:paraId="1DCA6492">
      <w:pPr>
        <w:topLinePunct/>
        <w:snapToGrid w:val="0"/>
        <w:spacing w:line="360" w:lineRule="auto"/>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个人所得税累计入库16748万元，与上年（12210）同比增收4538万元，与上年同比增长37.17%。</w:t>
      </w:r>
    </w:p>
    <w:p w14:paraId="7DB8A9D9">
      <w:pPr>
        <w:ind w:firstLine="640" w:firstLineChars="200"/>
        <w:rPr>
          <w:rFonts w:ascii="仿宋_GB2312" w:eastAsia="仿宋_GB2312"/>
          <w:kern w:val="0"/>
          <w:sz w:val="32"/>
          <w:szCs w:val="32"/>
        </w:rPr>
      </w:pPr>
      <w:r>
        <w:rPr>
          <w:rFonts w:hint="eastAsia" w:ascii="仿宋_GB2312" w:hAnsi="仿宋" w:eastAsia="仿宋_GB2312"/>
          <w:kern w:val="0"/>
          <w:sz w:val="32"/>
          <w:szCs w:val="32"/>
        </w:rPr>
        <w:t>资源税累计入库1807万元，与上年（1416）同比增收391万元，与上年同比增长27.61%</w:t>
      </w:r>
      <w:r>
        <w:rPr>
          <w:rFonts w:hint="eastAsia" w:ascii="仿宋_GB2312" w:eastAsia="仿宋_GB2312"/>
          <w:kern w:val="0"/>
          <w:sz w:val="32"/>
          <w:szCs w:val="32"/>
        </w:rPr>
        <w:t>。</w:t>
      </w:r>
    </w:p>
    <w:p w14:paraId="6510A4B0">
      <w:pPr>
        <w:ind w:firstLine="640" w:firstLineChars="200"/>
        <w:rPr>
          <w:rFonts w:ascii="仿宋_GB2312" w:eastAsia="仿宋_GB2312"/>
          <w:kern w:val="0"/>
          <w:sz w:val="32"/>
          <w:szCs w:val="32"/>
        </w:rPr>
      </w:pPr>
      <w:r>
        <w:rPr>
          <w:rFonts w:hint="eastAsia" w:ascii="仿宋_GB2312" w:hAnsi="仿宋" w:eastAsia="仿宋_GB2312"/>
          <w:kern w:val="0"/>
          <w:sz w:val="32"/>
          <w:szCs w:val="32"/>
        </w:rPr>
        <w:t>城市维护建设税累计入库12644万元，与上年（11245）同比增收1399万元，与上年同比增长12.44%</w:t>
      </w:r>
      <w:r>
        <w:rPr>
          <w:rFonts w:hint="eastAsia" w:ascii="仿宋_GB2312" w:eastAsia="仿宋_GB2312"/>
          <w:kern w:val="0"/>
          <w:sz w:val="32"/>
          <w:szCs w:val="32"/>
        </w:rPr>
        <w:t>。</w:t>
      </w:r>
    </w:p>
    <w:p w14:paraId="5DE267B2">
      <w:pPr>
        <w:ind w:firstLine="640" w:firstLineChars="200"/>
        <w:rPr>
          <w:rFonts w:ascii="仿宋_GB2312" w:eastAsia="仿宋_GB2312"/>
          <w:kern w:val="0"/>
          <w:sz w:val="32"/>
          <w:szCs w:val="32"/>
        </w:rPr>
      </w:pPr>
      <w:r>
        <w:rPr>
          <w:rFonts w:hint="eastAsia" w:ascii="仿宋_GB2312" w:hAnsi="仿宋" w:eastAsia="仿宋_GB2312"/>
          <w:kern w:val="0"/>
          <w:sz w:val="32"/>
          <w:szCs w:val="32"/>
        </w:rPr>
        <w:t>房产税累计入库18733万元，与上年（14792）同比增收3941万元，与上年同比增长26.64%</w:t>
      </w:r>
      <w:r>
        <w:rPr>
          <w:rFonts w:hint="eastAsia" w:ascii="仿宋_GB2312" w:eastAsia="仿宋_GB2312"/>
          <w:kern w:val="0"/>
          <w:sz w:val="32"/>
          <w:szCs w:val="32"/>
        </w:rPr>
        <w:t>。</w:t>
      </w:r>
    </w:p>
    <w:p w14:paraId="68B5A349">
      <w:pPr>
        <w:ind w:firstLine="640" w:firstLineChars="200"/>
        <w:rPr>
          <w:rFonts w:ascii="仿宋_GB2312" w:eastAsia="仿宋_GB2312"/>
          <w:kern w:val="0"/>
          <w:sz w:val="32"/>
          <w:szCs w:val="32"/>
        </w:rPr>
      </w:pPr>
      <w:r>
        <w:rPr>
          <w:rFonts w:hint="eastAsia" w:ascii="仿宋_GB2312" w:hAnsi="仿宋" w:eastAsia="仿宋_GB2312"/>
          <w:kern w:val="0"/>
          <w:sz w:val="32"/>
          <w:szCs w:val="32"/>
        </w:rPr>
        <w:t>印花税累计入库7737万元，与上年（6142）同比增收1595万元，与上年同比增长25.97%</w:t>
      </w:r>
      <w:r>
        <w:rPr>
          <w:rFonts w:hint="eastAsia" w:ascii="仿宋_GB2312" w:eastAsia="仿宋_GB2312"/>
          <w:kern w:val="0"/>
          <w:sz w:val="32"/>
          <w:szCs w:val="32"/>
        </w:rPr>
        <w:t>。</w:t>
      </w:r>
    </w:p>
    <w:p w14:paraId="519F7BA3">
      <w:pPr>
        <w:ind w:firstLine="640" w:firstLineChars="200"/>
        <w:rPr>
          <w:rFonts w:ascii="仿宋_GB2312" w:eastAsia="仿宋_GB2312"/>
          <w:kern w:val="0"/>
          <w:sz w:val="32"/>
          <w:szCs w:val="32"/>
        </w:rPr>
      </w:pPr>
      <w:r>
        <w:rPr>
          <w:rFonts w:hint="eastAsia" w:ascii="仿宋_GB2312" w:hAnsi="仿宋" w:eastAsia="仿宋_GB2312"/>
          <w:kern w:val="0"/>
          <w:sz w:val="32"/>
          <w:szCs w:val="32"/>
        </w:rPr>
        <w:t>城镇土地使用税累计入库14385万元，与上年（13634）同比增收751万元，与上年同比增长5.51%</w:t>
      </w:r>
      <w:r>
        <w:rPr>
          <w:rFonts w:hint="eastAsia" w:ascii="仿宋_GB2312" w:eastAsia="仿宋_GB2312"/>
          <w:kern w:val="0"/>
          <w:sz w:val="32"/>
          <w:szCs w:val="32"/>
        </w:rPr>
        <w:t>。</w:t>
      </w:r>
    </w:p>
    <w:p w14:paraId="27DAFDE9">
      <w:pPr>
        <w:spacing w:line="600" w:lineRule="exact"/>
        <w:ind w:firstLine="672" w:firstLineChars="210"/>
        <w:rPr>
          <w:rFonts w:ascii="仿宋_GB2312" w:eastAsia="仿宋_GB2312"/>
          <w:kern w:val="0"/>
          <w:sz w:val="32"/>
          <w:szCs w:val="32"/>
        </w:rPr>
      </w:pPr>
      <w:r>
        <w:rPr>
          <w:rFonts w:hint="eastAsia" w:ascii="仿宋_GB2312" w:hAnsi="仿宋" w:eastAsia="仿宋_GB2312"/>
          <w:kern w:val="0"/>
          <w:sz w:val="32"/>
          <w:szCs w:val="32"/>
        </w:rPr>
        <w:t>土地增值税累计入库53298万元，与上年（20324）同比增收32974万元，与上年同比增长162.24%</w:t>
      </w:r>
      <w:r>
        <w:rPr>
          <w:rFonts w:hint="eastAsia" w:ascii="仿宋_GB2312" w:eastAsia="仿宋_GB2312"/>
          <w:kern w:val="0"/>
          <w:sz w:val="32"/>
          <w:szCs w:val="32"/>
        </w:rPr>
        <w:t>。</w:t>
      </w:r>
    </w:p>
    <w:p w14:paraId="0A7AFE6C">
      <w:pPr>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契税累计入库16085万元，与上年（26965）同比减收10880万元，与上年同比下降40.35%。</w:t>
      </w:r>
    </w:p>
    <w:p w14:paraId="131F8E2F">
      <w:pPr>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车船税累计入库7494万元，与上年（7291）同比增收203万元，与上年同比增长2.78%。</w:t>
      </w:r>
    </w:p>
    <w:p w14:paraId="5AE7CFDA">
      <w:pPr>
        <w:ind w:firstLine="640" w:firstLineChars="200"/>
        <w:rPr>
          <w:rFonts w:ascii="仿宋_GB2312" w:hAnsi="仿宋" w:eastAsia="仿宋_GB2312"/>
          <w:kern w:val="0"/>
          <w:sz w:val="32"/>
          <w:szCs w:val="32"/>
        </w:rPr>
      </w:pPr>
      <w:r>
        <w:rPr>
          <w:rFonts w:hint="eastAsia" w:ascii="仿宋_GB2312" w:hAnsi="仿宋" w:eastAsia="仿宋_GB2312"/>
          <w:kern w:val="0"/>
          <w:sz w:val="32"/>
          <w:szCs w:val="32"/>
        </w:rPr>
        <w:t>耕地占用税累计入库-6527万元，与上年（25038）同比减收31565万元，与上年同比下降126.07%。</w:t>
      </w:r>
    </w:p>
    <w:p w14:paraId="0BF550F6">
      <w:pPr>
        <w:ind w:firstLine="645"/>
        <w:jc w:val="center"/>
        <w:rPr>
          <w:rFonts w:ascii="仿宋_GB2312" w:hAnsi="仿宋" w:eastAsia="仿宋_GB2312"/>
          <w:b/>
          <w:kern w:val="0"/>
          <w:sz w:val="32"/>
          <w:szCs w:val="32"/>
        </w:rPr>
      </w:pPr>
      <w:r>
        <w:rPr>
          <w:rFonts w:hint="eastAsia" w:ascii="仿宋_GB2312" w:hAnsi="仿宋" w:eastAsia="仿宋_GB2312"/>
          <w:b/>
          <w:kern w:val="0"/>
          <w:sz w:val="32"/>
          <w:szCs w:val="32"/>
        </w:rPr>
        <w:t>2021年昌吉市一般公共预算收入比重示意图</w:t>
      </w:r>
    </w:p>
    <w:p w14:paraId="39964324">
      <w:pPr>
        <w:ind w:firstLine="645"/>
        <w:rPr>
          <w:rFonts w:ascii="仿宋_GB2312" w:hAnsi="仿宋" w:eastAsia="仿宋_GB2312"/>
          <w:sz w:val="32"/>
          <w:szCs w:val="32"/>
        </w:rPr>
      </w:pPr>
      <w:r>
        <w:rPr>
          <w:rFonts w:hint="eastAsia" w:ascii="仿宋_GB2312" w:hAnsi="仿宋" w:eastAsia="仿宋_GB2312"/>
          <w:color w:val="D99694" w:themeColor="accent2" w:themeTint="99"/>
          <w:sz w:val="32"/>
          <w:szCs w:val="32"/>
          <w14:textFill>
            <w14:solidFill>
              <w14:schemeClr w14:val="accent2">
                <w14:lumMod w14:val="60000"/>
                <w14:lumOff w14:val="40000"/>
              </w14:schemeClr>
            </w14:solidFill>
          </w14:textFill>
        </w:rPr>
        <w:drawing>
          <wp:inline distT="0" distB="0" distL="0" distR="0">
            <wp:extent cx="10829925" cy="6038850"/>
            <wp:effectExtent l="0" t="0" r="9525"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050CB271">
      <w:pPr>
        <w:spacing w:line="540" w:lineRule="exact"/>
        <w:rPr>
          <w:rFonts w:ascii="仿宋_GB2312" w:hAnsi="仿宋" w:eastAsia="仿宋_GB2312" w:cs="仿宋"/>
          <w:b/>
          <w:bCs/>
          <w:sz w:val="32"/>
          <w:szCs w:val="32"/>
        </w:rPr>
      </w:pPr>
    </w:p>
    <w:p w14:paraId="6049777E">
      <w:pPr>
        <w:spacing w:line="540" w:lineRule="exact"/>
        <w:ind w:firstLine="643" w:firstLineChars="200"/>
        <w:rPr>
          <w:rFonts w:ascii="仿宋_GB2312" w:hAnsi="仿宋" w:eastAsia="仿宋_GB2312"/>
          <w:b/>
          <w:bCs/>
          <w:sz w:val="32"/>
          <w:szCs w:val="32"/>
        </w:rPr>
      </w:pPr>
      <w:r>
        <w:rPr>
          <w:rFonts w:hint="eastAsia" w:ascii="仿宋_GB2312" w:hAnsi="仿宋" w:eastAsia="仿宋_GB2312" w:cs="仿宋"/>
          <w:b/>
          <w:bCs/>
          <w:sz w:val="32"/>
          <w:szCs w:val="32"/>
        </w:rPr>
        <w:t>二、财政支出完成情况</w:t>
      </w:r>
    </w:p>
    <w:p w14:paraId="6EEB72F6">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lang w:val="zh-CN"/>
        </w:rPr>
        <w:t>2021年全年实际完成地方财政支出1188307万元。</w:t>
      </w:r>
    </w:p>
    <w:p w14:paraId="009C8D7F">
      <w:pPr>
        <w:spacing w:line="540" w:lineRule="exact"/>
        <w:ind w:firstLine="643" w:firstLineChars="200"/>
        <w:rPr>
          <w:rFonts w:ascii="仿宋_GB2312" w:hAnsi="仿宋" w:eastAsia="仿宋_GB2312"/>
          <w:color w:val="000000"/>
          <w:sz w:val="32"/>
          <w:szCs w:val="32"/>
          <w:lang w:val="zh-CN"/>
        </w:rPr>
      </w:pPr>
      <w:r>
        <w:rPr>
          <w:rFonts w:hint="eastAsia" w:ascii="仿宋_GB2312" w:hAnsi="仿宋" w:eastAsia="仿宋_GB2312" w:cs="仿宋"/>
          <w:b/>
          <w:bCs/>
          <w:color w:val="000000"/>
          <w:sz w:val="32"/>
          <w:szCs w:val="32"/>
          <w:lang w:val="zh-CN"/>
        </w:rPr>
        <w:t>（一）按四本预算分解为</w:t>
      </w:r>
      <w:r>
        <w:rPr>
          <w:rFonts w:hint="eastAsia" w:ascii="仿宋_GB2312" w:hAnsi="仿宋" w:eastAsia="仿宋_GB2312" w:cs="仿宋"/>
          <w:color w:val="000000"/>
          <w:sz w:val="32"/>
          <w:szCs w:val="32"/>
          <w:lang w:val="zh-CN"/>
        </w:rPr>
        <w:t>：</w:t>
      </w:r>
    </w:p>
    <w:p w14:paraId="460A2E20">
      <w:pPr>
        <w:spacing w:line="540" w:lineRule="exact"/>
        <w:ind w:firstLine="640" w:firstLineChars="200"/>
        <w:rPr>
          <w:rFonts w:ascii="仿宋_GB2312" w:hAnsi="仿宋" w:eastAsia="仿宋_GB2312" w:cs="仿宋"/>
          <w:color w:val="000000"/>
          <w:sz w:val="32"/>
          <w:szCs w:val="32"/>
          <w:lang w:val="zh-CN"/>
        </w:rPr>
      </w:pPr>
      <w:r>
        <w:rPr>
          <w:rFonts w:hint="eastAsia" w:ascii="仿宋_GB2312" w:hAnsi="仿宋" w:eastAsia="仿宋_GB2312" w:cs="仿宋"/>
          <w:color w:val="000000"/>
          <w:sz w:val="32"/>
          <w:szCs w:val="32"/>
          <w:lang w:val="zh-CN"/>
        </w:rPr>
        <w:t>1.一般公共财政支出实际完成771699万元，其中：一般公共财政支出668820万元；较上年（607916）同比增加60904万元，与上年同比增长10.02%。上解上级支出29543万元（体制上解支出7000万元、专项上解支出22543万元）；债务</w:t>
      </w:r>
      <w:r>
        <w:rPr>
          <w:rFonts w:hint="eastAsia" w:ascii="仿宋_GB2312" w:hAnsi="仿宋" w:eastAsia="仿宋_GB2312" w:cs="仿宋"/>
          <w:color w:val="000000"/>
          <w:sz w:val="32"/>
          <w:szCs w:val="32"/>
        </w:rPr>
        <w:t>还本支出73336万元</w:t>
      </w:r>
      <w:r>
        <w:rPr>
          <w:rFonts w:hint="eastAsia" w:ascii="仿宋_GB2312" w:hAnsi="仿宋" w:eastAsia="仿宋_GB2312" w:cs="仿宋"/>
          <w:sz w:val="32"/>
          <w:szCs w:val="32"/>
        </w:rPr>
        <w:t>（再融资债券还本47500万元，自有财力还本25836万元）</w:t>
      </w:r>
      <w:r>
        <w:rPr>
          <w:rFonts w:hint="eastAsia" w:ascii="仿宋_GB2312" w:hAnsi="仿宋" w:eastAsia="仿宋_GB2312" w:cs="仿宋"/>
          <w:color w:val="000000"/>
          <w:sz w:val="32"/>
          <w:szCs w:val="32"/>
        </w:rPr>
        <w:t>；安排预算稳定调节基金0万元。</w:t>
      </w:r>
    </w:p>
    <w:p w14:paraId="205D7D4D">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lang w:val="zh-CN"/>
        </w:rPr>
        <w:t>2. 政府性基金支出实际完成416192万元，其中：政府性基金支出387675万元；与上年（427733）同比减少40058万元，与上年同比减少9.37%；债务</w:t>
      </w:r>
      <w:r>
        <w:rPr>
          <w:rFonts w:hint="eastAsia" w:ascii="仿宋_GB2312" w:hAnsi="仿宋" w:eastAsia="仿宋_GB2312" w:cs="仿宋"/>
          <w:color w:val="000000"/>
          <w:sz w:val="32"/>
          <w:szCs w:val="32"/>
        </w:rPr>
        <w:t>还本支出</w:t>
      </w:r>
      <w:r>
        <w:rPr>
          <w:rFonts w:hint="eastAsia" w:ascii="仿宋_GB2312" w:hAnsi="仿宋" w:eastAsia="仿宋_GB2312" w:cs="仿宋"/>
          <w:sz w:val="32"/>
          <w:szCs w:val="32"/>
        </w:rPr>
        <w:t>28517万元（再融资债券还本8000万元，自有财力还本20517万元）</w:t>
      </w:r>
      <w:r>
        <w:rPr>
          <w:rFonts w:hint="eastAsia" w:ascii="仿宋_GB2312" w:hAnsi="仿宋" w:eastAsia="仿宋_GB2312" w:cs="仿宋"/>
          <w:color w:val="000000"/>
          <w:sz w:val="32"/>
          <w:szCs w:val="32"/>
        </w:rPr>
        <w:t>。</w:t>
      </w:r>
    </w:p>
    <w:p w14:paraId="5EDC3CFC">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lang w:val="zh-CN"/>
        </w:rPr>
        <w:t>3.国有资本经营支出实际完成416万元，其中：国有资本经营预算支出293万元；调出资金123万元（调入一般公共预算123万元）。</w:t>
      </w:r>
    </w:p>
    <w:p w14:paraId="288BD96B">
      <w:pPr>
        <w:spacing w:line="540" w:lineRule="exact"/>
        <w:ind w:firstLine="643" w:firstLineChars="200"/>
        <w:rPr>
          <w:rFonts w:ascii="仿宋_GB2312" w:hAnsi="仿宋" w:eastAsia="仿宋_GB2312"/>
          <w:b/>
          <w:bCs/>
          <w:color w:val="000000"/>
          <w:sz w:val="32"/>
          <w:szCs w:val="32"/>
          <w:lang w:val="zh-CN"/>
        </w:rPr>
      </w:pPr>
      <w:r>
        <w:rPr>
          <w:rFonts w:hint="eastAsia" w:ascii="仿宋_GB2312" w:hAnsi="仿宋" w:eastAsia="仿宋_GB2312" w:cs="仿宋"/>
          <w:b/>
          <w:bCs/>
          <w:color w:val="000000"/>
          <w:sz w:val="32"/>
          <w:szCs w:val="32"/>
          <w:lang w:val="zh-CN"/>
        </w:rPr>
        <w:t>（二）按预算级次分解为：</w:t>
      </w:r>
    </w:p>
    <w:p w14:paraId="7E1E9703">
      <w:pPr>
        <w:spacing w:line="540" w:lineRule="exact"/>
        <w:ind w:firstLine="643" w:firstLineChars="200"/>
        <w:rPr>
          <w:rFonts w:ascii="仿宋_GB2312" w:hAnsi="仿宋" w:eastAsia="仿宋_GB2312"/>
          <w:color w:val="000000"/>
          <w:sz w:val="32"/>
          <w:szCs w:val="32"/>
          <w:lang w:val="zh-CN"/>
        </w:rPr>
      </w:pPr>
      <w:r>
        <w:rPr>
          <w:rFonts w:hint="eastAsia" w:ascii="仿宋_GB2312" w:hAnsi="仿宋" w:eastAsia="仿宋_GB2312" w:cs="仿宋"/>
          <w:b/>
          <w:bCs/>
          <w:color w:val="000000"/>
          <w:sz w:val="32"/>
          <w:szCs w:val="32"/>
          <w:lang w:val="zh-CN"/>
        </w:rPr>
        <w:t>1.市本级全年实际完成地方财政支出1122623万元</w:t>
      </w:r>
      <w:r>
        <w:rPr>
          <w:rFonts w:hint="eastAsia" w:ascii="仿宋_GB2312" w:hAnsi="仿宋" w:eastAsia="仿宋_GB2312" w:cs="仿宋"/>
          <w:color w:val="000000"/>
          <w:sz w:val="32"/>
          <w:szCs w:val="32"/>
          <w:lang w:val="zh-CN"/>
        </w:rPr>
        <w:t>，其中：</w:t>
      </w:r>
    </w:p>
    <w:p w14:paraId="0B36AEA9">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lang w:val="zh-CN"/>
        </w:rPr>
        <w:t>（1）一般公共财政支出实际完成720005万元，其中：一般公共财政支出619226万元；上解上级支出29543万元（体制上解支出7000万元、专项上解支出22543万元）；债务</w:t>
      </w:r>
      <w:r>
        <w:rPr>
          <w:rFonts w:hint="eastAsia" w:ascii="仿宋_GB2312" w:hAnsi="仿宋" w:eastAsia="仿宋_GB2312" w:cs="仿宋"/>
          <w:color w:val="000000"/>
          <w:sz w:val="32"/>
          <w:szCs w:val="32"/>
        </w:rPr>
        <w:t>还本支出71236万元（</w:t>
      </w:r>
      <w:r>
        <w:rPr>
          <w:rFonts w:hint="eastAsia" w:ascii="仿宋_GB2312" w:hAnsi="仿宋" w:eastAsia="仿宋_GB2312" w:cs="仿宋"/>
          <w:sz w:val="32"/>
          <w:szCs w:val="32"/>
        </w:rPr>
        <w:t>再融资债券还本46500万元，自有财力还本24736万元</w:t>
      </w:r>
      <w:r>
        <w:rPr>
          <w:rFonts w:hint="eastAsia" w:ascii="仿宋_GB2312" w:hAnsi="仿宋" w:eastAsia="仿宋_GB2312" w:cs="仿宋"/>
          <w:color w:val="000000"/>
          <w:sz w:val="32"/>
          <w:szCs w:val="32"/>
        </w:rPr>
        <w:t>）；安排预算稳定调节基金0万元。</w:t>
      </w:r>
    </w:p>
    <w:p w14:paraId="6678EB11">
      <w:pPr>
        <w:spacing w:line="540" w:lineRule="exact"/>
        <w:ind w:firstLine="640" w:firstLineChars="200"/>
        <w:rPr>
          <w:rFonts w:ascii="仿宋_GB2312" w:hAnsi="仿宋" w:eastAsia="仿宋_GB2312" w:cs="仿宋"/>
          <w:color w:val="000000"/>
          <w:sz w:val="32"/>
          <w:szCs w:val="32"/>
          <w:lang w:val="zh-CN"/>
        </w:rPr>
      </w:pPr>
      <w:r>
        <w:rPr>
          <w:rFonts w:hint="eastAsia" w:ascii="仿宋_GB2312" w:hAnsi="仿宋" w:eastAsia="仿宋_GB2312" w:cs="仿宋"/>
          <w:color w:val="000000"/>
          <w:sz w:val="32"/>
          <w:szCs w:val="32"/>
          <w:lang w:val="zh-CN"/>
        </w:rPr>
        <w:t>（2）政府性基金支出实际完成402202万元，其中：政府性基金支出385239万元；债务</w:t>
      </w:r>
      <w:r>
        <w:rPr>
          <w:rFonts w:hint="eastAsia" w:ascii="仿宋_GB2312" w:hAnsi="仿宋" w:eastAsia="仿宋_GB2312" w:cs="仿宋"/>
          <w:color w:val="000000"/>
          <w:sz w:val="32"/>
          <w:szCs w:val="32"/>
        </w:rPr>
        <w:t>还本支出</w:t>
      </w:r>
      <w:r>
        <w:rPr>
          <w:rFonts w:hint="eastAsia" w:ascii="仿宋_GB2312" w:hAnsi="仿宋" w:eastAsia="仿宋_GB2312" w:cs="仿宋"/>
          <w:sz w:val="32"/>
          <w:szCs w:val="32"/>
        </w:rPr>
        <w:t>16963万元</w:t>
      </w:r>
      <w:r>
        <w:rPr>
          <w:rFonts w:hint="eastAsia" w:ascii="仿宋_GB2312" w:hAnsi="仿宋" w:eastAsia="仿宋_GB2312" w:cs="仿宋"/>
          <w:color w:val="00B050"/>
          <w:sz w:val="32"/>
          <w:szCs w:val="32"/>
        </w:rPr>
        <w:t>（</w:t>
      </w:r>
      <w:r>
        <w:rPr>
          <w:rFonts w:hint="eastAsia" w:ascii="仿宋_GB2312" w:hAnsi="仿宋" w:eastAsia="仿宋_GB2312" w:cs="仿宋"/>
          <w:sz w:val="32"/>
          <w:szCs w:val="32"/>
        </w:rPr>
        <w:t>再融资债券还本7100万元，自有财力还本9863万元</w:t>
      </w:r>
      <w:r>
        <w:rPr>
          <w:rFonts w:hint="eastAsia" w:ascii="仿宋_GB2312" w:hAnsi="仿宋" w:eastAsia="仿宋_GB2312" w:cs="仿宋"/>
          <w:color w:val="00B050"/>
          <w:sz w:val="32"/>
          <w:szCs w:val="32"/>
        </w:rPr>
        <w:t>）</w:t>
      </w:r>
      <w:r>
        <w:rPr>
          <w:rFonts w:hint="eastAsia" w:ascii="仿宋_GB2312" w:hAnsi="仿宋" w:eastAsia="仿宋_GB2312" w:cs="仿宋"/>
          <w:color w:val="000000"/>
          <w:sz w:val="32"/>
          <w:szCs w:val="32"/>
        </w:rPr>
        <w:t>。</w:t>
      </w:r>
    </w:p>
    <w:p w14:paraId="4EC77288">
      <w:pPr>
        <w:spacing w:line="540" w:lineRule="exact"/>
        <w:ind w:firstLine="640" w:firstLineChars="200"/>
        <w:rPr>
          <w:rFonts w:ascii="仿宋_GB2312" w:hAnsi="仿宋" w:eastAsia="仿宋_GB2312"/>
          <w:color w:val="000000"/>
          <w:sz w:val="32"/>
          <w:szCs w:val="32"/>
          <w:lang w:val="zh-CN"/>
        </w:rPr>
      </w:pPr>
      <w:r>
        <w:rPr>
          <w:rFonts w:hint="eastAsia" w:ascii="仿宋_GB2312" w:hAnsi="仿宋" w:eastAsia="仿宋_GB2312" w:cs="仿宋"/>
          <w:color w:val="000000"/>
          <w:sz w:val="32"/>
          <w:szCs w:val="32"/>
          <w:lang w:val="zh-CN"/>
        </w:rPr>
        <w:t>（3）国有资本经营支出实际完成416万元，其中：国有资本经营预算支出293万元；调出资金123万元（调入一般公共预算123万元）。</w:t>
      </w:r>
    </w:p>
    <w:p w14:paraId="1453B501">
      <w:pPr>
        <w:spacing w:line="540" w:lineRule="exact"/>
        <w:ind w:firstLine="643" w:firstLineChars="200"/>
        <w:rPr>
          <w:rFonts w:ascii="仿宋_GB2312" w:hAnsi="仿宋" w:eastAsia="仿宋_GB2312"/>
          <w:color w:val="000000"/>
          <w:sz w:val="32"/>
          <w:szCs w:val="32"/>
          <w:lang w:val="zh-CN"/>
        </w:rPr>
      </w:pPr>
      <w:r>
        <w:rPr>
          <w:rFonts w:hint="eastAsia" w:ascii="仿宋_GB2312" w:hAnsi="仿宋" w:eastAsia="仿宋_GB2312" w:cs="仿宋"/>
          <w:b/>
          <w:bCs/>
          <w:color w:val="000000"/>
          <w:sz w:val="32"/>
          <w:szCs w:val="32"/>
          <w:lang w:val="zh-CN"/>
        </w:rPr>
        <w:t>2.高新区全年实际完成地方财政支出65684万元</w:t>
      </w:r>
      <w:r>
        <w:rPr>
          <w:rFonts w:hint="eastAsia" w:ascii="仿宋_GB2312" w:hAnsi="仿宋" w:eastAsia="仿宋_GB2312" w:cs="仿宋"/>
          <w:color w:val="000000"/>
          <w:sz w:val="32"/>
          <w:szCs w:val="32"/>
          <w:lang w:val="zh-CN"/>
        </w:rPr>
        <w:t>，其中：</w:t>
      </w:r>
    </w:p>
    <w:p w14:paraId="59C1D60B">
      <w:pPr>
        <w:spacing w:line="540" w:lineRule="exact"/>
        <w:ind w:firstLine="640" w:firstLineChars="200"/>
        <w:rPr>
          <w:rFonts w:ascii="仿宋_GB2312" w:hAnsi="仿宋" w:eastAsia="仿宋_GB2312" w:cs="仿宋"/>
          <w:color w:val="000000"/>
          <w:sz w:val="32"/>
          <w:szCs w:val="32"/>
          <w:lang w:val="zh-CN"/>
        </w:rPr>
      </w:pPr>
      <w:r>
        <w:rPr>
          <w:rFonts w:hint="eastAsia" w:ascii="仿宋_GB2312" w:hAnsi="仿宋" w:eastAsia="仿宋_GB2312" w:cs="仿宋"/>
          <w:color w:val="000000"/>
          <w:sz w:val="32"/>
          <w:szCs w:val="32"/>
          <w:lang w:val="zh-CN"/>
        </w:rPr>
        <w:t>（1）一般公共财政支出实际完成51694万元</w:t>
      </w:r>
      <w:r>
        <w:rPr>
          <w:rFonts w:hint="eastAsia" w:ascii="仿宋_GB2312" w:hAnsi="仿宋" w:eastAsia="仿宋_GB2312" w:cs="仿宋"/>
          <w:color w:val="000000"/>
          <w:sz w:val="32"/>
          <w:szCs w:val="32"/>
        </w:rPr>
        <w:t>。其中：</w:t>
      </w:r>
      <w:r>
        <w:rPr>
          <w:rFonts w:hint="eastAsia" w:ascii="仿宋_GB2312" w:hAnsi="仿宋" w:eastAsia="仿宋_GB2312" w:cs="仿宋"/>
          <w:color w:val="000000"/>
          <w:sz w:val="32"/>
          <w:szCs w:val="32"/>
          <w:lang w:val="zh-CN"/>
        </w:rPr>
        <w:t>一般公共财政支出49594万元；债务</w:t>
      </w:r>
      <w:r>
        <w:rPr>
          <w:rFonts w:hint="eastAsia" w:ascii="仿宋_GB2312" w:hAnsi="仿宋" w:eastAsia="仿宋_GB2312" w:cs="仿宋"/>
          <w:color w:val="000000"/>
          <w:sz w:val="32"/>
          <w:szCs w:val="32"/>
        </w:rPr>
        <w:t>还本支出2100万元</w:t>
      </w:r>
      <w:r>
        <w:rPr>
          <w:rFonts w:hint="eastAsia" w:ascii="仿宋_GB2312" w:hAnsi="仿宋" w:eastAsia="仿宋_GB2312" w:cs="仿宋"/>
          <w:sz w:val="32"/>
          <w:szCs w:val="32"/>
        </w:rPr>
        <w:t>（再融资债券还本1000万元，自有财力还本1100万元）</w:t>
      </w:r>
      <w:r>
        <w:rPr>
          <w:rFonts w:hint="eastAsia" w:ascii="仿宋_GB2312" w:hAnsi="仿宋" w:eastAsia="仿宋_GB2312" w:cs="仿宋"/>
          <w:color w:val="000000"/>
          <w:sz w:val="32"/>
          <w:szCs w:val="32"/>
        </w:rPr>
        <w:t>。</w:t>
      </w:r>
    </w:p>
    <w:p w14:paraId="783FA7B4">
      <w:pPr>
        <w:spacing w:line="540" w:lineRule="exact"/>
        <w:ind w:firstLine="640" w:firstLineChars="200"/>
        <w:rPr>
          <w:rFonts w:ascii="仿宋_GB2312" w:hAnsi="仿宋" w:eastAsia="仿宋_GB2312" w:cs="仿宋"/>
          <w:color w:val="000000"/>
          <w:sz w:val="32"/>
          <w:szCs w:val="32"/>
        </w:rPr>
      </w:pPr>
      <w:r>
        <w:rPr>
          <w:rFonts w:hint="eastAsia" w:ascii="仿宋_GB2312" w:hAnsi="仿宋" w:eastAsia="仿宋_GB2312" w:cs="仿宋"/>
          <w:color w:val="000000"/>
          <w:sz w:val="32"/>
          <w:szCs w:val="32"/>
          <w:lang w:val="zh-CN"/>
        </w:rPr>
        <w:t>（2）政府性基金支出实际完成13990万元，其中：政府性基金预算支出2436万元；债务</w:t>
      </w:r>
      <w:r>
        <w:rPr>
          <w:rFonts w:hint="eastAsia" w:ascii="仿宋_GB2312" w:hAnsi="仿宋" w:eastAsia="仿宋_GB2312" w:cs="仿宋"/>
          <w:color w:val="000000"/>
          <w:sz w:val="32"/>
          <w:szCs w:val="32"/>
        </w:rPr>
        <w:t>还本支出</w:t>
      </w:r>
      <w:r>
        <w:rPr>
          <w:rFonts w:hint="eastAsia" w:ascii="仿宋_GB2312" w:hAnsi="仿宋" w:eastAsia="仿宋_GB2312" w:cs="仿宋"/>
          <w:sz w:val="32"/>
          <w:szCs w:val="32"/>
        </w:rPr>
        <w:t>11554万元（再融资债券还本900万元，自有财力还本10654万元）</w:t>
      </w:r>
      <w:r>
        <w:rPr>
          <w:rFonts w:hint="eastAsia" w:ascii="仿宋_GB2312" w:hAnsi="仿宋" w:eastAsia="仿宋_GB2312" w:cs="仿宋"/>
          <w:color w:val="000000"/>
          <w:sz w:val="32"/>
          <w:szCs w:val="32"/>
        </w:rPr>
        <w:t>。</w:t>
      </w:r>
    </w:p>
    <w:p w14:paraId="49F9A030">
      <w:pPr>
        <w:widowControl/>
        <w:jc w:val="left"/>
        <w:rPr>
          <w:rFonts w:ascii="仿宋_GB2312" w:hAnsi="仿宋" w:eastAsia="仿宋_GB2312" w:cs="仿宋"/>
          <w:color w:val="000000"/>
          <w:sz w:val="32"/>
          <w:szCs w:val="32"/>
        </w:rPr>
      </w:pPr>
      <w:r>
        <w:rPr>
          <w:rFonts w:ascii="仿宋_GB2312" w:hAnsi="仿宋" w:eastAsia="仿宋_GB2312" w:cs="仿宋"/>
          <w:color w:val="000000"/>
          <w:sz w:val="32"/>
          <w:szCs w:val="32"/>
        </w:rPr>
        <w:br w:type="page"/>
      </w:r>
    </w:p>
    <w:p w14:paraId="516DEB06">
      <w:pPr>
        <w:spacing w:line="540" w:lineRule="exact"/>
        <w:ind w:firstLine="640" w:firstLineChars="200"/>
        <w:rPr>
          <w:rFonts w:ascii="仿宋_GB2312" w:hAnsi="仿宋" w:eastAsia="仿宋_GB2312" w:cs="仿宋"/>
          <w:color w:val="000000"/>
          <w:sz w:val="32"/>
          <w:szCs w:val="32"/>
          <w:lang w:val="zh-CN"/>
        </w:rPr>
      </w:pPr>
    </w:p>
    <w:p w14:paraId="4AA42756">
      <w:pPr>
        <w:jc w:val="center"/>
        <w:rPr>
          <w:rFonts w:ascii="仿宋_GB2312" w:hAnsi="仿宋" w:eastAsia="仿宋_GB2312"/>
          <w:b/>
          <w:sz w:val="32"/>
          <w:szCs w:val="32"/>
          <w:lang w:val="zh-CN"/>
        </w:rPr>
      </w:pPr>
      <w:r>
        <w:rPr>
          <w:rFonts w:hint="eastAsia" w:ascii="仿宋_GB2312" w:hAnsi="仿宋" w:eastAsia="仿宋_GB2312"/>
          <w:b/>
          <w:sz w:val="32"/>
          <w:szCs w:val="32"/>
          <w:lang w:val="zh-CN"/>
        </w:rPr>
        <w:t>2021年昌吉市一般公共预算支出结构表</w:t>
      </w:r>
    </w:p>
    <w:p w14:paraId="68DE2FE1">
      <w:pPr>
        <w:rPr>
          <w:rFonts w:ascii="仿宋_GB2312" w:hAnsi="仿宋" w:eastAsia="仿宋_GB2312"/>
        </w:rPr>
      </w:pPr>
      <w:r>
        <w:rPr>
          <w:rFonts w:hint="eastAsia" w:ascii="仿宋_GB2312" w:hAnsi="仿宋" w:eastAsia="仿宋_GB2312"/>
        </w:rPr>
        <w:drawing>
          <wp:inline distT="0" distB="0" distL="0" distR="0">
            <wp:extent cx="11610975" cy="5943600"/>
            <wp:effectExtent l="0" t="0" r="9525" b="19050"/>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57369F00">
      <w:pPr>
        <w:spacing w:line="540" w:lineRule="exact"/>
        <w:ind w:firstLine="643" w:firstLineChars="200"/>
        <w:rPr>
          <w:rFonts w:ascii="仿宋_GB2312" w:hAnsi="仿宋" w:eastAsia="仿宋_GB2312"/>
          <w:b/>
          <w:bCs/>
          <w:sz w:val="32"/>
          <w:szCs w:val="32"/>
          <w:lang w:val="zh-CN"/>
        </w:rPr>
      </w:pPr>
      <w:r>
        <w:rPr>
          <w:rFonts w:hint="eastAsia" w:ascii="仿宋_GB2312" w:hAnsi="仿宋" w:eastAsia="仿宋_GB2312" w:cs="仿宋"/>
          <w:b/>
          <w:bCs/>
          <w:sz w:val="32"/>
          <w:szCs w:val="32"/>
          <w:lang w:val="zh-CN"/>
        </w:rPr>
        <w:t>三、财政收支平衡情况</w:t>
      </w:r>
    </w:p>
    <w:p w14:paraId="15EBE0A9">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sz w:val="32"/>
          <w:szCs w:val="32"/>
          <w:lang w:val="zh-CN"/>
        </w:rPr>
        <w:t>2021年全年实际完成地方财政收入</w:t>
      </w:r>
      <w:r>
        <w:rPr>
          <w:rFonts w:ascii="仿宋_GB2312" w:hAnsi="仿宋" w:eastAsia="仿宋_GB2312" w:cs="仿宋"/>
          <w:sz w:val="32"/>
          <w:szCs w:val="32"/>
          <w:lang w:val="zh-CN"/>
        </w:rPr>
        <w:t>1240493</w:t>
      </w:r>
      <w:r>
        <w:rPr>
          <w:rFonts w:hint="eastAsia" w:ascii="仿宋_GB2312" w:hAnsi="仿宋" w:eastAsia="仿宋_GB2312" w:cs="仿宋"/>
          <w:sz w:val="32"/>
          <w:szCs w:val="32"/>
          <w:lang w:val="zh-CN"/>
        </w:rPr>
        <w:t>万元；</w:t>
      </w:r>
      <w:r>
        <w:rPr>
          <w:rFonts w:hint="eastAsia" w:ascii="仿宋_GB2312" w:hAnsi="仿宋" w:eastAsia="仿宋_GB2312" w:cs="仿宋"/>
          <w:color w:val="000000"/>
          <w:sz w:val="32"/>
          <w:szCs w:val="32"/>
          <w:lang w:val="zh-CN"/>
        </w:rPr>
        <w:t>2021 年全年实际完成地方财政支出</w:t>
      </w:r>
      <w:r>
        <w:rPr>
          <w:rFonts w:ascii="仿宋_GB2312" w:hAnsi="仿宋" w:eastAsia="仿宋_GB2312" w:cs="仿宋"/>
          <w:color w:val="000000"/>
          <w:sz w:val="32"/>
          <w:szCs w:val="32"/>
          <w:lang w:val="zh-CN"/>
        </w:rPr>
        <w:t>1188307</w:t>
      </w:r>
      <w:r>
        <w:rPr>
          <w:rFonts w:hint="eastAsia" w:ascii="仿宋_GB2312" w:hAnsi="仿宋" w:eastAsia="仿宋_GB2312" w:cs="仿宋"/>
          <w:color w:val="000000"/>
          <w:sz w:val="32"/>
          <w:szCs w:val="32"/>
          <w:lang w:val="zh-CN"/>
        </w:rPr>
        <w:t>万元；</w:t>
      </w:r>
      <w:r>
        <w:rPr>
          <w:rFonts w:hint="eastAsia" w:ascii="仿宋_GB2312" w:hAnsi="仿宋" w:eastAsia="仿宋_GB2312" w:cs="仿宋"/>
          <w:color w:val="000000"/>
          <w:sz w:val="32"/>
          <w:szCs w:val="32"/>
        </w:rPr>
        <w:t>收支相抵，滚存结余52186万元（市本级滚存结余45502万元、高新区滚存结余6684万元）。</w:t>
      </w:r>
    </w:p>
    <w:p w14:paraId="28CEF7CD">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000000"/>
          <w:sz w:val="32"/>
          <w:szCs w:val="32"/>
        </w:rPr>
        <w:t>（一）</w:t>
      </w:r>
      <w:r>
        <w:rPr>
          <w:rFonts w:hint="eastAsia" w:ascii="仿宋_GB2312" w:hAnsi="仿宋" w:eastAsia="仿宋_GB2312" w:cs="仿宋"/>
          <w:sz w:val="32"/>
          <w:szCs w:val="32"/>
          <w:lang w:val="zh-CN"/>
        </w:rPr>
        <w:t>一般公共财政收入实际完成</w:t>
      </w:r>
      <w:r>
        <w:rPr>
          <w:rFonts w:ascii="仿宋_GB2312" w:hAnsi="仿宋" w:eastAsia="仿宋_GB2312" w:cs="仿宋"/>
          <w:sz w:val="32"/>
          <w:szCs w:val="32"/>
          <w:lang w:val="zh-CN"/>
        </w:rPr>
        <w:t>816091</w:t>
      </w:r>
      <w:r>
        <w:rPr>
          <w:rFonts w:hint="eastAsia" w:ascii="仿宋_GB2312" w:hAnsi="仿宋" w:eastAsia="仿宋_GB2312" w:cs="仿宋"/>
          <w:sz w:val="32"/>
          <w:szCs w:val="32"/>
          <w:lang w:val="zh-CN"/>
        </w:rPr>
        <w:t>万元；</w:t>
      </w:r>
      <w:r>
        <w:rPr>
          <w:rFonts w:hint="eastAsia" w:ascii="仿宋_GB2312" w:hAnsi="仿宋" w:eastAsia="仿宋_GB2312" w:cs="仿宋"/>
          <w:color w:val="000000"/>
          <w:sz w:val="32"/>
          <w:szCs w:val="32"/>
          <w:lang w:val="zh-CN"/>
        </w:rPr>
        <w:t>一般公共财政支出实际完成</w:t>
      </w:r>
      <w:r>
        <w:rPr>
          <w:rFonts w:ascii="仿宋_GB2312" w:hAnsi="仿宋" w:eastAsia="仿宋_GB2312" w:cs="仿宋"/>
          <w:color w:val="000000"/>
          <w:sz w:val="32"/>
          <w:szCs w:val="32"/>
          <w:lang w:val="zh-CN"/>
        </w:rPr>
        <w:t>771699</w:t>
      </w:r>
      <w:r>
        <w:rPr>
          <w:rFonts w:hint="eastAsia" w:ascii="仿宋_GB2312" w:hAnsi="仿宋" w:eastAsia="仿宋_GB2312" w:cs="仿宋"/>
          <w:color w:val="000000"/>
          <w:sz w:val="32"/>
          <w:szCs w:val="32"/>
          <w:lang w:val="zh-CN"/>
        </w:rPr>
        <w:t>万元；</w:t>
      </w:r>
      <w:r>
        <w:rPr>
          <w:rFonts w:hint="eastAsia" w:ascii="仿宋_GB2312" w:hAnsi="仿宋" w:eastAsia="仿宋_GB2312" w:cs="仿宋"/>
          <w:color w:val="000000"/>
          <w:sz w:val="32"/>
          <w:szCs w:val="32"/>
        </w:rPr>
        <w:t>收支相抵，滚存结余44392万元（市本级滚存结余39705万元、高新区滚存结余4687万元）。</w:t>
      </w:r>
    </w:p>
    <w:p w14:paraId="2B3A32E5">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000000"/>
          <w:sz w:val="32"/>
          <w:szCs w:val="32"/>
        </w:rPr>
        <w:t>（二）</w:t>
      </w:r>
      <w:r>
        <w:rPr>
          <w:rFonts w:hint="eastAsia" w:ascii="仿宋_GB2312" w:hAnsi="仿宋" w:eastAsia="仿宋_GB2312" w:cs="仿宋"/>
          <w:sz w:val="32"/>
          <w:szCs w:val="32"/>
          <w:lang w:val="zh-CN"/>
        </w:rPr>
        <w:t>政府性基金收入实际完成</w:t>
      </w:r>
      <w:r>
        <w:rPr>
          <w:rFonts w:ascii="仿宋_GB2312" w:hAnsi="仿宋" w:eastAsia="仿宋_GB2312" w:cs="仿宋"/>
          <w:sz w:val="32"/>
          <w:szCs w:val="32"/>
          <w:lang w:val="zh-CN"/>
        </w:rPr>
        <w:t>423743</w:t>
      </w:r>
      <w:r>
        <w:rPr>
          <w:rFonts w:hint="eastAsia" w:ascii="仿宋_GB2312" w:hAnsi="仿宋" w:eastAsia="仿宋_GB2312" w:cs="仿宋"/>
          <w:sz w:val="32"/>
          <w:szCs w:val="32"/>
          <w:lang w:val="zh-CN"/>
        </w:rPr>
        <w:t>万元；</w:t>
      </w:r>
      <w:r>
        <w:rPr>
          <w:rFonts w:hint="eastAsia" w:ascii="仿宋_GB2312" w:hAnsi="仿宋" w:eastAsia="仿宋_GB2312" w:cs="仿宋"/>
          <w:color w:val="000000"/>
          <w:sz w:val="32"/>
          <w:szCs w:val="32"/>
          <w:lang w:val="zh-CN"/>
        </w:rPr>
        <w:t>政府性基金支出实际完成</w:t>
      </w:r>
      <w:r>
        <w:rPr>
          <w:rFonts w:ascii="仿宋_GB2312" w:hAnsi="仿宋" w:eastAsia="仿宋_GB2312" w:cs="仿宋"/>
          <w:color w:val="000000"/>
          <w:sz w:val="32"/>
          <w:szCs w:val="32"/>
          <w:lang w:val="zh-CN"/>
        </w:rPr>
        <w:t>416192</w:t>
      </w:r>
      <w:r>
        <w:rPr>
          <w:rFonts w:hint="eastAsia" w:ascii="仿宋_GB2312" w:hAnsi="仿宋" w:eastAsia="仿宋_GB2312" w:cs="仿宋"/>
          <w:color w:val="000000"/>
          <w:sz w:val="32"/>
          <w:szCs w:val="32"/>
          <w:lang w:val="zh-CN"/>
        </w:rPr>
        <w:t>万元；</w:t>
      </w:r>
      <w:r>
        <w:rPr>
          <w:rFonts w:hint="eastAsia" w:ascii="仿宋_GB2312" w:hAnsi="仿宋" w:eastAsia="仿宋_GB2312" w:cs="仿宋"/>
          <w:color w:val="000000"/>
          <w:sz w:val="32"/>
          <w:szCs w:val="32"/>
        </w:rPr>
        <w:t>收支相抵，滚存结余7551万元（市本级滚存结余5554万元、高新区滚存结余1997万元）。</w:t>
      </w:r>
    </w:p>
    <w:p w14:paraId="328CECE6">
      <w:pPr>
        <w:spacing w:line="540" w:lineRule="exact"/>
        <w:ind w:firstLine="640" w:firstLineChars="200"/>
        <w:rPr>
          <w:rFonts w:ascii="仿宋_GB2312" w:hAnsi="仿宋" w:eastAsia="仿宋_GB2312"/>
          <w:color w:val="000000"/>
          <w:sz w:val="32"/>
          <w:szCs w:val="32"/>
        </w:rPr>
      </w:pPr>
      <w:r>
        <w:rPr>
          <w:rFonts w:hint="eastAsia" w:ascii="仿宋_GB2312" w:hAnsi="仿宋" w:eastAsia="仿宋_GB2312" w:cs="仿宋"/>
          <w:color w:val="000000"/>
          <w:sz w:val="32"/>
          <w:szCs w:val="32"/>
        </w:rPr>
        <w:t>（三）</w:t>
      </w:r>
      <w:r>
        <w:rPr>
          <w:rFonts w:hint="eastAsia" w:ascii="仿宋_GB2312" w:hAnsi="仿宋" w:eastAsia="仿宋_GB2312" w:cs="仿宋"/>
          <w:sz w:val="32"/>
          <w:szCs w:val="32"/>
          <w:lang w:val="zh-CN"/>
        </w:rPr>
        <w:t>国有资本经营收入实际完成</w:t>
      </w:r>
      <w:r>
        <w:rPr>
          <w:rFonts w:ascii="仿宋_GB2312" w:hAnsi="仿宋" w:eastAsia="仿宋_GB2312" w:cs="仿宋"/>
          <w:sz w:val="32"/>
          <w:szCs w:val="32"/>
          <w:lang w:val="zh-CN"/>
        </w:rPr>
        <w:t>659</w:t>
      </w:r>
      <w:r>
        <w:rPr>
          <w:rFonts w:hint="eastAsia" w:ascii="仿宋_GB2312" w:hAnsi="仿宋" w:eastAsia="仿宋_GB2312" w:cs="仿宋"/>
          <w:sz w:val="32"/>
          <w:szCs w:val="32"/>
          <w:lang w:val="zh-CN"/>
        </w:rPr>
        <w:t>万元；</w:t>
      </w:r>
      <w:r>
        <w:rPr>
          <w:rFonts w:hint="eastAsia" w:ascii="仿宋_GB2312" w:hAnsi="仿宋" w:eastAsia="仿宋_GB2312" w:cs="仿宋"/>
          <w:color w:val="000000"/>
          <w:sz w:val="32"/>
          <w:szCs w:val="32"/>
          <w:lang w:val="zh-CN"/>
        </w:rPr>
        <w:t>国有资本经营支出实际完成</w:t>
      </w:r>
      <w:r>
        <w:rPr>
          <w:rFonts w:ascii="仿宋_GB2312" w:hAnsi="仿宋" w:eastAsia="仿宋_GB2312" w:cs="仿宋"/>
          <w:color w:val="000000"/>
          <w:sz w:val="32"/>
          <w:szCs w:val="32"/>
          <w:lang w:val="zh-CN"/>
        </w:rPr>
        <w:t>416</w:t>
      </w:r>
      <w:r>
        <w:rPr>
          <w:rFonts w:hint="eastAsia" w:ascii="仿宋_GB2312" w:hAnsi="仿宋" w:eastAsia="仿宋_GB2312" w:cs="仿宋"/>
          <w:color w:val="000000"/>
          <w:sz w:val="32"/>
          <w:szCs w:val="32"/>
          <w:lang w:val="zh-CN"/>
        </w:rPr>
        <w:t>万元；</w:t>
      </w:r>
      <w:r>
        <w:rPr>
          <w:rFonts w:hint="eastAsia" w:ascii="仿宋_GB2312" w:hAnsi="仿宋" w:eastAsia="仿宋_GB2312" w:cs="仿宋"/>
          <w:color w:val="000000"/>
          <w:sz w:val="32"/>
          <w:szCs w:val="32"/>
        </w:rPr>
        <w:t>收支相抵，滚存结余243万元（市本级滚存结余243万元、高新区滚存结余0万元）。</w:t>
      </w:r>
    </w:p>
    <w:p w14:paraId="3CF019AA">
      <w:pPr>
        <w:spacing w:line="4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四、公共预算结转的说明</w:t>
      </w:r>
    </w:p>
    <w:p w14:paraId="09E15445">
      <w:pPr>
        <w:spacing w:line="460" w:lineRule="exact"/>
        <w:ind w:firstLine="640" w:firstLineChars="200"/>
        <w:rPr>
          <w:rFonts w:ascii="仿宋_GB2312" w:hAnsi="仿宋" w:eastAsia="仿宋_GB2312"/>
          <w:sz w:val="32"/>
          <w:szCs w:val="32"/>
        </w:rPr>
      </w:pPr>
      <w:r>
        <w:rPr>
          <w:rFonts w:hint="eastAsia" w:ascii="仿宋_GB2312" w:hAnsi="仿宋" w:eastAsia="仿宋_GB2312"/>
          <w:sz w:val="32"/>
          <w:szCs w:val="32"/>
        </w:rPr>
        <w:t>昌吉市公共预算结转44392万元，其中：一般公共服务支出429万元，公共安全支出737万元，教育支出8849万元，科学技术支出55万元，文化旅游体育与传媒支出48万元，社会保障和就业支出1771万元，卫生健康支出273万元，节能环保支出2168万元，城乡社区支出4000万元，农林水支出13832万元，交通运输支出938万元，资源勘探工业信息等支出3772万元，商业服务业等支出178万元，自然资源海洋气象等支出4万元，住房保障支出969万元，粮油物资储备支出2930万元，灾难防治及应急管理支出51万元，其他支出3388万元。</w:t>
      </w:r>
    </w:p>
    <w:p w14:paraId="65B1C9B6">
      <w:pPr>
        <w:spacing w:line="460" w:lineRule="exact"/>
        <w:ind w:firstLine="643" w:firstLineChars="200"/>
        <w:rPr>
          <w:rFonts w:ascii="仿宋_GB2312" w:hAnsi="仿宋" w:eastAsia="仿宋_GB2312"/>
          <w:b/>
          <w:sz w:val="32"/>
          <w:szCs w:val="32"/>
        </w:rPr>
      </w:pPr>
      <w:r>
        <w:rPr>
          <w:rFonts w:hint="eastAsia" w:ascii="仿宋_GB2312" w:hAnsi="仿宋" w:eastAsia="仿宋_GB2312"/>
          <w:b/>
          <w:sz w:val="32"/>
          <w:szCs w:val="32"/>
        </w:rPr>
        <w:t>五、财政供养人员情况说明</w:t>
      </w:r>
    </w:p>
    <w:p w14:paraId="7E11C58D">
      <w:pPr>
        <w:snapToGrid w:val="0"/>
        <w:spacing w:line="500" w:lineRule="exact"/>
        <w:ind w:firstLine="640" w:firstLineChars="200"/>
        <w:rPr>
          <w:rFonts w:ascii="仿宋_GB2312" w:hAnsi="仿宋" w:eastAsia="仿宋_GB2312"/>
          <w:sz w:val="32"/>
          <w:szCs w:val="32"/>
        </w:rPr>
      </w:pPr>
      <w:r>
        <w:rPr>
          <w:rFonts w:hint="eastAsia" w:ascii="仿宋_GB2312" w:hAnsi="仿宋" w:eastAsia="仿宋_GB2312"/>
          <w:sz w:val="32"/>
          <w:szCs w:val="32"/>
        </w:rPr>
        <w:t>2021年年末人数为9640人，与上年同比增加516人，增加原因是有调入和特岗教师转在编人员。其中：2021年在职人数9633人，与上年同比增加517人；离休7人，与上年同比减少1人。</w:t>
      </w:r>
    </w:p>
    <w:p w14:paraId="3950C740">
      <w:pPr>
        <w:spacing w:line="540" w:lineRule="exact"/>
        <w:ind w:firstLine="643" w:firstLineChars="200"/>
        <w:rPr>
          <w:rFonts w:ascii="仿宋_GB2312" w:hAnsi="仿宋" w:eastAsia="仿宋_GB2312" w:cs="宋体"/>
          <w:b/>
          <w:sz w:val="32"/>
          <w:szCs w:val="32"/>
          <w:lang w:val="zh-CN"/>
        </w:rPr>
      </w:pPr>
      <w:r>
        <w:rPr>
          <w:rFonts w:hint="eastAsia" w:ascii="仿宋_GB2312" w:hAnsi="仿宋" w:eastAsia="仿宋_GB2312" w:cs="宋体"/>
          <w:b/>
          <w:sz w:val="32"/>
          <w:szCs w:val="32"/>
        </w:rPr>
        <w:t>六、</w:t>
      </w:r>
      <w:r>
        <w:rPr>
          <w:rFonts w:hint="eastAsia" w:ascii="仿宋_GB2312" w:hAnsi="仿宋" w:eastAsia="仿宋_GB2312" w:cs="宋体"/>
          <w:b/>
          <w:sz w:val="32"/>
          <w:szCs w:val="32"/>
          <w:lang w:val="zh-CN"/>
        </w:rPr>
        <w:t>2022年昌吉市财政主要工作任务</w:t>
      </w:r>
    </w:p>
    <w:p w14:paraId="19189EE9">
      <w:pPr>
        <w:spacing w:line="520" w:lineRule="exact"/>
        <w:ind w:firstLine="643" w:firstLineChars="200"/>
        <w:rPr>
          <w:rFonts w:ascii="仿宋_GB2312" w:hAnsi="仿宋" w:eastAsia="仿宋_GB2312"/>
          <w:b/>
          <w:color w:val="000000"/>
          <w:sz w:val="32"/>
          <w:szCs w:val="32"/>
        </w:rPr>
      </w:pPr>
      <w:r>
        <w:rPr>
          <w:rFonts w:hint="eastAsia" w:ascii="仿宋_GB2312" w:hAnsi="仿宋" w:eastAsia="仿宋_GB2312" w:cs="黑体"/>
          <w:b/>
          <w:bCs/>
          <w:color w:val="000000"/>
          <w:sz w:val="32"/>
          <w:szCs w:val="32"/>
        </w:rPr>
        <w:t>（一）积极关注国家政策导向  坚持经济高质量发展</w:t>
      </w:r>
    </w:p>
    <w:p w14:paraId="48734605">
      <w:pPr>
        <w:spacing w:line="520" w:lineRule="exact"/>
        <w:ind w:firstLine="643" w:firstLineChars="200"/>
        <w:rPr>
          <w:rFonts w:ascii="仿宋_GB2312" w:hAnsi="仿宋" w:eastAsia="仿宋_GB2312" w:cs="黑体"/>
          <w:b/>
          <w:bCs/>
          <w:color w:val="000000"/>
          <w:sz w:val="32"/>
          <w:szCs w:val="32"/>
        </w:rPr>
      </w:pPr>
      <w:r>
        <w:rPr>
          <w:rFonts w:hint="eastAsia" w:ascii="仿宋_GB2312" w:hAnsi="仿宋" w:eastAsia="仿宋_GB2312" w:cs="仿宋_GB2312"/>
          <w:b/>
          <w:color w:val="000000"/>
          <w:kern w:val="0"/>
          <w:sz w:val="32"/>
          <w:szCs w:val="32"/>
        </w:rPr>
        <w:t>一是</w:t>
      </w:r>
      <w:r>
        <w:rPr>
          <w:rFonts w:hint="eastAsia" w:ascii="仿宋_GB2312" w:hAnsi="仿宋" w:eastAsia="仿宋_GB2312" w:cs="仿宋_GB2312"/>
          <w:color w:val="000000"/>
          <w:kern w:val="0"/>
          <w:sz w:val="32"/>
          <w:szCs w:val="32"/>
        </w:rPr>
        <w:t>以中央和自治区经济工作会议精神为指引，坚持稳中求进总基调，促进可持续发展；积极争取上级专项资金和地方政府债券资金支持民生领域重点项目建设，使群众真正感受到党和政府的温暖，获得实实在在的幸福感。</w:t>
      </w:r>
      <w:r>
        <w:rPr>
          <w:rFonts w:hint="eastAsia" w:ascii="仿宋_GB2312" w:hAnsi="仿宋" w:eastAsia="仿宋_GB2312" w:cs="仿宋_GB2312"/>
          <w:b/>
          <w:color w:val="000000"/>
          <w:kern w:val="0"/>
          <w:sz w:val="32"/>
          <w:szCs w:val="32"/>
        </w:rPr>
        <w:t>二是</w:t>
      </w:r>
      <w:r>
        <w:rPr>
          <w:rFonts w:hint="eastAsia" w:ascii="仿宋_GB2312" w:hAnsi="仿宋" w:eastAsia="仿宋_GB2312" w:cs="仿宋_GB2312"/>
          <w:color w:val="000000"/>
          <w:kern w:val="0"/>
          <w:sz w:val="32"/>
          <w:szCs w:val="32"/>
        </w:rPr>
        <w:t>继续发挥财政在经济工作中的重要作用，不断提高财政收入质量，优化财政支出结构。</w:t>
      </w:r>
      <w:r>
        <w:rPr>
          <w:rFonts w:hint="eastAsia" w:ascii="仿宋_GB2312" w:hAnsi="仿宋" w:eastAsia="仿宋_GB2312" w:cs="仿宋_GB2312"/>
          <w:b/>
          <w:color w:val="000000"/>
          <w:kern w:val="0"/>
          <w:sz w:val="32"/>
          <w:szCs w:val="32"/>
        </w:rPr>
        <w:t>三是</w:t>
      </w:r>
      <w:r>
        <w:rPr>
          <w:rFonts w:hint="eastAsia" w:ascii="仿宋_GB2312" w:hAnsi="仿宋" w:eastAsia="仿宋_GB2312" w:cs="仿宋_GB2312"/>
          <w:color w:val="000000"/>
          <w:kern w:val="0"/>
          <w:sz w:val="32"/>
          <w:szCs w:val="32"/>
        </w:rPr>
        <w:t>紧扣社会稳定和长治久安总目标，统筹推进疫情防控，正视困难，主动作为，扎实做好“六稳”工作，全面落实“六保”任务，促进市域经济可持续高质量发展。</w:t>
      </w:r>
    </w:p>
    <w:p w14:paraId="761ABDB6">
      <w:pPr>
        <w:spacing w:line="520" w:lineRule="exact"/>
        <w:ind w:firstLine="643" w:firstLineChars="200"/>
        <w:rPr>
          <w:rFonts w:ascii="仿宋_GB2312" w:hAnsi="仿宋" w:eastAsia="仿宋_GB2312" w:cs="黑体"/>
          <w:b/>
          <w:bCs/>
          <w:color w:val="000000"/>
          <w:sz w:val="32"/>
          <w:szCs w:val="32"/>
        </w:rPr>
      </w:pPr>
      <w:r>
        <w:rPr>
          <w:rFonts w:hint="eastAsia" w:ascii="仿宋_GB2312" w:hAnsi="仿宋" w:eastAsia="仿宋_GB2312" w:cs="黑体"/>
          <w:b/>
          <w:bCs/>
          <w:color w:val="000000"/>
          <w:sz w:val="32"/>
          <w:szCs w:val="32"/>
        </w:rPr>
        <w:t>（二）把握组织收入主动权  确保各项收入应收尽收</w:t>
      </w:r>
    </w:p>
    <w:p w14:paraId="7973FB71">
      <w:pPr>
        <w:spacing w:line="520" w:lineRule="exact"/>
        <w:ind w:firstLine="643" w:firstLineChars="200"/>
        <w:rPr>
          <w:rFonts w:ascii="仿宋_GB2312" w:hAnsi="仿宋" w:eastAsia="仿宋_GB2312"/>
          <w:color w:val="000000"/>
          <w:sz w:val="32"/>
          <w:szCs w:val="32"/>
        </w:rPr>
      </w:pPr>
      <w:r>
        <w:rPr>
          <w:rFonts w:hint="eastAsia" w:ascii="仿宋_GB2312" w:hAnsi="仿宋" w:eastAsia="仿宋_GB2312"/>
          <w:b/>
          <w:color w:val="000000"/>
          <w:sz w:val="32"/>
          <w:szCs w:val="32"/>
        </w:rPr>
        <w:t>一是</w:t>
      </w:r>
      <w:r>
        <w:rPr>
          <w:rFonts w:hint="eastAsia" w:ascii="仿宋_GB2312" w:hAnsi="仿宋" w:eastAsia="仿宋_GB2312"/>
          <w:color w:val="000000"/>
          <w:sz w:val="32"/>
          <w:szCs w:val="32"/>
        </w:rPr>
        <w:t>依法依规加强税收征管工作，坚决杜绝越权减免税、缓缴税、豁免欠税以及通过先征后返、奖励等措施变相减免税。</w:t>
      </w:r>
      <w:r>
        <w:rPr>
          <w:rFonts w:hint="eastAsia" w:ascii="仿宋_GB2312" w:hAnsi="仿宋" w:eastAsia="仿宋_GB2312"/>
          <w:b/>
          <w:color w:val="000000"/>
          <w:sz w:val="32"/>
          <w:szCs w:val="32"/>
        </w:rPr>
        <w:t>二是</w:t>
      </w:r>
      <w:r>
        <w:rPr>
          <w:rFonts w:hint="eastAsia" w:ascii="仿宋_GB2312" w:hAnsi="仿宋" w:eastAsia="仿宋_GB2312"/>
          <w:color w:val="000000"/>
          <w:sz w:val="32"/>
          <w:szCs w:val="32"/>
        </w:rPr>
        <w:t>继续全面落实国家减税降费各项政策，支持企业降低运营成本，全面实现复工复产，夯实企业可持续发展基础，积极涵养税源为后续发展积蓄力量。</w:t>
      </w:r>
      <w:r>
        <w:rPr>
          <w:rFonts w:hint="eastAsia" w:ascii="仿宋_GB2312" w:hAnsi="仿宋" w:eastAsia="仿宋_GB2312"/>
          <w:b/>
          <w:color w:val="000000"/>
          <w:sz w:val="32"/>
          <w:szCs w:val="32"/>
        </w:rPr>
        <w:t>三是</w:t>
      </w:r>
      <w:r>
        <w:rPr>
          <w:rFonts w:hint="eastAsia" w:ascii="仿宋_GB2312" w:hAnsi="仿宋" w:eastAsia="仿宋_GB2312"/>
          <w:color w:val="000000"/>
          <w:sz w:val="32"/>
          <w:szCs w:val="32"/>
        </w:rPr>
        <w:t>继续完善非税收入征管工作，重点确保国有土地使用权出让收入等非税收入足额入库。</w:t>
      </w:r>
      <w:r>
        <w:rPr>
          <w:rFonts w:hint="eastAsia" w:ascii="仿宋_GB2312" w:hAnsi="仿宋" w:eastAsia="仿宋_GB2312"/>
          <w:b/>
          <w:color w:val="000000"/>
          <w:sz w:val="32"/>
          <w:szCs w:val="32"/>
        </w:rPr>
        <w:t>四是</w:t>
      </w:r>
      <w:r>
        <w:rPr>
          <w:rFonts w:hint="eastAsia" w:ascii="仿宋_GB2312" w:hAnsi="仿宋" w:eastAsia="仿宋_GB2312"/>
          <w:color w:val="000000"/>
          <w:sz w:val="32"/>
          <w:szCs w:val="32"/>
        </w:rPr>
        <w:t>积极推进税费征收环节查遗补漏，确保应收尽收，颗粒归仓。</w:t>
      </w:r>
    </w:p>
    <w:p w14:paraId="6AA8859F">
      <w:pPr>
        <w:spacing w:line="520" w:lineRule="exact"/>
        <w:ind w:firstLine="643" w:firstLineChars="200"/>
        <w:rPr>
          <w:rFonts w:ascii="仿宋_GB2312" w:hAnsi="仿宋" w:eastAsia="仿宋_GB2312" w:cs="黑体"/>
          <w:b/>
          <w:bCs/>
          <w:color w:val="000000"/>
          <w:sz w:val="32"/>
          <w:szCs w:val="32"/>
        </w:rPr>
      </w:pPr>
      <w:r>
        <w:rPr>
          <w:rFonts w:hint="eastAsia" w:ascii="仿宋_GB2312" w:hAnsi="仿宋" w:eastAsia="仿宋_GB2312" w:cs="黑体"/>
          <w:b/>
          <w:bCs/>
          <w:color w:val="000000"/>
          <w:sz w:val="32"/>
          <w:szCs w:val="32"/>
        </w:rPr>
        <w:t>（三）优化支出结构  着力保障三保及重点民生项目</w:t>
      </w:r>
    </w:p>
    <w:p w14:paraId="43B76E9A">
      <w:pPr>
        <w:spacing w:line="520" w:lineRule="exact"/>
        <w:ind w:firstLine="643" w:firstLineChars="200"/>
        <w:rPr>
          <w:rFonts w:ascii="仿宋_GB2312" w:hAnsi="仿宋" w:eastAsia="仿宋_GB2312"/>
          <w:b/>
          <w:color w:val="000000"/>
          <w:sz w:val="32"/>
          <w:szCs w:val="32"/>
        </w:rPr>
      </w:pPr>
      <w:r>
        <w:rPr>
          <w:rFonts w:hint="eastAsia" w:ascii="仿宋_GB2312" w:hAnsi="仿宋" w:eastAsia="仿宋_GB2312"/>
          <w:b/>
          <w:color w:val="000000"/>
          <w:sz w:val="32"/>
          <w:szCs w:val="32"/>
        </w:rPr>
        <w:t>一是</w:t>
      </w:r>
      <w:r>
        <w:rPr>
          <w:rFonts w:hint="eastAsia" w:ascii="仿宋_GB2312" w:hAnsi="仿宋" w:eastAsia="仿宋_GB2312"/>
          <w:color w:val="000000"/>
          <w:sz w:val="32"/>
          <w:szCs w:val="32"/>
        </w:rPr>
        <w:t>全面压缩没有预算资金保障的非重点民生项目支出，建立健全</w:t>
      </w:r>
      <w:bookmarkStart w:id="0" w:name="_GoBack"/>
      <w:bookmarkEnd w:id="0"/>
      <w:r>
        <w:rPr>
          <w:rFonts w:hint="eastAsia" w:ascii="仿宋_GB2312" w:hAnsi="仿宋" w:eastAsia="仿宋_GB2312"/>
          <w:color w:val="000000"/>
          <w:sz w:val="32"/>
          <w:szCs w:val="32"/>
          <w:lang w:eastAsia="zh-CN"/>
        </w:rPr>
        <w:t>“三公”经费</w:t>
      </w:r>
      <w:r>
        <w:rPr>
          <w:rFonts w:hint="eastAsia" w:ascii="仿宋_GB2312" w:hAnsi="仿宋" w:eastAsia="仿宋_GB2312"/>
          <w:color w:val="000000"/>
          <w:sz w:val="32"/>
          <w:szCs w:val="32"/>
        </w:rPr>
        <w:t>零增长机制，集中财力保工资、保运转、保基本民生、保稳定、保疫情防控等各项支出。</w:t>
      </w:r>
      <w:r>
        <w:rPr>
          <w:rFonts w:hint="eastAsia" w:ascii="仿宋_GB2312" w:hAnsi="仿宋" w:eastAsia="仿宋_GB2312"/>
          <w:b/>
          <w:color w:val="000000"/>
          <w:sz w:val="32"/>
          <w:szCs w:val="32"/>
        </w:rPr>
        <w:t>二是</w:t>
      </w:r>
      <w:r>
        <w:rPr>
          <w:rFonts w:hint="eastAsia" w:ascii="仿宋_GB2312" w:hAnsi="仿宋" w:eastAsia="仿宋_GB2312"/>
          <w:color w:val="000000"/>
          <w:sz w:val="32"/>
          <w:szCs w:val="32"/>
        </w:rPr>
        <w:t>建立健全预算绩效动态监管机制，将预算资金整体绩效管理和项目绩效管理的成果与部门预算资金安排直接挂钩，不断提升财政资金使用效益。</w:t>
      </w:r>
      <w:r>
        <w:rPr>
          <w:rFonts w:hint="eastAsia" w:ascii="仿宋_GB2312" w:hAnsi="仿宋" w:eastAsia="仿宋_GB2312"/>
          <w:b/>
          <w:color w:val="000000"/>
          <w:sz w:val="32"/>
          <w:szCs w:val="32"/>
        </w:rPr>
        <w:t>三是</w:t>
      </w:r>
      <w:r>
        <w:rPr>
          <w:rFonts w:hint="eastAsia" w:ascii="仿宋_GB2312" w:hAnsi="仿宋" w:eastAsia="仿宋_GB2312"/>
          <w:color w:val="000000"/>
          <w:sz w:val="32"/>
          <w:szCs w:val="32"/>
        </w:rPr>
        <w:t>通过压减一般性项目支出，争取上级专项资金和申报地债资金等措施确保重点项目支出。</w:t>
      </w:r>
      <w:r>
        <w:rPr>
          <w:rFonts w:hint="eastAsia" w:ascii="仿宋_GB2312" w:hAnsi="仿宋" w:eastAsia="仿宋_GB2312"/>
          <w:b/>
          <w:color w:val="000000"/>
          <w:sz w:val="32"/>
          <w:szCs w:val="32"/>
        </w:rPr>
        <w:t>四是</w:t>
      </w:r>
      <w:r>
        <w:rPr>
          <w:rFonts w:hint="eastAsia" w:ascii="仿宋_GB2312" w:hAnsi="仿宋" w:eastAsia="仿宋_GB2312"/>
          <w:color w:val="000000"/>
          <w:sz w:val="32"/>
          <w:szCs w:val="32"/>
        </w:rPr>
        <w:t>及时盘活部门长期沉淀存量资金，统筹用于亟待支持的各项民生支出。</w:t>
      </w:r>
      <w:r>
        <w:rPr>
          <w:rFonts w:hint="eastAsia" w:ascii="仿宋_GB2312" w:hAnsi="仿宋" w:eastAsia="仿宋_GB2312"/>
          <w:b/>
          <w:color w:val="000000"/>
          <w:sz w:val="32"/>
          <w:szCs w:val="32"/>
        </w:rPr>
        <w:t>五是</w:t>
      </w:r>
      <w:r>
        <w:rPr>
          <w:rFonts w:hint="eastAsia" w:ascii="仿宋_GB2312" w:hAnsi="仿宋" w:eastAsia="仿宋_GB2312"/>
          <w:color w:val="000000"/>
          <w:sz w:val="32"/>
          <w:szCs w:val="32"/>
        </w:rPr>
        <w:t>从严控制编外用工增量和薪酬标准，严禁未经批准擅自用工增加财政负担，量力而行，严格控制兜底保障范围。</w:t>
      </w:r>
    </w:p>
    <w:p w14:paraId="23CAF278">
      <w:pPr>
        <w:spacing w:line="520" w:lineRule="exact"/>
        <w:ind w:firstLine="643" w:firstLineChars="200"/>
        <w:rPr>
          <w:rFonts w:ascii="仿宋_GB2312" w:hAnsi="仿宋" w:eastAsia="仿宋_GB2312" w:cs="黑体"/>
          <w:b/>
          <w:bCs/>
          <w:color w:val="000000"/>
          <w:sz w:val="32"/>
          <w:szCs w:val="32"/>
        </w:rPr>
      </w:pPr>
      <w:r>
        <w:rPr>
          <w:rFonts w:hint="eastAsia" w:ascii="仿宋_GB2312" w:hAnsi="仿宋" w:eastAsia="仿宋_GB2312" w:cs="黑体"/>
          <w:b/>
          <w:bCs/>
          <w:color w:val="000000"/>
          <w:sz w:val="32"/>
          <w:szCs w:val="32"/>
        </w:rPr>
        <w:t>（四）继续深化财政改革  提升财政管理服务能力</w:t>
      </w:r>
    </w:p>
    <w:p w14:paraId="0109DDB9">
      <w:pPr>
        <w:spacing w:line="560" w:lineRule="exact"/>
        <w:ind w:firstLine="645"/>
        <w:rPr>
          <w:rFonts w:ascii="仿宋_GB2312" w:eastAsia="仿宋_GB2312"/>
          <w:sz w:val="34"/>
          <w:szCs w:val="34"/>
        </w:rPr>
      </w:pPr>
      <w:r>
        <w:rPr>
          <w:rFonts w:hint="eastAsia" w:ascii="仿宋_GB2312" w:eastAsia="仿宋_GB2312"/>
          <w:b/>
          <w:sz w:val="34"/>
          <w:szCs w:val="34"/>
        </w:rPr>
        <w:t>一是</w:t>
      </w:r>
      <w:r>
        <w:rPr>
          <w:rFonts w:hint="eastAsia" w:ascii="仿宋_GB2312" w:eastAsia="仿宋_GB2312"/>
          <w:sz w:val="34"/>
          <w:szCs w:val="34"/>
        </w:rPr>
        <w:t>扎实开展对本级预算单位一体化2.0系统操作培训工作，根据全区统一的业务流程和业务操作培训教材，采取多种方式进行点对点、多样化培训，明确管理要求和操作规程，确保相关人员掌握新的业务知识，提高风险防范意识，增强业务办理能力。</w:t>
      </w:r>
      <w:r>
        <w:rPr>
          <w:rFonts w:hint="eastAsia" w:ascii="仿宋_GB2312" w:eastAsia="仿宋_GB2312"/>
          <w:b/>
          <w:sz w:val="34"/>
          <w:szCs w:val="34"/>
        </w:rPr>
        <w:t>二是</w:t>
      </w:r>
      <w:r>
        <w:rPr>
          <w:rFonts w:hint="eastAsia" w:ascii="仿宋_GB2312" w:eastAsia="仿宋_GB2312"/>
          <w:sz w:val="34"/>
          <w:szCs w:val="34"/>
        </w:rPr>
        <w:t>全面推进财政预算、决算和</w:t>
      </w:r>
      <w:r>
        <w:rPr>
          <w:rFonts w:hint="eastAsia" w:ascii="仿宋_GB2312" w:eastAsia="仿宋_GB2312"/>
          <w:sz w:val="34"/>
          <w:szCs w:val="34"/>
          <w:lang w:eastAsia="zh-CN"/>
        </w:rPr>
        <w:t>“三公”经费</w:t>
      </w:r>
      <w:r>
        <w:rPr>
          <w:rFonts w:hint="eastAsia" w:ascii="仿宋_GB2312" w:eastAsia="仿宋_GB2312"/>
          <w:sz w:val="34"/>
          <w:szCs w:val="34"/>
        </w:rPr>
        <w:t>信息公开制度化、常态化，提升信息公开质量。</w:t>
      </w:r>
      <w:r>
        <w:rPr>
          <w:rFonts w:hint="eastAsia" w:ascii="仿宋_GB2312" w:eastAsia="仿宋_GB2312"/>
          <w:b/>
          <w:sz w:val="34"/>
          <w:szCs w:val="34"/>
        </w:rPr>
        <w:t>三是</w:t>
      </w:r>
      <w:r>
        <w:rPr>
          <w:rFonts w:hint="eastAsia" w:ascii="仿宋_GB2312" w:eastAsia="仿宋_GB2312"/>
          <w:sz w:val="34"/>
          <w:szCs w:val="34"/>
        </w:rPr>
        <w:t>全面实施预算绩效动态管理，建立预算绩效第三方评估机制，将预算绩效管理纳入对部门考核范围。</w:t>
      </w:r>
      <w:r>
        <w:rPr>
          <w:rFonts w:hint="eastAsia" w:ascii="仿宋_GB2312" w:eastAsia="仿宋_GB2312"/>
          <w:b/>
          <w:sz w:val="34"/>
          <w:szCs w:val="34"/>
        </w:rPr>
        <w:t>四是</w:t>
      </w:r>
      <w:r>
        <w:rPr>
          <w:rFonts w:hint="eastAsia" w:ascii="仿宋_GB2312" w:eastAsia="仿宋_GB2312"/>
          <w:sz w:val="34"/>
          <w:szCs w:val="34"/>
        </w:rPr>
        <w:t>全面加强财政财务监督管理工作，督促部门不断优化内部控制制度建设，逐步扩大财政监督覆盖面，堵塞“小金库”漏洞，杜绝个人私借公款长期不还等侵害国家、集体利益的行为发生。</w:t>
      </w:r>
      <w:r>
        <w:rPr>
          <w:rFonts w:hint="eastAsia" w:ascii="仿宋_GB2312" w:eastAsia="仿宋_GB2312"/>
          <w:b/>
          <w:sz w:val="34"/>
          <w:szCs w:val="34"/>
        </w:rPr>
        <w:t>五是</w:t>
      </w:r>
      <w:r>
        <w:rPr>
          <w:rFonts w:hint="eastAsia" w:ascii="仿宋_GB2312" w:eastAsia="仿宋_GB2312"/>
          <w:sz w:val="34"/>
          <w:szCs w:val="34"/>
        </w:rPr>
        <w:t>积极推进公务卡结算和政采云服务范围，努力提高结算效率和政府采购效率，促进公务消费和政府采购的公开、公平、合法，提高财政资金使用效率。</w:t>
      </w:r>
    </w:p>
    <w:p w14:paraId="76F176EF">
      <w:pPr>
        <w:spacing w:line="520" w:lineRule="exact"/>
        <w:ind w:firstLine="643" w:firstLineChars="200"/>
        <w:rPr>
          <w:rFonts w:ascii="仿宋_GB2312" w:hAnsi="黑体" w:eastAsia="仿宋_GB2312"/>
          <w:b/>
          <w:sz w:val="32"/>
          <w:szCs w:val="32"/>
        </w:rPr>
      </w:pPr>
      <w:r>
        <w:rPr>
          <w:rFonts w:hint="eastAsia" w:ascii="仿宋_GB2312" w:hAnsi="黑体" w:eastAsia="仿宋_GB2312"/>
          <w:b/>
          <w:sz w:val="32"/>
          <w:szCs w:val="32"/>
        </w:rPr>
        <w:t>（五）积极化解存量债务  防止发生系统性债务风险</w:t>
      </w:r>
    </w:p>
    <w:p w14:paraId="12A6ED1A">
      <w:pPr>
        <w:spacing w:line="520" w:lineRule="exact"/>
        <w:ind w:firstLine="643" w:firstLineChars="200"/>
        <w:rPr>
          <w:rFonts w:ascii="仿宋_GB2312" w:hAnsi="仿宋" w:eastAsia="仿宋_GB2312"/>
          <w:color w:val="000000"/>
          <w:sz w:val="32"/>
          <w:szCs w:val="32"/>
        </w:rPr>
      </w:pPr>
      <w:r>
        <w:rPr>
          <w:rFonts w:hint="eastAsia" w:ascii="仿宋_GB2312" w:hAnsi="仿宋" w:eastAsia="仿宋_GB2312"/>
          <w:b/>
          <w:color w:val="000000"/>
          <w:sz w:val="32"/>
          <w:szCs w:val="32"/>
        </w:rPr>
        <w:t>一是</w:t>
      </w:r>
      <w:r>
        <w:rPr>
          <w:rFonts w:hint="eastAsia" w:ascii="仿宋_GB2312" w:hAnsi="仿宋" w:eastAsia="仿宋_GB2312"/>
          <w:color w:val="000000"/>
          <w:sz w:val="32"/>
          <w:szCs w:val="32"/>
        </w:rPr>
        <w:t>坚决防止增量隐性债务，积极有效化解存量债务，适度申报政府债券项目资金，坚决守住风险管控“红线”。</w:t>
      </w:r>
      <w:r>
        <w:rPr>
          <w:rFonts w:hint="eastAsia" w:ascii="仿宋_GB2312" w:hAnsi="仿宋" w:eastAsia="仿宋_GB2312"/>
          <w:b/>
          <w:color w:val="000000"/>
          <w:sz w:val="32"/>
          <w:szCs w:val="32"/>
        </w:rPr>
        <w:t>二是</w:t>
      </w:r>
      <w:r>
        <w:rPr>
          <w:rFonts w:hint="eastAsia" w:ascii="仿宋_GB2312" w:hAnsi="仿宋" w:eastAsia="仿宋_GB2312"/>
          <w:color w:val="000000"/>
          <w:sz w:val="32"/>
          <w:szCs w:val="32"/>
        </w:rPr>
        <w:t>继续从严控制政府存量债务，按照“政府举债与偿还能力相匹配”原则，控制好政府债务规模，防止发生系统性债务风险。</w:t>
      </w:r>
      <w:r>
        <w:rPr>
          <w:rFonts w:hint="eastAsia" w:ascii="仿宋_GB2312" w:hAnsi="仿宋" w:eastAsia="仿宋_GB2312"/>
          <w:b/>
          <w:color w:val="000000"/>
          <w:sz w:val="32"/>
          <w:szCs w:val="32"/>
        </w:rPr>
        <w:t>三是</w:t>
      </w:r>
      <w:r>
        <w:rPr>
          <w:rFonts w:hint="eastAsia" w:ascii="仿宋_GB2312" w:hAnsi="仿宋" w:eastAsia="仿宋_GB2312"/>
          <w:color w:val="000000"/>
          <w:sz w:val="32"/>
          <w:szCs w:val="32"/>
        </w:rPr>
        <w:t>建立偿债资金预算保障机制，通过盘活存量资金、压减一般性支出和组织收入偿还到期债务，形成偿债与举债良性循环的有效管理机制，将系统性风险化解在日常管理工作中。</w:t>
      </w:r>
      <w:r>
        <w:rPr>
          <w:rFonts w:hint="eastAsia" w:ascii="仿宋_GB2312" w:hAnsi="仿宋" w:eastAsia="仿宋_GB2312"/>
          <w:b/>
          <w:color w:val="000000"/>
          <w:sz w:val="32"/>
          <w:szCs w:val="32"/>
        </w:rPr>
        <w:t>四是</w:t>
      </w:r>
      <w:r>
        <w:rPr>
          <w:rFonts w:hint="eastAsia" w:ascii="仿宋_GB2312" w:hAnsi="仿宋" w:eastAsia="仿宋_GB2312"/>
          <w:color w:val="000000"/>
          <w:sz w:val="32"/>
          <w:szCs w:val="32"/>
        </w:rPr>
        <w:t>严厉打击金融诈骗、非法集资等违法金融活动，积极做好普惠金融服务经济实体工作，促进实体经济平稳发展。</w:t>
      </w:r>
    </w:p>
    <w:p w14:paraId="34686079">
      <w:pPr>
        <w:spacing w:line="540" w:lineRule="exact"/>
        <w:ind w:firstLine="411" w:firstLineChars="196"/>
        <w:rPr>
          <w:rFonts w:ascii="仿宋_GB2312" w:eastAsia="仿宋_GB2312"/>
        </w:rPr>
      </w:pPr>
    </w:p>
    <w:p w14:paraId="2BCAD20E">
      <w:pPr>
        <w:rPr>
          <w:rFonts w:ascii="仿宋_GB2312" w:eastAsia="仿宋_GB2312"/>
        </w:rPr>
      </w:pPr>
    </w:p>
    <w:p w14:paraId="4056E310">
      <w:pPr>
        <w:rPr>
          <w:rFonts w:ascii="仿宋_GB2312" w:eastAsia="仿宋_GB2312"/>
        </w:rPr>
      </w:pPr>
    </w:p>
    <w:p w14:paraId="1C00F94B">
      <w:pPr>
        <w:rPr>
          <w:rFonts w:ascii="仿宋_GB2312" w:eastAsia="仿宋_GB2312"/>
        </w:rPr>
      </w:pPr>
    </w:p>
    <w:p w14:paraId="35F4885C">
      <w:pPr>
        <w:rPr>
          <w:rFonts w:ascii="仿宋_GB2312" w:eastAsia="仿宋_GB2312"/>
        </w:rPr>
      </w:pPr>
    </w:p>
    <w:p w14:paraId="55ED711F">
      <w:pPr>
        <w:rPr>
          <w:rFonts w:ascii="仿宋_GB2312" w:eastAsia="仿宋_GB2312"/>
        </w:rPr>
      </w:pPr>
    </w:p>
    <w:p w14:paraId="3538E51B">
      <w:pPr>
        <w:rPr>
          <w:rFonts w:ascii="仿宋_GB2312" w:eastAsia="仿宋_GB2312"/>
        </w:rPr>
      </w:pPr>
    </w:p>
    <w:p w14:paraId="6FCE6D60">
      <w:pPr>
        <w:jc w:val="center"/>
        <w:rPr>
          <w:rFonts w:ascii="仿宋_GB2312" w:hAnsi="仿宋" w:eastAsia="仿宋_GB2312"/>
          <w:sz w:val="32"/>
          <w:szCs w:val="32"/>
        </w:rPr>
      </w:pPr>
      <w:r>
        <w:rPr>
          <w:rFonts w:hint="eastAsia" w:ascii="仿宋_GB2312" w:hAnsi="仿宋" w:eastAsia="仿宋_GB2312"/>
          <w:sz w:val="32"/>
          <w:szCs w:val="32"/>
        </w:rPr>
        <w:t>昌吉市财政局</w:t>
      </w:r>
    </w:p>
    <w:p w14:paraId="607038C5">
      <w:pPr>
        <w:jc w:val="center"/>
        <w:rPr>
          <w:rFonts w:ascii="仿宋_GB2312" w:hAnsi="仿宋" w:eastAsia="仿宋_GB2312"/>
          <w:sz w:val="32"/>
          <w:szCs w:val="32"/>
        </w:rPr>
      </w:pPr>
      <w:r>
        <w:rPr>
          <w:rFonts w:hint="eastAsia" w:ascii="仿宋_GB2312" w:hAnsi="仿宋" w:eastAsia="仿宋_GB2312"/>
          <w:sz w:val="32"/>
          <w:szCs w:val="32"/>
        </w:rPr>
        <w:t>二O二二年四月二十八日</w:t>
      </w:r>
    </w:p>
    <w:sectPr>
      <w:pgSz w:w="20639" w:h="14572"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524"/>
    <w:rsid w:val="00003A2A"/>
    <w:rsid w:val="00012E4B"/>
    <w:rsid w:val="00025442"/>
    <w:rsid w:val="00045895"/>
    <w:rsid w:val="000514B7"/>
    <w:rsid w:val="00051F0E"/>
    <w:rsid w:val="00056284"/>
    <w:rsid w:val="0006198C"/>
    <w:rsid w:val="00063A54"/>
    <w:rsid w:val="00064F74"/>
    <w:rsid w:val="000662DD"/>
    <w:rsid w:val="00066FFD"/>
    <w:rsid w:val="00076F1D"/>
    <w:rsid w:val="000832CC"/>
    <w:rsid w:val="0008728E"/>
    <w:rsid w:val="0009065C"/>
    <w:rsid w:val="000922A2"/>
    <w:rsid w:val="0009241B"/>
    <w:rsid w:val="00095C6E"/>
    <w:rsid w:val="000A0D43"/>
    <w:rsid w:val="000A398B"/>
    <w:rsid w:val="000B2146"/>
    <w:rsid w:val="000B6E79"/>
    <w:rsid w:val="000C381A"/>
    <w:rsid w:val="000D3CDB"/>
    <w:rsid w:val="000E2091"/>
    <w:rsid w:val="000F1775"/>
    <w:rsid w:val="000F26CA"/>
    <w:rsid w:val="000F28B6"/>
    <w:rsid w:val="00103935"/>
    <w:rsid w:val="00122B53"/>
    <w:rsid w:val="001271AC"/>
    <w:rsid w:val="0012745C"/>
    <w:rsid w:val="001368A0"/>
    <w:rsid w:val="00141B04"/>
    <w:rsid w:val="00153E9B"/>
    <w:rsid w:val="00163D60"/>
    <w:rsid w:val="001669C2"/>
    <w:rsid w:val="0017390D"/>
    <w:rsid w:val="0018366C"/>
    <w:rsid w:val="00184C75"/>
    <w:rsid w:val="00193F8B"/>
    <w:rsid w:val="00195ECF"/>
    <w:rsid w:val="001A1A7C"/>
    <w:rsid w:val="001A2904"/>
    <w:rsid w:val="001A354B"/>
    <w:rsid w:val="001A4E93"/>
    <w:rsid w:val="001A799B"/>
    <w:rsid w:val="001B2A15"/>
    <w:rsid w:val="001C0C73"/>
    <w:rsid w:val="001C14D1"/>
    <w:rsid w:val="001D5003"/>
    <w:rsid w:val="001D6F6F"/>
    <w:rsid w:val="001E02A7"/>
    <w:rsid w:val="001E0CEF"/>
    <w:rsid w:val="001E5482"/>
    <w:rsid w:val="001F2997"/>
    <w:rsid w:val="001F5557"/>
    <w:rsid w:val="00207F84"/>
    <w:rsid w:val="002123D5"/>
    <w:rsid w:val="002303F3"/>
    <w:rsid w:val="00235051"/>
    <w:rsid w:val="002375EB"/>
    <w:rsid w:val="00237F3D"/>
    <w:rsid w:val="00252F8F"/>
    <w:rsid w:val="0025454B"/>
    <w:rsid w:val="00255264"/>
    <w:rsid w:val="002573E2"/>
    <w:rsid w:val="0026085A"/>
    <w:rsid w:val="00265DC5"/>
    <w:rsid w:val="0027532A"/>
    <w:rsid w:val="00287542"/>
    <w:rsid w:val="00293885"/>
    <w:rsid w:val="002966B6"/>
    <w:rsid w:val="002C236F"/>
    <w:rsid w:val="002C3B22"/>
    <w:rsid w:val="002D1169"/>
    <w:rsid w:val="002D12D5"/>
    <w:rsid w:val="002E0BAD"/>
    <w:rsid w:val="002E3CC3"/>
    <w:rsid w:val="002E444C"/>
    <w:rsid w:val="002E6C68"/>
    <w:rsid w:val="002F293D"/>
    <w:rsid w:val="002F4986"/>
    <w:rsid w:val="0031004F"/>
    <w:rsid w:val="00313AA1"/>
    <w:rsid w:val="00313DA3"/>
    <w:rsid w:val="00315771"/>
    <w:rsid w:val="00323233"/>
    <w:rsid w:val="00330FEA"/>
    <w:rsid w:val="003363B9"/>
    <w:rsid w:val="00343524"/>
    <w:rsid w:val="0034432D"/>
    <w:rsid w:val="003446FC"/>
    <w:rsid w:val="0034567D"/>
    <w:rsid w:val="00345CD1"/>
    <w:rsid w:val="00346151"/>
    <w:rsid w:val="003465A1"/>
    <w:rsid w:val="0035265E"/>
    <w:rsid w:val="003526A1"/>
    <w:rsid w:val="00352F23"/>
    <w:rsid w:val="003609AD"/>
    <w:rsid w:val="003661B0"/>
    <w:rsid w:val="003736B1"/>
    <w:rsid w:val="00374560"/>
    <w:rsid w:val="00380D9F"/>
    <w:rsid w:val="00392846"/>
    <w:rsid w:val="00393A37"/>
    <w:rsid w:val="00395ED0"/>
    <w:rsid w:val="003A0459"/>
    <w:rsid w:val="003A651C"/>
    <w:rsid w:val="003B0F32"/>
    <w:rsid w:val="003B2376"/>
    <w:rsid w:val="003B3F33"/>
    <w:rsid w:val="003B4B57"/>
    <w:rsid w:val="003B62D9"/>
    <w:rsid w:val="003C32C5"/>
    <w:rsid w:val="003D0B6D"/>
    <w:rsid w:val="003D2599"/>
    <w:rsid w:val="003E26DF"/>
    <w:rsid w:val="003E45C1"/>
    <w:rsid w:val="003F4764"/>
    <w:rsid w:val="004039E9"/>
    <w:rsid w:val="00403A7B"/>
    <w:rsid w:val="00404462"/>
    <w:rsid w:val="00404819"/>
    <w:rsid w:val="0040529A"/>
    <w:rsid w:val="00406C96"/>
    <w:rsid w:val="00427DDA"/>
    <w:rsid w:val="00431315"/>
    <w:rsid w:val="00433494"/>
    <w:rsid w:val="0044203E"/>
    <w:rsid w:val="00443787"/>
    <w:rsid w:val="004460DB"/>
    <w:rsid w:val="00447271"/>
    <w:rsid w:val="00451984"/>
    <w:rsid w:val="00451BF4"/>
    <w:rsid w:val="00452723"/>
    <w:rsid w:val="00455500"/>
    <w:rsid w:val="00460F22"/>
    <w:rsid w:val="00471893"/>
    <w:rsid w:val="0047298C"/>
    <w:rsid w:val="004751B8"/>
    <w:rsid w:val="00486D1B"/>
    <w:rsid w:val="00490279"/>
    <w:rsid w:val="00491539"/>
    <w:rsid w:val="004B075C"/>
    <w:rsid w:val="004B7200"/>
    <w:rsid w:val="004D0095"/>
    <w:rsid w:val="004D1C8E"/>
    <w:rsid w:val="004D4496"/>
    <w:rsid w:val="004D7507"/>
    <w:rsid w:val="004D7BF6"/>
    <w:rsid w:val="004E608D"/>
    <w:rsid w:val="004E701D"/>
    <w:rsid w:val="004F0782"/>
    <w:rsid w:val="004F6B2A"/>
    <w:rsid w:val="004F7BD6"/>
    <w:rsid w:val="00503930"/>
    <w:rsid w:val="00506303"/>
    <w:rsid w:val="00530CC8"/>
    <w:rsid w:val="00532D6E"/>
    <w:rsid w:val="00537A3D"/>
    <w:rsid w:val="005573E8"/>
    <w:rsid w:val="00565CB2"/>
    <w:rsid w:val="0056769A"/>
    <w:rsid w:val="00586DFC"/>
    <w:rsid w:val="005875A5"/>
    <w:rsid w:val="005923AA"/>
    <w:rsid w:val="00594165"/>
    <w:rsid w:val="005948BE"/>
    <w:rsid w:val="005A4266"/>
    <w:rsid w:val="005B12DC"/>
    <w:rsid w:val="005D3659"/>
    <w:rsid w:val="005D7BE3"/>
    <w:rsid w:val="005E2AEC"/>
    <w:rsid w:val="005F44FA"/>
    <w:rsid w:val="00601CE7"/>
    <w:rsid w:val="00606DE0"/>
    <w:rsid w:val="0061590D"/>
    <w:rsid w:val="00624338"/>
    <w:rsid w:val="00631256"/>
    <w:rsid w:val="00634970"/>
    <w:rsid w:val="00635E65"/>
    <w:rsid w:val="00636AAE"/>
    <w:rsid w:val="0064083A"/>
    <w:rsid w:val="00655B36"/>
    <w:rsid w:val="00656C52"/>
    <w:rsid w:val="00660DF9"/>
    <w:rsid w:val="00672E9C"/>
    <w:rsid w:val="00676976"/>
    <w:rsid w:val="00680EDE"/>
    <w:rsid w:val="00694935"/>
    <w:rsid w:val="00696F00"/>
    <w:rsid w:val="006B5602"/>
    <w:rsid w:val="006C1AFD"/>
    <w:rsid w:val="006C5519"/>
    <w:rsid w:val="006D0060"/>
    <w:rsid w:val="006D687A"/>
    <w:rsid w:val="006D6885"/>
    <w:rsid w:val="006D73CE"/>
    <w:rsid w:val="006E4450"/>
    <w:rsid w:val="006F3208"/>
    <w:rsid w:val="006F34EB"/>
    <w:rsid w:val="006F7A4D"/>
    <w:rsid w:val="007007F1"/>
    <w:rsid w:val="00701194"/>
    <w:rsid w:val="007030D4"/>
    <w:rsid w:val="0071189B"/>
    <w:rsid w:val="00712DE8"/>
    <w:rsid w:val="00713DB9"/>
    <w:rsid w:val="00716119"/>
    <w:rsid w:val="00720AA3"/>
    <w:rsid w:val="00723CBF"/>
    <w:rsid w:val="00726733"/>
    <w:rsid w:val="00742BEE"/>
    <w:rsid w:val="00745629"/>
    <w:rsid w:val="007518D4"/>
    <w:rsid w:val="00752D37"/>
    <w:rsid w:val="00754EE4"/>
    <w:rsid w:val="007615D8"/>
    <w:rsid w:val="00761A78"/>
    <w:rsid w:val="0077367D"/>
    <w:rsid w:val="0077426B"/>
    <w:rsid w:val="007757FB"/>
    <w:rsid w:val="00775B7C"/>
    <w:rsid w:val="00780E04"/>
    <w:rsid w:val="007820B3"/>
    <w:rsid w:val="00782D15"/>
    <w:rsid w:val="0078733B"/>
    <w:rsid w:val="00792FD8"/>
    <w:rsid w:val="007970B8"/>
    <w:rsid w:val="007A07E8"/>
    <w:rsid w:val="007A0E82"/>
    <w:rsid w:val="007A3666"/>
    <w:rsid w:val="007A38DC"/>
    <w:rsid w:val="007A6D0E"/>
    <w:rsid w:val="007B6456"/>
    <w:rsid w:val="007C165B"/>
    <w:rsid w:val="007C2D1F"/>
    <w:rsid w:val="007C425C"/>
    <w:rsid w:val="007C477D"/>
    <w:rsid w:val="007D6127"/>
    <w:rsid w:val="007D7FC5"/>
    <w:rsid w:val="007E0862"/>
    <w:rsid w:val="007E4441"/>
    <w:rsid w:val="008023E8"/>
    <w:rsid w:val="008059DA"/>
    <w:rsid w:val="00825CF5"/>
    <w:rsid w:val="008372A5"/>
    <w:rsid w:val="0083764D"/>
    <w:rsid w:val="0084504A"/>
    <w:rsid w:val="008474DE"/>
    <w:rsid w:val="0085176E"/>
    <w:rsid w:val="00854A86"/>
    <w:rsid w:val="008604F3"/>
    <w:rsid w:val="0086370D"/>
    <w:rsid w:val="00867F1A"/>
    <w:rsid w:val="0087121E"/>
    <w:rsid w:val="00874B5B"/>
    <w:rsid w:val="008778D1"/>
    <w:rsid w:val="00881F96"/>
    <w:rsid w:val="00892216"/>
    <w:rsid w:val="00892284"/>
    <w:rsid w:val="0089295A"/>
    <w:rsid w:val="008A2B3A"/>
    <w:rsid w:val="008A4ACD"/>
    <w:rsid w:val="008A7351"/>
    <w:rsid w:val="008A7736"/>
    <w:rsid w:val="008B2F5E"/>
    <w:rsid w:val="008B7398"/>
    <w:rsid w:val="008B7B7A"/>
    <w:rsid w:val="008B7C47"/>
    <w:rsid w:val="008C5199"/>
    <w:rsid w:val="008C6374"/>
    <w:rsid w:val="008C7990"/>
    <w:rsid w:val="008D4545"/>
    <w:rsid w:val="008D7128"/>
    <w:rsid w:val="008E0A6B"/>
    <w:rsid w:val="008E2B8A"/>
    <w:rsid w:val="008E4355"/>
    <w:rsid w:val="008E547D"/>
    <w:rsid w:val="008F02AC"/>
    <w:rsid w:val="008F1A35"/>
    <w:rsid w:val="008F22E6"/>
    <w:rsid w:val="008F7C93"/>
    <w:rsid w:val="00903041"/>
    <w:rsid w:val="00906DE2"/>
    <w:rsid w:val="00931CD2"/>
    <w:rsid w:val="00935F3D"/>
    <w:rsid w:val="00940495"/>
    <w:rsid w:val="00941274"/>
    <w:rsid w:val="009466B6"/>
    <w:rsid w:val="0095323F"/>
    <w:rsid w:val="00953557"/>
    <w:rsid w:val="0095488C"/>
    <w:rsid w:val="009666E2"/>
    <w:rsid w:val="00971899"/>
    <w:rsid w:val="0098494D"/>
    <w:rsid w:val="00984F85"/>
    <w:rsid w:val="00991E36"/>
    <w:rsid w:val="00996707"/>
    <w:rsid w:val="00997BFE"/>
    <w:rsid w:val="009B32C2"/>
    <w:rsid w:val="009C7B66"/>
    <w:rsid w:val="009D2498"/>
    <w:rsid w:val="009D36C9"/>
    <w:rsid w:val="009E399E"/>
    <w:rsid w:val="009E6C27"/>
    <w:rsid w:val="00A0182E"/>
    <w:rsid w:val="00A03BA9"/>
    <w:rsid w:val="00A043F2"/>
    <w:rsid w:val="00A053B9"/>
    <w:rsid w:val="00A2226C"/>
    <w:rsid w:val="00A30402"/>
    <w:rsid w:val="00A43030"/>
    <w:rsid w:val="00A44B80"/>
    <w:rsid w:val="00A53C6B"/>
    <w:rsid w:val="00A54E7B"/>
    <w:rsid w:val="00A64B03"/>
    <w:rsid w:val="00A64FE4"/>
    <w:rsid w:val="00A82B43"/>
    <w:rsid w:val="00A86D29"/>
    <w:rsid w:val="00A8775D"/>
    <w:rsid w:val="00AA4FA1"/>
    <w:rsid w:val="00AB49A7"/>
    <w:rsid w:val="00AB7FE9"/>
    <w:rsid w:val="00AC193C"/>
    <w:rsid w:val="00AC7777"/>
    <w:rsid w:val="00AD429C"/>
    <w:rsid w:val="00AD6E6B"/>
    <w:rsid w:val="00AE0266"/>
    <w:rsid w:val="00AE7FAC"/>
    <w:rsid w:val="00AF400D"/>
    <w:rsid w:val="00AF4204"/>
    <w:rsid w:val="00AF657F"/>
    <w:rsid w:val="00B135D9"/>
    <w:rsid w:val="00B1385A"/>
    <w:rsid w:val="00B15E4F"/>
    <w:rsid w:val="00B15F44"/>
    <w:rsid w:val="00B27EEE"/>
    <w:rsid w:val="00B420DB"/>
    <w:rsid w:val="00B4660B"/>
    <w:rsid w:val="00B50849"/>
    <w:rsid w:val="00B51CA1"/>
    <w:rsid w:val="00B634F2"/>
    <w:rsid w:val="00B661DA"/>
    <w:rsid w:val="00B72E50"/>
    <w:rsid w:val="00B74FBE"/>
    <w:rsid w:val="00B84F04"/>
    <w:rsid w:val="00B862BD"/>
    <w:rsid w:val="00B879B5"/>
    <w:rsid w:val="00B90AD9"/>
    <w:rsid w:val="00B933C7"/>
    <w:rsid w:val="00B93F6B"/>
    <w:rsid w:val="00B954FD"/>
    <w:rsid w:val="00BA2C07"/>
    <w:rsid w:val="00BA53F2"/>
    <w:rsid w:val="00BB2215"/>
    <w:rsid w:val="00BB2F2B"/>
    <w:rsid w:val="00BB7109"/>
    <w:rsid w:val="00BB7798"/>
    <w:rsid w:val="00BC4CF0"/>
    <w:rsid w:val="00BC6870"/>
    <w:rsid w:val="00BC7ECE"/>
    <w:rsid w:val="00BD33E0"/>
    <w:rsid w:val="00BE5494"/>
    <w:rsid w:val="00BE5CE5"/>
    <w:rsid w:val="00BF1F83"/>
    <w:rsid w:val="00BF44CE"/>
    <w:rsid w:val="00C07179"/>
    <w:rsid w:val="00C179E8"/>
    <w:rsid w:val="00C21872"/>
    <w:rsid w:val="00C26B48"/>
    <w:rsid w:val="00C2757B"/>
    <w:rsid w:val="00C4250C"/>
    <w:rsid w:val="00C46369"/>
    <w:rsid w:val="00C47B9D"/>
    <w:rsid w:val="00C5223F"/>
    <w:rsid w:val="00C531D4"/>
    <w:rsid w:val="00C6322B"/>
    <w:rsid w:val="00C6431C"/>
    <w:rsid w:val="00C64AE3"/>
    <w:rsid w:val="00C67943"/>
    <w:rsid w:val="00C85F9A"/>
    <w:rsid w:val="00C90834"/>
    <w:rsid w:val="00C90DDD"/>
    <w:rsid w:val="00C9360F"/>
    <w:rsid w:val="00CB0A5D"/>
    <w:rsid w:val="00CB34CC"/>
    <w:rsid w:val="00CC0D12"/>
    <w:rsid w:val="00CC3F0B"/>
    <w:rsid w:val="00CC50C0"/>
    <w:rsid w:val="00CC71B9"/>
    <w:rsid w:val="00CE3864"/>
    <w:rsid w:val="00CF0888"/>
    <w:rsid w:val="00CF1443"/>
    <w:rsid w:val="00D04217"/>
    <w:rsid w:val="00D14319"/>
    <w:rsid w:val="00D167E8"/>
    <w:rsid w:val="00D16951"/>
    <w:rsid w:val="00D1728D"/>
    <w:rsid w:val="00D24B73"/>
    <w:rsid w:val="00D30914"/>
    <w:rsid w:val="00D3241C"/>
    <w:rsid w:val="00D32627"/>
    <w:rsid w:val="00D32C78"/>
    <w:rsid w:val="00D334FA"/>
    <w:rsid w:val="00D3610B"/>
    <w:rsid w:val="00D43730"/>
    <w:rsid w:val="00D450D1"/>
    <w:rsid w:val="00D46E2C"/>
    <w:rsid w:val="00D513E5"/>
    <w:rsid w:val="00D6117A"/>
    <w:rsid w:val="00D62532"/>
    <w:rsid w:val="00D65455"/>
    <w:rsid w:val="00D65FDA"/>
    <w:rsid w:val="00D66718"/>
    <w:rsid w:val="00D70EF8"/>
    <w:rsid w:val="00D72593"/>
    <w:rsid w:val="00D76193"/>
    <w:rsid w:val="00D81698"/>
    <w:rsid w:val="00D87C0D"/>
    <w:rsid w:val="00D91040"/>
    <w:rsid w:val="00D91336"/>
    <w:rsid w:val="00D93DE8"/>
    <w:rsid w:val="00D94113"/>
    <w:rsid w:val="00DA7D92"/>
    <w:rsid w:val="00DB11C0"/>
    <w:rsid w:val="00DB43FA"/>
    <w:rsid w:val="00DC1F89"/>
    <w:rsid w:val="00DD643E"/>
    <w:rsid w:val="00DF016D"/>
    <w:rsid w:val="00DF10FC"/>
    <w:rsid w:val="00DF1A99"/>
    <w:rsid w:val="00E02B7A"/>
    <w:rsid w:val="00E07D36"/>
    <w:rsid w:val="00E1053F"/>
    <w:rsid w:val="00E138C9"/>
    <w:rsid w:val="00E1540C"/>
    <w:rsid w:val="00E17FD5"/>
    <w:rsid w:val="00E25D98"/>
    <w:rsid w:val="00E4778B"/>
    <w:rsid w:val="00E52D86"/>
    <w:rsid w:val="00E54348"/>
    <w:rsid w:val="00E549E3"/>
    <w:rsid w:val="00E5688B"/>
    <w:rsid w:val="00E808C6"/>
    <w:rsid w:val="00E95602"/>
    <w:rsid w:val="00E966A9"/>
    <w:rsid w:val="00EA3995"/>
    <w:rsid w:val="00EA5510"/>
    <w:rsid w:val="00EA5DB0"/>
    <w:rsid w:val="00EA6347"/>
    <w:rsid w:val="00EB2A86"/>
    <w:rsid w:val="00EC5970"/>
    <w:rsid w:val="00ED4515"/>
    <w:rsid w:val="00ED56BB"/>
    <w:rsid w:val="00EE2275"/>
    <w:rsid w:val="00EE5176"/>
    <w:rsid w:val="00EF6C8F"/>
    <w:rsid w:val="00F00C38"/>
    <w:rsid w:val="00F01729"/>
    <w:rsid w:val="00F02A19"/>
    <w:rsid w:val="00F0687C"/>
    <w:rsid w:val="00F157FE"/>
    <w:rsid w:val="00F20580"/>
    <w:rsid w:val="00F209BB"/>
    <w:rsid w:val="00F40FD2"/>
    <w:rsid w:val="00F433CA"/>
    <w:rsid w:val="00F46CF4"/>
    <w:rsid w:val="00F509BC"/>
    <w:rsid w:val="00F517DE"/>
    <w:rsid w:val="00F578AB"/>
    <w:rsid w:val="00F65424"/>
    <w:rsid w:val="00F6737F"/>
    <w:rsid w:val="00F8051A"/>
    <w:rsid w:val="00F807D4"/>
    <w:rsid w:val="00F828CA"/>
    <w:rsid w:val="00F87F2F"/>
    <w:rsid w:val="00F94698"/>
    <w:rsid w:val="00F96CDC"/>
    <w:rsid w:val="00FA168F"/>
    <w:rsid w:val="00FB01F2"/>
    <w:rsid w:val="00FB138F"/>
    <w:rsid w:val="00FB52D7"/>
    <w:rsid w:val="00FC1E7A"/>
    <w:rsid w:val="00FC2B83"/>
    <w:rsid w:val="00FC2D38"/>
    <w:rsid w:val="00FC3C4E"/>
    <w:rsid w:val="00FD7F28"/>
    <w:rsid w:val="00FE30EA"/>
    <w:rsid w:val="00FF2C3B"/>
    <w:rsid w:val="00FF7676"/>
    <w:rsid w:val="21023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uiPriority w:val="99"/>
    <w:rPr>
      <w:rFonts w:ascii="Times New Roman" w:hAnsi="Times New Roman" w:eastAsia="宋体" w:cs="Times New Roman"/>
      <w:sz w:val="18"/>
      <w:szCs w:val="18"/>
    </w:rPr>
  </w:style>
  <w:style w:type="character" w:customStyle="1" w:styleId="9">
    <w:name w:val="页眉 Char"/>
    <w:basedOn w:val="6"/>
    <w:link w:val="4"/>
    <w:qFormat/>
    <w:uiPriority w:val="99"/>
    <w:rPr>
      <w:rFonts w:ascii="Times New Roman" w:hAnsi="Times New Roman" w:eastAsia="宋体" w:cs="Times New Roman"/>
      <w:sz w:val="18"/>
      <w:szCs w:val="18"/>
    </w:rPr>
  </w:style>
  <w:style w:type="character" w:customStyle="1" w:styleId="10">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30"/>
      <c:rotY val="0"/>
      <c:depthPercent val="220"/>
      <c:rAngAx val="1"/>
      <c:hPercent val="100"/>
    </c:view3D>
    <c:floor>
      <c:thickness val="0"/>
    </c:floor>
    <c:sideWall>
      <c:thickness val="0"/>
    </c:sideWall>
    <c:backWall>
      <c:thickness val="0"/>
    </c:backWall>
    <c:plotArea>
      <c:layout>
        <c:manualLayout>
          <c:layoutTarget val="inner"/>
          <c:xMode val="edge"/>
          <c:yMode val="edge"/>
          <c:x val="0.0727321842501646"/>
          <c:y val="0.118433062839622"/>
          <c:w val="0.845098659303673"/>
          <c:h val="0.810531222058781"/>
        </c:manualLayout>
      </c:layout>
      <c:pie3DChart>
        <c:varyColors val="1"/>
        <c:ser>
          <c:idx val="0"/>
          <c:order val="0"/>
          <c:tx>
            <c:strRef>
              <c:f>Sheet1!$B$1</c:f>
              <c:strCache>
                <c:ptCount val="1"/>
                <c:pt idx="0">
                  <c:v>2021年昌吉市财政公共收入比重示意图</c:v>
                </c:pt>
              </c:strCache>
            </c:strRef>
          </c:tx>
          <c:explosion val="0"/>
          <c:dPt>
            <c:idx val="0"/>
            <c:bubble3D val="0"/>
          </c:dPt>
          <c:dPt>
            <c:idx val="1"/>
            <c:bubble3D val="0"/>
          </c:dPt>
          <c:dPt>
            <c:idx val="2"/>
            <c:bubble3D val="0"/>
          </c:dPt>
          <c:dPt>
            <c:idx val="3"/>
            <c:bubble3D val="0"/>
          </c:dPt>
          <c:dPt>
            <c:idx val="4"/>
            <c:bubble3D val="0"/>
          </c:dPt>
          <c:dPt>
            <c:idx val="5"/>
            <c:bubble3D val="0"/>
          </c:dPt>
          <c:dPt>
            <c:idx val="6"/>
            <c:bubble3D val="0"/>
            <c:spPr>
              <a:solidFill>
                <a:schemeClr val="accent6">
                  <a:lumMod val="60000"/>
                  <a:lumOff val="40000"/>
                </a:schemeClr>
              </a:solidFill>
            </c:spPr>
          </c:dPt>
          <c:dPt>
            <c:idx val="7"/>
            <c:bubble3D val="0"/>
            <c:spPr>
              <a:solidFill>
                <a:schemeClr val="tx2">
                  <a:lumMod val="40000"/>
                  <a:lumOff val="60000"/>
                </a:schemeClr>
              </a:solidFill>
            </c:spPr>
          </c:dPt>
          <c:dPt>
            <c:idx val="8"/>
            <c:bubble3D val="0"/>
            <c:spPr>
              <a:solidFill>
                <a:schemeClr val="accent2">
                  <a:lumMod val="60000"/>
                  <a:lumOff val="40000"/>
                </a:schemeClr>
              </a:solidFill>
            </c:spPr>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Pt>
            <c:idx val="17"/>
            <c:bubble3D val="0"/>
          </c:dPt>
          <c:dPt>
            <c:idx val="18"/>
            <c:bubble3D val="0"/>
          </c:dPt>
          <c:dPt>
            <c:idx val="19"/>
            <c:bubble3D val="0"/>
          </c:dPt>
          <c:dPt>
            <c:idx val="20"/>
            <c:bubble3D val="0"/>
          </c:dPt>
          <c:dPt>
            <c:idx val="21"/>
            <c:bubble3D val="0"/>
          </c:dPt>
          <c:dPt>
            <c:idx val="22"/>
            <c:bubble3D val="0"/>
          </c:dPt>
          <c:dPt>
            <c:idx val="23"/>
            <c:bubble3D val="0"/>
          </c:dPt>
          <c:dPt>
            <c:idx val="24"/>
            <c:bubble3D val="0"/>
          </c:dPt>
          <c:dPt>
            <c:idx val="25"/>
            <c:bubble3D val="0"/>
          </c:dPt>
          <c:dPt>
            <c:idx val="26"/>
            <c:bubble3D val="0"/>
          </c:dPt>
          <c:dPt>
            <c:idx val="27"/>
            <c:bubble3D val="0"/>
          </c:dPt>
          <c:dPt>
            <c:idx val="28"/>
            <c:bubble3D val="0"/>
          </c:dPt>
          <c:dLbls>
            <c:dLbl>
              <c:idx val="0"/>
              <c:layout>
                <c:manualLayout>
                  <c:x val="0.00435109199740534"/>
                  <c:y val="-0.081809450474842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0135326883611844"/>
                  <c:y val="-0.26563981552779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0268215153844556"/>
                  <c:y val="-0.13038475868749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0424951234657673"/>
                  <c:y val="-0.048598325840184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053981998951978"/>
                  <c:y val="-0.021674159815196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0579739010196285"/>
                  <c:y val="-0.027628935972908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6"/>
              <c:layout>
                <c:manualLayout>
                  <c:x val="0.0464393754904348"/>
                  <c:y val="0.082657901707240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0590784785922378"/>
                  <c:y val="0.103202260267925"/>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8"/>
              <c:layout>
                <c:manualLayout>
                  <c:x val="0.0570937395712134"/>
                  <c:y val="0.11459141001870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9"/>
              <c:layout>
                <c:manualLayout>
                  <c:x val="0.105760388198898"/>
                  <c:y val="0.14921572876784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0"/>
              <c:layout>
                <c:manualLayout>
                  <c:x val="-0.0182977514408637"/>
                  <c:y val="0.071900599581015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1"/>
              <c:layout>
                <c:manualLayout>
                  <c:x val="-0.0482236419552799"/>
                  <c:y val="0.080524160692319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2"/>
              <c:layout>
                <c:manualLayout>
                  <c:x val="-0.0442264373945341"/>
                  <c:y val="0.066587346928637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3"/>
              <c:layout>
                <c:manualLayout>
                  <c:x val="-0.132949023573888"/>
                  <c:y val="0.0758709007527905"/>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4"/>
              <c:layout>
                <c:manualLayout>
                  <c:x val="-0.148911798396334"/>
                  <c:y val="0.020932199988762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5"/>
              <c:layout>
                <c:manualLayout>
                  <c:x val="-0.061141687186009"/>
                  <c:y val="0.010411680191352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6"/>
              <c:layout>
                <c:manualLayout>
                  <c:x val="-0.0316797647881401"/>
                  <c:y val="-1.65582295808466e-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7"/>
              <c:layout>
                <c:manualLayout>
                  <c:x val="-0.105749762809992"/>
                  <c:y val="-0.04933737383773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8"/>
              <c:layout>
                <c:manualLayout>
                  <c:x val="-0.00201534174982745"/>
                  <c:y val="-0.0721832799291256"/>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9"/>
              <c:layout>
                <c:manualLayout>
                  <c:x val="0.117299664521546"/>
                  <c:y val="0.0038380320345444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20"/>
              <c:layout>
                <c:manualLayout>
                  <c:x val="0.0870353726885505"/>
                  <c:y val="-0.0441641099380341"/>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numFmt formatCode="General" sourceLinked="0"/>
            <c:spPr>
              <a:noFill/>
              <a:ln cmpd="sng">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Sheet1!$A$2:$A$30</c:f>
              <c:strCache>
                <c:ptCount val="22"/>
                <c:pt idx="0">
                  <c:v>增值税</c:v>
                </c:pt>
                <c:pt idx="1">
                  <c:v>企业所得税</c:v>
                </c:pt>
                <c:pt idx="2">
                  <c:v>个人所得税</c:v>
                </c:pt>
                <c:pt idx="3">
                  <c:v>资源税</c:v>
                </c:pt>
                <c:pt idx="4">
                  <c:v>城维税</c:v>
                </c:pt>
                <c:pt idx="5">
                  <c:v>房产税</c:v>
                </c:pt>
                <c:pt idx="6">
                  <c:v>印花税</c:v>
                </c:pt>
                <c:pt idx="7">
                  <c:v>土地使用税</c:v>
                </c:pt>
                <c:pt idx="8">
                  <c:v>土地增值税</c:v>
                </c:pt>
                <c:pt idx="9">
                  <c:v>车船税</c:v>
                </c:pt>
                <c:pt idx="10">
                  <c:v>耕地占用税</c:v>
                </c:pt>
                <c:pt idx="11">
                  <c:v>契税</c:v>
                </c:pt>
                <c:pt idx="12">
                  <c:v>专项收入</c:v>
                </c:pt>
                <c:pt idx="13">
                  <c:v>行政事业性收费收入</c:v>
                </c:pt>
                <c:pt idx="14">
                  <c:v>罚没收入</c:v>
                </c:pt>
                <c:pt idx="15">
                  <c:v>国有资本经营收入</c:v>
                </c:pt>
                <c:pt idx="16">
                  <c:v>国有资源有偿使用收入</c:v>
                </c:pt>
                <c:pt idx="17">
                  <c:v>其他收入</c:v>
                </c:pt>
                <c:pt idx="18">
                  <c:v>政府住房基金收入</c:v>
                </c:pt>
                <c:pt idx="19">
                  <c:v>环境保护税</c:v>
                </c:pt>
                <c:pt idx="20">
                  <c:v>其他税收收入</c:v>
                </c:pt>
                <c:pt idx="21">
                  <c:v>捐赠收入</c:v>
                </c:pt>
              </c:strCache>
            </c:strRef>
          </c:cat>
          <c:val>
            <c:numRef>
              <c:f>Sheet1!$B$2:$B$30</c:f>
              <c:numCache>
                <c:formatCode>General</c:formatCode>
                <c:ptCount val="29"/>
                <c:pt idx="0">
                  <c:v>87404</c:v>
                </c:pt>
                <c:pt idx="1">
                  <c:v>24248</c:v>
                </c:pt>
                <c:pt idx="2">
                  <c:v>16748</c:v>
                </c:pt>
                <c:pt idx="3">
                  <c:v>1807</c:v>
                </c:pt>
                <c:pt idx="4">
                  <c:v>12644</c:v>
                </c:pt>
                <c:pt idx="5">
                  <c:v>18733</c:v>
                </c:pt>
                <c:pt idx="6">
                  <c:v>7737</c:v>
                </c:pt>
                <c:pt idx="7">
                  <c:v>14385</c:v>
                </c:pt>
                <c:pt idx="8">
                  <c:v>53298</c:v>
                </c:pt>
                <c:pt idx="9">
                  <c:v>7494</c:v>
                </c:pt>
                <c:pt idx="10">
                  <c:v>-6527</c:v>
                </c:pt>
                <c:pt idx="11">
                  <c:v>16085</c:v>
                </c:pt>
                <c:pt idx="12">
                  <c:v>12882</c:v>
                </c:pt>
                <c:pt idx="13">
                  <c:v>13506</c:v>
                </c:pt>
                <c:pt idx="14">
                  <c:v>7665</c:v>
                </c:pt>
                <c:pt idx="15">
                  <c:v>93148</c:v>
                </c:pt>
                <c:pt idx="16">
                  <c:v>21688</c:v>
                </c:pt>
                <c:pt idx="17">
                  <c:v>842</c:v>
                </c:pt>
                <c:pt idx="18">
                  <c:v>559</c:v>
                </c:pt>
                <c:pt idx="19">
                  <c:v>127</c:v>
                </c:pt>
                <c:pt idx="20">
                  <c:v>36</c:v>
                </c:pt>
                <c:pt idx="21">
                  <c:v>1321</c:v>
                </c:pt>
              </c:numCache>
            </c:numRef>
          </c:val>
        </c:ser>
        <c:dLbls>
          <c:showLegendKey val="0"/>
          <c:showVal val="1"/>
          <c:showCatName val="1"/>
          <c:showSerName val="0"/>
          <c:showPercent val="0"/>
          <c:showBubbleSize val="0"/>
        </c:dLbls>
      </c:pie3DChart>
    </c:plotArea>
    <c:plotVisOnly val="1"/>
    <c:dispBlanksAs val="gap"/>
    <c:showDLblsOverMax val="0"/>
    <c:extLst>
      <c:ext uri="{0b15fc19-7d7d-44ad-8c2d-2c3a37ce22c3}">
        <chartProps xmlns="https://web.wps.cn/et/2018/main" chartId="{eff8c09b-c6eb-4c19-b6ce-f5b31c653e2a}"/>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perspective val="30"/>
    </c:view3D>
    <c:floor>
      <c:thickness val="0"/>
    </c:floor>
    <c:sideWall>
      <c:thickness val="0"/>
    </c:sideWall>
    <c:backWall>
      <c:thickness val="0"/>
    </c:backWall>
    <c:plotArea>
      <c:layout>
        <c:manualLayout>
          <c:layoutTarget val="inner"/>
          <c:xMode val="edge"/>
          <c:yMode val="edge"/>
          <c:x val="0.0537495774471997"/>
          <c:y val="0.158653846153846"/>
          <c:w val="0.850936721507022"/>
          <c:h val="0.827991452991453"/>
        </c:manualLayout>
      </c:layout>
      <c:pie3DChart>
        <c:varyColors val="1"/>
        <c:ser>
          <c:idx val="0"/>
          <c:order val="0"/>
          <c:tx>
            <c:strRef>
              <c:f>Sheet1!$B$1</c:f>
              <c:strCache>
                <c:ptCount val="1"/>
                <c:pt idx="0">
                  <c:v>销售额</c:v>
                </c:pt>
              </c:strCache>
            </c:strRef>
          </c:tx>
          <c:explosion val="0"/>
          <c:dPt>
            <c:idx val="0"/>
            <c:bubble3D val="0"/>
          </c:dPt>
          <c:dPt>
            <c:idx val="1"/>
            <c:bubble3D val="0"/>
          </c:dPt>
          <c:dPt>
            <c:idx val="2"/>
            <c:bubble3D val="0"/>
          </c:dPt>
          <c:dPt>
            <c:idx val="3"/>
            <c:bubble3D val="0"/>
          </c:dPt>
          <c:dPt>
            <c:idx val="4"/>
            <c:bubble3D val="0"/>
          </c:dPt>
          <c:dPt>
            <c:idx val="5"/>
            <c:bubble3D val="0"/>
            <c:spPr>
              <a:solidFill>
                <a:srgbClr val="FFFF00"/>
              </a:solidFill>
            </c:spPr>
          </c:dPt>
          <c:dPt>
            <c:idx val="6"/>
            <c:bubble3D val="0"/>
          </c:dPt>
          <c:dPt>
            <c:idx val="7"/>
            <c:bubble3D val="0"/>
          </c:dPt>
          <c:dPt>
            <c:idx val="8"/>
            <c:bubble3D val="0"/>
          </c:dPt>
          <c:dPt>
            <c:idx val="9"/>
            <c:bubble3D val="0"/>
          </c:dPt>
          <c:dPt>
            <c:idx val="10"/>
            <c:bubble3D val="0"/>
          </c:dPt>
          <c:dPt>
            <c:idx val="11"/>
            <c:bubble3D val="0"/>
          </c:dPt>
          <c:dPt>
            <c:idx val="12"/>
            <c:bubble3D val="0"/>
          </c:dPt>
          <c:dPt>
            <c:idx val="13"/>
            <c:bubble3D val="0"/>
          </c:dPt>
          <c:dPt>
            <c:idx val="14"/>
            <c:bubble3D val="0"/>
          </c:dPt>
          <c:dPt>
            <c:idx val="15"/>
            <c:bubble3D val="0"/>
          </c:dPt>
          <c:dPt>
            <c:idx val="16"/>
            <c:bubble3D val="0"/>
          </c:dPt>
          <c:dPt>
            <c:idx val="17"/>
            <c:bubble3D val="0"/>
          </c:dPt>
          <c:dPt>
            <c:idx val="18"/>
            <c:bubble3D val="0"/>
          </c:dPt>
          <c:dPt>
            <c:idx val="19"/>
            <c:bubble3D val="0"/>
          </c:dPt>
          <c:dPt>
            <c:idx val="20"/>
            <c:bubble3D val="0"/>
          </c:dPt>
          <c:dPt>
            <c:idx val="21"/>
            <c:bubble3D val="0"/>
          </c:dPt>
          <c:dPt>
            <c:idx val="22"/>
            <c:bubble3D val="0"/>
          </c:dPt>
          <c:dLbls>
            <c:dLbl>
              <c:idx val="0"/>
              <c:layout>
                <c:manualLayout>
                  <c:x val="0.241219105200037"/>
                  <c:y val="-0.0193766404199475"/>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
              <c:layout>
                <c:manualLayout>
                  <c:x val="0.241503749685104"/>
                  <c:y val="-0.0057365906184803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2"/>
              <c:layout>
                <c:manualLayout>
                  <c:x val="0.233008769720028"/>
                  <c:y val="-0.022618614980819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3"/>
              <c:layout>
                <c:manualLayout>
                  <c:x val="0.0685704688882717"/>
                  <c:y val="-0.158945925028602"/>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4"/>
              <c:layout>
                <c:manualLayout>
                  <c:x val="0.0724522273107986"/>
                  <c:y val="-0.063974695470758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5"/>
              <c:layout>
                <c:manualLayout>
                  <c:x val="0.0869091527627955"/>
                  <c:y val="-0.032619456221818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6"/>
              <c:layout>
                <c:manualLayout>
                  <c:x val="0.11848625976716"/>
                  <c:y val="-0.025083955851672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7"/>
              <c:layout>
                <c:manualLayout>
                  <c:x val="0.137174096059978"/>
                  <c:y val="-0.00081028332996836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8"/>
              <c:layout>
                <c:manualLayout>
                  <c:x val="-0.0726373108201508"/>
                  <c:y val="0"/>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9"/>
              <c:layout>
                <c:manualLayout>
                  <c:x val="-0.0210441414265383"/>
                  <c:y val="0.084413991520290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0"/>
              <c:layout>
                <c:manualLayout>
                  <c:x val="-0.164007759899578"/>
                  <c:y val="0.048569217309374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1"/>
              <c:layout>
                <c:manualLayout>
                  <c:x val="-0.241290330915362"/>
                  <c:y val="0.0550869843192678"/>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2"/>
              <c:layout>
                <c:manualLayout>
                  <c:x val="-0.206123430633517"/>
                  <c:y val="0.026729423245171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3"/>
              <c:layout>
                <c:manualLayout>
                  <c:x val="-0.204906091004416"/>
                  <c:y val="-0.016171512214819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4"/>
              <c:layout>
                <c:manualLayout>
                  <c:x val="-0.204656456499131"/>
                  <c:y val="-0.063106366511878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5"/>
              <c:layout>
                <c:manualLayout>
                  <c:x val="-0.153029181442558"/>
                  <c:y val="-0.106909785315297"/>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6"/>
              <c:layout>
                <c:manualLayout>
                  <c:x val="-0.0377581555381869"/>
                  <c:y val="-0.111717477622989"/>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7"/>
              <c:layout>
                <c:manualLayout>
                  <c:x val="0.129807789612845"/>
                  <c:y val="-0.112785853691365"/>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8"/>
              <c:layout>
                <c:manualLayout>
                  <c:x val="0.242680136681028"/>
                  <c:y val="-0.118661922067434"/>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19"/>
              <c:layout>
                <c:manualLayout>
                  <c:x val="0.163479380499915"/>
                  <c:y val="-0.0631063665118783"/>
                </c:manualLayout>
              </c:layout>
              <c:dLblPos val="bestFit"/>
              <c:showLegendKey val="0"/>
              <c:showVal val="1"/>
              <c:showCatName val="1"/>
              <c:showSerName val="0"/>
              <c:showPercent val="0"/>
              <c:showBubbleSize val="0"/>
              <c:extLst>
                <c:ext xmlns:c15="http://schemas.microsoft.com/office/drawing/2012/chart" uri="{CE6537A1-D6FC-4f65-9D91-7224C49458BB}">
                  <c15:layout/>
                </c:ext>
              </c:extLst>
            </c:dLbl>
            <c:dLbl>
              <c:idx val="20"/>
              <c:layout>
                <c:manualLayout>
                  <c:x val="0.205906050094846"/>
                  <c:y val="-0.00978363281512888"/>
                </c:manualLayout>
              </c:layout>
              <c:tx>
                <c:rich>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r>
                      <a:rPr lang="zh-CN" altLang="en-US"/>
                      <a:t>债务发行费用</a:t>
                    </a:r>
                    <a:r>
                      <a:rPr lang="en-US" altLang="zh-CN"/>
                      <a:t>85</a:t>
                    </a:r>
                    <a:endParaRPr lang="en-US" altLang="zh-CN"/>
                  </a:p>
                </c:rich>
              </c:tx>
              <c:dLblPos val="bestFit"/>
              <c:showLegendKey val="0"/>
              <c:showVal val="1"/>
              <c:showCatName val="1"/>
              <c:showSerName val="0"/>
              <c:showPercent val="0"/>
              <c:showBubbleSize val="0"/>
              <c:extLst>
                <c:ext xmlns:c15="http://schemas.microsoft.com/office/drawing/2012/chart" uri="{CE6537A1-D6FC-4f65-9D91-7224C49458BB}">
                  <c15:layout/>
                </c:ext>
              </c:extLst>
            </c:dLbl>
            <c:dLbl>
              <c:idx val="21"/>
              <c:layout>
                <c:manualLayout>
                  <c:x val="0.20932410930176"/>
                  <c:y val="-0.0519846557641833"/>
                </c:manualLayout>
              </c:layout>
              <c:tx>
                <c:rich>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r>
                      <a:rPr lang="en-US" altLang="en-US"/>
                      <a:t>, </a:t>
                    </a:r>
                    <a:r>
                      <a:rPr lang="zh-CN" altLang="en-US"/>
                      <a:t>金融支出</a:t>
                    </a:r>
                    <a:r>
                      <a:rPr lang="en-US" altLang="en-US"/>
                      <a:t>408</a:t>
                    </a:r>
                    <a:endParaRPr lang="en-US" altLang="en-US"/>
                  </a:p>
                </c:rich>
              </c:tx>
              <c:dLblPos val="bestFit"/>
              <c:showLegendKey val="0"/>
              <c:showVal val="1"/>
              <c:showCatName val="1"/>
              <c:showSerName val="0"/>
              <c:showPercent val="0"/>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1"/>
            <c:showCatName val="1"/>
            <c:showSerName val="0"/>
            <c:showPercent val="0"/>
            <c:showBubbleSize val="0"/>
            <c:showLeaderLines val="1"/>
            <c:extLst>
              <c:ext xmlns:c15="http://schemas.microsoft.com/office/drawing/2012/chart" uri="{CE6537A1-D6FC-4f65-9D91-7224C49458BB}">
                <c15:layout/>
                <c15:showLeaderLines val="1"/>
                <c15:leaderLines/>
              </c:ext>
            </c:extLst>
          </c:dLbls>
          <c:cat>
            <c:strRef>
              <c:f>Sheet1!$A$2:$A$20</c:f>
              <c:strCache>
                <c:ptCount val="19"/>
                <c:pt idx="0">
                  <c:v>一般公共服务</c:v>
                </c:pt>
                <c:pt idx="1">
                  <c:v>公共安全</c:v>
                </c:pt>
                <c:pt idx="2">
                  <c:v>教育</c:v>
                </c:pt>
                <c:pt idx="3">
                  <c:v>科学技术</c:v>
                </c:pt>
                <c:pt idx="4">
                  <c:v>文化体育与传媒</c:v>
                </c:pt>
                <c:pt idx="5">
                  <c:v>社会保障</c:v>
                </c:pt>
                <c:pt idx="6">
                  <c:v>医疗卫生</c:v>
                </c:pt>
                <c:pt idx="7">
                  <c:v>环境保护</c:v>
                </c:pt>
                <c:pt idx="8">
                  <c:v>城乡社区事务</c:v>
                </c:pt>
                <c:pt idx="9">
                  <c:v>农林水事务</c:v>
                </c:pt>
                <c:pt idx="10">
                  <c:v>交通运输</c:v>
                </c:pt>
                <c:pt idx="11">
                  <c:v>资源勘探电力信息等事务</c:v>
                </c:pt>
                <c:pt idx="12">
                  <c:v>商业服务业等支出</c:v>
                </c:pt>
                <c:pt idx="13">
                  <c:v>国土资源气象等事务</c:v>
                </c:pt>
                <c:pt idx="14">
                  <c:v>住房保障</c:v>
                </c:pt>
                <c:pt idx="15">
                  <c:v>粮油物资储备事务</c:v>
                </c:pt>
                <c:pt idx="16">
                  <c:v>灾害防治及应急管理支出</c:v>
                </c:pt>
                <c:pt idx="17">
                  <c:v>其他支出</c:v>
                </c:pt>
                <c:pt idx="18">
                  <c:v>债务付息</c:v>
                </c:pt>
              </c:strCache>
            </c:strRef>
          </c:cat>
          <c:val>
            <c:numRef>
              <c:f>Sheet1!$B$2:$B$24</c:f>
              <c:numCache>
                <c:formatCode>General</c:formatCode>
                <c:ptCount val="23"/>
                <c:pt idx="0">
                  <c:v>61338</c:v>
                </c:pt>
                <c:pt idx="1">
                  <c:v>76423</c:v>
                </c:pt>
                <c:pt idx="2">
                  <c:v>108393</c:v>
                </c:pt>
                <c:pt idx="3">
                  <c:v>3002</c:v>
                </c:pt>
                <c:pt idx="4">
                  <c:v>4569</c:v>
                </c:pt>
                <c:pt idx="5">
                  <c:v>44392</c:v>
                </c:pt>
                <c:pt idx="6">
                  <c:v>25327</c:v>
                </c:pt>
                <c:pt idx="7">
                  <c:v>4288</c:v>
                </c:pt>
                <c:pt idx="8">
                  <c:v>159963</c:v>
                </c:pt>
                <c:pt idx="9">
                  <c:v>87413</c:v>
                </c:pt>
                <c:pt idx="10">
                  <c:v>8139</c:v>
                </c:pt>
                <c:pt idx="11">
                  <c:v>26934</c:v>
                </c:pt>
                <c:pt idx="12">
                  <c:v>5126</c:v>
                </c:pt>
                <c:pt idx="13">
                  <c:v>12802</c:v>
                </c:pt>
                <c:pt idx="14">
                  <c:v>19687</c:v>
                </c:pt>
                <c:pt idx="15">
                  <c:v>142</c:v>
                </c:pt>
                <c:pt idx="16">
                  <c:v>4653</c:v>
                </c:pt>
                <c:pt idx="17">
                  <c:v>1373</c:v>
                </c:pt>
                <c:pt idx="18">
                  <c:v>14564</c:v>
                </c:pt>
                <c:pt idx="19">
                  <c:v>189</c:v>
                </c:pt>
                <c:pt idx="20">
                  <c:v>103</c:v>
                </c:pt>
              </c:numCache>
            </c:numRef>
          </c:val>
        </c:ser>
        <c:dLbls>
          <c:showLegendKey val="0"/>
          <c:showVal val="1"/>
          <c:showCatName val="1"/>
          <c:showSerName val="0"/>
          <c:showPercent val="0"/>
          <c:showBubbleSize val="0"/>
        </c:dLbls>
      </c:pie3DChart>
    </c:plotArea>
    <c:plotVisOnly val="1"/>
    <c:dispBlanksAs val="gap"/>
    <c:showDLblsOverMax val="0"/>
    <c:extLst>
      <c:ext uri="{0b15fc19-7d7d-44ad-8c2d-2c3a37ce22c3}">
        <chartProps xmlns="https://web.wps.cn/et/2018/main" chartId="{ff79d96b-2b88-4e8e-9f62-74eeb97b30a4}"/>
      </c:ext>
    </c:extLst>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425C6-2388-449C-8C39-A31363F76DFC}">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10</Pages>
  <Words>4835</Words>
  <Characters>5779</Characters>
  <Lines>41</Lines>
  <Paragraphs>11</Paragraphs>
  <TotalTime>1565</TotalTime>
  <ScaleCrop>false</ScaleCrop>
  <LinksUpToDate>false</LinksUpToDate>
  <CharactersWithSpaces>5796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2020-03-26T09:26:00Z</dcterms:created>
  <dc:creator>Administrator</dc:creator>
  <cp:lastModifiedBy>陈蕾</cp:lastModifiedBy>
  <dcterms:modified xsi:type="dcterms:W3CDTF">2024-12-18T05:20:43Z</dcterms:modified>
  <cp:revision>105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BB3E6BE1B95048E8BBC2B66FD0B0C85E_12</vt:lpwstr>
  </property>
</Properties>
</file>