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540" w:lineRule="exact"/>
        <w:ind w:firstLine="960"/>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昌吉市项目代建管理局部门单位整体支出绩效评价报告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（2022年度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700" w:lineRule="exact"/>
        <w:ind w:firstLine="720"/>
        <w:jc w:val="left"/>
        <w:rPr>
          <w:rFonts w:ascii="黑体" w:hAnsi="黑体" w:eastAsia="黑体" w:cs="黑体"/>
          <w:bCs/>
          <w:sz w:val="36"/>
          <w:szCs w:val="36"/>
        </w:rPr>
      </w:pPr>
      <w:r>
        <w:rPr>
          <w:rFonts w:hint="eastAsia" w:ascii="黑体" w:hAnsi="黑体" w:eastAsia="黑体" w:cs="黑体"/>
          <w:bCs/>
          <w:sz w:val="36"/>
          <w:szCs w:val="36"/>
        </w:rPr>
        <w:t>部门单位名称（公章）：昌吉市项目代建管理局</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填报时间：  2023年 2月 20日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3"/>
        <w:ind w:firstLine="640"/>
        <w:rPr>
          <w:rFonts w:ascii="黑体" w:hAnsi="黑体"/>
          <w:b w:val="0"/>
          <w:sz w:val="32"/>
          <w:szCs w:val="32"/>
        </w:rPr>
      </w:pPr>
      <w:r>
        <w:rPr>
          <w:rFonts w:hint="eastAsia" w:ascii="黑体" w:hAnsi="黑体"/>
          <w:b w:val="0"/>
          <w:sz w:val="32"/>
          <w:szCs w:val="32"/>
        </w:rPr>
        <w:t>一、基本概况</w:t>
      </w:r>
    </w:p>
    <w:p>
      <w:pPr>
        <w:pStyle w:val="4"/>
        <w:ind w:firstLine="643"/>
        <w:rPr>
          <w:rFonts w:ascii="楷体_GB2312" w:eastAsia="楷体_GB2312"/>
          <w:szCs w:val="32"/>
        </w:rPr>
      </w:pPr>
      <w:r>
        <w:rPr>
          <w:rFonts w:hint="eastAsia" w:ascii="楷体_GB2312" w:eastAsia="楷体_GB2312"/>
          <w:szCs w:val="32"/>
        </w:rPr>
        <w:t>（一）单位基本情况</w:t>
      </w:r>
    </w:p>
    <w:p>
      <w:pPr>
        <w:ind w:firstLine="643"/>
        <w:rPr>
          <w:rFonts w:ascii="仿宋_GB2312" w:eastAsia="仿宋_GB2312"/>
          <w:b/>
          <w:bCs/>
          <w:sz w:val="32"/>
          <w:szCs w:val="32"/>
        </w:rPr>
      </w:pPr>
      <w:r>
        <w:rPr>
          <w:rFonts w:hint="eastAsia" w:ascii="仿宋_GB2312" w:eastAsia="仿宋_GB2312"/>
          <w:b/>
          <w:bCs/>
          <w:sz w:val="32"/>
          <w:szCs w:val="32"/>
        </w:rPr>
        <w:t>1.机构设置及人员情况</w:t>
      </w:r>
    </w:p>
    <w:p>
      <w:pPr>
        <w:spacing w:line="540" w:lineRule="exact"/>
        <w:ind w:firstLine="640"/>
        <w:rPr>
          <w:rFonts w:cs="仿宋"/>
          <w:color w:val="000000"/>
          <w:sz w:val="32"/>
          <w:szCs w:val="32"/>
        </w:rPr>
      </w:pPr>
      <w:r>
        <w:rPr>
          <w:rFonts w:hint="eastAsia" w:ascii="仿宋_GB2312" w:eastAsia="仿宋_GB2312"/>
          <w:sz w:val="32"/>
          <w:szCs w:val="32"/>
        </w:rPr>
        <w:t>昌吉市项目代建管理局无下属预算单位，下设6个科室，分别是：</w:t>
      </w:r>
      <w:r>
        <w:rPr>
          <w:rFonts w:hint="eastAsia" w:ascii="仿宋_GB2312" w:hAnsi="宋体" w:eastAsia="仿宋_GB2312"/>
          <w:sz w:val="32"/>
          <w:szCs w:val="32"/>
        </w:rPr>
        <w:t>办公室、财务科、前期科、合同预算科、建设科、工程科</w:t>
      </w:r>
      <w:r>
        <w:rPr>
          <w:rFonts w:hint="eastAsia" w:cs="仿宋"/>
          <w:color w:val="000000"/>
          <w:sz w:val="32"/>
          <w:szCs w:val="32"/>
        </w:rPr>
        <w:t>。</w:t>
      </w:r>
    </w:p>
    <w:p>
      <w:pPr>
        <w:ind w:firstLine="640"/>
        <w:rPr>
          <w:sz w:val="32"/>
        </w:rPr>
      </w:pPr>
      <w:r>
        <w:rPr>
          <w:rFonts w:hint="eastAsia" w:ascii="仿宋_GB2312" w:eastAsia="仿宋_GB2312"/>
          <w:sz w:val="32"/>
          <w:szCs w:val="32"/>
        </w:rPr>
        <w:t>昌吉市项目代建管理局编制数10，实有人数10人，聘用人数30人。</w:t>
      </w:r>
    </w:p>
    <w:p>
      <w:pPr>
        <w:numPr>
          <w:ilvl w:val="0"/>
          <w:numId w:val="1"/>
        </w:numPr>
        <w:ind w:firstLine="643"/>
        <w:rPr>
          <w:rFonts w:ascii="仿宋_GB2312" w:eastAsia="仿宋_GB2312"/>
          <w:b/>
          <w:bCs/>
          <w:sz w:val="32"/>
          <w:szCs w:val="32"/>
        </w:rPr>
      </w:pPr>
      <w:r>
        <w:rPr>
          <w:rFonts w:hint="eastAsia" w:ascii="仿宋_GB2312" w:eastAsia="仿宋_GB2312"/>
          <w:b/>
          <w:bCs/>
          <w:sz w:val="32"/>
          <w:szCs w:val="32"/>
        </w:rPr>
        <w:t>主要职能</w:t>
      </w:r>
    </w:p>
    <w:p>
      <w:pPr>
        <w:numPr>
          <w:ilvl w:val="0"/>
          <w:numId w:val="2"/>
        </w:numPr>
        <w:spacing w:line="540" w:lineRule="exact"/>
        <w:ind w:firstLine="640"/>
        <w:rPr>
          <w:rFonts w:cs="仿宋"/>
          <w:color w:val="000000"/>
          <w:sz w:val="32"/>
          <w:szCs w:val="32"/>
        </w:rPr>
      </w:pPr>
      <w:r>
        <w:rPr>
          <w:rFonts w:hint="eastAsia" w:cs="仿宋"/>
          <w:color w:val="000000"/>
          <w:sz w:val="32"/>
          <w:szCs w:val="32"/>
        </w:rPr>
        <w:t>昌吉市项目代建管理局主要工作职责开展由市委、市人民政府确定的本年度项目工程的建设与管理；</w:t>
      </w:r>
    </w:p>
    <w:p>
      <w:pPr>
        <w:numPr>
          <w:ilvl w:val="0"/>
          <w:numId w:val="2"/>
        </w:numPr>
        <w:spacing w:line="540" w:lineRule="exact"/>
        <w:ind w:firstLine="640"/>
        <w:rPr>
          <w:rStyle w:val="13"/>
          <w:b w:val="0"/>
          <w:spacing w:val="-4"/>
          <w:sz w:val="32"/>
          <w:szCs w:val="32"/>
        </w:rPr>
      </w:pPr>
      <w:r>
        <w:rPr>
          <w:rFonts w:hint="eastAsia" w:cs="仿宋"/>
          <w:color w:val="000000"/>
          <w:sz w:val="32"/>
          <w:szCs w:val="32"/>
        </w:rPr>
        <w:t>依据批准的政府投资建设项目立项批复，组织开展项目规划、勘察设计编制工作，办理项目建设前期各项手续；</w:t>
      </w:r>
    </w:p>
    <w:p>
      <w:pPr>
        <w:numPr>
          <w:ilvl w:val="0"/>
          <w:numId w:val="2"/>
        </w:numPr>
        <w:spacing w:line="540" w:lineRule="exact"/>
        <w:ind w:firstLine="640"/>
        <w:rPr>
          <w:rStyle w:val="13"/>
          <w:b w:val="0"/>
          <w:spacing w:val="-4"/>
          <w:sz w:val="32"/>
          <w:szCs w:val="32"/>
        </w:rPr>
      </w:pPr>
      <w:r>
        <w:rPr>
          <w:rFonts w:hint="eastAsia" w:cs="仿宋"/>
          <w:color w:val="000000"/>
          <w:sz w:val="32"/>
          <w:szCs w:val="32"/>
        </w:rPr>
        <w:t>组织编制项目预算，按规定程序报批后申请拨款；</w:t>
      </w:r>
    </w:p>
    <w:p>
      <w:pPr>
        <w:numPr>
          <w:ilvl w:val="0"/>
          <w:numId w:val="2"/>
        </w:numPr>
        <w:spacing w:line="540" w:lineRule="exact"/>
        <w:ind w:firstLine="640"/>
        <w:rPr>
          <w:rStyle w:val="13"/>
          <w:b w:val="0"/>
          <w:spacing w:val="-4"/>
          <w:sz w:val="32"/>
          <w:szCs w:val="32"/>
        </w:rPr>
      </w:pPr>
      <w:r>
        <w:rPr>
          <w:rFonts w:hint="eastAsia" w:cs="仿宋"/>
          <w:color w:val="000000"/>
          <w:sz w:val="32"/>
          <w:szCs w:val="32"/>
        </w:rPr>
        <w:t>组织工程施工、监理和设备、材料采购招标工作并签订合同；</w:t>
      </w:r>
    </w:p>
    <w:p>
      <w:pPr>
        <w:numPr>
          <w:ilvl w:val="0"/>
          <w:numId w:val="2"/>
        </w:numPr>
        <w:spacing w:line="540" w:lineRule="exact"/>
        <w:ind w:firstLine="640"/>
        <w:rPr>
          <w:rStyle w:val="13"/>
          <w:b w:val="0"/>
          <w:spacing w:val="-4"/>
          <w:sz w:val="32"/>
          <w:szCs w:val="32"/>
        </w:rPr>
      </w:pPr>
      <w:r>
        <w:rPr>
          <w:rFonts w:hint="eastAsia" w:cs="仿宋"/>
          <w:color w:val="000000"/>
          <w:sz w:val="32"/>
          <w:szCs w:val="32"/>
        </w:rPr>
        <w:t>负责对建设项目工程质量、安全生产进行管理；负责编制项目竣工决算，组织项目竣工验收；</w:t>
      </w:r>
    </w:p>
    <w:p>
      <w:pPr>
        <w:numPr>
          <w:ilvl w:val="0"/>
          <w:numId w:val="2"/>
        </w:numPr>
        <w:spacing w:line="540" w:lineRule="exact"/>
        <w:ind w:firstLine="640"/>
        <w:rPr>
          <w:rFonts w:ascii="仿宋_GB2312" w:hAnsi="宋体" w:eastAsia="仿宋_GB2312"/>
          <w:sz w:val="32"/>
          <w:szCs w:val="32"/>
        </w:rPr>
      </w:pPr>
      <w:r>
        <w:rPr>
          <w:rFonts w:hint="eastAsia" w:cs="仿宋"/>
          <w:color w:val="000000"/>
          <w:sz w:val="32"/>
          <w:szCs w:val="32"/>
        </w:rPr>
        <w:t>负责向使用单位移交工程建设资料、档案、并办理资产移交手续。</w:t>
      </w:r>
    </w:p>
    <w:p>
      <w:pPr>
        <w:numPr>
          <w:ilvl w:val="0"/>
          <w:numId w:val="1"/>
        </w:numPr>
        <w:ind w:firstLine="643"/>
        <w:rPr>
          <w:rFonts w:ascii="仿宋_GB2312" w:eastAsia="仿宋_GB2312"/>
          <w:b/>
          <w:bCs/>
          <w:sz w:val="32"/>
          <w:szCs w:val="32"/>
        </w:rPr>
      </w:pPr>
      <w:r>
        <w:rPr>
          <w:rFonts w:hint="eastAsia" w:ascii="仿宋_GB2312" w:eastAsia="仿宋_GB2312"/>
          <w:b/>
          <w:bCs/>
          <w:sz w:val="32"/>
          <w:szCs w:val="32"/>
        </w:rPr>
        <w:t>年度重点工作计划</w:t>
      </w:r>
    </w:p>
    <w:p>
      <w:pPr>
        <w:ind w:firstLine="640"/>
        <w:jc w:val="left"/>
        <w:rPr>
          <w:rFonts w:ascii="仿宋_GB2312" w:hAnsi="宋体" w:eastAsia="仿宋_GB2312"/>
          <w:sz w:val="32"/>
          <w:szCs w:val="32"/>
        </w:rPr>
      </w:pPr>
      <w:r>
        <w:rPr>
          <w:rFonts w:hint="eastAsia" w:cs="仿宋"/>
          <w:color w:val="000000"/>
          <w:sz w:val="32"/>
          <w:szCs w:val="32"/>
        </w:rPr>
        <w:t>（1）</w:t>
      </w:r>
      <w:r>
        <w:rPr>
          <w:rFonts w:hint="eastAsia" w:ascii="仿宋_GB2312" w:hAnsi="宋体" w:eastAsia="仿宋_GB2312"/>
          <w:sz w:val="32"/>
          <w:szCs w:val="32"/>
        </w:rPr>
        <w:t>2022年房建项目共计</w:t>
      </w:r>
      <w:r>
        <w:rPr>
          <w:rFonts w:ascii="仿宋_GB2312" w:hAnsi="宋体" w:eastAsia="仿宋_GB2312"/>
          <w:sz w:val="32"/>
          <w:szCs w:val="32"/>
        </w:rPr>
        <w:t>46</w:t>
      </w:r>
      <w:r>
        <w:rPr>
          <w:rFonts w:hint="eastAsia" w:ascii="仿宋_GB2312" w:hAnsi="宋体" w:eastAsia="仿宋_GB2312"/>
          <w:sz w:val="32"/>
          <w:szCs w:val="32"/>
        </w:rPr>
        <w:t>项</w:t>
      </w:r>
      <w:r>
        <w:rPr>
          <w:rFonts w:ascii="仿宋_GB2312" w:hAnsi="宋体" w:eastAsia="仿宋_GB2312"/>
          <w:sz w:val="32"/>
          <w:szCs w:val="32"/>
        </w:rPr>
        <w:t>(其中续建项目21项，总投资40.360316亿元，已完成29.38345亿元；新建项目25项：总投资13.1849亿，已完成3.44228亿元)，其中教育类项目29项，卫健类项目5项，民政类3项，其他基础设施建设类9个； 2022年乡村振兴项目共计43项，涉及10个乡镇44个示范村，2个涉农街道，总投资9.1亿元，已完成投资额4.5亿元。</w:t>
      </w:r>
    </w:p>
    <w:p>
      <w:pPr>
        <w:numPr>
          <w:ilvl w:val="0"/>
          <w:numId w:val="3"/>
        </w:numPr>
        <w:spacing w:line="540" w:lineRule="exact"/>
        <w:ind w:firstLine="624"/>
        <w:rPr>
          <w:rStyle w:val="13"/>
          <w:b w:val="0"/>
          <w:spacing w:val="-4"/>
          <w:sz w:val="32"/>
          <w:szCs w:val="32"/>
        </w:rPr>
      </w:pPr>
      <w:r>
        <w:rPr>
          <w:rStyle w:val="13"/>
          <w:rFonts w:hint="eastAsia"/>
          <w:b w:val="0"/>
          <w:spacing w:val="-4"/>
          <w:sz w:val="32"/>
          <w:szCs w:val="32"/>
        </w:rPr>
        <w:t>逐步完善昌吉市城区配套幼儿、中小学生教学设施条件，使幼儿、中小学生教育基础设施早日达到全国同类幼儿园、中小学的平均水平，以满足昌吉市幼儿园、中小学全体师生的教育教学设施需求；</w:t>
      </w:r>
    </w:p>
    <w:p>
      <w:pPr>
        <w:numPr>
          <w:ilvl w:val="0"/>
          <w:numId w:val="3"/>
        </w:numPr>
        <w:spacing w:line="540" w:lineRule="exact"/>
        <w:ind w:firstLine="624"/>
        <w:rPr>
          <w:rStyle w:val="13"/>
          <w:b w:val="0"/>
          <w:spacing w:val="-4"/>
          <w:sz w:val="32"/>
          <w:szCs w:val="32"/>
        </w:rPr>
      </w:pPr>
      <w:r>
        <w:rPr>
          <w:rStyle w:val="13"/>
          <w:rFonts w:hint="eastAsia"/>
          <w:b w:val="0"/>
          <w:spacing w:val="-4"/>
          <w:sz w:val="32"/>
          <w:szCs w:val="32"/>
        </w:rPr>
        <w:t>医疗类项目大幅度地提高群众健康保障水平，保障辖区残疾人康复的需求，促进昌吉市卫生事业和残疾人康复事业的全面发展，促进区域经济社会全面、协调和持续发展；</w:t>
      </w:r>
    </w:p>
    <w:p>
      <w:pPr>
        <w:pStyle w:val="2"/>
        <w:ind w:firstLine="0" w:firstLineChars="0"/>
        <w:rPr>
          <w:sz w:val="32"/>
        </w:rPr>
      </w:pPr>
      <w:r>
        <w:rPr>
          <w:rStyle w:val="13"/>
          <w:rFonts w:hint="eastAsia" w:ascii="仿宋" w:hAnsi="仿宋" w:eastAsia="仿宋"/>
          <w:b w:val="0"/>
          <w:bCs/>
          <w:spacing w:val="-4"/>
          <w:sz w:val="32"/>
        </w:rPr>
        <w:t>政法类项目履行治安巡控、接警处警、交通管理、受理求助、动态掌控、法制宣传、备警处突“七项职能”。 有效保障社会局势持续稳定，增强群众的安全感。</w:t>
      </w:r>
    </w:p>
    <w:p>
      <w:pPr>
        <w:pStyle w:val="4"/>
        <w:tabs>
          <w:tab w:val="left" w:pos="6195"/>
        </w:tabs>
        <w:ind w:firstLine="643"/>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640"/>
        <w:rPr>
          <w:rFonts w:ascii="仿宋_GB2312" w:eastAsia="仿宋_GB2312"/>
          <w:b/>
          <w:bCs/>
          <w:sz w:val="32"/>
          <w:szCs w:val="32"/>
        </w:rPr>
      </w:pPr>
      <w:r>
        <w:rPr>
          <w:rFonts w:hint="eastAsia" w:ascii="仿宋_GB2312" w:eastAsia="仿宋_GB2312"/>
          <w:color w:val="000000" w:themeColor="text1"/>
          <w:sz w:val="32"/>
          <w:szCs w:val="32"/>
        </w:rPr>
        <w:t>我单位决策机制根据行政事业单位内部控制体系建设相关要求，逐步完善《三重一大会议制度》，单位内控制度进行单位事项决策。</w:t>
      </w:r>
    </w:p>
    <w:p>
      <w:pPr>
        <w:pStyle w:val="4"/>
        <w:numPr>
          <w:ilvl w:val="0"/>
          <w:numId w:val="4"/>
        </w:numPr>
        <w:ind w:firstLine="643"/>
        <w:rPr>
          <w:rFonts w:ascii="楷体_GB2312" w:eastAsia="楷体_GB2312"/>
          <w:szCs w:val="32"/>
        </w:rPr>
      </w:pPr>
      <w:r>
        <w:rPr>
          <w:rFonts w:hint="eastAsia" w:ascii="楷体_GB2312" w:eastAsia="楷体_GB2312"/>
          <w:szCs w:val="32"/>
        </w:rPr>
        <w:t>单位资金分配情况</w:t>
      </w:r>
    </w:p>
    <w:p>
      <w:pPr>
        <w:widowControl/>
        <w:ind w:firstLine="643"/>
        <w:jc w:val="left"/>
        <w:rPr>
          <w:rFonts w:ascii="仿宋_GB2312" w:eastAsia="仿宋_GB2312" w:cs="仿宋"/>
          <w:color w:val="000000" w:themeColor="text1"/>
          <w:sz w:val="32"/>
          <w:szCs w:val="32"/>
        </w:rPr>
      </w:pPr>
      <w:r>
        <w:rPr>
          <w:rFonts w:hint="eastAsia" w:ascii="仿宋_GB2312" w:eastAsia="仿宋_GB2312" w:cs="仿宋"/>
          <w:b/>
          <w:sz w:val="32"/>
          <w:szCs w:val="32"/>
        </w:rPr>
        <w:t>1.分配依据及结果。</w:t>
      </w:r>
      <w:r>
        <w:rPr>
          <w:rFonts w:hint="eastAsia" w:ascii="仿宋_GB2312" w:eastAsia="仿宋_GB2312" w:cs="仿宋"/>
          <w:color w:val="000000" w:themeColor="text1"/>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3"/>
        <w:jc w:val="left"/>
        <w:rPr>
          <w:rFonts w:ascii="仿宋_GB2312" w:eastAsia="仿宋_GB2312" w:cs="仿宋"/>
          <w:color w:val="FF0000"/>
          <w:sz w:val="32"/>
          <w:szCs w:val="32"/>
        </w:rPr>
      </w:pPr>
      <w:r>
        <w:rPr>
          <w:rFonts w:hint="eastAsia" w:ascii="仿宋_GB2312" w:eastAsia="仿宋_GB2312" w:cs="仿宋"/>
          <w:b/>
          <w:sz w:val="32"/>
          <w:szCs w:val="32"/>
        </w:rPr>
        <w:t>2.</w:t>
      </w:r>
      <w:r>
        <w:rPr>
          <w:rFonts w:hint="eastAsia" w:ascii="仿宋_GB2312" w:eastAsia="仿宋_GB2312"/>
          <w:b/>
          <w:sz w:val="32"/>
          <w:szCs w:val="32"/>
        </w:rPr>
        <w:t>重点支出保障情况。</w:t>
      </w:r>
      <w:r>
        <w:rPr>
          <w:rFonts w:hint="eastAsia" w:ascii="仿宋_GB2312" w:eastAsia="仿宋_GB2312" w:cs="仿宋"/>
          <w:color w:val="000000" w:themeColor="text1"/>
          <w:sz w:val="32"/>
          <w:szCs w:val="32"/>
        </w:rPr>
        <w:t>本年度本单位预算安排的重点项目0个，预算安排的重点项目支出金额为0万元，部门项目总支出金额为0万元，则重点项目支出占项目总支出的比率为0%。</w:t>
      </w:r>
    </w:p>
    <w:p>
      <w:pPr>
        <w:pStyle w:val="4"/>
        <w:numPr>
          <w:ilvl w:val="0"/>
          <w:numId w:val="4"/>
        </w:numPr>
        <w:ind w:firstLine="643"/>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5"/>
        </w:numPr>
        <w:ind w:firstLine="643"/>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ascii="仿宋_GB2312" w:eastAsia="仿宋_GB2312"/>
          <w:sz w:val="32"/>
          <w:szCs w:val="32"/>
        </w:rPr>
      </w:pPr>
      <w:r>
        <w:rPr>
          <w:rFonts w:hint="eastAsia" w:ascii="仿宋_GB2312" w:eastAsia="仿宋_GB2312"/>
          <w:sz w:val="32"/>
          <w:szCs w:val="32"/>
          <w:highlight w:val="none"/>
        </w:rPr>
        <w:t>2022年度，</w:t>
      </w:r>
      <w:r>
        <w:rPr>
          <w:rFonts w:hint="eastAsia" w:ascii="仿宋_GB2312" w:eastAsia="仿宋_GB2312"/>
          <w:bCs/>
          <w:sz w:val="32"/>
          <w:szCs w:val="32"/>
          <w:highlight w:val="none"/>
        </w:rPr>
        <w:t>昌吉市项目代建管理局部门单位整体支出年初预算金额为</w:t>
      </w:r>
      <w:r>
        <w:rPr>
          <w:rFonts w:hint="eastAsia" w:ascii="仿宋_GB2312" w:eastAsia="仿宋_GB2312"/>
          <w:sz w:val="32"/>
          <w:szCs w:val="32"/>
          <w:highlight w:val="none"/>
        </w:rPr>
        <w:t>373.17万元，支出金额为373.17万元，执行率为</w:t>
      </w:r>
      <w:r>
        <w:rPr>
          <w:rFonts w:hint="eastAsia" w:ascii="仿宋_GB2312" w:eastAsia="仿宋_GB2312"/>
          <w:sz w:val="32"/>
          <w:szCs w:val="32"/>
          <w:highlight w:val="none"/>
          <w:lang w:val="en-US" w:eastAsia="zh-CN"/>
        </w:rPr>
        <w:t>100.0</w:t>
      </w:r>
      <w:r>
        <w:rPr>
          <w:rFonts w:hint="eastAsia" w:ascii="仿宋_GB2312" w:eastAsia="仿宋_GB2312"/>
          <w:sz w:val="32"/>
          <w:szCs w:val="32"/>
          <w:highlight w:val="none"/>
        </w:rPr>
        <w:t>%，其中：政府采购年初预算金额为21.0万元，支出金额为21.0万元，执行率为100.00%。年中调整预算金额为</w:t>
      </w:r>
      <w:r>
        <w:rPr>
          <w:rFonts w:hint="eastAsia" w:ascii="仿宋_GB2312" w:eastAsia="仿宋_GB2312"/>
          <w:sz w:val="32"/>
          <w:szCs w:val="32"/>
          <w:highlight w:val="none"/>
          <w:lang w:val="en-US" w:eastAsia="zh-CN"/>
        </w:rPr>
        <w:t>85776.87</w:t>
      </w:r>
      <w:r>
        <w:rPr>
          <w:rFonts w:hint="eastAsia" w:ascii="仿宋_GB2312" w:eastAsia="仿宋_GB2312"/>
          <w:sz w:val="32"/>
          <w:szCs w:val="32"/>
          <w:highlight w:val="none"/>
        </w:rPr>
        <w:t>万元，预算调整率为</w:t>
      </w:r>
      <w:r>
        <w:rPr>
          <w:rFonts w:hint="eastAsia" w:ascii="仿宋_GB2312" w:eastAsia="仿宋_GB2312"/>
          <w:sz w:val="32"/>
          <w:szCs w:val="32"/>
          <w:highlight w:val="none"/>
          <w:lang w:val="en-US" w:eastAsia="zh-CN"/>
        </w:rPr>
        <w:t>229.86</w:t>
      </w:r>
      <w:r>
        <w:rPr>
          <w:rFonts w:hint="eastAsia" w:ascii="仿宋_GB2312" w:eastAsia="仿宋_GB2312"/>
          <w:sz w:val="32"/>
          <w:szCs w:val="32"/>
          <w:highlight w:val="none"/>
        </w:rPr>
        <w:t>%。综上，我单位部门单位整体预算总额为</w:t>
      </w:r>
      <w:r>
        <w:rPr>
          <w:rFonts w:hint="eastAsia" w:ascii="仿宋_GB2312" w:eastAsia="仿宋_GB2312"/>
          <w:sz w:val="32"/>
          <w:szCs w:val="32"/>
          <w:highlight w:val="none"/>
          <w:lang w:val="en-US" w:eastAsia="zh-CN"/>
        </w:rPr>
        <w:t>86150.04</w:t>
      </w:r>
      <w:r>
        <w:rPr>
          <w:rFonts w:hint="eastAsia" w:ascii="仿宋_GB2312" w:eastAsia="仿宋_GB2312"/>
          <w:sz w:val="32"/>
          <w:szCs w:val="32"/>
          <w:highlight w:val="none"/>
        </w:rPr>
        <w:t>万元，支出总额为</w:t>
      </w:r>
      <w:r>
        <w:rPr>
          <w:rFonts w:hint="eastAsia" w:ascii="仿宋_GB2312" w:eastAsia="仿宋_GB2312"/>
          <w:sz w:val="32"/>
          <w:szCs w:val="32"/>
          <w:highlight w:val="none"/>
          <w:lang w:val="en-US" w:eastAsia="zh-CN"/>
        </w:rPr>
        <w:t>86150.04</w:t>
      </w:r>
      <w:r>
        <w:rPr>
          <w:rFonts w:hint="eastAsia" w:ascii="仿宋_GB2312" w:eastAsia="仿宋_GB2312"/>
          <w:sz w:val="32"/>
          <w:szCs w:val="32"/>
          <w:highlight w:val="none"/>
        </w:rPr>
        <w:t>万元，预算总执行率为100.0%。</w:t>
      </w:r>
    </w:p>
    <w:p>
      <w:pPr>
        <w:pStyle w:val="2"/>
        <w:ind w:firstLine="643"/>
        <w:rPr>
          <w:sz w:val="32"/>
        </w:rPr>
      </w:pPr>
      <w:r>
        <w:rPr>
          <w:rFonts w:hint="eastAsia"/>
          <w:sz w:val="32"/>
        </w:rPr>
        <w:t>2.部门单位整体支出自评使用方法、主要内容、涉及范围</w:t>
      </w:r>
    </w:p>
    <w:p>
      <w:pPr>
        <w:ind w:firstLine="643"/>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3"/>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w:t>
      </w:r>
      <w:r>
        <w:rPr>
          <w:rFonts w:hint="eastAsia" w:ascii="仿宋_GB2312" w:eastAsia="仿宋_GB2312"/>
          <w:sz w:val="32"/>
          <w:szCs w:val="32"/>
          <w:lang w:eastAsia="zh-CN"/>
        </w:rPr>
        <w:t>2022</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sz w:val="32"/>
          <w:szCs w:val="32"/>
        </w:rPr>
      </w:pPr>
      <w:r>
        <w:rPr>
          <w:rFonts w:hint="eastAsia" w:ascii="黑体" w:hAnsi="黑体"/>
          <w:b w:val="0"/>
          <w:sz w:val="32"/>
          <w:szCs w:val="32"/>
        </w:rPr>
        <w:t>二、部门单位整体支出管理及使用情况</w:t>
      </w:r>
    </w:p>
    <w:p>
      <w:pPr>
        <w:pStyle w:val="4"/>
        <w:numPr>
          <w:ilvl w:val="0"/>
          <w:numId w:val="6"/>
        </w:numPr>
        <w:ind w:firstLineChars="0"/>
        <w:rPr>
          <w:rFonts w:ascii="楷体_GB2312" w:eastAsia="楷体_GB2312"/>
          <w:szCs w:val="32"/>
        </w:rPr>
      </w:pPr>
      <w:r>
        <w:rPr>
          <w:rFonts w:hint="eastAsia" w:ascii="楷体_GB2312" w:eastAsia="楷体_GB2312"/>
          <w:bCs/>
          <w:szCs w:val="32"/>
        </w:rPr>
        <w:t>预算管理情况</w:t>
      </w:r>
    </w:p>
    <w:p>
      <w:pPr>
        <w:ind w:firstLine="640"/>
        <w:rPr>
          <w:rFonts w:ascii="仿宋_GB2312" w:eastAsia="仿宋_GB2312"/>
          <w:color w:val="FF0000"/>
          <w:sz w:val="32"/>
          <w:szCs w:val="32"/>
        </w:rPr>
      </w:pPr>
      <w:r>
        <w:rPr>
          <w:rFonts w:hint="eastAsia" w:ascii="仿宋_GB2312" w:eastAsia="仿宋_GB2312"/>
          <w:sz w:val="32"/>
          <w:szCs w:val="32"/>
        </w:rPr>
        <w:t>我单位为加强预算管理、规范财务行为、加强内部控制体系建设，制定了预算管理办法，并严格按照此管理办法管理使用预算资金，严格按照政府信息公开有关规定及财政部门要求公开相关预决算信息。</w:t>
      </w:r>
    </w:p>
    <w:p>
      <w:pPr>
        <w:pStyle w:val="4"/>
        <w:numPr>
          <w:ilvl w:val="0"/>
          <w:numId w:val="6"/>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3"/>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ascii="仿宋_GB2312" w:eastAsia="仿宋_GB2312"/>
          <w:color w:val="000000" w:themeColor="text1"/>
          <w:sz w:val="32"/>
          <w:szCs w:val="32"/>
        </w:rPr>
      </w:pPr>
      <w:r>
        <w:rPr>
          <w:rFonts w:hint="eastAsia" w:ascii="仿宋_GB2312" w:eastAsia="仿宋_GB2312"/>
          <w:color w:val="000000" w:themeColor="text1"/>
          <w:sz w:val="32"/>
          <w:szCs w:val="32"/>
        </w:rPr>
        <w:t>2022年，昌吉市项目代建管理局基本支出年初预算金额为373.17万元，支出金额为373.17万元，执行率为</w:t>
      </w:r>
      <w:r>
        <w:rPr>
          <w:rFonts w:hint="eastAsia" w:ascii="仿宋_GB2312" w:eastAsia="仿宋_GB2312"/>
          <w:color w:val="000000" w:themeColor="text1"/>
          <w:sz w:val="32"/>
          <w:szCs w:val="32"/>
          <w:lang w:val="en-US" w:eastAsia="zh-CN"/>
        </w:rPr>
        <w:t>100.0</w:t>
      </w:r>
      <w:r>
        <w:rPr>
          <w:rFonts w:hint="eastAsia" w:ascii="仿宋_GB2312" w:eastAsia="仿宋_GB2312"/>
          <w:color w:val="000000" w:themeColor="text1"/>
          <w:sz w:val="32"/>
          <w:szCs w:val="32"/>
        </w:rPr>
        <w:t>%，年中调整预算金额为-10.03万元。综上，我单位基本支出预算总额为363.14万元，支出总额为363.14万元，预算总执行率为100.0%，其中人员经费344.90万元，公用经费18.24万元。</w:t>
      </w:r>
    </w:p>
    <w:p>
      <w:pPr>
        <w:ind w:firstLine="643"/>
        <w:rPr>
          <w:rFonts w:ascii="仿宋_GB2312" w:eastAsia="仿宋_GB2312"/>
          <w:b/>
          <w:bCs/>
          <w:color w:val="000000" w:themeColor="text1"/>
          <w:sz w:val="32"/>
          <w:szCs w:val="32"/>
        </w:rPr>
      </w:pPr>
      <w:r>
        <w:rPr>
          <w:rFonts w:hint="eastAsia" w:ascii="仿宋_GB2312" w:eastAsia="仿宋_GB2312"/>
          <w:b/>
          <w:bCs/>
          <w:color w:val="000000" w:themeColor="text1"/>
          <w:sz w:val="32"/>
          <w:szCs w:val="32"/>
        </w:rPr>
        <w:t>2.“三公”经费情况</w:t>
      </w:r>
    </w:p>
    <w:p>
      <w:pPr>
        <w:ind w:firstLine="640"/>
        <w:jc w:val="left"/>
        <w:rPr>
          <w:rFonts w:ascii="仿宋_GB2312" w:eastAsia="仿宋_GB2312" w:cs="宋体"/>
          <w:color w:val="000000" w:themeColor="text1"/>
          <w:sz w:val="32"/>
          <w:szCs w:val="32"/>
        </w:rPr>
      </w:pPr>
      <w:r>
        <w:rPr>
          <w:rFonts w:hint="eastAsia" w:ascii="仿宋_GB2312" w:eastAsia="仿宋_GB2312" w:cs="宋体"/>
          <w:color w:val="000000" w:themeColor="text1"/>
          <w:sz w:val="32"/>
          <w:szCs w:val="32"/>
        </w:rPr>
        <w:t>我单位认真贯彻落实中央关于厉行节约的有关规定，严格执行《党政机关厉行节约反对浪费条例》，2022年“三公”经费预算数为26000.00万元，其中：因公出国（境）费0.00万元，公务用车购置及运行费0.00万元（其中公务用车购置为0.00万元），公务接待费0.00万元。</w:t>
      </w:r>
    </w:p>
    <w:p>
      <w:pPr>
        <w:ind w:firstLine="681" w:firstLineChars="213"/>
        <w:jc w:val="left"/>
        <w:rPr>
          <w:rFonts w:ascii="仿宋_GB2312" w:eastAsia="仿宋_GB2312" w:cs="宋体"/>
          <w:color w:val="000000" w:themeColor="text1"/>
          <w:sz w:val="32"/>
          <w:szCs w:val="32"/>
        </w:rPr>
      </w:pPr>
      <w:r>
        <w:rPr>
          <w:rFonts w:hint="eastAsia" w:ascii="仿宋_GB2312" w:eastAsia="仿宋_GB2312" w:cs="宋体"/>
          <w:color w:val="000000" w:themeColor="text1"/>
          <w:sz w:val="32"/>
          <w:szCs w:val="32"/>
        </w:rPr>
        <w:t>2022年，全年“三公”经费决算支出17332.00万元，其中：因公出国（境）费用0.00万元、公务用车购置及运行费0.00万元（其中公务用车购置为0.00万元）、公务接待费0.00万元。较上年“三公”经费决算支出21676.00万元，减少4344.00万元，下降20.04%。</w:t>
      </w:r>
    </w:p>
    <w:p>
      <w:pPr>
        <w:pStyle w:val="4"/>
        <w:ind w:firstLine="643"/>
        <w:rPr>
          <w:rFonts w:ascii="楷体_GB2312" w:eastAsia="楷体_GB2312"/>
          <w:color w:val="000000" w:themeColor="text1"/>
          <w:szCs w:val="32"/>
        </w:rPr>
      </w:pPr>
      <w:r>
        <w:rPr>
          <w:rFonts w:hint="eastAsia" w:ascii="楷体_GB2312" w:eastAsia="楷体_GB2312"/>
          <w:color w:val="000000" w:themeColor="text1"/>
          <w:szCs w:val="32"/>
        </w:rPr>
        <w:t>（三）项目支出</w:t>
      </w:r>
      <w:r>
        <w:rPr>
          <w:rFonts w:hint="eastAsia" w:ascii="楷体_GB2312" w:hAnsi="Cambria" w:eastAsia="楷体_GB2312"/>
          <w:color w:val="000000" w:themeColor="text1"/>
          <w:szCs w:val="32"/>
        </w:rPr>
        <w:t>预算安排及支出情况</w:t>
      </w:r>
    </w:p>
    <w:p>
      <w:pPr>
        <w:ind w:firstLine="643"/>
        <w:rPr>
          <w:rFonts w:ascii="仿宋_GB2312" w:eastAsia="仿宋_GB2312"/>
          <w:b/>
          <w:bCs/>
          <w:color w:val="000000" w:themeColor="text1"/>
          <w:sz w:val="32"/>
          <w:szCs w:val="32"/>
        </w:rPr>
      </w:pPr>
      <w:r>
        <w:rPr>
          <w:rFonts w:hint="eastAsia" w:ascii="仿宋_GB2312" w:eastAsia="仿宋_GB2312"/>
          <w:b/>
          <w:bCs/>
          <w:color w:val="000000" w:themeColor="text1"/>
          <w:sz w:val="32"/>
          <w:szCs w:val="32"/>
        </w:rPr>
        <w:t>1.项目支出情况</w:t>
      </w:r>
    </w:p>
    <w:p>
      <w:pPr>
        <w:pStyle w:val="2"/>
        <w:ind w:firstLine="640"/>
        <w:rPr>
          <w:b w:val="0"/>
          <w:bCs w:val="0"/>
          <w:color w:val="000000" w:themeColor="text1"/>
          <w:sz w:val="32"/>
        </w:rPr>
      </w:pPr>
      <w:r>
        <w:rPr>
          <w:rFonts w:hint="eastAsia"/>
          <w:b w:val="0"/>
          <w:bCs w:val="0"/>
          <w:color w:val="000000" w:themeColor="text1"/>
          <w:sz w:val="32"/>
        </w:rPr>
        <w:t>2022年，昌吉市项目代建管理局项目支出年初预算金额为0.00万元，支出金额为82930.9万元，执行率为100.0%，年中调整预算金额为83600.91万元。综上，我单位项目支出预算总额为83600.91万元，支出总额为82930.9万元，预算总执行率为99.2%</w:t>
      </w:r>
      <w:bookmarkStart w:id="0" w:name="_GoBack"/>
      <w:bookmarkEnd w:id="0"/>
    </w:p>
    <w:p>
      <w:pPr>
        <w:ind w:firstLine="640"/>
        <w:rPr>
          <w:rFonts w:ascii="仿宋_GB2312" w:eastAsia="仿宋_GB2312"/>
          <w:color w:val="000000" w:themeColor="text1"/>
          <w:sz w:val="32"/>
          <w:szCs w:val="32"/>
        </w:rPr>
      </w:pPr>
      <w:r>
        <w:rPr>
          <w:rFonts w:hint="eastAsia" w:ascii="仿宋_GB2312" w:eastAsia="仿宋_GB2312"/>
          <w:color w:val="000000" w:themeColor="text1"/>
          <w:sz w:val="32"/>
          <w:szCs w:val="32"/>
        </w:rPr>
        <w:t>2022年，</w:t>
      </w:r>
      <w:r>
        <w:rPr>
          <w:rFonts w:hint="eastAsia"/>
          <w:color w:val="000000" w:themeColor="text1"/>
          <w:sz w:val="32"/>
        </w:rPr>
        <w:t>昌吉市项目代建管理局</w:t>
      </w:r>
      <w:r>
        <w:rPr>
          <w:rFonts w:hint="eastAsia" w:ascii="仿宋_GB2312" w:eastAsia="仿宋_GB2312"/>
          <w:color w:val="000000" w:themeColor="text1"/>
          <w:sz w:val="32"/>
          <w:szCs w:val="32"/>
        </w:rPr>
        <w:t>共有61个中央、自治区、地区、</w:t>
      </w:r>
      <w:r>
        <w:rPr>
          <w:rFonts w:ascii="仿宋_GB2312" w:eastAsia="仿宋_GB2312"/>
          <w:color w:val="000000" w:themeColor="text1"/>
          <w:sz w:val="32"/>
          <w:szCs w:val="32"/>
        </w:rPr>
        <w:t>县</w:t>
      </w:r>
      <w:r>
        <w:rPr>
          <w:rFonts w:hint="eastAsia" w:ascii="仿宋_GB2312" w:eastAsia="仿宋_GB2312"/>
          <w:color w:val="000000" w:themeColor="text1"/>
          <w:sz w:val="32"/>
          <w:szCs w:val="32"/>
        </w:rPr>
        <w:t>本级财力安排项目，已完成项目数量60个、未完成项目数量1个。</w:t>
      </w:r>
      <w:r>
        <w:rPr>
          <w:rFonts w:hint="eastAsia" w:ascii="仿宋_GB2312" w:eastAsia="仿宋_GB2312"/>
          <w:color w:val="000000" w:themeColor="text1"/>
          <w:sz w:val="32"/>
          <w:szCs w:val="32"/>
          <w:lang w:eastAsia="zh-CN"/>
        </w:rPr>
        <w:t>2022</w:t>
      </w:r>
      <w:r>
        <w:rPr>
          <w:rFonts w:hint="eastAsia" w:ascii="仿宋_GB2312" w:eastAsia="仿宋_GB2312"/>
          <w:color w:val="000000" w:themeColor="text1"/>
          <w:sz w:val="32"/>
          <w:szCs w:val="32"/>
        </w:rPr>
        <w:t>年度中央、自治区、地区、</w:t>
      </w:r>
      <w:r>
        <w:rPr>
          <w:rFonts w:ascii="仿宋_GB2312" w:eastAsia="仿宋_GB2312"/>
          <w:color w:val="000000" w:themeColor="text1"/>
          <w:sz w:val="32"/>
          <w:szCs w:val="32"/>
        </w:rPr>
        <w:t>县</w:t>
      </w:r>
      <w:r>
        <w:rPr>
          <w:rFonts w:hint="eastAsia" w:ascii="仿宋_GB2312" w:eastAsia="仿宋_GB2312"/>
          <w:color w:val="000000" w:themeColor="text1"/>
          <w:sz w:val="32"/>
          <w:szCs w:val="32"/>
        </w:rPr>
        <w:t>本级财力安排项目预算及执行情况见下表：</w:t>
      </w:r>
    </w:p>
    <w:p>
      <w:pPr>
        <w:ind w:firstLine="420"/>
        <w:jc w:val="right"/>
        <w:rPr>
          <w:sz w:val="21"/>
          <w:szCs w:val="21"/>
        </w:rPr>
      </w:pPr>
      <w:r>
        <w:rPr>
          <w:rFonts w:hint="eastAsia"/>
          <w:sz w:val="21"/>
          <w:szCs w:val="21"/>
        </w:rPr>
        <w:t>单位：万元</w:t>
      </w:r>
    </w:p>
    <w:tbl>
      <w:tblPr>
        <w:tblStyle w:val="11"/>
        <w:tblW w:w="8140" w:type="dxa"/>
        <w:tblInd w:w="89" w:type="dxa"/>
        <w:tblLayout w:type="fixed"/>
        <w:tblCellMar>
          <w:top w:w="0" w:type="dxa"/>
          <w:left w:w="108" w:type="dxa"/>
          <w:bottom w:w="0" w:type="dxa"/>
          <w:right w:w="108" w:type="dxa"/>
        </w:tblCellMar>
      </w:tblPr>
      <w:tblGrid>
        <w:gridCol w:w="3320"/>
        <w:gridCol w:w="980"/>
        <w:gridCol w:w="960"/>
        <w:gridCol w:w="1000"/>
        <w:gridCol w:w="920"/>
        <w:gridCol w:w="960"/>
      </w:tblGrid>
      <w:tr>
        <w:tblPrEx>
          <w:tblCellMar>
            <w:top w:w="0" w:type="dxa"/>
            <w:left w:w="108" w:type="dxa"/>
            <w:bottom w:w="0" w:type="dxa"/>
            <w:right w:w="108" w:type="dxa"/>
          </w:tblCellMar>
        </w:tblPrEx>
        <w:trPr>
          <w:trHeight w:val="555" w:hRule="atLeast"/>
        </w:trPr>
        <w:tc>
          <w:tcPr>
            <w:tcW w:w="33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320" w:firstLineChars="0"/>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项目名称</w:t>
            </w:r>
          </w:p>
        </w:tc>
        <w:tc>
          <w:tcPr>
            <w:tcW w:w="98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预算金额</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执行金额</w:t>
            </w:r>
          </w:p>
        </w:tc>
        <w:tc>
          <w:tcPr>
            <w:tcW w:w="100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执行率</w:t>
            </w:r>
          </w:p>
        </w:tc>
        <w:tc>
          <w:tcPr>
            <w:tcW w:w="92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项目是否完成</w:t>
            </w:r>
          </w:p>
        </w:tc>
        <w:tc>
          <w:tcPr>
            <w:tcW w:w="96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16"/>
                <w:szCs w:val="16"/>
              </w:rPr>
            </w:pPr>
            <w:r>
              <w:rPr>
                <w:rFonts w:hint="eastAsia" w:ascii="宋体" w:hAnsi="宋体" w:eastAsia="宋体" w:cs="宋体"/>
                <w:color w:val="000000"/>
                <w:kern w:val="0"/>
                <w:sz w:val="16"/>
                <w:szCs w:val="16"/>
              </w:rPr>
              <w:t>是否上级专项资金</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聘用人员办公经费</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18.00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11.07</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61.5%</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专项业务经费</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5.00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5</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党政综合楼、新区综合楼、规划展馆办公楼屋面防水项目</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22.78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22.78</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昌吉体育场建设项目</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80.00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80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昌吉市物业管理提升项目</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10.00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昌吉市疫情卡点基础设施建设项目</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38.10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38.1</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2022年昌吉市乡村振兴项目及衔接资金项目审图费</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41.71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26.37</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63.20%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2017年便民警务站建设项目（第二批次）第六标段工程款</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7.88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7.88</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lang w:eastAsia="zh-CN"/>
              </w:rPr>
              <w:t>2022</w:t>
            </w:r>
            <w:r>
              <w:rPr>
                <w:rFonts w:hint="eastAsia" w:ascii="宋体" w:hAnsi="宋体" w:eastAsia="宋体" w:cs="宋体"/>
                <w:kern w:val="0"/>
                <w:sz w:val="16"/>
                <w:szCs w:val="16"/>
              </w:rPr>
              <w:t>年乡村振兴、农村人居环境综合整治项目前期费用</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100.00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历年工程欠款</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700.00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700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昌吉州、市接待中心三标段室内装修项目</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20.00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新疆能实建设工程项目咨询公司招标代理费</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5.00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5</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昌吉市高中风险地区入昌货物处置场站建设项目厂房租赁费用</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50.00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50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昌吉市体育场土方项目工程款</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10.00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昌吉市体育场土方项目工程款</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10.00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昌吉市庭州南路（人武部北侧）公共应急停车库及附属配套设施工程项目资金</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30.00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30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昌吉市方舱实验室改造项目厨房设备采购资金</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4.20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4.2</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2022年自治区第一批地方政府一般债券（昌吉市新建中小学建设项目）</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1896.65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1896.65</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2022年自治区第一批地方政府一般债券（昌吉市第十八小学建设项目）</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1000.00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2022年自治区第一批地方政府一般债券（昌吉市新建幼儿园建设项目）</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872.94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872.94</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高中风险地区入昌货物三工消杀站电费</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3.57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3.57</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重点项目城市道路挖掘费</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44.56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44.56</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昌吉州、市接待中心装修工程四标段民事调解书资金</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20.00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2018年警务站第一批次第一标段建设资金</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10.00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2022年昌吉市第一批专项债昌吉市中医院综合项目2000万</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2000.00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2000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追加提前下达2022年自治区财政衔接推进乡村振兴补助资金（区重点示范村补助2000万，乡村振兴示范村5万）</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2005.00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2005</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农业农村局中央财政衔接推进乡村振兴补助资金2808万</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2808.00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2808</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教育类项目施工图审查费用</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39.12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19.6</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50.1%</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昌吉市南公园西路幼儿园建设项目人防易地建设费4</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4.33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4.33</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2022年自治区“访惠聚”驻村工作专项经费</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15.00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14.4</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96.00%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2022年“访惠聚”驻村（社区）工作经费</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3.00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2.6</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86.70%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昌吉州、市接待中心市内装修项目三、四标段工程款</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30.00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30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2022年自治区第三批地方政府债券（一般债）（昌吉市新建及改扩建中小学建设项目）</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1600.00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1600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2022年自治区第三批地方政府债券（一般债）（昌吉市新建及改扩建幼儿园建设项目）</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1600.00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1600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2022年自治区第三批地方政府债券（一般债）（昌吉市新建中小学建设项目）</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3000.00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3000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2022年自治区第三批地方政府债券（一般债）（昌吉市新建幼儿园建设项目）</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1000.00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2022年自治区第三批地方政府债券（一般债）（昌吉市吐鲁番西路幼儿园建设项目）</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400.00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400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2022年自治区第三批地方政府债券（一般债）（昌吉市第十八小学建设项目）</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1000.00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2022年自治区第三批地方政府债券（一般债）（昌吉市第二十一小学建设项目）</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1800.00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1800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2022年自治区第三批地方政府债券（一般债）（昌吉市第六中学建设项目）</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3000.00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3000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2022年自治区第三批地方政府债券（一般债）（昌吉市第十七小学建设项目）</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1500.00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1500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2022年自治区第三批地方政府债券（专项债）（昌吉市人民医院医疗救治中心体系建设项目）</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20000.00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20000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2022年自治区第三批地方政府债券（专项债）（昌吉市中医院综合项目）</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5000.00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5000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人防易地建设费（幸福幼儿园、九幼、兴昌北路幼儿园、七小、一中、十二小）</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34.22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34.22</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中小企业欠款化解资金（第一批）</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37.67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37.67</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中小企业欠款化解资金（第一批）</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37.67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37.67</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lang w:eastAsia="zh-CN"/>
              </w:rPr>
              <w:t>2022</w:t>
            </w:r>
            <w:r>
              <w:rPr>
                <w:rFonts w:hint="eastAsia" w:ascii="宋体" w:hAnsi="宋体" w:eastAsia="宋体" w:cs="宋体"/>
                <w:kern w:val="0"/>
                <w:sz w:val="16"/>
                <w:szCs w:val="16"/>
              </w:rPr>
              <w:t>年昌吉市乡村振兴、农村人居环境综合整治项目公路及其附属设施损坏赔偿费</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369.24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369.24</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教育类项目前期费</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20.00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7.7</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38.5%</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2022年自治区第三批地方政府债券（专项债）（昌吉市2022年乡村振兴项目）</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23220.00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23220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2022年自治区第四批地方政府债券（专项债）（昌吉市中等职业学校建设项目）</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5000.00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5000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中小企业欠款化解资金（第二批）（昌吉市党政综合办公楼改造项项目等3个）</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19.17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19.17</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中小企业欠款化解资金（第二批）（昌吉市党政综合办公楼改造项项目等3个）</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19.17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19.17</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合同印花税</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32.74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20.01</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61.1%</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2022年中央财政衔接推进乡村振兴补助资金</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1166.00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1166</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中小企业欠款化解资金（第三批）</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17.50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17.5</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中小企业欠款化解资金（第三批）</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17.50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17.5</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2022年城乡义务教育（新增地方政府债券）资金</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1100.00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1100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昌吉市第十中学的隔离点改造</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16.19</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14</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86.5%</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体育场方舱医院改造</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56.00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56</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纪委办案点项目室外附属配套维修改造工程建设资金</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33.00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33</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100%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否</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新疆、西藏、四川、涉藏州县建设专项（第一批）中央基建投资预算</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 xml:space="preserve">600.00 </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0</w:t>
            </w:r>
          </w:p>
        </w:tc>
        <w:tc>
          <w:tcPr>
            <w:tcW w:w="100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0%</w:t>
            </w:r>
          </w:p>
        </w:tc>
        <w:tc>
          <w:tcPr>
            <w:tcW w:w="92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是</w:t>
            </w:r>
          </w:p>
        </w:tc>
      </w:tr>
      <w:tr>
        <w:tblPrEx>
          <w:tblCellMar>
            <w:top w:w="0" w:type="dxa"/>
            <w:left w:w="108" w:type="dxa"/>
            <w:bottom w:w="0" w:type="dxa"/>
            <w:right w:w="108" w:type="dxa"/>
          </w:tblCellMar>
        </w:tblPrEx>
        <w:trPr>
          <w:trHeight w:val="435" w:hRule="atLeast"/>
        </w:trPr>
        <w:tc>
          <w:tcPr>
            <w:tcW w:w="3320"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合计</w:t>
            </w:r>
          </w:p>
        </w:tc>
        <w:tc>
          <w:tcPr>
            <w:tcW w:w="9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83600.91</w:t>
            </w:r>
          </w:p>
        </w:tc>
        <w:tc>
          <w:tcPr>
            <w:tcW w:w="9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16"/>
                <w:szCs w:val="16"/>
              </w:rPr>
            </w:pPr>
            <w:r>
              <w:rPr>
                <w:rFonts w:hint="eastAsia" w:ascii="宋体" w:hAnsi="宋体" w:eastAsia="宋体" w:cs="宋体"/>
                <w:kern w:val="0"/>
                <w:sz w:val="16"/>
                <w:szCs w:val="16"/>
              </w:rPr>
              <w:t>82930.9</w:t>
            </w:r>
          </w:p>
        </w:tc>
        <w:tc>
          <w:tcPr>
            <w:tcW w:w="1000"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left"/>
              <w:rPr>
                <w:rFonts w:ascii="宋体" w:hAnsi="宋体" w:eastAsia="宋体" w:cs="宋体"/>
                <w:kern w:val="0"/>
                <w:sz w:val="16"/>
                <w:szCs w:val="16"/>
              </w:rPr>
            </w:pPr>
            <w:r>
              <w:rPr>
                <w:rFonts w:hint="eastAsia" w:ascii="宋体" w:hAnsi="宋体" w:eastAsia="宋体" w:cs="宋体"/>
                <w:kern w:val="0"/>
                <w:sz w:val="16"/>
                <w:szCs w:val="16"/>
              </w:rPr>
              <w:t>　</w:t>
            </w:r>
          </w:p>
        </w:tc>
        <w:tc>
          <w:tcPr>
            <w:tcW w:w="920"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left"/>
              <w:rPr>
                <w:rFonts w:ascii="宋体" w:hAnsi="宋体" w:eastAsia="宋体" w:cs="宋体"/>
                <w:kern w:val="0"/>
                <w:sz w:val="16"/>
                <w:szCs w:val="16"/>
              </w:rPr>
            </w:pPr>
            <w:r>
              <w:rPr>
                <w:rFonts w:hint="eastAsia" w:ascii="宋体" w:hAnsi="宋体" w:eastAsia="宋体" w:cs="宋体"/>
                <w:kern w:val="0"/>
                <w:sz w:val="16"/>
                <w:szCs w:val="16"/>
              </w:rPr>
              <w:t>　</w:t>
            </w:r>
          </w:p>
        </w:tc>
        <w:tc>
          <w:tcPr>
            <w:tcW w:w="960"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left"/>
              <w:rPr>
                <w:rFonts w:ascii="宋体" w:hAnsi="宋体" w:eastAsia="宋体" w:cs="宋体"/>
                <w:kern w:val="0"/>
                <w:sz w:val="16"/>
                <w:szCs w:val="16"/>
              </w:rPr>
            </w:pPr>
            <w:r>
              <w:rPr>
                <w:rFonts w:hint="eastAsia" w:ascii="宋体" w:hAnsi="宋体" w:eastAsia="宋体" w:cs="宋体"/>
                <w:kern w:val="0"/>
                <w:sz w:val="16"/>
                <w:szCs w:val="16"/>
              </w:rPr>
              <w:t>　</w:t>
            </w:r>
          </w:p>
        </w:tc>
      </w:tr>
    </w:tbl>
    <w:p>
      <w:pPr>
        <w:pStyle w:val="2"/>
        <w:ind w:firstLine="562"/>
      </w:pPr>
    </w:p>
    <w:p>
      <w:pPr>
        <w:numPr>
          <w:ilvl w:val="0"/>
          <w:numId w:val="5"/>
        </w:numPr>
        <w:ind w:firstLine="643"/>
        <w:rPr>
          <w:rFonts w:ascii="仿宋_GB2312" w:eastAsia="仿宋_GB2312"/>
          <w:b/>
          <w:bCs/>
          <w:sz w:val="32"/>
          <w:szCs w:val="32"/>
        </w:rPr>
      </w:pPr>
      <w:r>
        <w:rPr>
          <w:rFonts w:hint="eastAsia" w:ascii="仿宋_GB2312" w:eastAsia="仿宋_GB2312"/>
          <w:b/>
          <w:bCs/>
          <w:sz w:val="32"/>
          <w:szCs w:val="32"/>
        </w:rPr>
        <w:t>专项资金总投入及实际使用情况分析</w:t>
      </w:r>
    </w:p>
    <w:p>
      <w:pPr>
        <w:pStyle w:val="10"/>
        <w:widowControl/>
        <w:spacing w:before="40" w:beforeAutospacing="0" w:after="0" w:afterAutospacing="0"/>
        <w:ind w:firstLine="640"/>
        <w:jc w:val="both"/>
        <w:rPr>
          <w:rFonts w:ascii="仿宋_GB2312" w:eastAsia="仿宋_GB2312" w:cs="仿宋"/>
          <w:color w:val="FF0000"/>
          <w:sz w:val="32"/>
          <w:szCs w:val="32"/>
        </w:rPr>
      </w:pPr>
      <w:r>
        <w:rPr>
          <w:rFonts w:hint="eastAsia" w:ascii="仿宋_GB2312" w:eastAsia="仿宋_GB2312" w:cs="仿宋"/>
          <w:sz w:val="32"/>
          <w:szCs w:val="32"/>
        </w:rPr>
        <w:t>2022年，预算安排专项资金82930.9万元，实际使用82930.9万元,结转602.19万元。结转项目昌吉市第十中学的隔离点改造2.19万元,</w:t>
      </w:r>
      <w:r>
        <w:rPr>
          <w:rFonts w:hint="eastAsia"/>
        </w:rPr>
        <w:t xml:space="preserve"> </w:t>
      </w:r>
      <w:r>
        <w:rPr>
          <w:rFonts w:hint="eastAsia" w:ascii="仿宋_GB2312" w:eastAsia="仿宋_GB2312" w:cs="仿宋"/>
          <w:sz w:val="32"/>
          <w:szCs w:val="32"/>
        </w:rPr>
        <w:t>新疆、西藏、四川、涉藏州县建设专项（第一批）中央基建投资预算600万元。</w:t>
      </w:r>
    </w:p>
    <w:p>
      <w:pPr>
        <w:pStyle w:val="3"/>
        <w:ind w:firstLine="640"/>
        <w:rPr>
          <w:rFonts w:ascii="黑体" w:hAnsi="黑体"/>
          <w:b w:val="0"/>
          <w:sz w:val="32"/>
          <w:szCs w:val="32"/>
        </w:rPr>
      </w:pPr>
      <w:r>
        <w:rPr>
          <w:rFonts w:hint="eastAsia" w:ascii="黑体" w:hAnsi="黑体"/>
          <w:b w:val="0"/>
          <w:sz w:val="32"/>
          <w:szCs w:val="32"/>
        </w:rPr>
        <w:t>三、部门单位专项组织实施情况</w:t>
      </w:r>
    </w:p>
    <w:p>
      <w:pPr>
        <w:pStyle w:val="4"/>
        <w:ind w:firstLine="643"/>
        <w:rPr>
          <w:rFonts w:ascii="楷体_GB2312" w:eastAsia="楷体_GB2312"/>
          <w:szCs w:val="32"/>
        </w:rPr>
      </w:pPr>
      <w:r>
        <w:rPr>
          <w:rFonts w:hint="eastAsia" w:ascii="楷体_GB2312" w:eastAsia="楷体_GB2312"/>
          <w:szCs w:val="32"/>
        </w:rPr>
        <w:t>（一）专项组织情况分析</w:t>
      </w:r>
    </w:p>
    <w:p>
      <w:pPr>
        <w:ind w:firstLine="643"/>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w:t>
      </w:r>
      <w:r>
        <w:rPr>
          <w:rFonts w:hint="eastAsia" w:ascii="仿宋_GB2312" w:eastAsia="仿宋_GB2312"/>
          <w:sz w:val="32"/>
          <w:szCs w:val="32"/>
          <w:lang w:eastAsia="zh-CN"/>
        </w:rPr>
        <w:t>2022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3"/>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4"/>
        <w:numPr>
          <w:ilvl w:val="0"/>
          <w:numId w:val="7"/>
        </w:numPr>
        <w:ind w:firstLine="643"/>
        <w:rPr>
          <w:rFonts w:ascii="楷体_GB2312" w:eastAsia="楷体_GB2312"/>
          <w:szCs w:val="32"/>
        </w:rPr>
      </w:pPr>
      <w:r>
        <w:rPr>
          <w:rFonts w:hint="eastAsia" w:ascii="楷体_GB2312" w:eastAsia="楷体_GB2312"/>
          <w:szCs w:val="32"/>
        </w:rPr>
        <w:t>专项管理情况分析</w:t>
      </w:r>
    </w:p>
    <w:p>
      <w:pPr>
        <w:ind w:firstLine="643"/>
        <w:rPr>
          <w:rFonts w:ascii="仿宋_GB2312" w:eastAsia="仿宋_GB2312"/>
          <w:b/>
          <w:bCs/>
          <w:sz w:val="32"/>
          <w:szCs w:val="32"/>
        </w:rPr>
      </w:pPr>
      <w:r>
        <w:rPr>
          <w:rFonts w:hint="eastAsia" w:ascii="仿宋_GB2312" w:eastAsia="仿宋_GB2312"/>
          <w:b/>
          <w:bCs/>
          <w:sz w:val="32"/>
          <w:szCs w:val="32"/>
        </w:rPr>
        <w:t>1.项目资金情况分析</w:t>
      </w:r>
    </w:p>
    <w:p>
      <w:pPr>
        <w:ind w:firstLine="640"/>
        <w:rPr>
          <w:rFonts w:ascii="仿宋_GB2312" w:eastAsia="仿宋_GB2312"/>
          <w:color w:val="000000" w:themeColor="text1"/>
          <w:sz w:val="32"/>
          <w:szCs w:val="32"/>
        </w:rPr>
      </w:pPr>
      <w:r>
        <w:rPr>
          <w:rFonts w:hint="eastAsia" w:ascii="仿宋_GB2312" w:eastAsia="仿宋_GB2312"/>
          <w:sz w:val="32"/>
          <w:szCs w:val="32"/>
        </w:rPr>
        <w:t>（1）</w:t>
      </w:r>
      <w:r>
        <w:rPr>
          <w:rFonts w:hint="eastAsia" w:ascii="仿宋_GB2312" w:eastAsia="仿宋_GB2312" w:cs="仿宋"/>
          <w:sz w:val="32"/>
          <w:szCs w:val="32"/>
        </w:rPr>
        <w:t>2022年，预算安排专项资金82930.9万元，实际使用82930.9万元</w:t>
      </w:r>
      <w:r>
        <w:rPr>
          <w:rFonts w:hint="eastAsia" w:ascii="仿宋_GB2312" w:eastAsia="仿宋_GB2312"/>
          <w:sz w:val="32"/>
          <w:szCs w:val="32"/>
        </w:rPr>
        <w:t>，预算执行率为100.0%。我</w:t>
      </w:r>
      <w:r>
        <w:rPr>
          <w:rFonts w:hint="eastAsia" w:ascii="仿宋_GB2312" w:eastAsia="仿宋_GB2312"/>
          <w:color w:val="000000" w:themeColor="text1"/>
          <w:sz w:val="32"/>
          <w:szCs w:val="32"/>
        </w:rPr>
        <w:t>单位专项资金严格按照昌吉市财政局及相关专项资金管理办法要求实行专款专用，在本年度各级审计和财政监督检查中未发现资金使用合规性问题。</w:t>
      </w:r>
    </w:p>
    <w:p>
      <w:pPr>
        <w:ind w:firstLine="643"/>
        <w:rPr>
          <w:rFonts w:ascii="仿宋_GB2312" w:eastAsia="仿宋_GB2312"/>
          <w:b/>
          <w:bCs/>
          <w:sz w:val="32"/>
          <w:szCs w:val="32"/>
        </w:rPr>
      </w:pPr>
      <w:r>
        <w:rPr>
          <w:rFonts w:hint="eastAsia" w:ascii="仿宋_GB2312" w:eastAsia="仿宋_GB2312"/>
          <w:b/>
          <w:bCs/>
          <w:sz w:val="32"/>
          <w:szCs w:val="32"/>
        </w:rPr>
        <w:t>2.项目实施情况分析</w:t>
      </w:r>
    </w:p>
    <w:p>
      <w:pPr>
        <w:ind w:firstLine="640"/>
        <w:rPr>
          <w:rFonts w:ascii="仿宋_GB2312" w:eastAsia="仿宋_GB2312"/>
          <w:color w:val="000000" w:themeColor="text1"/>
          <w:sz w:val="32"/>
          <w:szCs w:val="32"/>
        </w:rPr>
      </w:pPr>
      <w:r>
        <w:rPr>
          <w:rFonts w:hint="eastAsia" w:ascii="仿宋_GB2312" w:eastAsia="仿宋_GB2312"/>
          <w:color w:val="000000" w:themeColor="text1"/>
          <w:sz w:val="32"/>
          <w:szCs w:val="32"/>
        </w:rPr>
        <w:t>（1）组织情况：昌吉市项目代建管理局建立专项项目领导小组，保证项目的实施。</w:t>
      </w:r>
    </w:p>
    <w:p>
      <w:pPr>
        <w:ind w:firstLine="640"/>
        <w:rPr>
          <w:rFonts w:ascii="仿宋_GB2312" w:eastAsia="仿宋_GB2312"/>
          <w:color w:val="000000" w:themeColor="text1"/>
          <w:sz w:val="32"/>
          <w:szCs w:val="32"/>
        </w:rPr>
      </w:pPr>
      <w:r>
        <w:rPr>
          <w:rFonts w:hint="eastAsia" w:ascii="仿宋_GB2312" w:eastAsia="仿宋_GB2312"/>
          <w:sz w:val="32"/>
          <w:szCs w:val="32"/>
        </w:rPr>
        <w:t>（2）管理情况：</w:t>
      </w:r>
      <w:r>
        <w:rPr>
          <w:rFonts w:hint="eastAsia" w:ascii="仿宋_GB2312" w:eastAsia="仿宋_GB2312"/>
          <w:color w:val="000000" w:themeColor="text1"/>
          <w:sz w:val="32"/>
          <w:szCs w:val="32"/>
        </w:rPr>
        <w:t>昌吉市项目代建管理局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ascii="仿宋_GB2312" w:eastAsia="仿宋_GB2312"/>
          <w:color w:val="000000" w:themeColor="text1"/>
          <w:sz w:val="32"/>
          <w:szCs w:val="32"/>
        </w:rPr>
      </w:pPr>
      <w:r>
        <w:rPr>
          <w:rFonts w:hint="eastAsia" w:ascii="仿宋_GB2312" w:eastAsia="仿宋_GB2312"/>
          <w:sz w:val="32"/>
          <w:szCs w:val="32"/>
        </w:rPr>
        <w:t>（3）监管情况：</w:t>
      </w:r>
      <w:r>
        <w:rPr>
          <w:rFonts w:hint="eastAsia" w:ascii="仿宋_GB2312" w:eastAsia="仿宋_GB2312"/>
          <w:color w:val="000000" w:themeColor="text1"/>
          <w:sz w:val="32"/>
          <w:szCs w:val="32"/>
        </w:rPr>
        <w:t>昌吉市项目代建管理局随时对专项项目进行监督检查，监督施工进度是否按照项目计划时间如期进行，检查项目实施内容是否与项目计划内容一致，同时对专项项目资金进行定期或不定期督查，确保项目资金专款专用。</w:t>
      </w:r>
    </w:p>
    <w:p>
      <w:pPr>
        <w:ind w:firstLine="643"/>
        <w:rPr>
          <w:rFonts w:ascii="仿宋_GB2312" w:eastAsia="仿宋_GB2312"/>
          <w:b/>
          <w:bCs/>
          <w:sz w:val="32"/>
          <w:szCs w:val="32"/>
        </w:rPr>
      </w:pPr>
      <w:r>
        <w:rPr>
          <w:rFonts w:hint="eastAsia" w:ascii="仿宋_GB2312" w:eastAsia="仿宋_GB2312"/>
          <w:b/>
          <w:bCs/>
          <w:sz w:val="32"/>
          <w:szCs w:val="32"/>
        </w:rPr>
        <w:t>3.项目绩效情况分析</w:t>
      </w:r>
    </w:p>
    <w:p>
      <w:pPr>
        <w:ind w:firstLine="640"/>
        <w:rPr>
          <w:rFonts w:ascii="仿宋_GB2312" w:eastAsia="仿宋_GB2312"/>
          <w:sz w:val="32"/>
          <w:szCs w:val="32"/>
        </w:rPr>
      </w:pPr>
      <w:r>
        <w:rPr>
          <w:rFonts w:hint="eastAsia" w:ascii="仿宋_GB2312" w:eastAsia="仿宋_GB2312"/>
          <w:sz w:val="32"/>
          <w:szCs w:val="32"/>
        </w:rPr>
        <w:t>本单位所涉及专项项目均已纳入绩效管理，24个专项项目实际绩效情况如下：</w:t>
      </w:r>
    </w:p>
    <w:p>
      <w:pPr>
        <w:ind w:firstLine="640"/>
        <w:rPr>
          <w:rFonts w:ascii="仿宋_GB2312" w:eastAsia="仿宋_GB2312"/>
          <w:color w:val="000000" w:themeColor="text1"/>
          <w:sz w:val="32"/>
          <w:szCs w:val="32"/>
        </w:rPr>
      </w:pPr>
      <w:r>
        <w:rPr>
          <w:rFonts w:hint="eastAsia" w:ascii="仿宋_GB2312" w:eastAsia="仿宋_GB2312"/>
          <w:sz w:val="32"/>
          <w:szCs w:val="32"/>
        </w:rPr>
        <w:t>（1）成本控制：</w:t>
      </w:r>
      <w:r>
        <w:rPr>
          <w:rFonts w:hint="eastAsia" w:ascii="仿宋_GB2312" w:eastAsia="仿宋_GB2312"/>
          <w:color w:val="000000" w:themeColor="text1"/>
          <w:sz w:val="32"/>
          <w:szCs w:val="32"/>
        </w:rPr>
        <w:t>昌吉市项目代建管理局在其职能范围内，明确项目职责分工和成本控制要求，对各种影响成本的因素和条件采取了一系列预防和调节措施，科学地组织实施成本控制。</w:t>
      </w:r>
    </w:p>
    <w:p>
      <w:pPr>
        <w:ind w:firstLine="640"/>
        <w:rPr>
          <w:rFonts w:ascii="仿宋_GB2312" w:eastAsia="仿宋_GB2312"/>
          <w:b/>
          <w:bCs/>
          <w:sz w:val="32"/>
          <w:szCs w:val="32"/>
        </w:rPr>
      </w:pPr>
      <w:r>
        <w:rPr>
          <w:rFonts w:hint="eastAsia" w:ascii="仿宋_GB2312" w:eastAsia="仿宋_GB2312"/>
          <w:color w:val="000000" w:themeColor="text1"/>
          <w:sz w:val="32"/>
          <w:szCs w:val="32"/>
        </w:rPr>
        <w:t>（2）成本节约：昌吉市项目代建管理局在进行招标项目时，因采用公开的招标方式进行采购，降低了项目的成本。</w:t>
      </w:r>
      <w:r>
        <w:rPr>
          <w:rFonts w:hint="eastAsia" w:ascii="仿宋_GB2312" w:eastAsia="仿宋_GB2312"/>
          <w:b/>
          <w:bCs/>
          <w:sz w:val="32"/>
          <w:szCs w:val="32"/>
        </w:rPr>
        <w:t>4.项目效率性分析（实施进度、完成质量）</w:t>
      </w:r>
    </w:p>
    <w:p>
      <w:pPr>
        <w:pStyle w:val="2"/>
        <w:ind w:firstLine="640"/>
        <w:rPr>
          <w:rFonts w:hAnsi="仿宋" w:cs="仿宋"/>
          <w:b w:val="0"/>
          <w:bCs w:val="0"/>
          <w:color w:val="000000" w:themeColor="text1"/>
          <w:sz w:val="32"/>
        </w:rPr>
      </w:pPr>
      <w:r>
        <w:rPr>
          <w:rFonts w:hint="eastAsia" w:hAnsi="仿宋" w:cs="仿宋"/>
          <w:b w:val="0"/>
          <w:bCs w:val="0"/>
          <w:color w:val="000000" w:themeColor="text1"/>
          <w:sz w:val="32"/>
        </w:rPr>
        <w:t>24个项目都已完成，实施进度为100%，达到预期完成质量要求；</w:t>
      </w:r>
    </w:p>
    <w:p>
      <w:pPr>
        <w:ind w:firstLine="643"/>
        <w:rPr>
          <w:rFonts w:ascii="仿宋_GB2312" w:eastAsia="仿宋_GB2312"/>
          <w:b/>
          <w:bCs/>
          <w:sz w:val="32"/>
          <w:szCs w:val="32"/>
        </w:rPr>
      </w:pPr>
      <w:r>
        <w:rPr>
          <w:rFonts w:hint="eastAsia" w:ascii="仿宋_GB2312" w:eastAsia="仿宋_GB2312"/>
          <w:b/>
          <w:bCs/>
          <w:sz w:val="32"/>
          <w:szCs w:val="32"/>
        </w:rPr>
        <w:t>5.项目效益性分析（预期目标完成程度、实施对经济和社会的影响）</w:t>
      </w:r>
    </w:p>
    <w:p>
      <w:pPr>
        <w:spacing w:line="540" w:lineRule="exact"/>
        <w:ind w:firstLine="627" w:firstLineChars="196"/>
        <w:rPr>
          <w:rFonts w:ascii="仿宋_GB2312" w:eastAsia="仿宋_GB2312" w:cs="仿宋"/>
          <w:sz w:val="32"/>
          <w:szCs w:val="32"/>
        </w:rPr>
      </w:pPr>
      <w:r>
        <w:rPr>
          <w:rFonts w:hint="eastAsia" w:ascii="仿宋_GB2312" w:eastAsia="仿宋_GB2312" w:cs="仿宋"/>
          <w:sz w:val="32"/>
          <w:szCs w:val="32"/>
        </w:rPr>
        <w:t>2022年，我单位积极开展了24个项目，</w:t>
      </w:r>
      <w:r>
        <w:rPr>
          <w:rStyle w:val="13"/>
          <w:rFonts w:hint="eastAsia"/>
          <w:b w:val="0"/>
          <w:spacing w:val="-4"/>
          <w:sz w:val="32"/>
          <w:szCs w:val="32"/>
        </w:rPr>
        <w:t>更好的服务各类群众，推动全市教育、医疗、公安等事业的发展，有力保障项目使用单位功能需要；我市教育、医疗、公安等建设资源是有限的，在建设过程中合理配置资源，统筹城市的空间分布，全面完善教育、医疗、公安等基础设施建设，避免重复建设，达到合理开发，走“可持续发展道路”，能够实现长期服务广大群众；</w:t>
      </w:r>
      <w:r>
        <w:rPr>
          <w:rFonts w:hint="eastAsia" w:ascii="仿宋_GB2312" w:eastAsia="仿宋_GB2312" w:cs="仿宋"/>
          <w:sz w:val="32"/>
          <w:szCs w:val="32"/>
        </w:rPr>
        <w:t>2022年我单位完成为民办实事好事8次，覆盖村民数80人，户脱贫率50.0%，上级安排的工作时效性有效提高，访惠聚工作队为民办实事经费14.4.00万元，第一书记工作经费2万元，访惠聚驻村工作队员补助0.6万元，驻村点村民生活水平得到提高，村民对国家惠民政策了解程度进一步提高，基层群众满意度达到95.0%。</w:t>
      </w:r>
    </w:p>
    <w:p>
      <w:pPr>
        <w:spacing w:line="540" w:lineRule="exact"/>
        <w:ind w:firstLine="627" w:firstLineChars="196"/>
        <w:rPr>
          <w:rFonts w:ascii="黑体" w:hAnsi="黑体"/>
          <w:sz w:val="32"/>
          <w:szCs w:val="32"/>
        </w:rPr>
      </w:pPr>
      <w:r>
        <w:rPr>
          <w:rFonts w:hint="eastAsia" w:ascii="黑体" w:hAnsi="黑体"/>
          <w:sz w:val="32"/>
          <w:szCs w:val="32"/>
        </w:rPr>
        <w:t>四、资产管理情况</w:t>
      </w:r>
    </w:p>
    <w:p>
      <w:pPr>
        <w:pStyle w:val="4"/>
        <w:numPr>
          <w:ilvl w:val="0"/>
          <w:numId w:val="8"/>
        </w:numPr>
        <w:ind w:firstLine="643"/>
        <w:rPr>
          <w:rFonts w:ascii="楷体_GB2312" w:eastAsia="楷体_GB2312"/>
          <w:szCs w:val="32"/>
        </w:rPr>
      </w:pPr>
      <w:r>
        <w:rPr>
          <w:rFonts w:hint="eastAsia" w:ascii="楷体_GB2312" w:eastAsia="楷体_GB2312"/>
          <w:szCs w:val="32"/>
        </w:rPr>
        <w:t>资产情况及固定资产利用情况</w:t>
      </w:r>
    </w:p>
    <w:p>
      <w:pPr>
        <w:ind w:firstLine="640"/>
        <w:rPr>
          <w:rFonts w:ascii="仿宋_GB2312" w:eastAsia="仿宋_GB2312"/>
          <w:color w:val="000000" w:themeColor="text1"/>
          <w:sz w:val="32"/>
          <w:szCs w:val="32"/>
        </w:rPr>
      </w:pPr>
      <w:r>
        <w:rPr>
          <w:rFonts w:hint="eastAsia" w:ascii="仿宋_GB2312" w:eastAsia="仿宋_GB2312"/>
          <w:color w:val="000000" w:themeColor="text1"/>
          <w:sz w:val="32"/>
          <w:szCs w:val="32"/>
        </w:rPr>
        <w:t>截止2022年12月31日，我单位资产账面总额为507761.22万元，较年初资产总额增加93524.75万元，增长22.58%，其中：</w:t>
      </w:r>
    </w:p>
    <w:p>
      <w:pPr>
        <w:ind w:firstLine="640"/>
        <w:rPr>
          <w:rFonts w:ascii="仿宋_GB2312" w:eastAsia="仿宋_GB2312"/>
          <w:color w:val="000000" w:themeColor="text1"/>
          <w:sz w:val="32"/>
          <w:szCs w:val="32"/>
        </w:rPr>
      </w:pPr>
      <w:r>
        <w:rPr>
          <w:rFonts w:hint="eastAsia" w:ascii="仿宋_GB2312" w:eastAsia="仿宋_GB2312"/>
          <w:color w:val="000000" w:themeColor="text1"/>
          <w:sz w:val="32"/>
          <w:szCs w:val="32"/>
        </w:rPr>
        <w:t>2022年初，流动资产总额为</w:t>
      </w:r>
      <w:r>
        <w:rPr>
          <w:rFonts w:ascii="仿宋_GB2312" w:eastAsia="仿宋_GB2312"/>
          <w:color w:val="000000" w:themeColor="text1"/>
          <w:sz w:val="32"/>
          <w:szCs w:val="32"/>
        </w:rPr>
        <w:t>17290.90</w:t>
      </w:r>
      <w:r>
        <w:rPr>
          <w:rFonts w:hint="eastAsia" w:ascii="仿宋_GB2312" w:eastAsia="仿宋_GB2312"/>
          <w:color w:val="000000" w:themeColor="text1"/>
          <w:sz w:val="32"/>
          <w:szCs w:val="32"/>
        </w:rPr>
        <w:t>万元，年末总额为26675.37万元，较年初流动资产增加9384.47万元，增长54.27%，主要变动原因是：代建项目增加。</w:t>
      </w:r>
    </w:p>
    <w:p>
      <w:pPr>
        <w:ind w:firstLine="640"/>
        <w:rPr>
          <w:rFonts w:eastAsia="仿宋_GB2312"/>
        </w:rPr>
      </w:pPr>
      <w:r>
        <w:rPr>
          <w:rFonts w:hint="eastAsia" w:ascii="仿宋_GB2312" w:eastAsia="仿宋_GB2312"/>
          <w:color w:val="000000" w:themeColor="text1"/>
          <w:sz w:val="32"/>
          <w:szCs w:val="32"/>
        </w:rPr>
        <w:t>2022年初，固定资产总额为43.45万元，年末固定资产总额为28.11万元，较年初固定资产减少15.34万元，下降</w:t>
      </w:r>
      <w:r>
        <w:rPr>
          <w:rFonts w:hint="eastAsia" w:ascii="仿宋_GB2312" w:eastAsia="仿宋_GB2312"/>
          <w:sz w:val="32"/>
          <w:szCs w:val="32"/>
        </w:rPr>
        <w:t>35.3%，主要变动原因是：固定资产累计折旧。年末在建工程总额481057.74万元。</w:t>
      </w:r>
    </w:p>
    <w:p>
      <w:pPr>
        <w:pStyle w:val="4"/>
        <w:numPr>
          <w:ilvl w:val="0"/>
          <w:numId w:val="8"/>
        </w:numPr>
        <w:ind w:firstLine="643"/>
        <w:rPr>
          <w:rFonts w:ascii="仿宋_GB2312" w:eastAsia="仿宋_GB2312"/>
          <w:szCs w:val="32"/>
        </w:rPr>
      </w:pPr>
      <w:r>
        <w:rPr>
          <w:rFonts w:hint="eastAsia" w:ascii="楷体_GB2312" w:eastAsia="楷体_GB2312"/>
          <w:szCs w:val="32"/>
        </w:rPr>
        <w:t>资产管理规范性分析</w:t>
      </w:r>
    </w:p>
    <w:p>
      <w:pPr>
        <w:ind w:firstLine="643"/>
        <w:jc w:val="left"/>
        <w:rPr>
          <w:rFonts w:ascii="仿宋_GB2312" w:eastAsia="仿宋_GB2312" w:cs="仿宋_GB2312"/>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ascii="仿宋_GB2312" w:eastAsia="仿宋_GB2312" w:cs="仿宋"/>
          <w:kern w:val="1"/>
          <w:sz w:val="32"/>
          <w:szCs w:val="32"/>
        </w:rPr>
      </w:pPr>
      <w:r>
        <w:rPr>
          <w:rFonts w:hint="eastAsia" w:ascii="仿宋_GB2312" w:eastAsia="仿宋_GB2312" w:cs="仿宋"/>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2.运行机制和管理方式</w:t>
      </w:r>
    </w:p>
    <w:p>
      <w:pPr>
        <w:ind w:firstLine="681" w:firstLineChars="213"/>
        <w:jc w:val="left"/>
        <w:rPr>
          <w:rFonts w:ascii="仿宋_GB2312" w:eastAsia="仿宋_GB2312" w:cs="仿宋"/>
          <w:kern w:val="1"/>
          <w:sz w:val="32"/>
          <w:szCs w:val="32"/>
        </w:rPr>
      </w:pPr>
      <w:r>
        <w:rPr>
          <w:rFonts w:hint="eastAsia" w:ascii="仿宋_GB2312" w:eastAsia="仿宋_GB2312" w:cs="仿宋"/>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pPr>
        <w:ind w:firstLine="640"/>
        <w:jc w:val="left"/>
        <w:rPr>
          <w:rFonts w:ascii="仿宋_GB2312" w:eastAsia="仿宋_GB2312" w:cs="仿宋"/>
          <w:kern w:val="1"/>
          <w:sz w:val="32"/>
          <w:szCs w:val="32"/>
        </w:rPr>
      </w:pPr>
      <w:r>
        <w:rPr>
          <w:rFonts w:hint="eastAsia" w:ascii="仿宋_GB2312" w:eastAsia="仿宋_GB2312" w:cs="仿宋"/>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 xml:space="preserve"> 4.流动资产的管理</w:t>
      </w:r>
    </w:p>
    <w:p>
      <w:pPr>
        <w:pStyle w:val="10"/>
        <w:widowControl/>
        <w:spacing w:before="40" w:beforeAutospacing="0" w:after="0" w:afterAutospacing="0"/>
        <w:ind w:firstLine="640"/>
        <w:jc w:val="both"/>
        <w:rPr>
          <w:rFonts w:ascii="仿宋_GB2312" w:eastAsia="仿宋_GB2312" w:cs="宋体"/>
          <w:sz w:val="32"/>
          <w:szCs w:val="32"/>
        </w:rPr>
      </w:pPr>
      <w:r>
        <w:rPr>
          <w:rFonts w:hint="eastAsia" w:ascii="仿宋_GB2312" w:eastAsia="仿宋_GB2312" w:cs="宋体"/>
          <w:sz w:val="32"/>
          <w:szCs w:val="32"/>
        </w:rPr>
        <w:t>流动资产严格按照我单位内控体系要求进行管理，无备用金，单位货币资金管理由办公室每月与国库支付中心进行对账。</w:t>
      </w:r>
    </w:p>
    <w:p>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5.固定资产的管理</w:t>
      </w:r>
    </w:p>
    <w:p>
      <w:pPr>
        <w:pStyle w:val="10"/>
        <w:widowControl/>
        <w:spacing w:before="40" w:beforeAutospacing="0" w:after="0" w:afterAutospacing="0"/>
        <w:ind w:firstLine="640"/>
        <w:jc w:val="both"/>
        <w:rPr>
          <w:rFonts w:ascii="仿宋_GB2312" w:eastAsia="仿宋_GB2312" w:cs="宋体"/>
          <w:sz w:val="32"/>
          <w:szCs w:val="32"/>
        </w:rPr>
      </w:pPr>
      <w:r>
        <w:rPr>
          <w:rFonts w:hint="eastAsia" w:ascii="仿宋_GB2312" w:eastAsia="仿宋_GB2312" w:cs="宋体"/>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9"/>
        </w:numPr>
        <w:ind w:firstLine="640"/>
        <w:rPr>
          <w:rFonts w:ascii="黑体" w:hAnsi="黑体"/>
          <w:b w:val="0"/>
          <w:sz w:val="32"/>
          <w:szCs w:val="32"/>
        </w:rPr>
      </w:pPr>
      <w:r>
        <w:rPr>
          <w:rFonts w:hint="eastAsia" w:ascii="黑体" w:hAnsi="黑体"/>
          <w:b w:val="0"/>
          <w:sz w:val="32"/>
          <w:szCs w:val="32"/>
        </w:rPr>
        <w:t>部门单位整体支出绩效情况</w:t>
      </w:r>
    </w:p>
    <w:p>
      <w:pPr>
        <w:adjustRightInd w:val="0"/>
        <w:snapToGrid w:val="0"/>
        <w:ind w:firstLine="624"/>
        <w:rPr>
          <w:rFonts w:ascii="仿宋_GB2312" w:eastAsia="仿宋_GB2312"/>
          <w:bCs/>
          <w:spacing w:val="-4"/>
          <w:sz w:val="32"/>
          <w:szCs w:val="32"/>
        </w:rPr>
      </w:pPr>
      <w:r>
        <w:rPr>
          <w:rFonts w:hint="eastAsia" w:ascii="仿宋_GB2312" w:eastAsia="仿宋_GB2312"/>
          <w:bCs/>
          <w:spacing w:val="-4"/>
          <w:sz w:val="32"/>
          <w:szCs w:val="32"/>
        </w:rPr>
        <w:t>2022年度，</w:t>
      </w:r>
      <w:r>
        <w:rPr>
          <w:rFonts w:hint="eastAsia" w:ascii="仿宋_GB2312" w:eastAsia="仿宋_GB2312"/>
          <w:sz w:val="32"/>
          <w:szCs w:val="32"/>
        </w:rPr>
        <w:t>昌吉市项目代建管理局</w:t>
      </w:r>
      <w:r>
        <w:rPr>
          <w:rFonts w:hint="eastAsia" w:ascii="仿宋_GB2312" w:eastAsia="仿宋_GB2312"/>
          <w:bCs/>
          <w:spacing w:val="-4"/>
          <w:sz w:val="32"/>
          <w:szCs w:val="32"/>
        </w:rPr>
        <w:t>部门单位整体支出绩效目标共设置一级指标3个，二级指标7个，三级指标13个，其中：已完成三级指标13个，指标完成率为100.0%。</w:t>
      </w:r>
    </w:p>
    <w:p>
      <w:pPr>
        <w:pStyle w:val="2"/>
        <w:ind w:firstLine="643"/>
        <w:rPr>
          <w:sz w:val="32"/>
        </w:rPr>
      </w:pPr>
      <w:r>
        <w:rPr>
          <w:rFonts w:hint="eastAsia"/>
          <w:sz w:val="32"/>
        </w:rPr>
        <w:t>1.产出指标完成情况分析</w:t>
      </w:r>
    </w:p>
    <w:p>
      <w:pPr>
        <w:ind w:firstLine="640"/>
        <w:rPr>
          <w:rFonts w:ascii="仿宋_GB2312" w:eastAsia="仿宋_GB2312"/>
          <w:sz w:val="32"/>
          <w:szCs w:val="32"/>
        </w:rPr>
      </w:pPr>
      <w:r>
        <w:rPr>
          <w:rFonts w:hint="eastAsia" w:ascii="仿宋_GB2312" w:eastAsia="仿宋_GB2312"/>
          <w:sz w:val="32"/>
          <w:szCs w:val="32"/>
        </w:rPr>
        <w:t>（1）数量指标</w:t>
      </w:r>
    </w:p>
    <w:p>
      <w:pPr>
        <w:ind w:firstLine="640"/>
        <w:rPr>
          <w:rFonts w:ascii="仿宋_GB2312" w:eastAsia="仿宋_GB2312"/>
          <w:sz w:val="32"/>
          <w:szCs w:val="32"/>
        </w:rPr>
      </w:pPr>
      <w:r>
        <w:rPr>
          <w:rFonts w:hint="eastAsia" w:ascii="仿宋_GB2312" w:eastAsia="仿宋_GB2312"/>
          <w:sz w:val="32"/>
          <w:szCs w:val="32"/>
        </w:rPr>
        <w:t>“房屋建筑物供暖面积”指标：预期指标值为“</w:t>
      </w:r>
      <w:r>
        <w:rPr>
          <w:rFonts w:ascii="仿宋_GB2312" w:eastAsia="仿宋_GB2312"/>
          <w:sz w:val="32"/>
          <w:szCs w:val="32"/>
        </w:rPr>
        <w:t>=123.11㎡</w:t>
      </w:r>
      <w:r>
        <w:rPr>
          <w:rFonts w:hint="eastAsia" w:ascii="仿宋_GB2312" w:eastAsia="仿宋_GB2312"/>
          <w:sz w:val="32"/>
          <w:szCs w:val="32"/>
        </w:rPr>
        <w:t>”，实际完成指标值为“123.11”，指标完成率为</w:t>
      </w:r>
      <w:r>
        <w:rPr>
          <w:rFonts w:hint="eastAsia" w:ascii="仿宋_GB2312" w:eastAsia="仿宋_GB2312"/>
          <w:bCs/>
          <w:spacing w:val="-4"/>
          <w:sz w:val="32"/>
          <w:szCs w:val="32"/>
        </w:rPr>
        <w:t>100.0</w:t>
      </w:r>
      <w:r>
        <w:rPr>
          <w:rFonts w:hint="eastAsia" w:ascii="仿宋_GB2312" w:eastAsia="仿宋_GB2312"/>
          <w:sz w:val="32"/>
          <w:szCs w:val="32"/>
        </w:rPr>
        <w:t>%;</w:t>
      </w:r>
    </w:p>
    <w:p>
      <w:pPr>
        <w:ind w:firstLine="640"/>
        <w:rPr>
          <w:rFonts w:ascii="仿宋_GB2312" w:eastAsia="仿宋_GB2312"/>
          <w:sz w:val="32"/>
          <w:szCs w:val="32"/>
        </w:rPr>
      </w:pPr>
      <w:r>
        <w:rPr>
          <w:rFonts w:hint="eastAsia" w:ascii="仿宋_GB2312" w:eastAsia="仿宋_GB2312"/>
          <w:sz w:val="32"/>
          <w:szCs w:val="32"/>
        </w:rPr>
        <w:t>“公务保障用车数量”指标：预期指标值为“</w:t>
      </w:r>
      <w:r>
        <w:rPr>
          <w:rFonts w:ascii="仿宋_GB2312" w:eastAsia="仿宋_GB2312"/>
          <w:sz w:val="32"/>
          <w:szCs w:val="32"/>
        </w:rPr>
        <w:t>=1.00辆</w:t>
      </w:r>
      <w:r>
        <w:rPr>
          <w:rFonts w:hint="eastAsia" w:ascii="仿宋_GB2312" w:eastAsia="仿宋_GB2312"/>
          <w:sz w:val="32"/>
          <w:szCs w:val="32"/>
        </w:rPr>
        <w:t>”，实际完成指标值为“1”，指标完成率为</w:t>
      </w:r>
      <w:r>
        <w:rPr>
          <w:rFonts w:hint="eastAsia" w:ascii="仿宋_GB2312" w:eastAsia="仿宋_GB2312"/>
          <w:bCs/>
          <w:spacing w:val="-4"/>
          <w:sz w:val="32"/>
          <w:szCs w:val="32"/>
        </w:rPr>
        <w:t>100.0</w:t>
      </w:r>
      <w:r>
        <w:rPr>
          <w:rFonts w:hint="eastAsia" w:ascii="仿宋_GB2312" w:eastAsia="仿宋_GB2312"/>
          <w:sz w:val="32"/>
          <w:szCs w:val="32"/>
        </w:rPr>
        <w:t>%;</w:t>
      </w:r>
    </w:p>
    <w:p>
      <w:pPr>
        <w:pStyle w:val="2"/>
        <w:ind w:firstLine="640"/>
        <w:rPr>
          <w:rFonts w:hAnsi="仿宋"/>
          <w:b w:val="0"/>
          <w:bCs w:val="0"/>
          <w:sz w:val="32"/>
        </w:rPr>
      </w:pPr>
      <w:r>
        <w:rPr>
          <w:rFonts w:hint="eastAsia" w:hAnsi="仿宋"/>
          <w:b w:val="0"/>
          <w:bCs w:val="0"/>
          <w:sz w:val="32"/>
        </w:rPr>
        <w:t>“保障办公人员数量”指标：预期指标值为“</w:t>
      </w:r>
      <w:r>
        <w:rPr>
          <w:rFonts w:hAnsi="仿宋"/>
          <w:b w:val="0"/>
          <w:bCs w:val="0"/>
          <w:sz w:val="32"/>
        </w:rPr>
        <w:t>=40.00人”，实际完成指标值为“</w:t>
      </w:r>
      <w:r>
        <w:rPr>
          <w:rFonts w:hint="eastAsia" w:hAnsi="仿宋"/>
          <w:b w:val="0"/>
          <w:bCs w:val="0"/>
          <w:sz w:val="32"/>
        </w:rPr>
        <w:t>40</w:t>
      </w:r>
      <w:r>
        <w:rPr>
          <w:rFonts w:hAnsi="仿宋"/>
          <w:b w:val="0"/>
          <w:bCs w:val="0"/>
          <w:sz w:val="32"/>
        </w:rPr>
        <w:t>”，指标完成率为100.0%;</w:t>
      </w:r>
    </w:p>
    <w:p>
      <w:pPr>
        <w:numPr>
          <w:ilvl w:val="0"/>
          <w:numId w:val="10"/>
        </w:numPr>
        <w:ind w:firstLine="640"/>
        <w:rPr>
          <w:rFonts w:ascii="仿宋_GB2312" w:eastAsia="仿宋_GB2312"/>
          <w:sz w:val="32"/>
          <w:szCs w:val="32"/>
        </w:rPr>
      </w:pPr>
      <w:r>
        <w:rPr>
          <w:rFonts w:hint="eastAsia" w:ascii="仿宋_GB2312" w:eastAsia="仿宋_GB2312"/>
          <w:sz w:val="32"/>
          <w:szCs w:val="32"/>
        </w:rPr>
        <w:t>质量指标</w:t>
      </w:r>
    </w:p>
    <w:p>
      <w:pPr>
        <w:ind w:firstLine="640"/>
        <w:rPr>
          <w:rFonts w:ascii="仿宋_GB2312" w:eastAsia="仿宋_GB2312"/>
          <w:sz w:val="32"/>
          <w:szCs w:val="32"/>
        </w:rPr>
      </w:pPr>
      <w:r>
        <w:rPr>
          <w:rFonts w:hint="eastAsia" w:ascii="仿宋_GB2312" w:eastAsia="仿宋_GB2312"/>
          <w:sz w:val="32"/>
          <w:szCs w:val="32"/>
        </w:rPr>
        <w:t>“在编人员、自聘人员工资发放覆盖率”指标：预期指标值为“</w:t>
      </w:r>
      <w:r>
        <w:rPr>
          <w:rFonts w:ascii="仿宋_GB2312" w:eastAsia="仿宋_GB2312"/>
          <w:sz w:val="32"/>
          <w:szCs w:val="32"/>
        </w:rPr>
        <w:t>&gt;=9</w:t>
      </w:r>
      <w:r>
        <w:rPr>
          <w:rFonts w:hint="eastAsia" w:ascii="仿宋_GB2312" w:eastAsia="仿宋_GB2312"/>
          <w:sz w:val="32"/>
          <w:szCs w:val="32"/>
        </w:rPr>
        <w:t>0</w:t>
      </w:r>
      <w:r>
        <w:rPr>
          <w:rFonts w:ascii="仿宋_GB2312" w:eastAsia="仿宋_GB2312"/>
          <w:sz w:val="32"/>
          <w:szCs w:val="32"/>
        </w:rPr>
        <w:t>.00%</w:t>
      </w:r>
      <w:r>
        <w:rPr>
          <w:rFonts w:hint="eastAsia" w:ascii="仿宋_GB2312" w:eastAsia="仿宋_GB2312"/>
          <w:sz w:val="32"/>
          <w:szCs w:val="32"/>
        </w:rPr>
        <w:t>”，实际完成指标值为“100.00”，指标完成率为100.00%;</w:t>
      </w:r>
    </w:p>
    <w:p>
      <w:pPr>
        <w:numPr>
          <w:ilvl w:val="0"/>
          <w:numId w:val="10"/>
        </w:numPr>
        <w:ind w:firstLine="640"/>
        <w:rPr>
          <w:rFonts w:ascii="仿宋_GB2312" w:eastAsia="仿宋_GB2312"/>
          <w:sz w:val="32"/>
          <w:szCs w:val="32"/>
        </w:rPr>
      </w:pPr>
      <w:r>
        <w:rPr>
          <w:rFonts w:hint="eastAsia" w:ascii="仿宋_GB2312" w:eastAsia="仿宋_GB2312"/>
          <w:sz w:val="32"/>
          <w:szCs w:val="32"/>
        </w:rPr>
        <w:t>时效指标</w:t>
      </w:r>
    </w:p>
    <w:p>
      <w:pPr>
        <w:ind w:firstLine="640"/>
        <w:rPr>
          <w:rFonts w:ascii="仿宋_GB2312" w:eastAsia="仿宋_GB2312"/>
          <w:sz w:val="32"/>
          <w:szCs w:val="32"/>
        </w:rPr>
      </w:pPr>
      <w:r>
        <w:rPr>
          <w:rFonts w:hint="eastAsia" w:ascii="仿宋_GB2312" w:eastAsia="仿宋_GB2312"/>
          <w:sz w:val="32"/>
          <w:szCs w:val="32"/>
        </w:rPr>
        <w:t>“本单位各类人员当月工资发放及时率”指标：预期指标值为“</w:t>
      </w:r>
      <w:r>
        <w:rPr>
          <w:rFonts w:ascii="仿宋_GB2312" w:eastAsia="仿宋_GB2312"/>
          <w:sz w:val="32"/>
          <w:szCs w:val="32"/>
        </w:rPr>
        <w:t>&gt;=95.00%</w:t>
      </w:r>
      <w:r>
        <w:rPr>
          <w:rFonts w:hint="eastAsia" w:ascii="仿宋_GB2312" w:eastAsia="仿宋_GB2312"/>
          <w:sz w:val="32"/>
          <w:szCs w:val="32"/>
        </w:rPr>
        <w:t>”，实际完成指标值为“100.00”，指标完成率为100.00%;</w:t>
      </w:r>
    </w:p>
    <w:p>
      <w:pPr>
        <w:ind w:firstLine="640"/>
      </w:pPr>
      <w:r>
        <w:rPr>
          <w:rFonts w:hint="eastAsia" w:ascii="仿宋_GB2312" w:eastAsia="仿宋_GB2312"/>
          <w:sz w:val="32"/>
          <w:szCs w:val="32"/>
        </w:rPr>
        <w:t>“各项工作任务开展及时率”指标：预期指标值为“</w:t>
      </w:r>
      <w:r>
        <w:rPr>
          <w:rFonts w:ascii="仿宋_GB2312" w:eastAsia="仿宋_GB2312"/>
          <w:sz w:val="32"/>
          <w:szCs w:val="32"/>
        </w:rPr>
        <w:t>&gt;=95.00%</w:t>
      </w:r>
      <w:r>
        <w:rPr>
          <w:rFonts w:hint="eastAsia" w:ascii="仿宋_GB2312" w:eastAsia="仿宋_GB2312"/>
          <w:sz w:val="32"/>
          <w:szCs w:val="32"/>
        </w:rPr>
        <w:t>”，实际完成指标值为“100.00”，指标完成率为100.00%;</w:t>
      </w:r>
    </w:p>
    <w:p>
      <w:pPr>
        <w:numPr>
          <w:ilvl w:val="0"/>
          <w:numId w:val="10"/>
        </w:numPr>
        <w:ind w:firstLine="640"/>
        <w:rPr>
          <w:rFonts w:ascii="仿宋_GB2312" w:eastAsia="仿宋_GB2312"/>
          <w:sz w:val="32"/>
          <w:szCs w:val="32"/>
        </w:rPr>
      </w:pPr>
      <w:r>
        <w:rPr>
          <w:rFonts w:hint="eastAsia" w:ascii="仿宋_GB2312" w:eastAsia="仿宋_GB2312"/>
          <w:sz w:val="32"/>
          <w:szCs w:val="32"/>
        </w:rPr>
        <w:t>成本指标</w:t>
      </w:r>
    </w:p>
    <w:p>
      <w:pPr>
        <w:ind w:firstLine="640"/>
        <w:rPr>
          <w:rFonts w:ascii="仿宋_GB2312" w:eastAsia="仿宋_GB2312"/>
          <w:sz w:val="32"/>
          <w:szCs w:val="32"/>
        </w:rPr>
      </w:pPr>
      <w:r>
        <w:rPr>
          <w:rFonts w:hint="eastAsia" w:ascii="仿宋_GB2312" w:eastAsia="仿宋_GB2312"/>
          <w:sz w:val="32"/>
          <w:szCs w:val="32"/>
        </w:rPr>
        <w:t>“人员经费”指标：预期指标值为“</w:t>
      </w:r>
      <w:r>
        <w:rPr>
          <w:rFonts w:ascii="仿宋_GB2312" w:eastAsia="仿宋_GB2312"/>
          <w:sz w:val="32"/>
          <w:szCs w:val="32"/>
        </w:rPr>
        <w:t>&lt;=327.73万元</w:t>
      </w:r>
      <w:r>
        <w:rPr>
          <w:rFonts w:hint="eastAsia" w:ascii="仿宋_GB2312" w:eastAsia="仿宋_GB2312"/>
          <w:sz w:val="32"/>
          <w:szCs w:val="32"/>
        </w:rPr>
        <w:t>”，实际完成指标值为“324.63万元”，指标完成率为</w:t>
      </w:r>
      <w:r>
        <w:rPr>
          <w:rFonts w:hint="eastAsia" w:ascii="仿宋_GB2312" w:eastAsia="仿宋_GB2312"/>
          <w:bCs/>
          <w:spacing w:val="-4"/>
          <w:sz w:val="32"/>
          <w:szCs w:val="32"/>
        </w:rPr>
        <w:t>99.05</w:t>
      </w:r>
      <w:r>
        <w:rPr>
          <w:rFonts w:hint="eastAsia" w:ascii="仿宋_GB2312" w:eastAsia="仿宋_GB2312"/>
          <w:sz w:val="32"/>
          <w:szCs w:val="32"/>
        </w:rPr>
        <w:t>%;</w:t>
      </w:r>
    </w:p>
    <w:p>
      <w:pPr>
        <w:ind w:firstLine="640"/>
        <w:rPr>
          <w:rFonts w:ascii="仿宋_GB2312" w:eastAsia="仿宋_GB2312"/>
          <w:sz w:val="32"/>
          <w:szCs w:val="32"/>
        </w:rPr>
      </w:pPr>
      <w:r>
        <w:rPr>
          <w:rFonts w:hint="eastAsia" w:ascii="仿宋_GB2312" w:eastAsia="仿宋_GB2312"/>
          <w:sz w:val="32"/>
          <w:szCs w:val="32"/>
        </w:rPr>
        <w:t>“公用经费”指标：预期指标值为“</w:t>
      </w:r>
      <w:r>
        <w:rPr>
          <w:rFonts w:ascii="仿宋_GB2312" w:eastAsia="仿宋_GB2312"/>
          <w:sz w:val="32"/>
          <w:szCs w:val="32"/>
        </w:rPr>
        <w:t>&lt;=22.44万元</w:t>
      </w:r>
      <w:r>
        <w:rPr>
          <w:rFonts w:hint="eastAsia" w:ascii="仿宋_GB2312" w:eastAsia="仿宋_GB2312"/>
          <w:sz w:val="32"/>
          <w:szCs w:val="32"/>
        </w:rPr>
        <w:t>”，实际完成指标值为“22.44万元”，指标完成率为</w:t>
      </w:r>
      <w:r>
        <w:rPr>
          <w:rFonts w:hint="eastAsia" w:ascii="仿宋_GB2312" w:eastAsia="仿宋_GB2312"/>
          <w:bCs/>
          <w:spacing w:val="-4"/>
          <w:sz w:val="32"/>
          <w:szCs w:val="32"/>
        </w:rPr>
        <w:t>100.00</w:t>
      </w:r>
      <w:r>
        <w:rPr>
          <w:rFonts w:hint="eastAsia" w:ascii="仿宋_GB2312" w:eastAsia="仿宋_GB2312"/>
          <w:sz w:val="32"/>
          <w:szCs w:val="32"/>
        </w:rPr>
        <w:t>%;</w:t>
      </w:r>
    </w:p>
    <w:p>
      <w:pPr>
        <w:ind w:firstLine="640"/>
        <w:rPr>
          <w:rFonts w:ascii="仿宋_GB2312" w:eastAsia="仿宋_GB2312"/>
          <w:sz w:val="32"/>
          <w:szCs w:val="32"/>
        </w:rPr>
      </w:pPr>
      <w:r>
        <w:rPr>
          <w:rFonts w:hint="eastAsia" w:ascii="仿宋_GB2312" w:eastAsia="仿宋_GB2312"/>
          <w:sz w:val="32"/>
          <w:szCs w:val="32"/>
        </w:rPr>
        <w:t>“聘用人员办公经费、专项业务经费”指标：预期指标值为“</w:t>
      </w:r>
      <w:r>
        <w:rPr>
          <w:rFonts w:ascii="仿宋_GB2312" w:eastAsia="仿宋_GB2312"/>
          <w:sz w:val="32"/>
          <w:szCs w:val="32"/>
        </w:rPr>
        <w:t>&lt;=23.00万元</w:t>
      </w:r>
      <w:r>
        <w:rPr>
          <w:rFonts w:hint="eastAsia" w:ascii="仿宋_GB2312" w:eastAsia="仿宋_GB2312"/>
          <w:sz w:val="32"/>
          <w:szCs w:val="32"/>
        </w:rPr>
        <w:t>”，实际完成指标值为“</w:t>
      </w:r>
      <w:r>
        <w:rPr>
          <w:rFonts w:ascii="仿宋_GB2312" w:eastAsia="仿宋_GB2312"/>
          <w:sz w:val="32"/>
          <w:szCs w:val="32"/>
        </w:rPr>
        <w:t>&lt;=</w:t>
      </w:r>
      <w:r>
        <w:rPr>
          <w:rFonts w:hint="eastAsia" w:ascii="仿宋_GB2312" w:eastAsia="仿宋_GB2312"/>
          <w:sz w:val="32"/>
          <w:szCs w:val="32"/>
        </w:rPr>
        <w:t>16.07</w:t>
      </w:r>
      <w:r>
        <w:rPr>
          <w:rFonts w:ascii="仿宋_GB2312" w:eastAsia="仿宋_GB2312"/>
          <w:sz w:val="32"/>
          <w:szCs w:val="32"/>
        </w:rPr>
        <w:t>万元</w:t>
      </w:r>
      <w:r>
        <w:rPr>
          <w:rFonts w:hint="eastAsia" w:ascii="仿宋_GB2312" w:eastAsia="仿宋_GB2312"/>
          <w:sz w:val="32"/>
          <w:szCs w:val="32"/>
        </w:rPr>
        <w:t>”，指标完成率为</w:t>
      </w:r>
      <w:r>
        <w:rPr>
          <w:rFonts w:hint="eastAsia" w:ascii="仿宋_GB2312" w:eastAsia="仿宋_GB2312"/>
          <w:bCs/>
          <w:spacing w:val="-4"/>
          <w:sz w:val="32"/>
          <w:szCs w:val="32"/>
        </w:rPr>
        <w:t>69.87</w:t>
      </w:r>
      <w:r>
        <w:rPr>
          <w:rFonts w:hint="eastAsia" w:ascii="仿宋_GB2312" w:eastAsia="仿宋_GB2312"/>
          <w:sz w:val="32"/>
          <w:szCs w:val="32"/>
        </w:rPr>
        <w:t>%;</w:t>
      </w:r>
    </w:p>
    <w:p>
      <w:pPr>
        <w:pStyle w:val="2"/>
        <w:ind w:firstLine="643"/>
        <w:rPr>
          <w:sz w:val="32"/>
        </w:rPr>
      </w:pPr>
      <w:r>
        <w:rPr>
          <w:rFonts w:hint="eastAsia"/>
          <w:sz w:val="32"/>
        </w:rPr>
        <w:t>2.效益指标完成情况分析</w:t>
      </w:r>
    </w:p>
    <w:p>
      <w:pPr>
        <w:ind w:firstLine="640"/>
        <w:rPr>
          <w:rFonts w:ascii="仿宋_GB2312" w:eastAsia="仿宋_GB2312"/>
          <w:sz w:val="32"/>
          <w:szCs w:val="32"/>
        </w:rPr>
      </w:pPr>
      <w:r>
        <w:rPr>
          <w:rFonts w:hint="eastAsia" w:ascii="仿宋_GB2312" w:eastAsia="仿宋_GB2312"/>
          <w:sz w:val="32"/>
          <w:szCs w:val="32"/>
        </w:rPr>
        <w:t>（1）经济效益</w:t>
      </w:r>
    </w:p>
    <w:p>
      <w:pPr>
        <w:ind w:firstLine="640"/>
        <w:rPr>
          <w:rFonts w:ascii="仿宋_GB2312" w:eastAsia="仿宋_GB2312"/>
          <w:sz w:val="32"/>
          <w:szCs w:val="32"/>
        </w:rPr>
      </w:pPr>
      <w:r>
        <w:rPr>
          <w:rFonts w:hint="eastAsia" w:ascii="仿宋_GB2312" w:eastAsia="仿宋_GB2312"/>
          <w:sz w:val="32"/>
          <w:szCs w:val="32"/>
        </w:rPr>
        <w:t>无此项指标</w:t>
      </w:r>
    </w:p>
    <w:p>
      <w:pPr>
        <w:ind w:firstLine="640"/>
        <w:rPr>
          <w:rFonts w:ascii="仿宋_GB2312" w:eastAsia="仿宋_GB2312"/>
          <w:sz w:val="32"/>
          <w:szCs w:val="32"/>
        </w:rPr>
      </w:pPr>
      <w:r>
        <w:rPr>
          <w:rFonts w:hint="eastAsia" w:ascii="仿宋_GB2312" w:eastAsia="仿宋_GB2312"/>
          <w:sz w:val="32"/>
          <w:szCs w:val="32"/>
        </w:rPr>
        <w:t>（2）社会效益</w:t>
      </w:r>
    </w:p>
    <w:p>
      <w:pPr>
        <w:ind w:firstLine="640"/>
        <w:rPr>
          <w:rFonts w:ascii="仿宋_GB2312" w:eastAsia="仿宋_GB2312"/>
          <w:sz w:val="32"/>
          <w:szCs w:val="32"/>
        </w:rPr>
      </w:pPr>
      <w:r>
        <w:rPr>
          <w:rFonts w:hint="eastAsia" w:ascii="仿宋_GB2312" w:eastAsia="仿宋_GB2312"/>
          <w:sz w:val="32"/>
          <w:szCs w:val="32"/>
        </w:rPr>
        <w:t>“保障项目交付使用单位，完成其使用功能”指标：预期指标值为“有效保障”，实际完成指标值为“保障”，指标完成率为</w:t>
      </w:r>
      <w:r>
        <w:rPr>
          <w:rFonts w:hint="eastAsia" w:ascii="仿宋_GB2312" w:eastAsia="仿宋_GB2312"/>
          <w:bCs/>
          <w:spacing w:val="-4"/>
          <w:sz w:val="32"/>
          <w:szCs w:val="32"/>
        </w:rPr>
        <w:t>100.0</w:t>
      </w:r>
      <w:r>
        <w:rPr>
          <w:rFonts w:hint="eastAsia" w:ascii="仿宋_GB2312" w:eastAsia="仿宋_GB2312"/>
          <w:sz w:val="32"/>
          <w:szCs w:val="32"/>
        </w:rPr>
        <w:t>%;</w:t>
      </w:r>
    </w:p>
    <w:p>
      <w:pPr>
        <w:ind w:firstLine="640"/>
        <w:rPr>
          <w:rFonts w:ascii="仿宋_GB2312" w:eastAsia="仿宋_GB2312"/>
          <w:sz w:val="32"/>
          <w:szCs w:val="32"/>
        </w:rPr>
      </w:pPr>
      <w:r>
        <w:rPr>
          <w:rFonts w:hint="eastAsia" w:ascii="仿宋_GB2312" w:eastAsia="仿宋_GB2312"/>
          <w:sz w:val="32"/>
          <w:szCs w:val="32"/>
        </w:rPr>
        <w:t>（3）生态效益</w:t>
      </w:r>
    </w:p>
    <w:p>
      <w:pPr>
        <w:ind w:firstLine="640"/>
        <w:rPr>
          <w:rFonts w:ascii="仿宋_GB2312" w:eastAsia="仿宋_GB2312"/>
          <w:sz w:val="32"/>
          <w:szCs w:val="32"/>
        </w:rPr>
      </w:pPr>
      <w:r>
        <w:rPr>
          <w:rFonts w:hint="eastAsia" w:ascii="仿宋_GB2312" w:eastAsia="仿宋_GB2312"/>
          <w:sz w:val="32"/>
          <w:szCs w:val="32"/>
        </w:rPr>
        <w:t>无此项指标</w:t>
      </w:r>
    </w:p>
    <w:p>
      <w:pPr>
        <w:ind w:firstLine="640"/>
        <w:rPr>
          <w:rFonts w:ascii="仿宋_GB2312" w:eastAsia="仿宋_GB2312"/>
          <w:sz w:val="32"/>
          <w:szCs w:val="32"/>
        </w:rPr>
      </w:pPr>
      <w:r>
        <w:rPr>
          <w:rFonts w:hint="eastAsia" w:ascii="仿宋_GB2312" w:eastAsia="仿宋_GB2312"/>
          <w:sz w:val="32"/>
          <w:szCs w:val="32"/>
        </w:rPr>
        <w:t>（4）可持续影响</w:t>
      </w:r>
    </w:p>
    <w:p>
      <w:pPr>
        <w:ind w:firstLine="640"/>
        <w:rPr>
          <w:rFonts w:ascii="仿宋_GB2312" w:eastAsia="仿宋_GB2312"/>
          <w:sz w:val="32"/>
          <w:szCs w:val="32"/>
        </w:rPr>
      </w:pPr>
      <w:r>
        <w:rPr>
          <w:rFonts w:hint="eastAsia" w:ascii="仿宋_GB2312" w:eastAsia="仿宋_GB2312"/>
          <w:sz w:val="32"/>
          <w:szCs w:val="32"/>
        </w:rPr>
        <w:t>“更好的服务各类群众，推动全市教育、医疗、公安等事业的发展”指标：预期指标值为“有效推动”，实际完成指标值为“推进”，指标完成率为</w:t>
      </w:r>
      <w:r>
        <w:rPr>
          <w:rFonts w:hint="eastAsia" w:ascii="仿宋_GB2312" w:eastAsia="仿宋_GB2312"/>
          <w:bCs/>
          <w:spacing w:val="-4"/>
          <w:sz w:val="32"/>
          <w:szCs w:val="32"/>
        </w:rPr>
        <w:t>100.0</w:t>
      </w:r>
      <w:r>
        <w:rPr>
          <w:rFonts w:hint="eastAsia" w:ascii="仿宋_GB2312" w:eastAsia="仿宋_GB2312"/>
          <w:sz w:val="32"/>
          <w:szCs w:val="32"/>
        </w:rPr>
        <w:t>%;</w:t>
      </w:r>
    </w:p>
    <w:p>
      <w:pPr>
        <w:pStyle w:val="2"/>
        <w:ind w:firstLine="643"/>
        <w:rPr>
          <w:sz w:val="32"/>
        </w:rPr>
      </w:pPr>
      <w:r>
        <w:rPr>
          <w:rFonts w:hint="eastAsia"/>
          <w:sz w:val="32"/>
        </w:rPr>
        <w:t>3.满意度指标完成情况分析</w:t>
      </w:r>
    </w:p>
    <w:p>
      <w:pPr>
        <w:ind w:firstLine="640"/>
        <w:rPr>
          <w:rFonts w:ascii="仿宋_GB2312" w:eastAsia="仿宋_GB2312"/>
          <w:sz w:val="32"/>
          <w:szCs w:val="32"/>
        </w:rPr>
      </w:pPr>
      <w:r>
        <w:rPr>
          <w:rFonts w:hint="eastAsia" w:ascii="仿宋_GB2312" w:eastAsia="仿宋_GB2312"/>
          <w:sz w:val="32"/>
          <w:szCs w:val="32"/>
        </w:rPr>
        <w:t>“项目代建管理局群众对本单位所开展的各项工作的满意度”指标：预期指标值为“</w:t>
      </w:r>
      <w:r>
        <w:rPr>
          <w:rFonts w:ascii="仿宋_GB2312" w:eastAsia="仿宋_GB2312"/>
          <w:sz w:val="32"/>
          <w:szCs w:val="32"/>
        </w:rPr>
        <w:t>&gt;=90.00%</w:t>
      </w:r>
      <w:r>
        <w:rPr>
          <w:rFonts w:hint="eastAsia" w:ascii="仿宋_GB2312" w:eastAsia="仿宋_GB2312"/>
          <w:sz w:val="32"/>
          <w:szCs w:val="32"/>
        </w:rPr>
        <w:t>”，实际完成指标值为“95%”，指标完成率为</w:t>
      </w:r>
      <w:r>
        <w:rPr>
          <w:rFonts w:hint="eastAsia" w:ascii="仿宋_GB2312" w:eastAsia="仿宋_GB2312"/>
          <w:bCs/>
          <w:spacing w:val="-4"/>
          <w:sz w:val="32"/>
          <w:szCs w:val="32"/>
        </w:rPr>
        <w:t>100.0</w:t>
      </w:r>
      <w:r>
        <w:rPr>
          <w:rFonts w:hint="eastAsia" w:ascii="仿宋_GB2312" w:eastAsia="仿宋_GB2312"/>
          <w:sz w:val="32"/>
          <w:szCs w:val="32"/>
        </w:rPr>
        <w:t>%;</w:t>
      </w:r>
    </w:p>
    <w:p>
      <w:pPr>
        <w:pStyle w:val="3"/>
        <w:ind w:firstLine="640"/>
        <w:rPr>
          <w:rFonts w:ascii="黑体" w:hAnsi="黑体"/>
          <w:b w:val="0"/>
          <w:sz w:val="32"/>
          <w:szCs w:val="32"/>
        </w:rPr>
      </w:pPr>
      <w:r>
        <w:rPr>
          <w:rFonts w:hint="eastAsia" w:ascii="黑体" w:hAnsi="黑体"/>
          <w:b w:val="0"/>
          <w:sz w:val="32"/>
          <w:szCs w:val="32"/>
        </w:rPr>
        <w:t>六、存在的主要问题</w:t>
      </w:r>
    </w:p>
    <w:p>
      <w:pPr>
        <w:adjustRightInd w:val="0"/>
        <w:snapToGrid w:val="0"/>
        <w:ind w:firstLine="624"/>
        <w:rPr>
          <w:rFonts w:ascii="仿宋_GB2312" w:eastAsia="仿宋_GB2312"/>
          <w:spacing w:val="-4"/>
          <w:sz w:val="32"/>
          <w:szCs w:val="32"/>
        </w:rPr>
      </w:pPr>
      <w:r>
        <w:rPr>
          <w:rFonts w:hint="eastAsia" w:ascii="仿宋_GB2312" w:eastAsia="仿宋_GB2312"/>
          <w:spacing w:val="-4"/>
          <w:sz w:val="32"/>
          <w:szCs w:val="32"/>
          <w:lang w:eastAsia="zh-CN"/>
        </w:rPr>
        <w:t>2022</w:t>
      </w:r>
      <w:r>
        <w:rPr>
          <w:rFonts w:hint="eastAsia" w:ascii="仿宋_GB2312" w:eastAsia="仿宋_GB2312"/>
          <w:spacing w:val="-4"/>
          <w:sz w:val="32"/>
          <w:szCs w:val="32"/>
        </w:rPr>
        <w:t>年本单位整体支出绩效目标全部达成，不存在未完成原因分析。</w:t>
      </w:r>
    </w:p>
    <w:p>
      <w:pPr>
        <w:pStyle w:val="3"/>
        <w:ind w:firstLine="640"/>
        <w:rPr>
          <w:rFonts w:ascii="黑体" w:hAnsi="黑体"/>
          <w:b w:val="0"/>
          <w:sz w:val="32"/>
          <w:szCs w:val="32"/>
        </w:rPr>
      </w:pPr>
      <w:r>
        <w:rPr>
          <w:rFonts w:hint="eastAsia" w:ascii="黑体" w:hAnsi="黑体"/>
          <w:b w:val="0"/>
          <w:sz w:val="32"/>
          <w:szCs w:val="32"/>
        </w:rPr>
        <w:t>七、改进措施和建议</w:t>
      </w:r>
    </w:p>
    <w:p>
      <w:pPr>
        <w:ind w:firstLine="640"/>
        <w:jc w:val="left"/>
        <w:rPr>
          <w:rStyle w:val="13"/>
          <w:rFonts w:ascii="仿宋_GB2312" w:eastAsia="仿宋_GB2312"/>
          <w:bCs w:val="0"/>
          <w:color w:val="FF0000"/>
          <w:spacing w:val="-4"/>
          <w:sz w:val="32"/>
          <w:szCs w:val="32"/>
        </w:rPr>
      </w:pPr>
      <w:r>
        <w:rPr>
          <w:rFonts w:hint="eastAsia" w:ascii="仿宋_GB2312" w:hAnsi="宋体" w:eastAsia="仿宋_GB2312"/>
          <w:sz w:val="32"/>
          <w:szCs w:val="32"/>
        </w:rPr>
        <w:t>建议加大绩效管理理论及实际操作培训力度，加强人才储备，一要加大理论研究力度。对预算绩效管理进行系统性研究，形成好的意见和建议，为预算绩效管理提供理论上的支持。二要加大宣传力度，积极引导舆论，使预算绩效管理理念深入人心。三要加强预算绩效管理理论和实际操作培训，分批次对从事预算绩效管理人员进行知识和技能的普及工作，培养一批专业从事预算绩效管理的队伍，为预算绩效管理提供人才保障和储备。</w:t>
      </w:r>
    </w:p>
    <w:p>
      <w:pPr>
        <w:pStyle w:val="3"/>
        <w:ind w:firstLine="640"/>
        <w:rPr>
          <w:rFonts w:ascii="黑体" w:hAnsi="黑体"/>
          <w:b w:val="0"/>
          <w:sz w:val="32"/>
          <w:szCs w:val="32"/>
        </w:rPr>
      </w:pPr>
      <w:r>
        <w:rPr>
          <w:rFonts w:hint="eastAsia" w:ascii="黑体" w:hAnsi="黑体"/>
          <w:b w:val="0"/>
          <w:sz w:val="32"/>
          <w:szCs w:val="32"/>
        </w:rPr>
        <w:t>八、附表</w:t>
      </w:r>
    </w:p>
    <w:p>
      <w:pPr>
        <w:ind w:firstLine="640"/>
        <w:rPr>
          <w:rFonts w:ascii="仿宋_GB2312" w:eastAsia="仿宋_GB2312"/>
          <w:sz w:val="32"/>
          <w:szCs w:val="32"/>
        </w:rPr>
      </w:pPr>
      <w:r>
        <w:rPr>
          <w:rFonts w:hint="eastAsia" w:ascii="仿宋_GB2312" w:eastAsia="仿宋_GB2312"/>
          <w:sz w:val="32"/>
          <w:szCs w:val="32"/>
        </w:rPr>
        <w:t>《部门整体支出绩效目标自评表》</w:t>
      </w:r>
    </w:p>
    <w:p>
      <w:pPr>
        <w:pStyle w:val="2"/>
        <w:ind w:firstLine="562"/>
      </w:pPr>
    </w:p>
    <w:p>
      <w:pPr>
        <w:ind w:firstLine="560"/>
      </w:pPr>
    </w:p>
    <w:p>
      <w:pPr>
        <w:pStyle w:val="2"/>
        <w:ind w:firstLine="562"/>
      </w:pPr>
    </w:p>
    <w:p>
      <w:pPr>
        <w:pStyle w:val="2"/>
        <w:ind w:firstLine="0" w:firstLineChars="0"/>
        <w:rPr>
          <w:rFonts w:ascii="仿宋" w:hAnsi="仿宋" w:eastAsia="仿宋"/>
          <w:b w:val="0"/>
          <w:bCs w:val="0"/>
          <w:szCs w:val="24"/>
        </w:rPr>
      </w:pPr>
    </w:p>
    <w:p>
      <w:pPr>
        <w:ind w:firstLine="560"/>
      </w:pPr>
    </w:p>
    <w:tbl>
      <w:tblPr>
        <w:tblStyle w:val="11"/>
        <w:tblW w:w="8808" w:type="dxa"/>
        <w:tblInd w:w="89" w:type="dxa"/>
        <w:tblLayout w:type="fixed"/>
        <w:tblCellMar>
          <w:top w:w="0" w:type="dxa"/>
          <w:left w:w="108" w:type="dxa"/>
          <w:bottom w:w="0" w:type="dxa"/>
          <w:right w:w="108" w:type="dxa"/>
        </w:tblCellMar>
      </w:tblPr>
      <w:tblGrid>
        <w:gridCol w:w="453"/>
        <w:gridCol w:w="781"/>
        <w:gridCol w:w="598"/>
        <w:gridCol w:w="406"/>
        <w:gridCol w:w="1325"/>
        <w:gridCol w:w="992"/>
        <w:gridCol w:w="993"/>
        <w:gridCol w:w="176"/>
        <w:gridCol w:w="532"/>
        <w:gridCol w:w="564"/>
        <w:gridCol w:w="287"/>
        <w:gridCol w:w="674"/>
        <w:gridCol w:w="318"/>
        <w:gridCol w:w="709"/>
      </w:tblGrid>
      <w:tr>
        <w:tblPrEx>
          <w:tblCellMar>
            <w:top w:w="0" w:type="dxa"/>
            <w:left w:w="108" w:type="dxa"/>
            <w:bottom w:w="0" w:type="dxa"/>
            <w:right w:w="108" w:type="dxa"/>
          </w:tblCellMar>
        </w:tblPrEx>
        <w:trPr>
          <w:trHeight w:val="675" w:hRule="atLeast"/>
        </w:trPr>
        <w:tc>
          <w:tcPr>
            <w:tcW w:w="8808" w:type="dxa"/>
            <w:gridSpan w:val="14"/>
            <w:tcBorders>
              <w:top w:val="nil"/>
              <w:left w:val="nil"/>
              <w:bottom w:val="nil"/>
              <w:right w:val="nil"/>
            </w:tcBorders>
            <w:shd w:val="clear" w:color="auto" w:fill="auto"/>
            <w:vAlign w:val="center"/>
          </w:tcPr>
          <w:p>
            <w:pPr>
              <w:widowControl/>
              <w:spacing w:line="240" w:lineRule="auto"/>
              <w:ind w:firstLine="800" w:firstLineChars="0"/>
              <w:jc w:val="center"/>
              <w:rPr>
                <w:rFonts w:hint="eastAsia" w:ascii="方正小标宋简体" w:hAnsi="方正小标宋简体" w:eastAsia="宋体" w:cs="宋体"/>
                <w:kern w:val="0"/>
                <w:sz w:val="40"/>
                <w:szCs w:val="40"/>
              </w:rPr>
            </w:pPr>
            <w:r>
              <w:rPr>
                <w:rFonts w:ascii="方正小标宋简体" w:hAnsi="方正小标宋简体" w:eastAsia="宋体" w:cs="宋体"/>
                <w:kern w:val="0"/>
                <w:sz w:val="40"/>
                <w:szCs w:val="40"/>
              </w:rPr>
              <w:t>部门整体支出绩效目标自评表</w:t>
            </w:r>
          </w:p>
        </w:tc>
      </w:tr>
      <w:tr>
        <w:tblPrEx>
          <w:tblCellMar>
            <w:top w:w="0" w:type="dxa"/>
            <w:left w:w="108" w:type="dxa"/>
            <w:bottom w:w="0" w:type="dxa"/>
            <w:right w:w="108" w:type="dxa"/>
          </w:tblCellMar>
        </w:tblPrEx>
        <w:trPr>
          <w:trHeight w:val="450" w:hRule="atLeast"/>
        </w:trPr>
        <w:tc>
          <w:tcPr>
            <w:tcW w:w="8808" w:type="dxa"/>
            <w:gridSpan w:val="14"/>
            <w:tcBorders>
              <w:top w:val="nil"/>
              <w:left w:val="nil"/>
              <w:bottom w:val="single" w:color="auto" w:sz="4" w:space="0"/>
              <w:right w:val="nil"/>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（2022年度）</w:t>
            </w:r>
          </w:p>
        </w:tc>
      </w:tr>
      <w:tr>
        <w:tblPrEx>
          <w:tblCellMar>
            <w:top w:w="0" w:type="dxa"/>
            <w:left w:w="108" w:type="dxa"/>
            <w:bottom w:w="0" w:type="dxa"/>
            <w:right w:w="108" w:type="dxa"/>
          </w:tblCellMar>
        </w:tblPrEx>
        <w:trPr>
          <w:trHeight w:val="405" w:hRule="atLeast"/>
        </w:trPr>
        <w:tc>
          <w:tcPr>
            <w:tcW w:w="1832"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部门（单位）名称</w:t>
            </w:r>
          </w:p>
        </w:tc>
        <w:tc>
          <w:tcPr>
            <w:tcW w:w="6976" w:type="dxa"/>
            <w:gridSpan w:val="11"/>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昌吉市项目代建管理局</w:t>
            </w:r>
          </w:p>
        </w:tc>
      </w:tr>
      <w:tr>
        <w:tblPrEx>
          <w:tblCellMar>
            <w:top w:w="0" w:type="dxa"/>
            <w:left w:w="108" w:type="dxa"/>
            <w:bottom w:w="0" w:type="dxa"/>
            <w:right w:w="108" w:type="dxa"/>
          </w:tblCellMar>
        </w:tblPrEx>
        <w:trPr>
          <w:trHeight w:val="559" w:hRule="atLeast"/>
        </w:trPr>
        <w:tc>
          <w:tcPr>
            <w:tcW w:w="453"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年度主要任务</w:t>
            </w:r>
          </w:p>
        </w:tc>
        <w:tc>
          <w:tcPr>
            <w:tcW w:w="1379"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任务名称</w:t>
            </w:r>
          </w:p>
        </w:tc>
        <w:tc>
          <w:tcPr>
            <w:tcW w:w="173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主要内容</w:t>
            </w:r>
          </w:p>
        </w:tc>
        <w:tc>
          <w:tcPr>
            <w:tcW w:w="2693" w:type="dxa"/>
            <w:gridSpan w:val="4"/>
            <w:tcBorders>
              <w:top w:val="single" w:color="auto" w:sz="4" w:space="0"/>
              <w:left w:val="nil"/>
              <w:bottom w:val="nil"/>
              <w:right w:val="nil"/>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预算金额（万元）</w:t>
            </w:r>
          </w:p>
        </w:tc>
        <w:tc>
          <w:tcPr>
            <w:tcW w:w="2552" w:type="dxa"/>
            <w:gridSpan w:val="5"/>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实际执行（万元）</w:t>
            </w:r>
          </w:p>
        </w:tc>
      </w:tr>
      <w:tr>
        <w:tblPrEx>
          <w:tblCellMar>
            <w:top w:w="0" w:type="dxa"/>
            <w:left w:w="108" w:type="dxa"/>
            <w:bottom w:w="0" w:type="dxa"/>
            <w:right w:w="108" w:type="dxa"/>
          </w:tblCellMar>
        </w:tblPrEx>
        <w:trPr>
          <w:trHeight w:val="840" w:hRule="atLeast"/>
        </w:trPr>
        <w:tc>
          <w:tcPr>
            <w:tcW w:w="453"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1379"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1731" w:type="dxa"/>
            <w:gridSpan w:val="2"/>
            <w:vMerge w:val="continue"/>
            <w:tcBorders>
              <w:top w:val="nil"/>
              <w:left w:val="single" w:color="auto" w:sz="4" w:space="0"/>
              <w:bottom w:val="single" w:color="000000"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总额</w:t>
            </w:r>
          </w:p>
        </w:tc>
        <w:tc>
          <w:tcPr>
            <w:tcW w:w="99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财政拨款</w:t>
            </w:r>
          </w:p>
        </w:tc>
        <w:tc>
          <w:tcPr>
            <w:tcW w:w="70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其他资金</w:t>
            </w:r>
          </w:p>
        </w:tc>
        <w:tc>
          <w:tcPr>
            <w:tcW w:w="851"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总额</w:t>
            </w:r>
          </w:p>
        </w:tc>
        <w:tc>
          <w:tcPr>
            <w:tcW w:w="992"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财政拨款</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其他资金</w:t>
            </w:r>
          </w:p>
        </w:tc>
      </w:tr>
      <w:tr>
        <w:tblPrEx>
          <w:tblCellMar>
            <w:top w:w="0" w:type="dxa"/>
            <w:left w:w="108" w:type="dxa"/>
            <w:bottom w:w="0" w:type="dxa"/>
            <w:right w:w="108" w:type="dxa"/>
          </w:tblCellMar>
        </w:tblPrEx>
        <w:trPr>
          <w:trHeight w:val="600" w:hRule="atLeast"/>
        </w:trPr>
        <w:tc>
          <w:tcPr>
            <w:tcW w:w="453"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1379" w:type="dxa"/>
            <w:gridSpan w:val="2"/>
            <w:tcBorders>
              <w:top w:val="single" w:color="auto" w:sz="4" w:space="0"/>
              <w:left w:val="nil"/>
              <w:bottom w:val="single" w:color="auto" w:sz="4" w:space="0"/>
              <w:right w:val="nil"/>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人员经费</w:t>
            </w:r>
          </w:p>
        </w:tc>
        <w:tc>
          <w:tcPr>
            <w:tcW w:w="1731" w:type="dxa"/>
            <w:gridSpan w:val="2"/>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在编人员10人、聘用人员30人</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327.73</w:t>
            </w:r>
          </w:p>
        </w:tc>
        <w:tc>
          <w:tcPr>
            <w:tcW w:w="99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327.73</w:t>
            </w:r>
          </w:p>
        </w:tc>
        <w:tc>
          <w:tcPr>
            <w:tcW w:w="708"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0</w:t>
            </w:r>
          </w:p>
        </w:tc>
        <w:tc>
          <w:tcPr>
            <w:tcW w:w="851"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324.63</w:t>
            </w:r>
          </w:p>
        </w:tc>
        <w:tc>
          <w:tcPr>
            <w:tcW w:w="992"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324.63</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0</w:t>
            </w:r>
          </w:p>
        </w:tc>
      </w:tr>
      <w:tr>
        <w:tblPrEx>
          <w:tblCellMar>
            <w:top w:w="0" w:type="dxa"/>
            <w:left w:w="108" w:type="dxa"/>
            <w:bottom w:w="0" w:type="dxa"/>
            <w:right w:w="108" w:type="dxa"/>
          </w:tblCellMar>
        </w:tblPrEx>
        <w:trPr>
          <w:trHeight w:val="825" w:hRule="atLeast"/>
        </w:trPr>
        <w:tc>
          <w:tcPr>
            <w:tcW w:w="453"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1379" w:type="dxa"/>
            <w:gridSpan w:val="2"/>
            <w:tcBorders>
              <w:top w:val="single" w:color="auto" w:sz="4" w:space="0"/>
              <w:left w:val="nil"/>
              <w:bottom w:val="single" w:color="auto" w:sz="4" w:space="0"/>
              <w:right w:val="nil"/>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公用经费</w:t>
            </w:r>
          </w:p>
        </w:tc>
        <w:tc>
          <w:tcPr>
            <w:tcW w:w="1731" w:type="dxa"/>
            <w:gridSpan w:val="2"/>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公务用车、人均运转经费、房屋供暖经费</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22.44</w:t>
            </w:r>
          </w:p>
        </w:tc>
        <w:tc>
          <w:tcPr>
            <w:tcW w:w="99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22.44</w:t>
            </w:r>
          </w:p>
        </w:tc>
        <w:tc>
          <w:tcPr>
            <w:tcW w:w="708"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0</w:t>
            </w:r>
          </w:p>
        </w:tc>
        <w:tc>
          <w:tcPr>
            <w:tcW w:w="851"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22.44</w:t>
            </w:r>
          </w:p>
        </w:tc>
        <w:tc>
          <w:tcPr>
            <w:tcW w:w="992"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22.44</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0</w:t>
            </w:r>
          </w:p>
        </w:tc>
      </w:tr>
      <w:tr>
        <w:tblPrEx>
          <w:tblCellMar>
            <w:top w:w="0" w:type="dxa"/>
            <w:left w:w="108" w:type="dxa"/>
            <w:bottom w:w="0" w:type="dxa"/>
            <w:right w:w="108" w:type="dxa"/>
          </w:tblCellMar>
        </w:tblPrEx>
        <w:trPr>
          <w:trHeight w:val="780" w:hRule="atLeast"/>
        </w:trPr>
        <w:tc>
          <w:tcPr>
            <w:tcW w:w="453"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1379" w:type="dxa"/>
            <w:gridSpan w:val="2"/>
            <w:tcBorders>
              <w:top w:val="single" w:color="auto" w:sz="4" w:space="0"/>
              <w:left w:val="nil"/>
              <w:bottom w:val="single" w:color="auto" w:sz="4" w:space="0"/>
              <w:right w:val="nil"/>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聘用人员办公经费、专项业务经费</w:t>
            </w:r>
          </w:p>
        </w:tc>
        <w:tc>
          <w:tcPr>
            <w:tcW w:w="1731" w:type="dxa"/>
            <w:gridSpan w:val="2"/>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聘用人员办公经费、专项业务经费</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23</w:t>
            </w:r>
          </w:p>
        </w:tc>
        <w:tc>
          <w:tcPr>
            <w:tcW w:w="99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23</w:t>
            </w:r>
          </w:p>
        </w:tc>
        <w:tc>
          <w:tcPr>
            <w:tcW w:w="708"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0</w:t>
            </w:r>
          </w:p>
        </w:tc>
        <w:tc>
          <w:tcPr>
            <w:tcW w:w="851"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16.07</w:t>
            </w:r>
          </w:p>
        </w:tc>
        <w:tc>
          <w:tcPr>
            <w:tcW w:w="992"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16.07</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0</w:t>
            </w:r>
          </w:p>
        </w:tc>
      </w:tr>
      <w:tr>
        <w:tblPrEx>
          <w:tblCellMar>
            <w:top w:w="0" w:type="dxa"/>
            <w:left w:w="108" w:type="dxa"/>
            <w:bottom w:w="0" w:type="dxa"/>
            <w:right w:w="108" w:type="dxa"/>
          </w:tblCellMar>
        </w:tblPrEx>
        <w:trPr>
          <w:trHeight w:val="540" w:hRule="atLeast"/>
        </w:trPr>
        <w:tc>
          <w:tcPr>
            <w:tcW w:w="453"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3110"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合　计</w:t>
            </w:r>
          </w:p>
        </w:tc>
        <w:tc>
          <w:tcPr>
            <w:tcW w:w="992" w:type="dxa"/>
            <w:tcBorders>
              <w:top w:val="nil"/>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373.17</w:t>
            </w:r>
          </w:p>
        </w:tc>
        <w:tc>
          <w:tcPr>
            <w:tcW w:w="99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373.17</w:t>
            </w:r>
          </w:p>
        </w:tc>
        <w:tc>
          <w:tcPr>
            <w:tcW w:w="708"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0.0</w:t>
            </w:r>
          </w:p>
        </w:tc>
        <w:tc>
          <w:tcPr>
            <w:tcW w:w="851"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363.14</w:t>
            </w:r>
          </w:p>
        </w:tc>
        <w:tc>
          <w:tcPr>
            <w:tcW w:w="992"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363.14</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0.0</w:t>
            </w:r>
          </w:p>
        </w:tc>
      </w:tr>
      <w:tr>
        <w:tblPrEx>
          <w:tblCellMar>
            <w:top w:w="0" w:type="dxa"/>
            <w:left w:w="108" w:type="dxa"/>
            <w:bottom w:w="0" w:type="dxa"/>
            <w:right w:w="108" w:type="dxa"/>
          </w:tblCellMar>
        </w:tblPrEx>
        <w:trPr>
          <w:trHeight w:val="465" w:hRule="atLeast"/>
        </w:trPr>
        <w:tc>
          <w:tcPr>
            <w:tcW w:w="453"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年度总体目标</w:t>
            </w:r>
          </w:p>
        </w:tc>
        <w:tc>
          <w:tcPr>
            <w:tcW w:w="4102"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预期目标</w:t>
            </w:r>
          </w:p>
        </w:tc>
        <w:tc>
          <w:tcPr>
            <w:tcW w:w="4253"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实际完成目标</w:t>
            </w:r>
          </w:p>
        </w:tc>
      </w:tr>
      <w:tr>
        <w:tblPrEx>
          <w:tblCellMar>
            <w:top w:w="0" w:type="dxa"/>
            <w:left w:w="108" w:type="dxa"/>
            <w:bottom w:w="0" w:type="dxa"/>
            <w:right w:w="108" w:type="dxa"/>
          </w:tblCellMar>
        </w:tblPrEx>
        <w:trPr>
          <w:trHeight w:val="1124" w:hRule="atLeast"/>
        </w:trPr>
        <w:tc>
          <w:tcPr>
            <w:tcW w:w="453" w:type="dxa"/>
            <w:vMerge w:val="continue"/>
            <w:tcBorders>
              <w:top w:val="nil"/>
              <w:left w:val="single" w:color="auto" w:sz="4" w:space="0"/>
              <w:bottom w:val="single" w:color="000000"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4102"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left"/>
              <w:rPr>
                <w:rFonts w:ascii="宋体" w:hAnsi="宋体" w:eastAsia="宋体" w:cs="宋体"/>
                <w:kern w:val="0"/>
                <w:sz w:val="22"/>
                <w:szCs w:val="22"/>
              </w:rPr>
            </w:pPr>
            <w:r>
              <w:rPr>
                <w:rFonts w:hint="eastAsia" w:ascii="宋体" w:hAnsi="宋体" w:eastAsia="宋体" w:cs="宋体"/>
                <w:kern w:val="0"/>
                <w:sz w:val="22"/>
                <w:szCs w:val="22"/>
              </w:rPr>
              <w:t>本单位今年预计投入373.17万元，保障40名工作人员的工资、社保等经费，昌吉市项目代建管理局主要工作职责开展由市委、市政府确定的本年度项目工程的建设与管理；依据批准的政府投资建设项目立项批复，组织开展项目规划、勘察设计编制工作，办理项目建设前期各项手续；2022年续建10个项目，新建12个项目，保质保量完成市委市政府下达代建任务等工作.</w:t>
            </w:r>
          </w:p>
        </w:tc>
        <w:tc>
          <w:tcPr>
            <w:tcW w:w="4253"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left"/>
              <w:rPr>
                <w:rFonts w:ascii="宋体" w:hAnsi="宋体" w:eastAsia="宋体" w:cs="宋体"/>
                <w:kern w:val="0"/>
                <w:sz w:val="22"/>
                <w:szCs w:val="22"/>
              </w:rPr>
            </w:pPr>
            <w:r>
              <w:rPr>
                <w:rFonts w:hint="eastAsia" w:ascii="宋体" w:hAnsi="宋体" w:eastAsia="宋体" w:cs="宋体"/>
                <w:kern w:val="0"/>
                <w:sz w:val="22"/>
                <w:szCs w:val="22"/>
              </w:rPr>
              <w:t>本单位今年支出363.14万元，保障40名工作人员的工资、社保等经费，昌吉市项目代建管理局主要工作职责开展由市委、市政府确定的本年度项目工程的建设与管理；依据批准的政府投资建设项目立项批复，组织开展项目规划、勘察设计编制工作，办理项目建设前期各项手续；2022年续建10个项目，新建12个项目，保质保量完成市委市政府下达代建任务等工作.</w:t>
            </w:r>
          </w:p>
        </w:tc>
      </w:tr>
      <w:tr>
        <w:tblPrEx>
          <w:tblCellMar>
            <w:top w:w="0" w:type="dxa"/>
            <w:left w:w="108" w:type="dxa"/>
            <w:bottom w:w="0" w:type="dxa"/>
            <w:right w:w="108" w:type="dxa"/>
          </w:tblCellMar>
        </w:tblPrEx>
        <w:trPr>
          <w:trHeight w:val="480" w:hRule="atLeast"/>
        </w:trPr>
        <w:tc>
          <w:tcPr>
            <w:tcW w:w="453"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年度绩效指标完成情况</w:t>
            </w: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一级指标</w:t>
            </w:r>
          </w:p>
        </w:tc>
        <w:tc>
          <w:tcPr>
            <w:tcW w:w="1004"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二级指标</w:t>
            </w:r>
          </w:p>
        </w:tc>
        <w:tc>
          <w:tcPr>
            <w:tcW w:w="2317"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三级指标</w:t>
            </w:r>
          </w:p>
        </w:tc>
        <w:tc>
          <w:tcPr>
            <w:tcW w:w="1169"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绩效目标值</w:t>
            </w:r>
          </w:p>
        </w:tc>
        <w:tc>
          <w:tcPr>
            <w:tcW w:w="1096"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实际完成值</w:t>
            </w:r>
          </w:p>
        </w:tc>
        <w:tc>
          <w:tcPr>
            <w:tcW w:w="961"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指标分值</w:t>
            </w:r>
          </w:p>
        </w:tc>
        <w:tc>
          <w:tcPr>
            <w:tcW w:w="1027"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得分</w:t>
            </w:r>
          </w:p>
        </w:tc>
      </w:tr>
      <w:tr>
        <w:tblPrEx>
          <w:tblCellMar>
            <w:top w:w="0" w:type="dxa"/>
            <w:left w:w="108" w:type="dxa"/>
            <w:bottom w:w="0" w:type="dxa"/>
            <w:right w:w="108" w:type="dxa"/>
          </w:tblCellMar>
        </w:tblPrEx>
        <w:trPr>
          <w:trHeight w:val="465" w:hRule="atLeast"/>
        </w:trPr>
        <w:tc>
          <w:tcPr>
            <w:tcW w:w="453"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78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项目完成</w:t>
            </w:r>
          </w:p>
        </w:tc>
        <w:tc>
          <w:tcPr>
            <w:tcW w:w="1004"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数量指标</w:t>
            </w:r>
          </w:p>
        </w:tc>
        <w:tc>
          <w:tcPr>
            <w:tcW w:w="2317"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房屋建筑物供暖面积</w:t>
            </w:r>
          </w:p>
        </w:tc>
        <w:tc>
          <w:tcPr>
            <w:tcW w:w="1169"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=123.11㎡</w:t>
            </w:r>
          </w:p>
        </w:tc>
        <w:tc>
          <w:tcPr>
            <w:tcW w:w="1096"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=123.11㎡</w:t>
            </w:r>
          </w:p>
        </w:tc>
        <w:tc>
          <w:tcPr>
            <w:tcW w:w="961"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5</w:t>
            </w:r>
          </w:p>
        </w:tc>
        <w:tc>
          <w:tcPr>
            <w:tcW w:w="1027"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5</w:t>
            </w:r>
          </w:p>
        </w:tc>
      </w:tr>
      <w:tr>
        <w:tblPrEx>
          <w:tblCellMar>
            <w:top w:w="0" w:type="dxa"/>
            <w:left w:w="108" w:type="dxa"/>
            <w:bottom w:w="0" w:type="dxa"/>
            <w:right w:w="108" w:type="dxa"/>
          </w:tblCellMar>
        </w:tblPrEx>
        <w:trPr>
          <w:trHeight w:val="465" w:hRule="atLeast"/>
        </w:trPr>
        <w:tc>
          <w:tcPr>
            <w:tcW w:w="453"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781"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1004"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2317"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公务保障用车数量</w:t>
            </w:r>
          </w:p>
        </w:tc>
        <w:tc>
          <w:tcPr>
            <w:tcW w:w="1169"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=1.00辆</w:t>
            </w:r>
          </w:p>
        </w:tc>
        <w:tc>
          <w:tcPr>
            <w:tcW w:w="1096"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=1.00辆</w:t>
            </w:r>
          </w:p>
        </w:tc>
        <w:tc>
          <w:tcPr>
            <w:tcW w:w="961"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5</w:t>
            </w:r>
          </w:p>
        </w:tc>
        <w:tc>
          <w:tcPr>
            <w:tcW w:w="1027"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5</w:t>
            </w:r>
          </w:p>
        </w:tc>
      </w:tr>
      <w:tr>
        <w:tblPrEx>
          <w:tblCellMar>
            <w:top w:w="0" w:type="dxa"/>
            <w:left w:w="108" w:type="dxa"/>
            <w:bottom w:w="0" w:type="dxa"/>
            <w:right w:w="108" w:type="dxa"/>
          </w:tblCellMar>
        </w:tblPrEx>
        <w:trPr>
          <w:trHeight w:val="480" w:hRule="atLeast"/>
        </w:trPr>
        <w:tc>
          <w:tcPr>
            <w:tcW w:w="453"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781"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1004"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2317"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保障办公人员数量</w:t>
            </w:r>
          </w:p>
        </w:tc>
        <w:tc>
          <w:tcPr>
            <w:tcW w:w="1169"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=40.00人</w:t>
            </w:r>
          </w:p>
        </w:tc>
        <w:tc>
          <w:tcPr>
            <w:tcW w:w="1096"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=40.00人</w:t>
            </w:r>
          </w:p>
        </w:tc>
        <w:tc>
          <w:tcPr>
            <w:tcW w:w="961"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5</w:t>
            </w:r>
          </w:p>
        </w:tc>
        <w:tc>
          <w:tcPr>
            <w:tcW w:w="1027"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5</w:t>
            </w:r>
          </w:p>
        </w:tc>
      </w:tr>
      <w:tr>
        <w:tblPrEx>
          <w:tblCellMar>
            <w:top w:w="0" w:type="dxa"/>
            <w:left w:w="108" w:type="dxa"/>
            <w:bottom w:w="0" w:type="dxa"/>
            <w:right w:w="108" w:type="dxa"/>
          </w:tblCellMar>
        </w:tblPrEx>
        <w:trPr>
          <w:trHeight w:val="555" w:hRule="atLeast"/>
        </w:trPr>
        <w:tc>
          <w:tcPr>
            <w:tcW w:w="453"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781"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1004"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质量指标</w:t>
            </w:r>
          </w:p>
        </w:tc>
        <w:tc>
          <w:tcPr>
            <w:tcW w:w="2317"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在编人员、自聘人员工资发放覆盖率</w:t>
            </w:r>
          </w:p>
        </w:tc>
        <w:tc>
          <w:tcPr>
            <w:tcW w:w="1169"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&gt;=90.00%</w:t>
            </w:r>
          </w:p>
        </w:tc>
        <w:tc>
          <w:tcPr>
            <w:tcW w:w="1096"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&gt;=100%</w:t>
            </w:r>
          </w:p>
        </w:tc>
        <w:tc>
          <w:tcPr>
            <w:tcW w:w="961"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10</w:t>
            </w:r>
          </w:p>
        </w:tc>
        <w:tc>
          <w:tcPr>
            <w:tcW w:w="1027"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10</w:t>
            </w:r>
          </w:p>
        </w:tc>
      </w:tr>
      <w:tr>
        <w:tblPrEx>
          <w:tblCellMar>
            <w:top w:w="0" w:type="dxa"/>
            <w:left w:w="108" w:type="dxa"/>
            <w:bottom w:w="0" w:type="dxa"/>
            <w:right w:w="108" w:type="dxa"/>
          </w:tblCellMar>
        </w:tblPrEx>
        <w:trPr>
          <w:trHeight w:val="555" w:hRule="atLeast"/>
        </w:trPr>
        <w:tc>
          <w:tcPr>
            <w:tcW w:w="453"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781"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1004"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时效指标</w:t>
            </w:r>
          </w:p>
        </w:tc>
        <w:tc>
          <w:tcPr>
            <w:tcW w:w="2317"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本单位各类人员当月工资发放及时率</w:t>
            </w:r>
          </w:p>
        </w:tc>
        <w:tc>
          <w:tcPr>
            <w:tcW w:w="1169"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&gt;=95.00%</w:t>
            </w:r>
          </w:p>
        </w:tc>
        <w:tc>
          <w:tcPr>
            <w:tcW w:w="1096"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&gt;=100%</w:t>
            </w:r>
          </w:p>
        </w:tc>
        <w:tc>
          <w:tcPr>
            <w:tcW w:w="961"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10</w:t>
            </w:r>
          </w:p>
        </w:tc>
        <w:tc>
          <w:tcPr>
            <w:tcW w:w="1027"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10</w:t>
            </w:r>
          </w:p>
        </w:tc>
      </w:tr>
      <w:tr>
        <w:tblPrEx>
          <w:tblCellMar>
            <w:top w:w="0" w:type="dxa"/>
            <w:left w:w="108" w:type="dxa"/>
            <w:bottom w:w="0" w:type="dxa"/>
            <w:right w:w="108" w:type="dxa"/>
          </w:tblCellMar>
        </w:tblPrEx>
        <w:trPr>
          <w:trHeight w:val="555" w:hRule="atLeast"/>
        </w:trPr>
        <w:tc>
          <w:tcPr>
            <w:tcW w:w="453"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781"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1004"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2317"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各项工作任务开展及时率&gt;=95.00%</w:t>
            </w:r>
          </w:p>
        </w:tc>
        <w:tc>
          <w:tcPr>
            <w:tcW w:w="1169"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&gt;=95.00%</w:t>
            </w:r>
          </w:p>
        </w:tc>
        <w:tc>
          <w:tcPr>
            <w:tcW w:w="1096"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&gt;=100%</w:t>
            </w:r>
          </w:p>
        </w:tc>
        <w:tc>
          <w:tcPr>
            <w:tcW w:w="961"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10</w:t>
            </w:r>
          </w:p>
        </w:tc>
        <w:tc>
          <w:tcPr>
            <w:tcW w:w="1027"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10</w:t>
            </w:r>
          </w:p>
        </w:tc>
      </w:tr>
      <w:tr>
        <w:tblPrEx>
          <w:tblCellMar>
            <w:top w:w="0" w:type="dxa"/>
            <w:left w:w="108" w:type="dxa"/>
            <w:bottom w:w="0" w:type="dxa"/>
            <w:right w:w="108" w:type="dxa"/>
          </w:tblCellMar>
        </w:tblPrEx>
        <w:trPr>
          <w:trHeight w:val="330" w:hRule="atLeast"/>
        </w:trPr>
        <w:tc>
          <w:tcPr>
            <w:tcW w:w="453"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781"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1004"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成本指标</w:t>
            </w:r>
          </w:p>
        </w:tc>
        <w:tc>
          <w:tcPr>
            <w:tcW w:w="2317"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人员经费</w:t>
            </w:r>
          </w:p>
        </w:tc>
        <w:tc>
          <w:tcPr>
            <w:tcW w:w="1169"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&lt;=327.73万元</w:t>
            </w:r>
          </w:p>
        </w:tc>
        <w:tc>
          <w:tcPr>
            <w:tcW w:w="1096"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&lt;=324.63万元</w:t>
            </w:r>
          </w:p>
        </w:tc>
        <w:tc>
          <w:tcPr>
            <w:tcW w:w="961"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5</w:t>
            </w:r>
          </w:p>
        </w:tc>
        <w:tc>
          <w:tcPr>
            <w:tcW w:w="1027"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4.95</w:t>
            </w:r>
          </w:p>
        </w:tc>
      </w:tr>
      <w:tr>
        <w:tblPrEx>
          <w:tblCellMar>
            <w:top w:w="0" w:type="dxa"/>
            <w:left w:w="108" w:type="dxa"/>
            <w:bottom w:w="0" w:type="dxa"/>
            <w:right w:w="108" w:type="dxa"/>
          </w:tblCellMar>
        </w:tblPrEx>
        <w:trPr>
          <w:trHeight w:val="345" w:hRule="atLeast"/>
        </w:trPr>
        <w:tc>
          <w:tcPr>
            <w:tcW w:w="453"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781"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1004"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2317"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公用经费</w:t>
            </w:r>
          </w:p>
        </w:tc>
        <w:tc>
          <w:tcPr>
            <w:tcW w:w="1169"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&lt;=22.44万元</w:t>
            </w:r>
          </w:p>
        </w:tc>
        <w:tc>
          <w:tcPr>
            <w:tcW w:w="1096"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&lt;=22.44万元</w:t>
            </w:r>
          </w:p>
        </w:tc>
        <w:tc>
          <w:tcPr>
            <w:tcW w:w="961"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5</w:t>
            </w:r>
          </w:p>
        </w:tc>
        <w:tc>
          <w:tcPr>
            <w:tcW w:w="1027"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5</w:t>
            </w:r>
          </w:p>
        </w:tc>
      </w:tr>
      <w:tr>
        <w:tblPrEx>
          <w:tblCellMar>
            <w:top w:w="0" w:type="dxa"/>
            <w:left w:w="108" w:type="dxa"/>
            <w:bottom w:w="0" w:type="dxa"/>
            <w:right w:w="108" w:type="dxa"/>
          </w:tblCellMar>
        </w:tblPrEx>
        <w:trPr>
          <w:trHeight w:val="450" w:hRule="atLeast"/>
        </w:trPr>
        <w:tc>
          <w:tcPr>
            <w:tcW w:w="453"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781"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1004"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2317"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聘用人员办公经费、专项业务经费</w:t>
            </w:r>
          </w:p>
        </w:tc>
        <w:tc>
          <w:tcPr>
            <w:tcW w:w="1169"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&lt;=23.00万元</w:t>
            </w:r>
          </w:p>
        </w:tc>
        <w:tc>
          <w:tcPr>
            <w:tcW w:w="1096"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&lt;=16.07万元</w:t>
            </w:r>
          </w:p>
        </w:tc>
        <w:tc>
          <w:tcPr>
            <w:tcW w:w="961"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5</w:t>
            </w:r>
          </w:p>
        </w:tc>
        <w:tc>
          <w:tcPr>
            <w:tcW w:w="1027"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3.49</w:t>
            </w:r>
          </w:p>
        </w:tc>
      </w:tr>
      <w:tr>
        <w:tblPrEx>
          <w:tblCellMar>
            <w:top w:w="0" w:type="dxa"/>
            <w:left w:w="108" w:type="dxa"/>
            <w:bottom w:w="0" w:type="dxa"/>
            <w:right w:w="108" w:type="dxa"/>
          </w:tblCellMar>
        </w:tblPrEx>
        <w:trPr>
          <w:trHeight w:val="622" w:hRule="atLeast"/>
        </w:trPr>
        <w:tc>
          <w:tcPr>
            <w:tcW w:w="453"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78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项目效益</w:t>
            </w:r>
          </w:p>
        </w:tc>
        <w:tc>
          <w:tcPr>
            <w:tcW w:w="1004"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经济效益指标</w:t>
            </w:r>
          </w:p>
        </w:tc>
        <w:tc>
          <w:tcPr>
            <w:tcW w:w="2317"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w:t>
            </w:r>
          </w:p>
        </w:tc>
        <w:tc>
          <w:tcPr>
            <w:tcW w:w="1169"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w:t>
            </w:r>
          </w:p>
        </w:tc>
        <w:tc>
          <w:tcPr>
            <w:tcW w:w="1096"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w:t>
            </w:r>
          </w:p>
        </w:tc>
        <w:tc>
          <w:tcPr>
            <w:tcW w:w="961"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w:t>
            </w:r>
          </w:p>
        </w:tc>
        <w:tc>
          <w:tcPr>
            <w:tcW w:w="1027"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w:t>
            </w:r>
          </w:p>
        </w:tc>
      </w:tr>
      <w:tr>
        <w:tblPrEx>
          <w:tblCellMar>
            <w:top w:w="0" w:type="dxa"/>
            <w:left w:w="108" w:type="dxa"/>
            <w:bottom w:w="0" w:type="dxa"/>
            <w:right w:w="108" w:type="dxa"/>
          </w:tblCellMar>
        </w:tblPrEx>
        <w:trPr>
          <w:trHeight w:val="555" w:hRule="atLeast"/>
        </w:trPr>
        <w:tc>
          <w:tcPr>
            <w:tcW w:w="453"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781"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1004"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社会效益指标</w:t>
            </w:r>
          </w:p>
        </w:tc>
        <w:tc>
          <w:tcPr>
            <w:tcW w:w="2317"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保障项目交付使用单位，完成其使用功能。</w:t>
            </w:r>
          </w:p>
        </w:tc>
        <w:tc>
          <w:tcPr>
            <w:tcW w:w="1169"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有效保障</w:t>
            </w:r>
          </w:p>
        </w:tc>
        <w:tc>
          <w:tcPr>
            <w:tcW w:w="1096"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有效保障</w:t>
            </w:r>
          </w:p>
        </w:tc>
        <w:tc>
          <w:tcPr>
            <w:tcW w:w="961"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15</w:t>
            </w:r>
          </w:p>
        </w:tc>
        <w:tc>
          <w:tcPr>
            <w:tcW w:w="1027"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15</w:t>
            </w:r>
          </w:p>
        </w:tc>
      </w:tr>
      <w:tr>
        <w:tblPrEx>
          <w:tblCellMar>
            <w:top w:w="0" w:type="dxa"/>
            <w:left w:w="108" w:type="dxa"/>
            <w:bottom w:w="0" w:type="dxa"/>
            <w:right w:w="108" w:type="dxa"/>
          </w:tblCellMar>
        </w:tblPrEx>
        <w:trPr>
          <w:trHeight w:val="678" w:hRule="atLeast"/>
        </w:trPr>
        <w:tc>
          <w:tcPr>
            <w:tcW w:w="453"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781"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1004"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生态效益指标</w:t>
            </w:r>
          </w:p>
        </w:tc>
        <w:tc>
          <w:tcPr>
            <w:tcW w:w="2317"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w:t>
            </w:r>
          </w:p>
        </w:tc>
        <w:tc>
          <w:tcPr>
            <w:tcW w:w="1169"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w:t>
            </w:r>
          </w:p>
        </w:tc>
        <w:tc>
          <w:tcPr>
            <w:tcW w:w="1096"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w:t>
            </w:r>
          </w:p>
        </w:tc>
        <w:tc>
          <w:tcPr>
            <w:tcW w:w="961"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w:t>
            </w:r>
          </w:p>
        </w:tc>
        <w:tc>
          <w:tcPr>
            <w:tcW w:w="1027"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w:t>
            </w:r>
          </w:p>
        </w:tc>
      </w:tr>
      <w:tr>
        <w:tblPrEx>
          <w:tblCellMar>
            <w:top w:w="0" w:type="dxa"/>
            <w:left w:w="108" w:type="dxa"/>
            <w:bottom w:w="0" w:type="dxa"/>
            <w:right w:w="108" w:type="dxa"/>
          </w:tblCellMar>
        </w:tblPrEx>
        <w:trPr>
          <w:trHeight w:val="585" w:hRule="atLeast"/>
        </w:trPr>
        <w:tc>
          <w:tcPr>
            <w:tcW w:w="453"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781"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1004"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可持续影响指标</w:t>
            </w:r>
          </w:p>
        </w:tc>
        <w:tc>
          <w:tcPr>
            <w:tcW w:w="2317"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更好的服务各类群众，推动全市教育、医疗、公安等事业的发展</w:t>
            </w:r>
          </w:p>
        </w:tc>
        <w:tc>
          <w:tcPr>
            <w:tcW w:w="1169"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有效推动</w:t>
            </w:r>
          </w:p>
        </w:tc>
        <w:tc>
          <w:tcPr>
            <w:tcW w:w="1096"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有效推动</w:t>
            </w:r>
          </w:p>
        </w:tc>
        <w:tc>
          <w:tcPr>
            <w:tcW w:w="961"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15</w:t>
            </w:r>
          </w:p>
        </w:tc>
        <w:tc>
          <w:tcPr>
            <w:tcW w:w="1027"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15</w:t>
            </w:r>
          </w:p>
        </w:tc>
      </w:tr>
      <w:tr>
        <w:tblPrEx>
          <w:tblCellMar>
            <w:top w:w="0" w:type="dxa"/>
            <w:left w:w="108" w:type="dxa"/>
            <w:bottom w:w="0" w:type="dxa"/>
            <w:right w:w="108" w:type="dxa"/>
          </w:tblCellMar>
        </w:tblPrEx>
        <w:trPr>
          <w:trHeight w:val="570" w:hRule="atLeast"/>
        </w:trPr>
        <w:tc>
          <w:tcPr>
            <w:tcW w:w="453"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78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满意度指标</w:t>
            </w:r>
          </w:p>
        </w:tc>
        <w:tc>
          <w:tcPr>
            <w:tcW w:w="1004" w:type="dxa"/>
            <w:gridSpan w:val="2"/>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满意度指标</w:t>
            </w:r>
          </w:p>
        </w:tc>
        <w:tc>
          <w:tcPr>
            <w:tcW w:w="2317"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项目代建管理局群众对本单位所开展的各项工作的满意度</w:t>
            </w:r>
          </w:p>
        </w:tc>
        <w:tc>
          <w:tcPr>
            <w:tcW w:w="1169"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&gt;=90.00%</w:t>
            </w:r>
          </w:p>
        </w:tc>
        <w:tc>
          <w:tcPr>
            <w:tcW w:w="1096"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&gt;=100%</w:t>
            </w:r>
          </w:p>
        </w:tc>
        <w:tc>
          <w:tcPr>
            <w:tcW w:w="961"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5</w:t>
            </w:r>
          </w:p>
        </w:tc>
        <w:tc>
          <w:tcPr>
            <w:tcW w:w="1027"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5</w:t>
            </w:r>
          </w:p>
        </w:tc>
      </w:tr>
      <w:tr>
        <w:tblPrEx>
          <w:tblCellMar>
            <w:top w:w="0" w:type="dxa"/>
            <w:left w:w="108" w:type="dxa"/>
            <w:bottom w:w="0" w:type="dxa"/>
            <w:right w:w="108" w:type="dxa"/>
          </w:tblCellMar>
        </w:tblPrEx>
        <w:trPr>
          <w:trHeight w:val="495" w:hRule="atLeast"/>
        </w:trPr>
        <w:tc>
          <w:tcPr>
            <w:tcW w:w="453"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781"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1004" w:type="dxa"/>
            <w:gridSpan w:val="2"/>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ascii="宋体" w:hAnsi="宋体" w:eastAsia="宋体" w:cs="宋体"/>
                <w:kern w:val="0"/>
                <w:sz w:val="22"/>
                <w:szCs w:val="22"/>
              </w:rPr>
            </w:pPr>
          </w:p>
        </w:tc>
        <w:tc>
          <w:tcPr>
            <w:tcW w:w="2317"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职工满意度</w:t>
            </w:r>
          </w:p>
        </w:tc>
        <w:tc>
          <w:tcPr>
            <w:tcW w:w="1169"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&gt;=90.00%</w:t>
            </w:r>
          </w:p>
        </w:tc>
        <w:tc>
          <w:tcPr>
            <w:tcW w:w="1096"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&gt;=100%</w:t>
            </w:r>
          </w:p>
        </w:tc>
        <w:tc>
          <w:tcPr>
            <w:tcW w:w="961"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5</w:t>
            </w:r>
          </w:p>
        </w:tc>
        <w:tc>
          <w:tcPr>
            <w:tcW w:w="1027"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5</w:t>
            </w:r>
          </w:p>
        </w:tc>
      </w:tr>
    </w:tbl>
    <w:p>
      <w:pPr>
        <w:pStyle w:val="2"/>
        <w:ind w:firstLine="562"/>
      </w:pPr>
    </w:p>
    <w:p>
      <w:pPr>
        <w:pStyle w:val="2"/>
        <w:ind w:firstLine="562"/>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dtPr>
    <w:sdtContent>
      <w:p>
        <w:pPr>
          <w:pStyle w:val="8"/>
          <w:ind w:firstLine="360"/>
          <w:jc w:val="right"/>
        </w:pPr>
        <w:r>
          <w:rPr>
            <w:lang w:val="zh-CN"/>
          </w:rPr>
          <w:fldChar w:fldCharType="begin"/>
        </w:r>
        <w:r>
          <w:rPr>
            <w:lang w:val="zh-CN"/>
          </w:rPr>
          <w:instrText xml:space="preserve"> PAGE   \* MERGEFORMAT </w:instrText>
        </w:r>
        <w:r>
          <w:rPr>
            <w:lang w:val="zh-CN"/>
          </w:rPr>
          <w:fldChar w:fldCharType="separate"/>
        </w:r>
        <w:r>
          <w:rPr>
            <w:lang w:val="zh-CN"/>
          </w:rPr>
          <w:t>20</w:t>
        </w:r>
        <w:r>
          <w:rPr>
            <w:lang w:val="zh-CN"/>
          </w:rPr>
          <w:fldChar w:fldCharType="end"/>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0973A168"/>
    <w:multiLevelType w:val="singleLevel"/>
    <w:tmpl w:val="0973A168"/>
    <w:lvl w:ilvl="0" w:tentative="0">
      <w:start w:val="2"/>
      <w:numFmt w:val="decimal"/>
      <w:suff w:val="nothing"/>
      <w:lvlText w:val="（%1）"/>
      <w:lvlJc w:val="left"/>
    </w:lvl>
  </w:abstractNum>
  <w:abstractNum w:abstractNumId="6">
    <w:nsid w:val="225C8922"/>
    <w:multiLevelType w:val="singleLevel"/>
    <w:tmpl w:val="225C8922"/>
    <w:lvl w:ilvl="0" w:tentative="0">
      <w:start w:val="1"/>
      <w:numFmt w:val="decimal"/>
      <w:suff w:val="space"/>
      <w:lvlText w:val="%1."/>
      <w:lvlJc w:val="left"/>
    </w:lvl>
  </w:abstractNum>
  <w:abstractNum w:abstractNumId="7">
    <w:nsid w:val="282FBCCD"/>
    <w:multiLevelType w:val="singleLevel"/>
    <w:tmpl w:val="282FBCCD"/>
    <w:lvl w:ilvl="0" w:tentative="0">
      <w:start w:val="3"/>
      <w:numFmt w:val="chineseCounting"/>
      <w:suff w:val="nothing"/>
      <w:lvlText w:val="（%1）"/>
      <w:lvlJc w:val="left"/>
      <w:rPr>
        <w:rFonts w:hint="eastAsia"/>
      </w:rPr>
    </w:lvl>
  </w:abstractNum>
  <w:abstractNum w:abstractNumId="8">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9">
    <w:nsid w:val="5B837A59"/>
    <w:multiLevelType w:val="singleLevel"/>
    <w:tmpl w:val="5B837A59"/>
    <w:lvl w:ilvl="0" w:tentative="0">
      <w:start w:val="1"/>
      <w:numFmt w:val="decimal"/>
      <w:suff w:val="nothing"/>
      <w:lvlText w:val="（%1）"/>
      <w:lvlJc w:val="left"/>
    </w:lvl>
  </w:abstractNum>
  <w:num w:numId="1">
    <w:abstractNumId w:val="4"/>
  </w:num>
  <w:num w:numId="2">
    <w:abstractNumId w:val="9"/>
  </w:num>
  <w:num w:numId="3">
    <w:abstractNumId w:val="5"/>
  </w:num>
  <w:num w:numId="4">
    <w:abstractNumId w:val="7"/>
  </w:num>
  <w:num w:numId="5">
    <w:abstractNumId w:val="6"/>
  </w:num>
  <w:num w:numId="6">
    <w:abstractNumId w:val="8"/>
  </w:num>
  <w:num w:numId="7">
    <w:abstractNumId w:val="3"/>
  </w:num>
  <w:num w:numId="8">
    <w:abstractNumId w:val="0"/>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HorizontalSpacing w:val="140"/>
  <w:drawingGridVerticalSpacing w:val="38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GQ2ZTY2ODgwYWM2ZjAwMWU3OGY3MTBhMDNmZjczYjYifQ=="/>
  </w:docVars>
  <w:rsids>
    <w:rsidRoot w:val="005736CA"/>
    <w:rsid w:val="000031F1"/>
    <w:rsid w:val="00012408"/>
    <w:rsid w:val="000127F0"/>
    <w:rsid w:val="00012F5F"/>
    <w:rsid w:val="00067C67"/>
    <w:rsid w:val="0007274E"/>
    <w:rsid w:val="00074FC8"/>
    <w:rsid w:val="00082AC5"/>
    <w:rsid w:val="00084781"/>
    <w:rsid w:val="00093361"/>
    <w:rsid w:val="00094C87"/>
    <w:rsid w:val="000A49D4"/>
    <w:rsid w:val="000A66AA"/>
    <w:rsid w:val="000B3AAE"/>
    <w:rsid w:val="000B58F1"/>
    <w:rsid w:val="000C0D18"/>
    <w:rsid w:val="000C392E"/>
    <w:rsid w:val="000D525C"/>
    <w:rsid w:val="000E0246"/>
    <w:rsid w:val="000E0385"/>
    <w:rsid w:val="000F47F4"/>
    <w:rsid w:val="00110CAA"/>
    <w:rsid w:val="0011110A"/>
    <w:rsid w:val="00116150"/>
    <w:rsid w:val="00121C73"/>
    <w:rsid w:val="00134427"/>
    <w:rsid w:val="00137452"/>
    <w:rsid w:val="00146829"/>
    <w:rsid w:val="0015614B"/>
    <w:rsid w:val="00162118"/>
    <w:rsid w:val="00181983"/>
    <w:rsid w:val="00186C66"/>
    <w:rsid w:val="00190CBA"/>
    <w:rsid w:val="001A637E"/>
    <w:rsid w:val="001C0307"/>
    <w:rsid w:val="001C08BB"/>
    <w:rsid w:val="001C23BD"/>
    <w:rsid w:val="001C6A08"/>
    <w:rsid w:val="001D68BF"/>
    <w:rsid w:val="00201A4A"/>
    <w:rsid w:val="002153DD"/>
    <w:rsid w:val="0022263A"/>
    <w:rsid w:val="00251500"/>
    <w:rsid w:val="002640E4"/>
    <w:rsid w:val="00266868"/>
    <w:rsid w:val="0027056D"/>
    <w:rsid w:val="00270B06"/>
    <w:rsid w:val="00274998"/>
    <w:rsid w:val="00274DBF"/>
    <w:rsid w:val="002925AB"/>
    <w:rsid w:val="002A28F8"/>
    <w:rsid w:val="002D7861"/>
    <w:rsid w:val="002E1898"/>
    <w:rsid w:val="0032579C"/>
    <w:rsid w:val="00340F58"/>
    <w:rsid w:val="00343D8F"/>
    <w:rsid w:val="00357A45"/>
    <w:rsid w:val="00391BFB"/>
    <w:rsid w:val="00395C3B"/>
    <w:rsid w:val="003A1C90"/>
    <w:rsid w:val="003A5FD0"/>
    <w:rsid w:val="003A61F4"/>
    <w:rsid w:val="003A7732"/>
    <w:rsid w:val="003B184C"/>
    <w:rsid w:val="003E34DE"/>
    <w:rsid w:val="003E4C02"/>
    <w:rsid w:val="003F0EC2"/>
    <w:rsid w:val="003F0FBE"/>
    <w:rsid w:val="003F473D"/>
    <w:rsid w:val="00405863"/>
    <w:rsid w:val="00407004"/>
    <w:rsid w:val="0041100F"/>
    <w:rsid w:val="004144D3"/>
    <w:rsid w:val="00415C17"/>
    <w:rsid w:val="00433680"/>
    <w:rsid w:val="00434572"/>
    <w:rsid w:val="00436BD1"/>
    <w:rsid w:val="004520AB"/>
    <w:rsid w:val="004532F4"/>
    <w:rsid w:val="00455E2F"/>
    <w:rsid w:val="0047305C"/>
    <w:rsid w:val="0048006F"/>
    <w:rsid w:val="00485980"/>
    <w:rsid w:val="004A2396"/>
    <w:rsid w:val="004A580E"/>
    <w:rsid w:val="004B394E"/>
    <w:rsid w:val="004D4927"/>
    <w:rsid w:val="004D7080"/>
    <w:rsid w:val="004E4CA7"/>
    <w:rsid w:val="004F2852"/>
    <w:rsid w:val="005108DB"/>
    <w:rsid w:val="00516CE8"/>
    <w:rsid w:val="00552E3D"/>
    <w:rsid w:val="005736CA"/>
    <w:rsid w:val="005934AB"/>
    <w:rsid w:val="00594DE1"/>
    <w:rsid w:val="005A124E"/>
    <w:rsid w:val="005B0D06"/>
    <w:rsid w:val="005B0F03"/>
    <w:rsid w:val="005C5F45"/>
    <w:rsid w:val="005D1A6A"/>
    <w:rsid w:val="005D28E6"/>
    <w:rsid w:val="005D3F17"/>
    <w:rsid w:val="005E5D6E"/>
    <w:rsid w:val="005E73F7"/>
    <w:rsid w:val="005F3B64"/>
    <w:rsid w:val="005F7A93"/>
    <w:rsid w:val="00601640"/>
    <w:rsid w:val="00601CCF"/>
    <w:rsid w:val="00616E99"/>
    <w:rsid w:val="00617C63"/>
    <w:rsid w:val="00622729"/>
    <w:rsid w:val="00624A12"/>
    <w:rsid w:val="00626BD1"/>
    <w:rsid w:val="00636643"/>
    <w:rsid w:val="006401E9"/>
    <w:rsid w:val="00644237"/>
    <w:rsid w:val="00646422"/>
    <w:rsid w:val="00662A1D"/>
    <w:rsid w:val="00666783"/>
    <w:rsid w:val="00691E0A"/>
    <w:rsid w:val="006B711C"/>
    <w:rsid w:val="006D29D8"/>
    <w:rsid w:val="006D4066"/>
    <w:rsid w:val="006E2FE6"/>
    <w:rsid w:val="00722410"/>
    <w:rsid w:val="00732C76"/>
    <w:rsid w:val="00753EAB"/>
    <w:rsid w:val="007662AF"/>
    <w:rsid w:val="00770200"/>
    <w:rsid w:val="0077571A"/>
    <w:rsid w:val="007778B7"/>
    <w:rsid w:val="00782BC6"/>
    <w:rsid w:val="00786AEA"/>
    <w:rsid w:val="007A1B0F"/>
    <w:rsid w:val="007B5225"/>
    <w:rsid w:val="007B6305"/>
    <w:rsid w:val="007D48B5"/>
    <w:rsid w:val="007D4F8B"/>
    <w:rsid w:val="007D53F5"/>
    <w:rsid w:val="007D76B6"/>
    <w:rsid w:val="007D7CF1"/>
    <w:rsid w:val="007E58F4"/>
    <w:rsid w:val="008014D6"/>
    <w:rsid w:val="00804DD7"/>
    <w:rsid w:val="0080504D"/>
    <w:rsid w:val="00813DA0"/>
    <w:rsid w:val="00816A00"/>
    <w:rsid w:val="00825BE7"/>
    <w:rsid w:val="0083036C"/>
    <w:rsid w:val="008663D6"/>
    <w:rsid w:val="00872DBC"/>
    <w:rsid w:val="00874D10"/>
    <w:rsid w:val="00886102"/>
    <w:rsid w:val="008A09A7"/>
    <w:rsid w:val="008A1C5E"/>
    <w:rsid w:val="008C34E6"/>
    <w:rsid w:val="008D12BA"/>
    <w:rsid w:val="008D3A66"/>
    <w:rsid w:val="008D5E7B"/>
    <w:rsid w:val="008E1E76"/>
    <w:rsid w:val="008E6B90"/>
    <w:rsid w:val="00904B6F"/>
    <w:rsid w:val="0090615A"/>
    <w:rsid w:val="0091032B"/>
    <w:rsid w:val="00930F9B"/>
    <w:rsid w:val="00931A42"/>
    <w:rsid w:val="00932025"/>
    <w:rsid w:val="00934853"/>
    <w:rsid w:val="009443DA"/>
    <w:rsid w:val="00961F8B"/>
    <w:rsid w:val="00976ACE"/>
    <w:rsid w:val="00977277"/>
    <w:rsid w:val="00977A4E"/>
    <w:rsid w:val="00980844"/>
    <w:rsid w:val="00983705"/>
    <w:rsid w:val="00984BB2"/>
    <w:rsid w:val="009B0FCF"/>
    <w:rsid w:val="009B144E"/>
    <w:rsid w:val="009B7198"/>
    <w:rsid w:val="009C3825"/>
    <w:rsid w:val="009D6347"/>
    <w:rsid w:val="009E68A2"/>
    <w:rsid w:val="009F5618"/>
    <w:rsid w:val="009F6A4E"/>
    <w:rsid w:val="009F72C7"/>
    <w:rsid w:val="00A10158"/>
    <w:rsid w:val="00A3099F"/>
    <w:rsid w:val="00A439B9"/>
    <w:rsid w:val="00A462BF"/>
    <w:rsid w:val="00A6030F"/>
    <w:rsid w:val="00A63A05"/>
    <w:rsid w:val="00A6568E"/>
    <w:rsid w:val="00A7110C"/>
    <w:rsid w:val="00A720BD"/>
    <w:rsid w:val="00A81F52"/>
    <w:rsid w:val="00A82EF4"/>
    <w:rsid w:val="00A845AC"/>
    <w:rsid w:val="00A85EC6"/>
    <w:rsid w:val="00A87301"/>
    <w:rsid w:val="00A95478"/>
    <w:rsid w:val="00AC44A4"/>
    <w:rsid w:val="00AC6803"/>
    <w:rsid w:val="00AD0FC6"/>
    <w:rsid w:val="00AD3E95"/>
    <w:rsid w:val="00AD5476"/>
    <w:rsid w:val="00AE0359"/>
    <w:rsid w:val="00AE112D"/>
    <w:rsid w:val="00B00384"/>
    <w:rsid w:val="00B04344"/>
    <w:rsid w:val="00B07E76"/>
    <w:rsid w:val="00B07F58"/>
    <w:rsid w:val="00B35E70"/>
    <w:rsid w:val="00B40102"/>
    <w:rsid w:val="00B511F8"/>
    <w:rsid w:val="00B64BE7"/>
    <w:rsid w:val="00B71DD3"/>
    <w:rsid w:val="00B81148"/>
    <w:rsid w:val="00B96983"/>
    <w:rsid w:val="00BC7E1D"/>
    <w:rsid w:val="00BE6C3B"/>
    <w:rsid w:val="00BF5BA2"/>
    <w:rsid w:val="00C11C70"/>
    <w:rsid w:val="00C16821"/>
    <w:rsid w:val="00C21AE3"/>
    <w:rsid w:val="00C33CED"/>
    <w:rsid w:val="00C41E6F"/>
    <w:rsid w:val="00C51658"/>
    <w:rsid w:val="00C5695F"/>
    <w:rsid w:val="00C619A8"/>
    <w:rsid w:val="00C65BF0"/>
    <w:rsid w:val="00C676F4"/>
    <w:rsid w:val="00C771CD"/>
    <w:rsid w:val="00CA0283"/>
    <w:rsid w:val="00CB0193"/>
    <w:rsid w:val="00CD147B"/>
    <w:rsid w:val="00CD6950"/>
    <w:rsid w:val="00CF41A7"/>
    <w:rsid w:val="00CF5D1B"/>
    <w:rsid w:val="00D2747D"/>
    <w:rsid w:val="00D34758"/>
    <w:rsid w:val="00D417F0"/>
    <w:rsid w:val="00D635D1"/>
    <w:rsid w:val="00D655C1"/>
    <w:rsid w:val="00D76621"/>
    <w:rsid w:val="00D81057"/>
    <w:rsid w:val="00D816FD"/>
    <w:rsid w:val="00D8792A"/>
    <w:rsid w:val="00D95942"/>
    <w:rsid w:val="00DB3723"/>
    <w:rsid w:val="00DC2F1A"/>
    <w:rsid w:val="00DC3B09"/>
    <w:rsid w:val="00DC7874"/>
    <w:rsid w:val="00DF5A45"/>
    <w:rsid w:val="00E06BAA"/>
    <w:rsid w:val="00E122EB"/>
    <w:rsid w:val="00E144C2"/>
    <w:rsid w:val="00E329D8"/>
    <w:rsid w:val="00E46AA7"/>
    <w:rsid w:val="00E603C2"/>
    <w:rsid w:val="00E65EF1"/>
    <w:rsid w:val="00E667EB"/>
    <w:rsid w:val="00E76F6F"/>
    <w:rsid w:val="00E800C0"/>
    <w:rsid w:val="00E95174"/>
    <w:rsid w:val="00EA0F2D"/>
    <w:rsid w:val="00EA317D"/>
    <w:rsid w:val="00EA7319"/>
    <w:rsid w:val="00EC3684"/>
    <w:rsid w:val="00EC491A"/>
    <w:rsid w:val="00ED2AC4"/>
    <w:rsid w:val="00EE098A"/>
    <w:rsid w:val="00EF64FC"/>
    <w:rsid w:val="00F007BB"/>
    <w:rsid w:val="00F35063"/>
    <w:rsid w:val="00F35E0B"/>
    <w:rsid w:val="00F6491B"/>
    <w:rsid w:val="00F772DB"/>
    <w:rsid w:val="00F944B3"/>
    <w:rsid w:val="00FA3071"/>
    <w:rsid w:val="00FB67F7"/>
    <w:rsid w:val="00FC35A2"/>
    <w:rsid w:val="00FD000C"/>
    <w:rsid w:val="00FE48A6"/>
    <w:rsid w:val="00FE48C1"/>
    <w:rsid w:val="00FE4C29"/>
    <w:rsid w:val="00FE4DF8"/>
    <w:rsid w:val="00FF70B1"/>
    <w:rsid w:val="010461BC"/>
    <w:rsid w:val="011B2FAC"/>
    <w:rsid w:val="01224E21"/>
    <w:rsid w:val="012D3D63"/>
    <w:rsid w:val="012F7B48"/>
    <w:rsid w:val="01330A6C"/>
    <w:rsid w:val="01394010"/>
    <w:rsid w:val="013B5CEE"/>
    <w:rsid w:val="0144649E"/>
    <w:rsid w:val="0144786B"/>
    <w:rsid w:val="014544DB"/>
    <w:rsid w:val="01487A18"/>
    <w:rsid w:val="014F3E2E"/>
    <w:rsid w:val="01554892"/>
    <w:rsid w:val="016565D0"/>
    <w:rsid w:val="016F499E"/>
    <w:rsid w:val="01720865"/>
    <w:rsid w:val="01883901"/>
    <w:rsid w:val="0189003F"/>
    <w:rsid w:val="019903F0"/>
    <w:rsid w:val="01A17108"/>
    <w:rsid w:val="01A62E8C"/>
    <w:rsid w:val="01C42D66"/>
    <w:rsid w:val="01CC3353"/>
    <w:rsid w:val="01D96DEE"/>
    <w:rsid w:val="01DE05BD"/>
    <w:rsid w:val="01E90E13"/>
    <w:rsid w:val="021D46B1"/>
    <w:rsid w:val="022361E9"/>
    <w:rsid w:val="023661F2"/>
    <w:rsid w:val="024C03D3"/>
    <w:rsid w:val="024C0DD3"/>
    <w:rsid w:val="02542D33"/>
    <w:rsid w:val="02657043"/>
    <w:rsid w:val="02817337"/>
    <w:rsid w:val="028A31C6"/>
    <w:rsid w:val="02970B6B"/>
    <w:rsid w:val="0299740F"/>
    <w:rsid w:val="029D41FE"/>
    <w:rsid w:val="02A2607C"/>
    <w:rsid w:val="02A40B6F"/>
    <w:rsid w:val="02A45B4E"/>
    <w:rsid w:val="02B10946"/>
    <w:rsid w:val="02BF1515"/>
    <w:rsid w:val="02C15BF6"/>
    <w:rsid w:val="02DD7E42"/>
    <w:rsid w:val="02E46FB2"/>
    <w:rsid w:val="02E76F4B"/>
    <w:rsid w:val="030202B1"/>
    <w:rsid w:val="03071EF2"/>
    <w:rsid w:val="03161EA1"/>
    <w:rsid w:val="0339192D"/>
    <w:rsid w:val="03447854"/>
    <w:rsid w:val="03673532"/>
    <w:rsid w:val="037178FE"/>
    <w:rsid w:val="0379691F"/>
    <w:rsid w:val="03861C8D"/>
    <w:rsid w:val="038A729A"/>
    <w:rsid w:val="038C4CAB"/>
    <w:rsid w:val="039B3661"/>
    <w:rsid w:val="03A90FE8"/>
    <w:rsid w:val="03AF49F9"/>
    <w:rsid w:val="03BE4BD4"/>
    <w:rsid w:val="03BE7262"/>
    <w:rsid w:val="03C53179"/>
    <w:rsid w:val="0410205A"/>
    <w:rsid w:val="04262883"/>
    <w:rsid w:val="042D7C6B"/>
    <w:rsid w:val="04313FCA"/>
    <w:rsid w:val="04361115"/>
    <w:rsid w:val="04453E17"/>
    <w:rsid w:val="044E7E2F"/>
    <w:rsid w:val="046072C6"/>
    <w:rsid w:val="04625516"/>
    <w:rsid w:val="04632ED4"/>
    <w:rsid w:val="047362F1"/>
    <w:rsid w:val="0478139B"/>
    <w:rsid w:val="04783833"/>
    <w:rsid w:val="047B1917"/>
    <w:rsid w:val="047C3BA2"/>
    <w:rsid w:val="0482262D"/>
    <w:rsid w:val="048C34B8"/>
    <w:rsid w:val="049241CA"/>
    <w:rsid w:val="04993586"/>
    <w:rsid w:val="049A6A0B"/>
    <w:rsid w:val="049D20FD"/>
    <w:rsid w:val="04AC660A"/>
    <w:rsid w:val="04B13EEE"/>
    <w:rsid w:val="04C226CE"/>
    <w:rsid w:val="04C42719"/>
    <w:rsid w:val="04C817F2"/>
    <w:rsid w:val="04CA680C"/>
    <w:rsid w:val="04CE0C10"/>
    <w:rsid w:val="04D6079A"/>
    <w:rsid w:val="04DA63B5"/>
    <w:rsid w:val="04DF6C0B"/>
    <w:rsid w:val="04F13123"/>
    <w:rsid w:val="04F2236E"/>
    <w:rsid w:val="04FE3E12"/>
    <w:rsid w:val="05000C3B"/>
    <w:rsid w:val="050263C3"/>
    <w:rsid w:val="050D0377"/>
    <w:rsid w:val="0543466F"/>
    <w:rsid w:val="05560765"/>
    <w:rsid w:val="056A3751"/>
    <w:rsid w:val="056B22D0"/>
    <w:rsid w:val="05724372"/>
    <w:rsid w:val="05890E23"/>
    <w:rsid w:val="058D51FF"/>
    <w:rsid w:val="05921E1A"/>
    <w:rsid w:val="05A136E1"/>
    <w:rsid w:val="05C165E5"/>
    <w:rsid w:val="05CE50DA"/>
    <w:rsid w:val="05CE7D72"/>
    <w:rsid w:val="05DB6E39"/>
    <w:rsid w:val="05EB39CC"/>
    <w:rsid w:val="05F30D03"/>
    <w:rsid w:val="05FC435D"/>
    <w:rsid w:val="06024464"/>
    <w:rsid w:val="061B2BEC"/>
    <w:rsid w:val="06212C8F"/>
    <w:rsid w:val="06222B2B"/>
    <w:rsid w:val="06277959"/>
    <w:rsid w:val="063D4225"/>
    <w:rsid w:val="06401D70"/>
    <w:rsid w:val="06442A32"/>
    <w:rsid w:val="06504AB9"/>
    <w:rsid w:val="06586D46"/>
    <w:rsid w:val="065A4860"/>
    <w:rsid w:val="06662B98"/>
    <w:rsid w:val="06691F53"/>
    <w:rsid w:val="066A0148"/>
    <w:rsid w:val="067565EE"/>
    <w:rsid w:val="067716E0"/>
    <w:rsid w:val="06786F63"/>
    <w:rsid w:val="069C693A"/>
    <w:rsid w:val="06B15C5E"/>
    <w:rsid w:val="06B840F0"/>
    <w:rsid w:val="06C0602A"/>
    <w:rsid w:val="06C060E1"/>
    <w:rsid w:val="06C27395"/>
    <w:rsid w:val="06C94ABD"/>
    <w:rsid w:val="06CD0324"/>
    <w:rsid w:val="06D47F00"/>
    <w:rsid w:val="06DE0B3E"/>
    <w:rsid w:val="06E125BA"/>
    <w:rsid w:val="06E27A30"/>
    <w:rsid w:val="06EB5DEF"/>
    <w:rsid w:val="06F301EC"/>
    <w:rsid w:val="06F61BCB"/>
    <w:rsid w:val="06F84315"/>
    <w:rsid w:val="06FE5AF6"/>
    <w:rsid w:val="07012CA8"/>
    <w:rsid w:val="07014925"/>
    <w:rsid w:val="070C2378"/>
    <w:rsid w:val="070F0FA7"/>
    <w:rsid w:val="071A099F"/>
    <w:rsid w:val="073C28DF"/>
    <w:rsid w:val="073D47DD"/>
    <w:rsid w:val="074B3669"/>
    <w:rsid w:val="077E7FAC"/>
    <w:rsid w:val="07846919"/>
    <w:rsid w:val="078C72DA"/>
    <w:rsid w:val="07916C30"/>
    <w:rsid w:val="07A847FD"/>
    <w:rsid w:val="07B657F2"/>
    <w:rsid w:val="07BA4A0D"/>
    <w:rsid w:val="07BC07EC"/>
    <w:rsid w:val="07C339CD"/>
    <w:rsid w:val="07CA63EE"/>
    <w:rsid w:val="07D07530"/>
    <w:rsid w:val="07DD1E2B"/>
    <w:rsid w:val="07EE0898"/>
    <w:rsid w:val="07F7630D"/>
    <w:rsid w:val="07F86448"/>
    <w:rsid w:val="0804174A"/>
    <w:rsid w:val="080C444A"/>
    <w:rsid w:val="080D02DC"/>
    <w:rsid w:val="08170519"/>
    <w:rsid w:val="083D00CF"/>
    <w:rsid w:val="08436556"/>
    <w:rsid w:val="084E7490"/>
    <w:rsid w:val="08504996"/>
    <w:rsid w:val="0856616F"/>
    <w:rsid w:val="08622524"/>
    <w:rsid w:val="0866463A"/>
    <w:rsid w:val="086724C2"/>
    <w:rsid w:val="0869364B"/>
    <w:rsid w:val="086A1FB2"/>
    <w:rsid w:val="086A7EAD"/>
    <w:rsid w:val="08877430"/>
    <w:rsid w:val="08881A41"/>
    <w:rsid w:val="08983DBB"/>
    <w:rsid w:val="08B03E69"/>
    <w:rsid w:val="08B72A98"/>
    <w:rsid w:val="08C50D19"/>
    <w:rsid w:val="08CF3821"/>
    <w:rsid w:val="08E604A1"/>
    <w:rsid w:val="08E7664B"/>
    <w:rsid w:val="08E84DAC"/>
    <w:rsid w:val="08ED5F60"/>
    <w:rsid w:val="08EF03CC"/>
    <w:rsid w:val="08F04266"/>
    <w:rsid w:val="08F5619F"/>
    <w:rsid w:val="090608DE"/>
    <w:rsid w:val="090838CD"/>
    <w:rsid w:val="091A2717"/>
    <w:rsid w:val="09230638"/>
    <w:rsid w:val="092A29F8"/>
    <w:rsid w:val="092B2315"/>
    <w:rsid w:val="092C0DDC"/>
    <w:rsid w:val="092D6339"/>
    <w:rsid w:val="09302352"/>
    <w:rsid w:val="09441A94"/>
    <w:rsid w:val="0952252E"/>
    <w:rsid w:val="097A0CA3"/>
    <w:rsid w:val="099E6423"/>
    <w:rsid w:val="099F43E4"/>
    <w:rsid w:val="09AD0666"/>
    <w:rsid w:val="09B520E2"/>
    <w:rsid w:val="09C304EC"/>
    <w:rsid w:val="09CA0F5B"/>
    <w:rsid w:val="09D643F5"/>
    <w:rsid w:val="09DA2AA5"/>
    <w:rsid w:val="09EC7123"/>
    <w:rsid w:val="09F66E4B"/>
    <w:rsid w:val="0A031F73"/>
    <w:rsid w:val="0A224933"/>
    <w:rsid w:val="0A280C3E"/>
    <w:rsid w:val="0A2917F5"/>
    <w:rsid w:val="0A2B01BE"/>
    <w:rsid w:val="0A2B3C59"/>
    <w:rsid w:val="0A4213A1"/>
    <w:rsid w:val="0A42617D"/>
    <w:rsid w:val="0A51534E"/>
    <w:rsid w:val="0A53121B"/>
    <w:rsid w:val="0A537BE3"/>
    <w:rsid w:val="0A570F00"/>
    <w:rsid w:val="0A5C592B"/>
    <w:rsid w:val="0A713B8A"/>
    <w:rsid w:val="0A735B7E"/>
    <w:rsid w:val="0AB206C5"/>
    <w:rsid w:val="0ACD0943"/>
    <w:rsid w:val="0AD23979"/>
    <w:rsid w:val="0AD87C38"/>
    <w:rsid w:val="0ADD3583"/>
    <w:rsid w:val="0AE14729"/>
    <w:rsid w:val="0AE35809"/>
    <w:rsid w:val="0AF83E18"/>
    <w:rsid w:val="0B1043A6"/>
    <w:rsid w:val="0B1D330B"/>
    <w:rsid w:val="0B227C53"/>
    <w:rsid w:val="0B2E7C82"/>
    <w:rsid w:val="0B2F7F09"/>
    <w:rsid w:val="0B4635B9"/>
    <w:rsid w:val="0B69283A"/>
    <w:rsid w:val="0B6C582B"/>
    <w:rsid w:val="0B6C713B"/>
    <w:rsid w:val="0B711BB7"/>
    <w:rsid w:val="0B735A1E"/>
    <w:rsid w:val="0B7725CA"/>
    <w:rsid w:val="0B8227B3"/>
    <w:rsid w:val="0B8A151E"/>
    <w:rsid w:val="0B8C6952"/>
    <w:rsid w:val="0B927CE4"/>
    <w:rsid w:val="0B9350B1"/>
    <w:rsid w:val="0BA35AAD"/>
    <w:rsid w:val="0BB6664C"/>
    <w:rsid w:val="0BC74506"/>
    <w:rsid w:val="0BCC05A7"/>
    <w:rsid w:val="0BD71595"/>
    <w:rsid w:val="0BED4EE1"/>
    <w:rsid w:val="0BF21554"/>
    <w:rsid w:val="0BF85794"/>
    <w:rsid w:val="0C1D3D6A"/>
    <w:rsid w:val="0C2704F9"/>
    <w:rsid w:val="0C2F02EB"/>
    <w:rsid w:val="0C34039A"/>
    <w:rsid w:val="0C3721ED"/>
    <w:rsid w:val="0C39051A"/>
    <w:rsid w:val="0C400289"/>
    <w:rsid w:val="0C4B4787"/>
    <w:rsid w:val="0C5B328D"/>
    <w:rsid w:val="0C7D6A05"/>
    <w:rsid w:val="0C8959A0"/>
    <w:rsid w:val="0C8B26A7"/>
    <w:rsid w:val="0C8D05A7"/>
    <w:rsid w:val="0C975CED"/>
    <w:rsid w:val="0C984D81"/>
    <w:rsid w:val="0C9B591B"/>
    <w:rsid w:val="0C9D1CE2"/>
    <w:rsid w:val="0CA16616"/>
    <w:rsid w:val="0CA81554"/>
    <w:rsid w:val="0CB23C7C"/>
    <w:rsid w:val="0CBB5165"/>
    <w:rsid w:val="0CBF0261"/>
    <w:rsid w:val="0CBF7A7A"/>
    <w:rsid w:val="0CC024A2"/>
    <w:rsid w:val="0CC949B9"/>
    <w:rsid w:val="0CCF3FFB"/>
    <w:rsid w:val="0CDD02FC"/>
    <w:rsid w:val="0CE67E95"/>
    <w:rsid w:val="0CEF5051"/>
    <w:rsid w:val="0CFB58CF"/>
    <w:rsid w:val="0D081066"/>
    <w:rsid w:val="0D093ED6"/>
    <w:rsid w:val="0D0E6CCF"/>
    <w:rsid w:val="0D170A9C"/>
    <w:rsid w:val="0D1A5E33"/>
    <w:rsid w:val="0D2B0CED"/>
    <w:rsid w:val="0D2C01B6"/>
    <w:rsid w:val="0D42247E"/>
    <w:rsid w:val="0D442DD2"/>
    <w:rsid w:val="0D4B479D"/>
    <w:rsid w:val="0D520D47"/>
    <w:rsid w:val="0D54441E"/>
    <w:rsid w:val="0D590219"/>
    <w:rsid w:val="0D592ED0"/>
    <w:rsid w:val="0D5973A7"/>
    <w:rsid w:val="0D5C36B9"/>
    <w:rsid w:val="0D6E241A"/>
    <w:rsid w:val="0D703DA4"/>
    <w:rsid w:val="0D706869"/>
    <w:rsid w:val="0D707CD1"/>
    <w:rsid w:val="0D7C06D5"/>
    <w:rsid w:val="0D7C2CF2"/>
    <w:rsid w:val="0D82627E"/>
    <w:rsid w:val="0D900142"/>
    <w:rsid w:val="0D9617B9"/>
    <w:rsid w:val="0DA66BA3"/>
    <w:rsid w:val="0DBD4147"/>
    <w:rsid w:val="0DD643ED"/>
    <w:rsid w:val="0DDA310E"/>
    <w:rsid w:val="0DF75868"/>
    <w:rsid w:val="0DFA73F8"/>
    <w:rsid w:val="0E0836C2"/>
    <w:rsid w:val="0E1400AD"/>
    <w:rsid w:val="0E343D9E"/>
    <w:rsid w:val="0E3E3725"/>
    <w:rsid w:val="0E5D3114"/>
    <w:rsid w:val="0E611D86"/>
    <w:rsid w:val="0E631277"/>
    <w:rsid w:val="0E64492F"/>
    <w:rsid w:val="0E686770"/>
    <w:rsid w:val="0E690184"/>
    <w:rsid w:val="0E810046"/>
    <w:rsid w:val="0E923769"/>
    <w:rsid w:val="0E9763DF"/>
    <w:rsid w:val="0E9E33B0"/>
    <w:rsid w:val="0EAA4BEA"/>
    <w:rsid w:val="0EAF5479"/>
    <w:rsid w:val="0EDC6ED3"/>
    <w:rsid w:val="0EF37F49"/>
    <w:rsid w:val="0EF905AA"/>
    <w:rsid w:val="0F140AC0"/>
    <w:rsid w:val="0F14215B"/>
    <w:rsid w:val="0F380207"/>
    <w:rsid w:val="0F393C38"/>
    <w:rsid w:val="0F3953CC"/>
    <w:rsid w:val="0F3C74C6"/>
    <w:rsid w:val="0F415F67"/>
    <w:rsid w:val="0F422D4B"/>
    <w:rsid w:val="0F437995"/>
    <w:rsid w:val="0F4F4672"/>
    <w:rsid w:val="0F500037"/>
    <w:rsid w:val="0F6214AC"/>
    <w:rsid w:val="0F6F5212"/>
    <w:rsid w:val="0F8D4ECB"/>
    <w:rsid w:val="0F93702C"/>
    <w:rsid w:val="0FA52FBE"/>
    <w:rsid w:val="0FAD3E5F"/>
    <w:rsid w:val="0FBD60F3"/>
    <w:rsid w:val="0FD34DDD"/>
    <w:rsid w:val="0FE06440"/>
    <w:rsid w:val="0FFF3CFB"/>
    <w:rsid w:val="10027C75"/>
    <w:rsid w:val="10051D32"/>
    <w:rsid w:val="100B407B"/>
    <w:rsid w:val="10132DE4"/>
    <w:rsid w:val="10192CB7"/>
    <w:rsid w:val="101C2014"/>
    <w:rsid w:val="10206A14"/>
    <w:rsid w:val="1037545F"/>
    <w:rsid w:val="10390BE8"/>
    <w:rsid w:val="1049193F"/>
    <w:rsid w:val="10566744"/>
    <w:rsid w:val="10625CF9"/>
    <w:rsid w:val="10722507"/>
    <w:rsid w:val="108D1536"/>
    <w:rsid w:val="10950DBA"/>
    <w:rsid w:val="10996069"/>
    <w:rsid w:val="109B27B8"/>
    <w:rsid w:val="10A72213"/>
    <w:rsid w:val="10B52A92"/>
    <w:rsid w:val="10C40D81"/>
    <w:rsid w:val="10D33D8C"/>
    <w:rsid w:val="10D40475"/>
    <w:rsid w:val="10E42380"/>
    <w:rsid w:val="10F36FE9"/>
    <w:rsid w:val="10FB6241"/>
    <w:rsid w:val="111443AF"/>
    <w:rsid w:val="113051CE"/>
    <w:rsid w:val="11314A07"/>
    <w:rsid w:val="113C0707"/>
    <w:rsid w:val="11473885"/>
    <w:rsid w:val="114E5553"/>
    <w:rsid w:val="116B3023"/>
    <w:rsid w:val="116C1405"/>
    <w:rsid w:val="116D21F3"/>
    <w:rsid w:val="116E44C6"/>
    <w:rsid w:val="11711521"/>
    <w:rsid w:val="11804D9C"/>
    <w:rsid w:val="118238F5"/>
    <w:rsid w:val="118361C2"/>
    <w:rsid w:val="118D1B87"/>
    <w:rsid w:val="1193547A"/>
    <w:rsid w:val="119740FC"/>
    <w:rsid w:val="1199679A"/>
    <w:rsid w:val="11A35D6A"/>
    <w:rsid w:val="11B232D5"/>
    <w:rsid w:val="11B513B1"/>
    <w:rsid w:val="11BF176D"/>
    <w:rsid w:val="11C20769"/>
    <w:rsid w:val="11C51460"/>
    <w:rsid w:val="11CE26E7"/>
    <w:rsid w:val="11D531CD"/>
    <w:rsid w:val="11DC313E"/>
    <w:rsid w:val="11E72B05"/>
    <w:rsid w:val="11F73B97"/>
    <w:rsid w:val="1206775C"/>
    <w:rsid w:val="12160F32"/>
    <w:rsid w:val="122B57FE"/>
    <w:rsid w:val="123A249A"/>
    <w:rsid w:val="123A6FFE"/>
    <w:rsid w:val="129C5FBF"/>
    <w:rsid w:val="12AA4F24"/>
    <w:rsid w:val="12B0240D"/>
    <w:rsid w:val="12C07C44"/>
    <w:rsid w:val="12C26085"/>
    <w:rsid w:val="12C30BD4"/>
    <w:rsid w:val="12D347E4"/>
    <w:rsid w:val="12F851AF"/>
    <w:rsid w:val="13057BE2"/>
    <w:rsid w:val="1316735B"/>
    <w:rsid w:val="131F3BD7"/>
    <w:rsid w:val="13232724"/>
    <w:rsid w:val="132A631E"/>
    <w:rsid w:val="13332723"/>
    <w:rsid w:val="13336BAF"/>
    <w:rsid w:val="133430B6"/>
    <w:rsid w:val="134D7FF4"/>
    <w:rsid w:val="134E122A"/>
    <w:rsid w:val="135C599E"/>
    <w:rsid w:val="1361200C"/>
    <w:rsid w:val="136371D8"/>
    <w:rsid w:val="137E114F"/>
    <w:rsid w:val="13807E8F"/>
    <w:rsid w:val="139D140D"/>
    <w:rsid w:val="13A27094"/>
    <w:rsid w:val="13A47B2B"/>
    <w:rsid w:val="13AC482E"/>
    <w:rsid w:val="13AE1727"/>
    <w:rsid w:val="13B42D72"/>
    <w:rsid w:val="13C60571"/>
    <w:rsid w:val="13C7501D"/>
    <w:rsid w:val="13D06674"/>
    <w:rsid w:val="13D11429"/>
    <w:rsid w:val="13D44D7F"/>
    <w:rsid w:val="13DC62D4"/>
    <w:rsid w:val="13E45075"/>
    <w:rsid w:val="13E466D8"/>
    <w:rsid w:val="13EA143D"/>
    <w:rsid w:val="13FA1E3E"/>
    <w:rsid w:val="13FF3A0D"/>
    <w:rsid w:val="1402256F"/>
    <w:rsid w:val="14030E44"/>
    <w:rsid w:val="14120FE1"/>
    <w:rsid w:val="1417268A"/>
    <w:rsid w:val="142A0AB7"/>
    <w:rsid w:val="142C45C0"/>
    <w:rsid w:val="142C48EB"/>
    <w:rsid w:val="143E5526"/>
    <w:rsid w:val="14403653"/>
    <w:rsid w:val="144455AC"/>
    <w:rsid w:val="144737EB"/>
    <w:rsid w:val="14483C4F"/>
    <w:rsid w:val="14526530"/>
    <w:rsid w:val="145528AB"/>
    <w:rsid w:val="145F00A4"/>
    <w:rsid w:val="14630A90"/>
    <w:rsid w:val="146317AD"/>
    <w:rsid w:val="14667C8B"/>
    <w:rsid w:val="1469335B"/>
    <w:rsid w:val="14703A03"/>
    <w:rsid w:val="1493153C"/>
    <w:rsid w:val="1498758E"/>
    <w:rsid w:val="14A07152"/>
    <w:rsid w:val="14B33F8F"/>
    <w:rsid w:val="14C03DCD"/>
    <w:rsid w:val="14C530F8"/>
    <w:rsid w:val="14CB666D"/>
    <w:rsid w:val="14CC481C"/>
    <w:rsid w:val="14D37254"/>
    <w:rsid w:val="14EB362E"/>
    <w:rsid w:val="14F81E1D"/>
    <w:rsid w:val="1502361C"/>
    <w:rsid w:val="15147B3E"/>
    <w:rsid w:val="15343BE6"/>
    <w:rsid w:val="15357338"/>
    <w:rsid w:val="153612FD"/>
    <w:rsid w:val="154136C6"/>
    <w:rsid w:val="15491992"/>
    <w:rsid w:val="154A19ED"/>
    <w:rsid w:val="154F0566"/>
    <w:rsid w:val="15530DDD"/>
    <w:rsid w:val="15555B00"/>
    <w:rsid w:val="15581C53"/>
    <w:rsid w:val="155D0B85"/>
    <w:rsid w:val="15650329"/>
    <w:rsid w:val="156C246B"/>
    <w:rsid w:val="156C2FBF"/>
    <w:rsid w:val="156C5672"/>
    <w:rsid w:val="156D64F6"/>
    <w:rsid w:val="156F1B1C"/>
    <w:rsid w:val="15821333"/>
    <w:rsid w:val="15847239"/>
    <w:rsid w:val="15920CD6"/>
    <w:rsid w:val="15934AE0"/>
    <w:rsid w:val="15A46D8E"/>
    <w:rsid w:val="15CE7AF8"/>
    <w:rsid w:val="15E63361"/>
    <w:rsid w:val="15E863F0"/>
    <w:rsid w:val="15F628E7"/>
    <w:rsid w:val="15F91DBC"/>
    <w:rsid w:val="160204EA"/>
    <w:rsid w:val="16050D98"/>
    <w:rsid w:val="161227B8"/>
    <w:rsid w:val="16261962"/>
    <w:rsid w:val="162D5537"/>
    <w:rsid w:val="164D645C"/>
    <w:rsid w:val="1660496A"/>
    <w:rsid w:val="166423BB"/>
    <w:rsid w:val="166E2AA3"/>
    <w:rsid w:val="167B52F3"/>
    <w:rsid w:val="16811A70"/>
    <w:rsid w:val="16876FD7"/>
    <w:rsid w:val="169778EF"/>
    <w:rsid w:val="16BA0A7E"/>
    <w:rsid w:val="16BC0497"/>
    <w:rsid w:val="16BC6A14"/>
    <w:rsid w:val="16CE2EF8"/>
    <w:rsid w:val="16D97F04"/>
    <w:rsid w:val="16DB43EA"/>
    <w:rsid w:val="16DC79A8"/>
    <w:rsid w:val="16E355E5"/>
    <w:rsid w:val="16E74335"/>
    <w:rsid w:val="16E82AA9"/>
    <w:rsid w:val="16EB753F"/>
    <w:rsid w:val="16F21232"/>
    <w:rsid w:val="16F4505A"/>
    <w:rsid w:val="16F70AC0"/>
    <w:rsid w:val="16F817DA"/>
    <w:rsid w:val="17071740"/>
    <w:rsid w:val="17090470"/>
    <w:rsid w:val="170A678C"/>
    <w:rsid w:val="17136C0E"/>
    <w:rsid w:val="17383D5F"/>
    <w:rsid w:val="173E7005"/>
    <w:rsid w:val="17566FCE"/>
    <w:rsid w:val="17671630"/>
    <w:rsid w:val="1770276F"/>
    <w:rsid w:val="177C602E"/>
    <w:rsid w:val="177D3D5F"/>
    <w:rsid w:val="178C2E1C"/>
    <w:rsid w:val="179F1C7D"/>
    <w:rsid w:val="17BC5C22"/>
    <w:rsid w:val="17C2768B"/>
    <w:rsid w:val="17C573FD"/>
    <w:rsid w:val="17C93BED"/>
    <w:rsid w:val="17EA4C30"/>
    <w:rsid w:val="17F312D8"/>
    <w:rsid w:val="180E419F"/>
    <w:rsid w:val="18142FD5"/>
    <w:rsid w:val="181E2557"/>
    <w:rsid w:val="182846D6"/>
    <w:rsid w:val="182E351C"/>
    <w:rsid w:val="183A4CAB"/>
    <w:rsid w:val="184207ED"/>
    <w:rsid w:val="18462C90"/>
    <w:rsid w:val="18647115"/>
    <w:rsid w:val="187B711C"/>
    <w:rsid w:val="187C12A9"/>
    <w:rsid w:val="187D73D2"/>
    <w:rsid w:val="1898296B"/>
    <w:rsid w:val="18AC514D"/>
    <w:rsid w:val="18B44DAA"/>
    <w:rsid w:val="18B766D6"/>
    <w:rsid w:val="18B779EA"/>
    <w:rsid w:val="18B80E20"/>
    <w:rsid w:val="18C44CD5"/>
    <w:rsid w:val="18CA6C64"/>
    <w:rsid w:val="18CE46B1"/>
    <w:rsid w:val="18E94E4A"/>
    <w:rsid w:val="19012339"/>
    <w:rsid w:val="19134C70"/>
    <w:rsid w:val="19142F8B"/>
    <w:rsid w:val="191D76ED"/>
    <w:rsid w:val="192B7B0A"/>
    <w:rsid w:val="193D3C42"/>
    <w:rsid w:val="195864BB"/>
    <w:rsid w:val="1961453B"/>
    <w:rsid w:val="19647532"/>
    <w:rsid w:val="19682C73"/>
    <w:rsid w:val="196B15FC"/>
    <w:rsid w:val="197902A7"/>
    <w:rsid w:val="199A2DF9"/>
    <w:rsid w:val="19A45697"/>
    <w:rsid w:val="19AF53A2"/>
    <w:rsid w:val="19B05D52"/>
    <w:rsid w:val="19B35BD7"/>
    <w:rsid w:val="19C21039"/>
    <w:rsid w:val="19D90835"/>
    <w:rsid w:val="19DF3A2B"/>
    <w:rsid w:val="19F0095A"/>
    <w:rsid w:val="19FC0A98"/>
    <w:rsid w:val="1A0D43A0"/>
    <w:rsid w:val="1A2D00F9"/>
    <w:rsid w:val="1A3D0E46"/>
    <w:rsid w:val="1A412BDA"/>
    <w:rsid w:val="1A425F71"/>
    <w:rsid w:val="1A432CE3"/>
    <w:rsid w:val="1A495A65"/>
    <w:rsid w:val="1A50150C"/>
    <w:rsid w:val="1A611FC2"/>
    <w:rsid w:val="1A97752E"/>
    <w:rsid w:val="1A98275F"/>
    <w:rsid w:val="1A9A73F6"/>
    <w:rsid w:val="1A9C28C9"/>
    <w:rsid w:val="1A9C3E14"/>
    <w:rsid w:val="1ABA6A57"/>
    <w:rsid w:val="1AC157E8"/>
    <w:rsid w:val="1AC4323C"/>
    <w:rsid w:val="1ACA7EBF"/>
    <w:rsid w:val="1AE07F9A"/>
    <w:rsid w:val="1AE12836"/>
    <w:rsid w:val="1AE610FF"/>
    <w:rsid w:val="1AE704C6"/>
    <w:rsid w:val="1AE925F4"/>
    <w:rsid w:val="1AEE4357"/>
    <w:rsid w:val="1B013601"/>
    <w:rsid w:val="1B1124ED"/>
    <w:rsid w:val="1B192FEA"/>
    <w:rsid w:val="1B1E1530"/>
    <w:rsid w:val="1B234950"/>
    <w:rsid w:val="1B2706B9"/>
    <w:rsid w:val="1B421E7E"/>
    <w:rsid w:val="1B634857"/>
    <w:rsid w:val="1B64461F"/>
    <w:rsid w:val="1B67379E"/>
    <w:rsid w:val="1B680A73"/>
    <w:rsid w:val="1B6B7B31"/>
    <w:rsid w:val="1B8E3E7F"/>
    <w:rsid w:val="1B9C3AE1"/>
    <w:rsid w:val="1BA644ED"/>
    <w:rsid w:val="1BAA4009"/>
    <w:rsid w:val="1BAE1388"/>
    <w:rsid w:val="1BB033B7"/>
    <w:rsid w:val="1BC366AF"/>
    <w:rsid w:val="1BD952A3"/>
    <w:rsid w:val="1BDA2DD5"/>
    <w:rsid w:val="1BEB4F66"/>
    <w:rsid w:val="1BF4671D"/>
    <w:rsid w:val="1BF501C6"/>
    <w:rsid w:val="1BFF013E"/>
    <w:rsid w:val="1C0665E6"/>
    <w:rsid w:val="1C0D5B7B"/>
    <w:rsid w:val="1C0E12CD"/>
    <w:rsid w:val="1C1D6431"/>
    <w:rsid w:val="1C235B06"/>
    <w:rsid w:val="1C3C0819"/>
    <w:rsid w:val="1C430560"/>
    <w:rsid w:val="1C53075B"/>
    <w:rsid w:val="1C5A6A79"/>
    <w:rsid w:val="1C603202"/>
    <w:rsid w:val="1C6F087E"/>
    <w:rsid w:val="1C773931"/>
    <w:rsid w:val="1C833CEC"/>
    <w:rsid w:val="1C9A0200"/>
    <w:rsid w:val="1C9D42AD"/>
    <w:rsid w:val="1CC97334"/>
    <w:rsid w:val="1CCA416D"/>
    <w:rsid w:val="1CCE5055"/>
    <w:rsid w:val="1CD41490"/>
    <w:rsid w:val="1CD529D6"/>
    <w:rsid w:val="1CD55889"/>
    <w:rsid w:val="1CD7399F"/>
    <w:rsid w:val="1CE234E1"/>
    <w:rsid w:val="1CF911FC"/>
    <w:rsid w:val="1CFB1AE4"/>
    <w:rsid w:val="1CFC27DE"/>
    <w:rsid w:val="1D0728D9"/>
    <w:rsid w:val="1D144EE9"/>
    <w:rsid w:val="1D2337D2"/>
    <w:rsid w:val="1D333490"/>
    <w:rsid w:val="1D3D3630"/>
    <w:rsid w:val="1D455FFF"/>
    <w:rsid w:val="1D4E75D8"/>
    <w:rsid w:val="1D66325F"/>
    <w:rsid w:val="1D6A3726"/>
    <w:rsid w:val="1D6B6CDD"/>
    <w:rsid w:val="1D6E6635"/>
    <w:rsid w:val="1D880BAD"/>
    <w:rsid w:val="1D8A4255"/>
    <w:rsid w:val="1D981F4A"/>
    <w:rsid w:val="1DAA109D"/>
    <w:rsid w:val="1DB7139E"/>
    <w:rsid w:val="1DB77785"/>
    <w:rsid w:val="1DEB6607"/>
    <w:rsid w:val="1DED007E"/>
    <w:rsid w:val="1DF44D5F"/>
    <w:rsid w:val="1DFB6F14"/>
    <w:rsid w:val="1DFF037D"/>
    <w:rsid w:val="1E0E62D5"/>
    <w:rsid w:val="1E1461A1"/>
    <w:rsid w:val="1E257AFB"/>
    <w:rsid w:val="1E2B0D69"/>
    <w:rsid w:val="1E325CD0"/>
    <w:rsid w:val="1E3D5FF1"/>
    <w:rsid w:val="1E4120E4"/>
    <w:rsid w:val="1E427EF8"/>
    <w:rsid w:val="1E442233"/>
    <w:rsid w:val="1E47773B"/>
    <w:rsid w:val="1E4B6E86"/>
    <w:rsid w:val="1E66693F"/>
    <w:rsid w:val="1E666963"/>
    <w:rsid w:val="1E6A5C3E"/>
    <w:rsid w:val="1E6C0281"/>
    <w:rsid w:val="1E7D2121"/>
    <w:rsid w:val="1E7D6731"/>
    <w:rsid w:val="1E9C38DD"/>
    <w:rsid w:val="1EA73811"/>
    <w:rsid w:val="1EC26F37"/>
    <w:rsid w:val="1ECD5DAD"/>
    <w:rsid w:val="1EEB4F2C"/>
    <w:rsid w:val="1F0539AE"/>
    <w:rsid w:val="1F064E04"/>
    <w:rsid w:val="1F0C1FAA"/>
    <w:rsid w:val="1F2C3372"/>
    <w:rsid w:val="1F3C7323"/>
    <w:rsid w:val="1F466B76"/>
    <w:rsid w:val="1F523848"/>
    <w:rsid w:val="1F537079"/>
    <w:rsid w:val="1F646F20"/>
    <w:rsid w:val="1F670BC7"/>
    <w:rsid w:val="1F7D50C8"/>
    <w:rsid w:val="1F8437BF"/>
    <w:rsid w:val="1F893367"/>
    <w:rsid w:val="1FBB33C8"/>
    <w:rsid w:val="1FCB3375"/>
    <w:rsid w:val="1FCF7D40"/>
    <w:rsid w:val="1FE1546E"/>
    <w:rsid w:val="1FE173B4"/>
    <w:rsid w:val="1FE72E58"/>
    <w:rsid w:val="1FE84661"/>
    <w:rsid w:val="1FF96B67"/>
    <w:rsid w:val="1FFE0C52"/>
    <w:rsid w:val="1FFF5569"/>
    <w:rsid w:val="200667A3"/>
    <w:rsid w:val="20091016"/>
    <w:rsid w:val="2011665A"/>
    <w:rsid w:val="20173A7C"/>
    <w:rsid w:val="20221006"/>
    <w:rsid w:val="202C7224"/>
    <w:rsid w:val="20340396"/>
    <w:rsid w:val="203B1607"/>
    <w:rsid w:val="20463FA2"/>
    <w:rsid w:val="205B0D79"/>
    <w:rsid w:val="20605AB1"/>
    <w:rsid w:val="206B77FC"/>
    <w:rsid w:val="206F131D"/>
    <w:rsid w:val="20716D61"/>
    <w:rsid w:val="20744B1F"/>
    <w:rsid w:val="20783813"/>
    <w:rsid w:val="207E3970"/>
    <w:rsid w:val="207F489C"/>
    <w:rsid w:val="207F708D"/>
    <w:rsid w:val="207F7AB0"/>
    <w:rsid w:val="208F377A"/>
    <w:rsid w:val="209A2DF3"/>
    <w:rsid w:val="209D4A7E"/>
    <w:rsid w:val="20A33D97"/>
    <w:rsid w:val="20A35CCE"/>
    <w:rsid w:val="20AD5ED0"/>
    <w:rsid w:val="20C775AB"/>
    <w:rsid w:val="20CA6769"/>
    <w:rsid w:val="20D31D4B"/>
    <w:rsid w:val="20D3408B"/>
    <w:rsid w:val="20E21D0B"/>
    <w:rsid w:val="20F25F2A"/>
    <w:rsid w:val="20F27184"/>
    <w:rsid w:val="2104345E"/>
    <w:rsid w:val="210C5E5C"/>
    <w:rsid w:val="21107834"/>
    <w:rsid w:val="212242DC"/>
    <w:rsid w:val="212F5EEF"/>
    <w:rsid w:val="213312CF"/>
    <w:rsid w:val="213A4AC2"/>
    <w:rsid w:val="213F6A96"/>
    <w:rsid w:val="21597468"/>
    <w:rsid w:val="21646527"/>
    <w:rsid w:val="21681B46"/>
    <w:rsid w:val="21690796"/>
    <w:rsid w:val="21792A06"/>
    <w:rsid w:val="218738BE"/>
    <w:rsid w:val="21943431"/>
    <w:rsid w:val="21A63E0D"/>
    <w:rsid w:val="21B21339"/>
    <w:rsid w:val="21B50122"/>
    <w:rsid w:val="21BF20AD"/>
    <w:rsid w:val="21C43928"/>
    <w:rsid w:val="21CE2BCB"/>
    <w:rsid w:val="21D53555"/>
    <w:rsid w:val="21DF775E"/>
    <w:rsid w:val="21E51DCA"/>
    <w:rsid w:val="21F330F9"/>
    <w:rsid w:val="21F54B2B"/>
    <w:rsid w:val="21FF7FCA"/>
    <w:rsid w:val="22235E02"/>
    <w:rsid w:val="22311301"/>
    <w:rsid w:val="22363BF6"/>
    <w:rsid w:val="225141C5"/>
    <w:rsid w:val="225C5B53"/>
    <w:rsid w:val="22610BB2"/>
    <w:rsid w:val="22621B03"/>
    <w:rsid w:val="22653B91"/>
    <w:rsid w:val="226E1DB7"/>
    <w:rsid w:val="2288300B"/>
    <w:rsid w:val="228C2437"/>
    <w:rsid w:val="228D10CA"/>
    <w:rsid w:val="228F4682"/>
    <w:rsid w:val="229647F4"/>
    <w:rsid w:val="22992A05"/>
    <w:rsid w:val="229A392B"/>
    <w:rsid w:val="22AA70CA"/>
    <w:rsid w:val="22AE4D76"/>
    <w:rsid w:val="22B067DE"/>
    <w:rsid w:val="22B62749"/>
    <w:rsid w:val="22BD1F25"/>
    <w:rsid w:val="22C2794B"/>
    <w:rsid w:val="2309447D"/>
    <w:rsid w:val="232C638A"/>
    <w:rsid w:val="23316D4C"/>
    <w:rsid w:val="23333E33"/>
    <w:rsid w:val="235179D2"/>
    <w:rsid w:val="235244E4"/>
    <w:rsid w:val="23585C4E"/>
    <w:rsid w:val="236139D1"/>
    <w:rsid w:val="23677CFF"/>
    <w:rsid w:val="236A7EFE"/>
    <w:rsid w:val="23765811"/>
    <w:rsid w:val="237C139C"/>
    <w:rsid w:val="23805685"/>
    <w:rsid w:val="23880F1A"/>
    <w:rsid w:val="23937E7D"/>
    <w:rsid w:val="23963E7D"/>
    <w:rsid w:val="239F3F41"/>
    <w:rsid w:val="23A43F46"/>
    <w:rsid w:val="23AA06F1"/>
    <w:rsid w:val="23AE6D9F"/>
    <w:rsid w:val="23BA6588"/>
    <w:rsid w:val="23C70C48"/>
    <w:rsid w:val="23DC635E"/>
    <w:rsid w:val="23DF7B59"/>
    <w:rsid w:val="23E57F46"/>
    <w:rsid w:val="23FD7AAC"/>
    <w:rsid w:val="23FE6371"/>
    <w:rsid w:val="240E3A82"/>
    <w:rsid w:val="24122665"/>
    <w:rsid w:val="24136143"/>
    <w:rsid w:val="2421320E"/>
    <w:rsid w:val="24265EE0"/>
    <w:rsid w:val="24460324"/>
    <w:rsid w:val="244D215E"/>
    <w:rsid w:val="244F513F"/>
    <w:rsid w:val="245C052F"/>
    <w:rsid w:val="24623B3C"/>
    <w:rsid w:val="246476D4"/>
    <w:rsid w:val="246C47E6"/>
    <w:rsid w:val="247864F0"/>
    <w:rsid w:val="248879F4"/>
    <w:rsid w:val="24A658BD"/>
    <w:rsid w:val="24A97FDF"/>
    <w:rsid w:val="24B3389C"/>
    <w:rsid w:val="24B73336"/>
    <w:rsid w:val="24B83235"/>
    <w:rsid w:val="24BC01CD"/>
    <w:rsid w:val="24C25CD7"/>
    <w:rsid w:val="24C704B8"/>
    <w:rsid w:val="24D73DEE"/>
    <w:rsid w:val="24D83FDA"/>
    <w:rsid w:val="24D924BF"/>
    <w:rsid w:val="24D96D65"/>
    <w:rsid w:val="24E04C2E"/>
    <w:rsid w:val="24E557F1"/>
    <w:rsid w:val="24E73CF4"/>
    <w:rsid w:val="24F04BFE"/>
    <w:rsid w:val="24F665BB"/>
    <w:rsid w:val="24FF15B0"/>
    <w:rsid w:val="250A1876"/>
    <w:rsid w:val="251740F1"/>
    <w:rsid w:val="251A7DE6"/>
    <w:rsid w:val="251B2825"/>
    <w:rsid w:val="252F4BDE"/>
    <w:rsid w:val="25320B32"/>
    <w:rsid w:val="2536338E"/>
    <w:rsid w:val="2540673E"/>
    <w:rsid w:val="254244CF"/>
    <w:rsid w:val="25452366"/>
    <w:rsid w:val="2561211D"/>
    <w:rsid w:val="256E5D87"/>
    <w:rsid w:val="257170F5"/>
    <w:rsid w:val="2572559B"/>
    <w:rsid w:val="2574615E"/>
    <w:rsid w:val="25786F01"/>
    <w:rsid w:val="25796819"/>
    <w:rsid w:val="258917A9"/>
    <w:rsid w:val="258E033F"/>
    <w:rsid w:val="258F5321"/>
    <w:rsid w:val="259B1C5A"/>
    <w:rsid w:val="25A82154"/>
    <w:rsid w:val="25EB71C9"/>
    <w:rsid w:val="25F075C9"/>
    <w:rsid w:val="25F445F3"/>
    <w:rsid w:val="25FC0D01"/>
    <w:rsid w:val="25FC1269"/>
    <w:rsid w:val="25FC379C"/>
    <w:rsid w:val="2608337D"/>
    <w:rsid w:val="260C06F0"/>
    <w:rsid w:val="26137A1C"/>
    <w:rsid w:val="26193909"/>
    <w:rsid w:val="2620433E"/>
    <w:rsid w:val="26332332"/>
    <w:rsid w:val="26494FF9"/>
    <w:rsid w:val="26670BFF"/>
    <w:rsid w:val="26741D11"/>
    <w:rsid w:val="268018BD"/>
    <w:rsid w:val="26823191"/>
    <w:rsid w:val="26916AA0"/>
    <w:rsid w:val="2699178D"/>
    <w:rsid w:val="269D5137"/>
    <w:rsid w:val="26AA603E"/>
    <w:rsid w:val="26AE1BDD"/>
    <w:rsid w:val="26B720EC"/>
    <w:rsid w:val="26BD3A0A"/>
    <w:rsid w:val="26BE70D6"/>
    <w:rsid w:val="26C21027"/>
    <w:rsid w:val="26C301BC"/>
    <w:rsid w:val="26C570C7"/>
    <w:rsid w:val="26D126E2"/>
    <w:rsid w:val="26D424C1"/>
    <w:rsid w:val="26D64ACC"/>
    <w:rsid w:val="26E404F8"/>
    <w:rsid w:val="26E81C8F"/>
    <w:rsid w:val="26F02D0C"/>
    <w:rsid w:val="26F42BCA"/>
    <w:rsid w:val="26F432CE"/>
    <w:rsid w:val="26FA561F"/>
    <w:rsid w:val="26FD226B"/>
    <w:rsid w:val="27006B49"/>
    <w:rsid w:val="271D4C1A"/>
    <w:rsid w:val="27261DCC"/>
    <w:rsid w:val="273403EF"/>
    <w:rsid w:val="27367DFA"/>
    <w:rsid w:val="273C2CA3"/>
    <w:rsid w:val="27461C79"/>
    <w:rsid w:val="274C5259"/>
    <w:rsid w:val="27723723"/>
    <w:rsid w:val="277371F3"/>
    <w:rsid w:val="278E79B1"/>
    <w:rsid w:val="2792499E"/>
    <w:rsid w:val="27AC7CC9"/>
    <w:rsid w:val="27BD70A3"/>
    <w:rsid w:val="27C339C1"/>
    <w:rsid w:val="27C51152"/>
    <w:rsid w:val="27DA1F41"/>
    <w:rsid w:val="27FF18AA"/>
    <w:rsid w:val="282460C8"/>
    <w:rsid w:val="283724FB"/>
    <w:rsid w:val="283C2D12"/>
    <w:rsid w:val="283C4C22"/>
    <w:rsid w:val="283D6F7F"/>
    <w:rsid w:val="284171EC"/>
    <w:rsid w:val="284746D8"/>
    <w:rsid w:val="28480CA9"/>
    <w:rsid w:val="285823F3"/>
    <w:rsid w:val="28620E5B"/>
    <w:rsid w:val="286B4689"/>
    <w:rsid w:val="286B761B"/>
    <w:rsid w:val="286D3C09"/>
    <w:rsid w:val="286D479A"/>
    <w:rsid w:val="287D21B8"/>
    <w:rsid w:val="28900E03"/>
    <w:rsid w:val="289F2164"/>
    <w:rsid w:val="28A50C69"/>
    <w:rsid w:val="28A6664E"/>
    <w:rsid w:val="28B12835"/>
    <w:rsid w:val="28B60026"/>
    <w:rsid w:val="28C37A51"/>
    <w:rsid w:val="28C52677"/>
    <w:rsid w:val="28E2571E"/>
    <w:rsid w:val="28EB753A"/>
    <w:rsid w:val="28FD0A70"/>
    <w:rsid w:val="29027E9A"/>
    <w:rsid w:val="29246A4E"/>
    <w:rsid w:val="2928780E"/>
    <w:rsid w:val="29290E7A"/>
    <w:rsid w:val="29350CD3"/>
    <w:rsid w:val="2946796B"/>
    <w:rsid w:val="29471828"/>
    <w:rsid w:val="294C406C"/>
    <w:rsid w:val="295735E3"/>
    <w:rsid w:val="29682591"/>
    <w:rsid w:val="29720728"/>
    <w:rsid w:val="29752F48"/>
    <w:rsid w:val="29784CA5"/>
    <w:rsid w:val="29951987"/>
    <w:rsid w:val="299627B0"/>
    <w:rsid w:val="29B80C93"/>
    <w:rsid w:val="29BB20D2"/>
    <w:rsid w:val="29CB54B3"/>
    <w:rsid w:val="29D44C7C"/>
    <w:rsid w:val="29D62BAC"/>
    <w:rsid w:val="29E737EC"/>
    <w:rsid w:val="29EB4B13"/>
    <w:rsid w:val="29EF10EA"/>
    <w:rsid w:val="29F33C34"/>
    <w:rsid w:val="29F53B6E"/>
    <w:rsid w:val="29F673EB"/>
    <w:rsid w:val="29F86FE9"/>
    <w:rsid w:val="2A0D0DCB"/>
    <w:rsid w:val="2A1536D4"/>
    <w:rsid w:val="2A2D5074"/>
    <w:rsid w:val="2A2F43A2"/>
    <w:rsid w:val="2A3219F2"/>
    <w:rsid w:val="2A380298"/>
    <w:rsid w:val="2A4275E9"/>
    <w:rsid w:val="2A5A01C8"/>
    <w:rsid w:val="2A5F0180"/>
    <w:rsid w:val="2A626749"/>
    <w:rsid w:val="2A751940"/>
    <w:rsid w:val="2A7B46E1"/>
    <w:rsid w:val="2A886FA9"/>
    <w:rsid w:val="2A892F68"/>
    <w:rsid w:val="2A9013A0"/>
    <w:rsid w:val="2A972D26"/>
    <w:rsid w:val="2AAB7E71"/>
    <w:rsid w:val="2AB07D26"/>
    <w:rsid w:val="2AB95435"/>
    <w:rsid w:val="2ABF511A"/>
    <w:rsid w:val="2AC64A60"/>
    <w:rsid w:val="2ACB35A7"/>
    <w:rsid w:val="2ACB51B1"/>
    <w:rsid w:val="2AD7081C"/>
    <w:rsid w:val="2AE60CC4"/>
    <w:rsid w:val="2AE64E03"/>
    <w:rsid w:val="2AEE0C55"/>
    <w:rsid w:val="2AF67E60"/>
    <w:rsid w:val="2AFC5EDB"/>
    <w:rsid w:val="2B072B25"/>
    <w:rsid w:val="2B0F1AB8"/>
    <w:rsid w:val="2B0F741A"/>
    <w:rsid w:val="2B184A8C"/>
    <w:rsid w:val="2B1B64A2"/>
    <w:rsid w:val="2B257C06"/>
    <w:rsid w:val="2B3071F0"/>
    <w:rsid w:val="2B483308"/>
    <w:rsid w:val="2B4C53EF"/>
    <w:rsid w:val="2B4C7234"/>
    <w:rsid w:val="2B4D0FF2"/>
    <w:rsid w:val="2B8E4D6B"/>
    <w:rsid w:val="2B9110B5"/>
    <w:rsid w:val="2BA766D7"/>
    <w:rsid w:val="2BBC2549"/>
    <w:rsid w:val="2BCD12A8"/>
    <w:rsid w:val="2BD87FDC"/>
    <w:rsid w:val="2BEC31F5"/>
    <w:rsid w:val="2BF6796D"/>
    <w:rsid w:val="2C085CD5"/>
    <w:rsid w:val="2C3447FB"/>
    <w:rsid w:val="2C3B13EC"/>
    <w:rsid w:val="2C4675D2"/>
    <w:rsid w:val="2C4802E9"/>
    <w:rsid w:val="2C4D6A84"/>
    <w:rsid w:val="2C5033C5"/>
    <w:rsid w:val="2C5C6A3E"/>
    <w:rsid w:val="2C6115AA"/>
    <w:rsid w:val="2C757BAF"/>
    <w:rsid w:val="2C8112CD"/>
    <w:rsid w:val="2C8606C5"/>
    <w:rsid w:val="2C8C2E69"/>
    <w:rsid w:val="2C974E3D"/>
    <w:rsid w:val="2CA64226"/>
    <w:rsid w:val="2CB51817"/>
    <w:rsid w:val="2CBA7749"/>
    <w:rsid w:val="2CC604EE"/>
    <w:rsid w:val="2CCD3E7A"/>
    <w:rsid w:val="2CE32757"/>
    <w:rsid w:val="2CE96801"/>
    <w:rsid w:val="2CF82B61"/>
    <w:rsid w:val="2D045EF4"/>
    <w:rsid w:val="2D07338F"/>
    <w:rsid w:val="2D153D9F"/>
    <w:rsid w:val="2D1A45C7"/>
    <w:rsid w:val="2D2559DB"/>
    <w:rsid w:val="2D2B6658"/>
    <w:rsid w:val="2D300752"/>
    <w:rsid w:val="2D3F77BD"/>
    <w:rsid w:val="2D4428E4"/>
    <w:rsid w:val="2D456BD0"/>
    <w:rsid w:val="2D4853DB"/>
    <w:rsid w:val="2D4F4856"/>
    <w:rsid w:val="2D517EF1"/>
    <w:rsid w:val="2D6A272F"/>
    <w:rsid w:val="2D705D7D"/>
    <w:rsid w:val="2D793ADD"/>
    <w:rsid w:val="2D817BAC"/>
    <w:rsid w:val="2D9944A5"/>
    <w:rsid w:val="2D9D6641"/>
    <w:rsid w:val="2DA32F53"/>
    <w:rsid w:val="2DB7523E"/>
    <w:rsid w:val="2DB93477"/>
    <w:rsid w:val="2DC135D6"/>
    <w:rsid w:val="2DC70191"/>
    <w:rsid w:val="2DE80C8F"/>
    <w:rsid w:val="2DE9481A"/>
    <w:rsid w:val="2DF65048"/>
    <w:rsid w:val="2DFB7F25"/>
    <w:rsid w:val="2E075FE1"/>
    <w:rsid w:val="2E165AF5"/>
    <w:rsid w:val="2E165B2D"/>
    <w:rsid w:val="2E432BEA"/>
    <w:rsid w:val="2E4B147B"/>
    <w:rsid w:val="2E5A7FA8"/>
    <w:rsid w:val="2E643706"/>
    <w:rsid w:val="2E850541"/>
    <w:rsid w:val="2E8D48D6"/>
    <w:rsid w:val="2E94773C"/>
    <w:rsid w:val="2E9C69DA"/>
    <w:rsid w:val="2EAC02D1"/>
    <w:rsid w:val="2EAD2FA4"/>
    <w:rsid w:val="2EC926E5"/>
    <w:rsid w:val="2ECA223E"/>
    <w:rsid w:val="2ED01640"/>
    <w:rsid w:val="2ED131F5"/>
    <w:rsid w:val="2ED31759"/>
    <w:rsid w:val="2ED7364E"/>
    <w:rsid w:val="2ED7730B"/>
    <w:rsid w:val="2ED91534"/>
    <w:rsid w:val="2EDA313F"/>
    <w:rsid w:val="2EDF0557"/>
    <w:rsid w:val="2EE55DCF"/>
    <w:rsid w:val="2EE84ED3"/>
    <w:rsid w:val="2EF407FA"/>
    <w:rsid w:val="2EFE25C9"/>
    <w:rsid w:val="2F047E61"/>
    <w:rsid w:val="2F062134"/>
    <w:rsid w:val="2F21289E"/>
    <w:rsid w:val="2F2B541D"/>
    <w:rsid w:val="2F2D2589"/>
    <w:rsid w:val="2F3C17C9"/>
    <w:rsid w:val="2F4B7A09"/>
    <w:rsid w:val="2F535035"/>
    <w:rsid w:val="2F5C52A7"/>
    <w:rsid w:val="2F6153BE"/>
    <w:rsid w:val="2F6E3DA9"/>
    <w:rsid w:val="2F7F29BF"/>
    <w:rsid w:val="2F80427B"/>
    <w:rsid w:val="2F8507EF"/>
    <w:rsid w:val="2F856B37"/>
    <w:rsid w:val="2F8B57BC"/>
    <w:rsid w:val="2F912F13"/>
    <w:rsid w:val="2F9B5EAE"/>
    <w:rsid w:val="2F9B727E"/>
    <w:rsid w:val="2FA47C3C"/>
    <w:rsid w:val="2FB332A2"/>
    <w:rsid w:val="2FC37071"/>
    <w:rsid w:val="2FD54D42"/>
    <w:rsid w:val="2FE2337B"/>
    <w:rsid w:val="2FE56ABC"/>
    <w:rsid w:val="2FE8569A"/>
    <w:rsid w:val="2FF40230"/>
    <w:rsid w:val="30087F8A"/>
    <w:rsid w:val="300F5E35"/>
    <w:rsid w:val="301372C5"/>
    <w:rsid w:val="30137CD2"/>
    <w:rsid w:val="301402E3"/>
    <w:rsid w:val="302D1BC9"/>
    <w:rsid w:val="302D2653"/>
    <w:rsid w:val="302E1A0C"/>
    <w:rsid w:val="30315A18"/>
    <w:rsid w:val="303B1F0D"/>
    <w:rsid w:val="305271D0"/>
    <w:rsid w:val="306141A7"/>
    <w:rsid w:val="306325FC"/>
    <w:rsid w:val="306705BC"/>
    <w:rsid w:val="307978F1"/>
    <w:rsid w:val="307B2B56"/>
    <w:rsid w:val="30834118"/>
    <w:rsid w:val="3085696D"/>
    <w:rsid w:val="308C4C8C"/>
    <w:rsid w:val="309552CE"/>
    <w:rsid w:val="30A14448"/>
    <w:rsid w:val="30A74CF4"/>
    <w:rsid w:val="30B64B64"/>
    <w:rsid w:val="30D77936"/>
    <w:rsid w:val="30DB4654"/>
    <w:rsid w:val="30E97274"/>
    <w:rsid w:val="31121DE6"/>
    <w:rsid w:val="31145B81"/>
    <w:rsid w:val="31447995"/>
    <w:rsid w:val="314F4716"/>
    <w:rsid w:val="31602671"/>
    <w:rsid w:val="316D4749"/>
    <w:rsid w:val="316E0DEF"/>
    <w:rsid w:val="31732AA8"/>
    <w:rsid w:val="31793EC1"/>
    <w:rsid w:val="31933B56"/>
    <w:rsid w:val="31994AAE"/>
    <w:rsid w:val="319C7E5F"/>
    <w:rsid w:val="31C20566"/>
    <w:rsid w:val="31C55D66"/>
    <w:rsid w:val="31CE0B26"/>
    <w:rsid w:val="31CF586F"/>
    <w:rsid w:val="31F242FB"/>
    <w:rsid w:val="31F82192"/>
    <w:rsid w:val="31FB0E44"/>
    <w:rsid w:val="32025E0E"/>
    <w:rsid w:val="32031EA3"/>
    <w:rsid w:val="321C166B"/>
    <w:rsid w:val="3226235E"/>
    <w:rsid w:val="32340365"/>
    <w:rsid w:val="325E1D57"/>
    <w:rsid w:val="32690E99"/>
    <w:rsid w:val="32805979"/>
    <w:rsid w:val="328C592B"/>
    <w:rsid w:val="328E6353"/>
    <w:rsid w:val="328F3027"/>
    <w:rsid w:val="32966943"/>
    <w:rsid w:val="32993299"/>
    <w:rsid w:val="32A711CC"/>
    <w:rsid w:val="32B53B7E"/>
    <w:rsid w:val="32DF63CF"/>
    <w:rsid w:val="32E66065"/>
    <w:rsid w:val="32EB37C8"/>
    <w:rsid w:val="32EB650F"/>
    <w:rsid w:val="32FD7393"/>
    <w:rsid w:val="32FE69A5"/>
    <w:rsid w:val="330A473C"/>
    <w:rsid w:val="331160AA"/>
    <w:rsid w:val="33122D8D"/>
    <w:rsid w:val="333F583E"/>
    <w:rsid w:val="33436432"/>
    <w:rsid w:val="335D23DB"/>
    <w:rsid w:val="335E2E5C"/>
    <w:rsid w:val="33691529"/>
    <w:rsid w:val="3384007B"/>
    <w:rsid w:val="33870E7A"/>
    <w:rsid w:val="339527DE"/>
    <w:rsid w:val="33952FEB"/>
    <w:rsid w:val="33963F73"/>
    <w:rsid w:val="3399211D"/>
    <w:rsid w:val="33A34B5F"/>
    <w:rsid w:val="33A764C0"/>
    <w:rsid w:val="33AA4319"/>
    <w:rsid w:val="33AB1D28"/>
    <w:rsid w:val="33AE0918"/>
    <w:rsid w:val="33C17031"/>
    <w:rsid w:val="33CA093B"/>
    <w:rsid w:val="33CA3353"/>
    <w:rsid w:val="33CF2DA5"/>
    <w:rsid w:val="33CF4144"/>
    <w:rsid w:val="33EB7443"/>
    <w:rsid w:val="33EF796A"/>
    <w:rsid w:val="33FE12EE"/>
    <w:rsid w:val="340041AD"/>
    <w:rsid w:val="34054358"/>
    <w:rsid w:val="34125129"/>
    <w:rsid w:val="3417608E"/>
    <w:rsid w:val="342676D5"/>
    <w:rsid w:val="342E7F12"/>
    <w:rsid w:val="343955F4"/>
    <w:rsid w:val="343E7569"/>
    <w:rsid w:val="34453764"/>
    <w:rsid w:val="34486676"/>
    <w:rsid w:val="34496D65"/>
    <w:rsid w:val="34525525"/>
    <w:rsid w:val="345459E1"/>
    <w:rsid w:val="345D38BB"/>
    <w:rsid w:val="345F23C7"/>
    <w:rsid w:val="346976B5"/>
    <w:rsid w:val="346B7A56"/>
    <w:rsid w:val="346B7F37"/>
    <w:rsid w:val="346F0428"/>
    <w:rsid w:val="346F149A"/>
    <w:rsid w:val="34787DE8"/>
    <w:rsid w:val="348C2473"/>
    <w:rsid w:val="348E0257"/>
    <w:rsid w:val="349761AC"/>
    <w:rsid w:val="349A4031"/>
    <w:rsid w:val="34A94CBA"/>
    <w:rsid w:val="34B92F28"/>
    <w:rsid w:val="34C92603"/>
    <w:rsid w:val="34C97728"/>
    <w:rsid w:val="34E96992"/>
    <w:rsid w:val="35031EB5"/>
    <w:rsid w:val="35065DAF"/>
    <w:rsid w:val="350F0209"/>
    <w:rsid w:val="35255561"/>
    <w:rsid w:val="35271F67"/>
    <w:rsid w:val="35315FB3"/>
    <w:rsid w:val="35336DA5"/>
    <w:rsid w:val="35377526"/>
    <w:rsid w:val="353E7FAC"/>
    <w:rsid w:val="35460D78"/>
    <w:rsid w:val="354A7B78"/>
    <w:rsid w:val="3563326A"/>
    <w:rsid w:val="35674E9B"/>
    <w:rsid w:val="356A5F4A"/>
    <w:rsid w:val="3573514D"/>
    <w:rsid w:val="357A4371"/>
    <w:rsid w:val="3599112E"/>
    <w:rsid w:val="359F193A"/>
    <w:rsid w:val="35A546E7"/>
    <w:rsid w:val="35AC516F"/>
    <w:rsid w:val="35B53625"/>
    <w:rsid w:val="35B64918"/>
    <w:rsid w:val="35DE49C0"/>
    <w:rsid w:val="35E770C2"/>
    <w:rsid w:val="35FA7EA7"/>
    <w:rsid w:val="35FE59BE"/>
    <w:rsid w:val="35FF738E"/>
    <w:rsid w:val="360E374D"/>
    <w:rsid w:val="361415F1"/>
    <w:rsid w:val="361E3EB3"/>
    <w:rsid w:val="3627764E"/>
    <w:rsid w:val="363B291C"/>
    <w:rsid w:val="363E1F63"/>
    <w:rsid w:val="36656A69"/>
    <w:rsid w:val="367B6945"/>
    <w:rsid w:val="36833E32"/>
    <w:rsid w:val="36AF4939"/>
    <w:rsid w:val="36BC4C5C"/>
    <w:rsid w:val="36CC77DE"/>
    <w:rsid w:val="36D815C8"/>
    <w:rsid w:val="36D96B3F"/>
    <w:rsid w:val="36EF5365"/>
    <w:rsid w:val="36F61CFD"/>
    <w:rsid w:val="36FB06A5"/>
    <w:rsid w:val="37067CE4"/>
    <w:rsid w:val="370A4D9F"/>
    <w:rsid w:val="370C4E69"/>
    <w:rsid w:val="370F0B88"/>
    <w:rsid w:val="37173B4A"/>
    <w:rsid w:val="371C7D1F"/>
    <w:rsid w:val="37206D7C"/>
    <w:rsid w:val="37396855"/>
    <w:rsid w:val="373B2D40"/>
    <w:rsid w:val="374052D1"/>
    <w:rsid w:val="37446C18"/>
    <w:rsid w:val="37510ED7"/>
    <w:rsid w:val="375B421F"/>
    <w:rsid w:val="376149ED"/>
    <w:rsid w:val="37836674"/>
    <w:rsid w:val="37905AF3"/>
    <w:rsid w:val="37A34800"/>
    <w:rsid w:val="37B32DBA"/>
    <w:rsid w:val="37B700D7"/>
    <w:rsid w:val="37C52B48"/>
    <w:rsid w:val="37D60A9C"/>
    <w:rsid w:val="37E02280"/>
    <w:rsid w:val="38026202"/>
    <w:rsid w:val="3810724E"/>
    <w:rsid w:val="38134F81"/>
    <w:rsid w:val="38260CC5"/>
    <w:rsid w:val="3831599E"/>
    <w:rsid w:val="38321A04"/>
    <w:rsid w:val="383B1C65"/>
    <w:rsid w:val="38432588"/>
    <w:rsid w:val="384D705F"/>
    <w:rsid w:val="38521D81"/>
    <w:rsid w:val="38763982"/>
    <w:rsid w:val="38764896"/>
    <w:rsid w:val="388D632D"/>
    <w:rsid w:val="38962C73"/>
    <w:rsid w:val="389C2615"/>
    <w:rsid w:val="38AF2992"/>
    <w:rsid w:val="38B2041B"/>
    <w:rsid w:val="38B71EFA"/>
    <w:rsid w:val="38BE5259"/>
    <w:rsid w:val="38C05FA5"/>
    <w:rsid w:val="38CD3EED"/>
    <w:rsid w:val="38CE6665"/>
    <w:rsid w:val="38D924DC"/>
    <w:rsid w:val="38DE5618"/>
    <w:rsid w:val="38DF1F43"/>
    <w:rsid w:val="390231D6"/>
    <w:rsid w:val="390339EB"/>
    <w:rsid w:val="39087A0E"/>
    <w:rsid w:val="3911037B"/>
    <w:rsid w:val="391845C2"/>
    <w:rsid w:val="391A2BFF"/>
    <w:rsid w:val="3920348F"/>
    <w:rsid w:val="39216679"/>
    <w:rsid w:val="393C3D4A"/>
    <w:rsid w:val="393E70C1"/>
    <w:rsid w:val="3946789C"/>
    <w:rsid w:val="39565AB7"/>
    <w:rsid w:val="39664EBD"/>
    <w:rsid w:val="39873AE5"/>
    <w:rsid w:val="398B190D"/>
    <w:rsid w:val="398F2DE0"/>
    <w:rsid w:val="3998502D"/>
    <w:rsid w:val="39B10EE1"/>
    <w:rsid w:val="39C20286"/>
    <w:rsid w:val="39C814A5"/>
    <w:rsid w:val="39D66640"/>
    <w:rsid w:val="39E75AF4"/>
    <w:rsid w:val="39F05D75"/>
    <w:rsid w:val="3A0C4697"/>
    <w:rsid w:val="3A15094B"/>
    <w:rsid w:val="3A215240"/>
    <w:rsid w:val="3A2B27BF"/>
    <w:rsid w:val="3A3453FF"/>
    <w:rsid w:val="3A5C0A17"/>
    <w:rsid w:val="3A6C29AF"/>
    <w:rsid w:val="3A6E72F1"/>
    <w:rsid w:val="3A6F56DD"/>
    <w:rsid w:val="3A8248E0"/>
    <w:rsid w:val="3A85483E"/>
    <w:rsid w:val="3A9416E0"/>
    <w:rsid w:val="3A9427DE"/>
    <w:rsid w:val="3AB6680E"/>
    <w:rsid w:val="3AC079D9"/>
    <w:rsid w:val="3ACA267B"/>
    <w:rsid w:val="3AEA3146"/>
    <w:rsid w:val="3AF312DF"/>
    <w:rsid w:val="3AF76DD0"/>
    <w:rsid w:val="3AFF5689"/>
    <w:rsid w:val="3B051038"/>
    <w:rsid w:val="3B19074B"/>
    <w:rsid w:val="3B1A4475"/>
    <w:rsid w:val="3B1D07BC"/>
    <w:rsid w:val="3B275378"/>
    <w:rsid w:val="3B3374EA"/>
    <w:rsid w:val="3B351A21"/>
    <w:rsid w:val="3B431B6D"/>
    <w:rsid w:val="3B447872"/>
    <w:rsid w:val="3B474B41"/>
    <w:rsid w:val="3B713F58"/>
    <w:rsid w:val="3B8061D8"/>
    <w:rsid w:val="3B864034"/>
    <w:rsid w:val="3B867901"/>
    <w:rsid w:val="3B8D4322"/>
    <w:rsid w:val="3B9508B7"/>
    <w:rsid w:val="3BAB4D8C"/>
    <w:rsid w:val="3BB24F39"/>
    <w:rsid w:val="3BB4428B"/>
    <w:rsid w:val="3BB83ED6"/>
    <w:rsid w:val="3BBB646C"/>
    <w:rsid w:val="3BCE13F3"/>
    <w:rsid w:val="3BD2350C"/>
    <w:rsid w:val="3BD27592"/>
    <w:rsid w:val="3BDD7B4D"/>
    <w:rsid w:val="3BE10ADB"/>
    <w:rsid w:val="3C071D01"/>
    <w:rsid w:val="3C116329"/>
    <w:rsid w:val="3C3F540A"/>
    <w:rsid w:val="3C403A18"/>
    <w:rsid w:val="3C463454"/>
    <w:rsid w:val="3C4C745A"/>
    <w:rsid w:val="3C517E10"/>
    <w:rsid w:val="3C563340"/>
    <w:rsid w:val="3C6C60D5"/>
    <w:rsid w:val="3C6D151A"/>
    <w:rsid w:val="3C7240BA"/>
    <w:rsid w:val="3C7F43A1"/>
    <w:rsid w:val="3C85583A"/>
    <w:rsid w:val="3C9446E6"/>
    <w:rsid w:val="3C9A2738"/>
    <w:rsid w:val="3CAC3E01"/>
    <w:rsid w:val="3CB20761"/>
    <w:rsid w:val="3CBF3F57"/>
    <w:rsid w:val="3CC41849"/>
    <w:rsid w:val="3CD80AF4"/>
    <w:rsid w:val="3CDF1FAA"/>
    <w:rsid w:val="3CDF7C5E"/>
    <w:rsid w:val="3CE4599F"/>
    <w:rsid w:val="3CFC0EF8"/>
    <w:rsid w:val="3D0868D2"/>
    <w:rsid w:val="3D1026F3"/>
    <w:rsid w:val="3D1443DF"/>
    <w:rsid w:val="3D1B24DB"/>
    <w:rsid w:val="3D2705FD"/>
    <w:rsid w:val="3D347B68"/>
    <w:rsid w:val="3D3D0898"/>
    <w:rsid w:val="3D65229C"/>
    <w:rsid w:val="3D6868A7"/>
    <w:rsid w:val="3D6B4D1E"/>
    <w:rsid w:val="3D6E542E"/>
    <w:rsid w:val="3D701BBF"/>
    <w:rsid w:val="3D732E38"/>
    <w:rsid w:val="3D7C0763"/>
    <w:rsid w:val="3D7D7AB7"/>
    <w:rsid w:val="3D8059E8"/>
    <w:rsid w:val="3D864261"/>
    <w:rsid w:val="3D8E6B88"/>
    <w:rsid w:val="3D900FF3"/>
    <w:rsid w:val="3DAB24C6"/>
    <w:rsid w:val="3DAD6CEC"/>
    <w:rsid w:val="3DB45E40"/>
    <w:rsid w:val="3DB561A7"/>
    <w:rsid w:val="3DBF231F"/>
    <w:rsid w:val="3DD749B0"/>
    <w:rsid w:val="3DE34716"/>
    <w:rsid w:val="3DE677F8"/>
    <w:rsid w:val="3DF011FF"/>
    <w:rsid w:val="3DF62B2F"/>
    <w:rsid w:val="3DF70442"/>
    <w:rsid w:val="3DF97221"/>
    <w:rsid w:val="3DFC3393"/>
    <w:rsid w:val="3E055DD2"/>
    <w:rsid w:val="3E0E08A5"/>
    <w:rsid w:val="3E12484E"/>
    <w:rsid w:val="3E354DA7"/>
    <w:rsid w:val="3E4416F2"/>
    <w:rsid w:val="3E4B4869"/>
    <w:rsid w:val="3E5049D6"/>
    <w:rsid w:val="3E5D4E6A"/>
    <w:rsid w:val="3E616370"/>
    <w:rsid w:val="3E6F122B"/>
    <w:rsid w:val="3E762961"/>
    <w:rsid w:val="3E7865FD"/>
    <w:rsid w:val="3E7C2662"/>
    <w:rsid w:val="3E7F0D7D"/>
    <w:rsid w:val="3E8339AD"/>
    <w:rsid w:val="3E880E32"/>
    <w:rsid w:val="3E932F50"/>
    <w:rsid w:val="3EA82911"/>
    <w:rsid w:val="3EAF22B6"/>
    <w:rsid w:val="3EC12CD1"/>
    <w:rsid w:val="3EC65777"/>
    <w:rsid w:val="3EC70F2C"/>
    <w:rsid w:val="3EC976D0"/>
    <w:rsid w:val="3ED62D6B"/>
    <w:rsid w:val="3ED91E49"/>
    <w:rsid w:val="3EE7066F"/>
    <w:rsid w:val="3EE86354"/>
    <w:rsid w:val="3EE932CB"/>
    <w:rsid w:val="3EF42C97"/>
    <w:rsid w:val="3F1F0DE2"/>
    <w:rsid w:val="3F24659E"/>
    <w:rsid w:val="3F2E2C76"/>
    <w:rsid w:val="3F387CC9"/>
    <w:rsid w:val="3F3B5C85"/>
    <w:rsid w:val="3F3E0088"/>
    <w:rsid w:val="3F4267FE"/>
    <w:rsid w:val="3F5E3C1F"/>
    <w:rsid w:val="3F632A17"/>
    <w:rsid w:val="3F6D3591"/>
    <w:rsid w:val="3F6E51CB"/>
    <w:rsid w:val="3F895D11"/>
    <w:rsid w:val="3FAB07BA"/>
    <w:rsid w:val="3FBF7E78"/>
    <w:rsid w:val="3FCC3599"/>
    <w:rsid w:val="3FF82F4E"/>
    <w:rsid w:val="3FFF5606"/>
    <w:rsid w:val="40006CAB"/>
    <w:rsid w:val="40085D42"/>
    <w:rsid w:val="400D2F08"/>
    <w:rsid w:val="400E7BAA"/>
    <w:rsid w:val="402216CE"/>
    <w:rsid w:val="402E562B"/>
    <w:rsid w:val="403C7936"/>
    <w:rsid w:val="4046343E"/>
    <w:rsid w:val="40463EAA"/>
    <w:rsid w:val="405007A0"/>
    <w:rsid w:val="4059229F"/>
    <w:rsid w:val="4061544C"/>
    <w:rsid w:val="40710710"/>
    <w:rsid w:val="4080748A"/>
    <w:rsid w:val="40906D11"/>
    <w:rsid w:val="40A92971"/>
    <w:rsid w:val="40AD68D8"/>
    <w:rsid w:val="40BA26A5"/>
    <w:rsid w:val="40C21951"/>
    <w:rsid w:val="40E07B02"/>
    <w:rsid w:val="40E42038"/>
    <w:rsid w:val="40F61FC7"/>
    <w:rsid w:val="410A06F9"/>
    <w:rsid w:val="4125037B"/>
    <w:rsid w:val="41302A26"/>
    <w:rsid w:val="413357D7"/>
    <w:rsid w:val="414000A1"/>
    <w:rsid w:val="41447D45"/>
    <w:rsid w:val="414632D5"/>
    <w:rsid w:val="41546457"/>
    <w:rsid w:val="415B522B"/>
    <w:rsid w:val="415D3556"/>
    <w:rsid w:val="416B11B3"/>
    <w:rsid w:val="416F1A8B"/>
    <w:rsid w:val="41783096"/>
    <w:rsid w:val="417D151C"/>
    <w:rsid w:val="41977304"/>
    <w:rsid w:val="41AA2097"/>
    <w:rsid w:val="41AB2EF7"/>
    <w:rsid w:val="41B26172"/>
    <w:rsid w:val="41BB60B2"/>
    <w:rsid w:val="41CD393D"/>
    <w:rsid w:val="41DF2AEE"/>
    <w:rsid w:val="41E44932"/>
    <w:rsid w:val="41E5132D"/>
    <w:rsid w:val="41E856F5"/>
    <w:rsid w:val="41F75BCF"/>
    <w:rsid w:val="41F949FB"/>
    <w:rsid w:val="4204332A"/>
    <w:rsid w:val="421355D0"/>
    <w:rsid w:val="421630C6"/>
    <w:rsid w:val="421A78E9"/>
    <w:rsid w:val="42292955"/>
    <w:rsid w:val="422B5E31"/>
    <w:rsid w:val="422F021F"/>
    <w:rsid w:val="42362818"/>
    <w:rsid w:val="42387AB5"/>
    <w:rsid w:val="423F73E4"/>
    <w:rsid w:val="4252595A"/>
    <w:rsid w:val="425B4AD4"/>
    <w:rsid w:val="426B2772"/>
    <w:rsid w:val="42722E6C"/>
    <w:rsid w:val="42802F5E"/>
    <w:rsid w:val="428A56AB"/>
    <w:rsid w:val="428D1727"/>
    <w:rsid w:val="429733C9"/>
    <w:rsid w:val="42AB26D5"/>
    <w:rsid w:val="42B24386"/>
    <w:rsid w:val="42BE3F0E"/>
    <w:rsid w:val="42E01754"/>
    <w:rsid w:val="42E725BA"/>
    <w:rsid w:val="42F7746B"/>
    <w:rsid w:val="430A61CD"/>
    <w:rsid w:val="430F2318"/>
    <w:rsid w:val="43137B2A"/>
    <w:rsid w:val="432039C0"/>
    <w:rsid w:val="43222B3F"/>
    <w:rsid w:val="432B49FB"/>
    <w:rsid w:val="433B32C6"/>
    <w:rsid w:val="434D3747"/>
    <w:rsid w:val="435B21CC"/>
    <w:rsid w:val="43712DAC"/>
    <w:rsid w:val="437472F1"/>
    <w:rsid w:val="4375701C"/>
    <w:rsid w:val="43794F13"/>
    <w:rsid w:val="437D0710"/>
    <w:rsid w:val="43826A74"/>
    <w:rsid w:val="43867B01"/>
    <w:rsid w:val="4389139C"/>
    <w:rsid w:val="439422E8"/>
    <w:rsid w:val="43B20B55"/>
    <w:rsid w:val="43B22635"/>
    <w:rsid w:val="43B96E8B"/>
    <w:rsid w:val="43CA5F63"/>
    <w:rsid w:val="43D639FB"/>
    <w:rsid w:val="43DC59FD"/>
    <w:rsid w:val="43E75FE0"/>
    <w:rsid w:val="44016A8B"/>
    <w:rsid w:val="4406027A"/>
    <w:rsid w:val="441B763D"/>
    <w:rsid w:val="441C56E0"/>
    <w:rsid w:val="443F0A8A"/>
    <w:rsid w:val="44483F56"/>
    <w:rsid w:val="444C0E2A"/>
    <w:rsid w:val="44567C06"/>
    <w:rsid w:val="446148C8"/>
    <w:rsid w:val="44703E7E"/>
    <w:rsid w:val="44750D89"/>
    <w:rsid w:val="447658EE"/>
    <w:rsid w:val="44825462"/>
    <w:rsid w:val="44867A3B"/>
    <w:rsid w:val="448B1B27"/>
    <w:rsid w:val="449E0E7E"/>
    <w:rsid w:val="44A47FA5"/>
    <w:rsid w:val="44AA5489"/>
    <w:rsid w:val="44AF7FEC"/>
    <w:rsid w:val="44B23F9C"/>
    <w:rsid w:val="44BB249D"/>
    <w:rsid w:val="44BE23C8"/>
    <w:rsid w:val="44C717D3"/>
    <w:rsid w:val="44DD7E5D"/>
    <w:rsid w:val="44E809CB"/>
    <w:rsid w:val="44FB0FE8"/>
    <w:rsid w:val="44FD48F2"/>
    <w:rsid w:val="44FD5F6B"/>
    <w:rsid w:val="450C3B52"/>
    <w:rsid w:val="450F1ADE"/>
    <w:rsid w:val="45103FCB"/>
    <w:rsid w:val="4512666F"/>
    <w:rsid w:val="452F4E9F"/>
    <w:rsid w:val="454E2200"/>
    <w:rsid w:val="45592D3B"/>
    <w:rsid w:val="45653303"/>
    <w:rsid w:val="456F6BCC"/>
    <w:rsid w:val="457E4D90"/>
    <w:rsid w:val="458075F4"/>
    <w:rsid w:val="45852FD0"/>
    <w:rsid w:val="458E7F08"/>
    <w:rsid w:val="45954005"/>
    <w:rsid w:val="459562CC"/>
    <w:rsid w:val="459F58DD"/>
    <w:rsid w:val="45AF0195"/>
    <w:rsid w:val="45B242B5"/>
    <w:rsid w:val="45B7168C"/>
    <w:rsid w:val="45BC5A0B"/>
    <w:rsid w:val="45C344D5"/>
    <w:rsid w:val="45C47475"/>
    <w:rsid w:val="45D00941"/>
    <w:rsid w:val="45E33D03"/>
    <w:rsid w:val="4600585F"/>
    <w:rsid w:val="460B21A4"/>
    <w:rsid w:val="461819AF"/>
    <w:rsid w:val="46205483"/>
    <w:rsid w:val="466F2AB3"/>
    <w:rsid w:val="46702580"/>
    <w:rsid w:val="46751144"/>
    <w:rsid w:val="46811A2B"/>
    <w:rsid w:val="46813D7A"/>
    <w:rsid w:val="46935C55"/>
    <w:rsid w:val="4694438B"/>
    <w:rsid w:val="469655D0"/>
    <w:rsid w:val="46C5378D"/>
    <w:rsid w:val="46CA0E0E"/>
    <w:rsid w:val="46D17A2C"/>
    <w:rsid w:val="46DA1B7B"/>
    <w:rsid w:val="470109B9"/>
    <w:rsid w:val="47044745"/>
    <w:rsid w:val="47067546"/>
    <w:rsid w:val="47146F90"/>
    <w:rsid w:val="4716385B"/>
    <w:rsid w:val="471727AA"/>
    <w:rsid w:val="47180F0E"/>
    <w:rsid w:val="47221F0B"/>
    <w:rsid w:val="472F01F2"/>
    <w:rsid w:val="4747665E"/>
    <w:rsid w:val="474801E9"/>
    <w:rsid w:val="477232C8"/>
    <w:rsid w:val="47831AE2"/>
    <w:rsid w:val="478C46CC"/>
    <w:rsid w:val="47975601"/>
    <w:rsid w:val="47A21AAD"/>
    <w:rsid w:val="47AF67A7"/>
    <w:rsid w:val="47B339B4"/>
    <w:rsid w:val="47B7082F"/>
    <w:rsid w:val="47B96233"/>
    <w:rsid w:val="47CB1091"/>
    <w:rsid w:val="47D163E6"/>
    <w:rsid w:val="48035F02"/>
    <w:rsid w:val="480C4274"/>
    <w:rsid w:val="48125C1B"/>
    <w:rsid w:val="48137B44"/>
    <w:rsid w:val="48166267"/>
    <w:rsid w:val="48274B95"/>
    <w:rsid w:val="482C728F"/>
    <w:rsid w:val="482E382D"/>
    <w:rsid w:val="482E73FE"/>
    <w:rsid w:val="484D1320"/>
    <w:rsid w:val="4851245B"/>
    <w:rsid w:val="485437F4"/>
    <w:rsid w:val="4860434A"/>
    <w:rsid w:val="48801E88"/>
    <w:rsid w:val="48901E81"/>
    <w:rsid w:val="48947E88"/>
    <w:rsid w:val="489F720C"/>
    <w:rsid w:val="48A43150"/>
    <w:rsid w:val="48A76320"/>
    <w:rsid w:val="48BE2FCA"/>
    <w:rsid w:val="48C46648"/>
    <w:rsid w:val="48CA09BB"/>
    <w:rsid w:val="48D908C8"/>
    <w:rsid w:val="48E1437A"/>
    <w:rsid w:val="48E84259"/>
    <w:rsid w:val="48EA020F"/>
    <w:rsid w:val="48EE1226"/>
    <w:rsid w:val="48EE632A"/>
    <w:rsid w:val="48F530E2"/>
    <w:rsid w:val="490010A1"/>
    <w:rsid w:val="49063DB8"/>
    <w:rsid w:val="490F137E"/>
    <w:rsid w:val="491415A3"/>
    <w:rsid w:val="491A0433"/>
    <w:rsid w:val="49214870"/>
    <w:rsid w:val="493537CF"/>
    <w:rsid w:val="49440595"/>
    <w:rsid w:val="49460D45"/>
    <w:rsid w:val="494D2E2B"/>
    <w:rsid w:val="49543F2B"/>
    <w:rsid w:val="496A0118"/>
    <w:rsid w:val="496C1B2D"/>
    <w:rsid w:val="496D0A73"/>
    <w:rsid w:val="4975661A"/>
    <w:rsid w:val="497F3154"/>
    <w:rsid w:val="49994C17"/>
    <w:rsid w:val="499C3073"/>
    <w:rsid w:val="49A03433"/>
    <w:rsid w:val="49A60906"/>
    <w:rsid w:val="49B36E01"/>
    <w:rsid w:val="49CE543F"/>
    <w:rsid w:val="49DD17E2"/>
    <w:rsid w:val="49EF5898"/>
    <w:rsid w:val="49F002D6"/>
    <w:rsid w:val="4A0B607D"/>
    <w:rsid w:val="4A0C5713"/>
    <w:rsid w:val="4A1D1F74"/>
    <w:rsid w:val="4A277391"/>
    <w:rsid w:val="4A38723F"/>
    <w:rsid w:val="4A3B3BB7"/>
    <w:rsid w:val="4A403575"/>
    <w:rsid w:val="4A463E86"/>
    <w:rsid w:val="4A550A7F"/>
    <w:rsid w:val="4A5E3788"/>
    <w:rsid w:val="4A74195A"/>
    <w:rsid w:val="4A7A3D76"/>
    <w:rsid w:val="4A8B6AB4"/>
    <w:rsid w:val="4A9045F3"/>
    <w:rsid w:val="4A94398F"/>
    <w:rsid w:val="4A9F3033"/>
    <w:rsid w:val="4AAE190E"/>
    <w:rsid w:val="4ABD5996"/>
    <w:rsid w:val="4ABE6AE7"/>
    <w:rsid w:val="4AC16ECC"/>
    <w:rsid w:val="4AE608F7"/>
    <w:rsid w:val="4AE70AB8"/>
    <w:rsid w:val="4AEA7740"/>
    <w:rsid w:val="4AF10837"/>
    <w:rsid w:val="4B1E4129"/>
    <w:rsid w:val="4B3C6ADB"/>
    <w:rsid w:val="4B7E595B"/>
    <w:rsid w:val="4B8214B5"/>
    <w:rsid w:val="4B841177"/>
    <w:rsid w:val="4B8A3766"/>
    <w:rsid w:val="4B9224A8"/>
    <w:rsid w:val="4B9239A9"/>
    <w:rsid w:val="4BA074AB"/>
    <w:rsid w:val="4BAF7B6B"/>
    <w:rsid w:val="4BB07602"/>
    <w:rsid w:val="4BBA6C74"/>
    <w:rsid w:val="4BCF184D"/>
    <w:rsid w:val="4BD21229"/>
    <w:rsid w:val="4BDD1BC4"/>
    <w:rsid w:val="4BE357B4"/>
    <w:rsid w:val="4BE707D5"/>
    <w:rsid w:val="4BF32BD8"/>
    <w:rsid w:val="4BFC1129"/>
    <w:rsid w:val="4C3772DD"/>
    <w:rsid w:val="4C421049"/>
    <w:rsid w:val="4C5411D7"/>
    <w:rsid w:val="4C546F81"/>
    <w:rsid w:val="4C564361"/>
    <w:rsid w:val="4C5904F7"/>
    <w:rsid w:val="4C637588"/>
    <w:rsid w:val="4C71350D"/>
    <w:rsid w:val="4C745B45"/>
    <w:rsid w:val="4C784CCD"/>
    <w:rsid w:val="4C9016CA"/>
    <w:rsid w:val="4C99363E"/>
    <w:rsid w:val="4C9C4F4D"/>
    <w:rsid w:val="4CA84FF4"/>
    <w:rsid w:val="4CA97945"/>
    <w:rsid w:val="4CB1467A"/>
    <w:rsid w:val="4CB15719"/>
    <w:rsid w:val="4CB46CD3"/>
    <w:rsid w:val="4CB66E89"/>
    <w:rsid w:val="4CB96723"/>
    <w:rsid w:val="4CC25C5B"/>
    <w:rsid w:val="4CD504F2"/>
    <w:rsid w:val="4CE4471C"/>
    <w:rsid w:val="4CEC3067"/>
    <w:rsid w:val="4CEE0AE1"/>
    <w:rsid w:val="4D007B58"/>
    <w:rsid w:val="4D1361BE"/>
    <w:rsid w:val="4D1B4C6F"/>
    <w:rsid w:val="4D1E41E9"/>
    <w:rsid w:val="4D201C12"/>
    <w:rsid w:val="4D2F2F30"/>
    <w:rsid w:val="4D342E5F"/>
    <w:rsid w:val="4D443D4F"/>
    <w:rsid w:val="4D4451B0"/>
    <w:rsid w:val="4D57706F"/>
    <w:rsid w:val="4D7C0AAB"/>
    <w:rsid w:val="4D82694B"/>
    <w:rsid w:val="4D826A23"/>
    <w:rsid w:val="4D866514"/>
    <w:rsid w:val="4D8C30FA"/>
    <w:rsid w:val="4D9172DC"/>
    <w:rsid w:val="4D9524C6"/>
    <w:rsid w:val="4D960495"/>
    <w:rsid w:val="4DC23EF0"/>
    <w:rsid w:val="4DE55F63"/>
    <w:rsid w:val="4E0015E2"/>
    <w:rsid w:val="4E003824"/>
    <w:rsid w:val="4E090D38"/>
    <w:rsid w:val="4E1A2AF8"/>
    <w:rsid w:val="4E3D3A48"/>
    <w:rsid w:val="4E3E44C6"/>
    <w:rsid w:val="4E4D246E"/>
    <w:rsid w:val="4E590E93"/>
    <w:rsid w:val="4E6C1D9C"/>
    <w:rsid w:val="4E6C29E2"/>
    <w:rsid w:val="4E9355D9"/>
    <w:rsid w:val="4E967425"/>
    <w:rsid w:val="4E9C6F38"/>
    <w:rsid w:val="4E9D6C5F"/>
    <w:rsid w:val="4E9D7DA5"/>
    <w:rsid w:val="4EA22D08"/>
    <w:rsid w:val="4EA41140"/>
    <w:rsid w:val="4EB51F0D"/>
    <w:rsid w:val="4ED065C7"/>
    <w:rsid w:val="4ED5774F"/>
    <w:rsid w:val="4ED60D0E"/>
    <w:rsid w:val="4EFD21B7"/>
    <w:rsid w:val="4F091EC4"/>
    <w:rsid w:val="4F150D57"/>
    <w:rsid w:val="4F230F6C"/>
    <w:rsid w:val="4F2406D3"/>
    <w:rsid w:val="4F285254"/>
    <w:rsid w:val="4F31790E"/>
    <w:rsid w:val="4F37204F"/>
    <w:rsid w:val="4F4779D0"/>
    <w:rsid w:val="4F53349D"/>
    <w:rsid w:val="4F5E0911"/>
    <w:rsid w:val="4F657135"/>
    <w:rsid w:val="4F6C7D95"/>
    <w:rsid w:val="4F7B7863"/>
    <w:rsid w:val="4F901718"/>
    <w:rsid w:val="4F952A3E"/>
    <w:rsid w:val="4F990AA9"/>
    <w:rsid w:val="4F9D5D96"/>
    <w:rsid w:val="4FA51A24"/>
    <w:rsid w:val="4FAC39B6"/>
    <w:rsid w:val="4FAE0540"/>
    <w:rsid w:val="4FB330D8"/>
    <w:rsid w:val="4FB3692D"/>
    <w:rsid w:val="4FB85C50"/>
    <w:rsid w:val="4FBC77EB"/>
    <w:rsid w:val="4FBD4AFA"/>
    <w:rsid w:val="4FF06E7C"/>
    <w:rsid w:val="4FF66BFB"/>
    <w:rsid w:val="50056583"/>
    <w:rsid w:val="50155A14"/>
    <w:rsid w:val="501C2FAD"/>
    <w:rsid w:val="50206576"/>
    <w:rsid w:val="50226EE4"/>
    <w:rsid w:val="5027767C"/>
    <w:rsid w:val="50303A7C"/>
    <w:rsid w:val="5031106F"/>
    <w:rsid w:val="50330E5C"/>
    <w:rsid w:val="50453781"/>
    <w:rsid w:val="504548C2"/>
    <w:rsid w:val="50652144"/>
    <w:rsid w:val="50713A7E"/>
    <w:rsid w:val="507B3FD2"/>
    <w:rsid w:val="507D3CAB"/>
    <w:rsid w:val="508E0C77"/>
    <w:rsid w:val="508F7F34"/>
    <w:rsid w:val="50A26FF3"/>
    <w:rsid w:val="50B307A4"/>
    <w:rsid w:val="50C32C2D"/>
    <w:rsid w:val="50CC2C94"/>
    <w:rsid w:val="50F41777"/>
    <w:rsid w:val="50F64C34"/>
    <w:rsid w:val="50F97D31"/>
    <w:rsid w:val="50FF2DF8"/>
    <w:rsid w:val="511C368F"/>
    <w:rsid w:val="51525315"/>
    <w:rsid w:val="515407A5"/>
    <w:rsid w:val="5155115E"/>
    <w:rsid w:val="5155447C"/>
    <w:rsid w:val="515C17D5"/>
    <w:rsid w:val="51624F12"/>
    <w:rsid w:val="51752507"/>
    <w:rsid w:val="518F43DA"/>
    <w:rsid w:val="519223A8"/>
    <w:rsid w:val="51A73EA0"/>
    <w:rsid w:val="51B15EA1"/>
    <w:rsid w:val="51B45CF8"/>
    <w:rsid w:val="51CB5559"/>
    <w:rsid w:val="51D11980"/>
    <w:rsid w:val="51E74E1A"/>
    <w:rsid w:val="51E803F2"/>
    <w:rsid w:val="51F578AF"/>
    <w:rsid w:val="51F718EA"/>
    <w:rsid w:val="52090788"/>
    <w:rsid w:val="520F3713"/>
    <w:rsid w:val="521060B4"/>
    <w:rsid w:val="5216531A"/>
    <w:rsid w:val="524D2F33"/>
    <w:rsid w:val="525B04CE"/>
    <w:rsid w:val="5273110A"/>
    <w:rsid w:val="52B9785A"/>
    <w:rsid w:val="52BC4BE0"/>
    <w:rsid w:val="52CF0C79"/>
    <w:rsid w:val="52CF7054"/>
    <w:rsid w:val="52E834C1"/>
    <w:rsid w:val="52EA6EF6"/>
    <w:rsid w:val="52EC5D9B"/>
    <w:rsid w:val="52F654CC"/>
    <w:rsid w:val="52FD6971"/>
    <w:rsid w:val="53020BAF"/>
    <w:rsid w:val="530F0D59"/>
    <w:rsid w:val="53104E9F"/>
    <w:rsid w:val="53223E56"/>
    <w:rsid w:val="53240D8E"/>
    <w:rsid w:val="53275AB8"/>
    <w:rsid w:val="53276C4D"/>
    <w:rsid w:val="53291AFA"/>
    <w:rsid w:val="533B2CC6"/>
    <w:rsid w:val="53571627"/>
    <w:rsid w:val="536B502A"/>
    <w:rsid w:val="536B6935"/>
    <w:rsid w:val="53714D9E"/>
    <w:rsid w:val="53731197"/>
    <w:rsid w:val="53773554"/>
    <w:rsid w:val="537735FB"/>
    <w:rsid w:val="537D5DC6"/>
    <w:rsid w:val="53847FD4"/>
    <w:rsid w:val="5388089F"/>
    <w:rsid w:val="53A01441"/>
    <w:rsid w:val="53A644A6"/>
    <w:rsid w:val="53B05A8D"/>
    <w:rsid w:val="53B92357"/>
    <w:rsid w:val="53BD7009"/>
    <w:rsid w:val="53C6611A"/>
    <w:rsid w:val="53D64CFB"/>
    <w:rsid w:val="53D745FA"/>
    <w:rsid w:val="53E40714"/>
    <w:rsid w:val="53FC74E3"/>
    <w:rsid w:val="53FD29C3"/>
    <w:rsid w:val="54056CC0"/>
    <w:rsid w:val="5407604F"/>
    <w:rsid w:val="540B62A5"/>
    <w:rsid w:val="541F5ED8"/>
    <w:rsid w:val="543666B5"/>
    <w:rsid w:val="54467244"/>
    <w:rsid w:val="54511C79"/>
    <w:rsid w:val="54520573"/>
    <w:rsid w:val="54570972"/>
    <w:rsid w:val="54675F87"/>
    <w:rsid w:val="547D34B8"/>
    <w:rsid w:val="548044DD"/>
    <w:rsid w:val="54842E04"/>
    <w:rsid w:val="5485497D"/>
    <w:rsid w:val="548D7C01"/>
    <w:rsid w:val="54934755"/>
    <w:rsid w:val="54942775"/>
    <w:rsid w:val="549C23F0"/>
    <w:rsid w:val="54AD5E68"/>
    <w:rsid w:val="54AE3A74"/>
    <w:rsid w:val="54B64E04"/>
    <w:rsid w:val="54B8713B"/>
    <w:rsid w:val="54C968B7"/>
    <w:rsid w:val="54CB77C8"/>
    <w:rsid w:val="54D71A36"/>
    <w:rsid w:val="54DB3225"/>
    <w:rsid w:val="54E44B68"/>
    <w:rsid w:val="54EF6458"/>
    <w:rsid w:val="54F0159A"/>
    <w:rsid w:val="55051FBF"/>
    <w:rsid w:val="55132799"/>
    <w:rsid w:val="55135B59"/>
    <w:rsid w:val="55157722"/>
    <w:rsid w:val="55553389"/>
    <w:rsid w:val="555C4870"/>
    <w:rsid w:val="55620CD0"/>
    <w:rsid w:val="55710FFD"/>
    <w:rsid w:val="5573322C"/>
    <w:rsid w:val="55734B0E"/>
    <w:rsid w:val="55854DB6"/>
    <w:rsid w:val="559411F9"/>
    <w:rsid w:val="55A768F4"/>
    <w:rsid w:val="55B57A67"/>
    <w:rsid w:val="55B62452"/>
    <w:rsid w:val="55E87E97"/>
    <w:rsid w:val="55FE78A0"/>
    <w:rsid w:val="560E45FA"/>
    <w:rsid w:val="56126541"/>
    <w:rsid w:val="56162D0A"/>
    <w:rsid w:val="56253786"/>
    <w:rsid w:val="562D3283"/>
    <w:rsid w:val="5647297B"/>
    <w:rsid w:val="564E3A21"/>
    <w:rsid w:val="564F1FB3"/>
    <w:rsid w:val="56553ABC"/>
    <w:rsid w:val="56595A37"/>
    <w:rsid w:val="565B1A4D"/>
    <w:rsid w:val="56680B7F"/>
    <w:rsid w:val="566C0CF7"/>
    <w:rsid w:val="56707B6D"/>
    <w:rsid w:val="56752EF5"/>
    <w:rsid w:val="56775F4A"/>
    <w:rsid w:val="567A5BFF"/>
    <w:rsid w:val="569156EC"/>
    <w:rsid w:val="56995952"/>
    <w:rsid w:val="56C62D4E"/>
    <w:rsid w:val="56CE2C6C"/>
    <w:rsid w:val="56E95104"/>
    <w:rsid w:val="56F5566B"/>
    <w:rsid w:val="56F91F1A"/>
    <w:rsid w:val="56FA4B95"/>
    <w:rsid w:val="57005833"/>
    <w:rsid w:val="57141D16"/>
    <w:rsid w:val="571924B2"/>
    <w:rsid w:val="572109E0"/>
    <w:rsid w:val="572D4928"/>
    <w:rsid w:val="5737646C"/>
    <w:rsid w:val="5747400E"/>
    <w:rsid w:val="574D64D8"/>
    <w:rsid w:val="5754709A"/>
    <w:rsid w:val="575751FD"/>
    <w:rsid w:val="57622157"/>
    <w:rsid w:val="57626C52"/>
    <w:rsid w:val="57655966"/>
    <w:rsid w:val="576B04A7"/>
    <w:rsid w:val="577F6213"/>
    <w:rsid w:val="578543B4"/>
    <w:rsid w:val="578A3F51"/>
    <w:rsid w:val="57A06879"/>
    <w:rsid w:val="57A953CC"/>
    <w:rsid w:val="57C729EB"/>
    <w:rsid w:val="57C773AF"/>
    <w:rsid w:val="57C93CA0"/>
    <w:rsid w:val="57CC6BA1"/>
    <w:rsid w:val="57CE3E29"/>
    <w:rsid w:val="57D1003B"/>
    <w:rsid w:val="57E30099"/>
    <w:rsid w:val="57FF1691"/>
    <w:rsid w:val="580E5262"/>
    <w:rsid w:val="580F0A3C"/>
    <w:rsid w:val="581B6FA6"/>
    <w:rsid w:val="581D640F"/>
    <w:rsid w:val="583B01F8"/>
    <w:rsid w:val="5845184B"/>
    <w:rsid w:val="58621F3B"/>
    <w:rsid w:val="5866018B"/>
    <w:rsid w:val="587A761C"/>
    <w:rsid w:val="58814D8F"/>
    <w:rsid w:val="589968A3"/>
    <w:rsid w:val="589A1ED5"/>
    <w:rsid w:val="58AA00F0"/>
    <w:rsid w:val="58B7359D"/>
    <w:rsid w:val="58B74778"/>
    <w:rsid w:val="58BE39E9"/>
    <w:rsid w:val="58C41103"/>
    <w:rsid w:val="58C4747E"/>
    <w:rsid w:val="58CE4AB7"/>
    <w:rsid w:val="58F37117"/>
    <w:rsid w:val="58F5279F"/>
    <w:rsid w:val="59126EAD"/>
    <w:rsid w:val="591B019A"/>
    <w:rsid w:val="591F3DBA"/>
    <w:rsid w:val="592612E7"/>
    <w:rsid w:val="59303C05"/>
    <w:rsid w:val="59356727"/>
    <w:rsid w:val="593916D7"/>
    <w:rsid w:val="593E7029"/>
    <w:rsid w:val="594D3747"/>
    <w:rsid w:val="595A5231"/>
    <w:rsid w:val="596C4986"/>
    <w:rsid w:val="596F52DD"/>
    <w:rsid w:val="59783883"/>
    <w:rsid w:val="59B12692"/>
    <w:rsid w:val="59BE14BB"/>
    <w:rsid w:val="59D72956"/>
    <w:rsid w:val="59E25007"/>
    <w:rsid w:val="59E91E58"/>
    <w:rsid w:val="5A0207F8"/>
    <w:rsid w:val="5A0321F3"/>
    <w:rsid w:val="5A0C171B"/>
    <w:rsid w:val="5A0F7C73"/>
    <w:rsid w:val="5A100CE1"/>
    <w:rsid w:val="5A1256F7"/>
    <w:rsid w:val="5A132397"/>
    <w:rsid w:val="5A190EC4"/>
    <w:rsid w:val="5A1B6E29"/>
    <w:rsid w:val="5A20000A"/>
    <w:rsid w:val="5A2E42CD"/>
    <w:rsid w:val="5A4133B3"/>
    <w:rsid w:val="5A4A1F08"/>
    <w:rsid w:val="5A515292"/>
    <w:rsid w:val="5A623FE0"/>
    <w:rsid w:val="5A73196D"/>
    <w:rsid w:val="5A7D47FA"/>
    <w:rsid w:val="5A7F37F9"/>
    <w:rsid w:val="5A83223B"/>
    <w:rsid w:val="5A837878"/>
    <w:rsid w:val="5A886E5E"/>
    <w:rsid w:val="5A8F53AE"/>
    <w:rsid w:val="5A912ACC"/>
    <w:rsid w:val="5A9E7D61"/>
    <w:rsid w:val="5AA67125"/>
    <w:rsid w:val="5AAF5FF1"/>
    <w:rsid w:val="5AB5421F"/>
    <w:rsid w:val="5B0B5934"/>
    <w:rsid w:val="5B0C31BE"/>
    <w:rsid w:val="5B0F1FA0"/>
    <w:rsid w:val="5B1735A2"/>
    <w:rsid w:val="5B1B4C4E"/>
    <w:rsid w:val="5B1C4013"/>
    <w:rsid w:val="5B284E1E"/>
    <w:rsid w:val="5B6E5A56"/>
    <w:rsid w:val="5B767297"/>
    <w:rsid w:val="5B7A3A21"/>
    <w:rsid w:val="5B861CFB"/>
    <w:rsid w:val="5B887615"/>
    <w:rsid w:val="5BAD541C"/>
    <w:rsid w:val="5BBC41DB"/>
    <w:rsid w:val="5BCA2478"/>
    <w:rsid w:val="5BD74544"/>
    <w:rsid w:val="5BD74726"/>
    <w:rsid w:val="5BDF206E"/>
    <w:rsid w:val="5BFF2AD9"/>
    <w:rsid w:val="5C016066"/>
    <w:rsid w:val="5C044AD5"/>
    <w:rsid w:val="5C0C620F"/>
    <w:rsid w:val="5C1138CE"/>
    <w:rsid w:val="5C1459ED"/>
    <w:rsid w:val="5C2254A3"/>
    <w:rsid w:val="5C2F290C"/>
    <w:rsid w:val="5C335C38"/>
    <w:rsid w:val="5C363E7B"/>
    <w:rsid w:val="5C41460B"/>
    <w:rsid w:val="5C4347ED"/>
    <w:rsid w:val="5C490545"/>
    <w:rsid w:val="5C57182F"/>
    <w:rsid w:val="5C5E47CC"/>
    <w:rsid w:val="5C6C7A65"/>
    <w:rsid w:val="5C6D72D2"/>
    <w:rsid w:val="5C6E04C1"/>
    <w:rsid w:val="5C73505B"/>
    <w:rsid w:val="5C737025"/>
    <w:rsid w:val="5C754CD8"/>
    <w:rsid w:val="5C7F29A5"/>
    <w:rsid w:val="5C890F37"/>
    <w:rsid w:val="5CB32113"/>
    <w:rsid w:val="5CBE1F4B"/>
    <w:rsid w:val="5CCA6382"/>
    <w:rsid w:val="5CCB7459"/>
    <w:rsid w:val="5CE009E0"/>
    <w:rsid w:val="5CE65356"/>
    <w:rsid w:val="5CF72BB2"/>
    <w:rsid w:val="5CF95373"/>
    <w:rsid w:val="5CFE1D12"/>
    <w:rsid w:val="5D082401"/>
    <w:rsid w:val="5D083EAA"/>
    <w:rsid w:val="5D1A539C"/>
    <w:rsid w:val="5D262D65"/>
    <w:rsid w:val="5D27565F"/>
    <w:rsid w:val="5D277F53"/>
    <w:rsid w:val="5D4056A6"/>
    <w:rsid w:val="5D430DC7"/>
    <w:rsid w:val="5D441F63"/>
    <w:rsid w:val="5D442178"/>
    <w:rsid w:val="5D4930BA"/>
    <w:rsid w:val="5D4D302C"/>
    <w:rsid w:val="5D5645A0"/>
    <w:rsid w:val="5D6A538C"/>
    <w:rsid w:val="5D6F23EB"/>
    <w:rsid w:val="5D7109B8"/>
    <w:rsid w:val="5D7F5FA3"/>
    <w:rsid w:val="5D8367E0"/>
    <w:rsid w:val="5D8627AD"/>
    <w:rsid w:val="5D963A61"/>
    <w:rsid w:val="5D9831C4"/>
    <w:rsid w:val="5DAA0B93"/>
    <w:rsid w:val="5DAF489E"/>
    <w:rsid w:val="5DC257B5"/>
    <w:rsid w:val="5DCE0E18"/>
    <w:rsid w:val="5DE328B5"/>
    <w:rsid w:val="5DE54BF3"/>
    <w:rsid w:val="5DEB1967"/>
    <w:rsid w:val="5DF22BCD"/>
    <w:rsid w:val="5DFF2D20"/>
    <w:rsid w:val="5E0A0D0F"/>
    <w:rsid w:val="5E0E0515"/>
    <w:rsid w:val="5E1F1CDE"/>
    <w:rsid w:val="5E2429EF"/>
    <w:rsid w:val="5E2A4BFC"/>
    <w:rsid w:val="5E2E2E3C"/>
    <w:rsid w:val="5E4447A6"/>
    <w:rsid w:val="5E746931"/>
    <w:rsid w:val="5E760DE3"/>
    <w:rsid w:val="5EAC236D"/>
    <w:rsid w:val="5EC54629"/>
    <w:rsid w:val="5ECF7842"/>
    <w:rsid w:val="5EDB0D8B"/>
    <w:rsid w:val="5EDF05EB"/>
    <w:rsid w:val="5EDF3CD6"/>
    <w:rsid w:val="5EF12F73"/>
    <w:rsid w:val="5EF33433"/>
    <w:rsid w:val="5F0D4FE3"/>
    <w:rsid w:val="5F0F5068"/>
    <w:rsid w:val="5F181936"/>
    <w:rsid w:val="5F283336"/>
    <w:rsid w:val="5F2F4639"/>
    <w:rsid w:val="5F3732A8"/>
    <w:rsid w:val="5F4C7E96"/>
    <w:rsid w:val="5F606DC5"/>
    <w:rsid w:val="5F717DE3"/>
    <w:rsid w:val="5F7A65D6"/>
    <w:rsid w:val="5F9109E7"/>
    <w:rsid w:val="5F9275A7"/>
    <w:rsid w:val="5F9F7177"/>
    <w:rsid w:val="5FA04B86"/>
    <w:rsid w:val="5FCB769F"/>
    <w:rsid w:val="5FCC33D8"/>
    <w:rsid w:val="5FCC54B3"/>
    <w:rsid w:val="5FD653BF"/>
    <w:rsid w:val="5FF26B83"/>
    <w:rsid w:val="5FFB3447"/>
    <w:rsid w:val="60033350"/>
    <w:rsid w:val="60065483"/>
    <w:rsid w:val="60150359"/>
    <w:rsid w:val="601D3B78"/>
    <w:rsid w:val="601F4868"/>
    <w:rsid w:val="602266C7"/>
    <w:rsid w:val="602F00C9"/>
    <w:rsid w:val="6036319D"/>
    <w:rsid w:val="60397396"/>
    <w:rsid w:val="603B7C36"/>
    <w:rsid w:val="604553CF"/>
    <w:rsid w:val="60534AA3"/>
    <w:rsid w:val="60581B16"/>
    <w:rsid w:val="60680187"/>
    <w:rsid w:val="60832CD9"/>
    <w:rsid w:val="60894A90"/>
    <w:rsid w:val="60975AE7"/>
    <w:rsid w:val="60AE4D39"/>
    <w:rsid w:val="60CB1B4D"/>
    <w:rsid w:val="60D84BCC"/>
    <w:rsid w:val="60DC42D6"/>
    <w:rsid w:val="60F53FCC"/>
    <w:rsid w:val="610C7313"/>
    <w:rsid w:val="6119156B"/>
    <w:rsid w:val="611E2778"/>
    <w:rsid w:val="61217D14"/>
    <w:rsid w:val="613172F2"/>
    <w:rsid w:val="6142313B"/>
    <w:rsid w:val="614D3BC8"/>
    <w:rsid w:val="616F6F81"/>
    <w:rsid w:val="618112FA"/>
    <w:rsid w:val="61864813"/>
    <w:rsid w:val="618F0770"/>
    <w:rsid w:val="618F1CE4"/>
    <w:rsid w:val="618F575F"/>
    <w:rsid w:val="618F68CB"/>
    <w:rsid w:val="61926DDA"/>
    <w:rsid w:val="619B5220"/>
    <w:rsid w:val="619B7A2E"/>
    <w:rsid w:val="619E259A"/>
    <w:rsid w:val="61A30431"/>
    <w:rsid w:val="61B703F8"/>
    <w:rsid w:val="61B83399"/>
    <w:rsid w:val="61B9511D"/>
    <w:rsid w:val="61BC358C"/>
    <w:rsid w:val="61CE240F"/>
    <w:rsid w:val="61D23BCD"/>
    <w:rsid w:val="62122CB6"/>
    <w:rsid w:val="62123778"/>
    <w:rsid w:val="621A60D3"/>
    <w:rsid w:val="621F25AF"/>
    <w:rsid w:val="622265D2"/>
    <w:rsid w:val="62283A0E"/>
    <w:rsid w:val="62292D9C"/>
    <w:rsid w:val="622A6758"/>
    <w:rsid w:val="62302D5E"/>
    <w:rsid w:val="62316668"/>
    <w:rsid w:val="62890FFA"/>
    <w:rsid w:val="62980F53"/>
    <w:rsid w:val="62A37958"/>
    <w:rsid w:val="62A37E79"/>
    <w:rsid w:val="62A43EEF"/>
    <w:rsid w:val="62AF3849"/>
    <w:rsid w:val="62AF4C12"/>
    <w:rsid w:val="62B55B7A"/>
    <w:rsid w:val="62B965EC"/>
    <w:rsid w:val="62BB5DA1"/>
    <w:rsid w:val="62C67580"/>
    <w:rsid w:val="62D45978"/>
    <w:rsid w:val="62E86C1E"/>
    <w:rsid w:val="62F40DDB"/>
    <w:rsid w:val="63024E9D"/>
    <w:rsid w:val="63063DED"/>
    <w:rsid w:val="630F6DF3"/>
    <w:rsid w:val="63220A61"/>
    <w:rsid w:val="63277530"/>
    <w:rsid w:val="63290DBC"/>
    <w:rsid w:val="63381D02"/>
    <w:rsid w:val="63413344"/>
    <w:rsid w:val="6352384A"/>
    <w:rsid w:val="635A2F4C"/>
    <w:rsid w:val="635B76A3"/>
    <w:rsid w:val="635F5DC7"/>
    <w:rsid w:val="637703A0"/>
    <w:rsid w:val="639B6AB8"/>
    <w:rsid w:val="63AF3448"/>
    <w:rsid w:val="63B54214"/>
    <w:rsid w:val="63BA394D"/>
    <w:rsid w:val="63D9399E"/>
    <w:rsid w:val="63E853BC"/>
    <w:rsid w:val="63F03E9E"/>
    <w:rsid w:val="64024FB8"/>
    <w:rsid w:val="64027149"/>
    <w:rsid w:val="641A1207"/>
    <w:rsid w:val="64340981"/>
    <w:rsid w:val="643524A1"/>
    <w:rsid w:val="643E1A6F"/>
    <w:rsid w:val="644B1C20"/>
    <w:rsid w:val="644B35A3"/>
    <w:rsid w:val="644E7CBD"/>
    <w:rsid w:val="64595084"/>
    <w:rsid w:val="6462059C"/>
    <w:rsid w:val="646D7F43"/>
    <w:rsid w:val="6471055F"/>
    <w:rsid w:val="649D22EB"/>
    <w:rsid w:val="64AA0F41"/>
    <w:rsid w:val="64AE1B33"/>
    <w:rsid w:val="64AE7D1C"/>
    <w:rsid w:val="64B41760"/>
    <w:rsid w:val="64B97E4E"/>
    <w:rsid w:val="64C303D9"/>
    <w:rsid w:val="64D247BE"/>
    <w:rsid w:val="64DD74FB"/>
    <w:rsid w:val="64E56FFD"/>
    <w:rsid w:val="64E77440"/>
    <w:rsid w:val="6513223B"/>
    <w:rsid w:val="651415ED"/>
    <w:rsid w:val="651421B8"/>
    <w:rsid w:val="651721A9"/>
    <w:rsid w:val="651A454E"/>
    <w:rsid w:val="651C692B"/>
    <w:rsid w:val="651E73C5"/>
    <w:rsid w:val="652108F7"/>
    <w:rsid w:val="652358D2"/>
    <w:rsid w:val="652B7127"/>
    <w:rsid w:val="65302AFF"/>
    <w:rsid w:val="65385B63"/>
    <w:rsid w:val="654201D5"/>
    <w:rsid w:val="65495B41"/>
    <w:rsid w:val="65577029"/>
    <w:rsid w:val="656B579F"/>
    <w:rsid w:val="656C7D3A"/>
    <w:rsid w:val="656E592B"/>
    <w:rsid w:val="657035D3"/>
    <w:rsid w:val="65736CA2"/>
    <w:rsid w:val="65863638"/>
    <w:rsid w:val="658D0762"/>
    <w:rsid w:val="658D5D95"/>
    <w:rsid w:val="65905BA7"/>
    <w:rsid w:val="65A165E9"/>
    <w:rsid w:val="65B27F1C"/>
    <w:rsid w:val="65BB629C"/>
    <w:rsid w:val="65C14A06"/>
    <w:rsid w:val="65C15488"/>
    <w:rsid w:val="65CF0F0E"/>
    <w:rsid w:val="65D427FA"/>
    <w:rsid w:val="66027A02"/>
    <w:rsid w:val="66090D4B"/>
    <w:rsid w:val="660A0916"/>
    <w:rsid w:val="660D76B4"/>
    <w:rsid w:val="66211CF5"/>
    <w:rsid w:val="662A5F23"/>
    <w:rsid w:val="662D016C"/>
    <w:rsid w:val="6631685B"/>
    <w:rsid w:val="664D7CED"/>
    <w:rsid w:val="66532036"/>
    <w:rsid w:val="667136F9"/>
    <w:rsid w:val="66775BDA"/>
    <w:rsid w:val="667878CB"/>
    <w:rsid w:val="66841ED9"/>
    <w:rsid w:val="669C7E5D"/>
    <w:rsid w:val="669D5D20"/>
    <w:rsid w:val="66AE3668"/>
    <w:rsid w:val="66AF4A9F"/>
    <w:rsid w:val="66B10448"/>
    <w:rsid w:val="66B24A2C"/>
    <w:rsid w:val="66B66D4F"/>
    <w:rsid w:val="66C25DC3"/>
    <w:rsid w:val="66C7321B"/>
    <w:rsid w:val="66E971EB"/>
    <w:rsid w:val="66ED2515"/>
    <w:rsid w:val="66F757E9"/>
    <w:rsid w:val="67024FEA"/>
    <w:rsid w:val="670C0380"/>
    <w:rsid w:val="671073D1"/>
    <w:rsid w:val="67151631"/>
    <w:rsid w:val="67181BE3"/>
    <w:rsid w:val="67377868"/>
    <w:rsid w:val="674611BE"/>
    <w:rsid w:val="674B7F9A"/>
    <w:rsid w:val="67653E14"/>
    <w:rsid w:val="678E06CE"/>
    <w:rsid w:val="679A602D"/>
    <w:rsid w:val="67AE5174"/>
    <w:rsid w:val="67C96E3D"/>
    <w:rsid w:val="67CC3E0F"/>
    <w:rsid w:val="67D570EE"/>
    <w:rsid w:val="67D6719E"/>
    <w:rsid w:val="67DF4E20"/>
    <w:rsid w:val="67E028BC"/>
    <w:rsid w:val="67E158E3"/>
    <w:rsid w:val="67E44A4A"/>
    <w:rsid w:val="67E5698D"/>
    <w:rsid w:val="67E756D9"/>
    <w:rsid w:val="67FD6F7B"/>
    <w:rsid w:val="681F1A3D"/>
    <w:rsid w:val="682B25C4"/>
    <w:rsid w:val="682E5C5F"/>
    <w:rsid w:val="68391F60"/>
    <w:rsid w:val="68413E66"/>
    <w:rsid w:val="68491A8B"/>
    <w:rsid w:val="68537B47"/>
    <w:rsid w:val="6856388A"/>
    <w:rsid w:val="685921AE"/>
    <w:rsid w:val="68620DC9"/>
    <w:rsid w:val="68693791"/>
    <w:rsid w:val="687A1BB6"/>
    <w:rsid w:val="68815DFE"/>
    <w:rsid w:val="68A9552D"/>
    <w:rsid w:val="68C330AE"/>
    <w:rsid w:val="68C52EFB"/>
    <w:rsid w:val="68CC665D"/>
    <w:rsid w:val="68D019B6"/>
    <w:rsid w:val="68D52CCF"/>
    <w:rsid w:val="68E45DE3"/>
    <w:rsid w:val="68E90EBC"/>
    <w:rsid w:val="68F75E11"/>
    <w:rsid w:val="69161ADC"/>
    <w:rsid w:val="69174E34"/>
    <w:rsid w:val="691B6E91"/>
    <w:rsid w:val="691D1344"/>
    <w:rsid w:val="6933004C"/>
    <w:rsid w:val="6934149F"/>
    <w:rsid w:val="69355D70"/>
    <w:rsid w:val="693B6EBA"/>
    <w:rsid w:val="69422D41"/>
    <w:rsid w:val="6958671E"/>
    <w:rsid w:val="696812F1"/>
    <w:rsid w:val="697C79E1"/>
    <w:rsid w:val="69A36FF5"/>
    <w:rsid w:val="69AD1398"/>
    <w:rsid w:val="69B84BC6"/>
    <w:rsid w:val="69C37BEA"/>
    <w:rsid w:val="69CC65E3"/>
    <w:rsid w:val="69D72E02"/>
    <w:rsid w:val="69DF0765"/>
    <w:rsid w:val="69F25FA1"/>
    <w:rsid w:val="6A143D4B"/>
    <w:rsid w:val="6A14784D"/>
    <w:rsid w:val="6A1875F2"/>
    <w:rsid w:val="6A2315E5"/>
    <w:rsid w:val="6A2546B8"/>
    <w:rsid w:val="6A281A45"/>
    <w:rsid w:val="6A384DB6"/>
    <w:rsid w:val="6A386196"/>
    <w:rsid w:val="6A3B618C"/>
    <w:rsid w:val="6A5D28B0"/>
    <w:rsid w:val="6A712A93"/>
    <w:rsid w:val="6A8A621B"/>
    <w:rsid w:val="6A8E0FC6"/>
    <w:rsid w:val="6A9D6E4A"/>
    <w:rsid w:val="6AA103CB"/>
    <w:rsid w:val="6AA1429E"/>
    <w:rsid w:val="6AA75408"/>
    <w:rsid w:val="6AB10690"/>
    <w:rsid w:val="6AC41DD9"/>
    <w:rsid w:val="6AC450BA"/>
    <w:rsid w:val="6ACB2CE9"/>
    <w:rsid w:val="6AD52FE3"/>
    <w:rsid w:val="6AE30A31"/>
    <w:rsid w:val="6AE838DC"/>
    <w:rsid w:val="6AEB1935"/>
    <w:rsid w:val="6AFF0D2F"/>
    <w:rsid w:val="6B026F3D"/>
    <w:rsid w:val="6B145481"/>
    <w:rsid w:val="6B182CCA"/>
    <w:rsid w:val="6B1D34DE"/>
    <w:rsid w:val="6B2560EF"/>
    <w:rsid w:val="6B2C5342"/>
    <w:rsid w:val="6B3B20A9"/>
    <w:rsid w:val="6B3B7271"/>
    <w:rsid w:val="6B4D19C5"/>
    <w:rsid w:val="6B5F2BF8"/>
    <w:rsid w:val="6B737395"/>
    <w:rsid w:val="6B883DCE"/>
    <w:rsid w:val="6B906DC1"/>
    <w:rsid w:val="6B9878A4"/>
    <w:rsid w:val="6B993653"/>
    <w:rsid w:val="6B9A44A8"/>
    <w:rsid w:val="6B9B784A"/>
    <w:rsid w:val="6BB57CED"/>
    <w:rsid w:val="6BD07FEB"/>
    <w:rsid w:val="6BD337F5"/>
    <w:rsid w:val="6BD55D0B"/>
    <w:rsid w:val="6BD6307A"/>
    <w:rsid w:val="6BD83CC4"/>
    <w:rsid w:val="6BDC47ED"/>
    <w:rsid w:val="6BDC5487"/>
    <w:rsid w:val="6BF1112B"/>
    <w:rsid w:val="6BF76F4D"/>
    <w:rsid w:val="6C0A4626"/>
    <w:rsid w:val="6C1B3303"/>
    <w:rsid w:val="6C1B55BA"/>
    <w:rsid w:val="6C2A3651"/>
    <w:rsid w:val="6C2D10D4"/>
    <w:rsid w:val="6C3032A5"/>
    <w:rsid w:val="6C3E28BF"/>
    <w:rsid w:val="6C3F33CD"/>
    <w:rsid w:val="6C421A5C"/>
    <w:rsid w:val="6C4F47D8"/>
    <w:rsid w:val="6C6E3C19"/>
    <w:rsid w:val="6C7A7040"/>
    <w:rsid w:val="6C7D3013"/>
    <w:rsid w:val="6C8132A9"/>
    <w:rsid w:val="6C8B7291"/>
    <w:rsid w:val="6C8F30D6"/>
    <w:rsid w:val="6C9A1ED5"/>
    <w:rsid w:val="6C9E6020"/>
    <w:rsid w:val="6CAA4D6A"/>
    <w:rsid w:val="6CB12592"/>
    <w:rsid w:val="6CC2024E"/>
    <w:rsid w:val="6CC70826"/>
    <w:rsid w:val="6CCE005D"/>
    <w:rsid w:val="6CD77821"/>
    <w:rsid w:val="6CE30401"/>
    <w:rsid w:val="6CE61263"/>
    <w:rsid w:val="6CFF212A"/>
    <w:rsid w:val="6D016DE6"/>
    <w:rsid w:val="6D0A6DBB"/>
    <w:rsid w:val="6D0D5E6A"/>
    <w:rsid w:val="6D106864"/>
    <w:rsid w:val="6D180E7B"/>
    <w:rsid w:val="6D1D23E0"/>
    <w:rsid w:val="6D3E1AD8"/>
    <w:rsid w:val="6D40311C"/>
    <w:rsid w:val="6D6E3CF7"/>
    <w:rsid w:val="6D810083"/>
    <w:rsid w:val="6D8C598E"/>
    <w:rsid w:val="6DB167DD"/>
    <w:rsid w:val="6DB43590"/>
    <w:rsid w:val="6DB732AF"/>
    <w:rsid w:val="6DB84EBA"/>
    <w:rsid w:val="6DBD1596"/>
    <w:rsid w:val="6DBE09CB"/>
    <w:rsid w:val="6DCB2200"/>
    <w:rsid w:val="6DCC0C8D"/>
    <w:rsid w:val="6DCF2EF0"/>
    <w:rsid w:val="6DD14FAC"/>
    <w:rsid w:val="6DD81801"/>
    <w:rsid w:val="6DDD3AD6"/>
    <w:rsid w:val="6DF4404D"/>
    <w:rsid w:val="6DFF7D8F"/>
    <w:rsid w:val="6E1C1F8D"/>
    <w:rsid w:val="6E1D2EBB"/>
    <w:rsid w:val="6E27027F"/>
    <w:rsid w:val="6E2861B3"/>
    <w:rsid w:val="6E2D7393"/>
    <w:rsid w:val="6E2E13BB"/>
    <w:rsid w:val="6E350868"/>
    <w:rsid w:val="6E430A42"/>
    <w:rsid w:val="6E491211"/>
    <w:rsid w:val="6E52091A"/>
    <w:rsid w:val="6E567DDD"/>
    <w:rsid w:val="6E652965"/>
    <w:rsid w:val="6E66068C"/>
    <w:rsid w:val="6E6960A7"/>
    <w:rsid w:val="6E6E6F1D"/>
    <w:rsid w:val="6E985F27"/>
    <w:rsid w:val="6EA63453"/>
    <w:rsid w:val="6EAE7B5A"/>
    <w:rsid w:val="6EB35883"/>
    <w:rsid w:val="6EBB168C"/>
    <w:rsid w:val="6EC805DA"/>
    <w:rsid w:val="6EF02B3E"/>
    <w:rsid w:val="6EF410D7"/>
    <w:rsid w:val="6EFA5ECF"/>
    <w:rsid w:val="6F0305BD"/>
    <w:rsid w:val="6F085231"/>
    <w:rsid w:val="6F116FB8"/>
    <w:rsid w:val="6F1A3C6A"/>
    <w:rsid w:val="6F1C4DB2"/>
    <w:rsid w:val="6F1F215B"/>
    <w:rsid w:val="6F20707C"/>
    <w:rsid w:val="6F293DA9"/>
    <w:rsid w:val="6F343E2C"/>
    <w:rsid w:val="6F5400BF"/>
    <w:rsid w:val="6F5E6D2A"/>
    <w:rsid w:val="6F6A53B1"/>
    <w:rsid w:val="6F6A6599"/>
    <w:rsid w:val="6F845A73"/>
    <w:rsid w:val="6F88705D"/>
    <w:rsid w:val="6F901936"/>
    <w:rsid w:val="6FA76681"/>
    <w:rsid w:val="6FC83C68"/>
    <w:rsid w:val="6FCE226C"/>
    <w:rsid w:val="6FD05D5C"/>
    <w:rsid w:val="6FE504ED"/>
    <w:rsid w:val="6FE52D17"/>
    <w:rsid w:val="6FEE027D"/>
    <w:rsid w:val="6FEE04F7"/>
    <w:rsid w:val="6FF67EDB"/>
    <w:rsid w:val="700D55DF"/>
    <w:rsid w:val="702C59DE"/>
    <w:rsid w:val="70534F9D"/>
    <w:rsid w:val="705D5144"/>
    <w:rsid w:val="706747BD"/>
    <w:rsid w:val="7068279D"/>
    <w:rsid w:val="707165D4"/>
    <w:rsid w:val="707B3A84"/>
    <w:rsid w:val="70A93F9B"/>
    <w:rsid w:val="70BF6DB5"/>
    <w:rsid w:val="70BF78D7"/>
    <w:rsid w:val="70CC7221"/>
    <w:rsid w:val="70D97FB8"/>
    <w:rsid w:val="70E07552"/>
    <w:rsid w:val="70E95E6A"/>
    <w:rsid w:val="70F96141"/>
    <w:rsid w:val="70FA592E"/>
    <w:rsid w:val="710643F5"/>
    <w:rsid w:val="711A6DEF"/>
    <w:rsid w:val="711E3920"/>
    <w:rsid w:val="71294D72"/>
    <w:rsid w:val="712E594A"/>
    <w:rsid w:val="712F11E7"/>
    <w:rsid w:val="7167597F"/>
    <w:rsid w:val="71762CE5"/>
    <w:rsid w:val="71790E9D"/>
    <w:rsid w:val="717A6C89"/>
    <w:rsid w:val="71812B34"/>
    <w:rsid w:val="71A43E15"/>
    <w:rsid w:val="71AC1A5C"/>
    <w:rsid w:val="71B91F9F"/>
    <w:rsid w:val="71CD17F6"/>
    <w:rsid w:val="71D4229F"/>
    <w:rsid w:val="71D503E2"/>
    <w:rsid w:val="71D75FE4"/>
    <w:rsid w:val="71E43822"/>
    <w:rsid w:val="71F55B90"/>
    <w:rsid w:val="71FA1A5B"/>
    <w:rsid w:val="71FF7FFF"/>
    <w:rsid w:val="72056AEF"/>
    <w:rsid w:val="72086278"/>
    <w:rsid w:val="720D4D60"/>
    <w:rsid w:val="72117E7E"/>
    <w:rsid w:val="7216109A"/>
    <w:rsid w:val="722F3BF6"/>
    <w:rsid w:val="7235376F"/>
    <w:rsid w:val="7239653E"/>
    <w:rsid w:val="723B41CF"/>
    <w:rsid w:val="723B5319"/>
    <w:rsid w:val="72402885"/>
    <w:rsid w:val="725508BA"/>
    <w:rsid w:val="7256212D"/>
    <w:rsid w:val="725E174F"/>
    <w:rsid w:val="72606617"/>
    <w:rsid w:val="72672B94"/>
    <w:rsid w:val="726D1864"/>
    <w:rsid w:val="72784410"/>
    <w:rsid w:val="727D5BBA"/>
    <w:rsid w:val="72812BDF"/>
    <w:rsid w:val="72893724"/>
    <w:rsid w:val="728971FB"/>
    <w:rsid w:val="72926843"/>
    <w:rsid w:val="7296532E"/>
    <w:rsid w:val="729D579A"/>
    <w:rsid w:val="72A627BF"/>
    <w:rsid w:val="72C47D2E"/>
    <w:rsid w:val="72D03AC1"/>
    <w:rsid w:val="72D06024"/>
    <w:rsid w:val="72D931B8"/>
    <w:rsid w:val="72DC5FF4"/>
    <w:rsid w:val="730F4347"/>
    <w:rsid w:val="73165103"/>
    <w:rsid w:val="73196DFD"/>
    <w:rsid w:val="732F0F84"/>
    <w:rsid w:val="733878DA"/>
    <w:rsid w:val="733C7D42"/>
    <w:rsid w:val="734779C2"/>
    <w:rsid w:val="73594EBC"/>
    <w:rsid w:val="73596F33"/>
    <w:rsid w:val="7372294D"/>
    <w:rsid w:val="7379208A"/>
    <w:rsid w:val="73830171"/>
    <w:rsid w:val="73854EEF"/>
    <w:rsid w:val="73AB4DFA"/>
    <w:rsid w:val="73AE3BD0"/>
    <w:rsid w:val="73B91668"/>
    <w:rsid w:val="73B91933"/>
    <w:rsid w:val="73B93212"/>
    <w:rsid w:val="73BB0523"/>
    <w:rsid w:val="73BF73C1"/>
    <w:rsid w:val="73C111B3"/>
    <w:rsid w:val="73C23920"/>
    <w:rsid w:val="73F201AA"/>
    <w:rsid w:val="73F56F27"/>
    <w:rsid w:val="741F3F3A"/>
    <w:rsid w:val="743B36EC"/>
    <w:rsid w:val="743D3E96"/>
    <w:rsid w:val="744239BC"/>
    <w:rsid w:val="744A155F"/>
    <w:rsid w:val="744C55CF"/>
    <w:rsid w:val="745E33A9"/>
    <w:rsid w:val="74764920"/>
    <w:rsid w:val="74802249"/>
    <w:rsid w:val="74804964"/>
    <w:rsid w:val="748111B3"/>
    <w:rsid w:val="74866752"/>
    <w:rsid w:val="749110DA"/>
    <w:rsid w:val="74927268"/>
    <w:rsid w:val="74B07207"/>
    <w:rsid w:val="74B55EE9"/>
    <w:rsid w:val="74B57652"/>
    <w:rsid w:val="74BA6E5A"/>
    <w:rsid w:val="74BF2BF3"/>
    <w:rsid w:val="74C9763A"/>
    <w:rsid w:val="74CD2331"/>
    <w:rsid w:val="74CE646D"/>
    <w:rsid w:val="74E529C9"/>
    <w:rsid w:val="74EB4810"/>
    <w:rsid w:val="74FF35FC"/>
    <w:rsid w:val="75063F98"/>
    <w:rsid w:val="75155729"/>
    <w:rsid w:val="75227F9A"/>
    <w:rsid w:val="75266207"/>
    <w:rsid w:val="752C0D21"/>
    <w:rsid w:val="752C0FF7"/>
    <w:rsid w:val="75313DD6"/>
    <w:rsid w:val="755B18EA"/>
    <w:rsid w:val="755C1784"/>
    <w:rsid w:val="75606247"/>
    <w:rsid w:val="7569548F"/>
    <w:rsid w:val="75763149"/>
    <w:rsid w:val="757B180F"/>
    <w:rsid w:val="75860A24"/>
    <w:rsid w:val="759234D0"/>
    <w:rsid w:val="75957BAA"/>
    <w:rsid w:val="759B23B1"/>
    <w:rsid w:val="75BF45CB"/>
    <w:rsid w:val="75CE7895"/>
    <w:rsid w:val="75F11C84"/>
    <w:rsid w:val="75F5233E"/>
    <w:rsid w:val="76065BF1"/>
    <w:rsid w:val="762027B2"/>
    <w:rsid w:val="76211F6F"/>
    <w:rsid w:val="76385B6D"/>
    <w:rsid w:val="765D19FC"/>
    <w:rsid w:val="766028C3"/>
    <w:rsid w:val="76636A4E"/>
    <w:rsid w:val="766C25B6"/>
    <w:rsid w:val="76781CF9"/>
    <w:rsid w:val="767C7004"/>
    <w:rsid w:val="768E1308"/>
    <w:rsid w:val="769B14BB"/>
    <w:rsid w:val="76A33B68"/>
    <w:rsid w:val="76A8420D"/>
    <w:rsid w:val="76AA596C"/>
    <w:rsid w:val="76CF0956"/>
    <w:rsid w:val="76DF2EC8"/>
    <w:rsid w:val="76EB0D54"/>
    <w:rsid w:val="76EF4D3D"/>
    <w:rsid w:val="77045F8B"/>
    <w:rsid w:val="770C7128"/>
    <w:rsid w:val="77122F87"/>
    <w:rsid w:val="77161BD5"/>
    <w:rsid w:val="771710A6"/>
    <w:rsid w:val="771C6744"/>
    <w:rsid w:val="773F6405"/>
    <w:rsid w:val="77557187"/>
    <w:rsid w:val="7771110B"/>
    <w:rsid w:val="77782D28"/>
    <w:rsid w:val="777969B9"/>
    <w:rsid w:val="77811185"/>
    <w:rsid w:val="77C20123"/>
    <w:rsid w:val="77DF3B5C"/>
    <w:rsid w:val="77E72DE1"/>
    <w:rsid w:val="77ED2889"/>
    <w:rsid w:val="77EF075A"/>
    <w:rsid w:val="77F538F8"/>
    <w:rsid w:val="77F75B3C"/>
    <w:rsid w:val="78121F5C"/>
    <w:rsid w:val="782D3B1B"/>
    <w:rsid w:val="785210CD"/>
    <w:rsid w:val="785F7B2B"/>
    <w:rsid w:val="78645B9E"/>
    <w:rsid w:val="78686692"/>
    <w:rsid w:val="78696737"/>
    <w:rsid w:val="787C38B5"/>
    <w:rsid w:val="787D647F"/>
    <w:rsid w:val="78833565"/>
    <w:rsid w:val="78871CE2"/>
    <w:rsid w:val="788A3DEB"/>
    <w:rsid w:val="78CC5D32"/>
    <w:rsid w:val="78D6469A"/>
    <w:rsid w:val="78D82626"/>
    <w:rsid w:val="78E1478E"/>
    <w:rsid w:val="78EA3A87"/>
    <w:rsid w:val="78EF7B38"/>
    <w:rsid w:val="79111AC7"/>
    <w:rsid w:val="791B3B20"/>
    <w:rsid w:val="791E0569"/>
    <w:rsid w:val="79237642"/>
    <w:rsid w:val="793123EF"/>
    <w:rsid w:val="793931ED"/>
    <w:rsid w:val="7947455A"/>
    <w:rsid w:val="794E098B"/>
    <w:rsid w:val="796F5609"/>
    <w:rsid w:val="796F7D3D"/>
    <w:rsid w:val="79703DB3"/>
    <w:rsid w:val="7982463A"/>
    <w:rsid w:val="7983115A"/>
    <w:rsid w:val="7988038E"/>
    <w:rsid w:val="798C7081"/>
    <w:rsid w:val="798D20D1"/>
    <w:rsid w:val="79935820"/>
    <w:rsid w:val="79936514"/>
    <w:rsid w:val="799E2041"/>
    <w:rsid w:val="799E36F7"/>
    <w:rsid w:val="79A9602F"/>
    <w:rsid w:val="79D55E46"/>
    <w:rsid w:val="79D9718F"/>
    <w:rsid w:val="79E71E6D"/>
    <w:rsid w:val="79F3334C"/>
    <w:rsid w:val="7A0D51B5"/>
    <w:rsid w:val="7A150EF7"/>
    <w:rsid w:val="7A2206F1"/>
    <w:rsid w:val="7A2E1812"/>
    <w:rsid w:val="7A325289"/>
    <w:rsid w:val="7A3D0C4D"/>
    <w:rsid w:val="7A3E76AA"/>
    <w:rsid w:val="7A462DFD"/>
    <w:rsid w:val="7A563D17"/>
    <w:rsid w:val="7A5D380D"/>
    <w:rsid w:val="7A690220"/>
    <w:rsid w:val="7A7029D6"/>
    <w:rsid w:val="7A744CA4"/>
    <w:rsid w:val="7A751437"/>
    <w:rsid w:val="7A8047F5"/>
    <w:rsid w:val="7A935E20"/>
    <w:rsid w:val="7AB2209C"/>
    <w:rsid w:val="7AB80537"/>
    <w:rsid w:val="7ABB1C37"/>
    <w:rsid w:val="7ACB6E73"/>
    <w:rsid w:val="7AD61088"/>
    <w:rsid w:val="7ADA6235"/>
    <w:rsid w:val="7AEE4CEE"/>
    <w:rsid w:val="7AFC19B8"/>
    <w:rsid w:val="7B033D7C"/>
    <w:rsid w:val="7B0C1380"/>
    <w:rsid w:val="7B167695"/>
    <w:rsid w:val="7B175342"/>
    <w:rsid w:val="7B1852A9"/>
    <w:rsid w:val="7B1F48CD"/>
    <w:rsid w:val="7B20323F"/>
    <w:rsid w:val="7B217F11"/>
    <w:rsid w:val="7B233171"/>
    <w:rsid w:val="7B242D44"/>
    <w:rsid w:val="7B262F11"/>
    <w:rsid w:val="7B2F7302"/>
    <w:rsid w:val="7B3943CF"/>
    <w:rsid w:val="7B3D0363"/>
    <w:rsid w:val="7B3F36DB"/>
    <w:rsid w:val="7B4F6886"/>
    <w:rsid w:val="7B567E19"/>
    <w:rsid w:val="7B5755BE"/>
    <w:rsid w:val="7B634CE1"/>
    <w:rsid w:val="7B716617"/>
    <w:rsid w:val="7B984A30"/>
    <w:rsid w:val="7B9C2512"/>
    <w:rsid w:val="7BC41B6A"/>
    <w:rsid w:val="7BCD6115"/>
    <w:rsid w:val="7BE23ECA"/>
    <w:rsid w:val="7BFB110F"/>
    <w:rsid w:val="7BFD6BCD"/>
    <w:rsid w:val="7C011CA8"/>
    <w:rsid w:val="7C030D16"/>
    <w:rsid w:val="7C050AC7"/>
    <w:rsid w:val="7C09409A"/>
    <w:rsid w:val="7C1537BB"/>
    <w:rsid w:val="7C264B3F"/>
    <w:rsid w:val="7C287D7E"/>
    <w:rsid w:val="7C2F47A0"/>
    <w:rsid w:val="7C2F4F94"/>
    <w:rsid w:val="7C3552CE"/>
    <w:rsid w:val="7C3825FA"/>
    <w:rsid w:val="7C403413"/>
    <w:rsid w:val="7C43441F"/>
    <w:rsid w:val="7C4431E9"/>
    <w:rsid w:val="7C453A60"/>
    <w:rsid w:val="7C662FEA"/>
    <w:rsid w:val="7C6C1B5B"/>
    <w:rsid w:val="7C7541CE"/>
    <w:rsid w:val="7C772C85"/>
    <w:rsid w:val="7C834172"/>
    <w:rsid w:val="7C8759B4"/>
    <w:rsid w:val="7C903627"/>
    <w:rsid w:val="7C950331"/>
    <w:rsid w:val="7C9A3033"/>
    <w:rsid w:val="7CBD0466"/>
    <w:rsid w:val="7CC411BA"/>
    <w:rsid w:val="7CDF145E"/>
    <w:rsid w:val="7CF75D4D"/>
    <w:rsid w:val="7CFA5B06"/>
    <w:rsid w:val="7D0F3580"/>
    <w:rsid w:val="7D27149B"/>
    <w:rsid w:val="7D2A1057"/>
    <w:rsid w:val="7D2B4077"/>
    <w:rsid w:val="7D310FF1"/>
    <w:rsid w:val="7D386131"/>
    <w:rsid w:val="7D456FA2"/>
    <w:rsid w:val="7D4664D5"/>
    <w:rsid w:val="7D481014"/>
    <w:rsid w:val="7D4B33BB"/>
    <w:rsid w:val="7D4D1EB5"/>
    <w:rsid w:val="7D56317B"/>
    <w:rsid w:val="7D583674"/>
    <w:rsid w:val="7D5C4443"/>
    <w:rsid w:val="7D6409C9"/>
    <w:rsid w:val="7D6E410C"/>
    <w:rsid w:val="7D7C4CEA"/>
    <w:rsid w:val="7D866779"/>
    <w:rsid w:val="7D8B6033"/>
    <w:rsid w:val="7D9063BF"/>
    <w:rsid w:val="7D9A3DBA"/>
    <w:rsid w:val="7D9F3F02"/>
    <w:rsid w:val="7DCD0110"/>
    <w:rsid w:val="7DD056A7"/>
    <w:rsid w:val="7DDF3757"/>
    <w:rsid w:val="7DEC4E0F"/>
    <w:rsid w:val="7DFE7F3C"/>
    <w:rsid w:val="7E145B5C"/>
    <w:rsid w:val="7E1B3062"/>
    <w:rsid w:val="7E1B30A1"/>
    <w:rsid w:val="7E301A00"/>
    <w:rsid w:val="7E506195"/>
    <w:rsid w:val="7E5F0EE8"/>
    <w:rsid w:val="7E674E2F"/>
    <w:rsid w:val="7E6A79AA"/>
    <w:rsid w:val="7E725B2B"/>
    <w:rsid w:val="7E7506DB"/>
    <w:rsid w:val="7E8349C6"/>
    <w:rsid w:val="7E851F96"/>
    <w:rsid w:val="7E892B93"/>
    <w:rsid w:val="7EAB0E13"/>
    <w:rsid w:val="7EAD4BD4"/>
    <w:rsid w:val="7EB2667C"/>
    <w:rsid w:val="7EB9689D"/>
    <w:rsid w:val="7EBE1188"/>
    <w:rsid w:val="7EC62DFB"/>
    <w:rsid w:val="7EC854AC"/>
    <w:rsid w:val="7EDD0576"/>
    <w:rsid w:val="7EE164AF"/>
    <w:rsid w:val="7EE5678F"/>
    <w:rsid w:val="7EE56BF2"/>
    <w:rsid w:val="7EE80A72"/>
    <w:rsid w:val="7EEC50BE"/>
    <w:rsid w:val="7EF0063A"/>
    <w:rsid w:val="7EF44B79"/>
    <w:rsid w:val="7EF469B3"/>
    <w:rsid w:val="7EF90802"/>
    <w:rsid w:val="7F045F5B"/>
    <w:rsid w:val="7F155688"/>
    <w:rsid w:val="7F191C23"/>
    <w:rsid w:val="7F1D2F6C"/>
    <w:rsid w:val="7F1E4C87"/>
    <w:rsid w:val="7F21759B"/>
    <w:rsid w:val="7F240989"/>
    <w:rsid w:val="7F2F2C49"/>
    <w:rsid w:val="7F3D2627"/>
    <w:rsid w:val="7F3E0CEE"/>
    <w:rsid w:val="7F560C39"/>
    <w:rsid w:val="7F666017"/>
    <w:rsid w:val="7F6A73EC"/>
    <w:rsid w:val="7F700ACD"/>
    <w:rsid w:val="7F9477E9"/>
    <w:rsid w:val="7F957CD2"/>
    <w:rsid w:val="7F961180"/>
    <w:rsid w:val="7FAA71B8"/>
    <w:rsid w:val="7FB926AA"/>
    <w:rsid w:val="7FCA3C2C"/>
    <w:rsid w:val="7FD25BD3"/>
    <w:rsid w:val="7FD41041"/>
    <w:rsid w:val="7FD71CDB"/>
    <w:rsid w:val="7FDA6460"/>
    <w:rsid w:val="7FDC49AB"/>
    <w:rsid w:val="7FE8324D"/>
    <w:rsid w:val="7FE97944"/>
    <w:rsid w:val="7FF159C5"/>
    <w:rsid w:val="7FF55C3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Balloon Text"/>
    <w:basedOn w:val="1"/>
    <w:link w:val="22"/>
    <w:semiHidden/>
    <w:unhideWhenUsed/>
    <w:qFormat/>
    <w:uiPriority w:val="0"/>
    <w:pPr>
      <w:spacing w:line="240" w:lineRule="auto"/>
    </w:pPr>
    <w:rPr>
      <w:sz w:val="18"/>
      <w:szCs w:val="18"/>
    </w:rPr>
  </w:style>
  <w:style w:type="paragraph" w:styleId="8">
    <w:name w:val="footer"/>
    <w:basedOn w:val="1"/>
    <w:link w:val="21"/>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100" w:beforeAutospacing="1" w:after="100" w:afterAutospacing="1"/>
      <w:jc w:val="left"/>
    </w:pPr>
    <w:rPr>
      <w:sz w:val="24"/>
    </w:rPr>
  </w:style>
  <w:style w:type="character" w:styleId="13">
    <w:name w:val="Strong"/>
    <w:basedOn w:val="12"/>
    <w:qFormat/>
    <w:uiPriority w:val="0"/>
    <w:rPr>
      <w:b/>
      <w:bCs/>
    </w:r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5">
    <w:name w:val="List Paragraph"/>
    <w:basedOn w:val="1"/>
    <w:unhideWhenUsed/>
    <w:qFormat/>
    <w:uiPriority w:val="99"/>
    <w:pPr>
      <w:ind w:firstLine="420"/>
    </w:pPr>
  </w:style>
  <w:style w:type="paragraph" w:customStyle="1" w:styleId="16">
    <w:name w:val="样式1"/>
    <w:basedOn w:val="1"/>
    <w:link w:val="18"/>
    <w:qFormat/>
    <w:uiPriority w:val="0"/>
    <w:pPr>
      <w:ind w:firstLine="560"/>
    </w:pPr>
  </w:style>
  <w:style w:type="paragraph" w:customStyle="1" w:styleId="17">
    <w:name w:val="样式2"/>
    <w:basedOn w:val="9"/>
    <w:link w:val="20"/>
    <w:qFormat/>
    <w:uiPriority w:val="0"/>
    <w:pPr>
      <w:pBdr>
        <w:bottom w:val="none" w:color="auto" w:sz="0" w:space="0"/>
      </w:pBdr>
      <w:ind w:firstLine="360"/>
    </w:pPr>
  </w:style>
  <w:style w:type="character" w:customStyle="1" w:styleId="18">
    <w:name w:val="样式1 Char"/>
    <w:basedOn w:val="12"/>
    <w:link w:val="16"/>
    <w:qFormat/>
    <w:uiPriority w:val="0"/>
    <w:rPr>
      <w:rFonts w:ascii="仿宋" w:hAnsi="仿宋" w:eastAsia="仿宋"/>
      <w:kern w:val="2"/>
      <w:sz w:val="28"/>
      <w:szCs w:val="24"/>
    </w:rPr>
  </w:style>
  <w:style w:type="character" w:customStyle="1" w:styleId="19">
    <w:name w:val="页眉 Char"/>
    <w:basedOn w:val="12"/>
    <w:link w:val="9"/>
    <w:qFormat/>
    <w:uiPriority w:val="99"/>
    <w:rPr>
      <w:rFonts w:ascii="仿宋" w:hAnsi="仿宋" w:eastAsia="仿宋"/>
      <w:kern w:val="2"/>
      <w:sz w:val="18"/>
      <w:szCs w:val="18"/>
    </w:rPr>
  </w:style>
  <w:style w:type="character" w:customStyle="1" w:styleId="20">
    <w:name w:val="样式2 Char"/>
    <w:basedOn w:val="19"/>
    <w:link w:val="17"/>
    <w:qFormat/>
    <w:uiPriority w:val="0"/>
    <w:rPr>
      <w:rFonts w:ascii="仿宋" w:hAnsi="仿宋" w:eastAsia="仿宋"/>
      <w:kern w:val="2"/>
      <w:sz w:val="18"/>
      <w:szCs w:val="18"/>
    </w:rPr>
  </w:style>
  <w:style w:type="character" w:customStyle="1" w:styleId="21">
    <w:name w:val="页脚 Char"/>
    <w:basedOn w:val="12"/>
    <w:link w:val="8"/>
    <w:qFormat/>
    <w:uiPriority w:val="99"/>
    <w:rPr>
      <w:rFonts w:eastAsia="仿宋"/>
      <w:kern w:val="2"/>
      <w:sz w:val="18"/>
      <w:szCs w:val="24"/>
    </w:rPr>
  </w:style>
  <w:style w:type="character" w:customStyle="1" w:styleId="22">
    <w:name w:val="批注框文本 Char"/>
    <w:basedOn w:val="12"/>
    <w:link w:val="7"/>
    <w:semiHidden/>
    <w:uiPriority w:val="0"/>
    <w:rPr>
      <w:rFonts w:ascii="仿宋" w:hAnsi="仿宋" w:eastAsia="仿宋"/>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20</Pages>
  <Words>8661</Words>
  <Characters>10320</Characters>
  <Lines>79</Lines>
  <Paragraphs>22</Paragraphs>
  <TotalTime>1</TotalTime>
  <ScaleCrop>false</ScaleCrop>
  <LinksUpToDate>false</LinksUpToDate>
  <CharactersWithSpaces>10393</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ThinkBook</cp:lastModifiedBy>
  <dcterms:modified xsi:type="dcterms:W3CDTF">2023-02-21T02:05:32Z</dcterms:modified>
  <cp:revision>1918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A7DD48C3136047F79CA9827ED874A394</vt:lpwstr>
  </property>
</Properties>
</file>