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昌吉市乡村振兴综合保障中心</w:t>
      </w:r>
      <w:r>
        <w:rPr>
          <w:rFonts w:hint="eastAsia" w:ascii="方正小标宋_GBK" w:hAnsi="华文中宋" w:eastAsia="方正小标宋_GBK" w:cs="宋体"/>
          <w:kern w:val="0"/>
          <w:sz w:val="48"/>
          <w:szCs w:val="48"/>
        </w:rPr>
        <w:t>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default" w:ascii="黑体" w:hAnsi="黑体" w:eastAsia="黑体" w:cs="黑体"/>
          <w:bCs/>
          <w:sz w:val="36"/>
          <w:szCs w:val="36"/>
          <w:lang w:val="en-US"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昌吉市乡村振兴综合保障中心</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 xml:space="preserve">2023 </w:t>
      </w:r>
      <w:r>
        <w:rPr>
          <w:rFonts w:hint="eastAsia" w:ascii="黑体" w:hAnsi="黑体" w:eastAsia="黑体" w:cs="黑体"/>
          <w:bCs/>
          <w:sz w:val="36"/>
          <w:szCs w:val="36"/>
        </w:rPr>
        <w:t xml:space="preserve">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16</w:t>
      </w:r>
      <w:r>
        <w:rPr>
          <w:rFonts w:hint="eastAsia" w:ascii="黑体" w:hAnsi="黑体" w:eastAsia="黑体" w:cs="黑体"/>
          <w:bCs/>
          <w:sz w:val="36"/>
          <w:szCs w:val="36"/>
        </w:rPr>
        <w:t xml:space="preserve"> 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5"/>
        <w:ind w:firstLine="640"/>
        <w:rPr>
          <w:rFonts w:ascii="黑体" w:hAnsi="黑体"/>
          <w:b w:val="0"/>
          <w:sz w:val="32"/>
          <w:szCs w:val="32"/>
        </w:rPr>
      </w:pPr>
      <w:r>
        <w:rPr>
          <w:rFonts w:hint="eastAsia" w:ascii="黑体" w:hAnsi="黑体"/>
          <w:b w:val="0"/>
          <w:sz w:val="32"/>
          <w:szCs w:val="32"/>
        </w:rPr>
        <w:t>一、基本概况</w:t>
      </w:r>
    </w:p>
    <w:p>
      <w:pPr>
        <w:pStyle w:val="6"/>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widowControl/>
        <w:spacing w:line="560" w:lineRule="exact"/>
        <w:ind w:firstLine="640"/>
        <w:jc w:val="left"/>
        <w:rPr>
          <w:sz w:val="32"/>
        </w:rPr>
      </w:pPr>
      <w:r>
        <w:rPr>
          <w:rFonts w:hint="eastAsia" w:ascii="仿宋_GB2312" w:hAnsi="宋体" w:eastAsia="仿宋_GB2312"/>
          <w:kern w:val="0"/>
          <w:sz w:val="32"/>
          <w:szCs w:val="32"/>
          <w:lang w:val="en-US" w:eastAsia="zh-CN"/>
        </w:rPr>
        <w:t>昌吉市乡村振兴综合保障中心</w:t>
      </w:r>
      <w:r>
        <w:rPr>
          <w:rFonts w:hint="eastAsia" w:ascii="仿宋_GB2312" w:hAnsi="黑体" w:eastAsia="仿宋_GB2312" w:cs="宋体"/>
          <w:bCs/>
          <w:kern w:val="0"/>
          <w:sz w:val="32"/>
          <w:szCs w:val="32"/>
        </w:rPr>
        <w:t>无下属预算单位，</w:t>
      </w:r>
      <w:r>
        <w:rPr>
          <w:rFonts w:hint="eastAsia" w:ascii="仿宋_GB2312" w:hAnsi="宋体" w:eastAsia="仿宋_GB2312"/>
          <w:kern w:val="0"/>
          <w:sz w:val="32"/>
          <w:szCs w:val="32"/>
          <w:lang w:val="en-US" w:eastAsia="zh-CN"/>
        </w:rPr>
        <w:t>昌吉市乡村振兴综合保障中心2021年6月成立，由于中共昌吉市委员机构编制委员会暂无下发“九定”规定方案，我中心暂无下设处室，而是成立2个小组，分别是：综合小组、统计监测小组。</w:t>
      </w:r>
      <w:r>
        <w:rPr>
          <w:rFonts w:hint="eastAsia" w:ascii="仿宋_GB2312" w:hAnsi="楷体" w:eastAsia="仿宋_GB2312"/>
          <w:b w:val="0"/>
          <w:bCs w:val="0"/>
          <w:spacing w:val="-4"/>
          <w:sz w:val="32"/>
          <w:szCs w:val="32"/>
        </w:rPr>
        <w:t>核定事业编制</w:t>
      </w:r>
      <w:r>
        <w:rPr>
          <w:rFonts w:hint="eastAsia" w:ascii="仿宋_GB2312" w:hAnsi="楷体" w:eastAsia="仿宋_GB2312"/>
          <w:b w:val="0"/>
          <w:bCs w:val="0"/>
          <w:spacing w:val="-4"/>
          <w:sz w:val="32"/>
          <w:szCs w:val="32"/>
          <w:lang w:val="en-US" w:eastAsia="zh-CN"/>
        </w:rPr>
        <w:t>22</w:t>
      </w:r>
      <w:r>
        <w:rPr>
          <w:rFonts w:hint="eastAsia" w:ascii="仿宋_GB2312" w:hAnsi="楷体" w:eastAsia="仿宋_GB2312"/>
          <w:b w:val="0"/>
          <w:bCs w:val="0"/>
          <w:spacing w:val="-4"/>
          <w:sz w:val="32"/>
          <w:szCs w:val="32"/>
        </w:rPr>
        <w:t>名，实有</w:t>
      </w:r>
      <w:r>
        <w:rPr>
          <w:rFonts w:hint="eastAsia" w:ascii="仿宋_GB2312" w:hAnsi="楷体" w:eastAsia="仿宋_GB2312"/>
          <w:b w:val="0"/>
          <w:bCs w:val="0"/>
          <w:spacing w:val="-4"/>
          <w:sz w:val="32"/>
          <w:szCs w:val="32"/>
          <w:lang w:val="en-US" w:eastAsia="zh-CN"/>
        </w:rPr>
        <w:t>22</w:t>
      </w:r>
      <w:r>
        <w:rPr>
          <w:rFonts w:hint="eastAsia" w:ascii="仿宋_GB2312" w:hAnsi="楷体" w:eastAsia="仿宋_GB2312"/>
          <w:b w:val="0"/>
          <w:bCs w:val="0"/>
          <w:spacing w:val="-4"/>
          <w:sz w:val="32"/>
          <w:szCs w:val="32"/>
        </w:rPr>
        <w:t>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widowControl/>
        <w:spacing w:line="560" w:lineRule="exact"/>
        <w:ind w:firstLine="640"/>
        <w:jc w:val="left"/>
        <w:rPr>
          <w:rFonts w:hint="eastAsia" w:ascii="仿宋_GB2312" w:hAnsi="黑体" w:eastAsia="仿宋_GB2312" w:cs="宋体"/>
          <w:bCs/>
          <w:kern w:val="0"/>
          <w:sz w:val="32"/>
          <w:szCs w:val="32"/>
          <w:lang w:eastAsia="zh-CN"/>
        </w:rPr>
      </w:pPr>
      <w:r>
        <w:rPr>
          <w:rFonts w:hint="eastAsia" w:ascii="仿宋_GB2312" w:hAnsi="黑体" w:eastAsia="仿宋_GB2312" w:cs="宋体"/>
          <w:bCs/>
          <w:kern w:val="0"/>
          <w:sz w:val="32"/>
          <w:szCs w:val="32"/>
        </w:rPr>
        <w:t>（一）贯彻执行国家、区州巩固拓展脱贫攻坚成果、推进乡村振兴战略方针政策和法律法规</w:t>
      </w:r>
      <w:r>
        <w:rPr>
          <w:rFonts w:hint="eastAsia" w:ascii="仿宋_GB2312" w:hAnsi="黑体" w:eastAsia="仿宋_GB2312" w:cs="宋体"/>
          <w:bCs/>
          <w:kern w:val="0"/>
          <w:sz w:val="32"/>
          <w:szCs w:val="32"/>
          <w:lang w:eastAsia="zh-CN"/>
        </w:rPr>
        <w:t>。</w:t>
      </w:r>
    </w:p>
    <w:p>
      <w:pPr>
        <w:widowControl/>
        <w:spacing w:line="560" w:lineRule="exact"/>
        <w:ind w:firstLine="640"/>
        <w:jc w:val="left"/>
        <w:rPr>
          <w:rFonts w:hint="eastAsia" w:ascii="仿宋_GB2312" w:hAnsi="黑体" w:eastAsia="仿宋_GB2312" w:cs="宋体"/>
          <w:bCs/>
          <w:kern w:val="0"/>
          <w:sz w:val="32"/>
          <w:szCs w:val="32"/>
          <w:lang w:eastAsia="zh-CN"/>
        </w:rPr>
      </w:pPr>
      <w:r>
        <w:rPr>
          <w:rFonts w:hint="eastAsia" w:ascii="仿宋_GB2312" w:hAnsi="黑体" w:eastAsia="仿宋_GB2312" w:cs="宋体"/>
          <w:bCs/>
          <w:kern w:val="0"/>
          <w:sz w:val="32"/>
          <w:szCs w:val="32"/>
        </w:rPr>
        <w:t>（二）围绕统筹推进巩固拓展脱贫攻坚成果、实施乡村振兴战略相关工作</w:t>
      </w:r>
      <w:r>
        <w:rPr>
          <w:rFonts w:hint="eastAsia" w:ascii="仿宋_GB2312" w:hAnsi="黑体" w:eastAsia="仿宋_GB2312" w:cs="宋体"/>
          <w:bCs/>
          <w:kern w:val="0"/>
          <w:sz w:val="32"/>
          <w:szCs w:val="32"/>
          <w:lang w:eastAsia="zh-CN"/>
        </w:rPr>
        <w:t>。</w:t>
      </w:r>
    </w:p>
    <w:p>
      <w:pPr>
        <w:widowControl/>
        <w:spacing w:line="560" w:lineRule="exact"/>
        <w:jc w:val="left"/>
        <w:rPr>
          <w:rFonts w:ascii="仿宋_GB2312" w:hAnsi="宋体" w:eastAsia="仿宋_GB2312" w:cs="宋体"/>
          <w:bCs/>
          <w:kern w:val="0"/>
          <w:sz w:val="32"/>
          <w:szCs w:val="32"/>
        </w:rPr>
      </w:pPr>
      <w:r>
        <w:rPr>
          <w:rFonts w:hint="eastAsia" w:ascii="仿宋_GB2312" w:hAnsi="黑体" w:eastAsia="仿宋_GB2312" w:cs="宋体"/>
          <w:bCs/>
          <w:kern w:val="0"/>
          <w:sz w:val="32"/>
          <w:szCs w:val="32"/>
        </w:rPr>
        <w:t>（三）组织研究巩固拓展脱贫攻坚成果、统筹推进乡村振兴战略工作政策理论和重大问题，提出政策性建议，参与相关规划编制和组织实施</w:t>
      </w:r>
      <w:r>
        <w:rPr>
          <w:rFonts w:hint="eastAsia" w:ascii="仿宋_GB2312" w:hAnsi="黑体" w:eastAsia="仿宋_GB2312" w:cs="宋体"/>
          <w:bCs/>
          <w:kern w:val="0"/>
          <w:sz w:val="32"/>
          <w:szCs w:val="32"/>
          <w:lang w:eastAsia="zh-CN"/>
        </w:rPr>
        <w:t>。</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pStyle w:val="7"/>
        <w:numPr>
          <w:ilvl w:val="0"/>
          <w:numId w:val="2"/>
        </w:numPr>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持续巩固脱贫攻坚成果。</w:t>
      </w:r>
    </w:p>
    <w:p>
      <w:pPr>
        <w:numPr>
          <w:ilvl w:val="0"/>
          <w:numId w:val="2"/>
        </w:numPr>
        <w:rPr>
          <w:rFonts w:hint="eastAsia"/>
          <w:lang w:val="en-US" w:eastAsia="zh-CN"/>
        </w:rPr>
      </w:pPr>
      <w:r>
        <w:rPr>
          <w:rFonts w:hint="eastAsia" w:ascii="仿宋_GB2312" w:hAnsi="仿宋_GB2312" w:eastAsia="仿宋_GB2312" w:cs="仿宋_GB2312"/>
          <w:sz w:val="32"/>
          <w:szCs w:val="32"/>
          <w:lang w:val="en-US" w:eastAsia="zh-CN"/>
        </w:rPr>
        <w:t>健全完善防止返贫动态监测和帮扶机制，按照年度监测范围，做好</w:t>
      </w:r>
      <w:r>
        <w:rPr>
          <w:rFonts w:hint="eastAsia" w:ascii="仿宋_GB2312" w:hAnsi="仿宋_GB2312" w:eastAsia="仿宋_GB2312" w:cs="仿宋_GB2312"/>
          <w:sz w:val="32"/>
          <w:szCs w:val="32"/>
          <w:highlight w:val="none"/>
          <w:lang w:val="en-US" w:eastAsia="zh-CN"/>
        </w:rPr>
        <w:t>动态</w:t>
      </w:r>
      <w:r>
        <w:rPr>
          <w:rFonts w:hint="eastAsia" w:ascii="仿宋_GB2312" w:hAnsi="仿宋_GB2312" w:eastAsia="仿宋_GB2312" w:cs="仿宋_GB2312"/>
          <w:sz w:val="32"/>
          <w:szCs w:val="32"/>
          <w:highlight w:val="none"/>
        </w:rPr>
        <w:t>监测</w:t>
      </w:r>
      <w:r>
        <w:rPr>
          <w:rFonts w:hint="eastAsia" w:ascii="仿宋_GB2312" w:hAnsi="仿宋_GB2312" w:eastAsia="仿宋_GB2312" w:cs="仿宋_GB2312"/>
          <w:sz w:val="32"/>
          <w:szCs w:val="32"/>
          <w:highlight w:val="none"/>
          <w:lang w:val="en-US" w:eastAsia="zh-CN"/>
        </w:rPr>
        <w:t>工作</w:t>
      </w:r>
      <w:r>
        <w:rPr>
          <w:rFonts w:hint="eastAsia" w:ascii="仿宋_GB2312" w:hAnsi="仿宋_GB2312" w:eastAsia="仿宋_GB2312" w:cs="仿宋_GB2312"/>
          <w:sz w:val="32"/>
          <w:szCs w:val="32"/>
          <w:highlight w:val="none"/>
          <w:lang w:eastAsia="zh-CN"/>
        </w:rPr>
        <w:t>。</w:t>
      </w:r>
    </w:p>
    <w:p>
      <w:pPr>
        <w:numPr>
          <w:ilvl w:val="0"/>
          <w:numId w:val="2"/>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因地制宜、因户施策，制定2022年监测对象增收工作计划，持续推动监测对象稳定增收。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pPr>
      <w:r>
        <w:rPr>
          <w:rFonts w:hint="eastAsia" w:ascii="仿宋_GB2312" w:hAnsi="仿宋_GB2312" w:eastAsia="仿宋_GB2312" w:cs="仿宋_GB2312"/>
          <w:sz w:val="32"/>
          <w:szCs w:val="32"/>
          <w:lang w:val="en-US" w:eastAsia="zh-CN"/>
        </w:rPr>
        <w:t>(4)稳定完善帮扶政策,</w:t>
      </w:r>
      <w:r>
        <w:rPr>
          <w:rFonts w:hint="eastAsia" w:ascii="仿宋_GB2312" w:hAnsi="仿宋_GB2312" w:eastAsia="仿宋_GB2312" w:cs="仿宋_GB2312"/>
          <w:sz w:val="32"/>
          <w:szCs w:val="32"/>
          <w:highlight w:val="none"/>
          <w:lang w:val="en-US" w:eastAsia="zh-CN"/>
        </w:rPr>
        <w:t>创新工作形式，进一步加强产业合作、技术交流、智力支援，推进产业梯度转移，共同发展。</w:t>
      </w:r>
    </w:p>
    <w:p>
      <w:pPr>
        <w:pStyle w:val="6"/>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hint="eastAsia" w:ascii="仿宋_GB2312" w:eastAsia="仿宋_GB2312"/>
          <w:color w:val="auto"/>
          <w:sz w:val="32"/>
          <w:szCs w:val="32"/>
        </w:rPr>
      </w:pPr>
      <w:r>
        <w:rPr>
          <w:rFonts w:hint="eastAsia" w:ascii="仿宋_GB2312" w:eastAsia="仿宋_GB2312"/>
          <w:color w:val="auto"/>
          <w:sz w:val="32"/>
          <w:szCs w:val="32"/>
        </w:rPr>
        <w:t>我单位决策机制根据行政事业单位内部控制体系建设相关要求，逐步完善《三重一大会议制度》（按单位自身实际决策制度填写），根据制度规定“</w:t>
      </w:r>
      <w:r>
        <w:rPr>
          <w:rFonts w:hint="eastAsia" w:ascii="仿宋_GB2312" w:eastAsia="仿宋_GB2312"/>
          <w:color w:val="auto"/>
          <w:sz w:val="32"/>
          <w:szCs w:val="32"/>
          <w:lang w:val="en-US" w:eastAsia="zh-CN"/>
        </w:rPr>
        <w:t>决策方式和决策程序</w:t>
      </w:r>
      <w:r>
        <w:rPr>
          <w:rFonts w:hint="eastAsia" w:ascii="仿宋_GB2312" w:eastAsia="仿宋_GB2312"/>
          <w:color w:val="auto"/>
          <w:sz w:val="32"/>
          <w:szCs w:val="32"/>
        </w:rPr>
        <w:t>”进行单位事项决策。</w:t>
      </w:r>
    </w:p>
    <w:p>
      <w:pPr>
        <w:spacing w:line="540" w:lineRule="exact"/>
        <w:ind w:firstLine="602" w:firstLineChars="200"/>
        <w:rPr>
          <w:rFonts w:ascii="仿宋_GB2312" w:hAnsi="仿宋_GB2312" w:eastAsia="仿宋_GB2312" w:cs="仿宋_GB2312"/>
          <w:b/>
          <w:sz w:val="30"/>
          <w:szCs w:val="30"/>
        </w:rPr>
      </w:pPr>
      <w:r>
        <w:rPr>
          <w:rFonts w:hint="eastAsia" w:ascii="仿宋_GB2312" w:hAnsi="仿宋_GB2312" w:eastAsia="仿宋_GB2312" w:cs="仿宋_GB2312"/>
          <w:b/>
          <w:sz w:val="30"/>
          <w:szCs w:val="30"/>
          <w:lang w:val="en-US" w:eastAsia="zh-CN"/>
        </w:rPr>
        <w:t>1.</w:t>
      </w:r>
      <w:r>
        <w:rPr>
          <w:rFonts w:hint="eastAsia" w:ascii="仿宋_GB2312" w:hAnsi="仿宋_GB2312" w:eastAsia="仿宋_GB2312" w:cs="仿宋_GB2312"/>
          <w:b/>
          <w:sz w:val="30"/>
          <w:szCs w:val="30"/>
        </w:rPr>
        <w:t>决策方式</w:t>
      </w:r>
    </w:p>
    <w:p>
      <w:pPr>
        <w:spacing w:line="540" w:lineRule="exact"/>
        <w:ind w:firstLine="600" w:firstLineChars="200"/>
        <w:rPr>
          <w:rFonts w:hint="eastAsia" w:ascii="仿宋_GB2312" w:eastAsia="仿宋_GB2312" w:cs="Times New Roman"/>
          <w:color w:val="auto"/>
          <w:sz w:val="32"/>
          <w:szCs w:val="32"/>
        </w:rPr>
      </w:pPr>
      <w:r>
        <w:rPr>
          <w:rFonts w:hint="eastAsia" w:ascii="仿宋_GB2312" w:hAnsi="仿宋_GB2312" w:eastAsia="仿宋_GB2312" w:cs="仿宋_GB2312"/>
          <w:sz w:val="30"/>
          <w:szCs w:val="30"/>
        </w:rPr>
        <w:t xml:space="preserve"> </w:t>
      </w:r>
      <w:r>
        <w:rPr>
          <w:rFonts w:hint="eastAsia" w:ascii="仿宋_GB2312" w:eastAsia="仿宋_GB2312" w:cs="Times New Roman"/>
          <w:color w:val="auto"/>
          <w:sz w:val="32"/>
          <w:szCs w:val="32"/>
        </w:rPr>
        <w:t>“三重一大”事项主要采取领导班子以会议形式集体讨论的形式决策。依照有关规定，“三重一大”事项在提交会议决策之前，要经过必要的民主程序进行论证，广泛征求干部职工意见。</w:t>
      </w:r>
    </w:p>
    <w:p>
      <w:pPr>
        <w:widowControl/>
        <w:ind w:firstLine="640"/>
        <w:jc w:val="left"/>
        <w:rPr>
          <w:rFonts w:hint="eastAsia" w:ascii="仿宋_GB2312" w:eastAsia="仿宋_GB2312" w:cs="仿宋"/>
          <w:b/>
          <w:color w:val="auto"/>
          <w:sz w:val="32"/>
          <w:szCs w:val="32"/>
        </w:rPr>
      </w:pPr>
      <w:r>
        <w:rPr>
          <w:rFonts w:hint="eastAsia" w:ascii="仿宋_GB2312" w:eastAsia="仿宋_GB2312" w:cs="仿宋"/>
          <w:b/>
          <w:color w:val="auto"/>
          <w:sz w:val="32"/>
          <w:szCs w:val="32"/>
          <w:lang w:val="en-US" w:eastAsia="zh-CN"/>
        </w:rPr>
        <w:t>2.</w:t>
      </w:r>
      <w:r>
        <w:rPr>
          <w:rFonts w:hint="eastAsia" w:ascii="仿宋_GB2312" w:eastAsia="仿宋_GB2312" w:cs="仿宋"/>
          <w:b/>
          <w:color w:val="auto"/>
          <w:sz w:val="32"/>
          <w:szCs w:val="32"/>
        </w:rPr>
        <w:t>决策程序</w:t>
      </w:r>
    </w:p>
    <w:p>
      <w:pPr>
        <w:spacing w:line="540" w:lineRule="exact"/>
        <w:ind w:firstLine="640" w:firstLineChars="20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凡属“三重一大”事项，应按规定程序决策，除遇重大突发事件和紧急情况外，应由领导班子以会议形式集体讨论决定，不得以传阅会签或个别征求意见等方式代替集体决策。议题的有关材料要在领导班子会议召开前送达参加人员，并保证其有充足时间了解相关情况。“三重一大”事项决策前，班子成员要通过多种方式对有关议题进行充分酝酿，但不得作出决定或影响集体决策，不能在会上搞临时动议或形式主义。</w:t>
      </w:r>
    </w:p>
    <w:p>
      <w:pPr>
        <w:pStyle w:val="6"/>
        <w:numPr>
          <w:ilvl w:val="0"/>
          <w:numId w:val="3"/>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w:t>
      </w:r>
    </w:p>
    <w:p>
      <w:pPr>
        <w:pStyle w:val="6"/>
        <w:numPr>
          <w:ilvl w:val="0"/>
          <w:numId w:val="3"/>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4"/>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eastAsia="仿宋_GB2312"/>
          <w:bCs/>
          <w:color w:val="auto"/>
          <w:sz w:val="32"/>
          <w:szCs w:val="32"/>
          <w:lang w:val="en-US" w:eastAsia="zh-CN"/>
        </w:rPr>
        <w:t>昌吉市乡村振兴综合保障中心</w:t>
      </w:r>
      <w:r>
        <w:rPr>
          <w:rFonts w:hint="eastAsia" w:ascii="仿宋_GB2312" w:eastAsia="仿宋_GB2312"/>
          <w:bCs/>
          <w:sz w:val="32"/>
          <w:szCs w:val="32"/>
        </w:rPr>
        <w:t>整体支出年初预算金</w:t>
      </w:r>
      <w:r>
        <w:rPr>
          <w:rFonts w:hint="eastAsia" w:ascii="仿宋_GB2312" w:eastAsia="仿宋_GB2312"/>
          <w:bCs/>
          <w:color w:val="auto"/>
          <w:sz w:val="32"/>
          <w:szCs w:val="32"/>
        </w:rPr>
        <w:t>额为</w:t>
      </w:r>
      <w:r>
        <w:rPr>
          <w:rFonts w:hint="eastAsia" w:ascii="仿宋_GB2312" w:eastAsia="仿宋_GB2312"/>
          <w:color w:val="auto"/>
          <w:sz w:val="32"/>
          <w:szCs w:val="32"/>
          <w:lang w:val="en-US" w:eastAsia="zh-CN"/>
        </w:rPr>
        <w:t>263.26</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361.05</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137.14</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8.70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1.72</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19.8</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97.79</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37.14</w:t>
      </w:r>
      <w:r>
        <w:rPr>
          <w:rFonts w:hint="eastAsia" w:ascii="仿宋_GB2312" w:eastAsia="仿宋_GB2312"/>
          <w:color w:val="auto"/>
          <w:sz w:val="32"/>
          <w:szCs w:val="32"/>
        </w:rPr>
        <w:t>%。综上，我单位整体预算总额为</w:t>
      </w:r>
      <w:r>
        <w:rPr>
          <w:rFonts w:hint="eastAsia" w:ascii="仿宋_GB2312" w:eastAsia="仿宋_GB2312"/>
          <w:color w:val="auto"/>
          <w:sz w:val="32"/>
          <w:szCs w:val="32"/>
          <w:lang w:val="en-US" w:eastAsia="zh-CN"/>
        </w:rPr>
        <w:t>361.05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361.05</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r>
        <w:rPr>
          <w:rFonts w:hint="eastAsia" w:ascii="仿宋_GB2312" w:eastAsia="仿宋_GB2312"/>
          <w:sz w:val="32"/>
          <w:szCs w:val="32"/>
        </w:rPr>
        <w:t>。</w:t>
      </w:r>
    </w:p>
    <w:p>
      <w:pPr>
        <w:pStyle w:val="7"/>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7"/>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5"/>
        <w:ind w:firstLine="640"/>
        <w:rPr>
          <w:rFonts w:ascii="黑体" w:hAnsi="黑体"/>
          <w:b w:val="0"/>
          <w:sz w:val="32"/>
          <w:szCs w:val="32"/>
        </w:rPr>
      </w:pPr>
      <w:r>
        <w:rPr>
          <w:rFonts w:hint="eastAsia" w:ascii="黑体" w:hAnsi="黑体"/>
          <w:b w:val="0"/>
          <w:sz w:val="32"/>
          <w:szCs w:val="32"/>
        </w:rPr>
        <w:t>二、部门单位整体支出管理及使用情况</w:t>
      </w:r>
    </w:p>
    <w:p>
      <w:pPr>
        <w:pStyle w:val="6"/>
        <w:numPr>
          <w:ilvl w:val="0"/>
          <w:numId w:val="5"/>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val="en-US" w:eastAsia="zh-CN"/>
        </w:rPr>
        <w:t>财务管理办法和预算资金</w:t>
      </w:r>
      <w:r>
        <w:rPr>
          <w:rFonts w:hint="eastAsia" w:ascii="仿宋_GB2312" w:eastAsia="仿宋_GB2312"/>
          <w:color w:val="auto"/>
          <w:sz w:val="32"/>
          <w:szCs w:val="32"/>
        </w:rPr>
        <w:t>管理办法，并严格按照此管理办法管理使用预算资金，严格按照政府信息公开有关规定及财政部门要求公开相关预决算信息。</w:t>
      </w:r>
    </w:p>
    <w:p>
      <w:pPr>
        <w:pStyle w:val="6"/>
        <w:numPr>
          <w:ilvl w:val="0"/>
          <w:numId w:val="5"/>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昌吉市乡村振兴综合保障中心</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263.26</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331.05</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125.75</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67.79</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331.05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331.05</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322.45</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8.61</w:t>
      </w:r>
      <w:r>
        <w:rPr>
          <w:rFonts w:hint="eastAsia" w:ascii="仿宋_GB2312" w:eastAsia="仿宋_GB2312"/>
          <w:color w:val="auto"/>
          <w:sz w:val="32"/>
          <w:szCs w:val="32"/>
        </w:rPr>
        <w:t>万元。</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2.40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2.60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1.02</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1.02</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增加1.02</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增长100</w:t>
      </w:r>
      <w:r>
        <w:rPr>
          <w:rFonts w:hint="eastAsia" w:ascii="仿宋_GB2312" w:eastAsia="仿宋_GB2312" w:cs="宋体"/>
          <w:color w:val="auto"/>
          <w:sz w:val="32"/>
          <w:szCs w:val="32"/>
        </w:rPr>
        <w:t>%。</w:t>
      </w:r>
    </w:p>
    <w:p>
      <w:pPr>
        <w:pStyle w:val="6"/>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pStyle w:val="7"/>
        <w:ind w:firstLine="640"/>
        <w:rPr>
          <w:b w:val="0"/>
          <w:bCs w:val="0"/>
          <w:color w:val="auto"/>
          <w:sz w:val="32"/>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val="en-US" w:eastAsia="zh-CN"/>
        </w:rPr>
        <w:t>昌吉市乡村振兴综合保障中心</w:t>
      </w:r>
      <w:r>
        <w:rPr>
          <w:rFonts w:hint="eastAsia"/>
          <w:b w:val="0"/>
          <w:bCs w:val="0"/>
          <w:color w:val="auto"/>
          <w:sz w:val="32"/>
        </w:rPr>
        <w:t>项目支出年初预算金额为</w:t>
      </w:r>
      <w:r>
        <w:rPr>
          <w:rFonts w:hint="eastAsia"/>
          <w:b w:val="0"/>
          <w:bCs w:val="0"/>
          <w:color w:val="auto"/>
          <w:sz w:val="32"/>
          <w:lang w:val="en-US" w:eastAsia="zh-CN"/>
        </w:rPr>
        <w:t>0</w:t>
      </w:r>
      <w:r>
        <w:rPr>
          <w:rFonts w:hint="eastAsia"/>
          <w:b w:val="0"/>
          <w:bCs w:val="0"/>
          <w:color w:val="auto"/>
          <w:sz w:val="32"/>
        </w:rPr>
        <w:t>.</w:t>
      </w:r>
      <w:r>
        <w:rPr>
          <w:rFonts w:hint="eastAsia"/>
          <w:b w:val="0"/>
          <w:bCs w:val="0"/>
          <w:color w:val="auto"/>
          <w:sz w:val="32"/>
          <w:lang w:val="en-US" w:eastAsia="zh-CN"/>
        </w:rPr>
        <w:t>00</w:t>
      </w:r>
      <w:r>
        <w:rPr>
          <w:rFonts w:hint="eastAsia"/>
          <w:b w:val="0"/>
          <w:bCs w:val="0"/>
          <w:color w:val="auto"/>
          <w:sz w:val="32"/>
        </w:rPr>
        <w:t>万元，支出金额为</w:t>
      </w:r>
      <w:r>
        <w:rPr>
          <w:rFonts w:hint="eastAsia"/>
          <w:b w:val="0"/>
          <w:bCs w:val="0"/>
          <w:color w:val="auto"/>
          <w:sz w:val="32"/>
          <w:lang w:val="en-US" w:eastAsia="zh-CN"/>
        </w:rPr>
        <w:t>0.00</w:t>
      </w:r>
      <w:r>
        <w:rPr>
          <w:rFonts w:hint="eastAsia"/>
          <w:b w:val="0"/>
          <w:bCs w:val="0"/>
          <w:color w:val="auto"/>
          <w:sz w:val="32"/>
        </w:rPr>
        <w:t>万元，执行率为</w:t>
      </w:r>
      <w:r>
        <w:rPr>
          <w:rFonts w:hint="eastAsia"/>
          <w:b w:val="0"/>
          <w:bCs w:val="0"/>
          <w:color w:val="auto"/>
          <w:sz w:val="32"/>
          <w:lang w:val="en-US" w:eastAsia="zh-CN"/>
        </w:rPr>
        <w:t>0.0</w:t>
      </w:r>
      <w:r>
        <w:rPr>
          <w:rFonts w:hint="eastAsia"/>
          <w:b w:val="0"/>
          <w:bCs w:val="0"/>
          <w:color w:val="auto"/>
          <w:sz w:val="32"/>
        </w:rPr>
        <w:t>%，年中调整预算金额为</w:t>
      </w:r>
      <w:r>
        <w:rPr>
          <w:rFonts w:hint="eastAsia"/>
          <w:b w:val="0"/>
          <w:bCs w:val="0"/>
          <w:color w:val="auto"/>
          <w:sz w:val="32"/>
          <w:lang w:val="en-US" w:eastAsia="zh-CN"/>
        </w:rPr>
        <w:t>30.00</w:t>
      </w:r>
      <w:r>
        <w:rPr>
          <w:rFonts w:hint="eastAsia"/>
          <w:b w:val="0"/>
          <w:bCs w:val="0"/>
          <w:color w:val="auto"/>
          <w:sz w:val="32"/>
        </w:rPr>
        <w:t>万元。综上，我单位项目支出预算总额为</w:t>
      </w:r>
      <w:r>
        <w:rPr>
          <w:rFonts w:hint="eastAsia"/>
          <w:b w:val="0"/>
          <w:bCs w:val="0"/>
          <w:color w:val="auto"/>
          <w:sz w:val="32"/>
          <w:lang w:val="en-US" w:eastAsia="zh-CN"/>
        </w:rPr>
        <w:t>30.00</w:t>
      </w:r>
      <w:r>
        <w:rPr>
          <w:rFonts w:hint="eastAsia"/>
          <w:b w:val="0"/>
          <w:bCs w:val="0"/>
          <w:color w:val="auto"/>
          <w:sz w:val="32"/>
        </w:rPr>
        <w:t>万元，支出总额</w:t>
      </w:r>
      <w:r>
        <w:rPr>
          <w:rFonts w:hint="eastAsia"/>
          <w:b w:val="0"/>
          <w:bCs w:val="0"/>
          <w:color w:val="auto"/>
          <w:sz w:val="32"/>
          <w:lang w:val="en-US" w:eastAsia="zh-CN"/>
        </w:rPr>
        <w:t>30.00</w:t>
      </w:r>
      <w:r>
        <w:rPr>
          <w:rFonts w:hint="eastAsia"/>
          <w:b w:val="0"/>
          <w:bCs w:val="0"/>
          <w:color w:val="auto"/>
          <w:sz w:val="32"/>
        </w:rPr>
        <w:t>万元，预算总执行率为</w:t>
      </w:r>
      <w:r>
        <w:rPr>
          <w:rFonts w:hint="eastAsia"/>
          <w:b w:val="0"/>
          <w:bCs w:val="0"/>
          <w:color w:val="auto"/>
          <w:sz w:val="32"/>
          <w:lang w:val="en-US" w:eastAsia="zh-CN"/>
        </w:rPr>
        <w:t>100.0</w:t>
      </w:r>
      <w:r>
        <w:rPr>
          <w:rFonts w:hint="eastAsia"/>
          <w:b w:val="0"/>
          <w:bCs w:val="0"/>
          <w:color w:val="auto"/>
          <w:sz w:val="32"/>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昌吉市乡村振兴综合保障中心</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rFonts w:hint="eastAsia"/>
          <w:sz w:val="21"/>
          <w:szCs w:val="21"/>
        </w:rPr>
      </w:pPr>
    </w:p>
    <w:p>
      <w:pPr>
        <w:ind w:firstLine="420"/>
        <w:jc w:val="right"/>
        <w:rPr>
          <w:rFonts w:hint="eastAsia"/>
          <w:sz w:val="21"/>
          <w:szCs w:val="21"/>
        </w:rPr>
      </w:pPr>
    </w:p>
    <w:p>
      <w:pPr>
        <w:ind w:firstLine="420"/>
        <w:jc w:val="right"/>
        <w:rPr>
          <w:sz w:val="21"/>
          <w:szCs w:val="21"/>
        </w:rPr>
      </w:pPr>
      <w:r>
        <w:rPr>
          <w:rFonts w:hint="eastAsia"/>
          <w:sz w:val="21"/>
          <w:szCs w:val="21"/>
        </w:rPr>
        <w:t>单位：万元</w:t>
      </w:r>
    </w:p>
    <w:tbl>
      <w:tblPr>
        <w:tblStyle w:val="12"/>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431"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昌吉市精准扶贫对象住房建设项目</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b/>
                <w:bCs/>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r>
    </w:tbl>
    <w:p>
      <w:pPr>
        <w:numPr>
          <w:ilvl w:val="0"/>
          <w:numId w:val="4"/>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1"/>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w:t>
      </w:r>
      <w:r>
        <w:rPr>
          <w:rFonts w:hint="eastAsia" w:ascii="仿宋_GB2312" w:eastAsia="仿宋_GB2312"/>
          <w:color w:val="auto"/>
          <w:sz w:val="32"/>
          <w:szCs w:val="32"/>
          <w:lang w:eastAsia="zh-CN"/>
        </w:rPr>
        <w:t>专项</w:t>
      </w:r>
      <w:r>
        <w:rPr>
          <w:rFonts w:hint="eastAsia" w:ascii="仿宋_GB2312" w:eastAsia="仿宋_GB2312"/>
          <w:color w:val="auto"/>
          <w:sz w:val="32"/>
          <w:szCs w:val="32"/>
        </w:rPr>
        <w:t>项目支出预算。</w:t>
      </w:r>
    </w:p>
    <w:p>
      <w:pPr>
        <w:pStyle w:val="5"/>
        <w:ind w:firstLine="640"/>
        <w:rPr>
          <w:rFonts w:ascii="黑体" w:hAnsi="黑体"/>
          <w:b w:val="0"/>
          <w:sz w:val="32"/>
          <w:szCs w:val="32"/>
        </w:rPr>
      </w:pPr>
      <w:r>
        <w:rPr>
          <w:rFonts w:hint="eastAsia" w:ascii="黑体" w:hAnsi="黑体"/>
          <w:b w:val="0"/>
          <w:sz w:val="32"/>
          <w:szCs w:val="32"/>
        </w:rPr>
        <w:t>三、部门单位专项组织实施情况</w:t>
      </w:r>
    </w:p>
    <w:p>
      <w:pPr>
        <w:pStyle w:val="6"/>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6"/>
        <w:numPr>
          <w:ilvl w:val="0"/>
          <w:numId w:val="6"/>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s="仿宋"/>
          <w:b/>
          <w:bCs/>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p>
    <w:p>
      <w:pPr>
        <w:pStyle w:val="5"/>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6"/>
        <w:numPr>
          <w:ilvl w:val="0"/>
          <w:numId w:val="7"/>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30.34</w:t>
      </w:r>
      <w:r>
        <w:rPr>
          <w:rFonts w:hint="eastAsia" w:ascii="仿宋_GB2312" w:eastAsia="仿宋_GB2312"/>
          <w:color w:val="auto"/>
          <w:sz w:val="32"/>
          <w:szCs w:val="32"/>
        </w:rPr>
        <w:t>万元，较年初资产总额</w:t>
      </w:r>
      <w:r>
        <w:rPr>
          <w:rFonts w:hint="eastAsia" w:ascii="仿宋_GB2312" w:eastAsia="仿宋_GB2312"/>
          <w:color w:val="auto"/>
          <w:sz w:val="32"/>
          <w:szCs w:val="32"/>
          <w:lang w:val="en-US" w:eastAsia="zh-CN"/>
        </w:rPr>
        <w:t>104.88</w:t>
      </w:r>
      <w:r>
        <w:rPr>
          <w:rFonts w:hint="eastAsia" w:ascii="仿宋_GB2312" w:eastAsia="仿宋_GB2312"/>
          <w:color w:val="auto"/>
          <w:sz w:val="32"/>
          <w:szCs w:val="32"/>
        </w:rPr>
        <w:t>减少</w:t>
      </w:r>
      <w:r>
        <w:rPr>
          <w:rFonts w:hint="eastAsia" w:ascii="仿宋_GB2312" w:eastAsia="仿宋_GB2312"/>
          <w:color w:val="auto"/>
          <w:sz w:val="32"/>
          <w:szCs w:val="32"/>
          <w:lang w:val="en-US" w:eastAsia="zh-CN"/>
        </w:rPr>
        <w:t>74.54</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下降71.07</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27.36</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25.88</w:t>
      </w:r>
      <w:r>
        <w:rPr>
          <w:rFonts w:hint="eastAsia" w:ascii="仿宋_GB2312" w:eastAsia="仿宋_GB2312"/>
          <w:color w:val="auto"/>
          <w:sz w:val="32"/>
          <w:szCs w:val="32"/>
        </w:rPr>
        <w:t>万元，较年初流动资产</w:t>
      </w:r>
      <w:r>
        <w:rPr>
          <w:rFonts w:hint="eastAsia" w:ascii="仿宋_GB2312" w:eastAsia="仿宋_GB2312"/>
          <w:color w:val="auto"/>
          <w:sz w:val="32"/>
          <w:szCs w:val="32"/>
          <w:lang w:val="en-US" w:eastAsia="zh-CN"/>
        </w:rPr>
        <w:t>减少1.48</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增长5.41</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2022年度代扣代缴费用增加。</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77.51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78.40</w:t>
      </w:r>
      <w:r>
        <w:rPr>
          <w:rFonts w:hint="eastAsia" w:ascii="仿宋_GB2312" w:eastAsia="仿宋_GB2312"/>
          <w:color w:val="auto"/>
          <w:sz w:val="32"/>
          <w:szCs w:val="32"/>
        </w:rPr>
        <w:t>万元，较年初固定资产增加</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本年度购入两台电脑</w:t>
      </w:r>
      <w:r>
        <w:rPr>
          <w:rFonts w:hint="eastAsia" w:ascii="仿宋_GB2312" w:eastAsia="仿宋_GB2312"/>
          <w:color w:val="auto"/>
          <w:sz w:val="32"/>
          <w:szCs w:val="32"/>
        </w:rPr>
        <w:t>。</w:t>
      </w:r>
    </w:p>
    <w:p>
      <w:pPr>
        <w:pStyle w:val="6"/>
        <w:numPr>
          <w:ilvl w:val="0"/>
          <w:numId w:val="7"/>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11"/>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11"/>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5"/>
        <w:numPr>
          <w:ilvl w:val="0"/>
          <w:numId w:val="8"/>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val="en-US" w:eastAsia="zh-CN"/>
        </w:rPr>
        <w:t>昌吉市乡村振兴综合保障中心</w:t>
      </w:r>
      <w:r>
        <w:rPr>
          <w:rFonts w:hint="eastAsia" w:ascii="仿宋_GB2312" w:eastAsia="仿宋_GB2312"/>
          <w:bCs/>
          <w:color w:val="auto"/>
          <w:spacing w:val="-4"/>
          <w:sz w:val="32"/>
          <w:szCs w:val="32"/>
        </w:rPr>
        <w:t>整体支出绩效目标共设置一级指标3个，二级指标</w:t>
      </w:r>
      <w:r>
        <w:rPr>
          <w:rFonts w:hint="eastAsia" w:ascii="仿宋_GB2312" w:eastAsia="仿宋_GB2312"/>
          <w:bCs/>
          <w:color w:val="auto"/>
          <w:spacing w:val="-4"/>
          <w:sz w:val="32"/>
          <w:szCs w:val="32"/>
          <w:lang w:val="en-US" w:eastAsia="zh-CN"/>
        </w:rPr>
        <w:t>9</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15</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15</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100.00</w:t>
      </w:r>
      <w:r>
        <w:rPr>
          <w:rFonts w:hint="eastAsia" w:ascii="仿宋_GB2312" w:eastAsia="仿宋_GB2312"/>
          <w:bCs/>
          <w:color w:val="auto"/>
          <w:spacing w:val="-4"/>
          <w:sz w:val="32"/>
          <w:szCs w:val="32"/>
        </w:rPr>
        <w:t>%。</w:t>
      </w:r>
    </w:p>
    <w:p>
      <w:pPr>
        <w:pStyle w:val="7"/>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公务保障用车数量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=1.00辆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保障办公人员数量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=21人个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22个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104.76.0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全年走访慰问重点关注家庭次数</w:t>
      </w:r>
      <w:r>
        <w:rPr>
          <w:rFonts w:hint="eastAsia" w:ascii="仿宋_GB2312" w:eastAsia="仿宋_GB2312"/>
          <w:color w:val="auto"/>
          <w:sz w:val="32"/>
          <w:szCs w:val="32"/>
        </w:rPr>
        <w:t>”指标：预期指标值为“=4</w:t>
      </w:r>
      <w:r>
        <w:rPr>
          <w:rFonts w:hint="eastAsia" w:ascii="仿宋_GB2312" w:eastAsia="仿宋_GB2312"/>
          <w:color w:val="auto"/>
          <w:sz w:val="32"/>
          <w:szCs w:val="32"/>
          <w:lang w:eastAsia="zh-CN"/>
        </w:rPr>
        <w:t>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4次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全年区内协作工作对接联系次数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9"/>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整体工作完成率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lang w:val="en-US" w:eastAsia="zh-CN"/>
        </w:rPr>
        <w:t>3</w:t>
      </w:r>
      <w:r>
        <w:rPr>
          <w:rFonts w:hint="eastAsia" w:ascii="仿宋_GB2312" w:eastAsia="仿宋_GB2312"/>
          <w:b w:val="0"/>
          <w:bCs w:val="0"/>
          <w:color w:val="auto"/>
          <w:sz w:val="32"/>
          <w:szCs w:val="32"/>
          <w:lang w:eastAsia="zh-CN"/>
        </w:rPr>
        <w:t>）</w:t>
      </w:r>
      <w:r>
        <w:rPr>
          <w:rFonts w:hint="eastAsia" w:ascii="仿宋_GB2312" w:eastAsia="仿宋_GB2312"/>
          <w:color w:val="auto"/>
          <w:sz w:val="32"/>
          <w:szCs w:val="32"/>
        </w:rPr>
        <w:t>时效指标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人员经费支付及时率</w:t>
      </w:r>
      <w:r>
        <w:rPr>
          <w:rFonts w:hint="eastAsia" w:ascii="仿宋_GB2312" w:eastAsia="仿宋_GB2312"/>
          <w:color w:val="auto"/>
          <w:sz w:val="32"/>
          <w:szCs w:val="32"/>
        </w:rPr>
        <w:t>”指标：预期指标值为“</w:t>
      </w:r>
      <w:r>
        <w:rPr>
          <w:rFonts w:hint="eastAsia"/>
          <w:b w:val="0"/>
          <w:bCs w:val="0"/>
          <w:color w:val="auto"/>
          <w:sz w:val="32"/>
          <w:szCs w:val="32"/>
          <w:lang w:val="en-US" w:eastAsia="zh-CN"/>
        </w:rPr>
        <w:t>=</w:t>
      </w:r>
      <w:r>
        <w:rPr>
          <w:rFonts w:hint="eastAsia" w:ascii="仿宋_GB2312" w:eastAsia="仿宋_GB2312"/>
          <w:b w:val="0"/>
          <w:bCs w:val="0"/>
          <w:color w:val="auto"/>
          <w:sz w:val="32"/>
          <w:szCs w:val="32"/>
          <w:lang w:val="en-US" w:eastAsia="zh-CN"/>
        </w:rPr>
        <w:t>100.00%</w:t>
      </w:r>
      <w:r>
        <w:rPr>
          <w:rFonts w:hint="eastAsia" w:ascii="仿宋_GB2312" w:eastAsia="仿宋_GB2312"/>
          <w:color w:val="auto"/>
          <w:sz w:val="32"/>
          <w:szCs w:val="32"/>
        </w:rPr>
        <w:t>”，实际完成指标值为“</w:t>
      </w:r>
      <w:r>
        <w:rPr>
          <w:rFonts w:hint="eastAsia" w:ascii="仿宋_GB2312" w:eastAsia="仿宋_GB2312"/>
          <w:b w:val="0"/>
          <w:bCs w:val="0"/>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公用经费支付及时率</w:t>
      </w:r>
      <w:r>
        <w:rPr>
          <w:rFonts w:hint="eastAsia" w:ascii="仿宋_GB2312" w:eastAsia="仿宋_GB2312"/>
          <w:color w:val="auto"/>
          <w:sz w:val="32"/>
          <w:szCs w:val="32"/>
        </w:rPr>
        <w:t>”指标：预期指标值为“</w:t>
      </w:r>
      <w:r>
        <w:rPr>
          <w:rFonts w:hint="eastAsia"/>
          <w:b w:val="0"/>
          <w:bCs w:val="0"/>
          <w:color w:val="auto"/>
          <w:sz w:val="32"/>
          <w:szCs w:val="32"/>
          <w:lang w:val="en-US" w:eastAsia="zh-CN"/>
        </w:rPr>
        <w:t>=</w:t>
      </w:r>
      <w:r>
        <w:rPr>
          <w:rFonts w:hint="eastAsia" w:ascii="仿宋_GB2312" w:eastAsia="仿宋_GB2312"/>
          <w:b w:val="0"/>
          <w:bCs w:val="0"/>
          <w:color w:val="auto"/>
          <w:sz w:val="32"/>
          <w:szCs w:val="32"/>
          <w:lang w:val="en-US" w:eastAsia="zh-CN"/>
        </w:rPr>
        <w:t>100.00%</w:t>
      </w:r>
      <w:r>
        <w:rPr>
          <w:rFonts w:hint="eastAsia" w:ascii="仿宋_GB2312" w:eastAsia="仿宋_GB2312"/>
          <w:color w:val="auto"/>
          <w:sz w:val="32"/>
          <w:szCs w:val="32"/>
        </w:rPr>
        <w:t>”，实际完成指标值为“</w:t>
      </w:r>
      <w:r>
        <w:rPr>
          <w:rFonts w:hint="eastAsia" w:ascii="仿宋_GB2312" w:eastAsia="仿宋_GB2312"/>
          <w:b w:val="0"/>
          <w:bCs w:val="0"/>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0"/>
        </w:numPr>
        <w:ind w:firstLine="960" w:firstLineChars="300"/>
        <w:rPr>
          <w:rFonts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w:t>
      </w: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保障公务用车资金数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=2.4万元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2.4万元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年度公用运转经费数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=16.52万元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8.61万元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52.12</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保障办公人员工资福利支出</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=173.52万元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260.23万元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149.97</w:t>
      </w:r>
      <w:r>
        <w:rPr>
          <w:rFonts w:hint="eastAsia" w:ascii="仿宋_GB2312" w:eastAsia="仿宋_GB2312"/>
          <w:color w:val="auto"/>
          <w:sz w:val="32"/>
          <w:szCs w:val="32"/>
        </w:rPr>
        <w:t>%;</w:t>
      </w:r>
    </w:p>
    <w:p>
      <w:pPr>
        <w:ind w:firstLine="640"/>
        <w:rPr>
          <w:rFonts w:hint="eastAsia" w:eastAsia="仿宋_GB2312"/>
          <w:lang w:eastAsia="zh-CN"/>
        </w:rPr>
      </w:pPr>
      <w:r>
        <w:rPr>
          <w:rFonts w:hint="eastAsia" w:ascii="仿宋_GB2312" w:eastAsia="仿宋_GB2312"/>
          <w:color w:val="auto"/>
          <w:sz w:val="32"/>
          <w:szCs w:val="32"/>
          <w:lang w:eastAsia="zh-CN"/>
        </w:rPr>
        <w:t>“保障办公人员经费其他支出数”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=70.82万元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70.82万元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7"/>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通过对收入相对低下家族的巩固和帮扶，家族收入逐步提高并稳定</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进一步提高</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持续动态监测和帮扶</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逐步加强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7"/>
        <w:ind w:firstLine="640"/>
        <w:rPr>
          <w:sz w:val="32"/>
        </w:rPr>
      </w:pPr>
      <w:r>
        <w:rPr>
          <w:rFonts w:hint="eastAsia"/>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服务对象满意度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eastAsia="仿宋_GB2312"/>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职工满意度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5"/>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ascii="仿宋_GB2312" w:eastAsia="仿宋_GB2312"/>
          <w:color w:val="auto"/>
          <w:spacing w:val="-4"/>
          <w:sz w:val="32"/>
          <w:szCs w:val="32"/>
        </w:rPr>
      </w:pPr>
      <w:r>
        <w:rPr>
          <w:rFonts w:hint="eastAsia" w:ascii="仿宋_GB2312" w:eastAsia="仿宋_GB2312"/>
          <w:color w:val="auto"/>
          <w:spacing w:val="-4"/>
          <w:sz w:val="32"/>
          <w:szCs w:val="32"/>
        </w:rPr>
        <w:t>“202</w:t>
      </w:r>
      <w:r>
        <w:rPr>
          <w:rFonts w:hint="eastAsia" w:ascii="仿宋_GB2312" w:eastAsia="仿宋_GB2312"/>
          <w:color w:val="auto"/>
          <w:spacing w:val="-4"/>
          <w:sz w:val="32"/>
          <w:szCs w:val="32"/>
          <w:lang w:val="en-US" w:eastAsia="zh-CN"/>
        </w:rPr>
        <w:t>2</w:t>
      </w:r>
      <w:r>
        <w:rPr>
          <w:rFonts w:hint="eastAsia" w:ascii="仿宋_GB2312" w:eastAsia="仿宋_GB2312"/>
          <w:color w:val="auto"/>
          <w:spacing w:val="-4"/>
          <w:sz w:val="32"/>
          <w:szCs w:val="32"/>
        </w:rPr>
        <w:t>年本单位整体支出绩效目标全部达成，不存在未完成原因分析。</w:t>
      </w:r>
    </w:p>
    <w:p>
      <w:pPr>
        <w:pStyle w:val="5"/>
        <w:ind w:firstLine="640"/>
        <w:rPr>
          <w:rFonts w:hint="eastAsia" w:ascii="仿宋_GB2312" w:eastAsia="仿宋_GB2312"/>
          <w:bCs/>
          <w:color w:val="FF0000"/>
          <w:spacing w:val="-4"/>
          <w:sz w:val="32"/>
          <w:szCs w:val="32"/>
        </w:rPr>
      </w:pPr>
      <w:r>
        <w:rPr>
          <w:rFonts w:hint="eastAsia" w:ascii="黑体" w:hAnsi="黑体"/>
          <w:b w:val="0"/>
          <w:sz w:val="32"/>
          <w:szCs w:val="32"/>
        </w:rPr>
        <w:t>七、改进措施和建议</w:t>
      </w:r>
    </w:p>
    <w:p>
      <w:pPr>
        <w:numPr>
          <w:ilvl w:val="0"/>
          <w:numId w:val="0"/>
        </w:numPr>
        <w:spacing w:line="560" w:lineRule="exact"/>
        <w:ind w:firstLine="624" w:firstLineChars="200"/>
        <w:jc w:val="left"/>
        <w:rPr>
          <w:rStyle w:val="14"/>
          <w:rFonts w:ascii="仿宋_GB2312" w:eastAsia="仿宋_GB2312" w:hAnsiTheme="minorEastAsia" w:cstheme="minorEastAsia"/>
          <w:b w:val="0"/>
          <w:bCs w:val="0"/>
          <w:kern w:val="0"/>
          <w:sz w:val="32"/>
          <w:szCs w:val="32"/>
        </w:rPr>
      </w:pPr>
      <w:r>
        <w:rPr>
          <w:rStyle w:val="14"/>
          <w:rFonts w:hint="eastAsia" w:ascii="仿宋_GB2312" w:hAnsi="仿宋" w:eastAsia="仿宋_GB2312" w:cs="仿宋"/>
          <w:b w:val="0"/>
          <w:bCs w:val="0"/>
          <w:spacing w:val="-4"/>
          <w:sz w:val="32"/>
          <w:szCs w:val="32"/>
        </w:rPr>
        <w:t>年初虽然制定</w:t>
      </w:r>
      <w:r>
        <w:rPr>
          <w:rFonts w:hint="eastAsia" w:ascii="仿宋_GB2312" w:hAnsi="宋体" w:eastAsia="仿宋_GB2312"/>
          <w:sz w:val="32"/>
          <w:szCs w:val="32"/>
        </w:rPr>
        <w:t>细化了全年的预算支出指标，但是在实际支付过程中，年末和整体绩效目标还是存在一定的差异。</w:t>
      </w:r>
      <w:r>
        <w:rPr>
          <w:rFonts w:hint="eastAsia" w:ascii="仿宋_GB2312" w:eastAsia="仿宋_GB2312" w:hAnsiTheme="minorEastAsia" w:cstheme="minorEastAsia"/>
          <w:kern w:val="0"/>
          <w:sz w:val="32"/>
          <w:szCs w:val="32"/>
        </w:rPr>
        <w:t>需要在今后的工作中不断探索研究制定日益完善的预算绩</w:t>
      </w:r>
      <w:r>
        <w:rPr>
          <w:rFonts w:hint="eastAsia" w:ascii="仿宋_GB2312" w:eastAsia="仿宋_GB2312" w:hAnsiTheme="minorEastAsia" w:cstheme="minorEastAsia"/>
          <w:kern w:val="0"/>
          <w:sz w:val="32"/>
          <w:szCs w:val="32"/>
          <w:lang w:eastAsia="zh-CN"/>
        </w:rPr>
        <w:t>效</w:t>
      </w:r>
      <w:r>
        <w:rPr>
          <w:rFonts w:hint="eastAsia" w:ascii="仿宋_GB2312" w:eastAsia="仿宋_GB2312" w:hAnsiTheme="minorEastAsia" w:cstheme="minorEastAsia"/>
          <w:kern w:val="0"/>
          <w:sz w:val="32"/>
          <w:szCs w:val="32"/>
        </w:rPr>
        <w:t>监控制度，原因分析：对预算绩效管理工作没有丰富的工作经验；工作组织中缺少具有丰富绩效管理的人员; 责任监管制度不够完善有待进一步探索研究加以完善</w:t>
      </w:r>
      <w:r>
        <w:rPr>
          <w:rFonts w:hint="eastAsia" w:ascii="仿宋_GB2312" w:eastAsia="仿宋_GB2312" w:hAnsiTheme="minorEastAsia" w:cstheme="minorEastAsia"/>
          <w:kern w:val="0"/>
          <w:sz w:val="32"/>
          <w:szCs w:val="32"/>
          <w:lang w:eastAsia="zh-CN"/>
        </w:rPr>
        <w:t>。</w:t>
      </w:r>
      <w:r>
        <w:rPr>
          <w:rFonts w:hint="eastAsia" w:ascii="仿宋_GB2312" w:eastAsia="仿宋_GB2312" w:hAnsiTheme="minorEastAsia" w:cstheme="minorEastAsia"/>
          <w:kern w:val="0"/>
          <w:sz w:val="32"/>
          <w:szCs w:val="32"/>
        </w:rPr>
        <w:t>明确绩效评价工作职责分工</w:t>
      </w:r>
      <w:r>
        <w:rPr>
          <w:rFonts w:hint="eastAsia" w:ascii="仿宋_GB2312" w:eastAsia="仿宋_GB2312" w:hAnsiTheme="minorEastAsia" w:cstheme="minorEastAsia"/>
          <w:kern w:val="0"/>
          <w:sz w:val="32"/>
          <w:szCs w:val="32"/>
          <w:lang w:eastAsia="zh-CN"/>
        </w:rPr>
        <w:t>，</w:t>
      </w:r>
      <w:r>
        <w:rPr>
          <w:rFonts w:hint="eastAsia" w:ascii="仿宋_GB2312" w:eastAsia="仿宋_GB2312" w:hAnsiTheme="minorEastAsia" w:cstheme="minorEastAsia"/>
          <w:kern w:val="0"/>
          <w:sz w:val="32"/>
          <w:szCs w:val="32"/>
        </w:rPr>
        <w:t>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 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不定期进行绩效过程监控，及时发现问题及时调整。在实际操作中，不断总结经验，向上级部门和统计部门学习，掌握丰富的工作经验，加以完善。</w:t>
      </w:r>
    </w:p>
    <w:p>
      <w:pPr>
        <w:pStyle w:val="5"/>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p>
      <w:pPr>
        <w:pStyle w:val="7"/>
        <w:rPr>
          <w:rFonts w:hint="eastAsia"/>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59"/>
        <w:gridCol w:w="792"/>
        <w:gridCol w:w="942"/>
        <w:gridCol w:w="1248"/>
        <w:gridCol w:w="876"/>
        <w:gridCol w:w="876"/>
        <w:gridCol w:w="601"/>
        <w:gridCol w:w="1096"/>
        <w:gridCol w:w="876"/>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560"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439"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昌吉市乡村振兴综合保障中心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115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80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316"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3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15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0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15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保障人员运转经费</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用于保障单位人员发放工资福利支出及对个人和家族补助</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244.34</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244.34</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322.45</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322.45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15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保障公用经费</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用于日常办公、三公经费、工会经费、福利费及其他商品和服务支出</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18.92</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18.92</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8.61</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8.61</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96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4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263.26</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263.26</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331.06</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331.06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241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18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41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单位职能：（一）贯彻执行国家、区州巩固拓展脱贫攻坚成果、推进乡村振兴战略方针政策和法律法规；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          （二）围绕统筹推进巩固拓展脱贫攻坚成果、实施乡村振兴战略相关工作；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          （三）组织研究巩固拓展脱贫攻坚成果、统筹推进乡村振兴战略工作政策理论和重大问题，提出政策性建议，参与相关规划编制和组织实施；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本年度计划投入263.26万元，主要保障21名工作人员的工资福利支出，保障单位1辆公务用车正常运转，保障单位正常业务开展,使职工满意度达到90%以上。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完成巩固“两不愁三保障”成果；实施动态监测和帮扶机制。通过对收入相对低下家庭帮扶，家庭收入逐步提高并稳定，公众满意度能达到90%以上。</w:t>
            </w:r>
          </w:p>
        </w:tc>
        <w:tc>
          <w:tcPr>
            <w:tcW w:w="218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本年度实际投入331.06万元，主要保障22名工作人员的工资福利支出，保障单位1辆公务用车正常运转，保障单位正常业务开展,使职工满意度达到90%以上。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完成巩固“两不愁三保障”成果；实施动态监测和帮扶机制。通过对收入相对低下家庭帮扶，家庭收入逐步提高并稳定，公众满意度能达到90%以上。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5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=1.00辆</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=1辆</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=21.00人</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=22人</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全年走访慰问重点关注家庭次数</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&gt;=4.00次</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&gt;=4次</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全年区内协作工作对接联系次数</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=2.00次</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=2次</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整体工作完成率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人员经费支付及时率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保障公务用车资金数</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=2.40万元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=1.02万元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年度公用运转经费数</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=16.52万元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=8.61万元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保障办公人员工资福利支出</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=173.52万元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=260.23万元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保障办公人员经费其他支出数</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=70.82万元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=70.82万元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通过对收入相对低下家族的巩固和帮扶，家族收入逐步提高并稳定</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进一步提高</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持续动态监测和帮扶</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逐步加强</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服务对象满意度</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7"/>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003E01BD" w:csb1="0000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0000000000000000000"/>
    <w:charset w:val="00"/>
    <w:family w:val="auto"/>
    <w:pitch w:val="default"/>
    <w:sig w:usb0="00000000" w:usb1="00000000" w:usb2="00000000" w:usb3="00000000" w:csb0="00000000"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9"/>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215B86E"/>
    <w:multiLevelType w:val="singleLevel"/>
    <w:tmpl w:val="F215B86E"/>
    <w:lvl w:ilvl="0" w:tentative="0">
      <w:start w:val="1"/>
      <w:numFmt w:val="decimal"/>
      <w:suff w:val="nothing"/>
      <w:lvlText w:val="（%1）"/>
      <w:lvlJc w:val="left"/>
    </w:lvl>
  </w:abstractNum>
  <w:abstractNum w:abstractNumId="3">
    <w:nsid w:val="F68CBA3B"/>
    <w:multiLevelType w:val="singleLevel"/>
    <w:tmpl w:val="F68CBA3B"/>
    <w:lvl w:ilvl="0" w:tentative="0">
      <w:start w:val="2"/>
      <w:numFmt w:val="decimal"/>
      <w:suff w:val="nothing"/>
      <w:lvlText w:val="（%1）"/>
      <w:lvlJc w:val="left"/>
    </w:lvl>
  </w:abstractNum>
  <w:abstractNum w:abstractNumId="4">
    <w:nsid w:val="F6B52E37"/>
    <w:multiLevelType w:val="singleLevel"/>
    <w:tmpl w:val="F6B52E37"/>
    <w:lvl w:ilvl="0" w:tentative="0">
      <w:start w:val="2"/>
      <w:numFmt w:val="chineseCounting"/>
      <w:suff w:val="nothing"/>
      <w:lvlText w:val="（%1）"/>
      <w:lvlJc w:val="left"/>
      <w:rPr>
        <w:rFonts w:hint="eastAsia"/>
      </w:rPr>
    </w:lvl>
  </w:abstractNum>
  <w:abstractNum w:abstractNumId="5">
    <w:nsid w:val="FB7AFB3F"/>
    <w:multiLevelType w:val="singleLevel"/>
    <w:tmpl w:val="FB7AFB3F"/>
    <w:lvl w:ilvl="0" w:tentative="0">
      <w:start w:val="2"/>
      <w:numFmt w:val="decimal"/>
      <w:suff w:val="nothing"/>
      <w:lvlText w:val="%1."/>
      <w:lvlJc w:val="left"/>
    </w:lvl>
  </w:abstractNum>
  <w:abstractNum w:abstractNumId="6">
    <w:nsid w:val="225C8922"/>
    <w:multiLevelType w:val="singleLevel"/>
    <w:tmpl w:val="225C8922"/>
    <w:lvl w:ilvl="0" w:tentative="0">
      <w:start w:val="1"/>
      <w:numFmt w:val="decimal"/>
      <w:suff w:val="space"/>
      <w:lvlText w:val="%1."/>
      <w:lvlJc w:val="left"/>
    </w:lvl>
  </w:abstractNum>
  <w:abstractNum w:abstractNumId="7">
    <w:nsid w:val="282FBCCD"/>
    <w:multiLevelType w:val="singleLevel"/>
    <w:tmpl w:val="282FBCCD"/>
    <w:lvl w:ilvl="0" w:tentative="0">
      <w:start w:val="3"/>
      <w:numFmt w:val="chineseCounting"/>
      <w:suff w:val="nothing"/>
      <w:lvlText w:val="（%1）"/>
      <w:lvlJc w:val="left"/>
      <w:rPr>
        <w:rFonts w:hint="eastAsia"/>
      </w:rPr>
    </w:lvl>
  </w:abstractNum>
  <w:abstractNum w:abstractNumId="8">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5"/>
  </w:num>
  <w:num w:numId="2">
    <w:abstractNumId w:val="2"/>
  </w:num>
  <w:num w:numId="3">
    <w:abstractNumId w:val="7"/>
  </w:num>
  <w:num w:numId="4">
    <w:abstractNumId w:val="6"/>
  </w:num>
  <w:num w:numId="5">
    <w:abstractNumId w:val="8"/>
  </w:num>
  <w:num w:numId="6">
    <w:abstractNumId w:val="4"/>
  </w:num>
  <w:num w:numId="7">
    <w:abstractNumId w:val="0"/>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hN2FlNDg1ZDIxYmQ4ZGRhZGNkY2RjY2JiZmE4ZG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6FC"/>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A15406"/>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C04D1"/>
    <w:rsid w:val="0E9E33B0"/>
    <w:rsid w:val="0EF905AA"/>
    <w:rsid w:val="0F140AC0"/>
    <w:rsid w:val="0F14215B"/>
    <w:rsid w:val="0F3C74C6"/>
    <w:rsid w:val="0F55408E"/>
    <w:rsid w:val="0FE06440"/>
    <w:rsid w:val="1049193F"/>
    <w:rsid w:val="10566744"/>
    <w:rsid w:val="10625CF9"/>
    <w:rsid w:val="10950DBA"/>
    <w:rsid w:val="10B52A92"/>
    <w:rsid w:val="10D40475"/>
    <w:rsid w:val="10DA2CC2"/>
    <w:rsid w:val="113051CE"/>
    <w:rsid w:val="114E5553"/>
    <w:rsid w:val="1193547A"/>
    <w:rsid w:val="1199679A"/>
    <w:rsid w:val="11B513B1"/>
    <w:rsid w:val="11C51460"/>
    <w:rsid w:val="12160F32"/>
    <w:rsid w:val="121640C3"/>
    <w:rsid w:val="129C5FBF"/>
    <w:rsid w:val="132A631E"/>
    <w:rsid w:val="13332723"/>
    <w:rsid w:val="13336BAF"/>
    <w:rsid w:val="134D7FF4"/>
    <w:rsid w:val="13A27094"/>
    <w:rsid w:val="13B42D72"/>
    <w:rsid w:val="13D06674"/>
    <w:rsid w:val="13D44D7F"/>
    <w:rsid w:val="13F50DC7"/>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88673C"/>
    <w:rsid w:val="19B05D52"/>
    <w:rsid w:val="19FC0A98"/>
    <w:rsid w:val="1A0D43A0"/>
    <w:rsid w:val="1A50150C"/>
    <w:rsid w:val="1A6D0082"/>
    <w:rsid w:val="1AE12836"/>
    <w:rsid w:val="1AE925F4"/>
    <w:rsid w:val="1B234950"/>
    <w:rsid w:val="1B2706B9"/>
    <w:rsid w:val="1B421E7E"/>
    <w:rsid w:val="1B64461F"/>
    <w:rsid w:val="1B6B7B31"/>
    <w:rsid w:val="1B9C3AE1"/>
    <w:rsid w:val="1BCD48DA"/>
    <w:rsid w:val="1C0E12CD"/>
    <w:rsid w:val="1C3C0819"/>
    <w:rsid w:val="1C5A6A79"/>
    <w:rsid w:val="1C603202"/>
    <w:rsid w:val="1C9A0200"/>
    <w:rsid w:val="1CCE5055"/>
    <w:rsid w:val="1CD529D6"/>
    <w:rsid w:val="1DEB6607"/>
    <w:rsid w:val="1DED007E"/>
    <w:rsid w:val="1DFB6F14"/>
    <w:rsid w:val="1E47773B"/>
    <w:rsid w:val="1E4B6E86"/>
    <w:rsid w:val="1F0539AE"/>
    <w:rsid w:val="1F23133F"/>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7014E"/>
    <w:rsid w:val="21BF20AD"/>
    <w:rsid w:val="21C43928"/>
    <w:rsid w:val="21F330F9"/>
    <w:rsid w:val="22235E02"/>
    <w:rsid w:val="228C2437"/>
    <w:rsid w:val="22AA70CA"/>
    <w:rsid w:val="22BB45DE"/>
    <w:rsid w:val="22F97F47"/>
    <w:rsid w:val="23585C4E"/>
    <w:rsid w:val="236A7EFE"/>
    <w:rsid w:val="23765811"/>
    <w:rsid w:val="23805685"/>
    <w:rsid w:val="23880F1A"/>
    <w:rsid w:val="23A43F46"/>
    <w:rsid w:val="23BA6588"/>
    <w:rsid w:val="23DC635E"/>
    <w:rsid w:val="23DF7B59"/>
    <w:rsid w:val="248879F4"/>
    <w:rsid w:val="24A97FDF"/>
    <w:rsid w:val="24BC01CD"/>
    <w:rsid w:val="24C25CD7"/>
    <w:rsid w:val="24D01514"/>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4C6DFB"/>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4EC3BCC"/>
    <w:rsid w:val="35031EB5"/>
    <w:rsid w:val="35DE49C0"/>
    <w:rsid w:val="35FA7EA7"/>
    <w:rsid w:val="363B291C"/>
    <w:rsid w:val="363E1F63"/>
    <w:rsid w:val="37206D7C"/>
    <w:rsid w:val="375B421F"/>
    <w:rsid w:val="37905AF3"/>
    <w:rsid w:val="37A34800"/>
    <w:rsid w:val="37B17BA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DF72F7B"/>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2F727ED"/>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976382D"/>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0D77494"/>
    <w:rsid w:val="51525315"/>
    <w:rsid w:val="515C17D5"/>
    <w:rsid w:val="519223A8"/>
    <w:rsid w:val="51B45CF8"/>
    <w:rsid w:val="51BC69A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8A041F"/>
    <w:rsid w:val="5EAC236D"/>
    <w:rsid w:val="5EDB0D8B"/>
    <w:rsid w:val="5F096FA4"/>
    <w:rsid w:val="5F3732A8"/>
    <w:rsid w:val="5FCC33D8"/>
    <w:rsid w:val="60033350"/>
    <w:rsid w:val="602266C7"/>
    <w:rsid w:val="603B7C36"/>
    <w:rsid w:val="60534AA3"/>
    <w:rsid w:val="60680187"/>
    <w:rsid w:val="606D776E"/>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9B742C"/>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6E32C7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016770"/>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5301BA"/>
    <w:rsid w:val="728971FB"/>
    <w:rsid w:val="72D06024"/>
    <w:rsid w:val="733878DA"/>
    <w:rsid w:val="734779C2"/>
    <w:rsid w:val="7372294D"/>
    <w:rsid w:val="73BF73C1"/>
    <w:rsid w:val="73C23920"/>
    <w:rsid w:val="73F201AA"/>
    <w:rsid w:val="73F56F27"/>
    <w:rsid w:val="745E33A9"/>
    <w:rsid w:val="74802249"/>
    <w:rsid w:val="74EB4810"/>
    <w:rsid w:val="74EC2851"/>
    <w:rsid w:val="75155729"/>
    <w:rsid w:val="7521699E"/>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5F2994"/>
    <w:rsid w:val="7CC04CEF"/>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5">
    <w:name w:val="heading 1"/>
    <w:basedOn w:val="1"/>
    <w:next w:val="1"/>
    <w:qFormat/>
    <w:uiPriority w:val="0"/>
    <w:pPr>
      <w:keepNext/>
      <w:keepLines/>
      <w:jc w:val="left"/>
      <w:outlineLvl w:val="0"/>
    </w:pPr>
    <w:rPr>
      <w:rFonts w:ascii="宋体" w:hAnsi="宋体" w:eastAsia="黑体"/>
      <w:b/>
      <w:bCs/>
      <w:kern w:val="44"/>
      <w:szCs w:val="44"/>
    </w:rPr>
  </w:style>
  <w:style w:type="paragraph" w:styleId="6">
    <w:name w:val="heading 2"/>
    <w:basedOn w:val="1"/>
    <w:next w:val="1"/>
    <w:unhideWhenUsed/>
    <w:qFormat/>
    <w:uiPriority w:val="0"/>
    <w:pPr>
      <w:keepNext/>
      <w:keepLines/>
      <w:outlineLvl w:val="1"/>
    </w:pPr>
    <w:rPr>
      <w:rFonts w:ascii="Arial" w:hAnsi="Arial" w:eastAsia="楷体"/>
      <w:b/>
      <w:sz w:val="32"/>
    </w:rPr>
  </w:style>
  <w:style w:type="paragraph" w:styleId="7">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Body Text First Indent1"/>
    <w:basedOn w:val="3"/>
    <w:qFormat/>
    <w:uiPriority w:val="0"/>
  </w:style>
  <w:style w:type="paragraph" w:styleId="3">
    <w:name w:val="Body Text"/>
    <w:basedOn w:val="1"/>
    <w:next w:val="4"/>
    <w:qFormat/>
    <w:uiPriority w:val="99"/>
    <w:pPr>
      <w:spacing w:after="120"/>
    </w:pPr>
    <w:rPr>
      <w:rFonts w:ascii="Times New Roman" w:hAnsi="Times New Roman" w:eastAsia="宋体"/>
    </w:rPr>
  </w:style>
  <w:style w:type="paragraph" w:customStyle="1" w:styleId="4">
    <w:name w:val="Quote1"/>
    <w:next w:val="1"/>
    <w:qFormat/>
    <w:uiPriority w:val="0"/>
    <w:pPr>
      <w:wordWrap w:val="0"/>
      <w:spacing w:before="200" w:beforeLines="0" w:after="160" w:afterLines="0"/>
      <w:ind w:left="864" w:right="864"/>
      <w:jc w:val="center"/>
    </w:pPr>
    <w:rPr>
      <w:rFonts w:ascii="Times New Roman" w:hAnsi="Times New Roman" w:eastAsia="宋体" w:cs="Times New Roman"/>
      <w:i/>
      <w:sz w:val="21"/>
      <w:szCs w:val="22"/>
      <w:lang w:val="en-US" w:eastAsia="zh-CN" w:bidi="ar-SA"/>
    </w:rPr>
  </w:style>
  <w:style w:type="paragraph" w:styleId="8">
    <w:name w:val="annotation text"/>
    <w:basedOn w:val="1"/>
    <w:qFormat/>
    <w:uiPriority w:val="0"/>
    <w:pPr>
      <w:jc w:val="left"/>
    </w:pPr>
  </w:style>
  <w:style w:type="paragraph" w:styleId="9">
    <w:name w:val="footer"/>
    <w:basedOn w:val="1"/>
    <w:link w:val="22"/>
    <w:qFormat/>
    <w:uiPriority w:val="99"/>
    <w:pPr>
      <w:tabs>
        <w:tab w:val="center" w:pos="4153"/>
        <w:tab w:val="right" w:pos="8306"/>
      </w:tabs>
      <w:snapToGrid w:val="0"/>
      <w:jc w:val="left"/>
    </w:pPr>
    <w:rPr>
      <w:rFonts w:ascii="Times New Roman" w:hAnsi="Times New Roman"/>
      <w:sz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spacing w:before="100" w:beforeAutospacing="1" w:after="100" w:afterAutospacing="1"/>
      <w:jc w:val="left"/>
    </w:pPr>
    <w:rPr>
      <w:sz w:val="24"/>
    </w:rPr>
  </w:style>
  <w:style w:type="character" w:styleId="14">
    <w:name w:val="Strong"/>
    <w:basedOn w:val="13"/>
    <w:qFormat/>
    <w:uiPriority w:val="0"/>
    <w:rPr>
      <w:b/>
      <w:bCs/>
    </w:r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6">
    <w:name w:val="List Paragraph"/>
    <w:basedOn w:val="1"/>
    <w:unhideWhenUsed/>
    <w:qFormat/>
    <w:uiPriority w:val="99"/>
    <w:pPr>
      <w:ind w:firstLine="420"/>
    </w:pPr>
  </w:style>
  <w:style w:type="paragraph" w:customStyle="1" w:styleId="17">
    <w:name w:val="样式1"/>
    <w:basedOn w:val="1"/>
    <w:link w:val="19"/>
    <w:qFormat/>
    <w:uiPriority w:val="0"/>
    <w:pPr>
      <w:ind w:firstLine="560"/>
    </w:pPr>
  </w:style>
  <w:style w:type="paragraph" w:customStyle="1" w:styleId="18">
    <w:name w:val="样式2"/>
    <w:basedOn w:val="10"/>
    <w:link w:val="21"/>
    <w:qFormat/>
    <w:uiPriority w:val="0"/>
    <w:pPr>
      <w:pBdr>
        <w:bottom w:val="none" w:color="auto" w:sz="0" w:space="0"/>
      </w:pBdr>
      <w:ind w:firstLine="360"/>
    </w:pPr>
  </w:style>
  <w:style w:type="character" w:customStyle="1" w:styleId="19">
    <w:name w:val="样式1 Char"/>
    <w:basedOn w:val="13"/>
    <w:link w:val="17"/>
    <w:qFormat/>
    <w:uiPriority w:val="0"/>
    <w:rPr>
      <w:rFonts w:ascii="仿宋" w:hAnsi="仿宋" w:eastAsia="仿宋"/>
      <w:kern w:val="2"/>
      <w:sz w:val="28"/>
      <w:szCs w:val="24"/>
    </w:rPr>
  </w:style>
  <w:style w:type="character" w:customStyle="1" w:styleId="20">
    <w:name w:val="页眉 字符"/>
    <w:basedOn w:val="13"/>
    <w:link w:val="10"/>
    <w:qFormat/>
    <w:uiPriority w:val="99"/>
    <w:rPr>
      <w:rFonts w:ascii="仿宋" w:hAnsi="仿宋" w:eastAsia="仿宋"/>
      <w:kern w:val="2"/>
      <w:sz w:val="18"/>
      <w:szCs w:val="18"/>
    </w:rPr>
  </w:style>
  <w:style w:type="character" w:customStyle="1" w:styleId="21">
    <w:name w:val="样式2 Char"/>
    <w:basedOn w:val="20"/>
    <w:link w:val="18"/>
    <w:qFormat/>
    <w:uiPriority w:val="0"/>
    <w:rPr>
      <w:rFonts w:ascii="仿宋" w:hAnsi="仿宋" w:eastAsia="仿宋"/>
      <w:kern w:val="2"/>
      <w:sz w:val="18"/>
      <w:szCs w:val="18"/>
    </w:rPr>
  </w:style>
  <w:style w:type="character" w:customStyle="1" w:styleId="22">
    <w:name w:val="页脚 字符"/>
    <w:basedOn w:val="13"/>
    <w:link w:val="9"/>
    <w:qFormat/>
    <w:uiPriority w:val="99"/>
    <w:rPr>
      <w:rFonts w:eastAsia="仿宋"/>
      <w:kern w:val="2"/>
      <w:sz w:val="18"/>
      <w:szCs w:val="24"/>
    </w:rPr>
  </w:style>
  <w:style w:type="paragraph" w:customStyle="1" w:styleId="23">
    <w:name w:val="列出段落1"/>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6458</Words>
  <Characters>7206</Characters>
  <Lines>47</Lines>
  <Paragraphs>13</Paragraphs>
  <TotalTime>5</TotalTime>
  <ScaleCrop>false</ScaleCrop>
  <LinksUpToDate>false</LinksUpToDate>
  <CharactersWithSpaces>7246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2023-02-21T02:26:26Z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49586AEDCB6E47729FBA5E0958EAB755</vt:lpwstr>
  </property>
</Properties>
</file>