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kern w:val="0"/>
          <w:sz w:val="52"/>
          <w:szCs w:val="52"/>
        </w:rPr>
      </w:pPr>
      <w:r>
        <w:rPr>
          <w:rFonts w:hint="eastAsia"/>
        </w:rPr>
        <w:br w:type="textWrapping"/>
      </w:r>
    </w:p>
    <w:p>
      <w:pPr>
        <w:ind w:firstLine="1041"/>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spacing w:line="600" w:lineRule="exact"/>
        <w:ind w:firstLine="0" w:firstLineChars="0"/>
        <w:jc w:val="center"/>
        <w:rPr>
          <w:rFonts w:hint="default" w:ascii="方正小标宋_GBK" w:hAnsi="华文中宋" w:eastAsia="方正小标宋_GBK" w:cs="宋体"/>
          <w:kern w:val="0"/>
          <w:sz w:val="48"/>
          <w:szCs w:val="48"/>
          <w:lang w:val="en-US" w:eastAsia="zh-CN"/>
        </w:rPr>
      </w:pPr>
      <w:r>
        <w:rPr>
          <w:rFonts w:hint="eastAsia" w:ascii="方正小标宋_GBK" w:hAnsi="华文中宋" w:eastAsia="方正小标宋_GBK" w:cs="宋体"/>
          <w:kern w:val="0"/>
          <w:sz w:val="48"/>
          <w:szCs w:val="48"/>
          <w:lang w:val="en-US" w:eastAsia="zh-CN"/>
        </w:rPr>
        <w:t>中国共产主义青年团昌吉市委员会</w:t>
      </w: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部门整体支出绩效自评报告</w:t>
      </w:r>
    </w:p>
    <w:p>
      <w:pPr>
        <w:ind w:firstLine="0" w:firstLineChars="0"/>
        <w:jc w:val="center"/>
        <w:rPr>
          <w:rFonts w:ascii="华文中宋" w:hAnsi="华文中宋" w:eastAsia="华文中宋" w:cs="宋体"/>
          <w:b/>
          <w:kern w:val="0"/>
          <w:sz w:val="52"/>
          <w:szCs w:val="52"/>
        </w:rPr>
      </w:pPr>
    </w:p>
    <w:p>
      <w:pPr>
        <w:ind w:firstLine="0" w:firstLineChars="0"/>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w:t>
      </w:r>
      <w:r>
        <w:rPr>
          <w:rFonts w:hint="eastAsia" w:ascii="仿宋_GB2312" w:hAnsi="宋体" w:eastAsia="仿宋_GB2312" w:cs="宋体"/>
          <w:kern w:val="0"/>
          <w:sz w:val="36"/>
          <w:szCs w:val="36"/>
          <w:lang w:eastAsia="zh-CN"/>
        </w:rPr>
        <w:t>2022</w:t>
      </w:r>
      <w:r>
        <w:rPr>
          <w:rFonts w:hint="eastAsia" w:ascii="仿宋_GB2312" w:hAnsi="宋体" w:eastAsia="仿宋_GB2312" w:cs="宋体"/>
          <w:kern w:val="0"/>
          <w:sz w:val="36"/>
          <w:szCs w:val="36"/>
        </w:rPr>
        <w:t>年度</w:t>
      </w:r>
      <w:r>
        <w:rPr>
          <w:rFonts w:hint="eastAsia" w:ascii="仿宋_GB2312" w:hAnsi="Malgun Gothic Semilight" w:eastAsia="仿宋_GB2312" w:cs="Malgun Gothic Semilight"/>
          <w:kern w:val="0"/>
          <w:sz w:val="36"/>
          <w:szCs w:val="36"/>
        </w:rPr>
        <w:t>）</w:t>
      </w:r>
    </w:p>
    <w:p>
      <w:pPr>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700" w:lineRule="exact"/>
        <w:ind w:firstLine="0" w:firstLineChars="0"/>
        <w:jc w:val="left"/>
        <w:rPr>
          <w:rFonts w:hAnsi="宋体" w:eastAsia="仿宋_GB2312" w:cs="宋体"/>
          <w:kern w:val="0"/>
          <w:sz w:val="36"/>
          <w:szCs w:val="36"/>
        </w:rPr>
      </w:pPr>
    </w:p>
    <w:p>
      <w:pPr>
        <w:spacing w:line="600" w:lineRule="exact"/>
        <w:ind w:left="1680" w:leftChars="600" w:firstLine="180" w:firstLineChars="50"/>
        <w:rPr>
          <w:rFonts w:ascii="黑体" w:hAnsi="黑体" w:eastAsia="黑体" w:cs="黑体"/>
          <w:bCs/>
          <w:sz w:val="36"/>
          <w:szCs w:val="36"/>
        </w:rPr>
      </w:pPr>
      <w:r>
        <w:rPr>
          <w:rFonts w:hint="eastAsia" w:ascii="黑体" w:hAnsi="黑体" w:eastAsia="黑体" w:cs="黑体"/>
          <w:bCs/>
          <w:sz w:val="36"/>
          <w:szCs w:val="36"/>
        </w:rPr>
        <w:t>部门单位名称（公章）：</w:t>
      </w:r>
    </w:p>
    <w:p>
      <w:pPr>
        <w:spacing w:line="600" w:lineRule="exact"/>
        <w:ind w:left="1760" w:leftChars="500" w:hanging="360" w:hangingChars="100"/>
        <w:rPr>
          <w:rFonts w:ascii="黑体" w:hAnsi="黑体" w:eastAsia="黑体" w:cs="黑体"/>
          <w:bCs/>
          <w:sz w:val="36"/>
          <w:szCs w:val="36"/>
        </w:rPr>
      </w:pPr>
      <w:r>
        <w:rPr>
          <w:rFonts w:hint="eastAsia" w:ascii="黑体" w:hAnsi="黑体" w:eastAsia="黑体" w:cs="黑体"/>
          <w:bCs/>
          <w:sz w:val="36"/>
          <w:szCs w:val="36"/>
          <w:lang w:val="en-US" w:eastAsia="zh-CN"/>
        </w:rPr>
        <w:t>中国共产主义青年团昌吉市委员会</w:t>
      </w:r>
    </w:p>
    <w:p>
      <w:pPr>
        <w:spacing w:line="600" w:lineRule="exact"/>
        <w:ind w:firstLine="720"/>
        <w:rPr>
          <w:rFonts w:ascii="黑体" w:hAnsi="黑体" w:eastAsia="黑体" w:cs="黑体"/>
          <w:bCs/>
          <w:sz w:val="36"/>
          <w:szCs w:val="36"/>
        </w:rPr>
      </w:pPr>
    </w:p>
    <w:p>
      <w:pPr>
        <w:spacing w:line="600" w:lineRule="exact"/>
        <w:ind w:firstLine="720"/>
        <w:rPr>
          <w:rFonts w:ascii="黑体" w:hAnsi="黑体" w:eastAsia="黑体" w:cs="黑体"/>
          <w:bCs/>
          <w:sz w:val="36"/>
          <w:szCs w:val="36"/>
        </w:rPr>
      </w:pPr>
      <w:r>
        <w:rPr>
          <w:rFonts w:hint="eastAsia" w:ascii="黑体" w:hAnsi="黑体" w:eastAsia="黑体" w:cs="黑体"/>
          <w:bCs/>
          <w:sz w:val="36"/>
          <w:szCs w:val="36"/>
        </w:rPr>
        <w:t xml:space="preserve">  填报时间： 2022 年3月 15 日</w:t>
      </w:r>
    </w:p>
    <w:p>
      <w:pPr>
        <w:spacing w:line="700" w:lineRule="exact"/>
        <w:ind w:firstLine="849" w:firstLineChars="236"/>
        <w:jc w:val="left"/>
        <w:rPr>
          <w:rFonts w:hAnsi="宋体" w:eastAsia="仿宋_GB2312" w:cs="宋体"/>
          <w:kern w:val="0"/>
          <w:sz w:val="36"/>
          <w:szCs w:val="36"/>
        </w:rPr>
      </w:pPr>
    </w:p>
    <w:p>
      <w:pPr>
        <w:ind w:firstLine="560"/>
      </w:pPr>
    </w:p>
    <w:p>
      <w:pPr>
        <w:pStyle w:val="2"/>
      </w:pPr>
    </w:p>
    <w:p>
      <w:pPr>
        <w:pStyle w:val="3"/>
        <w:ind w:firstLine="640"/>
        <w:rPr>
          <w:rFonts w:ascii="黑体" w:hAnsi="黑体"/>
          <w:b w:val="0"/>
          <w:sz w:val="32"/>
          <w:szCs w:val="32"/>
        </w:rPr>
      </w:pPr>
      <w:r>
        <w:rPr>
          <w:rFonts w:hint="eastAsia" w:ascii="黑体" w:hAnsi="黑体"/>
          <w:b w:val="0"/>
          <w:sz w:val="32"/>
          <w:szCs w:val="32"/>
        </w:rPr>
        <w:t>一、基本概况</w:t>
      </w:r>
    </w:p>
    <w:p>
      <w:pPr>
        <w:pStyle w:val="4"/>
        <w:ind w:firstLine="640"/>
        <w:rPr>
          <w:rFonts w:ascii="楷体_GB2312" w:eastAsia="楷体_GB2312"/>
          <w:szCs w:val="32"/>
        </w:rPr>
      </w:pPr>
      <w:r>
        <w:rPr>
          <w:rFonts w:hint="eastAsia" w:ascii="楷体_GB2312" w:eastAsia="楷体_GB2312"/>
          <w:szCs w:val="32"/>
        </w:rPr>
        <w:t>（一）单位基本情况</w:t>
      </w:r>
    </w:p>
    <w:p>
      <w:pPr>
        <w:ind w:firstLine="643"/>
        <w:rPr>
          <w:rFonts w:ascii="仿宋_GB2312" w:eastAsia="仿宋_GB2312"/>
          <w:b/>
          <w:bCs/>
          <w:sz w:val="32"/>
          <w:szCs w:val="32"/>
        </w:rPr>
      </w:pPr>
      <w:r>
        <w:rPr>
          <w:rFonts w:hint="eastAsia" w:ascii="仿宋_GB2312" w:eastAsia="仿宋_GB2312"/>
          <w:b/>
          <w:bCs/>
          <w:sz w:val="32"/>
          <w:szCs w:val="32"/>
        </w:rPr>
        <w:t>1.机构设置及人员情况</w:t>
      </w:r>
    </w:p>
    <w:p>
      <w:pPr>
        <w:ind w:firstLine="624"/>
        <w:rPr>
          <w:rFonts w:ascii="仿宋_GB2312" w:eastAsia="仿宋_GB2312"/>
          <w:sz w:val="32"/>
          <w:szCs w:val="32"/>
        </w:rPr>
      </w:pPr>
      <w:r>
        <w:rPr>
          <w:rFonts w:hint="eastAsia" w:ascii="仿宋_GB2312" w:eastAsia="仿宋_GB2312"/>
          <w:sz w:val="32"/>
          <w:szCs w:val="32"/>
          <w:lang w:val="en-US" w:eastAsia="zh-CN"/>
        </w:rPr>
        <w:t>中国共产主义青年团昌吉市委员会</w:t>
      </w:r>
      <w:r>
        <w:rPr>
          <w:rFonts w:hint="eastAsia" w:ascii="仿宋_GB2312" w:eastAsia="仿宋_GB2312"/>
          <w:sz w:val="32"/>
          <w:szCs w:val="32"/>
        </w:rPr>
        <w:t>无下属预算单位，无内设机构。编制数</w:t>
      </w:r>
      <w:r>
        <w:rPr>
          <w:rFonts w:hint="eastAsia" w:ascii="仿宋_GB2312" w:eastAsia="仿宋_GB2312"/>
          <w:sz w:val="32"/>
          <w:szCs w:val="32"/>
          <w:lang w:val="en-US" w:eastAsia="zh-CN"/>
        </w:rPr>
        <w:t>6</w:t>
      </w:r>
      <w:r>
        <w:rPr>
          <w:rFonts w:hint="eastAsia" w:ascii="仿宋_GB2312" w:eastAsia="仿宋_GB2312"/>
          <w:sz w:val="32"/>
          <w:szCs w:val="32"/>
        </w:rPr>
        <w:t>人，实有人数</w:t>
      </w:r>
      <w:r>
        <w:rPr>
          <w:rFonts w:hint="eastAsia" w:ascii="仿宋_GB2312" w:eastAsia="仿宋_GB2312"/>
          <w:sz w:val="32"/>
          <w:szCs w:val="32"/>
          <w:lang w:val="en-US" w:eastAsia="zh-CN"/>
        </w:rPr>
        <w:t>5</w:t>
      </w:r>
      <w:r>
        <w:rPr>
          <w:rFonts w:hint="eastAsia" w:ascii="仿宋_GB2312" w:eastAsia="仿宋_GB2312"/>
          <w:sz w:val="32"/>
          <w:szCs w:val="32"/>
        </w:rPr>
        <w:t>人，其中：在职</w:t>
      </w:r>
      <w:r>
        <w:rPr>
          <w:rFonts w:hint="eastAsia" w:ascii="仿宋_GB2312" w:eastAsia="仿宋_GB2312"/>
          <w:sz w:val="32"/>
          <w:szCs w:val="32"/>
          <w:lang w:val="en-US" w:eastAsia="zh-CN"/>
        </w:rPr>
        <w:t>5</w:t>
      </w:r>
      <w:r>
        <w:rPr>
          <w:rFonts w:hint="eastAsia" w:ascii="仿宋_GB2312" w:eastAsia="仿宋_GB2312"/>
          <w:sz w:val="32"/>
          <w:szCs w:val="32"/>
        </w:rPr>
        <w:t>人，增加</w:t>
      </w:r>
      <w:r>
        <w:rPr>
          <w:rFonts w:hint="eastAsia" w:ascii="仿宋_GB2312" w:eastAsia="仿宋_GB2312"/>
          <w:sz w:val="32"/>
          <w:szCs w:val="32"/>
          <w:lang w:val="en-US" w:eastAsia="zh-CN"/>
        </w:rPr>
        <w:t>0</w:t>
      </w:r>
      <w:r>
        <w:rPr>
          <w:rFonts w:hint="eastAsia" w:ascii="仿宋_GB2312" w:eastAsia="仿宋_GB2312"/>
          <w:sz w:val="32"/>
          <w:szCs w:val="32"/>
        </w:rPr>
        <w:t>人； 退休</w:t>
      </w:r>
      <w:r>
        <w:rPr>
          <w:rFonts w:hint="eastAsia" w:ascii="仿宋_GB2312" w:eastAsia="仿宋_GB2312"/>
          <w:sz w:val="32"/>
          <w:szCs w:val="32"/>
          <w:lang w:val="en-US" w:eastAsia="zh-CN"/>
        </w:rPr>
        <w:t>0</w:t>
      </w:r>
      <w:r>
        <w:rPr>
          <w:rFonts w:hint="eastAsia" w:ascii="仿宋_GB2312" w:eastAsia="仿宋_GB2312"/>
          <w:sz w:val="32"/>
          <w:szCs w:val="32"/>
        </w:rPr>
        <w:t>人。</w:t>
      </w:r>
    </w:p>
    <w:p>
      <w:pPr>
        <w:adjustRightInd w:val="0"/>
        <w:snapToGrid w:val="0"/>
        <w:spacing w:line="540" w:lineRule="exact"/>
        <w:ind w:firstLine="643"/>
        <w:rPr>
          <w:rFonts w:hint="eastAsia" w:ascii="仿宋_GB2312" w:eastAsia="仿宋_GB2312"/>
          <w:b/>
          <w:bCs/>
          <w:color w:val="0000FF"/>
          <w:sz w:val="32"/>
          <w:szCs w:val="32"/>
        </w:rPr>
      </w:pPr>
      <w:r>
        <w:rPr>
          <w:rFonts w:hint="eastAsia" w:ascii="仿宋_GB2312" w:eastAsia="仿宋_GB2312"/>
          <w:b/>
          <w:bCs/>
          <w:color w:val="auto"/>
          <w:sz w:val="32"/>
          <w:szCs w:val="32"/>
        </w:rPr>
        <w:t>2.主要职能</w:t>
      </w:r>
      <w:r>
        <w:rPr>
          <w:rFonts w:hint="eastAsia" w:ascii="仿宋_GB2312" w:eastAsia="仿宋_GB2312"/>
          <w:b/>
          <w:bCs/>
          <w:color w:val="0000FF"/>
          <w:sz w:val="32"/>
          <w:szCs w:val="32"/>
        </w:rPr>
        <w:t xml:space="preserve"> </w:t>
      </w:r>
    </w:p>
    <w:p>
      <w:pPr>
        <w:pStyle w:val="2"/>
      </w:pPr>
      <w:r>
        <w:rPr>
          <w:rFonts w:hint="eastAsia" w:ascii="仿宋_GB2312" w:hAnsi="仿宋_GB2312" w:eastAsia="仿宋_GB2312" w:cs="仿宋_GB2312"/>
          <w:b w:val="0"/>
          <w:bCs w:val="0"/>
          <w:sz w:val="32"/>
          <w:szCs w:val="32"/>
        </w:rPr>
        <w:t>负责共青团及少先队工作；负责指导、督促、检查乡（镇）、机关、学校共青团及少先队工作。加强青少年思想政治教育工作，围绕党的中心任务，开展适合青年特点的独立活动。负责带领青年在经济建设中发挥生力军和突击队作用，充分调动和发挥青年的积极性和创造性，引导青年发挥示范带头作用。加强对青少年法制教育及建立基本的社会服务联系点，扩大青少年教育的社会化领域。向党和政府反应青年的意见和要求，协同有关部门制定和宣传青年工作法规，开展社会监督，维护青少年的合法权益</w:t>
      </w:r>
    </w:p>
    <w:p>
      <w:pPr>
        <w:ind w:firstLine="643"/>
        <w:rPr>
          <w:rFonts w:ascii="仿宋_GB2312" w:eastAsia="仿宋_GB2312"/>
          <w:b/>
          <w:bCs/>
          <w:sz w:val="32"/>
          <w:szCs w:val="32"/>
        </w:rPr>
      </w:pPr>
      <w:r>
        <w:rPr>
          <w:rFonts w:hint="eastAsia" w:ascii="仿宋_GB2312" w:eastAsia="仿宋_GB2312"/>
          <w:b/>
          <w:bCs/>
          <w:sz w:val="32"/>
          <w:szCs w:val="32"/>
        </w:rPr>
        <w:t>3.年度重点工作计划</w:t>
      </w:r>
    </w:p>
    <w:p>
      <w:pPr>
        <w:ind w:firstLine="640"/>
        <w:rPr>
          <w:rFonts w:hint="eastAsia" w:ascii="仿宋_GB2312" w:hAnsi="宋体" w:eastAsia="仿宋_GB2312"/>
          <w:color w:val="000000" w:themeColor="text1"/>
          <w:sz w:val="32"/>
          <w:szCs w:val="32"/>
          <w:lang w:val="en-US" w:eastAsia="zh-CN"/>
          <w14:textFill>
            <w14:solidFill>
              <w14:schemeClr w14:val="tx1"/>
            </w14:solidFill>
          </w14:textFill>
        </w:rPr>
      </w:pPr>
      <w:r>
        <w:rPr>
          <w:rFonts w:hint="eastAsia" w:ascii="仿宋_GB2312" w:hAnsi="宋体" w:eastAsia="仿宋_GB2312" w:cs="宋体"/>
          <w:bCs/>
          <w:kern w:val="0"/>
          <w:sz w:val="32"/>
          <w:szCs w:val="32"/>
        </w:rPr>
        <w:t>贯彻执行党和国家、区、州相关方针、政策和法规。根据党的中心任务和上级团委的安排部署，制定共青团工作计划， 组织团员青年积极完成党组织交给的各项任务。负责共青团及少先队工作；负责指导、督促、检查乡（镇）、机关、学校共青团及少先队工作。加强青少年思想政治教育工作，围绕党的中心任务，开展适合青年特点的独立活动。负责带领青年在经济建设中发挥生力军和突击队作用，充分调动和发挥青年的积极性和创造性，引导青年发挥示范带头作用。加强对青少年法制教育及建立基本的社会服务联系点，扩大青少年教育的社会化领域。向党和政府反应青年的意见和要求，协同有关部门制定和宣传青年工作法规，开展社会监督，维护青少年的合法权益</w:t>
      </w:r>
      <w:r>
        <w:rPr>
          <w:rFonts w:hint="eastAsia" w:ascii="仿宋_GB2312" w:hAnsi="宋体" w:eastAsia="仿宋_GB2312" w:cs="宋体"/>
          <w:bCs/>
          <w:kern w:val="0"/>
          <w:sz w:val="32"/>
          <w:szCs w:val="32"/>
          <w:lang w:val="en-US" w:eastAsia="zh-CN"/>
        </w:rPr>
        <w:t>.</w:t>
      </w:r>
    </w:p>
    <w:p>
      <w:pPr>
        <w:pStyle w:val="4"/>
        <w:tabs>
          <w:tab w:val="left" w:pos="6195"/>
        </w:tabs>
        <w:ind w:firstLine="640"/>
        <w:rPr>
          <w:rFonts w:ascii="楷体_GB2312" w:eastAsia="楷体_GB2312"/>
          <w:szCs w:val="32"/>
        </w:rPr>
      </w:pPr>
      <w:r>
        <w:rPr>
          <w:rFonts w:hint="eastAsia" w:ascii="楷体_GB2312" w:eastAsia="楷体_GB2312"/>
          <w:szCs w:val="32"/>
        </w:rPr>
        <w:t>（二）单位决策机制</w:t>
      </w:r>
      <w:r>
        <w:rPr>
          <w:rFonts w:ascii="楷体_GB2312" w:eastAsia="楷体_GB2312"/>
          <w:szCs w:val="32"/>
        </w:rPr>
        <w:tab/>
      </w:r>
    </w:p>
    <w:p>
      <w:pPr>
        <w:ind w:firstLine="640"/>
        <w:rPr>
          <w:rFonts w:ascii="仿宋_GB2312" w:eastAsia="仿宋_GB2312"/>
          <w:b/>
          <w:bCs/>
          <w:sz w:val="32"/>
          <w:szCs w:val="32"/>
        </w:rPr>
      </w:pPr>
      <w:r>
        <w:rPr>
          <w:rFonts w:hint="eastAsia" w:ascii="仿宋_GB2312" w:eastAsia="仿宋_GB2312"/>
          <w:sz w:val="32"/>
          <w:szCs w:val="32"/>
        </w:rPr>
        <w:t>我单位决策机制根据行政事业单位内部控制体系建设相关要求，逐步完善《昌吉市团委党支部会议制度》、《昌吉市团委三重一大决策议事制度》等决策议事制度，根据制度规定进行充分讨论，广泛征求意见，民主集中，主要领导末位表态等制度进行单位事项决策。</w:t>
      </w:r>
    </w:p>
    <w:p>
      <w:pPr>
        <w:pStyle w:val="4"/>
        <w:numPr>
          <w:ilvl w:val="0"/>
          <w:numId w:val="1"/>
        </w:numPr>
        <w:ind w:firstLine="640"/>
        <w:rPr>
          <w:rFonts w:ascii="楷体_GB2312" w:eastAsia="楷体_GB2312"/>
          <w:szCs w:val="32"/>
        </w:rPr>
      </w:pPr>
      <w:r>
        <w:rPr>
          <w:rFonts w:hint="eastAsia" w:ascii="楷体_GB2312" w:eastAsia="楷体_GB2312"/>
          <w:szCs w:val="32"/>
        </w:rPr>
        <w:t>单位资金分配情况</w:t>
      </w:r>
    </w:p>
    <w:p>
      <w:pPr>
        <w:spacing w:line="540" w:lineRule="exact"/>
        <w:ind w:firstLine="630" w:firstLineChars="196"/>
        <w:rPr>
          <w:rFonts w:ascii="仿宋_GB2312" w:hAnsi="楷体" w:eastAsia="仿宋_GB2312"/>
          <w:bCs/>
          <w:spacing w:val="-4"/>
          <w:sz w:val="32"/>
          <w:szCs w:val="32"/>
        </w:rPr>
      </w:pPr>
      <w:r>
        <w:rPr>
          <w:rFonts w:hint="eastAsia" w:ascii="仿宋_GB2312" w:eastAsia="仿宋_GB2312" w:cs="仿宋"/>
          <w:b/>
          <w:sz w:val="32"/>
          <w:szCs w:val="32"/>
        </w:rPr>
        <w:t>1.分配依据及结果。</w:t>
      </w:r>
      <w:r>
        <w:rPr>
          <w:rFonts w:hint="eastAsia" w:ascii="仿宋_GB2312" w:eastAsia="仿宋_GB2312" w:cs="仿宋"/>
          <w:sz w:val="32"/>
          <w:szCs w:val="32"/>
          <w:lang w:eastAsia="zh-CN"/>
        </w:rPr>
        <w:t>2022</w:t>
      </w:r>
      <w:r>
        <w:rPr>
          <w:rFonts w:hint="eastAsia" w:ascii="仿宋_GB2312" w:eastAsia="仿宋_GB2312" w:cs="仿宋"/>
          <w:sz w:val="32"/>
          <w:szCs w:val="32"/>
        </w:rPr>
        <w:t>年,我单位基本支出根据单位人员编制、实有人数、资产情况等要素进行预算编制。</w:t>
      </w:r>
      <w:r>
        <w:rPr>
          <w:rFonts w:hint="eastAsia"/>
          <w:sz w:val="32"/>
        </w:rPr>
        <w:t>部</w:t>
      </w:r>
      <w:r>
        <w:rPr>
          <w:rFonts w:hint="eastAsia" w:ascii="仿宋_GB2312" w:eastAsia="仿宋_GB2312" w:cs="仿宋"/>
          <w:sz w:val="32"/>
          <w:szCs w:val="32"/>
        </w:rPr>
        <w:t>门预算编制、分配依据充分</w:t>
      </w:r>
      <w:r>
        <w:rPr>
          <w:rFonts w:hint="eastAsia"/>
          <w:sz w:val="32"/>
        </w:rPr>
        <w:t>；</w:t>
      </w:r>
      <w:r>
        <w:rPr>
          <w:rStyle w:val="12"/>
          <w:rFonts w:hint="eastAsia" w:ascii="仿宋_GB2312" w:eastAsia="仿宋_GB2312"/>
          <w:b w:val="0"/>
          <w:spacing w:val="-4"/>
          <w:sz w:val="32"/>
          <w:szCs w:val="32"/>
        </w:rPr>
        <w:t>年度整体支出规模</w:t>
      </w:r>
      <w:r>
        <w:rPr>
          <w:rFonts w:hint="eastAsia" w:ascii="仿宋_GB2312" w:eastAsia="仿宋_GB2312"/>
          <w:sz w:val="32"/>
          <w:szCs w:val="32"/>
          <w:lang w:val="en-US" w:eastAsia="zh-CN"/>
        </w:rPr>
        <w:t>64.3</w:t>
      </w:r>
      <w:r>
        <w:rPr>
          <w:rFonts w:hint="eastAsia" w:ascii="仿宋_GB2312" w:eastAsia="仿宋_GB2312"/>
          <w:sz w:val="32"/>
          <w:szCs w:val="32"/>
        </w:rPr>
        <w:t>万</w:t>
      </w:r>
      <w:r>
        <w:rPr>
          <w:rStyle w:val="12"/>
          <w:rFonts w:hint="eastAsia" w:ascii="仿宋_GB2312" w:eastAsia="仿宋_GB2312"/>
          <w:b w:val="0"/>
          <w:spacing w:val="-4"/>
          <w:sz w:val="32"/>
          <w:szCs w:val="32"/>
        </w:rPr>
        <w:t>元，主要是行政运行和人员经费等</w:t>
      </w:r>
      <w:r>
        <w:rPr>
          <w:rFonts w:hint="eastAsia" w:ascii="仿宋_GB2312" w:eastAsia="仿宋_GB2312"/>
          <w:color w:val="000000" w:themeColor="text1"/>
          <w:sz w:val="30"/>
          <w:szCs w:val="30"/>
          <w14:textFill>
            <w14:solidFill>
              <w14:schemeClr w14:val="tx1"/>
            </w14:solidFill>
          </w14:textFill>
        </w:rPr>
        <w:t>开支,涉及</w:t>
      </w:r>
      <w:r>
        <w:rPr>
          <w:rStyle w:val="21"/>
          <w:rFonts w:hint="eastAsia" w:ascii="仿宋_GB2312" w:eastAsia="仿宋_GB2312" w:hAnsiTheme="minorEastAsia"/>
          <w:sz w:val="32"/>
          <w:szCs w:val="32"/>
        </w:rPr>
        <w:t>相关社会服务工作经费支出。分配结果合理，与绩效目标一致。</w:t>
      </w:r>
      <w:r>
        <w:rPr>
          <w:rFonts w:hint="eastAsia" w:ascii="仿宋_GB2312" w:eastAsia="仿宋_GB2312" w:cs="仿宋"/>
          <w:sz w:val="32"/>
          <w:szCs w:val="32"/>
        </w:rPr>
        <w:t>预算批复后，严格按照财政部门批复的预算和绩效目标执行。</w:t>
      </w:r>
    </w:p>
    <w:p>
      <w:pPr>
        <w:widowControl/>
        <w:ind w:firstLine="643"/>
        <w:jc w:val="left"/>
        <w:rPr>
          <w:rFonts w:ascii="仿宋_GB2312" w:eastAsia="仿宋_GB2312" w:cs="仿宋"/>
          <w:color w:val="FF0000"/>
          <w:sz w:val="32"/>
          <w:szCs w:val="32"/>
        </w:rPr>
      </w:pPr>
      <w:r>
        <w:rPr>
          <w:rFonts w:hint="eastAsia" w:ascii="仿宋_GB2312" w:eastAsia="仿宋_GB2312" w:cs="仿宋"/>
          <w:b/>
          <w:sz w:val="32"/>
          <w:szCs w:val="32"/>
        </w:rPr>
        <w:t>2.</w:t>
      </w:r>
      <w:r>
        <w:rPr>
          <w:rFonts w:hint="eastAsia" w:ascii="仿宋_GB2312" w:eastAsia="仿宋_GB2312"/>
          <w:b/>
          <w:sz w:val="32"/>
          <w:szCs w:val="32"/>
        </w:rPr>
        <w:t>重点支出保障情况。</w:t>
      </w:r>
      <w:r>
        <w:rPr>
          <w:rFonts w:hint="eastAsia" w:ascii="仿宋_GB2312" w:eastAsia="仿宋_GB2312" w:cs="仿宋"/>
          <w:sz w:val="32"/>
          <w:szCs w:val="32"/>
        </w:rPr>
        <w:t>本年度本单位预算安排的重点项目</w:t>
      </w:r>
      <w:r>
        <w:rPr>
          <w:rFonts w:hint="eastAsia" w:ascii="仿宋_GB2312" w:eastAsia="仿宋_GB2312" w:cs="仿宋"/>
          <w:sz w:val="32"/>
          <w:szCs w:val="32"/>
          <w:lang w:val="en-US" w:eastAsia="zh-CN"/>
        </w:rPr>
        <w:t>3</w:t>
      </w:r>
      <w:r>
        <w:rPr>
          <w:rFonts w:hint="eastAsia" w:ascii="仿宋_GB2312" w:eastAsia="仿宋_GB2312" w:cs="仿宋"/>
          <w:sz w:val="32"/>
          <w:szCs w:val="32"/>
        </w:rPr>
        <w:t>个，预算安排的重点项目支出金额为</w:t>
      </w:r>
      <w:r>
        <w:rPr>
          <w:rFonts w:hint="eastAsia" w:ascii="仿宋_GB2312" w:eastAsia="仿宋_GB2312" w:cs="仿宋"/>
          <w:sz w:val="32"/>
          <w:szCs w:val="32"/>
          <w:lang w:val="en-US" w:eastAsia="zh-CN"/>
        </w:rPr>
        <w:t>85.56</w:t>
      </w:r>
      <w:r>
        <w:rPr>
          <w:rFonts w:hint="eastAsia" w:ascii="仿宋_GB2312" w:eastAsia="仿宋_GB2312" w:cs="仿宋"/>
          <w:sz w:val="32"/>
          <w:szCs w:val="32"/>
        </w:rPr>
        <w:t>万元，部门项目总支出金</w:t>
      </w:r>
      <w:bookmarkStart w:id="0" w:name="_GoBack"/>
      <w:bookmarkEnd w:id="0"/>
      <w:r>
        <w:rPr>
          <w:rFonts w:hint="eastAsia" w:ascii="仿宋_GB2312" w:eastAsia="仿宋_GB2312" w:cs="仿宋"/>
          <w:sz w:val="32"/>
          <w:szCs w:val="32"/>
        </w:rPr>
        <w:t>额为0.00万元。</w:t>
      </w:r>
    </w:p>
    <w:p>
      <w:pPr>
        <w:pStyle w:val="4"/>
        <w:numPr>
          <w:ilvl w:val="0"/>
          <w:numId w:val="1"/>
        </w:numPr>
        <w:ind w:firstLine="640"/>
        <w:rPr>
          <w:rFonts w:ascii="楷体_GB2312" w:eastAsia="楷体_GB2312"/>
          <w:szCs w:val="32"/>
        </w:rPr>
      </w:pPr>
      <w:r>
        <w:rPr>
          <w:rFonts w:hint="eastAsia" w:ascii="楷体_GB2312" w:eastAsia="楷体_GB2312"/>
          <w:szCs w:val="32"/>
        </w:rPr>
        <w:t>部门单位整体支出规模、使用方法和主要内容、涉及范围</w:t>
      </w:r>
    </w:p>
    <w:p>
      <w:pPr>
        <w:numPr>
          <w:ilvl w:val="0"/>
          <w:numId w:val="2"/>
        </w:numPr>
        <w:ind w:firstLine="643"/>
        <w:rPr>
          <w:rFonts w:ascii="仿宋_GB2312" w:eastAsia="仿宋_GB2312"/>
          <w:b/>
          <w:bCs/>
          <w:sz w:val="32"/>
          <w:szCs w:val="32"/>
        </w:rPr>
      </w:pPr>
      <w:r>
        <w:rPr>
          <w:rFonts w:hint="eastAsia" w:ascii="仿宋_GB2312" w:eastAsia="仿宋_GB2312"/>
          <w:b/>
          <w:bCs/>
          <w:sz w:val="32"/>
          <w:szCs w:val="32"/>
        </w:rPr>
        <w:t>部门单位整体支出规模</w:t>
      </w:r>
    </w:p>
    <w:p>
      <w:pPr>
        <w:ind w:firstLine="640"/>
        <w:rPr>
          <w:rFonts w:ascii="仿宋_GB2312" w:eastAsia="仿宋_GB2312"/>
          <w:sz w:val="32"/>
          <w:szCs w:val="32"/>
        </w:rPr>
      </w:pPr>
      <w:r>
        <w:rPr>
          <w:rFonts w:hint="eastAsia" w:ascii="仿宋_GB2312" w:eastAsia="仿宋_GB2312"/>
          <w:sz w:val="32"/>
          <w:szCs w:val="32"/>
          <w:lang w:eastAsia="zh-CN"/>
        </w:rPr>
        <w:t>2022</w:t>
      </w:r>
      <w:r>
        <w:rPr>
          <w:rFonts w:hint="eastAsia" w:ascii="仿宋_GB2312" w:eastAsia="仿宋_GB2312"/>
          <w:sz w:val="32"/>
          <w:szCs w:val="32"/>
        </w:rPr>
        <w:t>年度，</w:t>
      </w:r>
      <w:r>
        <w:rPr>
          <w:rFonts w:hint="eastAsia" w:ascii="仿宋_GB2312" w:eastAsia="仿宋_GB2312"/>
          <w:sz w:val="32"/>
          <w:szCs w:val="32"/>
          <w:lang w:val="en-US" w:eastAsia="zh-CN"/>
        </w:rPr>
        <w:t>中国共产主义青年团昌吉市委员会</w:t>
      </w:r>
      <w:r>
        <w:rPr>
          <w:rFonts w:hint="eastAsia" w:ascii="仿宋_GB2312" w:eastAsia="仿宋_GB2312"/>
          <w:sz w:val="32"/>
          <w:szCs w:val="32"/>
        </w:rPr>
        <w:t>部门单位整体支出年初预算金额为</w:t>
      </w:r>
      <w:r>
        <w:rPr>
          <w:rFonts w:hint="eastAsia" w:ascii="仿宋_GB2312" w:eastAsia="仿宋_GB2312"/>
          <w:sz w:val="32"/>
          <w:szCs w:val="32"/>
          <w:lang w:val="en-US" w:eastAsia="zh-CN"/>
        </w:rPr>
        <w:t>63.49</w:t>
      </w:r>
      <w:r>
        <w:rPr>
          <w:rFonts w:hint="eastAsia" w:ascii="仿宋_GB2312" w:eastAsia="仿宋_GB2312"/>
          <w:sz w:val="32"/>
          <w:szCs w:val="32"/>
        </w:rPr>
        <w:t>万元，支出金额为</w:t>
      </w:r>
      <w:r>
        <w:rPr>
          <w:rFonts w:hint="eastAsia" w:ascii="仿宋_GB2312" w:eastAsia="仿宋_GB2312"/>
          <w:sz w:val="32"/>
          <w:szCs w:val="32"/>
          <w:lang w:val="en-US" w:eastAsia="zh-CN"/>
        </w:rPr>
        <w:t>63.49</w:t>
      </w:r>
      <w:r>
        <w:rPr>
          <w:rFonts w:hint="eastAsia" w:ascii="仿宋_GB2312" w:eastAsia="仿宋_GB2312"/>
          <w:sz w:val="32"/>
          <w:szCs w:val="32"/>
        </w:rPr>
        <w:t>万元，执行率为</w:t>
      </w:r>
      <w:r>
        <w:rPr>
          <w:rFonts w:hint="eastAsia" w:ascii="仿宋_GB2312" w:eastAsia="仿宋_GB2312"/>
          <w:sz w:val="32"/>
          <w:szCs w:val="32"/>
          <w:lang w:val="en-US" w:eastAsia="zh-CN"/>
        </w:rPr>
        <w:t>100</w:t>
      </w:r>
      <w:r>
        <w:rPr>
          <w:rFonts w:hint="eastAsia" w:ascii="仿宋_GB2312" w:eastAsia="仿宋_GB2312"/>
          <w:sz w:val="32"/>
          <w:szCs w:val="32"/>
        </w:rPr>
        <w:t>%，其中：政府采购年初预算金额为4.36万元，支出金额为4.36万元，执行率为100.0%。年中调整预算金额为</w:t>
      </w:r>
      <w:r>
        <w:rPr>
          <w:rFonts w:hint="eastAsia" w:ascii="仿宋_GB2312" w:eastAsia="仿宋_GB2312"/>
          <w:color w:val="auto"/>
          <w:sz w:val="32"/>
          <w:szCs w:val="32"/>
          <w:lang w:val="en-US" w:eastAsia="zh-CN"/>
        </w:rPr>
        <w:t>104.65</w:t>
      </w:r>
      <w:r>
        <w:rPr>
          <w:rFonts w:hint="eastAsia" w:ascii="仿宋_GB2312" w:eastAsia="仿宋_GB2312"/>
          <w:color w:val="auto"/>
          <w:sz w:val="32"/>
          <w:szCs w:val="32"/>
        </w:rPr>
        <w:t>万元，预算调整率为</w:t>
      </w:r>
      <w:r>
        <w:rPr>
          <w:rFonts w:hint="eastAsia" w:ascii="仿宋_GB2312" w:eastAsia="仿宋_GB2312"/>
          <w:color w:val="auto"/>
          <w:sz w:val="32"/>
          <w:szCs w:val="32"/>
          <w:lang w:val="en-US" w:eastAsia="zh-CN"/>
        </w:rPr>
        <w:tab/>
        <w:t>164.8</w:t>
      </w:r>
      <w:r>
        <w:rPr>
          <w:rFonts w:hint="eastAsia" w:ascii="仿宋_GB2312" w:eastAsia="仿宋_GB2312"/>
          <w:color w:val="auto"/>
          <w:sz w:val="32"/>
          <w:szCs w:val="32"/>
        </w:rPr>
        <w:t>%。</w:t>
      </w:r>
      <w:r>
        <w:rPr>
          <w:rFonts w:hint="eastAsia" w:ascii="仿宋_GB2312" w:eastAsia="仿宋_GB2312"/>
          <w:sz w:val="32"/>
          <w:szCs w:val="32"/>
        </w:rPr>
        <w:t>综上，我单位部门单位整体预算总额为</w:t>
      </w:r>
      <w:r>
        <w:rPr>
          <w:rFonts w:hint="eastAsia" w:ascii="仿宋_GB2312" w:eastAsia="仿宋_GB2312"/>
          <w:sz w:val="32"/>
          <w:szCs w:val="32"/>
          <w:lang w:val="en-US" w:eastAsia="zh-CN"/>
        </w:rPr>
        <w:t>168.14</w:t>
      </w:r>
      <w:r>
        <w:rPr>
          <w:rFonts w:hint="eastAsia" w:ascii="仿宋_GB2312" w:eastAsia="仿宋_GB2312"/>
          <w:sz w:val="32"/>
          <w:szCs w:val="32"/>
        </w:rPr>
        <w:t>万元，支出总额为</w:t>
      </w:r>
      <w:r>
        <w:rPr>
          <w:rFonts w:hint="eastAsia" w:ascii="仿宋_GB2312" w:eastAsia="仿宋_GB2312"/>
          <w:sz w:val="32"/>
          <w:szCs w:val="32"/>
          <w:lang w:val="en-US" w:eastAsia="zh-CN"/>
        </w:rPr>
        <w:t>168.14</w:t>
      </w:r>
      <w:r>
        <w:rPr>
          <w:rFonts w:hint="eastAsia" w:ascii="仿宋_GB2312" w:eastAsia="仿宋_GB2312"/>
          <w:sz w:val="32"/>
          <w:szCs w:val="32"/>
        </w:rPr>
        <w:t>万元，预算总执行率为</w:t>
      </w:r>
      <w:r>
        <w:rPr>
          <w:rFonts w:hint="eastAsia" w:ascii="仿宋_GB2312" w:eastAsia="仿宋_GB2312"/>
          <w:sz w:val="32"/>
          <w:szCs w:val="32"/>
          <w:lang w:val="en-US" w:eastAsia="zh-CN"/>
        </w:rPr>
        <w:t>100</w:t>
      </w:r>
      <w:r>
        <w:rPr>
          <w:rFonts w:hint="eastAsia" w:ascii="仿宋_GB2312" w:eastAsia="仿宋_GB2312"/>
          <w:sz w:val="32"/>
          <w:szCs w:val="32"/>
        </w:rPr>
        <w:t>%。</w:t>
      </w:r>
    </w:p>
    <w:p>
      <w:pPr>
        <w:pStyle w:val="2"/>
        <w:ind w:firstLine="643"/>
        <w:rPr>
          <w:sz w:val="32"/>
        </w:rPr>
      </w:pPr>
      <w:r>
        <w:rPr>
          <w:rFonts w:hint="eastAsia"/>
          <w:sz w:val="32"/>
        </w:rPr>
        <w:t>2.部门单位整体支出自评使用方法、主要内容、涉及范围</w:t>
      </w:r>
    </w:p>
    <w:p>
      <w:pPr>
        <w:ind w:firstLine="643"/>
        <w:rPr>
          <w:rFonts w:ascii="仿宋_GB2312" w:eastAsia="仿宋_GB2312"/>
          <w:b/>
          <w:bCs/>
          <w:sz w:val="32"/>
          <w:szCs w:val="32"/>
        </w:rPr>
      </w:pPr>
      <w:r>
        <w:rPr>
          <w:rFonts w:hint="eastAsia" w:ascii="仿宋_GB2312" w:eastAsia="仿宋_GB2312"/>
          <w:b/>
          <w:bCs/>
          <w:sz w:val="32"/>
          <w:szCs w:val="32"/>
        </w:rPr>
        <w:t>（1）自评使用方法</w:t>
      </w:r>
    </w:p>
    <w:p>
      <w:pPr>
        <w:ind w:firstLine="640"/>
        <w:rPr>
          <w:rFonts w:ascii="仿宋_GB2312" w:eastAsia="仿宋_GB2312"/>
          <w:sz w:val="32"/>
          <w:szCs w:val="32"/>
        </w:rPr>
      </w:pPr>
      <w:r>
        <w:rPr>
          <w:rFonts w:hint="eastAsia" w:ascii="仿宋_GB2312" w:eastAsia="仿宋_GB2312"/>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2"/>
        <w:ind w:firstLine="643"/>
        <w:rPr>
          <w:sz w:val="32"/>
        </w:rPr>
      </w:pPr>
      <w:r>
        <w:rPr>
          <w:rFonts w:hint="eastAsia"/>
          <w:sz w:val="32"/>
        </w:rPr>
        <w:t>（2）评价的主要内容和涉及范围</w:t>
      </w:r>
    </w:p>
    <w:p>
      <w:pPr>
        <w:ind w:firstLine="640"/>
        <w:rPr>
          <w:rFonts w:ascii="仿宋_GB2312" w:eastAsia="仿宋_GB2312"/>
          <w:sz w:val="32"/>
          <w:szCs w:val="32"/>
        </w:rPr>
      </w:pPr>
      <w:r>
        <w:rPr>
          <w:rFonts w:hint="eastAsia" w:ascii="仿宋_GB2312" w:eastAsia="仿宋_GB2312"/>
          <w:sz w:val="32"/>
          <w:szCs w:val="32"/>
        </w:rPr>
        <w:t>此次我单位根据</w:t>
      </w:r>
      <w:r>
        <w:rPr>
          <w:rFonts w:ascii="仿宋_GB2312" w:hAnsi="Arial" w:eastAsia="仿宋_GB2312" w:cs="宋体"/>
          <w:bCs/>
          <w:sz w:val="32"/>
          <w:szCs w:val="32"/>
        </w:rPr>
        <w:t>《预算法》、《财政支出绩效评价管理暂行办法》（财预〔202</w:t>
      </w:r>
      <w:r>
        <w:rPr>
          <w:rFonts w:hint="eastAsia" w:ascii="仿宋_GB2312" w:hAnsi="Arial" w:eastAsia="仿宋_GB2312" w:cs="宋体"/>
          <w:bCs/>
          <w:sz w:val="32"/>
          <w:szCs w:val="32"/>
          <w:lang w:val="en-US" w:eastAsia="zh-CN"/>
        </w:rPr>
        <w:t>1</w:t>
      </w:r>
      <w:r>
        <w:rPr>
          <w:rFonts w:ascii="仿宋_GB2312" w:hAnsi="Arial" w:eastAsia="仿宋_GB2312" w:cs="宋体"/>
          <w:bCs/>
          <w:sz w:val="32"/>
          <w:szCs w:val="32"/>
        </w:rPr>
        <w:t>〕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sz w:val="32"/>
          <w:szCs w:val="32"/>
        </w:rPr>
        <w:t>等文件要求，对</w:t>
      </w:r>
      <w:r>
        <w:rPr>
          <w:rFonts w:hint="eastAsia" w:ascii="仿宋_GB2312" w:eastAsia="仿宋_GB2312"/>
          <w:sz w:val="32"/>
          <w:szCs w:val="32"/>
          <w:lang w:eastAsia="zh-CN"/>
        </w:rPr>
        <w:t>2022</w:t>
      </w:r>
      <w:r>
        <w:rPr>
          <w:rFonts w:hint="eastAsia" w:ascii="仿宋_GB2312" w:eastAsia="仿宋_GB2312"/>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sz w:val="32"/>
          <w:szCs w:val="32"/>
        </w:rPr>
      </w:pPr>
      <w:r>
        <w:rPr>
          <w:rFonts w:hint="eastAsia" w:ascii="黑体" w:hAnsi="黑体"/>
          <w:b w:val="0"/>
          <w:sz w:val="32"/>
          <w:szCs w:val="32"/>
        </w:rPr>
        <w:t>二、部门单位整体支出管理及使用情况</w:t>
      </w:r>
    </w:p>
    <w:p>
      <w:pPr>
        <w:pStyle w:val="4"/>
        <w:numPr>
          <w:ilvl w:val="0"/>
          <w:numId w:val="3"/>
        </w:numPr>
        <w:ind w:firstLineChars="0"/>
        <w:rPr>
          <w:rFonts w:ascii="楷体_GB2312" w:eastAsia="楷体_GB2312"/>
          <w:szCs w:val="32"/>
        </w:rPr>
      </w:pPr>
      <w:r>
        <w:rPr>
          <w:rFonts w:hint="eastAsia" w:ascii="楷体_GB2312" w:eastAsia="楷体_GB2312"/>
          <w:bCs/>
          <w:szCs w:val="32"/>
        </w:rPr>
        <w:t>预算管理情况</w:t>
      </w:r>
    </w:p>
    <w:p>
      <w:pPr>
        <w:ind w:firstLine="640"/>
        <w:rPr>
          <w:rFonts w:ascii="仿宋_GB2312" w:eastAsia="仿宋_GB2312"/>
          <w:sz w:val="32"/>
          <w:szCs w:val="32"/>
        </w:rPr>
      </w:pPr>
      <w:r>
        <w:rPr>
          <w:rFonts w:hint="eastAsia" w:ascii="仿宋_GB2312" w:eastAsia="仿宋_GB2312"/>
          <w:sz w:val="32"/>
          <w:szCs w:val="32"/>
        </w:rPr>
        <w:t>我单位为加强预算管理、规范财务行为、加强内部控制体系建设，制定了《昌吉市</w:t>
      </w:r>
      <w:r>
        <w:rPr>
          <w:rFonts w:hint="eastAsia" w:ascii="仿宋_GB2312" w:eastAsia="仿宋_GB2312"/>
          <w:sz w:val="32"/>
          <w:szCs w:val="32"/>
          <w:lang w:val="en-US" w:eastAsia="zh-CN"/>
        </w:rPr>
        <w:t>团委</w:t>
      </w:r>
      <w:r>
        <w:rPr>
          <w:rFonts w:hint="eastAsia" w:ascii="仿宋_GB2312" w:eastAsia="仿宋_GB2312"/>
          <w:sz w:val="32"/>
          <w:szCs w:val="32"/>
        </w:rPr>
        <w:t>预算管理制度》和《昌吉市</w:t>
      </w:r>
      <w:r>
        <w:rPr>
          <w:rFonts w:hint="eastAsia" w:ascii="仿宋_GB2312" w:eastAsia="仿宋_GB2312"/>
          <w:sz w:val="32"/>
          <w:szCs w:val="32"/>
          <w:lang w:val="en-US" w:eastAsia="zh-CN"/>
        </w:rPr>
        <w:t>团委</w:t>
      </w:r>
      <w:r>
        <w:rPr>
          <w:rFonts w:hint="eastAsia" w:ascii="仿宋_GB2312" w:eastAsia="仿宋_GB2312"/>
          <w:sz w:val="32"/>
          <w:szCs w:val="32"/>
        </w:rPr>
        <w:t>内部控制管理制度》以及《昌吉市</w:t>
      </w:r>
      <w:r>
        <w:rPr>
          <w:rFonts w:hint="eastAsia" w:ascii="仿宋_GB2312" w:eastAsia="仿宋_GB2312"/>
          <w:sz w:val="32"/>
          <w:szCs w:val="32"/>
          <w:lang w:val="en-US" w:eastAsia="zh-CN"/>
        </w:rPr>
        <w:t>团委</w:t>
      </w:r>
      <w:r>
        <w:rPr>
          <w:rFonts w:hint="eastAsia" w:ascii="仿宋_GB2312" w:eastAsia="仿宋_GB2312"/>
          <w:sz w:val="32"/>
          <w:szCs w:val="32"/>
        </w:rPr>
        <w:t>绩效管理等制度》。并严格按照此管理制度管理使用预算资金，严格按照政府信息公开有关规定及财政部门要求公开相关预决算信息。</w:t>
      </w:r>
    </w:p>
    <w:p>
      <w:pPr>
        <w:pStyle w:val="4"/>
        <w:numPr>
          <w:ilvl w:val="0"/>
          <w:numId w:val="3"/>
        </w:numPr>
        <w:ind w:firstLineChars="0"/>
        <w:rPr>
          <w:rFonts w:ascii="楷体_GB2312" w:eastAsia="楷体_GB2312"/>
          <w:bCs/>
          <w:szCs w:val="32"/>
        </w:rPr>
      </w:pPr>
      <w:r>
        <w:rPr>
          <w:rFonts w:hint="eastAsia" w:ascii="楷体_GB2312" w:eastAsia="楷体_GB2312"/>
          <w:bCs/>
          <w:szCs w:val="32"/>
        </w:rPr>
        <w:t>基本支出预算安排及支出情况</w:t>
      </w:r>
    </w:p>
    <w:p>
      <w:pPr>
        <w:ind w:firstLine="643"/>
        <w:rPr>
          <w:rFonts w:ascii="仿宋_GB2312" w:eastAsia="仿宋_GB2312"/>
          <w:b/>
          <w:bCs/>
          <w:sz w:val="32"/>
          <w:szCs w:val="32"/>
        </w:rPr>
      </w:pPr>
      <w:r>
        <w:rPr>
          <w:rFonts w:hint="eastAsia" w:ascii="仿宋_GB2312" w:eastAsia="仿宋_GB2312"/>
          <w:b/>
          <w:bCs/>
          <w:sz w:val="32"/>
          <w:szCs w:val="32"/>
        </w:rPr>
        <w:t>1.基本支出情况</w:t>
      </w:r>
    </w:p>
    <w:p>
      <w:pPr>
        <w:ind w:firstLine="640"/>
        <w:rPr>
          <w:rFonts w:ascii="仿宋_GB2312" w:eastAsia="仿宋_GB2312"/>
          <w:sz w:val="32"/>
          <w:szCs w:val="32"/>
        </w:rPr>
      </w:pPr>
      <w:r>
        <w:rPr>
          <w:rFonts w:hint="eastAsia" w:ascii="仿宋_GB2312" w:eastAsia="仿宋_GB2312"/>
          <w:sz w:val="32"/>
          <w:szCs w:val="32"/>
          <w:lang w:eastAsia="zh-CN"/>
        </w:rPr>
        <w:t>2022</w:t>
      </w:r>
      <w:r>
        <w:rPr>
          <w:rFonts w:hint="eastAsia" w:ascii="仿宋_GB2312" w:eastAsia="仿宋_GB2312"/>
          <w:sz w:val="32"/>
          <w:szCs w:val="32"/>
        </w:rPr>
        <w:t>年，</w:t>
      </w:r>
      <w:r>
        <w:rPr>
          <w:rFonts w:hint="eastAsia" w:ascii="仿宋_GB2312" w:eastAsia="仿宋_GB2312"/>
          <w:sz w:val="32"/>
          <w:szCs w:val="32"/>
          <w:lang w:val="en-US" w:eastAsia="zh-CN"/>
        </w:rPr>
        <w:t>中国共产主义青年团昌吉市委员会</w:t>
      </w:r>
      <w:r>
        <w:rPr>
          <w:rFonts w:hint="eastAsia" w:ascii="仿宋_GB2312" w:eastAsia="仿宋_GB2312"/>
          <w:sz w:val="32"/>
          <w:szCs w:val="32"/>
        </w:rPr>
        <w:t>基本支出年初预算金额为</w:t>
      </w:r>
      <w:r>
        <w:rPr>
          <w:rFonts w:hint="eastAsia" w:ascii="仿宋_GB2312" w:eastAsia="仿宋_GB2312"/>
          <w:sz w:val="32"/>
          <w:szCs w:val="32"/>
          <w:lang w:val="en-US" w:eastAsia="zh-CN"/>
        </w:rPr>
        <w:t>63.49</w:t>
      </w:r>
      <w:r>
        <w:rPr>
          <w:rFonts w:hint="eastAsia" w:ascii="仿宋_GB2312" w:eastAsia="仿宋_GB2312"/>
          <w:sz w:val="32"/>
          <w:szCs w:val="32"/>
        </w:rPr>
        <w:t>万元，支出金额为</w:t>
      </w:r>
      <w:r>
        <w:rPr>
          <w:rFonts w:hint="eastAsia" w:ascii="仿宋_GB2312" w:eastAsia="仿宋_GB2312"/>
          <w:sz w:val="32"/>
          <w:szCs w:val="32"/>
          <w:lang w:val="en-US" w:eastAsia="zh-CN"/>
        </w:rPr>
        <w:t>63.49</w:t>
      </w:r>
      <w:r>
        <w:rPr>
          <w:rFonts w:hint="eastAsia" w:ascii="仿宋_GB2312" w:eastAsia="仿宋_GB2312"/>
          <w:sz w:val="32"/>
          <w:szCs w:val="32"/>
        </w:rPr>
        <w:t>万元，执行率为</w:t>
      </w:r>
      <w:r>
        <w:rPr>
          <w:rFonts w:hint="eastAsia" w:ascii="仿宋_GB2312" w:eastAsia="仿宋_GB2312"/>
          <w:sz w:val="32"/>
          <w:szCs w:val="32"/>
          <w:lang w:val="en-US" w:eastAsia="zh-CN"/>
        </w:rPr>
        <w:t>100</w:t>
      </w:r>
      <w:r>
        <w:rPr>
          <w:rFonts w:hint="eastAsia" w:ascii="仿宋_GB2312" w:eastAsia="仿宋_GB2312"/>
          <w:sz w:val="32"/>
          <w:szCs w:val="32"/>
        </w:rPr>
        <w:t>%，年中调整预算金额为</w:t>
      </w:r>
      <w:r>
        <w:rPr>
          <w:rFonts w:hint="eastAsia" w:ascii="仿宋_GB2312" w:eastAsia="仿宋_GB2312"/>
          <w:sz w:val="32"/>
          <w:szCs w:val="32"/>
          <w:lang w:val="en-US" w:eastAsia="zh-CN"/>
        </w:rPr>
        <w:t>7.53</w:t>
      </w:r>
      <w:r>
        <w:rPr>
          <w:rFonts w:hint="eastAsia" w:ascii="仿宋_GB2312" w:eastAsia="仿宋_GB2312"/>
          <w:sz w:val="32"/>
          <w:szCs w:val="32"/>
        </w:rPr>
        <w:t>万元。综上，我单位基本支出预算总额为</w:t>
      </w:r>
      <w:r>
        <w:rPr>
          <w:rFonts w:hint="eastAsia" w:ascii="仿宋_GB2312" w:eastAsia="仿宋_GB2312"/>
          <w:sz w:val="32"/>
          <w:szCs w:val="32"/>
          <w:lang w:val="en-US" w:eastAsia="zh-CN"/>
        </w:rPr>
        <w:t>71.02</w:t>
      </w:r>
      <w:r>
        <w:rPr>
          <w:rFonts w:hint="eastAsia" w:ascii="仿宋_GB2312" w:eastAsia="仿宋_GB2312"/>
          <w:sz w:val="32"/>
          <w:szCs w:val="32"/>
        </w:rPr>
        <w:t>万元，支出总额为</w:t>
      </w:r>
      <w:r>
        <w:rPr>
          <w:rFonts w:hint="eastAsia" w:ascii="仿宋_GB2312" w:eastAsia="仿宋_GB2312"/>
          <w:sz w:val="32"/>
          <w:szCs w:val="32"/>
          <w:lang w:val="en-US" w:eastAsia="zh-CN"/>
        </w:rPr>
        <w:t>63.49</w:t>
      </w:r>
      <w:r>
        <w:rPr>
          <w:rFonts w:hint="eastAsia" w:ascii="仿宋_GB2312" w:eastAsia="仿宋_GB2312"/>
          <w:sz w:val="32"/>
          <w:szCs w:val="32"/>
        </w:rPr>
        <w:t>万元，预算总执行率为</w:t>
      </w:r>
      <w:r>
        <w:rPr>
          <w:rFonts w:hint="eastAsia" w:ascii="仿宋_GB2312" w:eastAsia="仿宋_GB2312"/>
          <w:sz w:val="32"/>
          <w:szCs w:val="32"/>
          <w:lang w:val="en-US" w:eastAsia="zh-CN"/>
        </w:rPr>
        <w:t>100</w:t>
      </w:r>
      <w:r>
        <w:rPr>
          <w:rFonts w:hint="eastAsia" w:ascii="仿宋_GB2312" w:eastAsia="仿宋_GB2312"/>
          <w:sz w:val="32"/>
          <w:szCs w:val="32"/>
        </w:rPr>
        <w:t>%，其中人员经费</w:t>
      </w:r>
      <w:r>
        <w:rPr>
          <w:rFonts w:hint="eastAsia" w:ascii="仿宋_GB2312" w:eastAsia="仿宋_GB2312"/>
          <w:sz w:val="32"/>
          <w:szCs w:val="32"/>
          <w:lang w:val="en-US" w:eastAsia="zh-CN"/>
        </w:rPr>
        <w:t>67.89</w:t>
      </w:r>
      <w:r>
        <w:rPr>
          <w:rFonts w:hint="eastAsia" w:ascii="仿宋_GB2312" w:eastAsia="仿宋_GB2312"/>
          <w:sz w:val="32"/>
          <w:szCs w:val="32"/>
        </w:rPr>
        <w:t>万元，公用经费</w:t>
      </w:r>
      <w:r>
        <w:rPr>
          <w:rFonts w:hint="eastAsia" w:ascii="仿宋_GB2312" w:eastAsia="仿宋_GB2312"/>
          <w:sz w:val="32"/>
          <w:szCs w:val="32"/>
          <w:lang w:val="en-US" w:eastAsia="zh-CN"/>
        </w:rPr>
        <w:t>3.13</w:t>
      </w:r>
      <w:r>
        <w:rPr>
          <w:rFonts w:hint="eastAsia" w:ascii="仿宋_GB2312" w:eastAsia="仿宋_GB2312"/>
          <w:sz w:val="32"/>
          <w:szCs w:val="32"/>
        </w:rPr>
        <w:t>万元。</w:t>
      </w:r>
    </w:p>
    <w:p>
      <w:pPr>
        <w:ind w:firstLine="643"/>
        <w:rPr>
          <w:rFonts w:ascii="仿宋_GB2312" w:eastAsia="仿宋_GB2312"/>
          <w:b/>
          <w:bCs/>
          <w:sz w:val="32"/>
          <w:szCs w:val="32"/>
        </w:rPr>
      </w:pPr>
      <w:r>
        <w:rPr>
          <w:rFonts w:hint="eastAsia" w:ascii="仿宋_GB2312" w:eastAsia="仿宋_GB2312"/>
          <w:b/>
          <w:bCs/>
          <w:sz w:val="32"/>
          <w:szCs w:val="32"/>
        </w:rPr>
        <w:t>2.“三公”经费情况</w:t>
      </w:r>
    </w:p>
    <w:p>
      <w:pPr>
        <w:ind w:firstLine="640"/>
        <w:jc w:val="left"/>
        <w:rPr>
          <w:rFonts w:ascii="仿宋_GB2312" w:eastAsia="仿宋_GB2312" w:cs="宋体"/>
          <w:sz w:val="32"/>
          <w:szCs w:val="32"/>
        </w:rPr>
      </w:pPr>
      <w:r>
        <w:rPr>
          <w:rFonts w:hint="eastAsia" w:ascii="仿宋_GB2312" w:eastAsia="仿宋_GB2312" w:cs="宋体"/>
          <w:sz w:val="32"/>
          <w:szCs w:val="32"/>
        </w:rPr>
        <w:t>我单位认真贯彻落实中央关于厉行节约的有关规定，严格执行《党政机关厉行节约反对浪费条例》，</w:t>
      </w:r>
      <w:r>
        <w:rPr>
          <w:rFonts w:hint="eastAsia" w:ascii="仿宋_GB2312" w:eastAsia="仿宋_GB2312" w:cs="宋体"/>
          <w:sz w:val="32"/>
          <w:szCs w:val="32"/>
          <w:lang w:eastAsia="zh-CN"/>
        </w:rPr>
        <w:t>2022</w:t>
      </w:r>
      <w:r>
        <w:rPr>
          <w:rFonts w:hint="eastAsia" w:ascii="仿宋_GB2312" w:eastAsia="仿宋_GB2312" w:cs="宋体"/>
          <w:sz w:val="32"/>
          <w:szCs w:val="32"/>
        </w:rPr>
        <w:t>年“三公”经费预算数为2.60万元，其中：因公出国（境）费0.00万元，公务用车购置及运行费2.60万元（其中公务用车购置为0.00万元），公务接待费0.00万元。</w:t>
      </w:r>
    </w:p>
    <w:p>
      <w:pPr>
        <w:ind w:firstLine="640"/>
        <w:rPr>
          <w:rFonts w:ascii="仿宋_GB2312" w:eastAsia="仿宋_GB2312"/>
          <w:sz w:val="32"/>
          <w:szCs w:val="32"/>
        </w:rPr>
      </w:pPr>
      <w:r>
        <w:rPr>
          <w:rFonts w:hint="eastAsia" w:ascii="仿宋_GB2312" w:eastAsia="仿宋_GB2312"/>
          <w:sz w:val="32"/>
          <w:szCs w:val="32"/>
          <w:lang w:eastAsia="zh-CN"/>
        </w:rPr>
        <w:t>2022</w:t>
      </w:r>
      <w:r>
        <w:rPr>
          <w:rFonts w:hint="eastAsia" w:ascii="仿宋_GB2312" w:eastAsia="仿宋_GB2312"/>
          <w:sz w:val="32"/>
          <w:szCs w:val="32"/>
        </w:rPr>
        <w:t>年，全年“三公”经费决算支出2.16万元，其中：因公出国（境）费用0.00万元、公务用车购置及运行费2.16万元（其中公务用车购置为0.00万元）、公务接待费0.00万元。较上年“三公”经费决算支出1.11万元，增加1.05万元，增长94.8 %。</w:t>
      </w:r>
    </w:p>
    <w:p>
      <w:pPr>
        <w:pStyle w:val="4"/>
        <w:ind w:firstLine="640"/>
        <w:rPr>
          <w:rFonts w:ascii="楷体_GB2312" w:eastAsia="楷体_GB2312"/>
          <w:szCs w:val="32"/>
        </w:rPr>
      </w:pPr>
      <w:r>
        <w:rPr>
          <w:rFonts w:hint="eastAsia" w:ascii="楷体_GB2312" w:eastAsia="楷体_GB2312"/>
          <w:szCs w:val="32"/>
        </w:rPr>
        <w:t>（三）项目支出</w:t>
      </w:r>
      <w:r>
        <w:rPr>
          <w:rFonts w:hint="eastAsia" w:ascii="楷体_GB2312" w:hAnsi="Cambria" w:eastAsia="楷体_GB2312"/>
          <w:szCs w:val="32"/>
        </w:rPr>
        <w:t>预算安排及支出情况</w:t>
      </w:r>
    </w:p>
    <w:p>
      <w:pPr>
        <w:ind w:firstLine="643"/>
        <w:rPr>
          <w:rFonts w:ascii="仿宋_GB2312" w:eastAsia="仿宋_GB2312"/>
          <w:b/>
          <w:bCs/>
          <w:sz w:val="32"/>
          <w:szCs w:val="32"/>
        </w:rPr>
      </w:pPr>
      <w:r>
        <w:rPr>
          <w:rFonts w:hint="eastAsia" w:ascii="仿宋_GB2312" w:eastAsia="仿宋_GB2312"/>
          <w:b/>
          <w:bCs/>
          <w:sz w:val="32"/>
          <w:szCs w:val="32"/>
        </w:rPr>
        <w:t>1.项目支出情况</w:t>
      </w:r>
    </w:p>
    <w:tbl>
      <w:tblPr>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3933"/>
        <w:gridCol w:w="1069"/>
        <w:gridCol w:w="785"/>
        <w:gridCol w:w="643"/>
        <w:gridCol w:w="785"/>
        <w:gridCol w:w="121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项目名称</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计划投资金额</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执行金额</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执行率</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是否完成</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bdr w:val="none" w:color="auto" w:sz="0" w:space="0"/>
                <w:lang w:val="en-US" w:eastAsia="zh-CN" w:bidi="ar"/>
              </w:rPr>
              <w:t>是否为上级专项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2022年大学生志愿者服务西部计划中央财政资金</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60.12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15.84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否</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2022年“访惠聚”驻村（社区）工作经费</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是</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2021年度大学生志愿服务西部计划中央补助资金预算</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10.12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10.12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是</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2021年大学生志愿服务西部计划昌吉地方项目专项补助经费</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15.32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15.32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是</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是</w:t>
            </w:r>
          </w:p>
        </w:tc>
      </w:tr>
    </w:tbl>
    <w:p>
      <w:pPr>
        <w:numPr>
          <w:ilvl w:val="0"/>
          <w:numId w:val="2"/>
        </w:numPr>
        <w:ind w:firstLine="643"/>
        <w:rPr>
          <w:rFonts w:ascii="仿宋_GB2312" w:eastAsia="仿宋_GB2312"/>
          <w:b/>
          <w:bCs/>
          <w:sz w:val="32"/>
          <w:szCs w:val="32"/>
        </w:rPr>
      </w:pPr>
      <w:r>
        <w:rPr>
          <w:rFonts w:hint="eastAsia" w:ascii="仿宋_GB2312" w:eastAsia="仿宋_GB2312"/>
          <w:b/>
          <w:bCs/>
          <w:sz w:val="32"/>
          <w:szCs w:val="32"/>
        </w:rPr>
        <w:t>专项资金总投入及实际使用情况分析</w:t>
      </w:r>
    </w:p>
    <w:p>
      <w:pPr>
        <w:pStyle w:val="9"/>
        <w:widowControl/>
        <w:spacing w:before="40" w:beforeAutospacing="0" w:after="0" w:afterAutospacing="0"/>
        <w:ind w:firstLine="640"/>
        <w:jc w:val="both"/>
        <w:rPr>
          <w:rFonts w:ascii="仿宋_GB2312" w:eastAsia="仿宋_GB2312" w:cs="仿宋"/>
          <w:color w:val="FF0000"/>
          <w:sz w:val="32"/>
          <w:szCs w:val="32"/>
        </w:rPr>
      </w:pPr>
      <w:r>
        <w:rPr>
          <w:rFonts w:hint="eastAsia" w:ascii="仿宋_GB2312" w:eastAsia="仿宋_GB2312" w:cs="仿宋"/>
          <w:sz w:val="32"/>
          <w:szCs w:val="32"/>
          <w:lang w:eastAsia="zh-CN"/>
        </w:rPr>
        <w:t>2022</w:t>
      </w:r>
      <w:r>
        <w:rPr>
          <w:rFonts w:hint="eastAsia" w:ascii="仿宋_GB2312" w:eastAsia="仿宋_GB2312" w:cs="仿宋"/>
          <w:sz w:val="32"/>
          <w:szCs w:val="32"/>
        </w:rPr>
        <w:t>年，预算安排专项资金</w:t>
      </w:r>
      <w:r>
        <w:rPr>
          <w:rFonts w:hint="eastAsia" w:ascii="仿宋_GB2312" w:eastAsia="仿宋_GB2312" w:cs="仿宋"/>
          <w:sz w:val="32"/>
          <w:szCs w:val="32"/>
          <w:lang w:val="en-US" w:eastAsia="zh-CN"/>
        </w:rPr>
        <w:t>85.56</w:t>
      </w:r>
      <w:r>
        <w:rPr>
          <w:rFonts w:hint="eastAsia" w:ascii="仿宋_GB2312" w:eastAsia="仿宋_GB2312" w:cs="仿宋"/>
          <w:sz w:val="32"/>
          <w:szCs w:val="32"/>
        </w:rPr>
        <w:t>万元，实际使用0.00万元,结转0.00万元。</w:t>
      </w:r>
    </w:p>
    <w:p>
      <w:pPr>
        <w:pStyle w:val="3"/>
        <w:ind w:firstLine="640"/>
        <w:rPr>
          <w:rFonts w:ascii="黑体" w:hAnsi="黑体"/>
          <w:b w:val="0"/>
          <w:sz w:val="32"/>
          <w:szCs w:val="32"/>
        </w:rPr>
      </w:pPr>
      <w:r>
        <w:rPr>
          <w:rFonts w:hint="eastAsia" w:ascii="黑体" w:hAnsi="黑体"/>
          <w:b w:val="0"/>
          <w:sz w:val="32"/>
          <w:szCs w:val="32"/>
        </w:rPr>
        <w:t>三、部门单位专项组织实施情况</w:t>
      </w:r>
    </w:p>
    <w:p>
      <w:pPr>
        <w:pStyle w:val="4"/>
        <w:ind w:firstLine="640"/>
        <w:rPr>
          <w:rFonts w:ascii="楷体_GB2312" w:eastAsia="楷体_GB2312"/>
          <w:szCs w:val="32"/>
        </w:rPr>
      </w:pPr>
      <w:r>
        <w:rPr>
          <w:rFonts w:hint="eastAsia" w:ascii="楷体_GB2312" w:eastAsia="楷体_GB2312"/>
          <w:szCs w:val="32"/>
        </w:rPr>
        <w:t>（一）专项组织情况分析</w:t>
      </w:r>
    </w:p>
    <w:p>
      <w:pPr>
        <w:ind w:firstLine="643"/>
        <w:rPr>
          <w:rFonts w:ascii="仿宋_GB2312" w:eastAsia="仿宋_GB2312"/>
          <w:sz w:val="32"/>
          <w:szCs w:val="32"/>
        </w:rPr>
      </w:pPr>
      <w:r>
        <w:rPr>
          <w:rFonts w:hint="eastAsia" w:ascii="仿宋_GB2312" w:eastAsia="仿宋_GB2312"/>
          <w:b/>
          <w:bCs/>
          <w:sz w:val="32"/>
          <w:szCs w:val="32"/>
        </w:rPr>
        <w:t>1.前期准备</w:t>
      </w:r>
    </w:p>
    <w:p>
      <w:pPr>
        <w:ind w:firstLine="640"/>
        <w:rPr>
          <w:rFonts w:ascii="仿宋_GB2312" w:eastAsia="仿宋_GB2312"/>
          <w:color w:val="FF0000"/>
          <w:sz w:val="32"/>
          <w:szCs w:val="32"/>
        </w:rPr>
      </w:pPr>
      <w:r>
        <w:rPr>
          <w:rFonts w:hint="eastAsia" w:ascii="仿宋_GB2312" w:eastAsia="仿宋_GB2312"/>
          <w:sz w:val="32"/>
          <w:szCs w:val="32"/>
        </w:rPr>
        <w:t>梳理</w:t>
      </w:r>
      <w:r>
        <w:rPr>
          <w:rFonts w:hint="eastAsia" w:ascii="仿宋_GB2312" w:eastAsia="仿宋_GB2312"/>
          <w:sz w:val="32"/>
          <w:szCs w:val="32"/>
          <w:lang w:eastAsia="zh-CN"/>
        </w:rPr>
        <w:t>2022</w:t>
      </w:r>
      <w:r>
        <w:rPr>
          <w:rFonts w:hint="eastAsia" w:ascii="仿宋_GB2312" w:eastAsia="仿宋_GB2312"/>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3"/>
        <w:rPr>
          <w:rFonts w:ascii="仿宋_GB2312" w:eastAsia="仿宋_GB2312"/>
          <w:b/>
          <w:bCs/>
          <w:sz w:val="32"/>
          <w:szCs w:val="32"/>
        </w:rPr>
      </w:pPr>
      <w:r>
        <w:rPr>
          <w:rFonts w:hint="eastAsia" w:ascii="仿宋_GB2312" w:eastAsia="仿宋_GB2312"/>
          <w:b/>
          <w:bCs/>
          <w:sz w:val="32"/>
          <w:szCs w:val="32"/>
        </w:rPr>
        <w:t>2.组织实施</w:t>
      </w:r>
    </w:p>
    <w:p>
      <w:pPr>
        <w:ind w:firstLine="640"/>
        <w:rPr>
          <w:rFonts w:ascii="仿宋_GB2312" w:eastAsia="仿宋_GB2312"/>
          <w:sz w:val="32"/>
          <w:szCs w:val="32"/>
        </w:rPr>
      </w:pPr>
      <w:r>
        <w:rPr>
          <w:rFonts w:hint="eastAsia" w:ascii="仿宋_GB2312" w:eastAsia="仿宋_GB2312"/>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sz w:val="32"/>
          <w:szCs w:val="32"/>
          <w:lang w:val="zh-TW" w:eastAsia="zh-TW"/>
        </w:rPr>
      </w:pPr>
      <w:r>
        <w:rPr>
          <w:rFonts w:hint="eastAsia" w:ascii="仿宋_GB2312" w:eastAsia="仿宋_GB2312"/>
          <w:sz w:val="32"/>
          <w:szCs w:val="32"/>
          <w:lang w:val="zh-TW" w:eastAsia="zh-TW"/>
        </w:rPr>
        <w:t>对</w:t>
      </w:r>
      <w:r>
        <w:rPr>
          <w:rFonts w:hint="eastAsia" w:ascii="仿宋_GB2312" w:eastAsia="仿宋_GB2312"/>
          <w:sz w:val="32"/>
          <w:szCs w:val="32"/>
        </w:rPr>
        <w:t>专项</w:t>
      </w:r>
      <w:r>
        <w:rPr>
          <w:rFonts w:hint="eastAsia" w:ascii="仿宋_GB2312" w:eastAsia="仿宋_GB2312"/>
          <w:sz w:val="32"/>
          <w:szCs w:val="32"/>
          <w:lang w:val="zh-TW"/>
        </w:rPr>
        <w:t>项目预算执行情况进行分析，</w:t>
      </w:r>
      <w:r>
        <w:rPr>
          <w:rFonts w:hint="eastAsia" w:ascii="仿宋_GB2312" w:eastAsia="仿宋_GB2312"/>
          <w:sz w:val="32"/>
          <w:szCs w:val="32"/>
        </w:rPr>
        <w:t>分析</w:t>
      </w:r>
      <w:r>
        <w:rPr>
          <w:rFonts w:hint="eastAsia" w:ascii="仿宋_GB2312" w:eastAsia="仿宋_GB2312"/>
          <w:sz w:val="32"/>
          <w:szCs w:val="32"/>
          <w:lang w:val="zh-TW"/>
        </w:rPr>
        <w:t>专项项目产出、项目目标的实现程度和管理有效性，从而总结项目取得的业绩和经验，发现项目存在的不足之处</w:t>
      </w:r>
      <w:r>
        <w:rPr>
          <w:rFonts w:hint="eastAsia" w:ascii="仿宋_GB2312" w:eastAsia="仿宋_GB2312"/>
          <w:sz w:val="32"/>
          <w:szCs w:val="32"/>
          <w:lang w:val="zh-TW" w:eastAsia="zh-TW"/>
        </w:rPr>
        <w:t>。</w:t>
      </w:r>
    </w:p>
    <w:p>
      <w:pPr>
        <w:ind w:firstLine="640"/>
        <w:rPr>
          <w:rFonts w:ascii="仿宋_GB2312" w:eastAsia="仿宋_GB2312"/>
          <w:sz w:val="32"/>
          <w:szCs w:val="32"/>
        </w:rPr>
      </w:pPr>
      <w:r>
        <w:rPr>
          <w:rFonts w:hint="eastAsia" w:ascii="仿宋_GB2312" w:eastAsia="仿宋_GB2312"/>
          <w:sz w:val="32"/>
          <w:szCs w:val="32"/>
          <w:lang w:val="zh-TW"/>
        </w:rPr>
        <w:t>对财政资金使用合规性进行评价，</w:t>
      </w:r>
      <w:r>
        <w:rPr>
          <w:rFonts w:hint="eastAsia" w:ascii="仿宋_GB2312" w:eastAsia="仿宋_GB2312"/>
          <w:sz w:val="32"/>
          <w:szCs w:val="32"/>
        </w:rPr>
        <w:t>主要评价：①</w:t>
      </w:r>
      <w:r>
        <w:rPr>
          <w:rFonts w:hint="eastAsia" w:ascii="仿宋_GB2312" w:eastAsia="仿宋_GB2312"/>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sz w:val="32"/>
          <w:szCs w:val="32"/>
        </w:rPr>
        <w:t>通过评价</w:t>
      </w:r>
      <w:r>
        <w:rPr>
          <w:rFonts w:hint="eastAsia" w:ascii="仿宋_GB2312" w:eastAsia="仿宋_GB2312"/>
          <w:sz w:val="32"/>
          <w:szCs w:val="32"/>
          <w:lang w:val="zh-TW"/>
        </w:rPr>
        <w:t>发现财政资金使用中存在的合规性问题，总结财务内控中存在的不足之处。</w:t>
      </w:r>
    </w:p>
    <w:p>
      <w:pPr>
        <w:pStyle w:val="4"/>
        <w:numPr>
          <w:ilvl w:val="0"/>
          <w:numId w:val="4"/>
        </w:numPr>
        <w:ind w:firstLine="640"/>
        <w:rPr>
          <w:rFonts w:ascii="楷体_GB2312" w:eastAsia="楷体_GB2312"/>
          <w:szCs w:val="32"/>
        </w:rPr>
      </w:pPr>
      <w:r>
        <w:rPr>
          <w:rFonts w:hint="eastAsia" w:ascii="楷体_GB2312" w:eastAsia="楷体_GB2312"/>
          <w:szCs w:val="32"/>
        </w:rPr>
        <w:t>专项管理情况分析</w:t>
      </w:r>
    </w:p>
    <w:p>
      <w:pPr>
        <w:ind w:firstLine="640"/>
        <w:rPr>
          <w:rFonts w:ascii="仿宋_GB2312" w:eastAsia="仿宋_GB2312"/>
          <w:color w:val="FF0000"/>
          <w:sz w:val="32"/>
          <w:szCs w:val="32"/>
        </w:rPr>
      </w:pPr>
      <w:r>
        <w:rPr>
          <w:rFonts w:hint="eastAsia" w:ascii="仿宋_GB2312" w:eastAsia="仿宋_GB2312"/>
          <w:sz w:val="32"/>
          <w:szCs w:val="32"/>
          <w:lang w:eastAsia="zh-CN"/>
        </w:rPr>
        <w:t>2022</w:t>
      </w:r>
      <w:r>
        <w:rPr>
          <w:rFonts w:hint="eastAsia" w:ascii="仿宋_GB2312" w:eastAsia="仿宋_GB2312"/>
          <w:sz w:val="32"/>
          <w:szCs w:val="32"/>
        </w:rPr>
        <w:t>年本单位全年未安排中央及自治区专项资金支出项目</w:t>
      </w:r>
      <w:r>
        <w:rPr>
          <w:rFonts w:hint="eastAsia" w:ascii="仿宋_GB2312" w:eastAsia="仿宋_GB2312"/>
          <w:sz w:val="32"/>
          <w:szCs w:val="32"/>
          <w:lang w:val="en-US" w:eastAsia="zh-CN"/>
        </w:rPr>
        <w:t>3个，项目资金合计为</w:t>
      </w:r>
      <w:r>
        <w:rPr>
          <w:rFonts w:hint="eastAsia" w:ascii="仿宋_GB2312" w:eastAsia="仿宋_GB2312" w:cs="仿宋"/>
          <w:sz w:val="32"/>
          <w:szCs w:val="32"/>
          <w:lang w:val="en-US" w:eastAsia="zh-CN"/>
        </w:rPr>
        <w:t>85.56万元</w:t>
      </w:r>
      <w:r>
        <w:rPr>
          <w:rFonts w:hint="eastAsia" w:ascii="仿宋_GB2312" w:eastAsia="仿宋_GB2312"/>
          <w:sz w:val="32"/>
          <w:szCs w:val="32"/>
        </w:rPr>
        <w:t>。</w:t>
      </w:r>
    </w:p>
    <w:p>
      <w:pPr>
        <w:pStyle w:val="3"/>
        <w:ind w:firstLine="640"/>
        <w:rPr>
          <w:rFonts w:ascii="黑体" w:hAnsi="黑体"/>
          <w:b w:val="0"/>
          <w:sz w:val="32"/>
          <w:szCs w:val="32"/>
        </w:rPr>
      </w:pPr>
      <w:r>
        <w:rPr>
          <w:rFonts w:hint="eastAsia" w:ascii="黑体" w:hAnsi="黑体"/>
          <w:b w:val="0"/>
          <w:sz w:val="32"/>
          <w:szCs w:val="32"/>
        </w:rPr>
        <w:t>四、资产管理情况</w:t>
      </w:r>
    </w:p>
    <w:p>
      <w:pPr>
        <w:pStyle w:val="4"/>
        <w:numPr>
          <w:ilvl w:val="0"/>
          <w:numId w:val="5"/>
        </w:numPr>
        <w:ind w:firstLine="640"/>
        <w:rPr>
          <w:rFonts w:ascii="楷体_GB2312" w:eastAsia="楷体_GB2312"/>
          <w:szCs w:val="32"/>
        </w:rPr>
      </w:pPr>
      <w:r>
        <w:rPr>
          <w:rFonts w:hint="eastAsia" w:ascii="楷体_GB2312" w:eastAsia="楷体_GB2312"/>
          <w:szCs w:val="32"/>
        </w:rPr>
        <w:t>资产情况及固定资产利用情况</w:t>
      </w:r>
    </w:p>
    <w:p>
      <w:pPr>
        <w:ind w:firstLine="640"/>
        <w:rPr>
          <w:rFonts w:ascii="仿宋_GB2312" w:eastAsia="仿宋_GB2312"/>
          <w:sz w:val="32"/>
          <w:szCs w:val="32"/>
        </w:rPr>
      </w:pPr>
      <w:r>
        <w:rPr>
          <w:rFonts w:hint="eastAsia" w:ascii="仿宋_GB2312" w:eastAsia="仿宋_GB2312"/>
          <w:sz w:val="32"/>
          <w:szCs w:val="32"/>
        </w:rPr>
        <w:t>截止</w:t>
      </w:r>
      <w:r>
        <w:rPr>
          <w:rFonts w:hint="eastAsia" w:ascii="仿宋_GB2312" w:eastAsia="仿宋_GB2312"/>
          <w:sz w:val="32"/>
          <w:szCs w:val="32"/>
          <w:lang w:eastAsia="zh-CN"/>
        </w:rPr>
        <w:t>2022</w:t>
      </w:r>
      <w:r>
        <w:rPr>
          <w:rFonts w:hint="eastAsia" w:ascii="仿宋_GB2312" w:eastAsia="仿宋_GB2312"/>
          <w:sz w:val="32"/>
          <w:szCs w:val="32"/>
        </w:rPr>
        <w:t>年12月31日，我单位资产账面总额为4.20万元，较年初资产总额减少2.35万元，下降35.8%，其中：</w:t>
      </w:r>
    </w:p>
    <w:p>
      <w:pPr>
        <w:ind w:firstLine="640"/>
        <w:rPr>
          <w:rFonts w:ascii="仿宋_GB2312" w:eastAsia="仿宋_GB2312"/>
          <w:sz w:val="32"/>
          <w:szCs w:val="32"/>
        </w:rPr>
      </w:pPr>
      <w:r>
        <w:rPr>
          <w:rFonts w:hint="eastAsia" w:ascii="仿宋_GB2312" w:eastAsia="仿宋_GB2312"/>
          <w:sz w:val="32"/>
          <w:szCs w:val="32"/>
          <w:lang w:eastAsia="zh-CN"/>
        </w:rPr>
        <w:t>2022</w:t>
      </w:r>
      <w:r>
        <w:rPr>
          <w:rFonts w:hint="eastAsia" w:ascii="仿宋_GB2312" w:eastAsia="仿宋_GB2312"/>
          <w:sz w:val="32"/>
          <w:szCs w:val="32"/>
        </w:rPr>
        <w:t>年初，流动资产总额为4.09万元，年末总额为2.49万元，较年初流动资产减少1.60万元，下降39.1%，主要变动原因是：个人往来减少。</w:t>
      </w:r>
    </w:p>
    <w:p>
      <w:pPr>
        <w:ind w:firstLine="640"/>
        <w:rPr>
          <w:rFonts w:ascii="仿宋_GB2312" w:eastAsia="仿宋_GB2312"/>
          <w:sz w:val="32"/>
          <w:szCs w:val="32"/>
        </w:rPr>
      </w:pPr>
      <w:r>
        <w:rPr>
          <w:rFonts w:hint="eastAsia" w:ascii="仿宋_GB2312" w:eastAsia="仿宋_GB2312"/>
          <w:sz w:val="32"/>
          <w:szCs w:val="32"/>
          <w:lang w:eastAsia="zh-CN"/>
        </w:rPr>
        <w:t>2022</w:t>
      </w:r>
      <w:r>
        <w:rPr>
          <w:rFonts w:hint="eastAsia" w:ascii="仿宋_GB2312" w:eastAsia="仿宋_GB2312"/>
          <w:sz w:val="32"/>
          <w:szCs w:val="32"/>
        </w:rPr>
        <w:t>年初，固定资产总额为2.46万元，年末总额为1.71万元，</w:t>
      </w:r>
      <w:r>
        <w:rPr>
          <w:rFonts w:hint="eastAsia" w:ascii="仿宋_GB2312" w:eastAsia="仿宋_GB2312"/>
          <w:sz w:val="32"/>
          <w:szCs w:val="32"/>
          <w:highlight w:val="none"/>
          <w:lang w:val="en-US" w:eastAsia="zh-CN"/>
        </w:rPr>
        <w:t>净值为：1.5万元，</w:t>
      </w:r>
      <w:r>
        <w:rPr>
          <w:rFonts w:hint="eastAsia" w:ascii="仿宋_GB2312" w:eastAsia="仿宋_GB2312"/>
          <w:sz w:val="32"/>
          <w:szCs w:val="32"/>
        </w:rPr>
        <w:t>较年初固定资产减少0.75万元，下降30.5%，主要变动原因是：固定资产折旧。</w:t>
      </w:r>
    </w:p>
    <w:p>
      <w:pPr>
        <w:pStyle w:val="4"/>
        <w:numPr>
          <w:ilvl w:val="0"/>
          <w:numId w:val="5"/>
        </w:numPr>
        <w:ind w:firstLine="640"/>
        <w:rPr>
          <w:rFonts w:ascii="楷体_GB2312" w:eastAsia="楷体_GB2312"/>
          <w:szCs w:val="32"/>
        </w:rPr>
      </w:pPr>
      <w:r>
        <w:rPr>
          <w:rFonts w:hint="eastAsia" w:ascii="楷体_GB2312" w:eastAsia="楷体_GB2312"/>
          <w:szCs w:val="32"/>
        </w:rPr>
        <w:t>资产管理规范性分析</w:t>
      </w:r>
    </w:p>
    <w:p>
      <w:pPr>
        <w:ind w:firstLine="643"/>
        <w:jc w:val="left"/>
        <w:rPr>
          <w:rFonts w:ascii="仿宋_GB2312" w:eastAsia="仿宋_GB2312" w:cs="仿宋_GB2312"/>
          <w:color w:val="FF0000"/>
          <w:kern w:val="1"/>
          <w:sz w:val="32"/>
          <w:szCs w:val="32"/>
        </w:rPr>
      </w:pPr>
      <w:r>
        <w:rPr>
          <w:rFonts w:hint="eastAsia" w:ascii="仿宋_GB2312" w:eastAsia="仿宋_GB2312" w:cs="仿宋_GB2312"/>
          <w:b/>
          <w:kern w:val="1"/>
          <w:sz w:val="32"/>
          <w:szCs w:val="32"/>
        </w:rPr>
        <w:t>1.资产管理体制和制度建设方面</w:t>
      </w:r>
    </w:p>
    <w:p>
      <w:pPr>
        <w:ind w:firstLine="681" w:firstLineChars="213"/>
        <w:jc w:val="left"/>
        <w:rPr>
          <w:rFonts w:ascii="仿宋_GB2312" w:eastAsia="仿宋_GB2312" w:cs="仿宋"/>
          <w:kern w:val="1"/>
          <w:sz w:val="32"/>
          <w:szCs w:val="32"/>
        </w:rPr>
      </w:pPr>
      <w:r>
        <w:rPr>
          <w:rFonts w:hint="eastAsia" w:ascii="仿宋_GB2312" w:eastAsia="仿宋_GB2312" w:cs="仿宋"/>
          <w:kern w:val="1"/>
          <w:sz w:val="32"/>
          <w:szCs w:val="32"/>
        </w:rPr>
        <w:t>我单位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3"/>
        <w:jc w:val="left"/>
        <w:rPr>
          <w:rFonts w:ascii="仿宋_GB2312" w:eastAsia="仿宋_GB2312" w:cs="仿宋_GB2312"/>
          <w:b/>
          <w:kern w:val="1"/>
          <w:sz w:val="32"/>
          <w:szCs w:val="32"/>
        </w:rPr>
      </w:pPr>
      <w:r>
        <w:rPr>
          <w:rFonts w:hint="eastAsia" w:ascii="仿宋_GB2312" w:eastAsia="仿宋_GB2312" w:cs="仿宋_GB2312"/>
          <w:b/>
          <w:kern w:val="1"/>
          <w:sz w:val="32"/>
          <w:szCs w:val="32"/>
        </w:rPr>
        <w:t>2.运行机制和管理方式</w:t>
      </w:r>
    </w:p>
    <w:p>
      <w:pPr>
        <w:ind w:firstLine="681" w:firstLineChars="213"/>
        <w:jc w:val="left"/>
        <w:rPr>
          <w:rFonts w:ascii="仿宋_GB2312" w:eastAsia="仿宋_GB2312" w:cs="仿宋"/>
          <w:kern w:val="1"/>
          <w:sz w:val="32"/>
          <w:szCs w:val="32"/>
          <w:highlight w:val="none"/>
        </w:rPr>
      </w:pPr>
      <w:r>
        <w:rPr>
          <w:rFonts w:hint="eastAsia" w:ascii="仿宋_GB2312" w:eastAsia="仿宋_GB2312" w:cs="仿宋"/>
          <w:kern w:val="1"/>
          <w:sz w:val="32"/>
          <w:szCs w:val="32"/>
        </w:rPr>
        <w:t>资产管理由财务部门进行价值核算并设置专人进行资产实物卡片管理及使用状况监督；办公设备由办公室设置专人进行实物卡片管理及使用状况监督。我单位建立了严格的资产交付使</w:t>
      </w:r>
      <w:r>
        <w:rPr>
          <w:rFonts w:hint="eastAsia" w:ascii="仿宋_GB2312" w:eastAsia="仿宋_GB2312" w:cs="仿宋"/>
          <w:kern w:val="1"/>
          <w:sz w:val="32"/>
          <w:szCs w:val="32"/>
          <w:highlight w:val="none"/>
        </w:rPr>
        <w:t>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3"/>
        <w:jc w:val="left"/>
        <w:rPr>
          <w:rFonts w:ascii="仿宋_GB2312" w:eastAsia="仿宋_GB2312" w:cs="仿宋_GB2312"/>
          <w:b/>
          <w:kern w:val="1"/>
          <w:sz w:val="32"/>
          <w:szCs w:val="32"/>
          <w:highlight w:val="none"/>
        </w:rPr>
      </w:pPr>
      <w:r>
        <w:rPr>
          <w:rFonts w:hint="eastAsia" w:ascii="仿宋_GB2312" w:eastAsia="仿宋_GB2312" w:cs="仿宋_GB2312"/>
          <w:b/>
          <w:kern w:val="1"/>
          <w:sz w:val="32"/>
          <w:szCs w:val="32"/>
          <w:highlight w:val="none"/>
        </w:rPr>
        <w:t>3.信息化建设方面</w:t>
      </w:r>
    </w:p>
    <w:p>
      <w:pPr>
        <w:ind w:firstLine="640"/>
        <w:jc w:val="left"/>
        <w:rPr>
          <w:rFonts w:ascii="仿宋_GB2312" w:eastAsia="仿宋_GB2312" w:cs="仿宋"/>
          <w:kern w:val="1"/>
          <w:sz w:val="32"/>
          <w:szCs w:val="32"/>
          <w:highlight w:val="none"/>
        </w:rPr>
      </w:pPr>
      <w:r>
        <w:rPr>
          <w:rFonts w:hint="eastAsia" w:ascii="仿宋_GB2312" w:eastAsia="仿宋_GB2312" w:cs="仿宋"/>
          <w:kern w:val="1"/>
          <w:sz w:val="32"/>
          <w:szCs w:val="32"/>
          <w:highlight w:val="none"/>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3"/>
        <w:jc w:val="left"/>
        <w:rPr>
          <w:rFonts w:ascii="仿宋_GB2312" w:eastAsia="仿宋_GB2312" w:cs="仿宋_GB2312"/>
          <w:b/>
          <w:kern w:val="1"/>
          <w:sz w:val="32"/>
          <w:szCs w:val="32"/>
          <w:highlight w:val="none"/>
        </w:rPr>
      </w:pPr>
      <w:r>
        <w:rPr>
          <w:rFonts w:hint="eastAsia" w:ascii="仿宋_GB2312" w:eastAsia="仿宋_GB2312" w:cs="仿宋_GB2312"/>
          <w:b/>
          <w:kern w:val="1"/>
          <w:sz w:val="32"/>
          <w:szCs w:val="32"/>
          <w:highlight w:val="none"/>
        </w:rPr>
        <w:t xml:space="preserve"> 4.流动资产的管理</w:t>
      </w:r>
    </w:p>
    <w:p>
      <w:pPr>
        <w:pStyle w:val="9"/>
        <w:widowControl/>
        <w:spacing w:before="40" w:beforeAutospacing="0" w:after="0" w:afterAutospacing="0"/>
        <w:ind w:firstLine="640"/>
        <w:jc w:val="both"/>
        <w:rPr>
          <w:rFonts w:ascii="仿宋_GB2312" w:eastAsia="仿宋_GB2312" w:cs="宋体"/>
          <w:sz w:val="32"/>
          <w:szCs w:val="32"/>
          <w:highlight w:val="none"/>
        </w:rPr>
      </w:pPr>
      <w:r>
        <w:rPr>
          <w:rFonts w:hint="eastAsia" w:ascii="仿宋_GB2312" w:eastAsia="仿宋_GB2312" w:cs="宋体"/>
          <w:sz w:val="32"/>
          <w:szCs w:val="32"/>
          <w:highlight w:val="none"/>
        </w:rPr>
        <w:t>流动资产严格按照我单位内控体系要求进行管理，无备用金，单位货币资金管理由办公室每月与国库支付中心进行对账。</w:t>
      </w:r>
    </w:p>
    <w:p>
      <w:pPr>
        <w:ind w:firstLine="643"/>
        <w:jc w:val="left"/>
        <w:rPr>
          <w:rFonts w:ascii="仿宋_GB2312" w:eastAsia="仿宋_GB2312" w:cs="仿宋_GB2312"/>
          <w:b/>
          <w:kern w:val="1"/>
          <w:sz w:val="32"/>
          <w:szCs w:val="32"/>
          <w:highlight w:val="none"/>
        </w:rPr>
      </w:pPr>
      <w:r>
        <w:rPr>
          <w:rFonts w:hint="eastAsia" w:ascii="仿宋_GB2312" w:eastAsia="仿宋_GB2312" w:cs="仿宋_GB2312"/>
          <w:b/>
          <w:kern w:val="1"/>
          <w:sz w:val="32"/>
          <w:szCs w:val="32"/>
          <w:highlight w:val="none"/>
        </w:rPr>
        <w:t>5.固定资产的管理</w:t>
      </w:r>
    </w:p>
    <w:p>
      <w:pPr>
        <w:pStyle w:val="9"/>
        <w:widowControl/>
        <w:spacing w:before="40" w:beforeAutospacing="0" w:after="0" w:afterAutospacing="0"/>
        <w:ind w:firstLine="640"/>
        <w:jc w:val="both"/>
        <w:rPr>
          <w:rFonts w:ascii="仿宋_GB2312" w:eastAsia="仿宋_GB2312" w:cs="宋体"/>
          <w:sz w:val="32"/>
          <w:szCs w:val="32"/>
          <w:highlight w:val="none"/>
        </w:rPr>
      </w:pPr>
      <w:r>
        <w:rPr>
          <w:rFonts w:hint="eastAsia" w:ascii="仿宋_GB2312" w:eastAsia="仿宋_GB2312" w:cs="宋体"/>
          <w:sz w:val="32"/>
          <w:szCs w:val="32"/>
          <w:highlight w:val="none"/>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支部会研究决策，再上报财政行政事业单位资产管理科进行申报再行处理。</w:t>
      </w:r>
    </w:p>
    <w:p>
      <w:pPr>
        <w:pStyle w:val="3"/>
        <w:numPr>
          <w:ilvl w:val="0"/>
          <w:numId w:val="6"/>
        </w:numPr>
        <w:ind w:firstLine="640"/>
        <w:rPr>
          <w:rFonts w:ascii="黑体" w:hAnsi="黑体"/>
          <w:b w:val="0"/>
          <w:sz w:val="32"/>
          <w:szCs w:val="32"/>
          <w:highlight w:val="none"/>
        </w:rPr>
      </w:pPr>
      <w:r>
        <w:rPr>
          <w:rFonts w:hint="eastAsia" w:ascii="黑体" w:hAnsi="黑体"/>
          <w:b w:val="0"/>
          <w:sz w:val="32"/>
          <w:szCs w:val="32"/>
          <w:highlight w:val="none"/>
        </w:rPr>
        <w:t>部门单位整体支出绩效情况</w:t>
      </w:r>
    </w:p>
    <w:p>
      <w:pPr>
        <w:ind w:firstLine="640"/>
        <w:rPr>
          <w:rFonts w:hint="eastAsia" w:ascii="仿宋_GB2312" w:eastAsia="仿宋_GB2312"/>
          <w:sz w:val="32"/>
          <w:szCs w:val="32"/>
          <w:highlight w:val="none"/>
          <w:lang w:val="en-US" w:eastAsia="zh-CN"/>
        </w:rPr>
      </w:pPr>
      <w:r>
        <w:rPr>
          <w:rFonts w:hint="eastAsia" w:ascii="仿宋_GB2312" w:eastAsia="仿宋_GB2312"/>
          <w:sz w:val="32"/>
          <w:szCs w:val="32"/>
          <w:highlight w:val="none"/>
          <w:lang w:eastAsia="zh-CN"/>
        </w:rPr>
        <w:t>2022</w:t>
      </w:r>
      <w:r>
        <w:rPr>
          <w:rFonts w:hint="eastAsia" w:ascii="仿宋_GB2312" w:eastAsia="仿宋_GB2312"/>
          <w:sz w:val="32"/>
          <w:szCs w:val="32"/>
          <w:highlight w:val="none"/>
        </w:rPr>
        <w:t>年度，</w:t>
      </w:r>
      <w:r>
        <w:rPr>
          <w:rFonts w:hint="eastAsia" w:ascii="仿宋_GB2312" w:eastAsia="仿宋_GB2312"/>
          <w:sz w:val="32"/>
          <w:szCs w:val="32"/>
          <w:highlight w:val="none"/>
          <w:lang w:val="en-US" w:eastAsia="zh-CN"/>
        </w:rPr>
        <w:t>中国共产主义青年团昌吉市委员会</w:t>
      </w:r>
      <w:r>
        <w:rPr>
          <w:rFonts w:hint="eastAsia" w:ascii="仿宋_GB2312" w:eastAsia="仿宋_GB2312"/>
          <w:sz w:val="32"/>
          <w:szCs w:val="32"/>
          <w:highlight w:val="none"/>
        </w:rPr>
        <w:t>部门单位整体支出绩效目标共设置一级指标3个，二级指标7个，三级指标</w:t>
      </w:r>
      <w:r>
        <w:rPr>
          <w:rFonts w:hint="eastAsia" w:ascii="仿宋_GB2312" w:eastAsia="仿宋_GB2312"/>
          <w:sz w:val="32"/>
          <w:szCs w:val="32"/>
          <w:highlight w:val="none"/>
          <w:lang w:val="en-US" w:eastAsia="zh-CN"/>
        </w:rPr>
        <w:t>11</w:t>
      </w:r>
      <w:r>
        <w:rPr>
          <w:rFonts w:hint="eastAsia" w:ascii="仿宋_GB2312" w:eastAsia="仿宋_GB2312"/>
          <w:sz w:val="32"/>
          <w:szCs w:val="32"/>
          <w:highlight w:val="none"/>
        </w:rPr>
        <w:t>个，其中：已完成三级指标</w:t>
      </w:r>
      <w:r>
        <w:rPr>
          <w:rFonts w:hint="eastAsia" w:ascii="仿宋_GB2312" w:eastAsia="仿宋_GB2312"/>
          <w:sz w:val="32"/>
          <w:szCs w:val="32"/>
          <w:highlight w:val="none"/>
          <w:lang w:val="en-US" w:eastAsia="zh-CN"/>
        </w:rPr>
        <w:t>11</w:t>
      </w:r>
      <w:r>
        <w:rPr>
          <w:rFonts w:hint="eastAsia" w:ascii="仿宋_GB2312" w:eastAsia="仿宋_GB2312"/>
          <w:sz w:val="32"/>
          <w:szCs w:val="32"/>
          <w:highlight w:val="none"/>
        </w:rPr>
        <w:t>个，指标完成率为100.0%；未完成指标</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个</w:t>
      </w:r>
      <w:r>
        <w:rPr>
          <w:rFonts w:hint="eastAsia" w:ascii="仿宋_GB2312" w:eastAsia="仿宋_GB2312"/>
          <w:sz w:val="32"/>
          <w:szCs w:val="32"/>
          <w:highlight w:val="none"/>
          <w:lang w:val="en-US" w:eastAsia="zh-CN"/>
        </w:rPr>
        <w:t>.</w:t>
      </w:r>
    </w:p>
    <w:p>
      <w:pPr>
        <w:ind w:firstLine="640"/>
        <w:rPr>
          <w:rFonts w:ascii="仿宋_GB2312" w:eastAsia="仿宋_GB2312"/>
          <w:sz w:val="32"/>
          <w:szCs w:val="32"/>
          <w:highlight w:val="none"/>
        </w:rPr>
      </w:pPr>
      <w:r>
        <w:rPr>
          <w:rFonts w:hint="eastAsia" w:ascii="仿宋_GB2312" w:eastAsia="仿宋_GB2312"/>
          <w:sz w:val="32"/>
          <w:szCs w:val="32"/>
          <w:highlight w:val="none"/>
        </w:rPr>
        <w:t>1.产出指标完成情况分析</w:t>
      </w:r>
    </w:p>
    <w:p>
      <w:pPr>
        <w:ind w:firstLine="640"/>
        <w:rPr>
          <w:rFonts w:ascii="仿宋_GB2312" w:eastAsia="仿宋_GB2312"/>
          <w:sz w:val="32"/>
          <w:szCs w:val="32"/>
          <w:highlight w:val="none"/>
        </w:rPr>
      </w:pPr>
      <w:r>
        <w:rPr>
          <w:rFonts w:hint="eastAsia" w:ascii="仿宋_GB2312" w:eastAsia="仿宋_GB2312"/>
          <w:sz w:val="32"/>
          <w:szCs w:val="32"/>
          <w:highlight w:val="none"/>
        </w:rPr>
        <w:t>（1）数量指标</w:t>
      </w:r>
    </w:p>
    <w:p>
      <w:pPr>
        <w:ind w:firstLine="640"/>
        <w:rPr>
          <w:rFonts w:hint="eastAsia" w:ascii="仿宋_GB2312" w:eastAsia="仿宋_GB2312"/>
          <w:sz w:val="32"/>
          <w:szCs w:val="32"/>
          <w:highlight w:val="none"/>
        </w:rPr>
      </w:pPr>
      <w:r>
        <w:rPr>
          <w:rFonts w:hint="eastAsia" w:ascii="仿宋_GB2312" w:eastAsia="仿宋_GB2312"/>
          <w:sz w:val="32"/>
          <w:szCs w:val="32"/>
          <w:highlight w:val="none"/>
        </w:rPr>
        <w:t>“青少年教育培训”指标：预期指标值为“=</w:t>
      </w:r>
      <w:r>
        <w:rPr>
          <w:rFonts w:hint="eastAsia" w:ascii="仿宋_GB2312" w:eastAsia="仿宋_GB2312"/>
          <w:sz w:val="32"/>
          <w:szCs w:val="32"/>
          <w:highlight w:val="none"/>
          <w:lang w:val="en-US" w:eastAsia="zh-CN"/>
        </w:rPr>
        <w:t>6</w:t>
      </w:r>
      <w:r>
        <w:rPr>
          <w:rFonts w:hint="eastAsia" w:ascii="仿宋_GB2312" w:eastAsia="仿宋_GB2312"/>
          <w:sz w:val="32"/>
          <w:szCs w:val="32"/>
          <w:highlight w:val="none"/>
        </w:rPr>
        <w:t>次”，实际完成指标值为“=</w:t>
      </w:r>
      <w:r>
        <w:rPr>
          <w:rFonts w:hint="eastAsia" w:ascii="仿宋_GB2312" w:eastAsia="仿宋_GB2312"/>
          <w:sz w:val="32"/>
          <w:szCs w:val="32"/>
          <w:highlight w:val="none"/>
          <w:lang w:val="en-US" w:eastAsia="zh-CN"/>
        </w:rPr>
        <w:t>6</w:t>
      </w:r>
      <w:r>
        <w:rPr>
          <w:rFonts w:hint="eastAsia" w:ascii="仿宋_GB2312" w:eastAsia="仿宋_GB2312"/>
          <w:sz w:val="32"/>
          <w:szCs w:val="32"/>
          <w:highlight w:val="none"/>
        </w:rPr>
        <w:t>次”，指标完成率为100.0%;</w:t>
      </w:r>
    </w:p>
    <w:p>
      <w:pPr>
        <w:pStyle w:val="2"/>
        <w:numPr>
          <w:ilvl w:val="0"/>
          <w:numId w:val="7"/>
        </w:numPr>
        <w:rPr>
          <w:rFonts w:hint="eastAsia" w:ascii="仿宋_GB2312" w:eastAsia="仿宋_GB2312"/>
          <w:sz w:val="32"/>
          <w:szCs w:val="32"/>
          <w:highlight w:val="none"/>
        </w:rPr>
      </w:pPr>
      <w:r>
        <w:rPr>
          <w:rFonts w:hint="eastAsia" w:ascii="仿宋_GB2312" w:eastAsia="仿宋_GB2312"/>
          <w:sz w:val="32"/>
          <w:szCs w:val="32"/>
          <w:highlight w:val="none"/>
        </w:rPr>
        <w:t>数量指标</w:t>
      </w:r>
    </w:p>
    <w:p>
      <w:pPr>
        <w:pStyle w:val="2"/>
        <w:numPr>
          <w:numId w:val="0"/>
        </w:numPr>
        <w:ind w:firstLine="1280" w:firstLineChars="400"/>
        <w:rPr>
          <w:rFonts w:hint="eastAsia" w:ascii="仿宋_GB2312" w:eastAsia="仿宋_GB2312"/>
          <w:b w:val="0"/>
          <w:bCs w:val="0"/>
          <w:sz w:val="32"/>
          <w:szCs w:val="32"/>
          <w:highlight w:val="none"/>
          <w:lang w:eastAsia="zh-CN"/>
        </w:rPr>
      </w:pPr>
      <w:r>
        <w:rPr>
          <w:rFonts w:hint="eastAsia"/>
          <w:b w:val="0"/>
          <w:bCs w:val="0"/>
          <w:sz w:val="32"/>
          <w:szCs w:val="32"/>
          <w:highlight w:val="none"/>
          <w:lang w:eastAsia="zh-CN"/>
        </w:rPr>
        <w:t>“</w:t>
      </w:r>
      <w:r>
        <w:rPr>
          <w:rFonts w:hint="eastAsia" w:ascii="仿宋_GB2312" w:eastAsia="仿宋_GB2312"/>
          <w:b w:val="0"/>
          <w:bCs w:val="0"/>
          <w:sz w:val="32"/>
          <w:szCs w:val="32"/>
          <w:highlight w:val="none"/>
        </w:rPr>
        <w:t>人员工资发放人数</w:t>
      </w:r>
      <w:r>
        <w:rPr>
          <w:rFonts w:hint="eastAsia"/>
          <w:b w:val="0"/>
          <w:bCs w:val="0"/>
          <w:sz w:val="32"/>
          <w:szCs w:val="32"/>
          <w:highlight w:val="none"/>
          <w:lang w:eastAsia="zh-CN"/>
        </w:rPr>
        <w:t>”指标：预期指标值为“=</w:t>
      </w:r>
      <w:r>
        <w:rPr>
          <w:rFonts w:hint="eastAsia"/>
          <w:b w:val="0"/>
          <w:bCs w:val="0"/>
          <w:sz w:val="32"/>
          <w:szCs w:val="32"/>
          <w:highlight w:val="none"/>
          <w:lang w:val="en-US" w:eastAsia="zh-CN"/>
        </w:rPr>
        <w:t>8人数</w:t>
      </w:r>
      <w:r>
        <w:rPr>
          <w:rFonts w:hint="eastAsia"/>
          <w:b w:val="0"/>
          <w:bCs w:val="0"/>
          <w:sz w:val="32"/>
          <w:szCs w:val="32"/>
          <w:highlight w:val="none"/>
          <w:lang w:eastAsia="zh-CN"/>
        </w:rPr>
        <w:t>”，实际完成指标值为“=</w:t>
      </w:r>
      <w:r>
        <w:rPr>
          <w:rFonts w:hint="eastAsia"/>
          <w:b w:val="0"/>
          <w:bCs w:val="0"/>
          <w:sz w:val="32"/>
          <w:szCs w:val="32"/>
          <w:highlight w:val="none"/>
          <w:lang w:val="en-US" w:eastAsia="zh-CN"/>
        </w:rPr>
        <w:t>8人数</w:t>
      </w:r>
      <w:r>
        <w:rPr>
          <w:rFonts w:hint="eastAsia"/>
          <w:b w:val="0"/>
          <w:bCs w:val="0"/>
          <w:sz w:val="32"/>
          <w:szCs w:val="32"/>
          <w:highlight w:val="none"/>
          <w:lang w:eastAsia="zh-CN"/>
        </w:rPr>
        <w:t>”，指标完成率为100.0%;</w:t>
      </w:r>
    </w:p>
    <w:p>
      <w:pPr>
        <w:ind w:firstLine="640"/>
        <w:rPr>
          <w:rFonts w:ascii="仿宋_GB2312" w:eastAsia="仿宋_GB2312"/>
          <w:sz w:val="32"/>
          <w:szCs w:val="32"/>
          <w:highlight w:val="none"/>
        </w:rPr>
      </w:pP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）数量指标</w:t>
      </w:r>
    </w:p>
    <w:p>
      <w:pPr>
        <w:pStyle w:val="2"/>
        <w:numPr>
          <w:numId w:val="0"/>
        </w:numPr>
        <w:ind w:firstLine="1280" w:firstLineChars="400"/>
        <w:rPr>
          <w:rFonts w:hint="eastAsia" w:ascii="仿宋_GB2312" w:eastAsia="仿宋_GB2312"/>
          <w:b w:val="0"/>
          <w:bCs w:val="0"/>
          <w:sz w:val="32"/>
          <w:szCs w:val="32"/>
          <w:highlight w:val="none"/>
        </w:rPr>
      </w:pPr>
      <w:r>
        <w:rPr>
          <w:rFonts w:hint="eastAsia" w:ascii="仿宋_GB2312" w:eastAsia="仿宋_GB2312"/>
          <w:b w:val="0"/>
          <w:bCs w:val="0"/>
          <w:sz w:val="32"/>
          <w:szCs w:val="32"/>
          <w:highlight w:val="none"/>
        </w:rPr>
        <w:t>“公务保障用车数量”指标：预期指标值为“=</w:t>
      </w:r>
      <w:r>
        <w:rPr>
          <w:rFonts w:hint="eastAsia"/>
          <w:b w:val="0"/>
          <w:bCs w:val="0"/>
          <w:sz w:val="32"/>
          <w:szCs w:val="32"/>
          <w:highlight w:val="none"/>
          <w:lang w:val="en-US" w:eastAsia="zh-CN"/>
        </w:rPr>
        <w:t>1辆</w:t>
      </w:r>
      <w:r>
        <w:rPr>
          <w:rFonts w:hint="eastAsia" w:ascii="仿宋_GB2312" w:eastAsia="仿宋_GB2312"/>
          <w:b w:val="0"/>
          <w:bCs w:val="0"/>
          <w:sz w:val="32"/>
          <w:szCs w:val="32"/>
          <w:highlight w:val="none"/>
        </w:rPr>
        <w:t>”，实际完成指标值为“=</w:t>
      </w:r>
      <w:r>
        <w:rPr>
          <w:rFonts w:hint="eastAsia"/>
          <w:b w:val="0"/>
          <w:bCs w:val="0"/>
          <w:sz w:val="32"/>
          <w:szCs w:val="32"/>
          <w:highlight w:val="none"/>
          <w:lang w:val="en-US" w:eastAsia="zh-CN"/>
        </w:rPr>
        <w:t>1辆</w:t>
      </w:r>
      <w:r>
        <w:rPr>
          <w:rFonts w:hint="eastAsia" w:ascii="仿宋_GB2312" w:eastAsia="仿宋_GB2312"/>
          <w:b w:val="0"/>
          <w:bCs w:val="0"/>
          <w:sz w:val="32"/>
          <w:szCs w:val="32"/>
          <w:highlight w:val="none"/>
        </w:rPr>
        <w:t>”，指标完成率为100.0%;</w:t>
      </w:r>
    </w:p>
    <w:p>
      <w:pPr>
        <w:pStyle w:val="2"/>
        <w:numPr>
          <w:numId w:val="0"/>
        </w:numPr>
        <w:ind w:firstLine="1285" w:firstLineChars="400"/>
        <w:rPr>
          <w:rFonts w:hint="eastAsia" w:ascii="仿宋_GB2312" w:eastAsia="仿宋_GB2312"/>
          <w:sz w:val="32"/>
          <w:szCs w:val="32"/>
          <w:highlight w:val="none"/>
        </w:rPr>
      </w:pPr>
      <w:r>
        <w:rPr>
          <w:rFonts w:hint="eastAsia" w:ascii="仿宋_GB2312" w:eastAsia="仿宋_GB2312"/>
          <w:sz w:val="32"/>
          <w:szCs w:val="32"/>
          <w:highlight w:val="none"/>
        </w:rPr>
        <w:t>质量指标</w:t>
      </w:r>
    </w:p>
    <w:p>
      <w:pPr>
        <w:rPr>
          <w:highlight w:val="none"/>
        </w:rPr>
      </w:pPr>
    </w:p>
    <w:p>
      <w:pPr>
        <w:ind w:firstLine="640"/>
        <w:rPr>
          <w:rFonts w:ascii="仿宋_GB2312" w:eastAsia="仿宋_GB2312"/>
          <w:sz w:val="32"/>
          <w:szCs w:val="32"/>
          <w:highlight w:val="none"/>
        </w:rPr>
      </w:pPr>
      <w:r>
        <w:rPr>
          <w:rFonts w:hint="eastAsia" w:ascii="仿宋_GB2312" w:eastAsia="仿宋_GB2312"/>
          <w:sz w:val="32"/>
          <w:szCs w:val="32"/>
          <w:highlight w:val="none"/>
        </w:rPr>
        <w:t>“开展培训场次覆盖率”指标：预期指标值为“</w:t>
      </w:r>
      <w:r>
        <w:rPr>
          <w:rFonts w:hint="eastAsia" w:ascii="仿宋_GB2312" w:eastAsia="仿宋_GB2312"/>
          <w:sz w:val="32"/>
          <w:szCs w:val="32"/>
          <w:highlight w:val="none"/>
          <w:lang w:val="en-US" w:eastAsia="zh-CN"/>
        </w:rPr>
        <w:t>=100</w:t>
      </w:r>
      <w:r>
        <w:rPr>
          <w:rFonts w:hint="eastAsia" w:ascii="仿宋_GB2312" w:eastAsia="仿宋_GB2312"/>
          <w:sz w:val="32"/>
          <w:szCs w:val="32"/>
          <w:highlight w:val="none"/>
        </w:rPr>
        <w:t>”，实际完成指标值为“</w:t>
      </w:r>
      <w:r>
        <w:rPr>
          <w:rFonts w:hint="eastAsia" w:ascii="仿宋_GB2312" w:eastAsia="仿宋_GB2312"/>
          <w:sz w:val="32"/>
          <w:szCs w:val="32"/>
          <w:highlight w:val="none"/>
          <w:lang w:val="en-US" w:eastAsia="zh-CN"/>
        </w:rPr>
        <w:t>=100</w:t>
      </w:r>
      <w:r>
        <w:rPr>
          <w:rFonts w:hint="eastAsia" w:ascii="仿宋_GB2312" w:eastAsia="仿宋_GB2312"/>
          <w:sz w:val="32"/>
          <w:szCs w:val="32"/>
          <w:highlight w:val="none"/>
        </w:rPr>
        <w:t>”，指标完成率为100.0%;</w:t>
      </w:r>
    </w:p>
    <w:p>
      <w:pPr>
        <w:ind w:firstLine="640"/>
        <w:rPr>
          <w:rFonts w:ascii="仿宋_GB2312" w:eastAsia="仿宋_GB2312"/>
          <w:sz w:val="32"/>
          <w:szCs w:val="32"/>
          <w:highlight w:val="none"/>
        </w:rPr>
      </w:pPr>
      <w:r>
        <w:rPr>
          <w:rFonts w:hint="eastAsia" w:ascii="仿宋_GB2312" w:eastAsia="仿宋_GB2312"/>
          <w:sz w:val="32"/>
          <w:szCs w:val="32"/>
          <w:highlight w:val="none"/>
        </w:rPr>
        <w:t>时效指标</w:t>
      </w:r>
    </w:p>
    <w:p>
      <w:pPr>
        <w:ind w:firstLine="640"/>
        <w:rPr>
          <w:rFonts w:ascii="仿宋_GB2312" w:eastAsia="仿宋_GB2312"/>
          <w:sz w:val="32"/>
          <w:szCs w:val="32"/>
          <w:highlight w:val="none"/>
        </w:rPr>
      </w:pPr>
      <w:r>
        <w:rPr>
          <w:rFonts w:hint="eastAsia" w:ascii="仿宋_GB2312" w:eastAsia="仿宋_GB2312"/>
          <w:sz w:val="32"/>
          <w:szCs w:val="32"/>
          <w:highlight w:val="none"/>
        </w:rPr>
        <w:t>“公用经费支出及时率”指标：预期指标值为“</w:t>
      </w:r>
      <w:r>
        <w:rPr>
          <w:rFonts w:hint="eastAsia" w:ascii="仿宋_GB2312" w:eastAsia="仿宋_GB2312"/>
          <w:sz w:val="32"/>
          <w:szCs w:val="32"/>
          <w:highlight w:val="none"/>
          <w:lang w:eastAsia="zh-CN"/>
        </w:rPr>
        <w:t>=100.00%</w:t>
      </w:r>
      <w:r>
        <w:rPr>
          <w:rFonts w:hint="eastAsia" w:ascii="仿宋_GB2312" w:eastAsia="仿宋_GB2312"/>
          <w:sz w:val="32"/>
          <w:szCs w:val="32"/>
          <w:highlight w:val="none"/>
        </w:rPr>
        <w:t>”，实际完成指标值为“</w:t>
      </w:r>
      <w:r>
        <w:rPr>
          <w:rFonts w:hint="eastAsia" w:ascii="仿宋_GB2312" w:eastAsia="仿宋_GB2312"/>
          <w:sz w:val="32"/>
          <w:szCs w:val="32"/>
          <w:highlight w:val="none"/>
          <w:lang w:eastAsia="zh-CN"/>
        </w:rPr>
        <w:t>=100.00%</w:t>
      </w:r>
      <w:r>
        <w:rPr>
          <w:rFonts w:hint="eastAsia" w:ascii="仿宋_GB2312" w:eastAsia="仿宋_GB2312"/>
          <w:sz w:val="32"/>
          <w:szCs w:val="32"/>
          <w:highlight w:val="none"/>
        </w:rPr>
        <w:t>”，指标完成率为100.0%;</w:t>
      </w:r>
    </w:p>
    <w:p>
      <w:pPr>
        <w:ind w:firstLine="640"/>
        <w:rPr>
          <w:rFonts w:ascii="仿宋_GB2312" w:eastAsia="仿宋_GB2312"/>
          <w:sz w:val="32"/>
          <w:szCs w:val="32"/>
          <w:highlight w:val="none"/>
        </w:rPr>
      </w:pPr>
      <w:r>
        <w:rPr>
          <w:rFonts w:hint="eastAsia" w:ascii="仿宋_GB2312" w:eastAsia="仿宋_GB2312"/>
          <w:sz w:val="32"/>
          <w:szCs w:val="32"/>
          <w:highlight w:val="none"/>
        </w:rPr>
        <w:t>成本指标</w:t>
      </w:r>
    </w:p>
    <w:p>
      <w:pPr>
        <w:ind w:firstLine="640"/>
        <w:rPr>
          <w:rFonts w:ascii="仿宋_GB2312" w:eastAsia="仿宋_GB2312"/>
          <w:sz w:val="32"/>
          <w:szCs w:val="32"/>
          <w:highlight w:val="none"/>
        </w:rPr>
      </w:pP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“人员经费数”指标：预期指标值为“&lt;=56.80万元”，实际完成指标值为“&lt;=56.80万元”，指标完成率为</w:t>
      </w:r>
      <w:r>
        <w:rPr>
          <w:rFonts w:hint="eastAsia" w:ascii="仿宋_GB2312" w:eastAsia="仿宋_GB2312"/>
          <w:sz w:val="32"/>
          <w:szCs w:val="32"/>
          <w:highlight w:val="none"/>
          <w:lang w:val="en-US" w:eastAsia="zh-CN"/>
        </w:rPr>
        <w:t>100</w:t>
      </w:r>
      <w:r>
        <w:rPr>
          <w:rFonts w:hint="eastAsia" w:ascii="仿宋_GB2312" w:eastAsia="仿宋_GB2312"/>
          <w:sz w:val="32"/>
          <w:szCs w:val="32"/>
          <w:highlight w:val="none"/>
        </w:rPr>
        <w:t>%;</w:t>
      </w:r>
    </w:p>
    <w:p>
      <w:pPr>
        <w:ind w:firstLine="64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“公用经费数”指标：预期指标值为“&lt;=6.69万元”，实际完成指标值为“&lt;=6.69万元”，指标完成率为</w:t>
      </w:r>
      <w:r>
        <w:rPr>
          <w:rFonts w:hint="eastAsia" w:ascii="仿宋_GB2312" w:eastAsia="仿宋_GB2312"/>
          <w:sz w:val="32"/>
          <w:szCs w:val="32"/>
          <w:highlight w:val="none"/>
          <w:lang w:val="en-US" w:eastAsia="zh-CN"/>
        </w:rPr>
        <w:t>100</w:t>
      </w:r>
      <w:r>
        <w:rPr>
          <w:rFonts w:hint="eastAsia" w:ascii="仿宋_GB2312" w:eastAsia="仿宋_GB2312"/>
          <w:sz w:val="32"/>
          <w:szCs w:val="32"/>
          <w:highlight w:val="none"/>
        </w:rPr>
        <w:t>%;</w:t>
      </w:r>
    </w:p>
    <w:p>
      <w:pPr>
        <w:ind w:firstLine="640"/>
        <w:rPr>
          <w:rFonts w:ascii="仿宋_GB2312" w:eastAsia="仿宋_GB2312"/>
          <w:sz w:val="32"/>
          <w:szCs w:val="32"/>
          <w:highlight w:val="none"/>
        </w:rPr>
      </w:pPr>
      <w:r>
        <w:rPr>
          <w:rFonts w:hint="eastAsia" w:ascii="仿宋_GB2312" w:eastAsia="仿宋_GB2312"/>
          <w:sz w:val="32"/>
          <w:szCs w:val="32"/>
          <w:highlight w:val="none"/>
        </w:rPr>
        <w:t>2.效益指标完成情况分析</w:t>
      </w:r>
    </w:p>
    <w:p>
      <w:pPr>
        <w:ind w:firstLine="640"/>
        <w:rPr>
          <w:rFonts w:ascii="仿宋_GB2312" w:eastAsia="仿宋_GB2312"/>
          <w:sz w:val="32"/>
          <w:szCs w:val="32"/>
          <w:highlight w:val="none"/>
        </w:rPr>
      </w:pPr>
      <w:r>
        <w:rPr>
          <w:rFonts w:hint="eastAsia" w:ascii="仿宋_GB2312" w:eastAsia="仿宋_GB2312"/>
          <w:sz w:val="32"/>
          <w:szCs w:val="32"/>
          <w:highlight w:val="none"/>
        </w:rPr>
        <w:t>（1）经济效益</w:t>
      </w:r>
    </w:p>
    <w:p>
      <w:pPr>
        <w:ind w:firstLine="640"/>
        <w:rPr>
          <w:rFonts w:ascii="仿宋_GB2312" w:eastAsia="仿宋_GB2312"/>
          <w:sz w:val="32"/>
          <w:szCs w:val="32"/>
          <w:highlight w:val="none"/>
        </w:rPr>
      </w:pPr>
      <w:r>
        <w:rPr>
          <w:rFonts w:hint="eastAsia" w:ascii="仿宋_GB2312" w:eastAsia="仿宋_GB2312"/>
          <w:sz w:val="32"/>
          <w:szCs w:val="32"/>
          <w:highlight w:val="none"/>
        </w:rPr>
        <w:t>无此项指标。</w:t>
      </w:r>
    </w:p>
    <w:p>
      <w:pPr>
        <w:ind w:firstLine="640"/>
        <w:rPr>
          <w:rFonts w:ascii="仿宋_GB2312" w:eastAsia="仿宋_GB2312"/>
          <w:sz w:val="32"/>
          <w:szCs w:val="32"/>
          <w:highlight w:val="none"/>
        </w:rPr>
      </w:pPr>
      <w:r>
        <w:rPr>
          <w:rFonts w:hint="eastAsia" w:ascii="仿宋_GB2312" w:eastAsia="仿宋_GB2312"/>
          <w:sz w:val="32"/>
          <w:szCs w:val="32"/>
          <w:highlight w:val="none"/>
        </w:rPr>
        <w:t>（2）社会效益</w:t>
      </w:r>
    </w:p>
    <w:p>
      <w:pPr>
        <w:ind w:firstLine="640"/>
        <w:rPr>
          <w:rFonts w:ascii="仿宋_GB2312" w:eastAsia="仿宋_GB2312"/>
          <w:sz w:val="32"/>
          <w:szCs w:val="32"/>
          <w:highlight w:val="none"/>
        </w:rPr>
      </w:pPr>
      <w:r>
        <w:rPr>
          <w:rFonts w:hint="eastAsia" w:ascii="仿宋_GB2312" w:eastAsia="仿宋_GB2312"/>
          <w:sz w:val="32"/>
          <w:szCs w:val="32"/>
          <w:highlight w:val="none"/>
        </w:rPr>
        <w:t>“加强青少年法制教育及建立基本和会服务联系点”，实际完成指标值为“</w:t>
      </w:r>
      <w:r>
        <w:rPr>
          <w:rFonts w:hint="eastAsia" w:ascii="仿宋_GB2312" w:eastAsia="仿宋_GB2312"/>
          <w:sz w:val="32"/>
          <w:szCs w:val="32"/>
          <w:highlight w:val="none"/>
          <w:lang w:val="en-US" w:eastAsia="zh-CN"/>
        </w:rPr>
        <w:t>100%</w:t>
      </w:r>
      <w:r>
        <w:rPr>
          <w:rFonts w:hint="eastAsia" w:ascii="仿宋_GB2312" w:eastAsia="仿宋_GB2312"/>
          <w:sz w:val="32"/>
          <w:szCs w:val="32"/>
          <w:highlight w:val="none"/>
        </w:rPr>
        <w:t>”，指标完成率为100.0%;</w:t>
      </w:r>
    </w:p>
    <w:p>
      <w:pPr>
        <w:ind w:firstLine="640"/>
        <w:rPr>
          <w:rFonts w:ascii="仿宋_GB2312" w:eastAsia="仿宋_GB2312"/>
          <w:sz w:val="32"/>
          <w:szCs w:val="32"/>
          <w:highlight w:val="none"/>
        </w:rPr>
      </w:pPr>
      <w:r>
        <w:rPr>
          <w:rFonts w:hint="eastAsia" w:ascii="仿宋_GB2312" w:eastAsia="仿宋_GB2312"/>
          <w:sz w:val="32"/>
          <w:szCs w:val="32"/>
          <w:highlight w:val="none"/>
        </w:rPr>
        <w:t>（3）生态效益</w:t>
      </w:r>
    </w:p>
    <w:p>
      <w:pPr>
        <w:ind w:firstLine="640"/>
        <w:rPr>
          <w:rFonts w:ascii="仿宋_GB2312" w:eastAsia="仿宋_GB2312"/>
          <w:sz w:val="32"/>
          <w:szCs w:val="32"/>
          <w:highlight w:val="none"/>
        </w:rPr>
      </w:pPr>
      <w:r>
        <w:rPr>
          <w:rFonts w:hint="eastAsia" w:ascii="仿宋_GB2312" w:eastAsia="仿宋_GB2312"/>
          <w:sz w:val="32"/>
          <w:szCs w:val="32"/>
          <w:highlight w:val="none"/>
        </w:rPr>
        <w:t>无此项指标。</w:t>
      </w:r>
    </w:p>
    <w:p>
      <w:pPr>
        <w:ind w:firstLine="640"/>
        <w:rPr>
          <w:rFonts w:ascii="仿宋_GB2312" w:eastAsia="仿宋_GB2312"/>
          <w:sz w:val="32"/>
          <w:szCs w:val="32"/>
          <w:highlight w:val="none"/>
        </w:rPr>
      </w:pPr>
      <w:r>
        <w:rPr>
          <w:rFonts w:hint="eastAsia" w:ascii="仿宋_GB2312" w:eastAsia="仿宋_GB2312"/>
          <w:sz w:val="32"/>
          <w:szCs w:val="32"/>
          <w:highlight w:val="none"/>
        </w:rPr>
        <w:t>（4）可持续影响</w:t>
      </w:r>
    </w:p>
    <w:p>
      <w:pPr>
        <w:ind w:firstLine="640"/>
        <w:rPr>
          <w:rFonts w:ascii="仿宋_GB2312" w:eastAsia="仿宋_GB2312"/>
          <w:sz w:val="32"/>
          <w:szCs w:val="32"/>
          <w:highlight w:val="none"/>
        </w:rPr>
      </w:pPr>
      <w:r>
        <w:rPr>
          <w:rFonts w:hint="eastAsia" w:ascii="仿宋_GB2312" w:eastAsia="仿宋_GB2312"/>
          <w:sz w:val="32"/>
          <w:szCs w:val="32"/>
          <w:highlight w:val="none"/>
        </w:rPr>
        <w:t>“提高单位人员工作积极性”指标：预期指标值为“&gt;=</w:t>
      </w:r>
      <w:r>
        <w:rPr>
          <w:rFonts w:hint="eastAsia" w:ascii="仿宋_GB2312" w:eastAsia="仿宋_GB2312"/>
          <w:sz w:val="32"/>
          <w:szCs w:val="32"/>
          <w:highlight w:val="none"/>
          <w:lang w:val="en-US" w:eastAsia="zh-CN"/>
        </w:rPr>
        <w:t>100%</w:t>
      </w:r>
      <w:r>
        <w:rPr>
          <w:rFonts w:hint="eastAsia" w:ascii="仿宋_GB2312" w:eastAsia="仿宋_GB2312"/>
          <w:sz w:val="32"/>
          <w:szCs w:val="32"/>
          <w:highlight w:val="none"/>
        </w:rPr>
        <w:t>”，实际完成指标值为“&gt;=</w:t>
      </w:r>
      <w:r>
        <w:rPr>
          <w:rFonts w:hint="eastAsia" w:ascii="仿宋_GB2312" w:eastAsia="仿宋_GB2312"/>
          <w:sz w:val="32"/>
          <w:szCs w:val="32"/>
          <w:highlight w:val="none"/>
          <w:lang w:val="en-US" w:eastAsia="zh-CN"/>
        </w:rPr>
        <w:t>100%</w:t>
      </w:r>
      <w:r>
        <w:rPr>
          <w:rFonts w:hint="eastAsia" w:ascii="仿宋_GB2312" w:eastAsia="仿宋_GB2312"/>
          <w:sz w:val="32"/>
          <w:szCs w:val="32"/>
          <w:highlight w:val="none"/>
        </w:rPr>
        <w:t>”，指标完成率为100.0%;</w:t>
      </w:r>
    </w:p>
    <w:p>
      <w:pPr>
        <w:pStyle w:val="2"/>
        <w:ind w:firstLine="643"/>
        <w:rPr>
          <w:sz w:val="32"/>
          <w:highlight w:val="none"/>
        </w:rPr>
      </w:pPr>
      <w:r>
        <w:rPr>
          <w:rFonts w:hint="eastAsia"/>
          <w:sz w:val="32"/>
          <w:highlight w:val="none"/>
        </w:rPr>
        <w:t>3.满意度指标完成情况分析</w:t>
      </w:r>
    </w:p>
    <w:p>
      <w:pPr>
        <w:ind w:firstLine="640"/>
        <w:rPr>
          <w:rFonts w:ascii="仿宋_GB2312" w:eastAsia="仿宋_GB2312"/>
          <w:sz w:val="32"/>
          <w:szCs w:val="32"/>
          <w:highlight w:val="none"/>
        </w:rPr>
      </w:pP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“青少年满意度”指标：预期指标值为“</w:t>
      </w:r>
      <w:r>
        <w:rPr>
          <w:rFonts w:hint="eastAsia" w:ascii="仿宋_GB2312" w:hAnsi="宋体" w:eastAsia="仿宋_GB2312" w:cs="宋体"/>
          <w:kern w:val="0"/>
          <w:sz w:val="32"/>
          <w:szCs w:val="32"/>
          <w:highlight w:val="none"/>
        </w:rPr>
        <w:t>&gt;=</w:t>
      </w:r>
      <w:r>
        <w:rPr>
          <w:rFonts w:hint="eastAsia" w:ascii="仿宋_GB2312" w:eastAsia="仿宋_GB2312"/>
          <w:sz w:val="32"/>
          <w:szCs w:val="32"/>
          <w:highlight w:val="none"/>
          <w:lang w:val="en-US" w:eastAsia="zh-CN"/>
        </w:rPr>
        <w:t>98.0</w:t>
      </w:r>
      <w:r>
        <w:rPr>
          <w:rFonts w:hint="eastAsia" w:ascii="仿宋_GB2312" w:eastAsia="仿宋_GB2312"/>
          <w:sz w:val="32"/>
          <w:szCs w:val="32"/>
          <w:highlight w:val="none"/>
        </w:rPr>
        <w:t>%”，实际完成指标值为“</w:t>
      </w:r>
      <w:r>
        <w:rPr>
          <w:rFonts w:hint="eastAsia" w:ascii="仿宋_GB2312" w:hAnsi="宋体" w:eastAsia="仿宋_GB2312" w:cs="宋体"/>
          <w:kern w:val="0"/>
          <w:sz w:val="32"/>
          <w:szCs w:val="32"/>
          <w:highlight w:val="none"/>
        </w:rPr>
        <w:t>&gt;=</w:t>
      </w:r>
      <w:r>
        <w:rPr>
          <w:rFonts w:hint="eastAsia" w:ascii="仿宋_GB2312" w:hAnsi="宋体" w:eastAsia="仿宋_GB2312" w:cs="宋体"/>
          <w:kern w:val="0"/>
          <w:sz w:val="32"/>
          <w:szCs w:val="32"/>
          <w:highlight w:val="none"/>
          <w:lang w:val="en-US" w:eastAsia="zh-CN"/>
        </w:rPr>
        <w:t>98</w:t>
      </w:r>
      <w:r>
        <w:rPr>
          <w:rFonts w:hint="eastAsia" w:ascii="仿宋_GB2312" w:eastAsia="仿宋_GB2312"/>
          <w:sz w:val="32"/>
          <w:szCs w:val="32"/>
          <w:highlight w:val="none"/>
        </w:rPr>
        <w:t>.0%”，指标完成率为</w:t>
      </w:r>
      <w:r>
        <w:rPr>
          <w:rFonts w:hint="eastAsia" w:ascii="仿宋_GB2312" w:eastAsia="仿宋_GB2312"/>
          <w:bCs/>
          <w:spacing w:val="-4"/>
          <w:sz w:val="32"/>
          <w:szCs w:val="32"/>
          <w:highlight w:val="none"/>
        </w:rPr>
        <w:t>100.0</w:t>
      </w:r>
      <w:r>
        <w:rPr>
          <w:rFonts w:hint="eastAsia" w:ascii="仿宋_GB2312" w:eastAsia="仿宋_GB2312"/>
          <w:sz w:val="32"/>
          <w:szCs w:val="32"/>
          <w:highlight w:val="none"/>
        </w:rPr>
        <w:t>%;</w:t>
      </w:r>
    </w:p>
    <w:p>
      <w:pPr>
        <w:pStyle w:val="3"/>
        <w:ind w:firstLine="640"/>
        <w:rPr>
          <w:rFonts w:hint="eastAsia" w:ascii="黑体" w:hAnsi="黑体" w:eastAsia="黑体"/>
          <w:b w:val="0"/>
          <w:sz w:val="32"/>
          <w:szCs w:val="32"/>
          <w:lang w:eastAsia="zh-CN"/>
        </w:rPr>
      </w:pP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lang w:val="en-US" w:eastAsia="zh-CN"/>
        </w:rPr>
        <w:t>2</w:t>
      </w:r>
      <w:r>
        <w:rPr>
          <w:rFonts w:hint="eastAsia" w:ascii="仿宋_GB2312" w:hAnsi="仿宋_GB2312" w:eastAsia="仿宋_GB2312" w:cs="仿宋_GB2312"/>
          <w:b w:val="0"/>
          <w:bCs/>
          <w:sz w:val="32"/>
          <w:szCs w:val="32"/>
          <w:lang w:eastAsia="zh-CN"/>
        </w:rPr>
        <w:t>）“职工满意度”指标：预期指标值为“&gt;=</w:t>
      </w:r>
      <w:r>
        <w:rPr>
          <w:rFonts w:hint="eastAsia" w:ascii="仿宋_GB2312" w:hAnsi="仿宋_GB2312" w:eastAsia="仿宋_GB2312" w:cs="仿宋_GB2312"/>
          <w:b w:val="0"/>
          <w:bCs/>
          <w:sz w:val="32"/>
          <w:szCs w:val="32"/>
          <w:lang w:val="en-US" w:eastAsia="zh-CN"/>
        </w:rPr>
        <w:t>98.0</w:t>
      </w:r>
      <w:r>
        <w:rPr>
          <w:rFonts w:hint="eastAsia" w:ascii="仿宋_GB2312" w:hAnsi="仿宋_GB2312" w:eastAsia="仿宋_GB2312" w:cs="仿宋_GB2312"/>
          <w:b w:val="0"/>
          <w:bCs/>
          <w:sz w:val="32"/>
          <w:szCs w:val="32"/>
          <w:lang w:eastAsia="zh-CN"/>
        </w:rPr>
        <w:t>%”，实际完成指标值为“&gt;=</w:t>
      </w:r>
      <w:r>
        <w:rPr>
          <w:rFonts w:hint="eastAsia" w:ascii="仿宋_GB2312" w:hAnsi="仿宋_GB2312" w:eastAsia="仿宋_GB2312" w:cs="仿宋_GB2312"/>
          <w:b w:val="0"/>
          <w:bCs/>
          <w:sz w:val="32"/>
          <w:szCs w:val="32"/>
          <w:lang w:val="en-US" w:eastAsia="zh-CN"/>
        </w:rPr>
        <w:t>98</w:t>
      </w:r>
      <w:r>
        <w:rPr>
          <w:rFonts w:hint="eastAsia" w:ascii="仿宋_GB2312" w:hAnsi="仿宋_GB2312" w:eastAsia="仿宋_GB2312" w:cs="仿宋_GB2312"/>
          <w:b w:val="0"/>
          <w:bCs/>
          <w:sz w:val="32"/>
          <w:szCs w:val="32"/>
          <w:lang w:eastAsia="zh-CN"/>
        </w:rPr>
        <w:t>.0%”，指标完成率为100.0%;</w:t>
      </w:r>
    </w:p>
    <w:p>
      <w:pPr>
        <w:pStyle w:val="3"/>
        <w:ind w:firstLine="640"/>
        <w:rPr>
          <w:rFonts w:ascii="黑体" w:hAnsi="黑体"/>
          <w:b w:val="0"/>
          <w:sz w:val="32"/>
          <w:szCs w:val="32"/>
        </w:rPr>
      </w:pPr>
      <w:r>
        <w:rPr>
          <w:rFonts w:hint="eastAsia" w:ascii="黑体" w:hAnsi="黑体"/>
          <w:b w:val="0"/>
          <w:sz w:val="32"/>
          <w:szCs w:val="32"/>
        </w:rPr>
        <w:t>六、存在的主要问题</w:t>
      </w:r>
    </w:p>
    <w:p>
      <w:pPr>
        <w:ind w:firstLine="640"/>
        <w:rPr>
          <w:rFonts w:ascii="仿宋_GB2312" w:eastAsia="仿宋_GB2312"/>
          <w:sz w:val="32"/>
          <w:szCs w:val="32"/>
        </w:rPr>
      </w:pPr>
      <w:r>
        <w:rPr>
          <w:rFonts w:hint="eastAsia" w:ascii="仿宋_GB2312" w:eastAsia="仿宋_GB2312"/>
          <w:spacing w:val="-4"/>
          <w:sz w:val="32"/>
          <w:szCs w:val="32"/>
          <w:lang w:val="en-US" w:eastAsia="zh-CN"/>
        </w:rPr>
        <w:t>无存在的问题</w:t>
      </w:r>
      <w:r>
        <w:rPr>
          <w:rFonts w:hint="eastAsia" w:ascii="仿宋_GB2312" w:eastAsia="仿宋_GB2312"/>
          <w:sz w:val="32"/>
          <w:szCs w:val="32"/>
        </w:rPr>
        <w:t>。</w:t>
      </w:r>
    </w:p>
    <w:p>
      <w:pPr>
        <w:ind w:firstLine="640"/>
        <w:rPr>
          <w:rFonts w:ascii="黑体" w:hAnsi="黑体"/>
          <w:b/>
          <w:bCs/>
          <w:sz w:val="32"/>
          <w:szCs w:val="32"/>
        </w:rPr>
      </w:pPr>
      <w:r>
        <w:rPr>
          <w:rFonts w:hint="eastAsia" w:ascii="黑体" w:hAnsi="黑体"/>
          <w:b/>
          <w:bCs/>
          <w:sz w:val="32"/>
          <w:szCs w:val="32"/>
        </w:rPr>
        <w:t>七、改进措施和建议</w:t>
      </w:r>
    </w:p>
    <w:p>
      <w:pPr>
        <w:ind w:firstLine="624"/>
        <w:jc w:val="left"/>
        <w:rPr>
          <w:rFonts w:ascii="仿宋_GB2312" w:hAnsi="宋体" w:eastAsia="仿宋_GB2312" w:cs="宋体"/>
          <w:kern w:val="0"/>
          <w:sz w:val="32"/>
          <w:szCs w:val="32"/>
        </w:rPr>
      </w:pPr>
      <w:r>
        <w:rPr>
          <w:rFonts w:hint="eastAsia" w:ascii="仿宋_GB2312" w:eastAsia="仿宋_GB2312"/>
          <w:bCs/>
          <w:spacing w:val="-4"/>
          <w:sz w:val="32"/>
          <w:szCs w:val="32"/>
        </w:rPr>
        <w:t>存在的问题一：单位内部对</w:t>
      </w:r>
      <w:r>
        <w:rPr>
          <w:rFonts w:hint="eastAsia" w:ascii="仿宋_GB2312" w:hAnsi="宋体" w:eastAsia="仿宋_GB2312" w:cs="宋体"/>
          <w:kern w:val="0"/>
          <w:sz w:val="32"/>
          <w:szCs w:val="32"/>
        </w:rPr>
        <w:t>预算绩效工作的重要性认识不到位，对预算绩效工作开展重视程度不够。</w:t>
      </w:r>
    </w:p>
    <w:p>
      <w:pPr>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改进措施：进一步加强单位内部对预算绩效工作的管理，组织学习预算绩效管理的相关内容，提高全员对绩效管理工作的重视程度，全局意识，使各科室间能相互配合，严格按照预算编制相关制度、要求，科学合理的进行，预算绩效工作开展落实。</w:t>
      </w:r>
    </w:p>
    <w:p>
      <w:pPr>
        <w:ind w:firstLine="624"/>
        <w:jc w:val="left"/>
        <w:rPr>
          <w:rFonts w:ascii="仿宋_GB2312" w:hAnsi="宋体" w:eastAsia="仿宋_GB2312" w:cs="宋体"/>
          <w:kern w:val="0"/>
          <w:sz w:val="32"/>
          <w:szCs w:val="32"/>
        </w:rPr>
      </w:pPr>
      <w:r>
        <w:rPr>
          <w:rFonts w:hint="eastAsia" w:ascii="仿宋_GB2312" w:eastAsia="仿宋_GB2312"/>
          <w:bCs/>
          <w:spacing w:val="-4"/>
          <w:sz w:val="32"/>
          <w:szCs w:val="32"/>
        </w:rPr>
        <w:t>存在的问题二：在</w:t>
      </w:r>
      <w:r>
        <w:rPr>
          <w:rFonts w:hint="eastAsia" w:ascii="仿宋_GB2312" w:hAnsi="宋体" w:eastAsia="仿宋_GB2312" w:cs="宋体"/>
          <w:kern w:val="0"/>
          <w:sz w:val="32"/>
          <w:szCs w:val="32"/>
        </w:rPr>
        <w:t>预算绩效实施过程中管理不够科学严谨，执行不够全面准确。</w:t>
      </w:r>
    </w:p>
    <w:p>
      <w:pPr>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改进措施： 进一步明确本部门绩效监控工作职责分工：负责人在布置全年工作时，对预算绩效管理工作同步部署；部门预算绩效管理工作确定牵头科室，各业务科室有明确的预算绩效管理工作联络员，建立预算单位内部预算绩效管理工作协调机制，在设置部门整体绩效目标时，须经集体讨论研究后再上报。</w:t>
      </w:r>
    </w:p>
    <w:p>
      <w:pPr>
        <w:ind w:firstLine="560"/>
      </w:pPr>
    </w:p>
    <w:p>
      <w:pPr>
        <w:pStyle w:val="3"/>
        <w:ind w:firstLine="640"/>
        <w:rPr>
          <w:rFonts w:ascii="黑体" w:hAnsi="黑体"/>
          <w:b w:val="0"/>
          <w:sz w:val="32"/>
          <w:szCs w:val="32"/>
        </w:rPr>
      </w:pPr>
      <w:r>
        <w:rPr>
          <w:rFonts w:hint="eastAsia" w:ascii="黑体" w:hAnsi="黑体"/>
          <w:b w:val="0"/>
          <w:sz w:val="32"/>
          <w:szCs w:val="32"/>
        </w:rPr>
        <w:t>八、附表</w:t>
      </w:r>
    </w:p>
    <w:p>
      <w:pPr>
        <w:ind w:firstLine="640"/>
        <w:rPr>
          <w:rFonts w:ascii="仿宋_GB2312" w:eastAsia="仿宋_GB2312"/>
          <w:sz w:val="32"/>
          <w:szCs w:val="32"/>
        </w:rPr>
      </w:pPr>
      <w:r>
        <w:rPr>
          <w:rFonts w:hint="eastAsia" w:ascii="仿宋_GB2312" w:eastAsia="仿宋_GB2312"/>
          <w:sz w:val="32"/>
          <w:szCs w:val="32"/>
        </w:rPr>
        <w:t>《部门整体支出绩效目标自评表》</w:t>
      </w:r>
    </w:p>
    <w:p>
      <w:pPr>
        <w:ind w:left="0" w:leftChars="0" w:firstLine="0" w:firstLineChars="0"/>
        <w:rPr>
          <w:rFonts w:hint="eastAsia" w:eastAsia="仿宋"/>
          <w:lang w:eastAsia="zh-CN"/>
        </w:rPr>
      </w:pPr>
    </w:p>
    <w:tbl>
      <w:tblPr>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470"/>
        <w:gridCol w:w="648"/>
        <w:gridCol w:w="746"/>
        <w:gridCol w:w="1230"/>
        <w:gridCol w:w="954"/>
        <w:gridCol w:w="901"/>
        <w:gridCol w:w="762"/>
        <w:gridCol w:w="1052"/>
        <w:gridCol w:w="901"/>
        <w:gridCol w:w="7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gridSpan w:val="10"/>
            <w:tcBorders>
              <w:top w:val="nil"/>
              <w:left w:val="nil"/>
              <w:bottom w:val="nil"/>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ascii="方正小标宋简体" w:hAnsi="方正小标宋简体" w:eastAsia="方正小标宋简体" w:cs="方正小标宋简体"/>
                <w:i w:val="0"/>
                <w:iCs w:val="0"/>
                <w:color w:val="000000"/>
                <w:sz w:val="22"/>
                <w:szCs w:val="22"/>
                <w:u w:val="none"/>
              </w:rPr>
            </w:pPr>
            <w:r>
              <w:rPr>
                <w:rFonts w:hint="eastAsia" w:ascii="方正小标宋简体" w:hAnsi="方正小标宋简体" w:eastAsia="方正小标宋简体" w:cs="方正小标宋简体"/>
                <w:i w:val="0"/>
                <w:iCs w:val="0"/>
                <w:color w:val="000000"/>
                <w:kern w:val="0"/>
                <w:sz w:val="22"/>
                <w:szCs w:val="22"/>
                <w:u w:val="none"/>
                <w:bdr w:val="none" w:color="auto" w:sz="0" w:space="0"/>
                <w:lang w:val="en-US" w:eastAsia="zh-CN" w:bidi="ar"/>
              </w:rPr>
              <w:t>部门整体支出绩效目标自评表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80" w:hRule="atLeast"/>
        </w:trPr>
        <w:tc>
          <w:tcPr>
            <w:tcW w:w="0" w:type="auto"/>
            <w:gridSpan w:val="10"/>
            <w:tcBorders>
              <w:top w:val="nil"/>
              <w:left w:val="nil"/>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0" w:type="auto"/>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部门（单位）名称</w:t>
            </w:r>
          </w:p>
        </w:tc>
        <w:tc>
          <w:tcPr>
            <w:tcW w:w="0" w:type="auto"/>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中国共产主义青年团昌吉市委员会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6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年度主要任务</w:t>
            </w:r>
          </w:p>
        </w:tc>
        <w:tc>
          <w:tcPr>
            <w:tcW w:w="0" w:type="auto"/>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任务名称</w:t>
            </w:r>
          </w:p>
        </w:tc>
        <w:tc>
          <w:tcPr>
            <w:tcW w:w="0" w:type="auto"/>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主要内容</w:t>
            </w:r>
          </w:p>
        </w:tc>
        <w:tc>
          <w:tcPr>
            <w:tcW w:w="0" w:type="auto"/>
            <w:gridSpan w:val="3"/>
            <w:tcBorders>
              <w:top w:val="single" w:color="000000" w:sz="4" w:space="0"/>
              <w:left w:val="nil"/>
              <w:bottom w:val="nil"/>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预算金额（万元）</w:t>
            </w:r>
          </w:p>
        </w:tc>
        <w:tc>
          <w:tcPr>
            <w:tcW w:w="0" w:type="auto"/>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实际执行（万元）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0" w:type="auto"/>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总额</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财政拨款</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总额</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财政拨款</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0" w:type="auto"/>
            <w:gridSpan w:val="2"/>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公用经费补助</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用于一般公用经费及对个人和家庭补助</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6.69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6.69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6.69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6.69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0" w:type="auto"/>
            <w:gridSpan w:val="2"/>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人员经费补助</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用于人员工资社保及住房公积金保障</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56.8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56.8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56.8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56.8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合　计</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63.49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63.49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63.49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63.49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6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年度总体目标</w:t>
            </w:r>
          </w:p>
        </w:tc>
        <w:tc>
          <w:tcPr>
            <w:tcW w:w="0" w:type="auto"/>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预期目标</w:t>
            </w:r>
          </w:p>
        </w:tc>
        <w:tc>
          <w:tcPr>
            <w:tcW w:w="0" w:type="auto"/>
            <w:gridSpan w:val="5"/>
            <w:tcBorders>
              <w:top w:val="single" w:color="000000" w:sz="4" w:space="0"/>
              <w:left w:val="nil"/>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0" w:type="auto"/>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完成共青团职能工作，加强对青少年法制教育及建立社会服务联系点，扩大青少年教育的文化领域，全年发放64.3万元用于团委整体支出。其中：工资福利支出56.8万元（保障人员数8人），商品和服务支出6.69万元，三公经费支出2.6万元，对个人和家庭补助支出6.3万元。有效加强了青少年法治教育及建立基本社会服务。提高了单位人员工作积极性。</w:t>
            </w:r>
          </w:p>
        </w:tc>
        <w:tc>
          <w:tcPr>
            <w:tcW w:w="0" w:type="auto"/>
            <w:gridSpan w:val="5"/>
            <w:tcBorders>
              <w:top w:val="single" w:color="000000" w:sz="4" w:space="0"/>
              <w:left w:val="nil"/>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完成共青团职能工作，加强对青少年法制教育及建立社会服务联系点，扩大青少年教育的文化领域，全年发放64.3万元用于团委整体支出。其中：工资福利支出56.8万元（保障人员数8人），商品和服务支出6.69万元，三公经费支出2.6万元，对个人和家庭补助支出6.3万元。有效加强了青少年法治教育及建立基本社会服务。提高了单位人员工作积极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年度绩效指标完成情况</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二级指标</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三级指标</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绩效目标值</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实际完成值</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指标分值</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项目完成</w:t>
            </w:r>
          </w:p>
        </w:tc>
        <w:tc>
          <w:tcPr>
            <w:tcW w:w="0" w:type="auto"/>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数量指标</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人员工资发放人数</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=8.00人数</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=8人数</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青少年教育培训</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=6.00次</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=6次</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公务保障用车数量</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质量指标</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开展培训场次覆盖率</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时效指标</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公用经费支出及时率</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成本指标</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人员经费数</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&lt;=56.80万元</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&lt;=56.8万元</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公用经费数</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&lt;=6.69万元</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&lt;=6.69万元</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项目效益</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经济效益指标</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社会效益指标</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加强青少年法制教育及建立基本和会服务联系点</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有效加强</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有效加强</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生态效益指标</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可持续影响指标</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提高单位人员工作积极性</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有效提高</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有效提高</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满意度指标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满意度指标</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青少年满意度</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&gt;=98.00%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&gt;=98%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职工满意度</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&gt;=98.00%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&gt;=98%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5</w:t>
            </w:r>
          </w:p>
        </w:tc>
      </w:tr>
    </w:tbl>
    <w:p>
      <w:pPr>
        <w:rPr>
          <w:rFonts w:hint="eastAsia"/>
          <w:lang w:eastAsia="zh-CN"/>
        </w:rPr>
        <w:sectPr>
          <w:headerReference r:id="rId6" w:type="first"/>
          <w:footerReference r:id="rId8" w:type="first"/>
          <w:headerReference r:id="rId5" w:type="default"/>
          <w:footerReference r:id="rId7" w:type="default"/>
          <w:pgSz w:w="11906" w:h="16838"/>
          <w:pgMar w:top="1440" w:right="1800" w:bottom="1440" w:left="1800" w:header="851" w:footer="992" w:gutter="0"/>
          <w:cols w:space="425" w:num="1"/>
          <w:titlePg/>
          <w:docGrid w:type="lines" w:linePitch="381" w:charSpace="0"/>
        </w:sectPr>
      </w:pPr>
    </w:p>
    <w:p>
      <w:pPr>
        <w:pStyle w:val="2"/>
        <w:rPr>
          <w:rFonts w:hint="eastAsia"/>
          <w:lang w:eastAsia="zh-CN"/>
        </w:rPr>
        <w:sectPr>
          <w:pgSz w:w="16838" w:h="11906" w:orient="landscape"/>
          <w:pgMar w:top="1800" w:right="1440" w:bottom="1800" w:left="1440" w:header="851" w:footer="992" w:gutter="0"/>
          <w:cols w:space="425" w:num="1"/>
          <w:titlePg/>
          <w:docGrid w:type="lines" w:linePitch="381" w:charSpace="0"/>
        </w:sectPr>
      </w:pPr>
    </w:p>
    <w:p>
      <w:pPr>
        <w:rPr>
          <w:rFonts w:hint="eastAsia"/>
          <w:lang w:eastAsia="zh-CN"/>
        </w:rPr>
      </w:pPr>
    </w:p>
    <w:p>
      <w:pPr>
        <w:pStyle w:val="2"/>
        <w:ind w:firstLine="562"/>
      </w:pPr>
    </w:p>
    <w:p>
      <w:pPr>
        <w:ind w:firstLine="560"/>
      </w:pPr>
    </w:p>
    <w:sectPr>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Malgun Gothic Semilight">
    <w:panose1 w:val="020B0502040204020203"/>
    <w:charset w:val="80"/>
    <w:family w:val="swiss"/>
    <w:pitch w:val="default"/>
    <w:sig w:usb0="900002AF" w:usb1="01D77CFB" w:usb2="00000012" w:usb3="00000000" w:csb0="203E01BD" w:csb1="D7FF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姚体">
    <w:panose1 w:val="02010601030101010101"/>
    <w:charset w:val="86"/>
    <w:family w:val="auto"/>
    <w:pitch w:val="default"/>
    <w:sig w:usb0="00000003" w:usb1="080E0000" w:usb2="00000000" w:usb3="00000000" w:csb0="00040000" w:csb1="00000000"/>
  </w:font>
  <w:font w:name="幼圆">
    <w:panose1 w:val="02010509060101010101"/>
    <w:charset w:val="86"/>
    <w:family w:val="auto"/>
    <w:pitch w:val="default"/>
    <w:sig w:usb0="00000001" w:usb1="080E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docPartObj>
        <w:docPartGallery w:val="autotext"/>
      </w:docPartObj>
    </w:sdtPr>
    <w:sdtContent>
      <w:p>
        <w:pPr>
          <w:pStyle w:val="7"/>
          <w:ind w:firstLine="360"/>
          <w:jc w:val="right"/>
        </w:pPr>
        <w:r>
          <w:rPr>
            <w:lang w:val="zh-CN"/>
          </w:rPr>
          <w:fldChar w:fldCharType="begin"/>
        </w:r>
        <w:r>
          <w:rPr>
            <w:lang w:val="zh-CN"/>
          </w:rPr>
          <w:instrText xml:space="preserve"> PAGE   \* MERGEFORMAT </w:instrText>
        </w:r>
        <w:r>
          <w:rPr>
            <w:lang w:val="zh-CN"/>
          </w:rPr>
          <w:fldChar w:fldCharType="separate"/>
        </w:r>
        <w:r>
          <w:rPr>
            <w:lang w:val="zh-CN"/>
          </w:rPr>
          <w:t>7</w:t>
        </w:r>
        <w:r>
          <w:rPr>
            <w:lang w:val="zh-CN"/>
          </w:rPr>
          <w:fldChar w:fldCharType="end"/>
        </w:r>
      </w:p>
    </w:sdtContent>
  </w:sdt>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B52E37"/>
    <w:multiLevelType w:val="singleLevel"/>
    <w:tmpl w:val="F6B52E37"/>
    <w:lvl w:ilvl="0" w:tentative="0">
      <w:start w:val="2"/>
      <w:numFmt w:val="chineseCounting"/>
      <w:suff w:val="nothing"/>
      <w:lvlText w:val="（%1）"/>
      <w:lvlJc w:val="left"/>
      <w:rPr>
        <w:rFonts w:hint="eastAsia"/>
      </w:rPr>
    </w:lvl>
  </w:abstractNum>
  <w:abstractNum w:abstractNumId="3">
    <w:nsid w:val="225C8922"/>
    <w:multiLevelType w:val="singleLevel"/>
    <w:tmpl w:val="225C8922"/>
    <w:lvl w:ilvl="0" w:tentative="0">
      <w:start w:val="1"/>
      <w:numFmt w:val="decimal"/>
      <w:suff w:val="space"/>
      <w:lvlText w:val="%1."/>
      <w:lvlJc w:val="left"/>
    </w:lvl>
  </w:abstractNum>
  <w:abstractNum w:abstractNumId="4">
    <w:nsid w:val="282FBCCD"/>
    <w:multiLevelType w:val="singleLevel"/>
    <w:tmpl w:val="282FBCCD"/>
    <w:lvl w:ilvl="0" w:tentative="0">
      <w:start w:val="3"/>
      <w:numFmt w:val="chineseCounting"/>
      <w:suff w:val="nothing"/>
      <w:lvlText w:val="（%1）"/>
      <w:lvlJc w:val="left"/>
      <w:rPr>
        <w:rFonts w:hint="eastAsia"/>
      </w:rPr>
    </w:lvl>
  </w:abstractNum>
  <w:abstractNum w:abstractNumId="5">
    <w:nsid w:val="2DF647DA"/>
    <w:multiLevelType w:val="singleLevel"/>
    <w:tmpl w:val="2DF647DA"/>
    <w:lvl w:ilvl="0" w:tentative="0">
      <w:start w:val="1"/>
      <w:numFmt w:val="chineseCounting"/>
      <w:suff w:val="nothing"/>
      <w:lvlText w:val="（%1）"/>
      <w:lvlJc w:val="left"/>
      <w:pPr>
        <w:ind w:left="0" w:firstLine="420"/>
      </w:pPr>
      <w:rPr>
        <w:rFonts w:hint="eastAsia"/>
      </w:rPr>
    </w:lvl>
  </w:abstractNum>
  <w:abstractNum w:abstractNumId="6">
    <w:nsid w:val="6DA37C89"/>
    <w:multiLevelType w:val="singleLevel"/>
    <w:tmpl w:val="6DA37C89"/>
    <w:lvl w:ilvl="0" w:tentative="0">
      <w:start w:val="2"/>
      <w:numFmt w:val="decimal"/>
      <w:suff w:val="nothing"/>
      <w:lvlText w:val="（%1）"/>
      <w:lvlJc w:val="left"/>
    </w:lvl>
  </w:abstractNum>
  <w:num w:numId="1">
    <w:abstractNumId w:val="4"/>
  </w:num>
  <w:num w:numId="2">
    <w:abstractNumId w:val="3"/>
  </w:num>
  <w:num w:numId="3">
    <w:abstractNumId w:val="5"/>
  </w:num>
  <w:num w:numId="4">
    <w:abstractNumId w:val="2"/>
  </w:num>
  <w:num w:numId="5">
    <w:abstractNumId w:val="0"/>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5736CA"/>
    <w:rsid w:val="00012408"/>
    <w:rsid w:val="000127F0"/>
    <w:rsid w:val="00012F5F"/>
    <w:rsid w:val="00073B51"/>
    <w:rsid w:val="00096624"/>
    <w:rsid w:val="000A03A5"/>
    <w:rsid w:val="000A0756"/>
    <w:rsid w:val="00102F07"/>
    <w:rsid w:val="00127E9A"/>
    <w:rsid w:val="00172CD6"/>
    <w:rsid w:val="001A631E"/>
    <w:rsid w:val="001A7DB2"/>
    <w:rsid w:val="00201A4A"/>
    <w:rsid w:val="002153DD"/>
    <w:rsid w:val="00223A07"/>
    <w:rsid w:val="00224DB4"/>
    <w:rsid w:val="002532E6"/>
    <w:rsid w:val="002640E4"/>
    <w:rsid w:val="00266868"/>
    <w:rsid w:val="0028663C"/>
    <w:rsid w:val="002A7E90"/>
    <w:rsid w:val="002D7006"/>
    <w:rsid w:val="00310BBC"/>
    <w:rsid w:val="003127D7"/>
    <w:rsid w:val="00337C9A"/>
    <w:rsid w:val="003817D7"/>
    <w:rsid w:val="00383848"/>
    <w:rsid w:val="003B184C"/>
    <w:rsid w:val="003C0106"/>
    <w:rsid w:val="003C7CE3"/>
    <w:rsid w:val="003F473D"/>
    <w:rsid w:val="00411697"/>
    <w:rsid w:val="004245C2"/>
    <w:rsid w:val="00452100"/>
    <w:rsid w:val="00455E2F"/>
    <w:rsid w:val="00485980"/>
    <w:rsid w:val="004976D9"/>
    <w:rsid w:val="004D063E"/>
    <w:rsid w:val="004D4927"/>
    <w:rsid w:val="004E4CA7"/>
    <w:rsid w:val="005415BD"/>
    <w:rsid w:val="00561A51"/>
    <w:rsid w:val="005736CA"/>
    <w:rsid w:val="00587D39"/>
    <w:rsid w:val="005A124E"/>
    <w:rsid w:val="005D3F17"/>
    <w:rsid w:val="005E2104"/>
    <w:rsid w:val="005E5D6E"/>
    <w:rsid w:val="005F7A93"/>
    <w:rsid w:val="00601640"/>
    <w:rsid w:val="00617C63"/>
    <w:rsid w:val="00617C78"/>
    <w:rsid w:val="00623DBB"/>
    <w:rsid w:val="00644534"/>
    <w:rsid w:val="006D700E"/>
    <w:rsid w:val="0070303A"/>
    <w:rsid w:val="00722410"/>
    <w:rsid w:val="007429B2"/>
    <w:rsid w:val="0077571A"/>
    <w:rsid w:val="007913AB"/>
    <w:rsid w:val="007A1B0F"/>
    <w:rsid w:val="007B6305"/>
    <w:rsid w:val="007C6A24"/>
    <w:rsid w:val="007D0537"/>
    <w:rsid w:val="008A09A7"/>
    <w:rsid w:val="008A1C5E"/>
    <w:rsid w:val="008D5E7B"/>
    <w:rsid w:val="008F0D28"/>
    <w:rsid w:val="008F25E7"/>
    <w:rsid w:val="0090615A"/>
    <w:rsid w:val="0091019F"/>
    <w:rsid w:val="00931A42"/>
    <w:rsid w:val="009443DA"/>
    <w:rsid w:val="00961F8B"/>
    <w:rsid w:val="00986581"/>
    <w:rsid w:val="009D6347"/>
    <w:rsid w:val="009D7F7A"/>
    <w:rsid w:val="009E68A2"/>
    <w:rsid w:val="00A7110C"/>
    <w:rsid w:val="00A720BD"/>
    <w:rsid w:val="00A85EC6"/>
    <w:rsid w:val="00A87301"/>
    <w:rsid w:val="00A95478"/>
    <w:rsid w:val="00AA5A3A"/>
    <w:rsid w:val="00AE0359"/>
    <w:rsid w:val="00B00384"/>
    <w:rsid w:val="00B40102"/>
    <w:rsid w:val="00BC5788"/>
    <w:rsid w:val="00BC7E1D"/>
    <w:rsid w:val="00BE59B5"/>
    <w:rsid w:val="00C11C70"/>
    <w:rsid w:val="00C5695F"/>
    <w:rsid w:val="00C81BBA"/>
    <w:rsid w:val="00C92DAE"/>
    <w:rsid w:val="00CA0283"/>
    <w:rsid w:val="00CD147B"/>
    <w:rsid w:val="00CF7639"/>
    <w:rsid w:val="00D2747D"/>
    <w:rsid w:val="00D34758"/>
    <w:rsid w:val="00D40010"/>
    <w:rsid w:val="00D4115B"/>
    <w:rsid w:val="00D418FE"/>
    <w:rsid w:val="00D54F89"/>
    <w:rsid w:val="00D770F5"/>
    <w:rsid w:val="00D81057"/>
    <w:rsid w:val="00D816FD"/>
    <w:rsid w:val="00D8792A"/>
    <w:rsid w:val="00DB3723"/>
    <w:rsid w:val="00DC3700"/>
    <w:rsid w:val="00DC7874"/>
    <w:rsid w:val="00DE0BEC"/>
    <w:rsid w:val="00DF02D4"/>
    <w:rsid w:val="00DF1DCB"/>
    <w:rsid w:val="00E1094B"/>
    <w:rsid w:val="00E11FDF"/>
    <w:rsid w:val="00E122EB"/>
    <w:rsid w:val="00E65EF1"/>
    <w:rsid w:val="00E76F6F"/>
    <w:rsid w:val="00E84E12"/>
    <w:rsid w:val="00E90318"/>
    <w:rsid w:val="00EA0F2D"/>
    <w:rsid w:val="00EB017D"/>
    <w:rsid w:val="00F158DA"/>
    <w:rsid w:val="00F3390B"/>
    <w:rsid w:val="00F43F88"/>
    <w:rsid w:val="00F509D3"/>
    <w:rsid w:val="00F830FD"/>
    <w:rsid w:val="00FA1A75"/>
    <w:rsid w:val="00FA7850"/>
    <w:rsid w:val="00FB7ABB"/>
    <w:rsid w:val="00FD52DC"/>
    <w:rsid w:val="012D3D63"/>
    <w:rsid w:val="01330A6C"/>
    <w:rsid w:val="01487A18"/>
    <w:rsid w:val="01720865"/>
    <w:rsid w:val="0189003F"/>
    <w:rsid w:val="01C42D66"/>
    <w:rsid w:val="02C15BF6"/>
    <w:rsid w:val="03673532"/>
    <w:rsid w:val="0379691F"/>
    <w:rsid w:val="03BE7262"/>
    <w:rsid w:val="041B661D"/>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805F4E"/>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873B0"/>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4794C"/>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2">
    <w:name w:val="heading 3"/>
    <w:basedOn w:val="1"/>
    <w:next w:val="1"/>
    <w:qFormat/>
    <w:uiPriority w:val="0"/>
    <w:pPr>
      <w:keepNext/>
      <w:keepLines/>
      <w:outlineLvl w:val="2"/>
    </w:pPr>
    <w:rPr>
      <w:rFonts w:ascii="仿宋_GB2312" w:hAnsi="仿宋_GB2312" w:eastAsia="仿宋_GB2312"/>
      <w:b/>
      <w:bCs/>
      <w:szCs w:val="32"/>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99"/>
    <w:pPr>
      <w:spacing w:after="120"/>
    </w:pPr>
    <w:rPr>
      <w:rFonts w:ascii="Times New Roman" w:hAnsi="Times New Roman" w:eastAsia="宋体"/>
    </w:rPr>
  </w:style>
  <w:style w:type="paragraph" w:styleId="7">
    <w:name w:val="footer"/>
    <w:basedOn w:val="1"/>
    <w:link w:val="20"/>
    <w:qFormat/>
    <w:uiPriority w:val="99"/>
    <w:pPr>
      <w:tabs>
        <w:tab w:val="center" w:pos="4153"/>
        <w:tab w:val="right" w:pos="8306"/>
      </w:tabs>
      <w:snapToGrid w:val="0"/>
      <w:jc w:val="left"/>
    </w:pPr>
    <w:rPr>
      <w:rFonts w:ascii="Times New Roman" w:hAnsi="Times New Roman"/>
      <w:sz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spacing w:before="100" w:beforeAutospacing="1" w:after="100" w:afterAutospacing="1"/>
      <w:jc w:val="left"/>
    </w:pPr>
    <w:rPr>
      <w:sz w:val="24"/>
    </w:rPr>
  </w:style>
  <w:style w:type="character" w:styleId="12">
    <w:name w:val="Strong"/>
    <w:basedOn w:val="11"/>
    <w:qFormat/>
    <w:uiPriority w:val="0"/>
    <w:rPr>
      <w:b/>
      <w:bCs/>
    </w:r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4">
    <w:name w:val="List Paragraph"/>
    <w:basedOn w:val="1"/>
    <w:unhideWhenUsed/>
    <w:qFormat/>
    <w:uiPriority w:val="99"/>
    <w:pPr>
      <w:ind w:firstLine="420"/>
    </w:pPr>
  </w:style>
  <w:style w:type="paragraph" w:customStyle="1" w:styleId="15">
    <w:name w:val="样式1"/>
    <w:basedOn w:val="1"/>
    <w:link w:val="17"/>
    <w:qFormat/>
    <w:uiPriority w:val="0"/>
    <w:pPr>
      <w:ind w:firstLine="560"/>
    </w:pPr>
  </w:style>
  <w:style w:type="paragraph" w:customStyle="1" w:styleId="16">
    <w:name w:val="样式2"/>
    <w:basedOn w:val="8"/>
    <w:link w:val="19"/>
    <w:qFormat/>
    <w:uiPriority w:val="0"/>
    <w:pPr>
      <w:pBdr>
        <w:bottom w:val="none" w:color="auto" w:sz="0" w:space="0"/>
      </w:pBdr>
      <w:ind w:firstLine="360"/>
    </w:pPr>
  </w:style>
  <w:style w:type="character" w:customStyle="1" w:styleId="17">
    <w:name w:val="样式1 Char"/>
    <w:basedOn w:val="11"/>
    <w:link w:val="15"/>
    <w:qFormat/>
    <w:uiPriority w:val="0"/>
    <w:rPr>
      <w:rFonts w:ascii="仿宋" w:hAnsi="仿宋" w:eastAsia="仿宋"/>
      <w:kern w:val="2"/>
      <w:sz w:val="28"/>
      <w:szCs w:val="24"/>
    </w:rPr>
  </w:style>
  <w:style w:type="character" w:customStyle="1" w:styleId="18">
    <w:name w:val="页眉 Char"/>
    <w:basedOn w:val="11"/>
    <w:link w:val="8"/>
    <w:qFormat/>
    <w:uiPriority w:val="99"/>
    <w:rPr>
      <w:rFonts w:ascii="仿宋" w:hAnsi="仿宋" w:eastAsia="仿宋"/>
      <w:kern w:val="2"/>
      <w:sz w:val="18"/>
      <w:szCs w:val="18"/>
    </w:rPr>
  </w:style>
  <w:style w:type="character" w:customStyle="1" w:styleId="19">
    <w:name w:val="样式2 Char"/>
    <w:basedOn w:val="18"/>
    <w:link w:val="16"/>
    <w:qFormat/>
    <w:uiPriority w:val="0"/>
    <w:rPr>
      <w:rFonts w:ascii="仿宋" w:hAnsi="仿宋" w:eastAsia="仿宋"/>
      <w:kern w:val="2"/>
      <w:sz w:val="18"/>
      <w:szCs w:val="18"/>
    </w:rPr>
  </w:style>
  <w:style w:type="character" w:customStyle="1" w:styleId="20">
    <w:name w:val="页脚 Char"/>
    <w:basedOn w:val="11"/>
    <w:link w:val="7"/>
    <w:qFormat/>
    <w:uiPriority w:val="99"/>
    <w:rPr>
      <w:rFonts w:eastAsia="仿宋"/>
      <w:kern w:val="2"/>
      <w:sz w:val="18"/>
      <w:szCs w:val="24"/>
    </w:rPr>
  </w:style>
  <w:style w:type="character" w:customStyle="1" w:styleId="21">
    <w:name w:val="font71"/>
    <w:basedOn w:val="11"/>
    <w:qFormat/>
    <w:uiPriority w:val="0"/>
    <w:rPr>
      <w:rFonts w:hint="default" w:ascii="Times New Roman" w:hAnsi="Times New Roman" w:eastAsia="楷体_GB2312" w:cs="Times New Roman"/>
      <w:sz w:val="28"/>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09AAC1-271F-4600-8F0E-08A4FF86BEA7}">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13</Pages>
  <Words>809</Words>
  <Characters>4612</Characters>
  <Lines>38</Lines>
  <Paragraphs>10</Paragraphs>
  <TotalTime>0</TotalTime>
  <ScaleCrop>false</ScaleCrop>
  <LinksUpToDate>false</LinksUpToDate>
  <CharactersWithSpaces>5411</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subinur</cp:lastModifiedBy>
  <dcterms:modified xsi:type="dcterms:W3CDTF">2023-02-22T11:02:56Z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DB25A6CF6B2345AB8DFFB8874700CB6B</vt:lpwstr>
  </property>
</Properties>
</file>