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昌吉市乡镇财政管理局整体支出绩效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部门单位名称（公章）：昌吉市乡镇财政管理局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17</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 xml:space="preserve">组长：龚占忠 </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 xml:space="preserve">副组长：靳晓莉   </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领导小组成员：</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何桂玲  王乐敏  王安蓉  盛静霏 刘翠萍</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sz w:val="32"/>
          <w:szCs w:val="32"/>
          <w:lang w:val="en-US"/>
        </w:rPr>
      </w:pPr>
      <w:r>
        <w:rPr>
          <w:rFonts w:hint="eastAsia" w:ascii="仿宋_GB2312" w:hAnsi="仿宋_GB2312" w:eastAsia="仿宋_GB2312" w:cs="仿宋_GB2312"/>
          <w:kern w:val="2"/>
          <w:sz w:val="32"/>
          <w:szCs w:val="32"/>
          <w:lang w:val="en-US" w:eastAsia="zh-CN" w:bidi="ar"/>
        </w:rPr>
        <w:t>领导小组下设办公室，办公室主任由马新惠兼任。</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(1)完善制度确保资金运行有章可循。根据国家相关法规的规定，结合自身实际，制定《财务管理控制制度》、《专项财政资金监管制度》等规章制度，严格按照财经纪律规范和使用财政资金，做到资金的使用均有完整的审批程序。</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(2)严格规程确保资金运行安全高效。严格按程序、流程进行操作，召开专题会议，严格制度落实。</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keepNext w:val="0"/>
        <w:keepLines w:val="0"/>
        <w:widowControl w:val="0"/>
        <w:suppressLineNumbers w:val="0"/>
        <w:spacing w:before="0" w:beforeAutospacing="0" w:after="0" w:afterAutospacing="0" w:line="540" w:lineRule="exact"/>
        <w:ind w:left="0" w:right="0" w:firstLine="640" w:firstLineChars="200"/>
        <w:jc w:val="both"/>
        <w:rPr>
          <w:rFonts w:hint="eastAsia" w:ascii="仿宋" w:hAnsi="仿宋" w:eastAsia="仿宋" w:cs="仿宋_GB2312"/>
          <w:sz w:val="32"/>
          <w:szCs w:val="32"/>
          <w:lang w:val="en-US"/>
        </w:rPr>
      </w:pPr>
      <w:r>
        <w:rPr>
          <w:rFonts w:hint="eastAsia" w:cs="仿宋_GB2312"/>
          <w:kern w:val="2"/>
          <w:sz w:val="32"/>
          <w:szCs w:val="32"/>
          <w:lang w:val="en-US" w:eastAsia="zh-CN" w:bidi="ar"/>
        </w:rPr>
        <w:t>2022年度</w:t>
      </w:r>
      <w:r>
        <w:rPr>
          <w:rFonts w:hint="eastAsia" w:ascii="仿宋" w:hAnsi="仿宋" w:eastAsia="仿宋" w:cs="仿宋_GB2312"/>
          <w:kern w:val="2"/>
          <w:sz w:val="32"/>
          <w:szCs w:val="32"/>
          <w:lang w:val="en-US" w:eastAsia="zh-CN" w:bidi="ar"/>
        </w:rPr>
        <w:t>部门整体支出规模为187.96万元，主要</w:t>
      </w:r>
      <w:r>
        <w:rPr>
          <w:rFonts w:hint="eastAsia" w:ascii="仿宋" w:hAnsi="仿宋" w:eastAsia="仿宋" w:cs="仿宋"/>
          <w:kern w:val="2"/>
          <w:sz w:val="32"/>
          <w:szCs w:val="32"/>
          <w:lang w:val="en-US" w:eastAsia="zh-CN" w:bidi="ar"/>
        </w:rPr>
        <w:t>负责财政政策法规的宣传工作，参与涉农财政政策的调研；负责组织和管理乡镇年度财政预算、决算的编制，管理和监督乡镇各项财政收支；参与农村综合改革各项政策的组织和实施，做好农村综合改革相关工作，负责监督和落实中央及自治区补助乡镇及村级专项转移支付资金的分配使用与管理</w:t>
      </w:r>
      <w:r>
        <w:rPr>
          <w:rFonts w:hint="eastAsia" w:ascii="仿宋" w:hAnsi="仿宋" w:eastAsia="仿宋" w:cs="仿宋_GB2312"/>
          <w:kern w:val="2"/>
          <w:sz w:val="32"/>
          <w:szCs w:val="32"/>
          <w:lang w:val="en-US" w:eastAsia="zh-CN" w:bidi="ar"/>
        </w:rPr>
        <w:t>。</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我单位决策机制根据行政事业单位内部控制体系建设相关要求，逐步完善《昌吉市乡</w:t>
      </w:r>
      <w:r>
        <w:rPr>
          <w:rFonts w:hint="eastAsia" w:ascii="仿宋_GB2312" w:eastAsia="仿宋_GB2312"/>
          <w:color w:val="auto"/>
          <w:sz w:val="32"/>
          <w:szCs w:val="32"/>
          <w:lang w:val="en-US" w:eastAsia="zh-CN"/>
        </w:rPr>
        <w:t>财政局</w:t>
      </w:r>
      <w:r>
        <w:rPr>
          <w:rFonts w:hint="eastAsia" w:ascii="仿宋_GB2312" w:eastAsia="仿宋_GB2312"/>
          <w:color w:val="auto"/>
          <w:sz w:val="32"/>
          <w:szCs w:val="32"/>
        </w:rPr>
        <w:t>议事规则》、《三重一大会议制度》，根据制度规定进行单位事项决策。</w:t>
      </w:r>
    </w:p>
    <w:p>
      <w:pPr>
        <w:pStyle w:val="4"/>
        <w:numPr>
          <w:ilvl w:val="0"/>
          <w:numId w:val="2"/>
        </w:numPr>
        <w:ind w:firstLine="640"/>
        <w:rPr>
          <w:rFonts w:ascii="楷体_GB2312" w:eastAsia="楷体_GB2312"/>
          <w:color w:val="auto"/>
          <w:szCs w:val="32"/>
        </w:rPr>
      </w:pPr>
      <w:r>
        <w:rPr>
          <w:rFonts w:hint="eastAsia" w:ascii="楷体_GB2312" w:eastAsia="楷体_GB2312"/>
          <w:szCs w:val="32"/>
        </w:rPr>
        <w:t>单位资</w:t>
      </w:r>
      <w:r>
        <w:rPr>
          <w:rFonts w:hint="eastAsia" w:ascii="楷体_GB2312" w:eastAsia="楷体_GB2312"/>
          <w:color w:val="auto"/>
          <w:szCs w:val="32"/>
        </w:rPr>
        <w:t>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highlight w:val="none"/>
          <w:lang w:eastAsia="zh-CN"/>
        </w:rPr>
        <w:t>2022年度</w:t>
      </w:r>
      <w:r>
        <w:rPr>
          <w:rFonts w:hint="eastAsia" w:ascii="仿宋_GB2312" w:eastAsia="仿宋_GB2312"/>
          <w:color w:val="auto"/>
          <w:sz w:val="32"/>
          <w:szCs w:val="32"/>
          <w:highlight w:val="none"/>
        </w:rPr>
        <w:t>，昌吉</w:t>
      </w:r>
      <w:r>
        <w:rPr>
          <w:rFonts w:hint="eastAsia" w:ascii="仿宋_GB2312" w:eastAsia="仿宋_GB2312"/>
          <w:color w:val="auto"/>
          <w:sz w:val="32"/>
          <w:szCs w:val="32"/>
          <w:highlight w:val="none"/>
        </w:rPr>
        <w:t>市乡镇财政管理局</w:t>
      </w:r>
      <w:r>
        <w:rPr>
          <w:rFonts w:hint="eastAsia" w:ascii="仿宋_GB2312" w:eastAsia="仿宋_GB2312"/>
          <w:bCs/>
          <w:color w:val="auto"/>
          <w:sz w:val="32"/>
          <w:szCs w:val="32"/>
          <w:highlight w:val="none"/>
        </w:rPr>
        <w:t>部门单位整体支出年初预算金额为</w:t>
      </w:r>
      <w:r>
        <w:rPr>
          <w:rFonts w:hint="eastAsia" w:ascii="仿宋_GB2312" w:eastAsia="仿宋_GB2312"/>
          <w:bCs/>
          <w:color w:val="auto"/>
          <w:sz w:val="32"/>
          <w:szCs w:val="32"/>
          <w:highlight w:val="none"/>
          <w:lang w:val="en-US" w:eastAsia="zh-CN"/>
        </w:rPr>
        <w:t>182.44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182.44</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1.35</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1.35</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年中调整</w:t>
      </w:r>
      <w:r>
        <w:rPr>
          <w:rFonts w:hint="eastAsia" w:ascii="仿宋_GB2312" w:eastAsia="仿宋_GB2312"/>
          <w:sz w:val="32"/>
          <w:szCs w:val="32"/>
          <w:highlight w:val="none"/>
        </w:rPr>
        <w:t>预算金额</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5.52</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3.0%</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187.96</w:t>
      </w:r>
      <w:r>
        <w:rPr>
          <w:rFonts w:hint="eastAsia" w:ascii="仿宋_GB2312" w:eastAsia="仿宋_GB2312"/>
          <w:color w:val="auto"/>
          <w:sz w:val="32"/>
          <w:szCs w:val="32"/>
          <w:highlight w:val="none"/>
        </w:rPr>
        <w:t>万</w:t>
      </w:r>
      <w:r>
        <w:rPr>
          <w:rFonts w:hint="eastAsia" w:ascii="仿宋_GB2312" w:eastAsia="仿宋_GB2312"/>
          <w:color w:val="auto"/>
          <w:sz w:val="32"/>
          <w:szCs w:val="32"/>
        </w:rPr>
        <w:t>元，支出总额为</w:t>
      </w:r>
      <w:r>
        <w:rPr>
          <w:rFonts w:hint="eastAsia" w:ascii="仿宋_GB2312" w:eastAsia="仿宋_GB2312"/>
          <w:color w:val="auto"/>
          <w:sz w:val="32"/>
          <w:szCs w:val="32"/>
          <w:highlight w:val="none"/>
          <w:lang w:val="en-US" w:eastAsia="zh-CN"/>
        </w:rPr>
        <w:t>187.96</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2022年度</w:t>
      </w:r>
      <w:r>
        <w:rPr>
          <w:rFonts w:hint="eastAsia" w:ascii="仿宋_GB2312" w:eastAsia="仿宋_GB2312"/>
          <w:sz w:val="32"/>
          <w:szCs w:val="32"/>
        </w:rPr>
        <w:t>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w:t>
      </w:r>
      <w:r>
        <w:rPr>
          <w:rFonts w:hint="eastAsia" w:ascii="仿宋_GB2312" w:eastAsia="仿宋_GB2312"/>
          <w:color w:val="auto"/>
          <w:sz w:val="32"/>
          <w:szCs w:val="32"/>
          <w:lang w:val="en-US" w:eastAsia="zh-CN"/>
        </w:rPr>
        <w:t>依据昌吉市财政局</w:t>
      </w:r>
      <w:r>
        <w:rPr>
          <w:rFonts w:hint="eastAsia" w:ascii="仿宋_GB2312" w:eastAsia="仿宋_GB2312"/>
          <w:color w:val="auto"/>
          <w:sz w:val="32"/>
          <w:szCs w:val="32"/>
        </w:rPr>
        <w:t>管理办法，并严格按照此管理办法（制度）管理使用预算资金，严格按照政府信息公开有关规定及财政部门要求公开相关预决算信息。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sz w:val="32"/>
          <w:szCs w:val="32"/>
        </w:rPr>
        <w:t>1.基本支出情</w:t>
      </w:r>
      <w:r>
        <w:rPr>
          <w:rFonts w:hint="eastAsia" w:ascii="仿宋_GB2312" w:eastAsia="仿宋_GB2312"/>
          <w:b/>
          <w:bCs/>
          <w:color w:val="auto"/>
          <w:sz w:val="32"/>
          <w:szCs w:val="32"/>
        </w:rPr>
        <w:t>况</w:t>
      </w:r>
    </w:p>
    <w:p>
      <w:pPr>
        <w:ind w:firstLine="640"/>
        <w:rPr>
          <w:rFonts w:ascii="仿宋_GB2312" w:eastAsia="仿宋_GB2312"/>
          <w:color w:val="auto"/>
          <w:sz w:val="32"/>
          <w:szCs w:val="32"/>
          <w:highlight w:val="none"/>
        </w:rPr>
      </w:pPr>
      <w:r>
        <w:rPr>
          <w:rFonts w:hint="eastAsia" w:ascii="仿宋_GB2312" w:eastAsia="仿宋_GB2312"/>
          <w:color w:val="auto"/>
          <w:sz w:val="32"/>
          <w:szCs w:val="32"/>
          <w:lang w:eastAsia="zh-CN"/>
        </w:rPr>
        <w:t>2022年</w:t>
      </w:r>
      <w:r>
        <w:rPr>
          <w:rFonts w:hint="eastAsia" w:ascii="仿宋_GB2312" w:eastAsia="仿宋_GB2312"/>
          <w:color w:val="auto"/>
          <w:sz w:val="32"/>
          <w:szCs w:val="32"/>
        </w:rPr>
        <w:t>，昌吉市乡镇财政管理局基本支出年初预算金额为</w:t>
      </w:r>
      <w:r>
        <w:rPr>
          <w:rFonts w:hint="eastAsia" w:ascii="仿宋_GB2312" w:eastAsia="仿宋_GB2312"/>
          <w:bCs/>
          <w:color w:val="auto"/>
          <w:sz w:val="32"/>
          <w:szCs w:val="32"/>
          <w:highlight w:val="none"/>
          <w:lang w:val="en-US" w:eastAsia="zh-CN"/>
        </w:rPr>
        <w:t>182.44</w:t>
      </w:r>
      <w:r>
        <w:rPr>
          <w:rFonts w:hint="eastAsia" w:ascii="仿宋_GB2312" w:eastAsia="仿宋_GB2312"/>
          <w:color w:val="auto"/>
          <w:sz w:val="32"/>
          <w:szCs w:val="32"/>
        </w:rPr>
        <w:t>万元，支出金额为</w:t>
      </w:r>
      <w:r>
        <w:rPr>
          <w:rFonts w:hint="eastAsia" w:ascii="仿宋_GB2312" w:eastAsia="仿宋_GB2312"/>
          <w:bCs/>
          <w:color w:val="auto"/>
          <w:sz w:val="32"/>
          <w:szCs w:val="32"/>
          <w:highlight w:val="none"/>
          <w:lang w:val="en-US" w:eastAsia="zh-CN"/>
        </w:rPr>
        <w:t>182.44</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w:t>
      </w:r>
      <w:r>
        <w:rPr>
          <w:rFonts w:hint="eastAsia" w:ascii="仿宋_GB2312" w:eastAsia="仿宋_GB2312"/>
          <w:color w:val="auto"/>
          <w:sz w:val="32"/>
          <w:szCs w:val="32"/>
          <w:highlight w:val="none"/>
        </w:rPr>
        <w:t>金额为</w:t>
      </w:r>
      <w:r>
        <w:rPr>
          <w:rFonts w:hint="eastAsia" w:ascii="仿宋_GB2312" w:eastAsia="仿宋_GB2312"/>
          <w:color w:val="auto"/>
          <w:sz w:val="32"/>
          <w:szCs w:val="32"/>
          <w:highlight w:val="none"/>
          <w:lang w:val="en-US" w:eastAsia="zh-CN"/>
        </w:rPr>
        <w:t>5.52</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187.96</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187.96</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181.93</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6.03</w:t>
      </w:r>
      <w:r>
        <w:rPr>
          <w:rFonts w:hint="eastAsia" w:ascii="仿宋_GB2312" w:eastAsia="仿宋_GB2312"/>
          <w:color w:val="auto"/>
          <w:sz w:val="32"/>
          <w:szCs w:val="32"/>
          <w:highlight w:val="none"/>
        </w:rPr>
        <w:t>万元。</w:t>
      </w:r>
    </w:p>
    <w:p>
      <w:pPr>
        <w:ind w:firstLine="640"/>
        <w:rPr>
          <w:rFonts w:ascii="仿宋_GB2312" w:eastAsia="仿宋_GB2312"/>
          <w:b/>
          <w:bCs/>
          <w:sz w:val="32"/>
          <w:szCs w:val="32"/>
        </w:rPr>
      </w:pPr>
      <w:r>
        <w:rPr>
          <w:rFonts w:hint="eastAsia" w:ascii="仿宋_GB2312" w:eastAsia="仿宋_GB2312"/>
          <w:b/>
          <w:bCs/>
          <w:sz w:val="32"/>
          <w:szCs w:val="32"/>
          <w:highlight w:val="none"/>
        </w:rPr>
        <w:t>2.“三公”经费情</w:t>
      </w:r>
      <w:r>
        <w:rPr>
          <w:rFonts w:hint="eastAsia" w:ascii="仿宋_GB2312" w:eastAsia="仿宋_GB2312"/>
          <w:b/>
          <w:bCs/>
          <w:sz w:val="32"/>
          <w:szCs w:val="32"/>
        </w:rPr>
        <w:t>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我单位认真贯彻落实中央关于厉行节约的有关规定，严格执行《党政机关厉行节约反对浪费条例》，</w:t>
      </w:r>
      <w:r>
        <w:rPr>
          <w:rFonts w:hint="eastAsia" w:ascii="仿宋_GB2312" w:eastAsia="仿宋_GB2312" w:cs="宋体"/>
          <w:sz w:val="32"/>
          <w:szCs w:val="32"/>
          <w:lang w:eastAsia="zh-CN"/>
        </w:rPr>
        <w:t>2022年</w:t>
      </w:r>
      <w:r>
        <w:rPr>
          <w:rFonts w:hint="eastAsia" w:ascii="仿宋_GB2312" w:eastAsia="仿宋_GB2312" w:cs="宋体"/>
          <w:sz w:val="32"/>
          <w:szCs w:val="32"/>
        </w:rPr>
        <w:t>“三公”经费预算数为</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lang w:eastAsia="zh-CN"/>
        </w:rPr>
        <w:t>2022年</w:t>
      </w:r>
      <w:r>
        <w:rPr>
          <w:rFonts w:hint="eastAsia" w:ascii="仿宋_GB2312" w:eastAsia="仿宋_GB2312" w:cs="宋体"/>
          <w:color w:val="auto"/>
          <w:sz w:val="32"/>
          <w:szCs w:val="32"/>
        </w:rPr>
        <w:t>，全年“三公”经费决算支出</w:t>
      </w:r>
      <w:r>
        <w:rPr>
          <w:rFonts w:hint="eastAsia" w:ascii="仿宋_GB2312" w:eastAsia="仿宋_GB2312" w:cs="宋体"/>
          <w:color w:val="auto"/>
          <w:sz w:val="32"/>
          <w:szCs w:val="32"/>
          <w:lang w:val="en-US" w:eastAsia="zh-CN"/>
        </w:rPr>
        <w:t>1.55</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1.55</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hint="default" w:ascii="仿宋_GB2312" w:eastAsia="仿宋"/>
          <w:color w:val="auto"/>
          <w:sz w:val="32"/>
          <w:szCs w:val="32"/>
          <w:lang w:val="en-US" w:eastAsia="zh-CN"/>
        </w:rPr>
      </w:pPr>
      <w:r>
        <w:rPr>
          <w:rFonts w:hint="eastAsia"/>
          <w:b w:val="0"/>
          <w:bCs w:val="0"/>
          <w:sz w:val="32"/>
          <w:lang w:eastAsia="zh-CN"/>
        </w:rPr>
        <w:t>2022年</w:t>
      </w:r>
      <w:r>
        <w:rPr>
          <w:rFonts w:hint="eastAsia"/>
          <w:b w:val="0"/>
          <w:bCs w:val="0"/>
          <w:color w:val="auto"/>
          <w:sz w:val="32"/>
        </w:rPr>
        <w:t>，昌吉市乡镇财政管理局</w:t>
      </w:r>
      <w:r>
        <w:rPr>
          <w:rFonts w:hint="eastAsia"/>
          <w:b w:val="0"/>
          <w:bCs w:val="0"/>
          <w:color w:val="auto"/>
          <w:sz w:val="32"/>
          <w:lang w:val="en-US" w:eastAsia="zh-CN"/>
        </w:rPr>
        <w:t>未安排项目支出。</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hint="default" w:ascii="仿宋_GB2312" w:eastAsia="仿宋_GB2312" w:cs="仿宋"/>
          <w:color w:val="FF0000"/>
          <w:sz w:val="32"/>
          <w:szCs w:val="32"/>
          <w:lang w:val="en-US" w:eastAsia="zh-CN"/>
        </w:rPr>
      </w:pPr>
      <w:r>
        <w:rPr>
          <w:rFonts w:hint="eastAsia" w:ascii="仿宋_GB2312" w:eastAsia="仿宋_GB2312" w:cs="仿宋"/>
          <w:sz w:val="32"/>
          <w:szCs w:val="32"/>
          <w:lang w:eastAsia="zh-CN"/>
        </w:rPr>
        <w:t>2022年</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本单位未安排专项资金。</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eastAsia" w:ascii="仿宋_GB2312" w:eastAsia="仿宋_GB2312"/>
          <w:sz w:val="32"/>
          <w:szCs w:val="32"/>
          <w:lang w:eastAsia="zh-CN"/>
        </w:rPr>
        <w:t>2022年</w:t>
      </w:r>
      <w:r>
        <w:rPr>
          <w:rFonts w:hint="eastAsia" w:ascii="仿宋_GB2312" w:eastAsia="仿宋_GB2312"/>
          <w:sz w:val="32"/>
          <w:szCs w:val="32"/>
        </w:rPr>
        <w:t>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2022年</w:t>
      </w:r>
      <w:r>
        <w:rPr>
          <w:rFonts w:hint="eastAsia" w:ascii="仿宋_GB2312" w:eastAsia="仿宋_GB2312"/>
          <w:color w:val="auto"/>
          <w:sz w:val="32"/>
          <w:szCs w:val="32"/>
        </w:rPr>
        <w:t>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2022年</w:t>
      </w:r>
      <w:r>
        <w:rPr>
          <w:rFonts w:hint="eastAsia" w:ascii="仿宋_GB2312" w:eastAsia="仿宋_GB2312"/>
          <w:color w:val="auto"/>
          <w:sz w:val="32"/>
          <w:szCs w:val="32"/>
        </w:rPr>
        <w:t>初，流动资产总额为</w:t>
      </w:r>
      <w:r>
        <w:rPr>
          <w:rFonts w:hint="eastAsia" w:ascii="仿宋_GB2312" w:eastAsia="仿宋_GB2312"/>
          <w:color w:val="auto"/>
          <w:sz w:val="32"/>
          <w:szCs w:val="32"/>
          <w:lang w:val="en-US" w:eastAsia="zh-CN"/>
        </w:rPr>
        <w:t>7.24</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6.42</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0.82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11.3</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往来支付。</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2022年</w:t>
      </w:r>
      <w:r>
        <w:rPr>
          <w:rFonts w:hint="eastAsia" w:ascii="仿宋_GB2312" w:eastAsia="仿宋_GB2312"/>
          <w:color w:val="auto"/>
          <w:sz w:val="32"/>
          <w:szCs w:val="32"/>
        </w:rPr>
        <w:t>初，固定资产总额为</w:t>
      </w:r>
      <w:r>
        <w:rPr>
          <w:rFonts w:hint="eastAsia" w:ascii="仿宋_GB2312" w:eastAsia="仿宋_GB2312"/>
          <w:color w:val="auto"/>
          <w:sz w:val="32"/>
          <w:szCs w:val="32"/>
          <w:lang w:val="en-US" w:eastAsia="zh-CN"/>
        </w:rPr>
        <w:t>777.82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777.82</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rPr>
      </w:pPr>
      <w:r>
        <w:rPr>
          <w:rFonts w:hint="eastAsia" w:ascii="仿宋_GB2312" w:eastAsia="仿宋_GB2312"/>
          <w:bCs/>
          <w:spacing w:val="-4"/>
          <w:sz w:val="32"/>
          <w:szCs w:val="32"/>
          <w:lang w:eastAsia="zh-CN"/>
        </w:rPr>
        <w:t>2022年度</w:t>
      </w:r>
      <w:r>
        <w:rPr>
          <w:rFonts w:hint="eastAsia" w:ascii="仿宋_GB2312" w:eastAsia="仿宋_GB2312"/>
          <w:bCs/>
          <w:spacing w:val="-4"/>
          <w:sz w:val="32"/>
          <w:szCs w:val="32"/>
        </w:rPr>
        <w:t>，昌吉市乡镇财政管理局部门单位整体支出绩效目标共设</w:t>
      </w:r>
      <w:r>
        <w:rPr>
          <w:rFonts w:hint="eastAsia" w:ascii="仿宋_GB2312" w:eastAsia="仿宋_GB2312"/>
          <w:bCs/>
          <w:color w:val="auto"/>
          <w:spacing w:val="-4"/>
          <w:sz w:val="32"/>
          <w:szCs w:val="32"/>
        </w:rPr>
        <w:t>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9</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8</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88.9</w:t>
      </w:r>
      <w:r>
        <w:rPr>
          <w:rFonts w:hint="eastAsia" w:ascii="仿宋_GB2312" w:eastAsia="仿宋_GB2312"/>
          <w:bCs/>
          <w:color w:val="auto"/>
          <w:spacing w:val="-4"/>
          <w:sz w:val="32"/>
          <w:szCs w:val="32"/>
        </w:rPr>
        <w:t>%。</w:t>
      </w:r>
    </w:p>
    <w:p>
      <w:pPr>
        <w:pStyle w:val="2"/>
        <w:ind w:firstLine="640"/>
        <w:rPr>
          <w:sz w:val="32"/>
        </w:rPr>
      </w:pPr>
      <w:r>
        <w:rPr>
          <w:rFonts w:hint="eastAsia"/>
          <w:sz w:val="32"/>
        </w:rPr>
        <w:t>1.产出指标完成情况分析</w:t>
      </w:r>
    </w:p>
    <w:p>
      <w:pPr>
        <w:ind w:firstLine="640"/>
        <w:rPr>
          <w:rFonts w:ascii="仿宋_GB2312" w:eastAsia="仿宋_GB2312"/>
          <w:color w:val="auto"/>
          <w:sz w:val="32"/>
          <w:szCs w:val="32"/>
        </w:rPr>
      </w:pPr>
      <w:r>
        <w:rPr>
          <w:rFonts w:hint="eastAsia" w:ascii="仿宋_GB2312" w:eastAsia="仿宋_GB2312"/>
          <w:sz w:val="32"/>
          <w:szCs w:val="32"/>
        </w:rPr>
        <w:t>（1）数量指</w:t>
      </w:r>
      <w:r>
        <w:rPr>
          <w:rFonts w:hint="eastAsia" w:ascii="仿宋_GB2312" w:eastAsia="仿宋_GB2312"/>
          <w:color w:val="auto"/>
          <w:sz w:val="32"/>
          <w:szCs w:val="32"/>
        </w:rPr>
        <w:t>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“完成预结算汇总的乡镇数量”指标：预期指标值为“&gt;=10个”，实际完成指标值为“</w:t>
      </w:r>
      <w:r>
        <w:rPr>
          <w:rFonts w:hint="eastAsia" w:ascii="仿宋_GB2312" w:eastAsia="仿宋_GB2312"/>
          <w:color w:val="auto"/>
          <w:sz w:val="32"/>
          <w:szCs w:val="32"/>
          <w:lang w:val="en-US" w:eastAsia="zh-CN"/>
        </w:rPr>
        <w:t>10个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“财政涉农惠民补贴资金管理覆盖面”指标：预期指标值为“=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“系统补贴项目数”指标：预期指标值为“&gt;=1</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个”，实际完成指标值为“</w:t>
      </w:r>
      <w:r>
        <w:rPr>
          <w:rFonts w:hint="eastAsia" w:ascii="仿宋_GB2312" w:eastAsia="仿宋_GB2312"/>
          <w:color w:val="auto"/>
          <w:sz w:val="32"/>
          <w:szCs w:val="32"/>
          <w:lang w:val="en-US" w:eastAsia="zh-CN"/>
        </w:rPr>
        <w:t>19个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“保障办公人员数量”指标：预期指标值为“&gt;=10</w:t>
      </w:r>
      <w:r>
        <w:rPr>
          <w:rFonts w:hint="eastAsia" w:ascii="仿宋_GB2312" w:eastAsia="仿宋_GB2312"/>
          <w:color w:val="auto"/>
          <w:sz w:val="32"/>
          <w:szCs w:val="32"/>
          <w:lang w:val="en-US" w:eastAsia="zh-CN"/>
        </w:rPr>
        <w:t>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“公务保障用车数量”指标：预期指标值为“&gt;=1</w:t>
      </w:r>
      <w:r>
        <w:rPr>
          <w:rFonts w:hint="eastAsia" w:ascii="仿宋_GB2312" w:eastAsia="仿宋_GB2312"/>
          <w:color w:val="auto"/>
          <w:sz w:val="32"/>
          <w:szCs w:val="32"/>
          <w:lang w:val="en-US" w:eastAsia="zh-CN"/>
        </w:rPr>
        <w:t>辆</w:t>
      </w:r>
      <w:r>
        <w:rPr>
          <w:rFonts w:hint="eastAsia" w:ascii="仿宋_GB2312" w:eastAsia="仿宋_GB2312"/>
          <w:color w:val="auto"/>
          <w:sz w:val="32"/>
          <w:szCs w:val="32"/>
        </w:rPr>
        <w:t>”，实际完成指标值为“1</w:t>
      </w:r>
      <w:r>
        <w:rPr>
          <w:rFonts w:hint="eastAsia" w:ascii="仿宋_GB2312" w:eastAsia="仿宋_GB2312"/>
          <w:color w:val="auto"/>
          <w:sz w:val="32"/>
          <w:szCs w:val="32"/>
          <w:lang w:val="en-US" w:eastAsia="zh-CN"/>
        </w:rPr>
        <w:t>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p>
    <w:p>
      <w:pPr>
        <w:numPr>
          <w:ilvl w:val="0"/>
          <w:numId w:val="8"/>
        </w:numPr>
        <w:ind w:firstLine="640"/>
        <w:rPr>
          <w:rFonts w:ascii="仿宋_GB2312" w:eastAsia="仿宋_GB2312"/>
          <w:color w:val="auto"/>
          <w:sz w:val="32"/>
          <w:szCs w:val="32"/>
        </w:rPr>
      </w:pPr>
      <w:r>
        <w:rPr>
          <w:rFonts w:hint="eastAsia" w:ascii="仿宋_GB2312" w:eastAsia="仿宋_GB2312"/>
          <w:sz w:val="32"/>
          <w:szCs w:val="32"/>
        </w:rPr>
        <w:t>质量指</w:t>
      </w:r>
      <w:r>
        <w:rPr>
          <w:rFonts w:hint="eastAsia" w:ascii="仿宋_GB2312" w:eastAsia="仿宋_GB2312"/>
          <w:color w:val="auto"/>
          <w:sz w:val="32"/>
          <w:szCs w:val="32"/>
        </w:rPr>
        <w:t>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“乡镇预决算工作完成率”指标：预期指标值为“=100%”，实际完成指标值为“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“涉农资金发放覆盖率”指标：预期指标值为“=100%”，实际完成指标值为“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ascii="仿宋_GB2312" w:eastAsia="仿宋_GB2312"/>
          <w:color w:val="auto"/>
          <w:sz w:val="32"/>
          <w:szCs w:val="32"/>
        </w:rPr>
      </w:pPr>
      <w:r>
        <w:rPr>
          <w:rFonts w:hint="eastAsia" w:ascii="仿宋_GB2312" w:eastAsia="仿宋_GB2312"/>
          <w:color w:val="auto"/>
          <w:sz w:val="32"/>
          <w:szCs w:val="32"/>
        </w:rPr>
        <w:t>“整体指标结束时间”指标：预期指标值为“</w:t>
      </w:r>
      <w:r>
        <w:rPr>
          <w:rFonts w:hint="eastAsia" w:ascii="仿宋_GB2312" w:eastAsia="仿宋_GB2312"/>
          <w:color w:val="auto"/>
          <w:sz w:val="32"/>
          <w:szCs w:val="32"/>
          <w:lang w:eastAsia="zh-CN"/>
        </w:rPr>
        <w:t>2022年</w:t>
      </w:r>
      <w:r>
        <w:rPr>
          <w:rFonts w:hint="eastAsia" w:ascii="仿宋_GB2312" w:eastAsia="仿宋_GB2312"/>
          <w:color w:val="auto"/>
          <w:sz w:val="32"/>
          <w:szCs w:val="32"/>
        </w:rPr>
        <w:t>12月31日”，实际完成指标值为“</w:t>
      </w:r>
      <w:r>
        <w:rPr>
          <w:rFonts w:hint="eastAsia" w:ascii="仿宋_GB2312" w:eastAsia="仿宋_GB2312"/>
          <w:color w:val="auto"/>
          <w:sz w:val="32"/>
          <w:szCs w:val="32"/>
          <w:lang w:eastAsia="zh-CN"/>
        </w:rPr>
        <w:t>2022年</w:t>
      </w:r>
      <w:r>
        <w:rPr>
          <w:rFonts w:hint="eastAsia" w:ascii="仿宋_GB2312" w:eastAsia="仿宋_GB2312"/>
          <w:color w:val="auto"/>
          <w:sz w:val="32"/>
          <w:szCs w:val="32"/>
        </w:rPr>
        <w:t>12月31日”，指标完成率为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人员经费</w:t>
      </w:r>
      <w:r>
        <w:rPr>
          <w:rFonts w:hint="eastAsia" w:ascii="仿宋_GB2312" w:eastAsia="仿宋_GB2312"/>
          <w:color w:val="auto"/>
          <w:sz w:val="32"/>
          <w:szCs w:val="32"/>
        </w:rPr>
        <w:t>”指标：预期指标值为“&lt;=165.56万元”，实际完成指标值为“165.56”，指标完成率为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人均运转经费数</w:t>
      </w:r>
      <w:r>
        <w:rPr>
          <w:rFonts w:hint="eastAsia" w:ascii="仿宋_GB2312" w:eastAsia="仿宋_GB2312"/>
          <w:color w:val="auto"/>
          <w:sz w:val="32"/>
          <w:szCs w:val="32"/>
        </w:rPr>
        <w:t>”指标：预期指标值为“&lt;=1.69万元”，实际完成指标值为“1</w:t>
      </w:r>
      <w:r>
        <w:rPr>
          <w:rFonts w:hint="eastAsia" w:ascii="仿宋_GB2312" w:eastAsia="仿宋_GB2312"/>
          <w:color w:val="auto"/>
          <w:sz w:val="32"/>
          <w:szCs w:val="32"/>
          <w:lang w:val="en-US" w:eastAsia="zh-CN"/>
        </w:rPr>
        <w:t>.69</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pP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“维护社会安定稳定，促进昌吉市经济社会健康发展”指标：预期指标值为“有效维护”，实际完成指标值为“有效维护”，指标完成率为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“更好的服务各乡镇人民群众，推动各乡镇的发展”指标：预期指标值为“持续推动”，实际完成指标值为“持续推动”，指标完成率为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“收益对象满意度”指标：预期指标值为“&gt;=98%”，实际完成指标值为“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“职工满意度”指标：预期指标值为“&gt;=98%”，实际完成指标值为“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lang w:eastAsia="zh-CN"/>
        </w:rPr>
        <w:t>2022年</w:t>
      </w:r>
      <w:r>
        <w:rPr>
          <w:rFonts w:hint="eastAsia" w:ascii="仿宋_GB2312" w:eastAsia="仿宋_GB2312"/>
          <w:color w:val="auto"/>
          <w:spacing w:val="-4"/>
          <w:sz w:val="32"/>
          <w:szCs w:val="32"/>
        </w:rPr>
        <w:t>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adjustRightInd w:val="0"/>
        <w:snapToGrid w:val="0"/>
        <w:ind w:firstLine="624"/>
        <w:rPr>
          <w:rStyle w:val="12"/>
          <w:rFonts w:ascii="仿宋_GB2312" w:eastAsia="仿宋_GB2312"/>
          <w:bCs w:val="0"/>
          <w:color w:val="auto"/>
          <w:spacing w:val="-4"/>
          <w:sz w:val="32"/>
          <w:szCs w:val="32"/>
        </w:rPr>
      </w:pPr>
      <w:r>
        <w:rPr>
          <w:rStyle w:val="12"/>
          <w:rFonts w:hint="eastAsia" w:ascii="仿宋_GB2312" w:eastAsia="仿宋_GB2312"/>
          <w:b w:val="0"/>
          <w:color w:val="auto"/>
          <w:spacing w:val="-4"/>
          <w:sz w:val="32"/>
          <w:szCs w:val="32"/>
        </w:rPr>
        <w:t>部门</w:t>
      </w:r>
      <w:r>
        <w:rPr>
          <w:rFonts w:hint="eastAsia" w:ascii="仿宋_GB2312" w:eastAsia="仿宋_GB2312"/>
          <w:bCs/>
          <w:color w:val="auto"/>
          <w:spacing w:val="-4"/>
          <w:sz w:val="32"/>
          <w:szCs w:val="32"/>
        </w:rPr>
        <w:t>整体支出</w:t>
      </w:r>
      <w:r>
        <w:rPr>
          <w:rFonts w:hint="eastAsia" w:ascii="仿宋_GB2312" w:eastAsia="仿宋_GB2312"/>
          <w:bCs/>
          <w:color w:val="auto"/>
          <w:spacing w:val="-4"/>
          <w:sz w:val="32"/>
          <w:szCs w:val="32"/>
          <w:lang w:val="en-US" w:eastAsia="zh-CN"/>
        </w:rPr>
        <w:t>根据实际情况安排，在使用过程中加快支付进度，遇到调整预算与个上级单位部门协调沟通，确保支出及时率及支付进度。</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bookmarkStart w:id="0" w:name="_GoBack"/>
      <w:bookmarkEnd w:id="0"/>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61"/>
        <w:gridCol w:w="793"/>
        <w:gridCol w:w="944"/>
        <w:gridCol w:w="1250"/>
        <w:gridCol w:w="876"/>
        <w:gridCol w:w="876"/>
        <w:gridCol w:w="603"/>
        <w:gridCol w:w="1096"/>
        <w:gridCol w:w="876"/>
        <w:gridCol w:w="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6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昌吉市乡镇财政管理局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用于发放单位在职人员的工资、社保、公积金等</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165.56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165.56</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165.56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165.56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保障公务用车正常运行，人员办公经费等</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16.88</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16.88</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96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182.44</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182.44</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182.44</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182.44</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本项目于2022年1月1日起实施，12月31日结束，预计投入资金182.43万元，用于发放10人的工资，1辆公务用车的日常维护，以更好完成全市乡镇财政管理职能。认真完成涉农补贴发放，组织和管理10个乡镇年度财政预算、决算的编制，管理和监督乡镇各项财政收支；为昌吉市乡镇发展提供坚强有力的服务和保障，不断提高群众满意度及职工满意度。            </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本项目已使用资金182.44万元，发放10人的工资，1辆公务用车的日常维护，以更好完成全市乡镇财政管理职能。认真完成涉农补贴发放，组织和管理10个乡镇年度财政预算、决算的编制，管理和监督乡镇各项财政收支；为昌吉市乡镇发展提供坚强有力的服务和保障，不断提高群众满意度及职工满意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完成预结算汇总的乡镇数量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=10.00个</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财政涉农惠民补贴资金管理覆盖面</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系统补贴项目数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&gt;=19.00个</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&gt;=19个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涉农资金发放覆盖率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乡镇预决算工作完成率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整体支出开始时间</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2022年1月1日</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整体支出结束时间</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&lt;=165.56万元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&lt;=165.56万元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人均运转经费数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&lt;=1.69万元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&lt;=1.69万元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维护社会安定稳定，促进昌吉市经济社会健康发展</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有效维护</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更好的服务各乡镇人民群众，推动各乡镇的发展</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持续推动</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收益对象满意度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600000000000000"/>
    <w:charset w:val="86"/>
    <w:family w:val="auto"/>
    <w:pitch w:val="default"/>
    <w:sig w:usb0="00000000" w:usb1="00000000" w:usb2="00000012" w:usb3="00000000" w:csb0="00160001" w:csb1="1203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015765"/>
    <w:rsid w:val="0D2C01B6"/>
    <w:rsid w:val="0D5973A7"/>
    <w:rsid w:val="0D703DA4"/>
    <w:rsid w:val="0D706869"/>
    <w:rsid w:val="0D7C06D5"/>
    <w:rsid w:val="0D7C2CF2"/>
    <w:rsid w:val="0DD643ED"/>
    <w:rsid w:val="0DF75868"/>
    <w:rsid w:val="0E1400AD"/>
    <w:rsid w:val="0E343D9E"/>
    <w:rsid w:val="0E80039D"/>
    <w:rsid w:val="0E8D07A9"/>
    <w:rsid w:val="0E9E33B0"/>
    <w:rsid w:val="0EF905AA"/>
    <w:rsid w:val="0F140AC0"/>
    <w:rsid w:val="0F14215B"/>
    <w:rsid w:val="0F3C74C6"/>
    <w:rsid w:val="0FE06440"/>
    <w:rsid w:val="1049193F"/>
    <w:rsid w:val="10566744"/>
    <w:rsid w:val="10625CF9"/>
    <w:rsid w:val="10950DBA"/>
    <w:rsid w:val="10B52A92"/>
    <w:rsid w:val="10BE10ED"/>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3FC7828"/>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D13C3F"/>
    <w:rsid w:val="19FC0A98"/>
    <w:rsid w:val="1A0D43A0"/>
    <w:rsid w:val="1A50150C"/>
    <w:rsid w:val="1AD35795"/>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644DCB"/>
    <w:rsid w:val="1DEB6607"/>
    <w:rsid w:val="1DED007E"/>
    <w:rsid w:val="1DFB6F14"/>
    <w:rsid w:val="1E47773B"/>
    <w:rsid w:val="1E4B6E86"/>
    <w:rsid w:val="1F0539AE"/>
    <w:rsid w:val="1F304758"/>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72277A"/>
    <w:rsid w:val="258917A9"/>
    <w:rsid w:val="25A82154"/>
    <w:rsid w:val="25FC1269"/>
    <w:rsid w:val="2608337D"/>
    <w:rsid w:val="260C06F0"/>
    <w:rsid w:val="2620433E"/>
    <w:rsid w:val="269D5137"/>
    <w:rsid w:val="26BD3A0A"/>
    <w:rsid w:val="26BE70D6"/>
    <w:rsid w:val="26C301BC"/>
    <w:rsid w:val="26D424C1"/>
    <w:rsid w:val="26E31456"/>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5C3740"/>
    <w:rsid w:val="2A7B46E1"/>
    <w:rsid w:val="2A886FA9"/>
    <w:rsid w:val="2AC64A60"/>
    <w:rsid w:val="2B795EE5"/>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0F55CF7"/>
    <w:rsid w:val="31121DE6"/>
    <w:rsid w:val="31793EC1"/>
    <w:rsid w:val="31F242FB"/>
    <w:rsid w:val="31F82192"/>
    <w:rsid w:val="32025E0E"/>
    <w:rsid w:val="32031EA3"/>
    <w:rsid w:val="321C166B"/>
    <w:rsid w:val="32805979"/>
    <w:rsid w:val="32957AA8"/>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9A6B00"/>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823D5C"/>
    <w:rsid w:val="4A74195A"/>
    <w:rsid w:val="4A7A3D76"/>
    <w:rsid w:val="4A8B6AB4"/>
    <w:rsid w:val="4A9F3033"/>
    <w:rsid w:val="4AAE190E"/>
    <w:rsid w:val="4AE70AB8"/>
    <w:rsid w:val="4B7E595B"/>
    <w:rsid w:val="4B8A1D1C"/>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7F321A"/>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2E44D2"/>
    <w:rsid w:val="5D6A538C"/>
    <w:rsid w:val="5D8627AD"/>
    <w:rsid w:val="5DAA0B93"/>
    <w:rsid w:val="5DCE0E18"/>
    <w:rsid w:val="5E0A0A9B"/>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FB42AB"/>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B45BBF"/>
    <w:rsid w:val="7ACB6E73"/>
    <w:rsid w:val="7B033D7C"/>
    <w:rsid w:val="7B233171"/>
    <w:rsid w:val="7B3943CF"/>
    <w:rsid w:val="7B634CE1"/>
    <w:rsid w:val="7B9C2512"/>
    <w:rsid w:val="7BFB110F"/>
    <w:rsid w:val="7C09409A"/>
    <w:rsid w:val="7C287D7E"/>
    <w:rsid w:val="7C3825FA"/>
    <w:rsid w:val="7D4B33BB"/>
    <w:rsid w:val="7D7C4CEA"/>
    <w:rsid w:val="7D866779"/>
    <w:rsid w:val="7D9F3F02"/>
    <w:rsid w:val="7DCB394B"/>
    <w:rsid w:val="7E5F0EE8"/>
    <w:rsid w:val="7E727357"/>
    <w:rsid w:val="7E7506DB"/>
    <w:rsid w:val="7E851F96"/>
    <w:rsid w:val="7EAB0E13"/>
    <w:rsid w:val="7EB2667C"/>
    <w:rsid w:val="7EC854AC"/>
    <w:rsid w:val="7EF90802"/>
    <w:rsid w:val="7F191C23"/>
    <w:rsid w:val="7F631961"/>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uiPriority w:val="1"/>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14</Pages>
  <Words>5088</Words>
  <Characters>5680</Characters>
  <Lines>47</Lines>
  <Paragraphs>13</Paragraphs>
  <TotalTime>2</TotalTime>
  <ScaleCrop>false</ScaleCrop>
  <LinksUpToDate>false</LinksUpToDate>
  <CharactersWithSpaces>5799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2023-02-16T11:29:08Z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2290AA60AFE44FDDBA8C490B49E50D51</vt:lpwstr>
  </property>
</Properties>
</file>