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ind w:firstLine="560"/>
        <w:rPr>
          <w:rFonts w:ascii="华文中宋" w:hAnsi="华文中宋" w:eastAsia="华文中宋" w:cs="宋体"/>
          <w:b/>
          <w:color w:val="auto"/>
          <w:kern w:val="0"/>
          <w:sz w:val="52"/>
          <w:szCs w:val="52"/>
          <w:highlight w:val="none"/>
        </w:rPr>
      </w:pPr>
      <w:r>
        <w:rPr>
          <w:rFonts w:hint="eastAsia"/>
          <w:color w:val="auto"/>
          <w:highlight w:val="none"/>
        </w:rPr>
        <w:br w:type="textWrapping"/>
      </w:r>
    </w:p>
    <w:p>
      <w:pPr>
        <w:ind w:firstLine="1041"/>
        <w:rPr>
          <w:rFonts w:ascii="华文中宋" w:hAnsi="华文中宋" w:eastAsia="华文中宋" w:cs="宋体"/>
          <w:b/>
          <w:color w:val="auto"/>
          <w:kern w:val="0"/>
          <w:sz w:val="52"/>
          <w:szCs w:val="52"/>
          <w:highlight w:val="none"/>
        </w:rPr>
      </w:pPr>
    </w:p>
    <w:p>
      <w:pPr>
        <w:ind w:firstLine="0" w:firstLineChars="0"/>
        <w:jc w:val="center"/>
        <w:rPr>
          <w:rFonts w:ascii="华文中宋" w:hAnsi="华文中宋" w:eastAsia="华文中宋" w:cs="宋体"/>
          <w:b/>
          <w:color w:val="auto"/>
          <w:kern w:val="0"/>
          <w:sz w:val="52"/>
          <w:szCs w:val="52"/>
          <w:highlight w:val="none"/>
        </w:rPr>
      </w:pPr>
    </w:p>
    <w:p>
      <w:pPr>
        <w:spacing w:line="600" w:lineRule="exact"/>
        <w:ind w:firstLine="0" w:firstLineChars="0"/>
        <w:jc w:val="center"/>
        <w:rPr>
          <w:rFonts w:hint="eastAsia" w:ascii="方正小标宋_GBK" w:hAnsi="华文中宋" w:eastAsia="方正小标宋_GBK" w:cs="宋体"/>
          <w:color w:val="auto"/>
          <w:kern w:val="0"/>
          <w:sz w:val="48"/>
          <w:szCs w:val="48"/>
          <w:highlight w:val="none"/>
        </w:rPr>
      </w:pPr>
      <w:r>
        <w:rPr>
          <w:rFonts w:hint="eastAsia" w:ascii="方正小标宋_GBK" w:hAnsi="华文中宋" w:eastAsia="方正小标宋_GBK" w:cs="宋体"/>
          <w:color w:val="auto"/>
          <w:kern w:val="0"/>
          <w:sz w:val="48"/>
          <w:szCs w:val="48"/>
          <w:highlight w:val="none"/>
        </w:rPr>
        <w:t>昌吉市滨湖镇卫生院</w:t>
      </w:r>
      <w:bookmarkStart w:id="0" w:name="fi_xm_orgname"/>
      <w:bookmarkEnd w:id="0"/>
    </w:p>
    <w:p>
      <w:pPr>
        <w:spacing w:line="600" w:lineRule="exact"/>
        <w:ind w:firstLine="0" w:firstLineChars="0"/>
        <w:jc w:val="center"/>
        <w:rPr>
          <w:rFonts w:ascii="方正小标宋_GBK" w:hAnsi="华文中宋" w:eastAsia="方正小标宋_GBK" w:cs="宋体"/>
          <w:color w:val="auto"/>
          <w:kern w:val="0"/>
          <w:sz w:val="48"/>
          <w:szCs w:val="48"/>
          <w:highlight w:val="none"/>
        </w:rPr>
      </w:pPr>
      <w:r>
        <w:rPr>
          <w:rFonts w:hint="eastAsia" w:ascii="方正小标宋_GBK" w:hAnsi="华文中宋" w:eastAsia="方正小标宋_GBK" w:cs="宋体"/>
          <w:color w:val="auto"/>
          <w:kern w:val="0"/>
          <w:sz w:val="48"/>
          <w:szCs w:val="48"/>
          <w:highlight w:val="none"/>
        </w:rPr>
        <w:t>部门单位整体支出绩效</w:t>
      </w:r>
    </w:p>
    <w:p>
      <w:pPr>
        <w:spacing w:line="600" w:lineRule="exact"/>
        <w:ind w:firstLine="0" w:firstLineChars="0"/>
        <w:jc w:val="center"/>
        <w:rPr>
          <w:rFonts w:ascii="方正小标宋_GBK" w:hAnsi="华文中宋" w:eastAsia="方正小标宋_GBK" w:cs="宋体"/>
          <w:color w:val="auto"/>
          <w:kern w:val="0"/>
          <w:sz w:val="48"/>
          <w:szCs w:val="48"/>
          <w:highlight w:val="none"/>
        </w:rPr>
      </w:pPr>
      <w:r>
        <w:rPr>
          <w:rFonts w:hint="eastAsia" w:ascii="方正小标宋_GBK" w:hAnsi="华文中宋" w:eastAsia="方正小标宋_GBK" w:cs="宋体"/>
          <w:color w:val="auto"/>
          <w:kern w:val="0"/>
          <w:sz w:val="48"/>
          <w:szCs w:val="48"/>
          <w:highlight w:val="none"/>
        </w:rPr>
        <w:t>自评报告</w:t>
      </w:r>
    </w:p>
    <w:p>
      <w:pPr>
        <w:ind w:firstLine="0" w:firstLineChars="0"/>
        <w:jc w:val="center"/>
        <w:rPr>
          <w:rFonts w:ascii="华文中宋" w:hAnsi="华文中宋" w:eastAsia="华文中宋" w:cs="宋体"/>
          <w:b/>
          <w:color w:val="auto"/>
          <w:kern w:val="0"/>
          <w:sz w:val="52"/>
          <w:szCs w:val="52"/>
          <w:highlight w:val="none"/>
        </w:rPr>
      </w:pPr>
    </w:p>
    <w:p>
      <w:pPr>
        <w:ind w:firstLine="0" w:firstLineChars="0"/>
        <w:jc w:val="center"/>
        <w:rPr>
          <w:rFonts w:ascii="仿宋_GB2312" w:hAnsi="宋体" w:eastAsia="仿宋_GB2312" w:cs="宋体"/>
          <w:color w:val="auto"/>
          <w:kern w:val="0"/>
          <w:sz w:val="36"/>
          <w:szCs w:val="36"/>
          <w:highlight w:val="none"/>
        </w:rPr>
      </w:pPr>
      <w:r>
        <w:rPr>
          <w:rFonts w:hint="eastAsia" w:ascii="仿宋_GB2312" w:hAnsi="宋体" w:eastAsia="仿宋_GB2312" w:cs="宋体"/>
          <w:color w:val="auto"/>
          <w:kern w:val="0"/>
          <w:sz w:val="36"/>
          <w:szCs w:val="36"/>
          <w:highlight w:val="none"/>
        </w:rPr>
        <w:t>（</w:t>
      </w:r>
      <w:r>
        <w:rPr>
          <w:rFonts w:hint="eastAsia" w:ascii="仿宋_GB2312" w:hAnsi="宋体" w:eastAsia="仿宋_GB2312" w:cs="宋体"/>
          <w:color w:val="auto"/>
          <w:kern w:val="0"/>
          <w:sz w:val="36"/>
          <w:szCs w:val="36"/>
          <w:highlight w:val="none"/>
          <w:lang w:eastAsia="zh-CN"/>
        </w:rPr>
        <w:t>2022</w:t>
      </w:r>
      <w:r>
        <w:rPr>
          <w:rFonts w:hint="eastAsia" w:ascii="仿宋_GB2312" w:hAnsi="宋体" w:eastAsia="仿宋_GB2312" w:cs="宋体"/>
          <w:color w:val="auto"/>
          <w:kern w:val="0"/>
          <w:sz w:val="36"/>
          <w:szCs w:val="36"/>
          <w:highlight w:val="none"/>
        </w:rPr>
        <w:t>年度</w:t>
      </w:r>
      <w:r>
        <w:rPr>
          <w:rFonts w:hint="eastAsia" w:ascii="仿宋_GB2312" w:hAnsi="Malgun Gothic Semilight" w:eastAsia="仿宋_GB2312" w:cs="Malgun Gothic Semilight"/>
          <w:color w:val="auto"/>
          <w:kern w:val="0"/>
          <w:sz w:val="36"/>
          <w:szCs w:val="36"/>
          <w:highlight w:val="none"/>
        </w:rPr>
        <w:t>）</w:t>
      </w:r>
    </w:p>
    <w:p>
      <w:pPr>
        <w:ind w:firstLine="600"/>
        <w:jc w:val="center"/>
        <w:rPr>
          <w:rFonts w:hAnsi="宋体" w:eastAsia="仿宋_GB2312" w:cs="宋体"/>
          <w:color w:val="auto"/>
          <w:kern w:val="0"/>
          <w:sz w:val="30"/>
          <w:szCs w:val="30"/>
          <w:highlight w:val="none"/>
        </w:rPr>
      </w:pPr>
    </w:p>
    <w:p>
      <w:pPr>
        <w:spacing w:line="540" w:lineRule="exact"/>
        <w:ind w:firstLine="600"/>
        <w:jc w:val="center"/>
        <w:rPr>
          <w:rFonts w:hAnsi="宋体" w:eastAsia="仿宋_GB2312" w:cs="宋体"/>
          <w:color w:val="auto"/>
          <w:kern w:val="0"/>
          <w:sz w:val="30"/>
          <w:szCs w:val="30"/>
          <w:highlight w:val="none"/>
        </w:rPr>
      </w:pPr>
    </w:p>
    <w:p>
      <w:pPr>
        <w:spacing w:line="540" w:lineRule="exact"/>
        <w:ind w:firstLine="720"/>
        <w:jc w:val="center"/>
        <w:rPr>
          <w:rFonts w:ascii="方正小标宋_GBK" w:hAnsi="宋体" w:eastAsia="方正小标宋_GBK" w:cs="宋体"/>
          <w:color w:val="auto"/>
          <w:kern w:val="0"/>
          <w:sz w:val="36"/>
          <w:szCs w:val="36"/>
          <w:highlight w:val="none"/>
        </w:rPr>
      </w:pPr>
    </w:p>
    <w:p>
      <w:pPr>
        <w:spacing w:line="540" w:lineRule="exact"/>
        <w:ind w:firstLine="720"/>
        <w:jc w:val="center"/>
        <w:rPr>
          <w:rFonts w:ascii="方正小标宋_GBK" w:hAnsi="宋体" w:eastAsia="方正小标宋_GBK" w:cs="宋体"/>
          <w:color w:val="auto"/>
          <w:kern w:val="0"/>
          <w:sz w:val="36"/>
          <w:szCs w:val="36"/>
          <w:highlight w:val="none"/>
        </w:rPr>
      </w:pPr>
    </w:p>
    <w:p>
      <w:pPr>
        <w:spacing w:line="540" w:lineRule="exact"/>
        <w:ind w:firstLine="600"/>
        <w:jc w:val="center"/>
        <w:rPr>
          <w:rFonts w:hAnsi="宋体" w:eastAsia="仿宋_GB2312" w:cs="宋体"/>
          <w:color w:val="auto"/>
          <w:kern w:val="0"/>
          <w:sz w:val="30"/>
          <w:szCs w:val="30"/>
          <w:highlight w:val="none"/>
        </w:rPr>
      </w:pPr>
    </w:p>
    <w:p>
      <w:pPr>
        <w:spacing w:line="540" w:lineRule="exact"/>
        <w:ind w:firstLine="600"/>
        <w:jc w:val="center"/>
        <w:rPr>
          <w:rFonts w:hAnsi="宋体" w:eastAsia="仿宋_GB2312" w:cs="宋体"/>
          <w:color w:val="auto"/>
          <w:kern w:val="0"/>
          <w:sz w:val="30"/>
          <w:szCs w:val="30"/>
          <w:highlight w:val="none"/>
        </w:rPr>
      </w:pPr>
    </w:p>
    <w:p>
      <w:pPr>
        <w:spacing w:line="540" w:lineRule="exact"/>
        <w:ind w:firstLine="600"/>
        <w:rPr>
          <w:rFonts w:hAnsi="宋体" w:eastAsia="仿宋_GB2312" w:cs="宋体"/>
          <w:color w:val="auto"/>
          <w:kern w:val="0"/>
          <w:sz w:val="30"/>
          <w:szCs w:val="30"/>
          <w:highlight w:val="none"/>
        </w:rPr>
      </w:pPr>
    </w:p>
    <w:p>
      <w:pPr>
        <w:spacing w:line="700" w:lineRule="exact"/>
        <w:ind w:firstLine="720"/>
        <w:jc w:val="left"/>
        <w:rPr>
          <w:rFonts w:hAnsi="宋体" w:eastAsia="仿宋_GB2312" w:cs="宋体"/>
          <w:color w:val="auto"/>
          <w:kern w:val="0"/>
          <w:sz w:val="36"/>
          <w:szCs w:val="36"/>
          <w:highlight w:val="none"/>
        </w:rPr>
      </w:pPr>
    </w:p>
    <w:p>
      <w:pPr>
        <w:spacing w:line="600" w:lineRule="exact"/>
        <w:ind w:firstLine="720"/>
        <w:rPr>
          <w:rFonts w:hint="eastAsia" w:ascii="黑体" w:hAnsi="黑体" w:eastAsia="黑体" w:cs="黑体"/>
          <w:bCs/>
          <w:color w:val="auto"/>
          <w:sz w:val="36"/>
          <w:szCs w:val="36"/>
          <w:highlight w:val="none"/>
        </w:rPr>
      </w:pPr>
      <w:r>
        <w:rPr>
          <w:rFonts w:hint="eastAsia" w:ascii="黑体" w:hAnsi="黑体" w:eastAsia="黑体" w:cs="黑体"/>
          <w:bCs/>
          <w:color w:val="auto"/>
          <w:sz w:val="36"/>
          <w:szCs w:val="36"/>
          <w:highlight w:val="none"/>
        </w:rPr>
        <w:t>部门单位名称（公章）：昌吉市滨湖镇卫生院</w:t>
      </w:r>
    </w:p>
    <w:p>
      <w:pPr>
        <w:spacing w:line="600" w:lineRule="exact"/>
        <w:ind w:firstLine="720"/>
        <w:rPr>
          <w:rFonts w:ascii="黑体" w:hAnsi="黑体" w:eastAsia="黑体" w:cs="黑体"/>
          <w:bCs/>
          <w:color w:val="auto"/>
          <w:sz w:val="36"/>
          <w:szCs w:val="36"/>
          <w:highlight w:val="none"/>
        </w:rPr>
      </w:pPr>
      <w:r>
        <w:rPr>
          <w:rFonts w:hint="eastAsia" w:ascii="黑体" w:hAnsi="黑体" w:eastAsia="黑体" w:cs="黑体"/>
          <w:bCs/>
          <w:color w:val="auto"/>
          <w:sz w:val="36"/>
          <w:szCs w:val="36"/>
          <w:highlight w:val="none"/>
        </w:rPr>
        <w:t xml:space="preserve">填报时间：  </w:t>
      </w:r>
      <w:r>
        <w:rPr>
          <w:rFonts w:hint="eastAsia" w:ascii="黑体" w:hAnsi="黑体" w:eastAsia="黑体" w:cs="黑体"/>
          <w:bCs/>
          <w:color w:val="auto"/>
          <w:sz w:val="36"/>
          <w:szCs w:val="36"/>
          <w:highlight w:val="none"/>
          <w:lang w:val="en-US" w:eastAsia="zh-CN"/>
        </w:rPr>
        <w:t>2022</w:t>
      </w:r>
      <w:r>
        <w:rPr>
          <w:rFonts w:hint="eastAsia" w:ascii="黑体" w:hAnsi="黑体" w:eastAsia="黑体" w:cs="黑体"/>
          <w:bCs/>
          <w:color w:val="auto"/>
          <w:sz w:val="36"/>
          <w:szCs w:val="36"/>
          <w:highlight w:val="none"/>
        </w:rPr>
        <w:t>年</w:t>
      </w:r>
      <w:r>
        <w:rPr>
          <w:rFonts w:hint="eastAsia" w:ascii="黑体" w:hAnsi="黑体" w:eastAsia="黑体" w:cs="黑体"/>
          <w:bCs/>
          <w:color w:val="auto"/>
          <w:sz w:val="36"/>
          <w:szCs w:val="36"/>
          <w:highlight w:val="none"/>
          <w:lang w:val="en-US" w:eastAsia="zh-CN"/>
        </w:rPr>
        <w:t>2</w:t>
      </w:r>
      <w:r>
        <w:rPr>
          <w:rFonts w:hint="eastAsia" w:ascii="黑体" w:hAnsi="黑体" w:eastAsia="黑体" w:cs="黑体"/>
          <w:bCs/>
          <w:color w:val="auto"/>
          <w:sz w:val="36"/>
          <w:szCs w:val="36"/>
          <w:highlight w:val="none"/>
        </w:rPr>
        <w:t>月</w:t>
      </w:r>
      <w:r>
        <w:rPr>
          <w:rFonts w:hint="eastAsia" w:ascii="黑体" w:hAnsi="黑体" w:eastAsia="黑体" w:cs="黑体"/>
          <w:bCs/>
          <w:color w:val="auto"/>
          <w:sz w:val="36"/>
          <w:szCs w:val="36"/>
          <w:highlight w:val="none"/>
          <w:lang w:val="en-US" w:eastAsia="zh-CN"/>
        </w:rPr>
        <w:t>20</w:t>
      </w:r>
      <w:r>
        <w:rPr>
          <w:rFonts w:hint="eastAsia" w:ascii="黑体" w:hAnsi="黑体" w:eastAsia="黑体" w:cs="黑体"/>
          <w:bCs/>
          <w:color w:val="auto"/>
          <w:sz w:val="36"/>
          <w:szCs w:val="36"/>
          <w:highlight w:val="none"/>
        </w:rPr>
        <w:t>日</w:t>
      </w:r>
    </w:p>
    <w:p>
      <w:pPr>
        <w:spacing w:line="700" w:lineRule="exact"/>
        <w:ind w:firstLine="849" w:firstLineChars="236"/>
        <w:jc w:val="left"/>
        <w:rPr>
          <w:rFonts w:hAnsi="宋体" w:eastAsia="仿宋_GB2312" w:cs="宋体"/>
          <w:color w:val="auto"/>
          <w:kern w:val="0"/>
          <w:sz w:val="36"/>
          <w:szCs w:val="36"/>
          <w:highlight w:val="none"/>
        </w:rPr>
      </w:pPr>
    </w:p>
    <w:p>
      <w:pPr>
        <w:ind w:firstLine="560"/>
        <w:rPr>
          <w:color w:val="auto"/>
          <w:highlight w:val="none"/>
        </w:rPr>
      </w:pPr>
    </w:p>
    <w:p>
      <w:pPr>
        <w:ind w:firstLine="560"/>
        <w:rPr>
          <w:color w:val="auto"/>
          <w:highlight w:val="none"/>
        </w:rPr>
      </w:pPr>
      <w:r>
        <w:rPr>
          <w:rFonts w:hint="eastAsia"/>
          <w:color w:val="auto"/>
          <w:highlight w:val="none"/>
        </w:rPr>
        <w:br w:type="page"/>
      </w:r>
    </w:p>
    <w:p>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一、基本概况</w:t>
      </w:r>
    </w:p>
    <w:p>
      <w:pPr>
        <w:pStyle w:val="2"/>
        <w:ind w:firstLine="640"/>
        <w:rPr>
          <w:rFonts w:ascii="楷体_GB2312" w:eastAsia="楷体_GB2312"/>
          <w:color w:val="auto"/>
          <w:szCs w:val="32"/>
          <w:highlight w:val="none"/>
        </w:rPr>
      </w:pPr>
      <w:r>
        <w:rPr>
          <w:rFonts w:hint="eastAsia" w:ascii="楷体_GB2312" w:eastAsia="楷体_GB2312"/>
          <w:color w:val="auto"/>
          <w:szCs w:val="32"/>
          <w:highlight w:val="none"/>
        </w:rPr>
        <w:t>（一）单位基本情况</w:t>
      </w:r>
    </w:p>
    <w:p>
      <w:p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1.机构设置及人员情况</w:t>
      </w:r>
    </w:p>
    <w:p>
      <w:pPr>
        <w:snapToGrid w:val="0"/>
        <w:spacing w:line="560" w:lineRule="exact"/>
        <w:ind w:firstLine="640" w:firstLineChars="200"/>
        <w:rPr>
          <w:rFonts w:hint="eastAsia"/>
          <w:color w:val="auto"/>
          <w:highlight w:val="none"/>
        </w:rPr>
      </w:pPr>
      <w:r>
        <w:rPr>
          <w:rFonts w:hint="eastAsia" w:ascii="仿宋_GB2312" w:hAnsi="宋体" w:eastAsia="仿宋_GB2312"/>
          <w:color w:val="auto"/>
          <w:sz w:val="32"/>
          <w:szCs w:val="32"/>
          <w:highlight w:val="none"/>
        </w:rPr>
        <w:t>昌吉市滨湖镇卫生院始建于1956年，位于昌吉市以北8公里处;占地面积约11841平方米，承担全镇5621人的基本医疗及公共卫生服务。医院设有编制20人,目前在编19人,在岗17人，规培1人，借调1人；聘用：</w:t>
      </w:r>
      <w:r>
        <w:rPr>
          <w:rFonts w:hint="eastAsia" w:ascii="仿宋_GB2312" w:hAnsi="宋体" w:eastAsia="仿宋_GB2312"/>
          <w:color w:val="auto"/>
          <w:sz w:val="32"/>
          <w:szCs w:val="32"/>
          <w:highlight w:val="none"/>
          <w:lang w:val="en-US" w:eastAsia="zh-CN"/>
        </w:rPr>
        <w:t>10</w:t>
      </w:r>
      <w:r>
        <w:rPr>
          <w:rFonts w:hint="eastAsia" w:ascii="仿宋_GB2312" w:hAnsi="宋体" w:eastAsia="仿宋_GB2312"/>
          <w:color w:val="auto"/>
          <w:sz w:val="32"/>
          <w:szCs w:val="32"/>
          <w:highlight w:val="none"/>
        </w:rPr>
        <w:t>人，其中专业技术岗</w:t>
      </w:r>
      <w:r>
        <w:rPr>
          <w:rFonts w:hint="eastAsia" w:ascii="仿宋_GB2312" w:hAnsi="宋体" w:eastAsia="仿宋_GB2312"/>
          <w:color w:val="auto"/>
          <w:sz w:val="32"/>
          <w:szCs w:val="32"/>
          <w:highlight w:val="none"/>
          <w:lang w:val="en-US" w:eastAsia="zh-CN"/>
        </w:rPr>
        <w:t>7</w:t>
      </w:r>
      <w:r>
        <w:rPr>
          <w:rFonts w:hint="eastAsia" w:ascii="仿宋_GB2312" w:hAnsi="宋体" w:eastAsia="仿宋_GB2312"/>
          <w:color w:val="auto"/>
          <w:sz w:val="32"/>
          <w:szCs w:val="32"/>
          <w:highlight w:val="none"/>
        </w:rPr>
        <w:t>人，后勤岗2人，保安</w:t>
      </w:r>
      <w:r>
        <w:rPr>
          <w:rFonts w:hint="eastAsia" w:ascii="仿宋_GB2312" w:hAnsi="宋体" w:eastAsia="仿宋_GB2312"/>
          <w:color w:val="auto"/>
          <w:sz w:val="32"/>
          <w:szCs w:val="32"/>
          <w:highlight w:val="none"/>
          <w:lang w:val="en-US" w:eastAsia="zh-CN"/>
        </w:rPr>
        <w:t>1</w:t>
      </w:r>
      <w:r>
        <w:rPr>
          <w:rFonts w:hint="eastAsia" w:ascii="仿宋_GB2312" w:hAnsi="宋体" w:eastAsia="仿宋_GB2312"/>
          <w:color w:val="auto"/>
          <w:sz w:val="32"/>
          <w:szCs w:val="32"/>
          <w:highlight w:val="none"/>
        </w:rPr>
        <w:t>人。医院设有内科、外科、中医科，辅助科室开设有检验科、B超室、心电图室；职能科室包括院办、财务科、公共卫生科、医务部、护理部等。辖区内村卫生室6个，村卫生室建筑面积660平方米，村医</w:t>
      </w:r>
      <w:r>
        <w:rPr>
          <w:rFonts w:hint="eastAsia" w:ascii="仿宋_GB2312" w:hAnsi="宋体" w:eastAsia="仿宋_GB2312"/>
          <w:color w:val="auto"/>
          <w:sz w:val="32"/>
          <w:szCs w:val="32"/>
          <w:highlight w:val="none"/>
          <w:lang w:val="en-US" w:eastAsia="zh-CN"/>
        </w:rPr>
        <w:t>5</w:t>
      </w:r>
      <w:r>
        <w:rPr>
          <w:rFonts w:hint="eastAsia" w:ascii="仿宋_GB2312" w:hAnsi="宋体" w:eastAsia="仿宋_GB2312"/>
          <w:color w:val="auto"/>
          <w:sz w:val="32"/>
          <w:szCs w:val="32"/>
          <w:highlight w:val="none"/>
        </w:rPr>
        <w:t>名。</w:t>
      </w:r>
    </w:p>
    <w:p>
      <w:pPr>
        <w:numPr>
          <w:ilvl w:val="0"/>
          <w:numId w:val="1"/>
        </w:num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主要职能</w:t>
      </w:r>
    </w:p>
    <w:p>
      <w:pPr>
        <w:spacing w:line="560" w:lineRule="exact"/>
        <w:ind w:firstLine="640"/>
        <w:jc w:val="left"/>
        <w:rPr>
          <w:rFonts w:hint="eastAsia" w:ascii="仿宋_GB2312" w:hAnsi="宋体" w:eastAsia="仿宋_GB2312"/>
          <w:color w:val="auto"/>
          <w:sz w:val="32"/>
          <w:szCs w:val="32"/>
          <w:highlight w:val="none"/>
        </w:rPr>
      </w:pPr>
      <w:r>
        <w:rPr>
          <w:rFonts w:hint="eastAsia" w:ascii="仿宋_GB2312" w:hAnsi="宋体" w:eastAsia="仿宋_GB2312"/>
          <w:color w:val="auto"/>
          <w:sz w:val="32"/>
          <w:szCs w:val="32"/>
          <w:highlight w:val="none"/>
        </w:rPr>
        <w:t>负责本乡镇的基本医疗服务；负责对本乡镇辖区内村级卫生组织和乡村医生的业务指导和培训；负责承办政府卫生行政部门委托的相关业务或事项;负责上级卫生行政部门下达的其他工作；贯彻执行党的卫生工作方针政策和国家卫生法律、法规，以公共卫生服务为主，综合提供预防、保健和基本医疗等服务。受上级卫生行政部门委托承担辖区内预防保舰基本医疗、健康教育、康复和计划生育技术等工作；加强农村疾病预防控制，做好传染病、地方病防治和疫情等农村突发性公共卫生事件报告工作，重点控制严重危害农民身体健康的传染病、地方病、职业病和寄生虫病等重大疾病；认真执行儿童计划免疫。积极开展慢性非传染性疾病的防治工作；做好农村孕产妇和儿童保健工作，提高住院分娩率，改善儿童营养状况；积极做好城乡居民医疗的服务、计划生育技术指导、康复等工作；开展爱国卫生运动，普及疾病预防和卫生保健知识，指导群众改善居住、饮食、饮水和环境卫生条件，引导和帮助农民建立良好的卫生习惯。</w:t>
      </w:r>
    </w:p>
    <w:p>
      <w:pPr>
        <w:numPr>
          <w:ilvl w:val="0"/>
          <w:numId w:val="1"/>
        </w:num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年度重点工作计划</w:t>
      </w:r>
    </w:p>
    <w:p>
      <w:pPr>
        <w:spacing w:line="560" w:lineRule="exact"/>
        <w:ind w:firstLine="640" w:firstLineChars="200"/>
        <w:jc w:val="left"/>
        <w:rPr>
          <w:rFonts w:hint="eastAsia" w:ascii="仿宋_GB2312" w:hAnsi="宋体" w:eastAsia="仿宋_GB2312"/>
          <w:color w:val="auto"/>
          <w:sz w:val="32"/>
          <w:szCs w:val="32"/>
          <w:highlight w:val="none"/>
        </w:rPr>
      </w:pPr>
      <w:r>
        <w:rPr>
          <w:rFonts w:hint="eastAsia" w:ascii="仿宋_GB2312" w:hAnsi="宋体" w:eastAsia="仿宋_GB2312"/>
          <w:color w:val="auto"/>
          <w:sz w:val="32"/>
          <w:szCs w:val="32"/>
          <w:highlight w:val="none"/>
          <w:lang w:eastAsia="zh-CN"/>
        </w:rPr>
        <w:t>（</w:t>
      </w:r>
      <w:r>
        <w:rPr>
          <w:rFonts w:hint="eastAsia" w:ascii="仿宋_GB2312" w:hAnsi="宋体" w:eastAsia="仿宋_GB2312"/>
          <w:color w:val="auto"/>
          <w:sz w:val="32"/>
          <w:szCs w:val="32"/>
          <w:highlight w:val="none"/>
          <w:lang w:val="en-US" w:eastAsia="zh-CN"/>
        </w:rPr>
        <w:t>1</w:t>
      </w:r>
      <w:r>
        <w:rPr>
          <w:rFonts w:hint="eastAsia" w:ascii="仿宋_GB2312" w:hAnsi="宋体" w:eastAsia="仿宋_GB2312"/>
          <w:color w:val="auto"/>
          <w:sz w:val="32"/>
          <w:szCs w:val="32"/>
          <w:highlight w:val="none"/>
          <w:lang w:eastAsia="zh-CN"/>
        </w:rPr>
        <w:t>）</w:t>
      </w:r>
      <w:r>
        <w:rPr>
          <w:rFonts w:hint="eastAsia" w:ascii="仿宋_GB2312" w:hAnsi="宋体" w:eastAsia="仿宋_GB2312"/>
          <w:color w:val="auto"/>
          <w:sz w:val="32"/>
          <w:szCs w:val="32"/>
          <w:highlight w:val="none"/>
        </w:rPr>
        <w:t>卫生院负责本乡镇的基本医疗服务;</w:t>
      </w:r>
    </w:p>
    <w:p>
      <w:pPr>
        <w:spacing w:line="560" w:lineRule="exact"/>
        <w:ind w:firstLine="640" w:firstLineChars="200"/>
        <w:jc w:val="left"/>
        <w:rPr>
          <w:rFonts w:hint="eastAsia" w:ascii="仿宋_GB2312" w:hAnsi="宋体" w:eastAsia="仿宋_GB2312"/>
          <w:color w:val="auto"/>
          <w:sz w:val="32"/>
          <w:szCs w:val="32"/>
          <w:highlight w:val="none"/>
        </w:rPr>
      </w:pPr>
      <w:r>
        <w:rPr>
          <w:rFonts w:hint="eastAsia" w:ascii="仿宋_GB2312" w:hAnsi="宋体" w:eastAsia="仿宋_GB2312"/>
          <w:color w:val="auto"/>
          <w:sz w:val="32"/>
          <w:szCs w:val="32"/>
          <w:highlight w:val="none"/>
          <w:lang w:eastAsia="zh-CN"/>
        </w:rPr>
        <w:t>（</w:t>
      </w:r>
      <w:r>
        <w:rPr>
          <w:rFonts w:hint="eastAsia" w:ascii="仿宋_GB2312" w:hAnsi="宋体" w:eastAsia="仿宋_GB2312"/>
          <w:color w:val="auto"/>
          <w:sz w:val="32"/>
          <w:szCs w:val="32"/>
          <w:highlight w:val="none"/>
          <w:lang w:val="en-US" w:eastAsia="zh-CN"/>
        </w:rPr>
        <w:t>2</w:t>
      </w:r>
      <w:r>
        <w:rPr>
          <w:rFonts w:hint="eastAsia" w:ascii="仿宋_GB2312" w:hAnsi="宋体" w:eastAsia="仿宋_GB2312"/>
          <w:color w:val="auto"/>
          <w:sz w:val="32"/>
          <w:szCs w:val="32"/>
          <w:highlight w:val="none"/>
          <w:lang w:eastAsia="zh-CN"/>
        </w:rPr>
        <w:t>）</w:t>
      </w:r>
      <w:r>
        <w:rPr>
          <w:rFonts w:hint="eastAsia" w:ascii="仿宋_GB2312" w:hAnsi="宋体" w:eastAsia="仿宋_GB2312"/>
          <w:color w:val="auto"/>
          <w:sz w:val="32"/>
          <w:szCs w:val="32"/>
          <w:highlight w:val="none"/>
        </w:rPr>
        <w:t>公共卫生服务为主，综合提供预防、保健等服务。</w:t>
      </w:r>
    </w:p>
    <w:p>
      <w:pPr>
        <w:snapToGrid w:val="0"/>
        <w:spacing w:line="560" w:lineRule="exact"/>
        <w:ind w:firstLine="640" w:firstLineChars="200"/>
        <w:rPr>
          <w:rFonts w:hint="eastAsia" w:ascii="仿宋_GB2312" w:hAnsi="宋体" w:eastAsia="仿宋_GB2312"/>
          <w:color w:val="auto"/>
          <w:sz w:val="32"/>
          <w:szCs w:val="32"/>
          <w:highlight w:val="none"/>
        </w:rPr>
      </w:pPr>
      <w:r>
        <w:rPr>
          <w:rFonts w:hint="eastAsia" w:ascii="仿宋_GB2312" w:hAnsi="宋体" w:eastAsia="仿宋_GB2312"/>
          <w:color w:val="auto"/>
          <w:sz w:val="32"/>
          <w:szCs w:val="32"/>
          <w:highlight w:val="none"/>
          <w:lang w:eastAsia="zh-CN"/>
        </w:rPr>
        <w:t>（</w:t>
      </w:r>
      <w:r>
        <w:rPr>
          <w:rFonts w:hint="eastAsia" w:ascii="仿宋_GB2312" w:hAnsi="宋体" w:eastAsia="仿宋_GB2312"/>
          <w:color w:val="auto"/>
          <w:sz w:val="32"/>
          <w:szCs w:val="32"/>
          <w:highlight w:val="none"/>
          <w:lang w:val="en-US" w:eastAsia="zh-CN"/>
        </w:rPr>
        <w:t>3</w:t>
      </w:r>
      <w:r>
        <w:rPr>
          <w:rFonts w:hint="eastAsia" w:ascii="仿宋_GB2312" w:hAnsi="宋体" w:eastAsia="仿宋_GB2312"/>
          <w:color w:val="auto"/>
          <w:sz w:val="32"/>
          <w:szCs w:val="32"/>
          <w:highlight w:val="none"/>
          <w:lang w:eastAsia="zh-CN"/>
        </w:rPr>
        <w:t>）</w:t>
      </w:r>
      <w:r>
        <w:rPr>
          <w:rFonts w:hint="eastAsia" w:ascii="仿宋_GB2312" w:hAnsi="宋体" w:eastAsia="仿宋_GB2312"/>
          <w:color w:val="auto"/>
          <w:sz w:val="32"/>
          <w:szCs w:val="32"/>
          <w:highlight w:val="none"/>
        </w:rPr>
        <w:t>开展本辖区全民体检工作。</w:t>
      </w:r>
    </w:p>
    <w:p>
      <w:pPr>
        <w:pStyle w:val="2"/>
        <w:tabs>
          <w:tab w:val="left" w:pos="6195"/>
        </w:tabs>
        <w:ind w:firstLine="640"/>
        <w:rPr>
          <w:rFonts w:ascii="楷体_GB2312" w:eastAsia="楷体_GB2312"/>
          <w:color w:val="auto"/>
          <w:szCs w:val="32"/>
          <w:highlight w:val="none"/>
        </w:rPr>
      </w:pPr>
      <w:r>
        <w:rPr>
          <w:rFonts w:hint="eastAsia" w:ascii="楷体_GB2312" w:eastAsia="楷体_GB2312"/>
          <w:color w:val="auto"/>
          <w:szCs w:val="32"/>
          <w:highlight w:val="none"/>
        </w:rPr>
        <w:t>（二）单位决策机制</w:t>
      </w:r>
      <w:r>
        <w:rPr>
          <w:rFonts w:ascii="楷体_GB2312" w:eastAsia="楷体_GB2312"/>
          <w:color w:val="auto"/>
          <w:szCs w:val="32"/>
          <w:highlight w:val="none"/>
        </w:rPr>
        <w:tab/>
      </w:r>
    </w:p>
    <w:p>
      <w:pPr>
        <w:ind w:firstLine="640"/>
        <w:rPr>
          <w:rFonts w:ascii="仿宋_GB2312" w:eastAsia="仿宋_GB2312"/>
          <w:b/>
          <w:bCs/>
          <w:color w:val="auto"/>
          <w:sz w:val="32"/>
          <w:szCs w:val="32"/>
          <w:highlight w:val="none"/>
        </w:rPr>
      </w:pPr>
      <w:r>
        <w:rPr>
          <w:rFonts w:hint="eastAsia" w:ascii="仿宋_GB2312" w:hAnsi="楷体" w:eastAsia="仿宋_GB2312"/>
          <w:bCs/>
          <w:color w:val="auto"/>
          <w:spacing w:val="-4"/>
          <w:sz w:val="32"/>
          <w:szCs w:val="32"/>
          <w:highlight w:val="none"/>
        </w:rPr>
        <w:t>我单位决策机制根据行政事业单位内部控制体系建设相关要求，逐步完善《昌吉市滨湖镇卫生院议事规则》、《三重一大会议制度》，认真贯彻落实中央八项规定，进一步规范机关作风，加强机关财务管理，进一步完善了《公务接待制度》、《公车管理制度》，对单位运行、内部控制、差旅、</w:t>
      </w:r>
      <w:r>
        <w:rPr>
          <w:rFonts w:hint="eastAsia" w:ascii="仿宋_GB2312" w:hAnsi="宋体" w:eastAsia="仿宋_GB2312"/>
          <w:color w:val="auto"/>
          <w:sz w:val="32"/>
          <w:szCs w:val="32"/>
          <w:highlight w:val="none"/>
        </w:rPr>
        <w:t>培训等按政策新规定进行了修订和细化。</w:t>
      </w:r>
    </w:p>
    <w:p>
      <w:pPr>
        <w:pStyle w:val="2"/>
        <w:numPr>
          <w:ilvl w:val="0"/>
          <w:numId w:val="2"/>
        </w:numPr>
        <w:ind w:firstLine="640"/>
        <w:rPr>
          <w:rFonts w:ascii="楷体_GB2312" w:eastAsia="楷体_GB2312"/>
          <w:color w:val="auto"/>
          <w:szCs w:val="32"/>
          <w:highlight w:val="none"/>
        </w:rPr>
      </w:pPr>
      <w:r>
        <w:rPr>
          <w:rFonts w:hint="eastAsia" w:ascii="楷体_GB2312" w:eastAsia="楷体_GB2312"/>
          <w:color w:val="auto"/>
          <w:szCs w:val="32"/>
          <w:highlight w:val="none"/>
        </w:rPr>
        <w:t>单位资金分配情况</w:t>
      </w:r>
    </w:p>
    <w:p>
      <w:pPr>
        <w:widowControl/>
        <w:ind w:firstLine="640"/>
        <w:jc w:val="left"/>
        <w:rPr>
          <w:rFonts w:hint="eastAsia" w:ascii="仿宋_GB2312" w:hAnsi="楷体" w:eastAsia="仿宋_GB2312"/>
          <w:bCs/>
          <w:color w:val="auto"/>
          <w:spacing w:val="-4"/>
          <w:sz w:val="32"/>
          <w:szCs w:val="32"/>
          <w:highlight w:val="none"/>
        </w:rPr>
      </w:pPr>
      <w:r>
        <w:rPr>
          <w:rFonts w:hint="eastAsia" w:ascii="仿宋_GB2312" w:eastAsia="仿宋_GB2312" w:cs="仿宋"/>
          <w:b/>
          <w:color w:val="auto"/>
          <w:sz w:val="32"/>
          <w:szCs w:val="32"/>
          <w:highlight w:val="none"/>
        </w:rPr>
        <w:t>1.分配依据及结果。</w:t>
      </w:r>
      <w:r>
        <w:rPr>
          <w:rFonts w:hint="eastAsia" w:ascii="仿宋_GB2312" w:hAnsi="楷体" w:eastAsia="仿宋_GB2312"/>
          <w:bCs/>
          <w:color w:val="auto"/>
          <w:spacing w:val="-4"/>
          <w:sz w:val="32"/>
          <w:szCs w:val="32"/>
          <w:highlight w:val="none"/>
        </w:rPr>
        <w:t>基本支出根据单位人员编制、实有人数、资产情况等要素进行预算编制；项目支出根据单位工作职能，年度计划等要素进行预算编制。预算批复后，严格按照财政部门批复的预算和绩效目标执行。</w:t>
      </w:r>
    </w:p>
    <w:p>
      <w:pPr>
        <w:widowControl/>
        <w:ind w:firstLine="640"/>
        <w:jc w:val="left"/>
        <w:rPr>
          <w:rFonts w:hint="eastAsia" w:ascii="仿宋_GB2312" w:hAnsi="楷体" w:eastAsia="仿宋_GB2312"/>
          <w:bCs/>
          <w:color w:val="auto"/>
          <w:spacing w:val="-4"/>
          <w:sz w:val="32"/>
          <w:szCs w:val="32"/>
          <w:highlight w:val="none"/>
        </w:rPr>
      </w:pPr>
      <w:r>
        <w:rPr>
          <w:rFonts w:hint="eastAsia" w:ascii="仿宋_GB2312" w:eastAsia="仿宋_GB2312" w:cs="仿宋"/>
          <w:b/>
          <w:color w:val="auto"/>
          <w:sz w:val="32"/>
          <w:szCs w:val="32"/>
          <w:highlight w:val="none"/>
        </w:rPr>
        <w:t>2.</w:t>
      </w:r>
      <w:r>
        <w:rPr>
          <w:rFonts w:hint="eastAsia" w:ascii="仿宋_GB2312" w:eastAsia="仿宋_GB2312"/>
          <w:b/>
          <w:color w:val="auto"/>
          <w:sz w:val="32"/>
          <w:szCs w:val="32"/>
          <w:highlight w:val="none"/>
        </w:rPr>
        <w:t>重点支出保障情况。</w:t>
      </w:r>
      <w:r>
        <w:rPr>
          <w:rFonts w:hint="eastAsia" w:ascii="仿宋_GB2312" w:hAnsi="楷体" w:eastAsia="仿宋_GB2312"/>
          <w:bCs/>
          <w:color w:val="auto"/>
          <w:spacing w:val="-4"/>
          <w:sz w:val="32"/>
          <w:szCs w:val="32"/>
          <w:highlight w:val="none"/>
        </w:rPr>
        <w:t>本年度本单位预算安排的重点项目</w:t>
      </w:r>
      <w:r>
        <w:rPr>
          <w:rFonts w:hint="eastAsia" w:ascii="仿宋_GB2312" w:hAnsi="楷体" w:eastAsia="仿宋_GB2312"/>
          <w:bCs/>
          <w:color w:val="auto"/>
          <w:spacing w:val="-4"/>
          <w:sz w:val="32"/>
          <w:szCs w:val="32"/>
          <w:highlight w:val="none"/>
          <w:lang w:val="en-US" w:eastAsia="zh-CN"/>
        </w:rPr>
        <w:t>0</w:t>
      </w:r>
      <w:r>
        <w:rPr>
          <w:rFonts w:hint="eastAsia" w:ascii="仿宋_GB2312" w:hAnsi="楷体" w:eastAsia="仿宋_GB2312"/>
          <w:bCs/>
          <w:color w:val="auto"/>
          <w:spacing w:val="-4"/>
          <w:sz w:val="32"/>
          <w:szCs w:val="32"/>
          <w:highlight w:val="none"/>
        </w:rPr>
        <w:t>个，预算安排的重点项目支出金额为</w:t>
      </w:r>
      <w:r>
        <w:rPr>
          <w:rFonts w:hint="eastAsia" w:ascii="仿宋_GB2312" w:hAnsi="楷体" w:eastAsia="仿宋_GB2312"/>
          <w:bCs/>
          <w:color w:val="auto"/>
          <w:spacing w:val="-4"/>
          <w:sz w:val="32"/>
          <w:szCs w:val="32"/>
          <w:highlight w:val="none"/>
          <w:lang w:val="en-US" w:eastAsia="zh-CN"/>
        </w:rPr>
        <w:t>0</w:t>
      </w:r>
      <w:r>
        <w:rPr>
          <w:rFonts w:hint="eastAsia" w:ascii="仿宋_GB2312" w:hAnsi="楷体" w:eastAsia="仿宋_GB2312"/>
          <w:bCs/>
          <w:color w:val="auto"/>
          <w:spacing w:val="-4"/>
          <w:sz w:val="32"/>
          <w:szCs w:val="32"/>
          <w:highlight w:val="none"/>
        </w:rPr>
        <w:t>万元，部门项目总支出金额为</w:t>
      </w:r>
      <w:r>
        <w:rPr>
          <w:rFonts w:hint="eastAsia" w:ascii="仿宋_GB2312" w:hAnsi="楷体" w:eastAsia="仿宋_GB2312"/>
          <w:bCs/>
          <w:color w:val="auto"/>
          <w:spacing w:val="-4"/>
          <w:sz w:val="32"/>
          <w:szCs w:val="32"/>
          <w:highlight w:val="none"/>
          <w:lang w:val="en-US" w:eastAsia="zh-CN"/>
        </w:rPr>
        <w:t>122.81</w:t>
      </w:r>
      <w:r>
        <w:rPr>
          <w:rFonts w:hint="eastAsia" w:ascii="仿宋_GB2312" w:hAnsi="楷体" w:eastAsia="仿宋_GB2312"/>
          <w:bCs/>
          <w:color w:val="auto"/>
          <w:spacing w:val="-4"/>
          <w:sz w:val="32"/>
          <w:szCs w:val="32"/>
          <w:highlight w:val="none"/>
        </w:rPr>
        <w:t>万元，则重点项目支出占项目总支出的比率为</w:t>
      </w:r>
      <w:r>
        <w:rPr>
          <w:rFonts w:hint="eastAsia" w:ascii="仿宋_GB2312" w:hAnsi="楷体" w:eastAsia="仿宋_GB2312"/>
          <w:bCs/>
          <w:color w:val="auto"/>
          <w:spacing w:val="-4"/>
          <w:sz w:val="32"/>
          <w:szCs w:val="32"/>
          <w:highlight w:val="none"/>
          <w:lang w:val="en-US" w:eastAsia="zh-CN"/>
        </w:rPr>
        <w:t>100</w:t>
      </w:r>
      <w:r>
        <w:rPr>
          <w:rFonts w:hint="eastAsia" w:ascii="仿宋_GB2312" w:hAnsi="楷体" w:eastAsia="仿宋_GB2312"/>
          <w:bCs/>
          <w:color w:val="auto"/>
          <w:spacing w:val="-4"/>
          <w:sz w:val="32"/>
          <w:szCs w:val="32"/>
          <w:highlight w:val="none"/>
        </w:rPr>
        <w:t>%。</w:t>
      </w:r>
    </w:p>
    <w:p>
      <w:pPr>
        <w:pStyle w:val="2"/>
        <w:numPr>
          <w:ilvl w:val="0"/>
          <w:numId w:val="2"/>
        </w:numPr>
        <w:ind w:firstLine="640"/>
        <w:rPr>
          <w:rFonts w:ascii="楷体_GB2312" w:eastAsia="楷体_GB2312"/>
          <w:color w:val="auto"/>
          <w:szCs w:val="32"/>
          <w:highlight w:val="none"/>
        </w:rPr>
      </w:pPr>
      <w:r>
        <w:rPr>
          <w:rFonts w:hint="eastAsia" w:ascii="楷体_GB2312" w:eastAsia="楷体_GB2312"/>
          <w:color w:val="auto"/>
          <w:szCs w:val="32"/>
          <w:highlight w:val="none"/>
        </w:rPr>
        <w:t>部门单位整体支出规模、使用方法和主要内容、涉及范围</w:t>
      </w:r>
    </w:p>
    <w:p>
      <w:pPr>
        <w:numPr>
          <w:ilvl w:val="0"/>
          <w:numId w:val="3"/>
        </w:num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部门单位整体支出规模</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年度，</w:t>
      </w:r>
      <w:r>
        <w:rPr>
          <w:rFonts w:hint="eastAsia" w:ascii="仿宋_GB2312" w:hAnsi="宋体" w:eastAsia="仿宋_GB2312"/>
          <w:color w:val="auto"/>
          <w:sz w:val="32"/>
          <w:szCs w:val="32"/>
          <w:highlight w:val="none"/>
        </w:rPr>
        <w:t>昌吉市滨湖镇卫生院</w:t>
      </w:r>
      <w:r>
        <w:rPr>
          <w:rFonts w:hint="eastAsia" w:ascii="仿宋_GB2312" w:eastAsia="仿宋_GB2312"/>
          <w:bCs/>
          <w:color w:val="auto"/>
          <w:sz w:val="32"/>
          <w:szCs w:val="32"/>
          <w:highlight w:val="none"/>
        </w:rPr>
        <w:t>部门单位整体支出年初预算金额为</w:t>
      </w:r>
      <w:r>
        <w:rPr>
          <w:rFonts w:hint="eastAsia" w:ascii="仿宋_GB2312" w:hAnsi="宋体" w:eastAsia="仿宋_GB2312"/>
          <w:color w:val="auto"/>
          <w:sz w:val="32"/>
          <w:szCs w:val="32"/>
          <w:highlight w:val="none"/>
          <w:lang w:val="en-US" w:eastAsia="zh-CN"/>
        </w:rPr>
        <w:t>366.71</w:t>
      </w:r>
      <w:r>
        <w:rPr>
          <w:rFonts w:hint="eastAsia" w:ascii="仿宋_GB2312" w:eastAsia="仿宋_GB2312"/>
          <w:color w:val="auto"/>
          <w:sz w:val="32"/>
          <w:szCs w:val="32"/>
          <w:highlight w:val="none"/>
        </w:rPr>
        <w:t>万元，支出金额为</w:t>
      </w:r>
      <w:r>
        <w:rPr>
          <w:rFonts w:hint="eastAsia" w:ascii="仿宋_GB2312" w:hAnsi="宋体" w:eastAsia="仿宋_GB2312"/>
          <w:color w:val="auto"/>
          <w:sz w:val="32"/>
          <w:szCs w:val="32"/>
          <w:highlight w:val="none"/>
          <w:lang w:val="en-US" w:eastAsia="zh-CN"/>
        </w:rPr>
        <w:t>366.71</w:t>
      </w:r>
      <w:r>
        <w:rPr>
          <w:rFonts w:hint="eastAsia" w:ascii="仿宋_GB2312" w:eastAsia="仿宋_GB2312"/>
          <w:color w:val="auto"/>
          <w:sz w:val="32"/>
          <w:szCs w:val="32"/>
          <w:highlight w:val="none"/>
        </w:rPr>
        <w:t>万元，执行率为</w:t>
      </w:r>
      <w:r>
        <w:rPr>
          <w:rFonts w:hint="eastAsia" w:ascii="仿宋_GB2312" w:eastAsia="仿宋_GB2312"/>
          <w:color w:val="auto"/>
          <w:sz w:val="32"/>
          <w:szCs w:val="32"/>
          <w:highlight w:val="none"/>
          <w:lang w:val="en-US" w:eastAsia="zh-CN"/>
        </w:rPr>
        <w:t>100.0</w:t>
      </w:r>
      <w:r>
        <w:rPr>
          <w:rFonts w:hint="eastAsia" w:ascii="仿宋_GB2312" w:hAnsi="宋体" w:eastAsia="仿宋_GB2312"/>
          <w:color w:val="auto"/>
          <w:sz w:val="32"/>
          <w:szCs w:val="32"/>
          <w:highlight w:val="none"/>
          <w:lang w:val="en-US"/>
        </w:rPr>
        <w:t>%，其中：政府采购年初预算金额为</w:t>
      </w:r>
      <w:r>
        <w:rPr>
          <w:rFonts w:hint="eastAsia" w:ascii="仿宋_GB2312" w:hAnsi="宋体" w:eastAsia="仿宋_GB2312"/>
          <w:color w:val="auto"/>
          <w:sz w:val="32"/>
          <w:szCs w:val="32"/>
          <w:highlight w:val="none"/>
          <w:lang w:val="en-US" w:eastAsia="zh-CN"/>
        </w:rPr>
        <w:t>6.48</w:t>
      </w:r>
      <w:r>
        <w:rPr>
          <w:rFonts w:hint="eastAsia" w:ascii="仿宋_GB2312" w:hAnsi="宋体" w:eastAsia="仿宋_GB2312"/>
          <w:color w:val="auto"/>
          <w:sz w:val="32"/>
          <w:szCs w:val="32"/>
          <w:highlight w:val="none"/>
          <w:lang w:val="en-US"/>
        </w:rPr>
        <w:t>万元，支出金额为</w:t>
      </w:r>
      <w:r>
        <w:rPr>
          <w:rFonts w:hint="eastAsia" w:ascii="仿宋_GB2312" w:hAnsi="宋体" w:eastAsia="仿宋_GB2312"/>
          <w:color w:val="auto"/>
          <w:sz w:val="32"/>
          <w:szCs w:val="32"/>
          <w:highlight w:val="none"/>
          <w:lang w:val="en-US" w:eastAsia="zh-CN"/>
        </w:rPr>
        <w:t>6.48</w:t>
      </w:r>
      <w:r>
        <w:rPr>
          <w:rFonts w:hint="eastAsia" w:ascii="仿宋_GB2312" w:hAnsi="宋体" w:eastAsia="仿宋_GB2312"/>
          <w:color w:val="auto"/>
          <w:sz w:val="32"/>
          <w:szCs w:val="32"/>
          <w:highlight w:val="none"/>
          <w:lang w:val="en-US"/>
        </w:rPr>
        <w:t>万</w:t>
      </w:r>
      <w:r>
        <w:rPr>
          <w:rFonts w:hint="eastAsia" w:ascii="仿宋_GB2312" w:eastAsia="仿宋_GB2312"/>
          <w:color w:val="auto"/>
          <w:sz w:val="32"/>
          <w:szCs w:val="32"/>
          <w:highlight w:val="none"/>
        </w:rPr>
        <w:t>元，执行率为</w:t>
      </w:r>
      <w:r>
        <w:rPr>
          <w:rFonts w:hint="eastAsia" w:ascii="仿宋_GB2312" w:eastAsia="仿宋_GB2312"/>
          <w:color w:val="auto"/>
          <w:sz w:val="32"/>
          <w:szCs w:val="32"/>
          <w:highlight w:val="none"/>
          <w:lang w:val="en-US" w:eastAsia="zh-CN"/>
        </w:rPr>
        <w:t>100</w:t>
      </w:r>
      <w:r>
        <w:rPr>
          <w:rFonts w:hint="eastAsia" w:ascii="仿宋_GB2312" w:eastAsia="仿宋_GB2312"/>
          <w:color w:val="auto"/>
          <w:sz w:val="32"/>
          <w:szCs w:val="32"/>
          <w:highlight w:val="none"/>
          <w:lang w:val="en-US"/>
        </w:rPr>
        <w:t>%。年中调整预算金</w:t>
      </w:r>
      <w:r>
        <w:rPr>
          <w:rFonts w:hint="eastAsia" w:ascii="仿宋_GB2312" w:eastAsia="仿宋_GB2312"/>
          <w:color w:val="auto"/>
          <w:sz w:val="32"/>
          <w:szCs w:val="32"/>
          <w:highlight w:val="none"/>
        </w:rPr>
        <w:t>额为</w:t>
      </w:r>
      <w:r>
        <w:rPr>
          <w:rFonts w:hint="eastAsia" w:ascii="仿宋_GB2312" w:eastAsia="仿宋_GB2312"/>
          <w:color w:val="auto"/>
          <w:sz w:val="32"/>
          <w:szCs w:val="32"/>
          <w:highlight w:val="none"/>
          <w:lang w:val="en-US" w:eastAsia="zh-CN"/>
        </w:rPr>
        <w:t>175.49</w:t>
      </w:r>
      <w:r>
        <w:rPr>
          <w:rFonts w:hint="eastAsia" w:ascii="仿宋_GB2312" w:eastAsia="仿宋_GB2312"/>
          <w:color w:val="auto"/>
          <w:sz w:val="32"/>
          <w:szCs w:val="32"/>
          <w:highlight w:val="none"/>
        </w:rPr>
        <w:t>万元，预算调整率为</w:t>
      </w:r>
      <w:r>
        <w:rPr>
          <w:rFonts w:hint="eastAsia" w:ascii="仿宋_GB2312" w:eastAsia="仿宋_GB2312"/>
          <w:color w:val="auto"/>
          <w:sz w:val="32"/>
          <w:szCs w:val="32"/>
          <w:highlight w:val="none"/>
          <w:lang w:val="en-US" w:eastAsia="zh-CN"/>
        </w:rPr>
        <w:t>47.86</w:t>
      </w:r>
      <w:r>
        <w:rPr>
          <w:rFonts w:hint="eastAsia" w:ascii="仿宋_GB2312" w:eastAsia="仿宋_GB2312"/>
          <w:color w:val="auto"/>
          <w:sz w:val="32"/>
          <w:szCs w:val="32"/>
          <w:highlight w:val="none"/>
        </w:rPr>
        <w:t>%。综上，我单位部门单位整体预算总额为</w:t>
      </w:r>
      <w:r>
        <w:rPr>
          <w:rFonts w:hint="eastAsia" w:ascii="仿宋_GB2312" w:eastAsia="仿宋_GB2312"/>
          <w:color w:val="auto"/>
          <w:sz w:val="32"/>
          <w:szCs w:val="32"/>
          <w:highlight w:val="none"/>
          <w:lang w:val="en-US" w:eastAsia="zh-CN"/>
        </w:rPr>
        <w:t>542.21</w:t>
      </w:r>
      <w:r>
        <w:rPr>
          <w:rFonts w:hint="eastAsia" w:ascii="仿宋_GB2312" w:eastAsia="仿宋_GB2312"/>
          <w:color w:val="auto"/>
          <w:sz w:val="32"/>
          <w:szCs w:val="32"/>
          <w:highlight w:val="none"/>
        </w:rPr>
        <w:t>万元，支出总额为</w:t>
      </w:r>
      <w:r>
        <w:rPr>
          <w:rFonts w:hint="eastAsia" w:ascii="仿宋_GB2312" w:eastAsia="仿宋_GB2312"/>
          <w:color w:val="auto"/>
          <w:sz w:val="32"/>
          <w:szCs w:val="32"/>
          <w:highlight w:val="none"/>
          <w:lang w:val="en-US" w:eastAsia="zh-CN"/>
        </w:rPr>
        <w:t>542.21</w:t>
      </w:r>
      <w:r>
        <w:rPr>
          <w:rFonts w:hint="eastAsia" w:ascii="仿宋_GB2312" w:eastAsia="仿宋_GB2312"/>
          <w:color w:val="auto"/>
          <w:sz w:val="32"/>
          <w:szCs w:val="32"/>
          <w:highlight w:val="none"/>
        </w:rPr>
        <w:t>万元，预算总执行率为</w:t>
      </w:r>
      <w:r>
        <w:rPr>
          <w:rFonts w:hint="eastAsia" w:ascii="仿宋_GB2312" w:eastAsia="仿宋_GB2312"/>
          <w:color w:val="auto"/>
          <w:sz w:val="32"/>
          <w:szCs w:val="32"/>
          <w:highlight w:val="none"/>
          <w:lang w:val="en-US" w:eastAsia="zh-CN"/>
        </w:rPr>
        <w:t>100</w:t>
      </w:r>
      <w:r>
        <w:rPr>
          <w:rFonts w:hint="eastAsia" w:ascii="仿宋_GB2312" w:eastAsia="仿宋_GB2312"/>
          <w:color w:val="auto"/>
          <w:sz w:val="32"/>
          <w:szCs w:val="32"/>
          <w:highlight w:val="none"/>
        </w:rPr>
        <w:t>%。</w:t>
      </w:r>
    </w:p>
    <w:p>
      <w:pPr>
        <w:pStyle w:val="4"/>
        <w:ind w:firstLine="640"/>
        <w:rPr>
          <w:color w:val="auto"/>
          <w:sz w:val="32"/>
          <w:highlight w:val="none"/>
        </w:rPr>
      </w:pPr>
      <w:r>
        <w:rPr>
          <w:rFonts w:hint="eastAsia"/>
          <w:color w:val="auto"/>
          <w:sz w:val="32"/>
          <w:highlight w:val="none"/>
        </w:rPr>
        <w:t>2.部门单位整体支出自评使用方法、主要内容、涉及范围</w:t>
      </w:r>
    </w:p>
    <w:p>
      <w:p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（1）自评使用方法</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pPr>
        <w:pStyle w:val="4"/>
        <w:ind w:firstLine="640"/>
        <w:rPr>
          <w:color w:val="auto"/>
          <w:sz w:val="32"/>
          <w:highlight w:val="none"/>
        </w:rPr>
      </w:pPr>
      <w:r>
        <w:rPr>
          <w:rFonts w:hint="eastAsia"/>
          <w:color w:val="auto"/>
          <w:sz w:val="32"/>
          <w:highlight w:val="none"/>
        </w:rPr>
        <w:t>（2）评价的主要内容和涉及范围</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此次我单位根据</w:t>
      </w:r>
      <w:r>
        <w:rPr>
          <w:rFonts w:ascii="仿宋_GB2312" w:hAnsi="Arial" w:eastAsia="仿宋_GB2312" w:cs="宋体"/>
          <w:bCs/>
          <w:color w:val="auto"/>
          <w:sz w:val="32"/>
          <w:szCs w:val="32"/>
          <w:highlight w:val="none"/>
        </w:rPr>
        <w:t>《预算法》、《财政支出绩效评价管理暂行办法》（财预〔2020〕10号）、《中共中央国务院关于全面实施预算绩效管理的意见》（中发〔2018〕34号）、《自治区党委自治区人民政府关于全面实施预算绩效管理的实施意见》（新党发〔2018〕30号）、《关于印发&lt;自治州实施预算绩效管理工作考核暂行办法&gt;的通知》（昌州财预〔2019〕23号）、《关于印发《昌吉市全面实施预算绩效管理工作方案》的通知》（昌市财发字〔2018〕206号）</w:t>
      </w:r>
      <w:r>
        <w:rPr>
          <w:rFonts w:hint="eastAsia" w:ascii="仿宋_GB2312" w:eastAsia="仿宋_GB2312"/>
          <w:color w:val="auto"/>
          <w:sz w:val="32"/>
          <w:szCs w:val="32"/>
          <w:highlight w:val="none"/>
        </w:rPr>
        <w:t>等文件要求，对</w:t>
      </w: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二、部门单位整体支出管理及使用情况</w:t>
      </w:r>
    </w:p>
    <w:p>
      <w:pPr>
        <w:pStyle w:val="2"/>
        <w:numPr>
          <w:ilvl w:val="0"/>
          <w:numId w:val="4"/>
        </w:numPr>
        <w:ind w:firstLineChars="0"/>
        <w:rPr>
          <w:rFonts w:ascii="楷体_GB2312" w:eastAsia="楷体_GB2312"/>
          <w:color w:val="auto"/>
          <w:szCs w:val="32"/>
          <w:highlight w:val="none"/>
        </w:rPr>
      </w:pPr>
      <w:r>
        <w:rPr>
          <w:rFonts w:hint="eastAsia" w:ascii="楷体_GB2312" w:eastAsia="楷体_GB2312"/>
          <w:bCs/>
          <w:color w:val="auto"/>
          <w:szCs w:val="32"/>
          <w:highlight w:val="none"/>
        </w:rPr>
        <w:t>预算管理情况</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我单位为加强预算管理、规范财务行为、加强内部控制体系建设，制定了</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昌吉市滨湖镇卫生院预算</w:t>
      </w:r>
      <w:r>
        <w:rPr>
          <w:rFonts w:hint="default" w:ascii="仿宋_GB2312" w:eastAsia="仿宋_GB2312"/>
          <w:color w:val="auto"/>
          <w:sz w:val="32"/>
          <w:szCs w:val="32"/>
          <w:highlight w:val="none"/>
          <w:lang w:val="en-US" w:eastAsia="zh-CN"/>
        </w:rPr>
        <w:t>资金</w:t>
      </w:r>
      <w:r>
        <w:rPr>
          <w:rFonts w:hint="eastAsia" w:ascii="仿宋_GB2312" w:eastAsia="仿宋_GB2312"/>
          <w:color w:val="auto"/>
          <w:sz w:val="32"/>
          <w:szCs w:val="32"/>
          <w:highlight w:val="none"/>
          <w:lang w:val="en-US" w:eastAsia="zh-CN"/>
        </w:rPr>
        <w:t>管理办法</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昌吉市滨湖镇卫生院</w:t>
      </w:r>
      <w:r>
        <w:rPr>
          <w:rFonts w:hint="default" w:ascii="仿宋_GB2312" w:eastAsia="仿宋_GB2312"/>
          <w:color w:val="auto"/>
          <w:sz w:val="32"/>
          <w:szCs w:val="32"/>
          <w:highlight w:val="none"/>
          <w:lang w:val="en-US" w:eastAsia="zh-CN"/>
        </w:rPr>
        <w:t>基本公共卫生服务专项资金</w:t>
      </w:r>
      <w:r>
        <w:rPr>
          <w:rFonts w:hint="eastAsia" w:ascii="仿宋_GB2312" w:eastAsia="仿宋_GB2312"/>
          <w:color w:val="auto"/>
          <w:sz w:val="32"/>
          <w:szCs w:val="32"/>
          <w:highlight w:val="none"/>
          <w:lang w:val="en-US" w:eastAsia="zh-CN"/>
        </w:rPr>
        <w:t>管理办法</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和</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昌吉市滨湖镇卫生院</w:t>
      </w:r>
      <w:r>
        <w:rPr>
          <w:rFonts w:hint="default" w:ascii="仿宋_GB2312" w:eastAsia="仿宋_GB2312"/>
          <w:color w:val="auto"/>
          <w:sz w:val="32"/>
          <w:szCs w:val="32"/>
          <w:highlight w:val="none"/>
          <w:lang w:val="en-US" w:eastAsia="zh-CN"/>
        </w:rPr>
        <w:t>基本</w:t>
      </w:r>
      <w:r>
        <w:rPr>
          <w:rFonts w:hint="eastAsia" w:ascii="仿宋_GB2312" w:eastAsia="仿宋_GB2312"/>
          <w:color w:val="auto"/>
          <w:sz w:val="32"/>
          <w:szCs w:val="32"/>
          <w:highlight w:val="none"/>
          <w:lang w:val="en-US" w:eastAsia="zh-CN"/>
        </w:rPr>
        <w:t>药物</w:t>
      </w:r>
      <w:r>
        <w:rPr>
          <w:rFonts w:hint="default" w:ascii="仿宋_GB2312" w:eastAsia="仿宋_GB2312"/>
          <w:color w:val="auto"/>
          <w:sz w:val="32"/>
          <w:szCs w:val="32"/>
          <w:highlight w:val="none"/>
          <w:lang w:val="en-US" w:eastAsia="zh-CN"/>
        </w:rPr>
        <w:t>专项资金</w:t>
      </w:r>
      <w:r>
        <w:rPr>
          <w:rFonts w:hint="eastAsia" w:ascii="仿宋_GB2312" w:eastAsia="仿宋_GB2312"/>
          <w:color w:val="auto"/>
          <w:sz w:val="32"/>
          <w:szCs w:val="32"/>
          <w:highlight w:val="none"/>
          <w:lang w:val="en-US" w:eastAsia="zh-CN"/>
        </w:rPr>
        <w:t>管理办法</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管理办法，并严格按照此管理办法管理使用预算资金，严格按照政府信息公开有关规定及财政部门要求公开相关预决算信息。</w:t>
      </w:r>
    </w:p>
    <w:p>
      <w:pPr>
        <w:pStyle w:val="2"/>
        <w:numPr>
          <w:ilvl w:val="0"/>
          <w:numId w:val="4"/>
        </w:numPr>
        <w:ind w:firstLineChars="0"/>
        <w:rPr>
          <w:rFonts w:ascii="楷体_GB2312" w:eastAsia="楷体_GB2312"/>
          <w:bCs/>
          <w:color w:val="auto"/>
          <w:szCs w:val="32"/>
          <w:highlight w:val="none"/>
        </w:rPr>
      </w:pPr>
      <w:r>
        <w:rPr>
          <w:rFonts w:hint="eastAsia" w:ascii="楷体_GB2312" w:eastAsia="楷体_GB2312"/>
          <w:bCs/>
          <w:color w:val="auto"/>
          <w:szCs w:val="32"/>
          <w:highlight w:val="none"/>
        </w:rPr>
        <w:t>基本支出预算安排及支出情况</w:t>
      </w:r>
    </w:p>
    <w:p>
      <w:p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1.基本支出情况</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w:t>
      </w:r>
      <w:r>
        <w:rPr>
          <w:rFonts w:hint="eastAsia" w:ascii="仿宋_GB2312" w:eastAsia="仿宋_GB2312"/>
          <w:color w:val="auto"/>
          <w:sz w:val="32"/>
          <w:szCs w:val="32"/>
          <w:highlight w:val="none"/>
          <w:lang w:val="en-US" w:eastAsia="zh-CN"/>
        </w:rPr>
        <w:t>昌吉市滨湖镇卫生院</w:t>
      </w:r>
      <w:r>
        <w:rPr>
          <w:rFonts w:hint="eastAsia" w:ascii="仿宋_GB2312" w:eastAsia="仿宋_GB2312"/>
          <w:color w:val="auto"/>
          <w:sz w:val="32"/>
          <w:szCs w:val="32"/>
          <w:highlight w:val="none"/>
        </w:rPr>
        <w:t>基本支出年初预算金额为</w:t>
      </w:r>
      <w:r>
        <w:rPr>
          <w:rFonts w:hint="eastAsia" w:ascii="仿宋_GB2312" w:hAnsi="宋体" w:eastAsia="仿宋_GB2312"/>
          <w:color w:val="auto"/>
          <w:sz w:val="32"/>
          <w:szCs w:val="32"/>
          <w:highlight w:val="none"/>
        </w:rPr>
        <w:t>3</w:t>
      </w:r>
      <w:r>
        <w:rPr>
          <w:rFonts w:hint="default" w:ascii="仿宋_GB2312" w:hAnsi="宋体" w:eastAsia="仿宋_GB2312"/>
          <w:color w:val="auto"/>
          <w:sz w:val="32"/>
          <w:szCs w:val="32"/>
          <w:highlight w:val="none"/>
          <w:lang w:val="en-US"/>
        </w:rPr>
        <w:t>6</w:t>
      </w:r>
      <w:r>
        <w:rPr>
          <w:rFonts w:hint="eastAsia" w:ascii="仿宋_GB2312" w:hAnsi="宋体" w:eastAsia="仿宋_GB2312"/>
          <w:color w:val="auto"/>
          <w:sz w:val="32"/>
          <w:szCs w:val="32"/>
          <w:highlight w:val="none"/>
          <w:lang w:val="en-US" w:eastAsia="zh-CN"/>
        </w:rPr>
        <w:t>6.71</w:t>
      </w:r>
      <w:r>
        <w:rPr>
          <w:rFonts w:hint="eastAsia" w:ascii="仿宋_GB2312" w:eastAsia="仿宋_GB2312"/>
          <w:color w:val="auto"/>
          <w:sz w:val="32"/>
          <w:szCs w:val="32"/>
          <w:highlight w:val="none"/>
        </w:rPr>
        <w:t>万元，支出金额为</w:t>
      </w:r>
      <w:r>
        <w:rPr>
          <w:rFonts w:hint="eastAsia" w:ascii="仿宋_GB2312" w:hAnsi="宋体" w:eastAsia="仿宋_GB2312"/>
          <w:color w:val="auto"/>
          <w:sz w:val="32"/>
          <w:szCs w:val="32"/>
          <w:highlight w:val="none"/>
        </w:rPr>
        <w:t>3</w:t>
      </w:r>
      <w:r>
        <w:rPr>
          <w:rFonts w:hint="default" w:ascii="仿宋_GB2312" w:hAnsi="宋体" w:eastAsia="仿宋_GB2312"/>
          <w:color w:val="auto"/>
          <w:sz w:val="32"/>
          <w:szCs w:val="32"/>
          <w:highlight w:val="none"/>
          <w:lang w:val="en-US"/>
        </w:rPr>
        <w:t>6</w:t>
      </w:r>
      <w:r>
        <w:rPr>
          <w:rFonts w:hint="eastAsia" w:ascii="仿宋_GB2312" w:hAnsi="宋体" w:eastAsia="仿宋_GB2312"/>
          <w:color w:val="auto"/>
          <w:sz w:val="32"/>
          <w:szCs w:val="32"/>
          <w:highlight w:val="none"/>
          <w:lang w:val="en-US" w:eastAsia="zh-CN"/>
        </w:rPr>
        <w:t>6.71</w:t>
      </w:r>
      <w:r>
        <w:rPr>
          <w:rFonts w:hint="eastAsia" w:ascii="仿宋_GB2312" w:hAnsi="宋体" w:eastAsia="仿宋_GB2312"/>
          <w:color w:val="auto"/>
          <w:sz w:val="32"/>
          <w:szCs w:val="32"/>
          <w:highlight w:val="none"/>
          <w:lang w:val="en-US"/>
        </w:rPr>
        <w:t>万元，执行率为</w:t>
      </w:r>
      <w:r>
        <w:rPr>
          <w:rFonts w:hint="eastAsia" w:ascii="仿宋_GB2312" w:hAnsi="宋体" w:eastAsia="仿宋_GB2312"/>
          <w:color w:val="auto"/>
          <w:sz w:val="32"/>
          <w:szCs w:val="32"/>
          <w:highlight w:val="none"/>
          <w:lang w:val="en-US" w:eastAsia="zh-CN"/>
        </w:rPr>
        <w:t>100.0</w:t>
      </w:r>
      <w:r>
        <w:rPr>
          <w:rFonts w:hint="eastAsia" w:ascii="仿宋_GB2312" w:hAnsi="宋体" w:eastAsia="仿宋_GB2312"/>
          <w:color w:val="auto"/>
          <w:sz w:val="32"/>
          <w:szCs w:val="32"/>
          <w:highlight w:val="none"/>
          <w:lang w:val="en-US"/>
        </w:rPr>
        <w:t>%，</w:t>
      </w:r>
      <w:r>
        <w:rPr>
          <w:rFonts w:hint="eastAsia" w:ascii="仿宋_GB2312" w:eastAsia="仿宋_GB2312"/>
          <w:color w:val="auto"/>
          <w:sz w:val="32"/>
          <w:szCs w:val="32"/>
          <w:highlight w:val="none"/>
        </w:rPr>
        <w:t>年中调整预算金额为</w:t>
      </w:r>
      <w:r>
        <w:rPr>
          <w:rFonts w:hint="eastAsia" w:ascii="仿宋_GB2312" w:eastAsia="仿宋_GB2312"/>
          <w:color w:val="auto"/>
          <w:sz w:val="32"/>
          <w:szCs w:val="32"/>
          <w:highlight w:val="none"/>
          <w:lang w:val="en-US" w:eastAsia="zh-CN"/>
        </w:rPr>
        <w:t>35.79</w:t>
      </w:r>
      <w:r>
        <w:rPr>
          <w:rFonts w:hint="eastAsia" w:ascii="仿宋_GB2312" w:eastAsia="仿宋_GB2312"/>
          <w:color w:val="auto"/>
          <w:sz w:val="32"/>
          <w:szCs w:val="32"/>
          <w:highlight w:val="none"/>
        </w:rPr>
        <w:t>万元。综上，我单位基本支出预算总额为</w:t>
      </w:r>
      <w:r>
        <w:rPr>
          <w:rFonts w:hint="eastAsia" w:ascii="仿宋_GB2312" w:eastAsia="仿宋_GB2312"/>
          <w:color w:val="auto"/>
          <w:sz w:val="32"/>
          <w:szCs w:val="32"/>
          <w:highlight w:val="none"/>
          <w:lang w:val="en-US" w:eastAsia="zh-CN"/>
        </w:rPr>
        <w:t>402.5</w:t>
      </w:r>
      <w:r>
        <w:rPr>
          <w:rFonts w:hint="eastAsia" w:ascii="仿宋_GB2312" w:eastAsia="仿宋_GB2312"/>
          <w:color w:val="auto"/>
          <w:sz w:val="32"/>
          <w:szCs w:val="32"/>
          <w:highlight w:val="none"/>
        </w:rPr>
        <w:t>万元，支出总额为</w:t>
      </w:r>
      <w:r>
        <w:rPr>
          <w:rFonts w:hint="eastAsia" w:ascii="仿宋_GB2312" w:eastAsia="仿宋_GB2312"/>
          <w:color w:val="auto"/>
          <w:sz w:val="32"/>
          <w:szCs w:val="32"/>
          <w:highlight w:val="none"/>
          <w:lang w:val="en-US" w:eastAsia="zh-CN"/>
        </w:rPr>
        <w:t>402.5</w:t>
      </w:r>
      <w:r>
        <w:rPr>
          <w:rFonts w:hint="eastAsia" w:ascii="仿宋_GB2312" w:eastAsia="仿宋_GB2312"/>
          <w:color w:val="auto"/>
          <w:sz w:val="32"/>
          <w:szCs w:val="32"/>
          <w:highlight w:val="none"/>
        </w:rPr>
        <w:t>万元，预算总执行率为</w:t>
      </w:r>
      <w:r>
        <w:rPr>
          <w:rFonts w:hint="eastAsia" w:ascii="仿宋_GB2312" w:eastAsia="仿宋_GB2312"/>
          <w:color w:val="auto"/>
          <w:sz w:val="32"/>
          <w:szCs w:val="32"/>
          <w:highlight w:val="none"/>
          <w:lang w:val="en-US" w:eastAsia="zh-CN"/>
        </w:rPr>
        <w:t>100</w:t>
      </w:r>
      <w:r>
        <w:rPr>
          <w:rFonts w:hint="eastAsia" w:ascii="仿宋_GB2312" w:eastAsia="仿宋_GB2312"/>
          <w:color w:val="auto"/>
          <w:sz w:val="32"/>
          <w:szCs w:val="32"/>
          <w:highlight w:val="none"/>
        </w:rPr>
        <w:t>%，其中人员经费</w:t>
      </w:r>
      <w:r>
        <w:rPr>
          <w:rFonts w:hint="eastAsia" w:ascii="仿宋_GB2312" w:eastAsia="仿宋_GB2312"/>
          <w:color w:val="auto"/>
          <w:sz w:val="32"/>
          <w:szCs w:val="32"/>
          <w:highlight w:val="none"/>
          <w:lang w:val="en-US" w:eastAsia="zh-CN"/>
        </w:rPr>
        <w:t>300.47</w:t>
      </w:r>
      <w:r>
        <w:rPr>
          <w:rFonts w:hint="eastAsia" w:ascii="仿宋_GB2312" w:eastAsia="仿宋_GB2312"/>
          <w:color w:val="auto"/>
          <w:sz w:val="32"/>
          <w:szCs w:val="32"/>
          <w:highlight w:val="none"/>
        </w:rPr>
        <w:t>万元，公用经费</w:t>
      </w:r>
      <w:r>
        <w:rPr>
          <w:rFonts w:hint="eastAsia" w:ascii="仿宋_GB2312" w:eastAsia="仿宋_GB2312"/>
          <w:color w:val="auto"/>
          <w:sz w:val="32"/>
          <w:szCs w:val="32"/>
          <w:highlight w:val="none"/>
          <w:lang w:val="en-US" w:eastAsia="zh-CN"/>
        </w:rPr>
        <w:t>102.03</w:t>
      </w:r>
      <w:r>
        <w:rPr>
          <w:rFonts w:hint="eastAsia" w:ascii="仿宋_GB2312" w:eastAsia="仿宋_GB2312"/>
          <w:color w:val="auto"/>
          <w:sz w:val="32"/>
          <w:szCs w:val="32"/>
          <w:highlight w:val="none"/>
        </w:rPr>
        <w:t>万元。</w:t>
      </w:r>
    </w:p>
    <w:p>
      <w:p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2.“三公”经费情况</w:t>
      </w:r>
    </w:p>
    <w:p>
      <w:pPr>
        <w:ind w:firstLine="640"/>
        <w:jc w:val="left"/>
        <w:rPr>
          <w:rFonts w:ascii="仿宋_GB2312" w:eastAsia="仿宋_GB2312" w:cs="宋体"/>
          <w:color w:val="auto"/>
          <w:sz w:val="32"/>
          <w:szCs w:val="32"/>
          <w:highlight w:val="none"/>
        </w:rPr>
      </w:pPr>
      <w:r>
        <w:rPr>
          <w:rFonts w:hint="eastAsia" w:ascii="仿宋_GB2312" w:eastAsia="仿宋_GB2312" w:cs="宋体"/>
          <w:color w:val="auto"/>
          <w:sz w:val="32"/>
          <w:szCs w:val="32"/>
          <w:highlight w:val="none"/>
        </w:rPr>
        <w:t>我单位认真贯彻落实中央关于厉行节约的有关规定，严格执行《党政机关厉行节约反对浪费条例》，</w:t>
      </w:r>
      <w:r>
        <w:rPr>
          <w:rFonts w:hint="eastAsia" w:ascii="仿宋_GB2312" w:eastAsia="仿宋_GB2312" w:cs="宋体"/>
          <w:color w:val="auto"/>
          <w:sz w:val="32"/>
          <w:szCs w:val="32"/>
          <w:highlight w:val="none"/>
          <w:lang w:eastAsia="zh-CN"/>
        </w:rPr>
        <w:t>2022</w:t>
      </w:r>
      <w:r>
        <w:rPr>
          <w:rFonts w:hint="eastAsia" w:ascii="仿宋_GB2312" w:eastAsia="仿宋_GB2312" w:cs="宋体"/>
          <w:color w:val="auto"/>
          <w:sz w:val="32"/>
          <w:szCs w:val="32"/>
          <w:highlight w:val="none"/>
        </w:rPr>
        <w:t>年“三公”经费预算数为</w:t>
      </w:r>
      <w:r>
        <w:rPr>
          <w:rFonts w:hint="eastAsia" w:ascii="仿宋_GB2312" w:eastAsia="仿宋_GB2312" w:cs="宋体"/>
          <w:color w:val="auto"/>
          <w:sz w:val="32"/>
          <w:szCs w:val="32"/>
          <w:highlight w:val="none"/>
          <w:lang w:val="en-US" w:eastAsia="zh-CN"/>
        </w:rPr>
        <w:t>2.40</w:t>
      </w:r>
      <w:r>
        <w:rPr>
          <w:rFonts w:hint="eastAsia" w:ascii="仿宋_GB2312" w:eastAsia="仿宋_GB2312" w:cs="宋体"/>
          <w:color w:val="auto"/>
          <w:sz w:val="32"/>
          <w:szCs w:val="32"/>
          <w:highlight w:val="none"/>
        </w:rPr>
        <w:t>万元，其中：因公出国（境）费</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万元，公务用车购置及运行费</w:t>
      </w:r>
      <w:r>
        <w:rPr>
          <w:rFonts w:hint="eastAsia" w:ascii="仿宋_GB2312" w:eastAsia="仿宋_GB2312" w:cs="宋体"/>
          <w:color w:val="auto"/>
          <w:sz w:val="32"/>
          <w:szCs w:val="32"/>
          <w:highlight w:val="none"/>
          <w:lang w:val="en-US" w:eastAsia="zh-CN"/>
        </w:rPr>
        <w:t>2.40</w:t>
      </w:r>
      <w:r>
        <w:rPr>
          <w:rFonts w:hint="eastAsia" w:ascii="仿宋_GB2312" w:eastAsia="仿宋_GB2312" w:cs="宋体"/>
          <w:color w:val="auto"/>
          <w:sz w:val="32"/>
          <w:szCs w:val="32"/>
          <w:highlight w:val="none"/>
        </w:rPr>
        <w:t>万元（其中公务用车购置为</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万元），公务接待费</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w:t>
      </w:r>
    </w:p>
    <w:p>
      <w:pPr>
        <w:ind w:firstLine="681" w:firstLineChars="213"/>
        <w:jc w:val="left"/>
        <w:rPr>
          <w:rFonts w:hint="eastAsia" w:ascii="仿宋_GB2312" w:eastAsia="仿宋_GB2312" w:cs="宋体"/>
          <w:color w:val="auto"/>
          <w:sz w:val="32"/>
          <w:szCs w:val="32"/>
          <w:highlight w:val="none"/>
        </w:rPr>
      </w:pPr>
      <w:r>
        <w:rPr>
          <w:rFonts w:hint="eastAsia" w:ascii="仿宋_GB2312" w:eastAsia="仿宋_GB2312" w:cs="宋体"/>
          <w:color w:val="auto"/>
          <w:sz w:val="32"/>
          <w:szCs w:val="32"/>
          <w:highlight w:val="none"/>
          <w:lang w:eastAsia="zh-CN"/>
        </w:rPr>
        <w:t>2022</w:t>
      </w:r>
      <w:r>
        <w:rPr>
          <w:rFonts w:hint="eastAsia" w:ascii="仿宋_GB2312" w:eastAsia="仿宋_GB2312" w:cs="宋体"/>
          <w:color w:val="auto"/>
          <w:sz w:val="32"/>
          <w:szCs w:val="32"/>
          <w:highlight w:val="none"/>
        </w:rPr>
        <w:t>年，全年“三公”经费决算支出</w:t>
      </w:r>
      <w:r>
        <w:rPr>
          <w:rFonts w:hint="eastAsia" w:ascii="仿宋_GB2312" w:eastAsia="仿宋_GB2312" w:cs="宋体"/>
          <w:color w:val="auto"/>
          <w:sz w:val="32"/>
          <w:szCs w:val="32"/>
          <w:highlight w:val="none"/>
          <w:lang w:val="en-US" w:eastAsia="zh-CN"/>
        </w:rPr>
        <w:t>1.60</w:t>
      </w:r>
      <w:r>
        <w:rPr>
          <w:rFonts w:hint="eastAsia" w:ascii="仿宋_GB2312" w:eastAsia="仿宋_GB2312" w:cs="宋体"/>
          <w:color w:val="auto"/>
          <w:sz w:val="32"/>
          <w:szCs w:val="32"/>
          <w:highlight w:val="none"/>
        </w:rPr>
        <w:t>万元，其中：因公出国（境）费用</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万元、公务用车购置及运行费</w:t>
      </w:r>
      <w:r>
        <w:rPr>
          <w:rFonts w:hint="eastAsia" w:ascii="仿宋_GB2312" w:eastAsia="仿宋_GB2312" w:cs="宋体"/>
          <w:color w:val="auto"/>
          <w:sz w:val="32"/>
          <w:szCs w:val="32"/>
          <w:highlight w:val="none"/>
          <w:lang w:val="en-US" w:eastAsia="zh-CN"/>
        </w:rPr>
        <w:t>1.60</w:t>
      </w:r>
      <w:r>
        <w:rPr>
          <w:rFonts w:hint="eastAsia" w:ascii="仿宋_GB2312" w:eastAsia="仿宋_GB2312" w:cs="宋体"/>
          <w:color w:val="auto"/>
          <w:sz w:val="32"/>
          <w:szCs w:val="32"/>
          <w:highlight w:val="none"/>
        </w:rPr>
        <w:t>万元（其中公务用车购置为</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万元）、公务接待费</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万元。较上年“三公”经费决算支出</w:t>
      </w:r>
      <w:r>
        <w:rPr>
          <w:rFonts w:hint="eastAsia" w:ascii="仿宋_GB2312" w:eastAsia="仿宋_GB2312" w:cs="宋体"/>
          <w:color w:val="auto"/>
          <w:sz w:val="32"/>
          <w:szCs w:val="32"/>
          <w:highlight w:val="none"/>
          <w:lang w:val="en-US" w:eastAsia="zh-CN"/>
        </w:rPr>
        <w:t>1.60</w:t>
      </w:r>
      <w:r>
        <w:rPr>
          <w:rFonts w:hint="eastAsia" w:ascii="仿宋_GB2312" w:eastAsia="仿宋_GB2312" w:cs="宋体"/>
          <w:color w:val="auto"/>
          <w:sz w:val="32"/>
          <w:szCs w:val="32"/>
          <w:highlight w:val="none"/>
        </w:rPr>
        <w:t>万元，</w:t>
      </w:r>
      <w:r>
        <w:rPr>
          <w:rFonts w:hint="eastAsia" w:ascii="仿宋_GB2312" w:eastAsia="仿宋_GB2312" w:cs="宋体"/>
          <w:color w:val="auto"/>
          <w:sz w:val="32"/>
          <w:szCs w:val="32"/>
          <w:highlight w:val="none"/>
          <w:lang w:eastAsia="zh-CN"/>
        </w:rPr>
        <w:t>减少</w:t>
      </w:r>
      <w:r>
        <w:rPr>
          <w:rFonts w:hint="eastAsia" w:ascii="仿宋_GB2312" w:eastAsia="仿宋_GB2312" w:cs="宋体"/>
          <w:color w:val="auto"/>
          <w:sz w:val="32"/>
          <w:szCs w:val="32"/>
          <w:highlight w:val="none"/>
          <w:lang w:val="en-US" w:eastAsia="zh-CN"/>
        </w:rPr>
        <w:t>0.8</w:t>
      </w:r>
      <w:r>
        <w:rPr>
          <w:rFonts w:hint="eastAsia" w:ascii="仿宋_GB2312" w:eastAsia="仿宋_GB2312" w:cs="宋体"/>
          <w:color w:val="auto"/>
          <w:sz w:val="32"/>
          <w:szCs w:val="32"/>
          <w:highlight w:val="none"/>
        </w:rPr>
        <w:t>万元，</w:t>
      </w:r>
      <w:r>
        <w:rPr>
          <w:rFonts w:hint="eastAsia" w:ascii="仿宋_GB2312" w:eastAsia="仿宋_GB2312" w:cs="宋体"/>
          <w:color w:val="auto"/>
          <w:sz w:val="32"/>
          <w:szCs w:val="32"/>
          <w:highlight w:val="none"/>
          <w:lang w:eastAsia="zh-CN"/>
        </w:rPr>
        <w:t>下降</w:t>
      </w:r>
      <w:r>
        <w:rPr>
          <w:rFonts w:hint="eastAsia" w:ascii="仿宋_GB2312" w:eastAsia="仿宋_GB2312" w:cs="宋体"/>
          <w:color w:val="auto"/>
          <w:sz w:val="32"/>
          <w:szCs w:val="32"/>
          <w:highlight w:val="none"/>
          <w:lang w:val="en-US" w:eastAsia="zh-CN"/>
        </w:rPr>
        <w:t>33.33</w:t>
      </w:r>
      <w:r>
        <w:rPr>
          <w:rFonts w:hint="eastAsia" w:ascii="仿宋_GB2312" w:eastAsia="仿宋_GB2312" w:cs="宋体"/>
          <w:color w:val="auto"/>
          <w:sz w:val="32"/>
          <w:szCs w:val="32"/>
          <w:highlight w:val="none"/>
        </w:rPr>
        <w:t>%。</w:t>
      </w:r>
    </w:p>
    <w:p>
      <w:pPr>
        <w:pStyle w:val="2"/>
        <w:ind w:firstLine="640"/>
        <w:rPr>
          <w:rFonts w:ascii="楷体_GB2312" w:eastAsia="楷体_GB2312"/>
          <w:color w:val="auto"/>
          <w:szCs w:val="32"/>
          <w:highlight w:val="none"/>
        </w:rPr>
      </w:pPr>
      <w:r>
        <w:rPr>
          <w:rFonts w:hint="eastAsia" w:ascii="楷体_GB2312" w:eastAsia="楷体_GB2312"/>
          <w:color w:val="auto"/>
          <w:szCs w:val="32"/>
          <w:highlight w:val="none"/>
        </w:rPr>
        <w:t>（三）项目支出</w:t>
      </w:r>
      <w:r>
        <w:rPr>
          <w:rFonts w:hint="eastAsia" w:ascii="楷体_GB2312" w:hAnsi="Cambria" w:eastAsia="楷体_GB2312"/>
          <w:color w:val="auto"/>
          <w:szCs w:val="32"/>
          <w:highlight w:val="none"/>
        </w:rPr>
        <w:t>预算安排及支出情况</w:t>
      </w:r>
    </w:p>
    <w:p>
      <w:p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1.项目支出情况</w:t>
      </w:r>
    </w:p>
    <w:p>
      <w:pPr>
        <w:pStyle w:val="4"/>
        <w:ind w:firstLine="640"/>
        <w:rPr>
          <w:rFonts w:hint="eastAsia"/>
          <w:b w:val="0"/>
          <w:bCs w:val="0"/>
          <w:color w:val="auto"/>
          <w:sz w:val="32"/>
          <w:highlight w:val="none"/>
        </w:rPr>
      </w:pPr>
      <w:r>
        <w:rPr>
          <w:rFonts w:hint="eastAsia"/>
          <w:b w:val="0"/>
          <w:bCs w:val="0"/>
          <w:color w:val="auto"/>
          <w:sz w:val="32"/>
          <w:highlight w:val="none"/>
          <w:lang w:eastAsia="zh-CN"/>
        </w:rPr>
        <w:t>2022</w:t>
      </w:r>
      <w:r>
        <w:rPr>
          <w:rFonts w:hint="eastAsia"/>
          <w:b w:val="0"/>
          <w:bCs w:val="0"/>
          <w:color w:val="auto"/>
          <w:sz w:val="32"/>
          <w:highlight w:val="none"/>
        </w:rPr>
        <w:t>年，昌吉市滨湖镇卫生院项目支出年初预算金额为</w:t>
      </w:r>
      <w:r>
        <w:rPr>
          <w:rFonts w:hint="eastAsia"/>
          <w:b w:val="0"/>
          <w:bCs w:val="0"/>
          <w:color w:val="auto"/>
          <w:sz w:val="32"/>
          <w:highlight w:val="none"/>
          <w:lang w:val="en-US" w:eastAsia="zh-CN"/>
        </w:rPr>
        <w:t>0.00</w:t>
      </w:r>
      <w:r>
        <w:rPr>
          <w:rFonts w:hint="eastAsia"/>
          <w:b w:val="0"/>
          <w:bCs w:val="0"/>
          <w:color w:val="auto"/>
          <w:sz w:val="32"/>
          <w:highlight w:val="none"/>
        </w:rPr>
        <w:t>万元，支出金额为</w:t>
      </w:r>
      <w:r>
        <w:rPr>
          <w:rFonts w:hint="eastAsia"/>
          <w:b w:val="0"/>
          <w:bCs w:val="0"/>
          <w:color w:val="auto"/>
          <w:sz w:val="32"/>
          <w:highlight w:val="none"/>
          <w:lang w:val="en-US" w:eastAsia="zh-CN"/>
        </w:rPr>
        <w:t>122.81</w:t>
      </w:r>
      <w:r>
        <w:rPr>
          <w:rFonts w:hint="eastAsia"/>
          <w:b w:val="0"/>
          <w:bCs w:val="0"/>
          <w:color w:val="auto"/>
          <w:sz w:val="32"/>
          <w:highlight w:val="none"/>
        </w:rPr>
        <w:t>万元，执行率为</w:t>
      </w:r>
      <w:r>
        <w:rPr>
          <w:rFonts w:hint="eastAsia"/>
          <w:b w:val="0"/>
          <w:bCs w:val="0"/>
          <w:color w:val="auto"/>
          <w:sz w:val="32"/>
          <w:highlight w:val="none"/>
          <w:lang w:val="en-US" w:eastAsia="zh-CN"/>
        </w:rPr>
        <w:t>100.0</w:t>
      </w:r>
      <w:r>
        <w:rPr>
          <w:rFonts w:hint="eastAsia"/>
          <w:b w:val="0"/>
          <w:bCs w:val="0"/>
          <w:color w:val="auto"/>
          <w:sz w:val="32"/>
          <w:highlight w:val="none"/>
        </w:rPr>
        <w:t>%，年中调整预算金额为</w:t>
      </w:r>
      <w:r>
        <w:rPr>
          <w:rFonts w:hint="eastAsia"/>
          <w:b w:val="0"/>
          <w:bCs w:val="0"/>
          <w:color w:val="auto"/>
          <w:sz w:val="32"/>
          <w:highlight w:val="none"/>
          <w:lang w:val="en-US" w:eastAsia="zh-CN"/>
        </w:rPr>
        <w:t>122.81</w:t>
      </w:r>
      <w:r>
        <w:rPr>
          <w:rFonts w:hint="eastAsia"/>
          <w:b w:val="0"/>
          <w:bCs w:val="0"/>
          <w:color w:val="auto"/>
          <w:sz w:val="32"/>
          <w:highlight w:val="none"/>
        </w:rPr>
        <w:t>万元。综上，我单位项目支出预算总额为</w:t>
      </w:r>
      <w:r>
        <w:rPr>
          <w:rFonts w:hint="eastAsia"/>
          <w:b w:val="0"/>
          <w:bCs w:val="0"/>
          <w:color w:val="auto"/>
          <w:sz w:val="32"/>
          <w:highlight w:val="none"/>
          <w:lang w:val="en-US" w:eastAsia="zh-CN"/>
        </w:rPr>
        <w:t>122.81</w:t>
      </w:r>
      <w:r>
        <w:rPr>
          <w:rFonts w:hint="eastAsia"/>
          <w:b w:val="0"/>
          <w:bCs w:val="0"/>
          <w:color w:val="auto"/>
          <w:sz w:val="32"/>
          <w:highlight w:val="none"/>
        </w:rPr>
        <w:t>万元，支出总额为</w:t>
      </w:r>
      <w:r>
        <w:rPr>
          <w:rFonts w:hint="eastAsia"/>
          <w:b w:val="0"/>
          <w:bCs w:val="0"/>
          <w:color w:val="auto"/>
          <w:sz w:val="32"/>
          <w:highlight w:val="none"/>
          <w:lang w:val="en-US" w:eastAsia="zh-CN"/>
        </w:rPr>
        <w:t>122.81</w:t>
      </w:r>
      <w:r>
        <w:rPr>
          <w:rFonts w:hint="eastAsia"/>
          <w:b w:val="0"/>
          <w:bCs w:val="0"/>
          <w:color w:val="auto"/>
          <w:sz w:val="32"/>
          <w:highlight w:val="none"/>
        </w:rPr>
        <w:t>万元，预算总执行率为</w:t>
      </w:r>
      <w:r>
        <w:rPr>
          <w:rFonts w:hint="eastAsia"/>
          <w:b w:val="0"/>
          <w:bCs w:val="0"/>
          <w:color w:val="auto"/>
          <w:sz w:val="32"/>
          <w:highlight w:val="none"/>
          <w:lang w:val="en-US" w:eastAsia="zh-CN"/>
        </w:rPr>
        <w:t>100</w:t>
      </w:r>
      <w:r>
        <w:rPr>
          <w:rFonts w:hint="eastAsia"/>
          <w:b w:val="0"/>
          <w:bCs w:val="0"/>
          <w:color w:val="auto"/>
          <w:sz w:val="32"/>
          <w:highlight w:val="none"/>
        </w:rPr>
        <w:t>%</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w:t>
      </w:r>
      <w:r>
        <w:rPr>
          <w:rFonts w:hint="eastAsia"/>
          <w:b w:val="0"/>
          <w:bCs w:val="0"/>
          <w:color w:val="auto"/>
          <w:sz w:val="32"/>
          <w:highlight w:val="none"/>
        </w:rPr>
        <w:t>昌吉市滨湖镇卫生院</w:t>
      </w:r>
      <w:r>
        <w:rPr>
          <w:rFonts w:hint="eastAsia" w:ascii="仿宋_GB2312" w:eastAsia="仿宋_GB2312"/>
          <w:color w:val="auto"/>
          <w:sz w:val="32"/>
          <w:szCs w:val="32"/>
          <w:highlight w:val="none"/>
        </w:rPr>
        <w:t>共</w:t>
      </w:r>
      <w:r>
        <w:rPr>
          <w:rFonts w:hint="eastAsia" w:ascii="仿宋_GB2312" w:hAnsi="仿宋_GB2312" w:eastAsia="仿宋_GB2312" w:cs="Times New Roman"/>
          <w:b w:val="0"/>
          <w:bCs w:val="0"/>
          <w:color w:val="auto"/>
          <w:kern w:val="2"/>
          <w:sz w:val="32"/>
          <w:szCs w:val="32"/>
          <w:highlight w:val="none"/>
          <w:lang w:val="en-US" w:eastAsia="zh-CN" w:bidi="ar-SA"/>
        </w:rPr>
        <w:t>有12个中央、自治区、地区、县本级财力安排项目，已完成项目数量9个、未完成项目数量3个。2022年度中央、自治区、</w:t>
      </w:r>
      <w:r>
        <w:rPr>
          <w:rFonts w:hint="eastAsia" w:ascii="仿宋_GB2312" w:eastAsia="仿宋_GB2312"/>
          <w:color w:val="auto"/>
          <w:sz w:val="32"/>
          <w:szCs w:val="32"/>
          <w:highlight w:val="none"/>
        </w:rPr>
        <w:t>地区、</w:t>
      </w:r>
      <w:r>
        <w:rPr>
          <w:rFonts w:ascii="仿宋_GB2312" w:eastAsia="仿宋_GB2312"/>
          <w:color w:val="auto"/>
          <w:sz w:val="32"/>
          <w:szCs w:val="32"/>
          <w:highlight w:val="none"/>
        </w:rPr>
        <w:t>县</w:t>
      </w:r>
      <w:r>
        <w:rPr>
          <w:rFonts w:hint="eastAsia" w:ascii="仿宋_GB2312" w:eastAsia="仿宋_GB2312"/>
          <w:color w:val="auto"/>
          <w:sz w:val="32"/>
          <w:szCs w:val="32"/>
          <w:highlight w:val="none"/>
        </w:rPr>
        <w:t>本级财力安排项目预算及执行情况见下表：</w:t>
      </w:r>
    </w:p>
    <w:p>
      <w:pPr>
        <w:ind w:firstLine="420"/>
        <w:jc w:val="right"/>
        <w:rPr>
          <w:color w:val="auto"/>
          <w:sz w:val="21"/>
          <w:szCs w:val="21"/>
          <w:highlight w:val="none"/>
        </w:rPr>
      </w:pPr>
      <w:r>
        <w:rPr>
          <w:rFonts w:hint="eastAsia"/>
          <w:color w:val="auto"/>
          <w:sz w:val="21"/>
          <w:szCs w:val="21"/>
          <w:highlight w:val="none"/>
        </w:rPr>
        <w:t>单位：万元</w:t>
      </w:r>
    </w:p>
    <w:tbl>
      <w:tblPr>
        <w:tblStyle w:val="11"/>
        <w:tblW w:w="8522" w:type="dxa"/>
        <w:tblInd w:w="0" w:type="dxa"/>
        <w:tblLayout w:type="fixed"/>
        <w:tblCellMar>
          <w:top w:w="0" w:type="dxa"/>
          <w:left w:w="108" w:type="dxa"/>
          <w:bottom w:w="0" w:type="dxa"/>
          <w:right w:w="108" w:type="dxa"/>
        </w:tblCellMar>
      </w:tblPr>
      <w:tblGrid>
        <w:gridCol w:w="3936"/>
        <w:gridCol w:w="1134"/>
        <w:gridCol w:w="1029"/>
        <w:gridCol w:w="966"/>
        <w:gridCol w:w="669"/>
        <w:gridCol w:w="788"/>
      </w:tblGrid>
      <w:tr>
        <w:tblPrEx>
          <w:tblCellMar>
            <w:top w:w="0" w:type="dxa"/>
            <w:left w:w="108" w:type="dxa"/>
            <w:bottom w:w="0" w:type="dxa"/>
            <w:right w:w="108" w:type="dxa"/>
          </w:tblCellMar>
        </w:tblPrEx>
        <w:trPr>
          <w:trHeight w:val="397" w:hRule="atLeast"/>
          <w:tblHeader/>
        </w:trPr>
        <w:tc>
          <w:tcPr>
            <w:tcW w:w="3936"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b/>
                <w:bCs/>
                <w:color w:val="auto"/>
                <w:kern w:val="0"/>
                <w:sz w:val="21"/>
                <w:szCs w:val="21"/>
                <w:highlight w:val="none"/>
              </w:rPr>
            </w:pPr>
            <w:r>
              <w:rPr>
                <w:rFonts w:hint="eastAsia" w:ascii="仿宋_GB2312" w:hAnsi="宋体" w:eastAsia="仿宋_GB2312" w:cs="宋体"/>
                <w:b/>
                <w:bCs/>
                <w:color w:val="auto"/>
                <w:kern w:val="0"/>
                <w:sz w:val="21"/>
                <w:szCs w:val="21"/>
                <w:highlight w:val="none"/>
              </w:rPr>
              <w:t>项目名称</w:t>
            </w:r>
          </w:p>
        </w:tc>
        <w:tc>
          <w:tcPr>
            <w:tcW w:w="1134" w:type="dxa"/>
            <w:tcBorders>
              <w:top w:val="single" w:color="auto" w:sz="8" w:space="0"/>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b/>
                <w:bCs/>
                <w:color w:val="auto"/>
                <w:kern w:val="0"/>
                <w:sz w:val="21"/>
                <w:szCs w:val="21"/>
                <w:highlight w:val="none"/>
              </w:rPr>
            </w:pPr>
            <w:r>
              <w:rPr>
                <w:rFonts w:hint="eastAsia" w:ascii="仿宋_GB2312" w:hAnsi="宋体" w:eastAsia="仿宋_GB2312" w:cs="宋体"/>
                <w:b/>
                <w:bCs/>
                <w:color w:val="auto"/>
                <w:kern w:val="0"/>
                <w:sz w:val="21"/>
                <w:szCs w:val="21"/>
                <w:highlight w:val="none"/>
              </w:rPr>
              <w:t>预算金额</w:t>
            </w:r>
          </w:p>
        </w:tc>
        <w:tc>
          <w:tcPr>
            <w:tcW w:w="1029" w:type="dxa"/>
            <w:tcBorders>
              <w:top w:val="single" w:color="auto" w:sz="8" w:space="0"/>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b/>
                <w:bCs/>
                <w:color w:val="auto"/>
                <w:kern w:val="0"/>
                <w:sz w:val="21"/>
                <w:szCs w:val="21"/>
                <w:highlight w:val="none"/>
              </w:rPr>
            </w:pPr>
            <w:r>
              <w:rPr>
                <w:rFonts w:hint="eastAsia" w:ascii="仿宋_GB2312" w:hAnsi="宋体" w:eastAsia="仿宋_GB2312" w:cs="宋体"/>
                <w:b/>
                <w:bCs/>
                <w:color w:val="auto"/>
                <w:kern w:val="0"/>
                <w:sz w:val="21"/>
                <w:szCs w:val="21"/>
                <w:highlight w:val="none"/>
              </w:rPr>
              <w:t>执行金额</w:t>
            </w:r>
          </w:p>
        </w:tc>
        <w:tc>
          <w:tcPr>
            <w:tcW w:w="966" w:type="dxa"/>
            <w:tcBorders>
              <w:top w:val="single" w:color="auto" w:sz="8" w:space="0"/>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b/>
                <w:bCs/>
                <w:color w:val="auto"/>
                <w:kern w:val="0"/>
                <w:sz w:val="21"/>
                <w:szCs w:val="21"/>
                <w:highlight w:val="none"/>
              </w:rPr>
            </w:pPr>
            <w:r>
              <w:rPr>
                <w:rFonts w:hint="eastAsia" w:ascii="仿宋_GB2312" w:hAnsi="宋体" w:eastAsia="仿宋_GB2312" w:cs="宋体"/>
                <w:b/>
                <w:bCs/>
                <w:color w:val="auto"/>
                <w:kern w:val="0"/>
                <w:sz w:val="21"/>
                <w:szCs w:val="21"/>
                <w:highlight w:val="none"/>
              </w:rPr>
              <w:t>执行率</w:t>
            </w:r>
          </w:p>
        </w:tc>
        <w:tc>
          <w:tcPr>
            <w:tcW w:w="669" w:type="dxa"/>
            <w:tcBorders>
              <w:top w:val="single" w:color="auto" w:sz="8" w:space="0"/>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b/>
                <w:bCs/>
                <w:color w:val="auto"/>
                <w:kern w:val="0"/>
                <w:sz w:val="21"/>
                <w:szCs w:val="21"/>
                <w:highlight w:val="none"/>
              </w:rPr>
            </w:pPr>
            <w:r>
              <w:rPr>
                <w:rFonts w:hint="eastAsia" w:ascii="仿宋_GB2312" w:hAnsi="宋体" w:eastAsia="仿宋_GB2312" w:cs="宋体"/>
                <w:b/>
                <w:bCs/>
                <w:color w:val="auto"/>
                <w:kern w:val="0"/>
                <w:sz w:val="21"/>
                <w:szCs w:val="21"/>
                <w:highlight w:val="none"/>
              </w:rPr>
              <w:t>项目是否完成</w:t>
            </w:r>
          </w:p>
        </w:tc>
        <w:tc>
          <w:tcPr>
            <w:tcW w:w="788" w:type="dxa"/>
            <w:tcBorders>
              <w:top w:val="single" w:color="auto" w:sz="8" w:space="0"/>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b/>
                <w:bCs/>
                <w:color w:val="auto"/>
                <w:kern w:val="0"/>
                <w:sz w:val="21"/>
                <w:szCs w:val="21"/>
                <w:highlight w:val="none"/>
              </w:rPr>
            </w:pPr>
            <w:r>
              <w:rPr>
                <w:rFonts w:hint="eastAsia" w:ascii="仿宋_GB2312" w:hAnsi="宋体" w:eastAsia="仿宋_GB2312" w:cs="宋体"/>
                <w:b/>
                <w:bCs/>
                <w:color w:val="auto"/>
                <w:kern w:val="0"/>
                <w:sz w:val="21"/>
                <w:szCs w:val="21"/>
                <w:highlight w:val="none"/>
              </w:rPr>
              <w:t>是否上级专项资金</w:t>
            </w:r>
          </w:p>
        </w:tc>
      </w:tr>
      <w:tr>
        <w:tblPrEx>
          <w:tblCellMar>
            <w:top w:w="0" w:type="dxa"/>
            <w:left w:w="108" w:type="dxa"/>
            <w:bottom w:w="0" w:type="dxa"/>
            <w:right w:w="108" w:type="dxa"/>
          </w:tblCellMar>
        </w:tblPrEx>
        <w:trPr>
          <w:trHeight w:val="461"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left"/>
              <w:outlineLvl w:val="9"/>
              <w:rPr>
                <w:rFonts w:hint="eastAsia" w:ascii="仿宋_GB2312" w:hAnsi="宋体" w:eastAsia="仿宋_GB2312" w:cs="宋体"/>
                <w:b w:val="0"/>
                <w:bCs w:val="0"/>
                <w:color w:val="auto"/>
                <w:kern w:val="0"/>
                <w:sz w:val="21"/>
                <w:szCs w:val="21"/>
                <w:highlight w:val="none"/>
              </w:rPr>
            </w:pPr>
            <w:r>
              <w:rPr>
                <w:rFonts w:hint="eastAsia" w:ascii="仿宋_GB2312" w:hAnsi="宋体" w:eastAsia="仿宋_GB2312" w:cs="宋体"/>
                <w:b w:val="0"/>
                <w:bCs w:val="0"/>
                <w:color w:val="auto"/>
                <w:kern w:val="0"/>
                <w:sz w:val="21"/>
                <w:szCs w:val="21"/>
                <w:highlight w:val="none"/>
              </w:rPr>
              <w:t>2022年自治区公共卫生服务（地方公共卫生）补助资金（开展全民健康体检）</w:t>
            </w:r>
          </w:p>
        </w:tc>
        <w:tc>
          <w:tcPr>
            <w:tcW w:w="1134"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center"/>
              <w:textAlignment w:val="center"/>
              <w:outlineLvl w:val="9"/>
              <w:rPr>
                <w:rFonts w:ascii="仿宋_GB2312" w:hAnsi="宋体" w:eastAsia="仿宋_GB2312" w:cs="宋体"/>
                <w:color w:val="auto"/>
                <w:kern w:val="0"/>
                <w:sz w:val="21"/>
                <w:szCs w:val="21"/>
                <w:highlight w:val="none"/>
              </w:rPr>
            </w:pPr>
            <w:r>
              <w:rPr>
                <w:rFonts w:hint="eastAsia" w:ascii="仿宋_GB2312" w:hAnsi="宋体" w:eastAsia="仿宋_GB2312" w:cs="宋体"/>
                <w:color w:val="auto"/>
                <w:kern w:val="0"/>
                <w:sz w:val="21"/>
                <w:szCs w:val="21"/>
                <w:highlight w:val="none"/>
              </w:rPr>
              <w:t>19.69</w:t>
            </w:r>
          </w:p>
        </w:tc>
        <w:tc>
          <w:tcPr>
            <w:tcW w:w="102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color w:val="auto"/>
                <w:highlight w:val="none"/>
              </w:rPr>
            </w:pPr>
            <w:r>
              <w:rPr>
                <w:rFonts w:hint="eastAsia" w:ascii="仿宋_GB2312" w:hAnsi="宋体" w:eastAsia="仿宋_GB2312" w:cs="宋体"/>
                <w:color w:val="auto"/>
                <w:kern w:val="0"/>
                <w:sz w:val="21"/>
                <w:szCs w:val="21"/>
                <w:highlight w:val="none"/>
              </w:rPr>
              <w:t>19.69</w:t>
            </w:r>
          </w:p>
        </w:tc>
        <w:tc>
          <w:tcPr>
            <w:tcW w:w="96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ascii="仿宋_GB2312" w:hAnsi="宋体" w:eastAsia="仿宋_GB2312" w:cs="宋体"/>
                <w:color w:val="auto"/>
                <w:kern w:val="0"/>
                <w:sz w:val="21"/>
                <w:szCs w:val="21"/>
                <w:highlight w:val="none"/>
              </w:rPr>
            </w:pPr>
            <w:r>
              <w:rPr>
                <w:rFonts w:hint="eastAsia" w:ascii="宋体" w:hAnsi="宋体" w:eastAsia="宋体" w:cs="宋体"/>
                <w:i w:val="0"/>
                <w:color w:val="auto"/>
                <w:kern w:val="0"/>
                <w:sz w:val="22"/>
                <w:szCs w:val="22"/>
                <w:highlight w:val="none"/>
                <w:u w:val="none"/>
                <w:lang w:val="en-US" w:eastAsia="zh-CN" w:bidi="ar"/>
              </w:rPr>
              <w:t>100%</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宋体" w:eastAsia="仿宋_GB2312" w:cs="宋体"/>
                <w:color w:val="auto"/>
                <w:kern w:val="0"/>
                <w:sz w:val="21"/>
                <w:szCs w:val="21"/>
                <w:highlight w:val="none"/>
                <w:lang w:val="en-US" w:eastAsia="zh-CN"/>
              </w:rPr>
            </w:pPr>
            <w:r>
              <w:rPr>
                <w:rFonts w:hint="eastAsia" w:ascii="仿宋_GB2312" w:hAnsi="宋体" w:eastAsia="仿宋_GB2312" w:cs="宋体"/>
                <w:color w:val="auto"/>
                <w:kern w:val="0"/>
                <w:sz w:val="21"/>
                <w:szCs w:val="21"/>
                <w:highlight w:val="none"/>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color w:val="auto"/>
                <w:kern w:val="0"/>
                <w:sz w:val="21"/>
                <w:szCs w:val="21"/>
                <w:highlight w:val="none"/>
              </w:rPr>
            </w:pP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left"/>
              <w:outlineLvl w:val="9"/>
              <w:rPr>
                <w:rFonts w:hint="eastAsia" w:ascii="仿宋_GB2312" w:hAnsi="宋体" w:eastAsia="仿宋_GB2312" w:cs="宋体"/>
                <w:b w:val="0"/>
                <w:bCs w:val="0"/>
                <w:color w:val="auto"/>
                <w:kern w:val="0"/>
                <w:sz w:val="21"/>
                <w:szCs w:val="21"/>
                <w:highlight w:val="none"/>
              </w:rPr>
            </w:pPr>
            <w:r>
              <w:rPr>
                <w:rFonts w:hint="eastAsia" w:ascii="仿宋_GB2312" w:hAnsi="宋体" w:eastAsia="仿宋_GB2312" w:cs="宋体"/>
                <w:b w:val="0"/>
                <w:bCs w:val="0"/>
                <w:color w:val="auto"/>
                <w:kern w:val="0"/>
                <w:sz w:val="21"/>
                <w:szCs w:val="21"/>
                <w:highlight w:val="none"/>
              </w:rPr>
              <w:t>2022年自治区基本公共卫生服务（自治区直达资金）</w:t>
            </w:r>
          </w:p>
        </w:tc>
        <w:tc>
          <w:tcPr>
            <w:tcW w:w="1134"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center"/>
              <w:textAlignment w:val="center"/>
              <w:outlineLvl w:val="9"/>
              <w:rPr>
                <w:rFonts w:ascii="仿宋_GB2312" w:hAnsi="宋体" w:eastAsia="仿宋_GB2312" w:cs="宋体"/>
                <w:color w:val="auto"/>
                <w:kern w:val="0"/>
                <w:sz w:val="21"/>
                <w:szCs w:val="21"/>
                <w:highlight w:val="none"/>
              </w:rPr>
            </w:pPr>
            <w:r>
              <w:rPr>
                <w:rFonts w:hint="eastAsia" w:ascii="仿宋_GB2312" w:hAnsi="宋体" w:eastAsia="仿宋_GB2312" w:cs="宋体"/>
                <w:color w:val="auto"/>
                <w:kern w:val="0"/>
                <w:sz w:val="21"/>
                <w:szCs w:val="21"/>
                <w:highlight w:val="none"/>
              </w:rPr>
              <w:t>5.8</w:t>
            </w:r>
          </w:p>
        </w:tc>
        <w:tc>
          <w:tcPr>
            <w:tcW w:w="102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ascii="仿宋_GB2312" w:hAnsi="宋体" w:eastAsia="仿宋_GB2312" w:cs="宋体"/>
                <w:color w:val="auto"/>
                <w:kern w:val="0"/>
                <w:sz w:val="21"/>
                <w:szCs w:val="21"/>
                <w:highlight w:val="none"/>
              </w:rPr>
            </w:pPr>
            <w:r>
              <w:rPr>
                <w:rFonts w:hint="eastAsia" w:ascii="仿宋_GB2312" w:hAnsi="宋体" w:eastAsia="仿宋_GB2312" w:cs="宋体"/>
                <w:color w:val="auto"/>
                <w:kern w:val="0"/>
                <w:sz w:val="21"/>
                <w:szCs w:val="21"/>
                <w:highlight w:val="none"/>
              </w:rPr>
              <w:t>5.8</w:t>
            </w:r>
          </w:p>
        </w:tc>
        <w:tc>
          <w:tcPr>
            <w:tcW w:w="96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ascii="仿宋_GB2312" w:hAnsi="宋体" w:eastAsia="仿宋_GB2312" w:cs="宋体"/>
                <w:color w:val="auto"/>
                <w:kern w:val="0"/>
                <w:sz w:val="21"/>
                <w:szCs w:val="21"/>
                <w:highlight w:val="none"/>
              </w:rPr>
            </w:pPr>
            <w:r>
              <w:rPr>
                <w:rFonts w:hint="eastAsia" w:ascii="宋体" w:hAnsi="宋体" w:eastAsia="宋体" w:cs="宋体"/>
                <w:i w:val="0"/>
                <w:color w:val="auto"/>
                <w:kern w:val="0"/>
                <w:sz w:val="22"/>
                <w:szCs w:val="22"/>
                <w:highlight w:val="none"/>
                <w:u w:val="none"/>
                <w:lang w:val="en-US" w:eastAsia="zh-CN" w:bidi="ar"/>
              </w:rPr>
              <w:t>100%</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color w:val="auto"/>
                <w:kern w:val="0"/>
                <w:sz w:val="21"/>
                <w:szCs w:val="21"/>
                <w:highlight w:val="none"/>
              </w:rPr>
            </w:pPr>
            <w:r>
              <w:rPr>
                <w:rFonts w:hint="eastAsia" w:ascii="仿宋_GB2312" w:hAnsi="宋体" w:eastAsia="仿宋_GB2312" w:cs="宋体"/>
                <w:color w:val="auto"/>
                <w:kern w:val="0"/>
                <w:sz w:val="21"/>
                <w:szCs w:val="21"/>
                <w:highlight w:val="none"/>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宋体" w:eastAsia="仿宋_GB2312" w:cs="宋体"/>
                <w:color w:val="auto"/>
                <w:kern w:val="0"/>
                <w:sz w:val="21"/>
                <w:szCs w:val="21"/>
                <w:highlight w:val="none"/>
                <w:lang w:eastAsia="zh-CN"/>
              </w:rPr>
            </w:pPr>
            <w:r>
              <w:rPr>
                <w:rFonts w:hint="eastAsia" w:ascii="仿宋_GB2312" w:hAnsi="宋体" w:eastAsia="仿宋_GB2312" w:cs="宋体"/>
                <w:color w:val="auto"/>
                <w:kern w:val="0"/>
                <w:sz w:val="21"/>
                <w:szCs w:val="21"/>
                <w:highlight w:val="none"/>
                <w:lang w:eastAsia="zh-CN"/>
              </w:rPr>
              <w:t>是</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left"/>
              <w:outlineLvl w:val="9"/>
              <w:rPr>
                <w:rFonts w:hint="eastAsia" w:ascii="仿宋_GB2312" w:hAnsi="宋体" w:eastAsia="仿宋_GB2312" w:cs="宋体"/>
                <w:b w:val="0"/>
                <w:bCs w:val="0"/>
                <w:color w:val="auto"/>
                <w:kern w:val="0"/>
                <w:sz w:val="21"/>
                <w:szCs w:val="21"/>
                <w:highlight w:val="none"/>
              </w:rPr>
            </w:pPr>
            <w:r>
              <w:rPr>
                <w:rFonts w:hint="eastAsia" w:ascii="仿宋_GB2312" w:hAnsi="宋体" w:eastAsia="仿宋_GB2312" w:cs="宋体"/>
                <w:b w:val="0"/>
                <w:bCs w:val="0"/>
                <w:color w:val="auto"/>
                <w:kern w:val="0"/>
                <w:sz w:val="21"/>
                <w:szCs w:val="21"/>
                <w:highlight w:val="none"/>
              </w:rPr>
              <w:t>2022年中央基本公共卫生服务（中央直达资金）</w:t>
            </w:r>
          </w:p>
        </w:tc>
        <w:tc>
          <w:tcPr>
            <w:tcW w:w="1134"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210" w:firstLineChars="100"/>
              <w:jc w:val="both"/>
              <w:textAlignment w:val="center"/>
              <w:outlineLvl w:val="9"/>
              <w:rPr>
                <w:rFonts w:ascii="仿宋_GB2312" w:hAnsi="宋体" w:eastAsia="仿宋_GB2312" w:cs="宋体"/>
                <w:color w:val="auto"/>
                <w:kern w:val="0"/>
                <w:sz w:val="21"/>
                <w:szCs w:val="21"/>
                <w:highlight w:val="none"/>
              </w:rPr>
            </w:pPr>
            <w:r>
              <w:rPr>
                <w:rFonts w:hint="eastAsia" w:ascii="仿宋_GB2312" w:hAnsi="宋体" w:eastAsia="仿宋_GB2312" w:cs="宋体"/>
                <w:color w:val="auto"/>
                <w:kern w:val="0"/>
                <w:sz w:val="21"/>
                <w:szCs w:val="21"/>
                <w:highlight w:val="none"/>
              </w:rPr>
              <w:t>27.5</w:t>
            </w:r>
          </w:p>
        </w:tc>
        <w:tc>
          <w:tcPr>
            <w:tcW w:w="102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center"/>
              <w:textAlignment w:val="center"/>
              <w:outlineLvl w:val="9"/>
              <w:rPr>
                <w:rFonts w:hint="default" w:ascii="仿宋_GB2312" w:hAnsi="宋体" w:eastAsia="仿宋_GB2312" w:cs="宋体"/>
                <w:color w:val="auto"/>
                <w:kern w:val="0"/>
                <w:sz w:val="21"/>
                <w:szCs w:val="21"/>
                <w:highlight w:val="none"/>
                <w:lang w:val="en-US" w:eastAsia="zh-CN"/>
              </w:rPr>
            </w:pPr>
            <w:r>
              <w:rPr>
                <w:rFonts w:hint="eastAsia" w:ascii="仿宋_GB2312" w:hAnsi="宋体" w:eastAsia="仿宋_GB2312" w:cs="宋体"/>
                <w:color w:val="auto"/>
                <w:kern w:val="0"/>
                <w:sz w:val="21"/>
                <w:szCs w:val="21"/>
                <w:highlight w:val="none"/>
                <w:lang w:val="en-US" w:eastAsia="zh-CN"/>
              </w:rPr>
              <w:t>25.97</w:t>
            </w:r>
          </w:p>
        </w:tc>
        <w:tc>
          <w:tcPr>
            <w:tcW w:w="96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ascii="仿宋_GB2312" w:hAnsi="宋体" w:eastAsia="仿宋_GB2312" w:cs="宋体"/>
                <w:color w:val="auto"/>
                <w:kern w:val="0"/>
                <w:sz w:val="21"/>
                <w:szCs w:val="21"/>
                <w:highlight w:val="none"/>
              </w:rPr>
            </w:pPr>
            <w:r>
              <w:rPr>
                <w:rFonts w:hint="eastAsia" w:ascii="宋体" w:hAnsi="宋体" w:eastAsia="宋体" w:cs="宋体"/>
                <w:i w:val="0"/>
                <w:color w:val="auto"/>
                <w:kern w:val="0"/>
                <w:sz w:val="22"/>
                <w:szCs w:val="22"/>
                <w:highlight w:val="none"/>
                <w:u w:val="none"/>
                <w:lang w:val="en-US" w:eastAsia="zh-CN" w:bidi="ar"/>
              </w:rPr>
              <w:t>94.44%</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color w:val="auto"/>
                <w:kern w:val="0"/>
                <w:sz w:val="21"/>
                <w:szCs w:val="21"/>
                <w:highlight w:val="none"/>
              </w:rPr>
            </w:pPr>
            <w:r>
              <w:rPr>
                <w:rFonts w:hint="eastAsia" w:ascii="仿宋_GB2312" w:hAnsi="宋体" w:eastAsia="仿宋_GB2312" w:cs="宋体"/>
                <w:color w:val="auto"/>
                <w:kern w:val="0"/>
                <w:sz w:val="21"/>
                <w:szCs w:val="21"/>
                <w:highlight w:val="none"/>
                <w:lang w:val="en-US" w:eastAsia="zh-CN"/>
              </w:rPr>
              <w:t>否</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宋体" w:eastAsia="仿宋_GB2312" w:cs="宋体"/>
                <w:color w:val="auto"/>
                <w:kern w:val="0"/>
                <w:sz w:val="21"/>
                <w:szCs w:val="21"/>
                <w:highlight w:val="none"/>
                <w:lang w:val="en-US" w:eastAsia="zh-CN"/>
              </w:rPr>
            </w:pPr>
            <w:r>
              <w:rPr>
                <w:rFonts w:hint="eastAsia" w:ascii="仿宋_GB2312" w:hAnsi="宋体" w:eastAsia="仿宋_GB2312" w:cs="宋体"/>
                <w:color w:val="auto"/>
                <w:kern w:val="0"/>
                <w:sz w:val="21"/>
                <w:szCs w:val="21"/>
                <w:highlight w:val="none"/>
                <w:lang w:val="en-US" w:eastAsia="zh-CN"/>
              </w:rPr>
              <w:t>是</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left"/>
              <w:outlineLvl w:val="9"/>
              <w:rPr>
                <w:rFonts w:hint="eastAsia" w:ascii="仿宋_GB2312" w:hAnsi="宋体" w:eastAsia="仿宋_GB2312" w:cs="宋体"/>
                <w:b w:val="0"/>
                <w:bCs w:val="0"/>
                <w:color w:val="auto"/>
                <w:kern w:val="0"/>
                <w:sz w:val="21"/>
                <w:szCs w:val="21"/>
                <w:highlight w:val="none"/>
              </w:rPr>
            </w:pPr>
            <w:r>
              <w:rPr>
                <w:rFonts w:hint="eastAsia" w:ascii="仿宋_GB2312" w:hAnsi="宋体" w:eastAsia="仿宋_GB2312" w:cs="宋体"/>
                <w:b w:val="0"/>
                <w:bCs w:val="0"/>
                <w:color w:val="auto"/>
                <w:kern w:val="0"/>
                <w:sz w:val="21"/>
                <w:szCs w:val="21"/>
                <w:highlight w:val="none"/>
              </w:rPr>
              <w:t>2022年中央基本药物制度（中央直达资金）</w:t>
            </w:r>
          </w:p>
        </w:tc>
        <w:tc>
          <w:tcPr>
            <w:tcW w:w="1134"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center"/>
              <w:textAlignment w:val="center"/>
              <w:outlineLvl w:val="9"/>
              <w:rPr>
                <w:rFonts w:ascii="仿宋_GB2312" w:hAnsi="宋体" w:eastAsia="仿宋_GB2312" w:cs="宋体"/>
                <w:color w:val="auto"/>
                <w:kern w:val="0"/>
                <w:sz w:val="21"/>
                <w:szCs w:val="21"/>
                <w:highlight w:val="none"/>
              </w:rPr>
            </w:pPr>
            <w:r>
              <w:rPr>
                <w:rFonts w:hint="eastAsia" w:ascii="仿宋_GB2312" w:hAnsi="宋体" w:eastAsia="仿宋_GB2312" w:cs="宋体"/>
                <w:color w:val="auto"/>
                <w:kern w:val="0"/>
                <w:sz w:val="21"/>
                <w:szCs w:val="21"/>
                <w:highlight w:val="none"/>
              </w:rPr>
              <w:t>10.59</w:t>
            </w:r>
          </w:p>
        </w:tc>
        <w:tc>
          <w:tcPr>
            <w:tcW w:w="102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center"/>
              <w:textAlignment w:val="center"/>
              <w:outlineLvl w:val="9"/>
              <w:rPr>
                <w:rFonts w:ascii="仿宋_GB2312" w:hAnsi="宋体" w:eastAsia="仿宋_GB2312" w:cs="宋体"/>
                <w:color w:val="auto"/>
                <w:kern w:val="0"/>
                <w:sz w:val="21"/>
                <w:szCs w:val="21"/>
                <w:highlight w:val="none"/>
              </w:rPr>
            </w:pPr>
            <w:r>
              <w:rPr>
                <w:rFonts w:hint="eastAsia" w:ascii="仿宋_GB2312" w:hAnsi="宋体" w:eastAsia="仿宋_GB2312" w:cs="宋体"/>
                <w:color w:val="auto"/>
                <w:kern w:val="0"/>
                <w:sz w:val="21"/>
                <w:szCs w:val="21"/>
                <w:highlight w:val="none"/>
              </w:rPr>
              <w:t>10.59</w:t>
            </w:r>
          </w:p>
        </w:tc>
        <w:tc>
          <w:tcPr>
            <w:tcW w:w="96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ascii="仿宋_GB2312" w:hAnsi="宋体" w:eastAsia="仿宋_GB2312" w:cs="宋体"/>
                <w:color w:val="auto"/>
                <w:kern w:val="0"/>
                <w:sz w:val="21"/>
                <w:szCs w:val="21"/>
                <w:highlight w:val="none"/>
              </w:rPr>
            </w:pPr>
            <w:r>
              <w:rPr>
                <w:rFonts w:hint="eastAsia" w:ascii="宋体" w:hAnsi="宋体" w:eastAsia="宋体" w:cs="宋体"/>
                <w:i w:val="0"/>
                <w:color w:val="auto"/>
                <w:kern w:val="0"/>
                <w:sz w:val="22"/>
                <w:szCs w:val="22"/>
                <w:highlight w:val="none"/>
                <w:u w:val="none"/>
                <w:lang w:val="en-US" w:eastAsia="zh-CN" w:bidi="ar"/>
              </w:rPr>
              <w:t>100%</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color w:val="auto"/>
                <w:kern w:val="0"/>
                <w:sz w:val="21"/>
                <w:szCs w:val="21"/>
                <w:highlight w:val="none"/>
              </w:rPr>
            </w:pPr>
            <w:r>
              <w:rPr>
                <w:rFonts w:hint="eastAsia" w:ascii="仿宋_GB2312" w:hAnsi="宋体" w:eastAsia="仿宋_GB2312" w:cs="宋体"/>
                <w:color w:val="auto"/>
                <w:kern w:val="0"/>
                <w:sz w:val="21"/>
                <w:szCs w:val="21"/>
                <w:highlight w:val="none"/>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color w:val="auto"/>
                <w:kern w:val="0"/>
                <w:sz w:val="21"/>
                <w:szCs w:val="21"/>
                <w:highlight w:val="none"/>
              </w:rPr>
            </w:pPr>
            <w:r>
              <w:rPr>
                <w:rFonts w:hint="eastAsia" w:ascii="仿宋_GB2312" w:hAnsi="宋体" w:eastAsia="仿宋_GB2312" w:cs="宋体"/>
                <w:color w:val="auto"/>
                <w:kern w:val="0"/>
                <w:sz w:val="21"/>
                <w:szCs w:val="21"/>
                <w:highlight w:val="none"/>
                <w:lang w:val="en-US" w:eastAsia="zh-CN"/>
              </w:rPr>
              <w:t>是</w:t>
            </w:r>
          </w:p>
        </w:tc>
      </w:tr>
      <w:tr>
        <w:tblPrEx>
          <w:tblCellMar>
            <w:top w:w="0" w:type="dxa"/>
            <w:left w:w="108" w:type="dxa"/>
            <w:bottom w:w="0" w:type="dxa"/>
            <w:right w:w="108" w:type="dxa"/>
          </w:tblCellMar>
        </w:tblPrEx>
        <w:trPr>
          <w:trHeight w:val="759"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left"/>
              <w:outlineLvl w:val="9"/>
              <w:rPr>
                <w:rFonts w:hint="eastAsia" w:ascii="仿宋_GB2312" w:hAnsi="宋体" w:eastAsia="仿宋_GB2312" w:cs="宋体"/>
                <w:b w:val="0"/>
                <w:bCs w:val="0"/>
                <w:color w:val="auto"/>
                <w:kern w:val="0"/>
                <w:sz w:val="21"/>
                <w:szCs w:val="21"/>
                <w:highlight w:val="none"/>
              </w:rPr>
            </w:pPr>
            <w:r>
              <w:rPr>
                <w:rFonts w:hint="eastAsia" w:ascii="仿宋_GB2312" w:hAnsi="宋体" w:eastAsia="仿宋_GB2312" w:cs="宋体"/>
                <w:b w:val="0"/>
                <w:bCs w:val="0"/>
                <w:color w:val="auto"/>
                <w:kern w:val="0"/>
                <w:sz w:val="21"/>
                <w:szCs w:val="21"/>
                <w:highlight w:val="none"/>
              </w:rPr>
              <w:t>2022年中央重大传染病防控经费</w:t>
            </w:r>
          </w:p>
        </w:tc>
        <w:tc>
          <w:tcPr>
            <w:tcW w:w="1134"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210" w:firstLineChars="100"/>
              <w:jc w:val="both"/>
              <w:textAlignment w:val="center"/>
              <w:outlineLvl w:val="9"/>
              <w:rPr>
                <w:rFonts w:ascii="仿宋_GB2312" w:hAnsi="宋体" w:eastAsia="仿宋_GB2312" w:cs="宋体"/>
                <w:color w:val="auto"/>
                <w:kern w:val="0"/>
                <w:sz w:val="21"/>
                <w:szCs w:val="21"/>
                <w:highlight w:val="none"/>
              </w:rPr>
            </w:pPr>
            <w:r>
              <w:rPr>
                <w:rFonts w:hint="eastAsia" w:ascii="仿宋_GB2312" w:hAnsi="宋体" w:eastAsia="仿宋_GB2312" w:cs="宋体"/>
                <w:color w:val="auto"/>
                <w:kern w:val="0"/>
                <w:sz w:val="21"/>
                <w:szCs w:val="21"/>
                <w:highlight w:val="none"/>
              </w:rPr>
              <w:t>1.9</w:t>
            </w:r>
          </w:p>
        </w:tc>
        <w:tc>
          <w:tcPr>
            <w:tcW w:w="102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center"/>
              <w:textAlignment w:val="center"/>
              <w:outlineLvl w:val="9"/>
              <w:rPr>
                <w:rFonts w:hint="default" w:ascii="仿宋_GB2312" w:hAnsi="宋体" w:eastAsia="仿宋_GB2312" w:cs="宋体"/>
                <w:color w:val="auto"/>
                <w:kern w:val="0"/>
                <w:sz w:val="21"/>
                <w:szCs w:val="21"/>
                <w:highlight w:val="none"/>
                <w:lang w:val="en-US" w:eastAsia="zh-CN"/>
              </w:rPr>
            </w:pPr>
            <w:r>
              <w:rPr>
                <w:rFonts w:hint="eastAsia" w:ascii="仿宋_GB2312" w:hAnsi="宋体" w:eastAsia="仿宋_GB2312" w:cs="宋体"/>
                <w:color w:val="auto"/>
                <w:kern w:val="0"/>
                <w:sz w:val="21"/>
                <w:szCs w:val="21"/>
                <w:highlight w:val="none"/>
                <w:lang w:val="en-US" w:eastAsia="zh-CN"/>
              </w:rPr>
              <w:t>1.49</w:t>
            </w:r>
          </w:p>
        </w:tc>
        <w:tc>
          <w:tcPr>
            <w:tcW w:w="96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ascii="仿宋_GB2312" w:hAnsi="宋体" w:eastAsia="仿宋_GB2312" w:cs="宋体"/>
                <w:color w:val="auto"/>
                <w:kern w:val="0"/>
                <w:sz w:val="21"/>
                <w:szCs w:val="21"/>
                <w:highlight w:val="none"/>
              </w:rPr>
            </w:pPr>
            <w:r>
              <w:rPr>
                <w:rFonts w:hint="eastAsia" w:ascii="宋体" w:hAnsi="宋体" w:eastAsia="宋体" w:cs="宋体"/>
                <w:i w:val="0"/>
                <w:color w:val="auto"/>
                <w:kern w:val="0"/>
                <w:sz w:val="22"/>
                <w:szCs w:val="22"/>
                <w:highlight w:val="none"/>
                <w:u w:val="none"/>
                <w:lang w:val="en-US" w:eastAsia="zh-CN" w:bidi="ar"/>
              </w:rPr>
              <w:t>78.42%</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color w:val="auto"/>
                <w:kern w:val="0"/>
                <w:sz w:val="21"/>
                <w:szCs w:val="21"/>
                <w:highlight w:val="none"/>
              </w:rPr>
            </w:pPr>
            <w:r>
              <w:rPr>
                <w:rFonts w:hint="eastAsia" w:ascii="仿宋_GB2312" w:hAnsi="宋体" w:eastAsia="仿宋_GB2312" w:cs="宋体"/>
                <w:color w:val="auto"/>
                <w:kern w:val="0"/>
                <w:sz w:val="21"/>
                <w:szCs w:val="21"/>
                <w:highlight w:val="none"/>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宋体" w:eastAsia="仿宋_GB2312" w:cs="宋体"/>
                <w:color w:val="auto"/>
                <w:kern w:val="0"/>
                <w:sz w:val="21"/>
                <w:szCs w:val="21"/>
                <w:highlight w:val="none"/>
                <w:lang w:val="en-US" w:eastAsia="zh-CN"/>
              </w:rPr>
            </w:pPr>
          </w:p>
        </w:tc>
      </w:tr>
      <w:tr>
        <w:tblPrEx>
          <w:tblCellMar>
            <w:top w:w="0" w:type="dxa"/>
            <w:left w:w="108" w:type="dxa"/>
            <w:bottom w:w="0" w:type="dxa"/>
            <w:right w:w="108" w:type="dxa"/>
          </w:tblCellMar>
        </w:tblPrEx>
        <w:trPr>
          <w:trHeight w:val="650"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both"/>
              <w:outlineLvl w:val="9"/>
              <w:rPr>
                <w:rFonts w:hint="eastAsia" w:ascii="仿宋_GB2312" w:hAnsi="宋体" w:eastAsia="仿宋_GB2312" w:cs="宋体"/>
                <w:b w:val="0"/>
                <w:bCs w:val="0"/>
                <w:color w:val="auto"/>
                <w:kern w:val="0"/>
                <w:sz w:val="21"/>
                <w:szCs w:val="21"/>
                <w:highlight w:val="none"/>
              </w:rPr>
            </w:pPr>
            <w:r>
              <w:rPr>
                <w:rFonts w:hint="eastAsia" w:ascii="仿宋_GB2312" w:hAnsi="宋体" w:eastAsia="仿宋_GB2312" w:cs="宋体"/>
                <w:b w:val="0"/>
                <w:bCs w:val="0"/>
                <w:color w:val="auto"/>
                <w:kern w:val="0"/>
                <w:sz w:val="21"/>
                <w:szCs w:val="21"/>
                <w:highlight w:val="none"/>
              </w:rPr>
              <w:t>2022年乡村医生补助市级配套</w:t>
            </w:r>
          </w:p>
        </w:tc>
        <w:tc>
          <w:tcPr>
            <w:tcW w:w="1134"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210" w:firstLineChars="100"/>
              <w:jc w:val="both"/>
              <w:textAlignment w:val="center"/>
              <w:outlineLvl w:val="9"/>
              <w:rPr>
                <w:rFonts w:hint="default" w:ascii="仿宋_GB2312" w:hAnsi="宋体" w:eastAsia="仿宋_GB2312" w:cs="宋体"/>
                <w:color w:val="auto"/>
                <w:kern w:val="0"/>
                <w:sz w:val="21"/>
                <w:szCs w:val="21"/>
                <w:highlight w:val="none"/>
                <w:lang w:val="en-US" w:eastAsia="zh-CN"/>
              </w:rPr>
            </w:pPr>
            <w:r>
              <w:rPr>
                <w:rFonts w:hint="eastAsia" w:ascii="仿宋_GB2312" w:hAnsi="宋体" w:eastAsia="仿宋_GB2312" w:cs="宋体"/>
                <w:color w:val="auto"/>
                <w:kern w:val="0"/>
                <w:sz w:val="21"/>
                <w:szCs w:val="21"/>
                <w:highlight w:val="none"/>
                <w:lang w:val="en-US" w:eastAsia="zh-CN"/>
              </w:rPr>
              <w:t>13.4</w:t>
            </w:r>
          </w:p>
        </w:tc>
        <w:tc>
          <w:tcPr>
            <w:tcW w:w="102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center"/>
              <w:textAlignment w:val="center"/>
              <w:outlineLvl w:val="9"/>
              <w:rPr>
                <w:rFonts w:hint="default" w:ascii="仿宋_GB2312" w:hAnsi="宋体" w:eastAsia="仿宋_GB2312" w:cs="宋体"/>
                <w:color w:val="auto"/>
                <w:kern w:val="0"/>
                <w:sz w:val="21"/>
                <w:szCs w:val="21"/>
                <w:highlight w:val="none"/>
                <w:lang w:val="en-US" w:eastAsia="zh-CN"/>
              </w:rPr>
            </w:pPr>
            <w:r>
              <w:rPr>
                <w:rFonts w:hint="eastAsia" w:ascii="仿宋_GB2312" w:hAnsi="宋体" w:eastAsia="仿宋_GB2312" w:cs="宋体"/>
                <w:color w:val="auto"/>
                <w:kern w:val="0"/>
                <w:sz w:val="21"/>
                <w:szCs w:val="21"/>
                <w:highlight w:val="none"/>
                <w:lang w:val="en-US" w:eastAsia="zh-CN"/>
              </w:rPr>
              <w:t>13.4</w:t>
            </w:r>
          </w:p>
        </w:tc>
        <w:tc>
          <w:tcPr>
            <w:tcW w:w="96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ascii="仿宋_GB2312" w:hAnsi="宋体" w:eastAsia="仿宋_GB2312" w:cs="宋体"/>
                <w:color w:val="auto"/>
                <w:kern w:val="0"/>
                <w:sz w:val="21"/>
                <w:szCs w:val="21"/>
                <w:highlight w:val="none"/>
              </w:rPr>
            </w:pPr>
            <w:r>
              <w:rPr>
                <w:rFonts w:hint="eastAsia" w:ascii="宋体" w:hAnsi="宋体" w:eastAsia="宋体" w:cs="宋体"/>
                <w:i w:val="0"/>
                <w:color w:val="auto"/>
                <w:kern w:val="0"/>
                <w:sz w:val="22"/>
                <w:szCs w:val="22"/>
                <w:highlight w:val="none"/>
                <w:u w:val="none"/>
                <w:lang w:val="en-US" w:eastAsia="zh-CN" w:bidi="ar"/>
              </w:rPr>
              <w:t xml:space="preserve"> 100%</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color w:val="auto"/>
                <w:kern w:val="0"/>
                <w:sz w:val="21"/>
                <w:szCs w:val="21"/>
                <w:highlight w:val="none"/>
              </w:rPr>
            </w:pPr>
            <w:r>
              <w:rPr>
                <w:rFonts w:hint="eastAsia" w:ascii="仿宋_GB2312" w:hAnsi="宋体" w:eastAsia="仿宋_GB2312" w:cs="宋体"/>
                <w:color w:val="auto"/>
                <w:kern w:val="0"/>
                <w:sz w:val="21"/>
                <w:szCs w:val="21"/>
                <w:highlight w:val="none"/>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eastAsia="仿宋_GB2312" w:cs="Calibri"/>
                <w:color w:val="auto"/>
                <w:kern w:val="0"/>
                <w:sz w:val="21"/>
                <w:szCs w:val="21"/>
                <w:highlight w:val="none"/>
              </w:rPr>
            </w:pP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both"/>
              <w:outlineLvl w:val="9"/>
              <w:rPr>
                <w:rFonts w:hint="eastAsia" w:ascii="仿宋_GB2312" w:hAnsi="宋体" w:eastAsia="仿宋_GB2312" w:cs="宋体"/>
                <w:b w:val="0"/>
                <w:bCs w:val="0"/>
                <w:color w:val="auto"/>
                <w:kern w:val="0"/>
                <w:sz w:val="21"/>
                <w:szCs w:val="21"/>
                <w:highlight w:val="none"/>
              </w:rPr>
            </w:pPr>
            <w:r>
              <w:rPr>
                <w:rFonts w:hint="eastAsia" w:ascii="仿宋_GB2312" w:hAnsi="宋体" w:eastAsia="仿宋_GB2312" w:cs="宋体"/>
                <w:b w:val="0"/>
                <w:bCs w:val="0"/>
                <w:color w:val="auto"/>
                <w:kern w:val="0"/>
                <w:sz w:val="21"/>
                <w:szCs w:val="21"/>
                <w:highlight w:val="none"/>
              </w:rPr>
              <w:t>2022年自治区医疗服务能力提升（卫生健康人才队伍建设）</w:t>
            </w:r>
          </w:p>
        </w:tc>
        <w:tc>
          <w:tcPr>
            <w:tcW w:w="1134"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210" w:firstLineChars="100"/>
              <w:jc w:val="both"/>
              <w:textAlignment w:val="center"/>
              <w:outlineLvl w:val="9"/>
              <w:rPr>
                <w:rFonts w:ascii="仿宋_GB2312" w:hAnsi="宋体" w:eastAsia="仿宋_GB2312" w:cs="宋体"/>
                <w:color w:val="auto"/>
                <w:kern w:val="0"/>
                <w:sz w:val="21"/>
                <w:szCs w:val="21"/>
                <w:highlight w:val="none"/>
              </w:rPr>
            </w:pPr>
            <w:r>
              <w:rPr>
                <w:rFonts w:hint="eastAsia" w:ascii="仿宋_GB2312" w:hAnsi="宋体" w:eastAsia="仿宋_GB2312" w:cs="宋体"/>
                <w:color w:val="auto"/>
                <w:kern w:val="0"/>
                <w:sz w:val="21"/>
                <w:szCs w:val="21"/>
                <w:highlight w:val="none"/>
              </w:rPr>
              <w:t>8.3</w:t>
            </w:r>
          </w:p>
        </w:tc>
        <w:tc>
          <w:tcPr>
            <w:tcW w:w="102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center"/>
              <w:textAlignment w:val="center"/>
              <w:outlineLvl w:val="9"/>
              <w:rPr>
                <w:rFonts w:ascii="仿宋_GB2312" w:hAnsi="宋体" w:eastAsia="仿宋_GB2312" w:cs="宋体"/>
                <w:color w:val="auto"/>
                <w:kern w:val="0"/>
                <w:sz w:val="21"/>
                <w:szCs w:val="21"/>
                <w:highlight w:val="none"/>
              </w:rPr>
            </w:pPr>
            <w:r>
              <w:rPr>
                <w:rFonts w:hint="eastAsia" w:ascii="仿宋_GB2312" w:hAnsi="宋体" w:eastAsia="仿宋_GB2312" w:cs="宋体"/>
                <w:color w:val="auto"/>
                <w:kern w:val="0"/>
                <w:sz w:val="21"/>
                <w:szCs w:val="21"/>
                <w:highlight w:val="none"/>
              </w:rPr>
              <w:t>8.3</w:t>
            </w:r>
          </w:p>
        </w:tc>
        <w:tc>
          <w:tcPr>
            <w:tcW w:w="96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ascii="仿宋_GB2312" w:hAnsi="宋体" w:eastAsia="仿宋_GB2312" w:cs="宋体"/>
                <w:color w:val="auto"/>
                <w:kern w:val="0"/>
                <w:sz w:val="21"/>
                <w:szCs w:val="21"/>
                <w:highlight w:val="none"/>
              </w:rPr>
            </w:pPr>
            <w:r>
              <w:rPr>
                <w:rFonts w:hint="eastAsia" w:ascii="宋体" w:hAnsi="宋体" w:eastAsia="宋体" w:cs="宋体"/>
                <w:i w:val="0"/>
                <w:color w:val="auto"/>
                <w:kern w:val="0"/>
                <w:sz w:val="22"/>
                <w:szCs w:val="22"/>
                <w:highlight w:val="none"/>
                <w:u w:val="none"/>
                <w:lang w:val="en-US" w:eastAsia="zh-CN" w:bidi="ar"/>
              </w:rPr>
              <w:t>100%</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color w:val="auto"/>
                <w:kern w:val="0"/>
                <w:sz w:val="21"/>
                <w:szCs w:val="21"/>
                <w:highlight w:val="none"/>
              </w:rPr>
            </w:pPr>
            <w:r>
              <w:rPr>
                <w:rFonts w:hint="eastAsia" w:ascii="仿宋_GB2312" w:hAnsi="宋体" w:eastAsia="仿宋_GB2312" w:cs="宋体"/>
                <w:color w:val="auto"/>
                <w:kern w:val="0"/>
                <w:sz w:val="21"/>
                <w:szCs w:val="21"/>
                <w:highlight w:val="none"/>
                <w:lang w:val="en-US" w:eastAsia="zh-CN"/>
              </w:rPr>
              <w:t>否</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color w:val="auto"/>
                <w:kern w:val="0"/>
                <w:sz w:val="21"/>
                <w:szCs w:val="21"/>
                <w:highlight w:val="none"/>
              </w:rPr>
            </w:pP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both"/>
              <w:textAlignment w:val="center"/>
              <w:outlineLvl w:val="9"/>
              <w:rPr>
                <w:rFonts w:ascii="仿宋_GB2312" w:hAnsi="宋体" w:eastAsia="仿宋_GB2312" w:cs="宋体"/>
                <w:color w:val="auto"/>
                <w:kern w:val="0"/>
                <w:sz w:val="21"/>
                <w:szCs w:val="21"/>
                <w:highlight w:val="none"/>
              </w:rPr>
            </w:pPr>
            <w:r>
              <w:rPr>
                <w:rFonts w:hint="eastAsia" w:ascii="仿宋_GB2312" w:hAnsi="宋体" w:eastAsia="仿宋_GB2312" w:cs="宋体"/>
                <w:color w:val="auto"/>
                <w:kern w:val="0"/>
                <w:sz w:val="21"/>
                <w:szCs w:val="21"/>
                <w:highlight w:val="none"/>
              </w:rPr>
              <w:t>2022年基本公共卫生服务项目市本级配套资金</w:t>
            </w:r>
          </w:p>
        </w:tc>
        <w:tc>
          <w:tcPr>
            <w:tcW w:w="1134"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220" w:firstLineChars="100"/>
              <w:jc w:val="both"/>
              <w:textAlignment w:val="center"/>
              <w:outlineLvl w:val="9"/>
              <w:rPr>
                <w:rFonts w:hint="eastAsia" w:ascii="宋体" w:hAnsi="宋体" w:eastAsia="宋体" w:cs="宋体"/>
                <w:i w:val="0"/>
                <w:color w:val="auto"/>
                <w:kern w:val="0"/>
                <w:sz w:val="22"/>
                <w:szCs w:val="22"/>
                <w:highlight w:val="none"/>
                <w:u w:val="none"/>
                <w:lang w:val="en-US" w:eastAsia="zh-CN" w:bidi="ar"/>
              </w:rPr>
            </w:pPr>
            <w:r>
              <w:rPr>
                <w:rFonts w:hint="eastAsia" w:ascii="宋体" w:hAnsi="宋体" w:eastAsia="宋体" w:cs="宋体"/>
                <w:i w:val="0"/>
                <w:color w:val="auto"/>
                <w:kern w:val="0"/>
                <w:sz w:val="22"/>
                <w:szCs w:val="22"/>
                <w:highlight w:val="none"/>
                <w:u w:val="none"/>
                <w:lang w:val="en-US" w:eastAsia="zh-CN" w:bidi="ar"/>
              </w:rPr>
              <w:t>5.4</w:t>
            </w:r>
          </w:p>
        </w:tc>
        <w:tc>
          <w:tcPr>
            <w:tcW w:w="102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220" w:firstLineChars="100"/>
              <w:jc w:val="both"/>
              <w:textAlignment w:val="center"/>
              <w:outlineLvl w:val="9"/>
              <w:rPr>
                <w:rFonts w:hint="eastAsia" w:ascii="宋体" w:hAnsi="宋体" w:eastAsia="宋体" w:cs="宋体"/>
                <w:i w:val="0"/>
                <w:color w:val="auto"/>
                <w:kern w:val="0"/>
                <w:sz w:val="22"/>
                <w:szCs w:val="22"/>
                <w:highlight w:val="none"/>
                <w:u w:val="none"/>
                <w:lang w:val="en-US" w:eastAsia="zh-CN" w:bidi="ar"/>
              </w:rPr>
            </w:pPr>
            <w:r>
              <w:rPr>
                <w:rFonts w:hint="eastAsia" w:ascii="宋体" w:hAnsi="宋体" w:eastAsia="宋体" w:cs="宋体"/>
                <w:i w:val="0"/>
                <w:color w:val="auto"/>
                <w:kern w:val="0"/>
                <w:sz w:val="22"/>
                <w:szCs w:val="22"/>
                <w:highlight w:val="none"/>
                <w:u w:val="none"/>
                <w:lang w:val="en-US" w:eastAsia="zh-CN" w:bidi="ar"/>
              </w:rPr>
              <w:t>0</w:t>
            </w:r>
          </w:p>
        </w:tc>
        <w:tc>
          <w:tcPr>
            <w:tcW w:w="96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hint="eastAsia" w:ascii="宋体" w:hAnsi="宋体" w:eastAsia="宋体" w:cs="宋体"/>
                <w:i w:val="0"/>
                <w:color w:val="auto"/>
                <w:kern w:val="0"/>
                <w:sz w:val="22"/>
                <w:szCs w:val="22"/>
                <w:highlight w:val="none"/>
                <w:u w:val="none"/>
                <w:lang w:val="en-US" w:eastAsia="zh-CN" w:bidi="ar"/>
              </w:rPr>
            </w:pPr>
            <w:r>
              <w:rPr>
                <w:rFonts w:hint="eastAsia" w:ascii="宋体" w:hAnsi="宋体" w:eastAsia="宋体" w:cs="宋体"/>
                <w:i w:val="0"/>
                <w:color w:val="auto"/>
                <w:kern w:val="0"/>
                <w:sz w:val="22"/>
                <w:szCs w:val="22"/>
                <w:highlight w:val="none"/>
                <w:u w:val="none"/>
                <w:lang w:val="en-US" w:eastAsia="zh-CN" w:bidi="ar"/>
              </w:rPr>
              <w:t>0%</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color w:val="auto"/>
                <w:kern w:val="0"/>
                <w:sz w:val="21"/>
                <w:szCs w:val="21"/>
                <w:highlight w:val="none"/>
              </w:rPr>
            </w:pPr>
            <w:r>
              <w:rPr>
                <w:rFonts w:hint="eastAsia" w:ascii="仿宋_GB2312" w:hAnsi="宋体" w:eastAsia="仿宋_GB2312" w:cs="宋体"/>
                <w:color w:val="auto"/>
                <w:kern w:val="0"/>
                <w:sz w:val="21"/>
                <w:szCs w:val="21"/>
                <w:highlight w:val="none"/>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color w:val="auto"/>
                <w:kern w:val="0"/>
                <w:sz w:val="21"/>
                <w:szCs w:val="21"/>
                <w:highlight w:val="none"/>
              </w:rPr>
            </w:pPr>
          </w:p>
        </w:tc>
      </w:tr>
      <w:tr>
        <w:tblPrEx>
          <w:tblCellMar>
            <w:top w:w="0" w:type="dxa"/>
            <w:left w:w="108" w:type="dxa"/>
            <w:bottom w:w="0" w:type="dxa"/>
            <w:right w:w="108" w:type="dxa"/>
          </w:tblCellMar>
        </w:tblPrEx>
        <w:trPr>
          <w:trHeight w:val="632"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left"/>
              <w:outlineLvl w:val="9"/>
              <w:rPr>
                <w:rFonts w:hint="eastAsia" w:ascii="仿宋_GB2312" w:hAnsi="宋体" w:eastAsia="仿宋_GB2312" w:cs="宋体"/>
                <w:b w:val="0"/>
                <w:bCs w:val="0"/>
                <w:color w:val="auto"/>
                <w:kern w:val="0"/>
                <w:sz w:val="21"/>
                <w:szCs w:val="21"/>
                <w:highlight w:val="none"/>
                <w:lang w:val="en-US" w:eastAsia="zh-CN"/>
              </w:rPr>
            </w:pPr>
            <w:r>
              <w:rPr>
                <w:rFonts w:hint="eastAsia" w:ascii="仿宋_GB2312" w:hAnsi="宋体" w:eastAsia="仿宋_GB2312" w:cs="宋体"/>
                <w:b w:val="0"/>
                <w:bCs w:val="0"/>
                <w:color w:val="auto"/>
                <w:kern w:val="0"/>
                <w:sz w:val="21"/>
                <w:szCs w:val="21"/>
                <w:highlight w:val="none"/>
                <w:lang w:val="en-US" w:eastAsia="zh-CN"/>
              </w:rPr>
              <w:t>2022年基本公共卫生服务项目州本级配套资金</w:t>
            </w:r>
          </w:p>
        </w:tc>
        <w:tc>
          <w:tcPr>
            <w:tcW w:w="1134"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220" w:firstLineChars="100"/>
              <w:jc w:val="both"/>
              <w:textAlignment w:val="center"/>
              <w:outlineLvl w:val="9"/>
              <w:rPr>
                <w:rFonts w:hint="eastAsia" w:ascii="宋体" w:hAnsi="宋体" w:eastAsia="宋体" w:cs="宋体"/>
                <w:i w:val="0"/>
                <w:color w:val="auto"/>
                <w:kern w:val="0"/>
                <w:sz w:val="22"/>
                <w:szCs w:val="22"/>
                <w:highlight w:val="none"/>
                <w:u w:val="none"/>
                <w:lang w:val="en-US" w:eastAsia="zh-CN" w:bidi="ar"/>
              </w:rPr>
            </w:pPr>
            <w:r>
              <w:rPr>
                <w:rFonts w:hint="eastAsia" w:ascii="宋体" w:hAnsi="宋体" w:eastAsia="宋体" w:cs="宋体"/>
                <w:i w:val="0"/>
                <w:color w:val="auto"/>
                <w:kern w:val="0"/>
                <w:sz w:val="22"/>
                <w:szCs w:val="22"/>
                <w:highlight w:val="none"/>
                <w:u w:val="none"/>
                <w:lang w:val="en-US" w:eastAsia="zh-CN" w:bidi="ar"/>
              </w:rPr>
              <w:t>1.08</w:t>
            </w:r>
          </w:p>
        </w:tc>
        <w:tc>
          <w:tcPr>
            <w:tcW w:w="102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220" w:firstLineChars="100"/>
              <w:jc w:val="both"/>
              <w:textAlignment w:val="center"/>
              <w:outlineLvl w:val="9"/>
              <w:rPr>
                <w:rFonts w:hint="eastAsia" w:ascii="宋体" w:hAnsi="宋体" w:eastAsia="宋体" w:cs="宋体"/>
                <w:i w:val="0"/>
                <w:color w:val="auto"/>
                <w:kern w:val="0"/>
                <w:sz w:val="22"/>
                <w:szCs w:val="22"/>
                <w:highlight w:val="none"/>
                <w:u w:val="none"/>
                <w:lang w:val="en-US" w:eastAsia="zh-CN" w:bidi="ar"/>
              </w:rPr>
            </w:pPr>
            <w:r>
              <w:rPr>
                <w:rFonts w:hint="eastAsia" w:ascii="宋体" w:hAnsi="宋体" w:eastAsia="宋体" w:cs="宋体"/>
                <w:i w:val="0"/>
                <w:color w:val="auto"/>
                <w:kern w:val="0"/>
                <w:sz w:val="22"/>
                <w:szCs w:val="22"/>
                <w:highlight w:val="none"/>
                <w:u w:val="none"/>
                <w:lang w:val="en-US" w:eastAsia="zh-CN" w:bidi="ar"/>
              </w:rPr>
              <w:t>1.08</w:t>
            </w:r>
          </w:p>
        </w:tc>
        <w:tc>
          <w:tcPr>
            <w:tcW w:w="96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hint="eastAsia" w:ascii="宋体" w:hAnsi="宋体" w:eastAsia="宋体" w:cs="宋体"/>
                <w:i w:val="0"/>
                <w:color w:val="auto"/>
                <w:kern w:val="0"/>
                <w:sz w:val="22"/>
                <w:szCs w:val="22"/>
                <w:highlight w:val="none"/>
                <w:u w:val="none"/>
                <w:lang w:val="en-US" w:eastAsia="zh-CN" w:bidi="ar"/>
              </w:rPr>
            </w:pPr>
            <w:r>
              <w:rPr>
                <w:rFonts w:hint="eastAsia" w:ascii="宋体" w:hAnsi="宋体" w:eastAsia="宋体" w:cs="宋体"/>
                <w:i w:val="0"/>
                <w:color w:val="auto"/>
                <w:kern w:val="0"/>
                <w:sz w:val="22"/>
                <w:szCs w:val="22"/>
                <w:highlight w:val="none"/>
                <w:u w:val="none"/>
                <w:lang w:val="en-US" w:eastAsia="zh-CN" w:bidi="ar"/>
              </w:rPr>
              <w:t>100%</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color w:val="auto"/>
                <w:kern w:val="0"/>
                <w:sz w:val="21"/>
                <w:szCs w:val="21"/>
                <w:highlight w:val="none"/>
              </w:rPr>
            </w:pPr>
            <w:r>
              <w:rPr>
                <w:rFonts w:hint="eastAsia" w:ascii="仿宋_GB2312" w:hAnsi="宋体" w:eastAsia="仿宋_GB2312" w:cs="宋体"/>
                <w:color w:val="auto"/>
                <w:kern w:val="0"/>
                <w:sz w:val="21"/>
                <w:szCs w:val="21"/>
                <w:highlight w:val="none"/>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color w:val="auto"/>
                <w:kern w:val="0"/>
                <w:sz w:val="21"/>
                <w:szCs w:val="21"/>
                <w:highlight w:val="none"/>
              </w:rPr>
            </w:pP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left"/>
              <w:outlineLvl w:val="9"/>
              <w:rPr>
                <w:rFonts w:hint="eastAsia" w:ascii="仿宋_GB2312" w:hAnsi="宋体" w:eastAsia="仿宋_GB2312" w:cs="宋体"/>
                <w:b w:val="0"/>
                <w:bCs w:val="0"/>
                <w:color w:val="auto"/>
                <w:kern w:val="0"/>
                <w:sz w:val="21"/>
                <w:szCs w:val="21"/>
                <w:highlight w:val="none"/>
                <w:lang w:val="en-US" w:eastAsia="zh-CN"/>
              </w:rPr>
            </w:pPr>
            <w:r>
              <w:rPr>
                <w:rFonts w:hint="eastAsia" w:ascii="仿宋_GB2312" w:hAnsi="宋体" w:eastAsia="仿宋_GB2312" w:cs="宋体"/>
                <w:b w:val="0"/>
                <w:bCs w:val="0"/>
                <w:color w:val="auto"/>
                <w:kern w:val="0"/>
                <w:sz w:val="21"/>
                <w:szCs w:val="21"/>
                <w:highlight w:val="none"/>
                <w:lang w:val="en-US" w:eastAsia="zh-CN"/>
              </w:rPr>
              <w:t>2022年自治区基本公共卫生服务补助资金（第二批）（自治区直达资金）</w:t>
            </w:r>
          </w:p>
        </w:tc>
        <w:tc>
          <w:tcPr>
            <w:tcW w:w="1134"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hint="eastAsia" w:ascii="宋体" w:hAnsi="宋体" w:eastAsia="宋体" w:cs="宋体"/>
                <w:i w:val="0"/>
                <w:color w:val="auto"/>
                <w:kern w:val="0"/>
                <w:sz w:val="22"/>
                <w:szCs w:val="22"/>
                <w:highlight w:val="none"/>
                <w:u w:val="none"/>
                <w:lang w:val="en-US" w:eastAsia="zh-CN" w:bidi="ar"/>
              </w:rPr>
            </w:pPr>
            <w:r>
              <w:rPr>
                <w:rFonts w:hint="eastAsia" w:ascii="宋体" w:hAnsi="宋体" w:eastAsia="宋体" w:cs="宋体"/>
                <w:i w:val="0"/>
                <w:color w:val="auto"/>
                <w:kern w:val="0"/>
                <w:sz w:val="22"/>
                <w:szCs w:val="22"/>
                <w:highlight w:val="none"/>
                <w:u w:val="none"/>
                <w:lang w:val="en-US" w:eastAsia="zh-CN" w:bidi="ar"/>
              </w:rPr>
              <w:t>3.41</w:t>
            </w:r>
          </w:p>
        </w:tc>
        <w:tc>
          <w:tcPr>
            <w:tcW w:w="102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hint="eastAsia" w:ascii="宋体" w:hAnsi="宋体" w:eastAsia="宋体" w:cs="宋体"/>
                <w:i w:val="0"/>
                <w:color w:val="auto"/>
                <w:kern w:val="0"/>
                <w:sz w:val="22"/>
                <w:szCs w:val="22"/>
                <w:highlight w:val="none"/>
                <w:u w:val="none"/>
                <w:lang w:val="en-US" w:eastAsia="zh-CN" w:bidi="ar"/>
              </w:rPr>
            </w:pPr>
            <w:r>
              <w:rPr>
                <w:rFonts w:hint="eastAsia" w:ascii="宋体" w:hAnsi="宋体" w:eastAsia="宋体" w:cs="宋体"/>
                <w:i w:val="0"/>
                <w:color w:val="auto"/>
                <w:kern w:val="0"/>
                <w:sz w:val="22"/>
                <w:szCs w:val="22"/>
                <w:highlight w:val="none"/>
                <w:u w:val="none"/>
                <w:lang w:val="en-US" w:eastAsia="zh-CN" w:bidi="ar"/>
              </w:rPr>
              <w:t>3.41</w:t>
            </w:r>
          </w:p>
        </w:tc>
        <w:tc>
          <w:tcPr>
            <w:tcW w:w="96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hint="eastAsia" w:ascii="宋体" w:hAnsi="宋体" w:eastAsia="宋体" w:cs="宋体"/>
                <w:i w:val="0"/>
                <w:color w:val="auto"/>
                <w:kern w:val="0"/>
                <w:sz w:val="22"/>
                <w:szCs w:val="22"/>
                <w:highlight w:val="none"/>
                <w:u w:val="none"/>
                <w:lang w:val="en-US" w:eastAsia="zh-CN" w:bidi="ar"/>
              </w:rPr>
            </w:pPr>
            <w:r>
              <w:rPr>
                <w:rFonts w:hint="eastAsia" w:ascii="宋体" w:hAnsi="宋体" w:eastAsia="宋体" w:cs="宋体"/>
                <w:i w:val="0"/>
                <w:color w:val="auto"/>
                <w:kern w:val="0"/>
                <w:sz w:val="22"/>
                <w:szCs w:val="22"/>
                <w:highlight w:val="none"/>
                <w:u w:val="none"/>
                <w:lang w:val="en-US" w:eastAsia="zh-CN" w:bidi="ar"/>
              </w:rPr>
              <w:t>100%</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color w:val="auto"/>
                <w:kern w:val="0"/>
                <w:sz w:val="21"/>
                <w:szCs w:val="21"/>
                <w:highlight w:val="none"/>
              </w:rPr>
            </w:pPr>
            <w:r>
              <w:rPr>
                <w:rFonts w:hint="eastAsia" w:ascii="仿宋_GB2312" w:hAnsi="宋体" w:eastAsia="仿宋_GB2312" w:cs="宋体"/>
                <w:color w:val="auto"/>
                <w:kern w:val="0"/>
                <w:sz w:val="21"/>
                <w:szCs w:val="21"/>
                <w:highlight w:val="none"/>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宋体" w:eastAsia="仿宋_GB2312" w:cs="宋体"/>
                <w:color w:val="auto"/>
                <w:kern w:val="0"/>
                <w:sz w:val="21"/>
                <w:szCs w:val="21"/>
                <w:highlight w:val="none"/>
                <w:lang w:eastAsia="zh-CN"/>
              </w:rPr>
            </w:pPr>
            <w:r>
              <w:rPr>
                <w:rFonts w:hint="eastAsia" w:ascii="仿宋_GB2312" w:hAnsi="宋体" w:eastAsia="仿宋_GB2312" w:cs="宋体"/>
                <w:color w:val="auto"/>
                <w:kern w:val="0"/>
                <w:sz w:val="21"/>
                <w:szCs w:val="21"/>
                <w:highlight w:val="none"/>
                <w:lang w:eastAsia="zh-CN"/>
              </w:rPr>
              <w:t>是</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left"/>
              <w:outlineLvl w:val="9"/>
              <w:rPr>
                <w:rFonts w:hint="eastAsia" w:ascii="仿宋_GB2312" w:hAnsi="宋体" w:eastAsia="仿宋_GB2312" w:cs="宋体"/>
                <w:b w:val="0"/>
                <w:bCs w:val="0"/>
                <w:color w:val="auto"/>
                <w:kern w:val="0"/>
                <w:sz w:val="21"/>
                <w:szCs w:val="21"/>
                <w:highlight w:val="none"/>
                <w:lang w:val="en-US" w:eastAsia="zh-CN"/>
              </w:rPr>
            </w:pPr>
            <w:r>
              <w:rPr>
                <w:rFonts w:hint="eastAsia" w:ascii="仿宋_GB2312" w:hAnsi="宋体" w:eastAsia="仿宋_GB2312" w:cs="宋体"/>
                <w:b w:val="0"/>
                <w:bCs w:val="0"/>
                <w:color w:val="auto"/>
                <w:kern w:val="0"/>
                <w:sz w:val="21"/>
                <w:szCs w:val="21"/>
                <w:highlight w:val="none"/>
                <w:lang w:val="en-US" w:eastAsia="zh-CN"/>
              </w:rPr>
              <w:t>2022年中央基本药物制度补助资金（第二批）（中央直达资金）</w:t>
            </w:r>
          </w:p>
        </w:tc>
        <w:tc>
          <w:tcPr>
            <w:tcW w:w="1134"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440" w:firstLineChars="200"/>
              <w:jc w:val="both"/>
              <w:textAlignment w:val="center"/>
              <w:outlineLvl w:val="9"/>
              <w:rPr>
                <w:rFonts w:hint="eastAsia" w:ascii="宋体" w:hAnsi="宋体" w:eastAsia="宋体" w:cs="宋体"/>
                <w:i w:val="0"/>
                <w:color w:val="auto"/>
                <w:kern w:val="0"/>
                <w:sz w:val="22"/>
                <w:szCs w:val="22"/>
                <w:highlight w:val="none"/>
                <w:u w:val="none"/>
                <w:lang w:val="en-US" w:eastAsia="zh-CN" w:bidi="ar"/>
              </w:rPr>
            </w:pPr>
            <w:r>
              <w:rPr>
                <w:rFonts w:hint="eastAsia" w:ascii="宋体" w:hAnsi="宋体" w:eastAsia="宋体" w:cs="宋体"/>
                <w:i w:val="0"/>
                <w:color w:val="auto"/>
                <w:kern w:val="0"/>
                <w:sz w:val="22"/>
                <w:szCs w:val="22"/>
                <w:highlight w:val="none"/>
                <w:u w:val="none"/>
                <w:lang w:val="en-US" w:eastAsia="zh-CN" w:bidi="ar"/>
              </w:rPr>
              <w:t>4.12</w:t>
            </w:r>
          </w:p>
        </w:tc>
        <w:tc>
          <w:tcPr>
            <w:tcW w:w="102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hint="eastAsia" w:ascii="宋体" w:hAnsi="宋体" w:eastAsia="宋体" w:cs="宋体"/>
                <w:i w:val="0"/>
                <w:color w:val="auto"/>
                <w:kern w:val="0"/>
                <w:sz w:val="22"/>
                <w:szCs w:val="22"/>
                <w:highlight w:val="none"/>
                <w:u w:val="none"/>
                <w:lang w:val="en-US" w:eastAsia="zh-CN" w:bidi="ar"/>
              </w:rPr>
            </w:pPr>
            <w:r>
              <w:rPr>
                <w:rFonts w:hint="eastAsia" w:ascii="宋体" w:hAnsi="宋体" w:eastAsia="宋体" w:cs="宋体"/>
                <w:i w:val="0"/>
                <w:color w:val="auto"/>
                <w:kern w:val="0"/>
                <w:sz w:val="22"/>
                <w:szCs w:val="22"/>
                <w:highlight w:val="none"/>
                <w:u w:val="none"/>
                <w:lang w:val="en-US" w:eastAsia="zh-CN" w:bidi="ar"/>
              </w:rPr>
              <w:t>4.12</w:t>
            </w:r>
          </w:p>
        </w:tc>
        <w:tc>
          <w:tcPr>
            <w:tcW w:w="96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hint="eastAsia" w:ascii="宋体" w:hAnsi="宋体" w:eastAsia="宋体" w:cs="宋体"/>
                <w:i w:val="0"/>
                <w:color w:val="auto"/>
                <w:kern w:val="0"/>
                <w:sz w:val="22"/>
                <w:szCs w:val="22"/>
                <w:highlight w:val="none"/>
                <w:u w:val="none"/>
                <w:lang w:val="en-US" w:eastAsia="zh-CN" w:bidi="ar"/>
              </w:rPr>
            </w:pPr>
            <w:r>
              <w:rPr>
                <w:rFonts w:hint="eastAsia" w:ascii="宋体" w:hAnsi="宋体" w:eastAsia="宋体" w:cs="宋体"/>
                <w:i w:val="0"/>
                <w:color w:val="auto"/>
                <w:kern w:val="0"/>
                <w:sz w:val="22"/>
                <w:szCs w:val="22"/>
                <w:highlight w:val="none"/>
                <w:u w:val="none"/>
                <w:lang w:val="en-US" w:eastAsia="zh-CN" w:bidi="ar"/>
              </w:rPr>
              <w:t>100%</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color w:val="auto"/>
                <w:kern w:val="0"/>
                <w:sz w:val="21"/>
                <w:szCs w:val="21"/>
                <w:highlight w:val="none"/>
              </w:rPr>
            </w:pPr>
            <w:r>
              <w:rPr>
                <w:rFonts w:hint="eastAsia" w:ascii="仿宋_GB2312" w:hAnsi="宋体" w:eastAsia="仿宋_GB2312" w:cs="宋体"/>
                <w:color w:val="auto"/>
                <w:kern w:val="0"/>
                <w:sz w:val="21"/>
                <w:szCs w:val="21"/>
                <w:highlight w:val="none"/>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color w:val="auto"/>
                <w:kern w:val="0"/>
                <w:sz w:val="21"/>
                <w:szCs w:val="21"/>
                <w:highlight w:val="none"/>
              </w:rPr>
            </w:pPr>
            <w:r>
              <w:rPr>
                <w:rFonts w:hint="eastAsia" w:ascii="仿宋_GB2312" w:hAnsi="宋体" w:eastAsia="仿宋_GB2312" w:cs="宋体"/>
                <w:color w:val="auto"/>
                <w:kern w:val="0"/>
                <w:sz w:val="21"/>
                <w:szCs w:val="21"/>
                <w:highlight w:val="none"/>
                <w:lang w:val="en-US" w:eastAsia="zh-CN"/>
              </w:rPr>
              <w:t>是</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left"/>
              <w:outlineLvl w:val="9"/>
              <w:rPr>
                <w:rFonts w:hint="eastAsia" w:ascii="仿宋_GB2312" w:hAnsi="宋体" w:eastAsia="仿宋_GB2312" w:cs="宋体"/>
                <w:b w:val="0"/>
                <w:bCs w:val="0"/>
                <w:color w:val="auto"/>
                <w:kern w:val="0"/>
                <w:sz w:val="21"/>
                <w:szCs w:val="21"/>
                <w:highlight w:val="none"/>
                <w:lang w:val="en-US" w:eastAsia="zh-CN"/>
              </w:rPr>
            </w:pPr>
            <w:r>
              <w:rPr>
                <w:rFonts w:hint="eastAsia" w:ascii="仿宋_GB2312" w:hAnsi="宋体" w:eastAsia="仿宋_GB2312" w:cs="宋体"/>
                <w:b w:val="0"/>
                <w:bCs w:val="0"/>
                <w:color w:val="auto"/>
                <w:kern w:val="0"/>
                <w:sz w:val="21"/>
                <w:szCs w:val="21"/>
                <w:highlight w:val="none"/>
                <w:lang w:val="en-US" w:eastAsia="zh-CN"/>
              </w:rPr>
              <w:t>2022年中央基本公共卫生服务补助资金（第二批）（中央直达资金）</w:t>
            </w:r>
          </w:p>
        </w:tc>
        <w:tc>
          <w:tcPr>
            <w:tcW w:w="1134"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hint="eastAsia" w:ascii="宋体" w:hAnsi="宋体" w:eastAsia="宋体" w:cs="宋体"/>
                <w:i w:val="0"/>
                <w:color w:val="auto"/>
                <w:kern w:val="0"/>
                <w:sz w:val="22"/>
                <w:szCs w:val="22"/>
                <w:highlight w:val="none"/>
                <w:u w:val="none"/>
                <w:lang w:val="en-US" w:eastAsia="zh-CN" w:bidi="ar"/>
              </w:rPr>
            </w:pPr>
            <w:r>
              <w:rPr>
                <w:rFonts w:hint="eastAsia" w:ascii="宋体" w:hAnsi="宋体" w:eastAsia="宋体" w:cs="宋体"/>
                <w:i w:val="0"/>
                <w:color w:val="auto"/>
                <w:kern w:val="0"/>
                <w:sz w:val="22"/>
                <w:szCs w:val="22"/>
                <w:highlight w:val="none"/>
                <w:u w:val="none"/>
                <w:lang w:val="en-US" w:eastAsia="zh-CN" w:bidi="ar"/>
              </w:rPr>
              <w:t>28.96</w:t>
            </w:r>
          </w:p>
        </w:tc>
        <w:tc>
          <w:tcPr>
            <w:tcW w:w="102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center"/>
              <w:textAlignment w:val="center"/>
              <w:outlineLvl w:val="9"/>
              <w:rPr>
                <w:rFonts w:hint="eastAsia" w:ascii="宋体" w:hAnsi="宋体" w:eastAsia="宋体" w:cs="宋体"/>
                <w:i w:val="0"/>
                <w:color w:val="auto"/>
                <w:kern w:val="0"/>
                <w:sz w:val="22"/>
                <w:szCs w:val="22"/>
                <w:highlight w:val="none"/>
                <w:u w:val="none"/>
                <w:lang w:val="en-US" w:eastAsia="zh-CN" w:bidi="ar"/>
              </w:rPr>
            </w:pPr>
            <w:r>
              <w:rPr>
                <w:rFonts w:hint="eastAsia" w:ascii="宋体" w:hAnsi="宋体" w:eastAsia="宋体" w:cs="宋体"/>
                <w:i w:val="0"/>
                <w:color w:val="auto"/>
                <w:kern w:val="0"/>
                <w:sz w:val="22"/>
                <w:szCs w:val="22"/>
                <w:highlight w:val="none"/>
                <w:u w:val="none"/>
                <w:lang w:val="en-US" w:eastAsia="zh-CN" w:bidi="ar"/>
              </w:rPr>
              <w:t>28.96</w:t>
            </w:r>
          </w:p>
        </w:tc>
        <w:tc>
          <w:tcPr>
            <w:tcW w:w="96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hint="eastAsia" w:ascii="宋体" w:hAnsi="宋体" w:eastAsia="宋体" w:cs="宋体"/>
                <w:i w:val="0"/>
                <w:color w:val="auto"/>
                <w:kern w:val="0"/>
                <w:sz w:val="22"/>
                <w:szCs w:val="22"/>
                <w:highlight w:val="none"/>
                <w:u w:val="none"/>
                <w:lang w:val="en-US" w:eastAsia="zh-CN" w:bidi="ar"/>
              </w:rPr>
            </w:pPr>
            <w:r>
              <w:rPr>
                <w:rFonts w:hint="eastAsia" w:ascii="宋体" w:hAnsi="宋体" w:eastAsia="宋体" w:cs="宋体"/>
                <w:i w:val="0"/>
                <w:color w:val="auto"/>
                <w:kern w:val="0"/>
                <w:sz w:val="22"/>
                <w:szCs w:val="22"/>
                <w:highlight w:val="none"/>
                <w:u w:val="none"/>
                <w:lang w:val="en-US" w:eastAsia="zh-CN" w:bidi="ar"/>
              </w:rPr>
              <w:t>100%</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宋体" w:eastAsia="仿宋_GB2312" w:cs="宋体"/>
                <w:color w:val="auto"/>
                <w:kern w:val="0"/>
                <w:sz w:val="21"/>
                <w:szCs w:val="21"/>
                <w:highlight w:val="none"/>
                <w:lang w:val="en-US" w:eastAsia="zh-CN"/>
              </w:rPr>
            </w:pPr>
            <w:r>
              <w:rPr>
                <w:rFonts w:hint="eastAsia" w:ascii="仿宋_GB2312" w:hAnsi="宋体" w:eastAsia="仿宋_GB2312" w:cs="宋体"/>
                <w:color w:val="auto"/>
                <w:kern w:val="0"/>
                <w:sz w:val="21"/>
                <w:szCs w:val="21"/>
                <w:highlight w:val="none"/>
                <w:lang w:val="en-US" w:eastAsia="zh-CN"/>
              </w:rPr>
              <w:t>否</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color w:val="auto"/>
                <w:kern w:val="0"/>
                <w:sz w:val="21"/>
                <w:szCs w:val="21"/>
                <w:highlight w:val="none"/>
              </w:rPr>
            </w:pPr>
            <w:r>
              <w:rPr>
                <w:rFonts w:hint="eastAsia" w:ascii="仿宋_GB2312" w:hAnsi="宋体" w:eastAsia="仿宋_GB2312" w:cs="宋体"/>
                <w:color w:val="auto"/>
                <w:kern w:val="0"/>
                <w:sz w:val="21"/>
                <w:szCs w:val="21"/>
                <w:highlight w:val="none"/>
                <w:lang w:val="en-US" w:eastAsia="zh-CN"/>
              </w:rPr>
              <w:t>是</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left"/>
              <w:outlineLvl w:val="9"/>
              <w:rPr>
                <w:rFonts w:ascii="仿宋_GB2312" w:hAnsi="宋体" w:eastAsia="仿宋_GB2312" w:cs="宋体"/>
                <w:b/>
                <w:bCs/>
                <w:color w:val="auto"/>
                <w:kern w:val="0"/>
                <w:sz w:val="21"/>
                <w:szCs w:val="21"/>
                <w:highlight w:val="none"/>
              </w:rPr>
            </w:pPr>
            <w:r>
              <w:rPr>
                <w:rFonts w:hint="eastAsia" w:ascii="仿宋_GB2312" w:hAnsi="宋体" w:eastAsia="仿宋_GB2312" w:cs="宋体"/>
                <w:b/>
                <w:bCs/>
                <w:color w:val="auto"/>
                <w:kern w:val="0"/>
                <w:sz w:val="21"/>
                <w:szCs w:val="21"/>
                <w:highlight w:val="none"/>
              </w:rPr>
              <w:t>合计</w:t>
            </w:r>
          </w:p>
        </w:tc>
        <w:tc>
          <w:tcPr>
            <w:tcW w:w="1134"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right"/>
              <w:outlineLvl w:val="9"/>
              <w:rPr>
                <w:rFonts w:hint="default" w:ascii="仿宋_GB2312" w:hAnsi="宋体" w:eastAsia="仿宋_GB2312" w:cs="宋体"/>
                <w:color w:val="auto"/>
                <w:kern w:val="0"/>
                <w:sz w:val="21"/>
                <w:szCs w:val="21"/>
                <w:highlight w:val="none"/>
                <w:lang w:val="en-US" w:eastAsia="zh-CN"/>
              </w:rPr>
            </w:pPr>
            <w:r>
              <w:rPr>
                <w:rFonts w:hint="eastAsia" w:ascii="仿宋_GB2312" w:hAnsi="宋体" w:eastAsia="仿宋_GB2312" w:cs="宋体"/>
                <w:color w:val="auto"/>
                <w:kern w:val="0"/>
                <w:sz w:val="21"/>
                <w:szCs w:val="21"/>
                <w:highlight w:val="none"/>
                <w:lang w:val="en-US" w:eastAsia="zh-CN"/>
              </w:rPr>
              <w:t>130.15</w:t>
            </w:r>
          </w:p>
        </w:tc>
        <w:tc>
          <w:tcPr>
            <w:tcW w:w="102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default" w:ascii="仿宋_GB2312" w:hAnsi="宋体" w:eastAsia="仿宋_GB2312" w:cs="宋体"/>
                <w:color w:val="auto"/>
                <w:kern w:val="0"/>
                <w:sz w:val="21"/>
                <w:szCs w:val="21"/>
                <w:highlight w:val="none"/>
                <w:lang w:val="en-US" w:eastAsia="zh-CN"/>
              </w:rPr>
            </w:pPr>
            <w:r>
              <w:rPr>
                <w:rFonts w:hint="eastAsia" w:ascii="仿宋_GB2312" w:hAnsi="宋体" w:eastAsia="仿宋_GB2312" w:cs="宋体"/>
                <w:color w:val="auto"/>
                <w:kern w:val="0"/>
                <w:sz w:val="21"/>
                <w:szCs w:val="21"/>
                <w:highlight w:val="none"/>
                <w:lang w:val="en-US" w:eastAsia="zh-CN"/>
              </w:rPr>
              <w:t>122.81</w:t>
            </w:r>
          </w:p>
        </w:tc>
        <w:tc>
          <w:tcPr>
            <w:tcW w:w="96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right"/>
              <w:outlineLvl w:val="9"/>
              <w:rPr>
                <w:rFonts w:ascii="仿宋_GB2312" w:hAnsi="宋体" w:eastAsia="仿宋_GB2312" w:cs="宋体"/>
                <w:color w:val="auto"/>
                <w:kern w:val="0"/>
                <w:sz w:val="21"/>
                <w:szCs w:val="21"/>
                <w:highlight w:val="none"/>
              </w:rPr>
            </w:pPr>
          </w:p>
        </w:tc>
        <w:tc>
          <w:tcPr>
            <w:tcW w:w="66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outlineLvl w:val="9"/>
              <w:rPr>
                <w:rFonts w:ascii="仿宋_GB2312" w:hAnsi="宋体" w:eastAsia="仿宋_GB2312" w:cs="宋体"/>
                <w:color w:val="auto"/>
                <w:kern w:val="0"/>
                <w:sz w:val="21"/>
                <w:szCs w:val="21"/>
                <w:highlight w:val="none"/>
              </w:rPr>
            </w:pPr>
            <w:r>
              <w:rPr>
                <w:rFonts w:hint="eastAsia" w:ascii="仿宋_GB2312" w:hAnsi="宋体" w:eastAsia="仿宋_GB2312" w:cs="宋体"/>
                <w:color w:val="auto"/>
                <w:kern w:val="0"/>
                <w:sz w:val="21"/>
                <w:szCs w:val="21"/>
                <w:highlight w:val="none"/>
              </w:rPr>
              <w:t>　</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color w:val="auto"/>
                <w:kern w:val="0"/>
                <w:sz w:val="21"/>
                <w:szCs w:val="21"/>
                <w:highlight w:val="none"/>
              </w:rPr>
            </w:pPr>
            <w:r>
              <w:rPr>
                <w:rFonts w:hint="eastAsia" w:ascii="仿宋_GB2312" w:hAnsi="宋体" w:eastAsia="仿宋_GB2312" w:cs="宋体"/>
                <w:color w:val="auto"/>
                <w:kern w:val="0"/>
                <w:sz w:val="21"/>
                <w:szCs w:val="21"/>
                <w:highlight w:val="none"/>
              </w:rPr>
              <w:t>　</w:t>
            </w:r>
          </w:p>
        </w:tc>
      </w:tr>
    </w:tbl>
    <w:p>
      <w:pPr>
        <w:numPr>
          <w:ilvl w:val="0"/>
          <w:numId w:val="3"/>
        </w:num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专项资金总投入及实际使用情况分析</w:t>
      </w:r>
    </w:p>
    <w:p>
      <w:pPr>
        <w:pStyle w:val="9"/>
        <w:widowControl/>
        <w:spacing w:before="40" w:beforeAutospacing="0" w:after="0" w:afterAutospacing="0"/>
        <w:ind w:firstLine="640"/>
        <w:jc w:val="both"/>
        <w:rPr>
          <w:rFonts w:ascii="仿宋_GB2312" w:eastAsia="仿宋_GB2312" w:cs="仿宋"/>
          <w:color w:val="auto"/>
          <w:sz w:val="32"/>
          <w:szCs w:val="32"/>
          <w:highlight w:val="none"/>
        </w:rPr>
      </w:pPr>
      <w:r>
        <w:rPr>
          <w:rFonts w:hint="eastAsia" w:ascii="仿宋_GB2312" w:eastAsia="仿宋_GB2312" w:cs="仿宋"/>
          <w:color w:val="auto"/>
          <w:sz w:val="32"/>
          <w:szCs w:val="32"/>
          <w:highlight w:val="none"/>
          <w:lang w:eastAsia="zh-CN"/>
        </w:rPr>
        <w:t>2022</w:t>
      </w:r>
      <w:r>
        <w:rPr>
          <w:rFonts w:hint="eastAsia" w:ascii="仿宋_GB2312" w:eastAsia="仿宋_GB2312" w:cs="仿宋"/>
          <w:color w:val="auto"/>
          <w:sz w:val="32"/>
          <w:szCs w:val="32"/>
          <w:highlight w:val="none"/>
        </w:rPr>
        <w:t>年，预算安排专项资金</w:t>
      </w:r>
      <w:r>
        <w:rPr>
          <w:rFonts w:hint="eastAsia" w:ascii="仿宋_GB2312" w:eastAsia="仿宋_GB2312" w:cs="仿宋"/>
          <w:color w:val="auto"/>
          <w:sz w:val="32"/>
          <w:szCs w:val="32"/>
          <w:highlight w:val="none"/>
          <w:lang w:val="en-US" w:eastAsia="zh-CN"/>
        </w:rPr>
        <w:t>0.00</w:t>
      </w:r>
      <w:r>
        <w:rPr>
          <w:rFonts w:hint="eastAsia" w:ascii="仿宋_GB2312" w:eastAsia="仿宋_GB2312" w:cs="仿宋"/>
          <w:color w:val="auto"/>
          <w:sz w:val="32"/>
          <w:szCs w:val="32"/>
          <w:highlight w:val="none"/>
        </w:rPr>
        <w:t>万元，</w:t>
      </w:r>
      <w:r>
        <w:rPr>
          <w:rFonts w:hint="eastAsia" w:ascii="仿宋_GB2312" w:eastAsia="仿宋_GB2312" w:cs="仿宋"/>
          <w:color w:val="auto"/>
          <w:sz w:val="32"/>
          <w:szCs w:val="32"/>
          <w:highlight w:val="none"/>
          <w:lang w:val="en-US" w:eastAsia="zh-CN"/>
        </w:rPr>
        <w:t>年中调整78.85万元，全年</w:t>
      </w:r>
      <w:r>
        <w:rPr>
          <w:rFonts w:hint="eastAsia" w:ascii="仿宋_GB2312" w:eastAsia="仿宋_GB2312" w:cs="仿宋"/>
          <w:color w:val="auto"/>
          <w:sz w:val="32"/>
          <w:szCs w:val="32"/>
          <w:highlight w:val="none"/>
        </w:rPr>
        <w:t>实际使用</w:t>
      </w:r>
      <w:r>
        <w:rPr>
          <w:rFonts w:hint="eastAsia" w:ascii="仿宋_GB2312" w:eastAsia="仿宋_GB2312" w:cs="仿宋"/>
          <w:color w:val="auto"/>
          <w:sz w:val="32"/>
          <w:szCs w:val="32"/>
          <w:highlight w:val="none"/>
          <w:lang w:val="en-US" w:eastAsia="zh-CN"/>
        </w:rPr>
        <w:t>78.85</w:t>
      </w:r>
      <w:bookmarkStart w:id="1" w:name="_GoBack"/>
      <w:bookmarkEnd w:id="1"/>
      <w:r>
        <w:rPr>
          <w:rFonts w:hint="eastAsia" w:ascii="仿宋_GB2312" w:eastAsia="仿宋_GB2312" w:cs="仿宋"/>
          <w:color w:val="auto"/>
          <w:sz w:val="32"/>
          <w:szCs w:val="32"/>
          <w:highlight w:val="none"/>
        </w:rPr>
        <w:t>万元,结转</w:t>
      </w:r>
      <w:r>
        <w:rPr>
          <w:rFonts w:hint="eastAsia" w:ascii="仿宋_GB2312" w:eastAsia="仿宋_GB2312" w:cs="仿宋"/>
          <w:color w:val="auto"/>
          <w:sz w:val="32"/>
          <w:szCs w:val="32"/>
          <w:highlight w:val="none"/>
          <w:lang w:val="en-US" w:eastAsia="zh-CN"/>
        </w:rPr>
        <w:t>1.53</w:t>
      </w:r>
      <w:r>
        <w:rPr>
          <w:rFonts w:hint="eastAsia" w:ascii="仿宋_GB2312" w:eastAsia="仿宋_GB2312" w:cs="仿宋"/>
          <w:color w:val="auto"/>
          <w:sz w:val="32"/>
          <w:szCs w:val="32"/>
          <w:highlight w:val="none"/>
        </w:rPr>
        <w:t>万元。</w:t>
      </w:r>
    </w:p>
    <w:p>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三、部门单位专项组织实施情况</w:t>
      </w:r>
    </w:p>
    <w:p>
      <w:pPr>
        <w:pStyle w:val="2"/>
        <w:ind w:firstLine="640"/>
        <w:rPr>
          <w:rFonts w:ascii="楷体_GB2312" w:eastAsia="楷体_GB2312"/>
          <w:color w:val="auto"/>
          <w:szCs w:val="32"/>
          <w:highlight w:val="none"/>
        </w:rPr>
      </w:pPr>
      <w:r>
        <w:rPr>
          <w:rFonts w:hint="eastAsia" w:ascii="楷体_GB2312" w:eastAsia="楷体_GB2312"/>
          <w:color w:val="auto"/>
          <w:szCs w:val="32"/>
          <w:highlight w:val="none"/>
        </w:rPr>
        <w:t>（一）专项组织情况分析</w:t>
      </w:r>
    </w:p>
    <w:p>
      <w:pPr>
        <w:ind w:firstLine="640"/>
        <w:rPr>
          <w:rFonts w:ascii="仿宋_GB2312" w:eastAsia="仿宋_GB2312"/>
          <w:color w:val="auto"/>
          <w:sz w:val="32"/>
          <w:szCs w:val="32"/>
          <w:highlight w:val="none"/>
        </w:rPr>
      </w:pPr>
      <w:r>
        <w:rPr>
          <w:rFonts w:hint="eastAsia" w:ascii="仿宋_GB2312" w:eastAsia="仿宋_GB2312"/>
          <w:b/>
          <w:bCs/>
          <w:color w:val="auto"/>
          <w:sz w:val="32"/>
          <w:szCs w:val="32"/>
          <w:highlight w:val="none"/>
        </w:rPr>
        <w:t>1.前期准备</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梳理</w:t>
      </w: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p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2.组织实施</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容主要包括以下两个方面：</w:t>
      </w:r>
    </w:p>
    <w:p>
      <w:pPr>
        <w:ind w:firstLine="640"/>
        <w:rPr>
          <w:rFonts w:ascii="仿宋_GB2312" w:eastAsia="仿宋_GB2312"/>
          <w:color w:val="auto"/>
          <w:sz w:val="32"/>
          <w:szCs w:val="32"/>
          <w:highlight w:val="none"/>
          <w:lang w:val="zh-TW" w:eastAsia="zh-TW"/>
        </w:rPr>
      </w:pPr>
      <w:r>
        <w:rPr>
          <w:rFonts w:hint="eastAsia" w:ascii="仿宋_GB2312" w:eastAsia="仿宋_GB2312"/>
          <w:color w:val="auto"/>
          <w:sz w:val="32"/>
          <w:szCs w:val="32"/>
          <w:highlight w:val="none"/>
          <w:lang w:val="zh-TW" w:eastAsia="zh-TW"/>
        </w:rPr>
        <w:t>对</w:t>
      </w:r>
      <w:r>
        <w:rPr>
          <w:rFonts w:hint="eastAsia" w:ascii="仿宋_GB2312" w:eastAsia="仿宋_GB2312"/>
          <w:color w:val="auto"/>
          <w:sz w:val="32"/>
          <w:szCs w:val="32"/>
          <w:highlight w:val="none"/>
        </w:rPr>
        <w:t>专项</w:t>
      </w:r>
      <w:r>
        <w:rPr>
          <w:rFonts w:hint="eastAsia" w:ascii="仿宋_GB2312" w:eastAsia="仿宋_GB2312"/>
          <w:color w:val="auto"/>
          <w:sz w:val="32"/>
          <w:szCs w:val="32"/>
          <w:highlight w:val="none"/>
          <w:lang w:val="zh-TW"/>
        </w:rPr>
        <w:t>项目预算执行情况进行分析，</w:t>
      </w:r>
      <w:r>
        <w:rPr>
          <w:rFonts w:hint="eastAsia" w:ascii="仿宋_GB2312" w:eastAsia="仿宋_GB2312"/>
          <w:color w:val="auto"/>
          <w:sz w:val="32"/>
          <w:szCs w:val="32"/>
          <w:highlight w:val="none"/>
        </w:rPr>
        <w:t>分析</w:t>
      </w:r>
      <w:r>
        <w:rPr>
          <w:rFonts w:hint="eastAsia" w:ascii="仿宋_GB2312" w:eastAsia="仿宋_GB2312"/>
          <w:color w:val="auto"/>
          <w:sz w:val="32"/>
          <w:szCs w:val="32"/>
          <w:highlight w:val="none"/>
          <w:lang w:val="zh-TW"/>
        </w:rPr>
        <w:t>专项项目产出、项目目标的实现程度和管理有效性，从而总结项目取得的业绩和经验，发现项目存在的不足之处</w:t>
      </w:r>
      <w:r>
        <w:rPr>
          <w:rFonts w:hint="eastAsia" w:ascii="仿宋_GB2312" w:eastAsia="仿宋_GB2312"/>
          <w:color w:val="auto"/>
          <w:sz w:val="32"/>
          <w:szCs w:val="32"/>
          <w:highlight w:val="none"/>
          <w:lang w:val="zh-TW" w:eastAsia="zh-TW"/>
        </w:rPr>
        <w:t>。</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lang w:val="zh-TW"/>
        </w:rPr>
        <w:t>对财政资金使用合规性进行评价，</w:t>
      </w:r>
      <w:r>
        <w:rPr>
          <w:rFonts w:hint="eastAsia" w:ascii="仿宋_GB2312" w:eastAsia="仿宋_GB2312"/>
          <w:color w:val="auto"/>
          <w:sz w:val="32"/>
          <w:szCs w:val="32"/>
          <w:highlight w:val="none"/>
        </w:rPr>
        <w:t>主要评价：①</w:t>
      </w:r>
      <w:r>
        <w:rPr>
          <w:rFonts w:hint="eastAsia" w:ascii="仿宋_GB2312" w:eastAsia="仿宋_GB2312"/>
          <w:color w:val="auto"/>
          <w:sz w:val="32"/>
          <w:szCs w:val="32"/>
          <w:highlight w:val="none"/>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hint="eastAsia" w:ascii="仿宋_GB2312" w:eastAsia="仿宋_GB2312"/>
          <w:color w:val="auto"/>
          <w:sz w:val="32"/>
          <w:szCs w:val="32"/>
          <w:highlight w:val="none"/>
        </w:rPr>
        <w:t>通过评价</w:t>
      </w:r>
      <w:r>
        <w:rPr>
          <w:rFonts w:hint="eastAsia" w:ascii="仿宋_GB2312" w:eastAsia="仿宋_GB2312"/>
          <w:color w:val="auto"/>
          <w:sz w:val="32"/>
          <w:szCs w:val="32"/>
          <w:highlight w:val="none"/>
          <w:lang w:val="zh-TW"/>
        </w:rPr>
        <w:t>发现财政资金使用中存在的合规性问题，总结财务内控中存在的不足之处。</w:t>
      </w:r>
    </w:p>
    <w:p>
      <w:pPr>
        <w:pStyle w:val="2"/>
        <w:numPr>
          <w:ilvl w:val="0"/>
          <w:numId w:val="5"/>
        </w:numPr>
        <w:ind w:firstLine="640"/>
        <w:rPr>
          <w:rFonts w:ascii="楷体_GB2312" w:eastAsia="楷体_GB2312"/>
          <w:color w:val="auto"/>
          <w:szCs w:val="32"/>
          <w:highlight w:val="none"/>
        </w:rPr>
      </w:pPr>
      <w:r>
        <w:rPr>
          <w:rFonts w:hint="eastAsia" w:ascii="楷体_GB2312" w:eastAsia="楷体_GB2312"/>
          <w:color w:val="auto"/>
          <w:szCs w:val="32"/>
          <w:highlight w:val="none"/>
        </w:rPr>
        <w:t>专项管理情况分析</w:t>
      </w:r>
    </w:p>
    <w:p>
      <w:p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1.项目资金情况分析</w:t>
      </w:r>
    </w:p>
    <w:p>
      <w:pPr>
        <w:ind w:firstLine="640"/>
        <w:rPr>
          <w:rFonts w:hint="eastAsia" w:ascii="仿宋_GB2312" w:eastAsia="仿宋_GB2312"/>
          <w:color w:val="auto"/>
          <w:sz w:val="32"/>
          <w:szCs w:val="32"/>
          <w:highlight w:val="none"/>
          <w:lang w:val="zh-TW"/>
        </w:rPr>
      </w:pPr>
      <w:r>
        <w:rPr>
          <w:rFonts w:hint="eastAsia" w:ascii="仿宋_GB2312" w:eastAsia="仿宋_GB2312" w:cs="仿宋"/>
          <w:color w:val="auto"/>
          <w:sz w:val="32"/>
          <w:szCs w:val="32"/>
          <w:highlight w:val="none"/>
          <w:lang w:eastAsia="zh-CN"/>
        </w:rPr>
        <w:t>2022</w:t>
      </w:r>
      <w:r>
        <w:rPr>
          <w:rFonts w:hint="eastAsia" w:ascii="仿宋_GB2312" w:eastAsia="仿宋_GB2312" w:cs="仿宋"/>
          <w:color w:val="auto"/>
          <w:sz w:val="32"/>
          <w:szCs w:val="32"/>
          <w:highlight w:val="none"/>
        </w:rPr>
        <w:t>年，预算安排专项资金</w:t>
      </w:r>
      <w:r>
        <w:rPr>
          <w:rFonts w:hint="eastAsia" w:ascii="仿宋_GB2312" w:eastAsia="仿宋_GB2312" w:cs="仿宋"/>
          <w:color w:val="auto"/>
          <w:sz w:val="32"/>
          <w:szCs w:val="32"/>
          <w:highlight w:val="none"/>
          <w:lang w:val="en-US" w:eastAsia="zh-CN"/>
        </w:rPr>
        <w:t>0.00</w:t>
      </w:r>
      <w:r>
        <w:rPr>
          <w:rFonts w:hint="eastAsia" w:ascii="仿宋_GB2312" w:eastAsia="仿宋_GB2312" w:cs="仿宋"/>
          <w:color w:val="auto"/>
          <w:sz w:val="32"/>
          <w:szCs w:val="32"/>
          <w:highlight w:val="none"/>
        </w:rPr>
        <w:t>万元，实际使用</w:t>
      </w:r>
      <w:r>
        <w:rPr>
          <w:rFonts w:hint="eastAsia" w:ascii="仿宋_GB2312" w:eastAsia="仿宋_GB2312" w:cs="仿宋"/>
          <w:color w:val="auto"/>
          <w:sz w:val="32"/>
          <w:szCs w:val="32"/>
          <w:highlight w:val="none"/>
          <w:lang w:val="en-US" w:eastAsia="zh-CN"/>
        </w:rPr>
        <w:t>122.81</w:t>
      </w:r>
      <w:r>
        <w:rPr>
          <w:rFonts w:hint="eastAsia" w:ascii="仿宋_GB2312" w:eastAsia="仿宋_GB2312" w:cs="仿宋"/>
          <w:color w:val="auto"/>
          <w:sz w:val="32"/>
          <w:szCs w:val="32"/>
          <w:highlight w:val="none"/>
        </w:rPr>
        <w:t>万元</w:t>
      </w:r>
      <w:r>
        <w:rPr>
          <w:rFonts w:hint="eastAsia" w:ascii="仿宋_GB2312" w:eastAsia="仿宋_GB2312"/>
          <w:color w:val="auto"/>
          <w:sz w:val="32"/>
          <w:szCs w:val="32"/>
          <w:highlight w:val="none"/>
        </w:rPr>
        <w:t>，预算执行</w:t>
      </w:r>
      <w:r>
        <w:rPr>
          <w:rFonts w:hint="eastAsia" w:ascii="仿宋_GB2312" w:eastAsia="仿宋_GB2312"/>
          <w:color w:val="auto"/>
          <w:sz w:val="32"/>
          <w:szCs w:val="32"/>
          <w:highlight w:val="none"/>
          <w:lang w:val="zh-TW"/>
        </w:rPr>
        <w:t>率为</w:t>
      </w:r>
      <w:r>
        <w:rPr>
          <w:rFonts w:hint="eastAsia" w:ascii="仿宋_GB2312" w:eastAsia="仿宋_GB2312"/>
          <w:color w:val="auto"/>
          <w:sz w:val="32"/>
          <w:szCs w:val="32"/>
          <w:highlight w:val="none"/>
          <w:lang w:val="en-US" w:eastAsia="zh-CN"/>
        </w:rPr>
        <w:t>100.0</w:t>
      </w:r>
      <w:r>
        <w:rPr>
          <w:rFonts w:hint="eastAsia" w:ascii="仿宋_GB2312" w:eastAsia="仿宋_GB2312"/>
          <w:color w:val="auto"/>
          <w:sz w:val="32"/>
          <w:szCs w:val="32"/>
          <w:highlight w:val="none"/>
          <w:lang w:val="zh-TW"/>
        </w:rPr>
        <w:t>%。我单位专项资金严格按照昌吉市财政局及相关专项资金管理办法要求实行专款专用，在本年度各级审计和财政监督检查中未发现资金使用合规性问题。</w:t>
      </w:r>
    </w:p>
    <w:p>
      <w:p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2.项目实施情况分析</w:t>
      </w:r>
    </w:p>
    <w:p>
      <w:pPr>
        <w:ind w:firstLine="640"/>
        <w:rPr>
          <w:rFonts w:hint="eastAsia" w:ascii="仿宋_GB2312" w:hAnsi="宋体" w:eastAsia="仿宋_GB2312"/>
          <w:color w:val="auto"/>
          <w:sz w:val="32"/>
          <w:szCs w:val="32"/>
          <w:highlight w:val="none"/>
        </w:rPr>
      </w:pPr>
      <w:r>
        <w:rPr>
          <w:rFonts w:hint="eastAsia" w:ascii="仿宋_GB2312" w:eastAsia="仿宋_GB2312"/>
          <w:color w:val="auto"/>
          <w:sz w:val="32"/>
          <w:szCs w:val="32"/>
          <w:highlight w:val="none"/>
        </w:rPr>
        <w:t>（1）组织情况：</w:t>
      </w:r>
      <w:r>
        <w:rPr>
          <w:rFonts w:hint="eastAsia" w:ascii="仿宋_GB2312" w:hAnsi="宋体" w:eastAsia="仿宋_GB2312"/>
          <w:color w:val="auto"/>
          <w:sz w:val="32"/>
          <w:szCs w:val="32"/>
          <w:highlight w:val="none"/>
        </w:rPr>
        <w:t>昌吉市滨湖镇卫生院建立</w:t>
      </w:r>
      <w:r>
        <w:rPr>
          <w:rFonts w:hint="eastAsia" w:ascii="仿宋_GB2312" w:hAnsi="宋体" w:eastAsia="仿宋_GB2312"/>
          <w:color w:val="auto"/>
          <w:sz w:val="32"/>
          <w:szCs w:val="32"/>
          <w:highlight w:val="none"/>
          <w:lang w:val="en-US" w:eastAsia="zh-CN"/>
        </w:rPr>
        <w:t>基本公共卫生服务项目和基本药物</w:t>
      </w:r>
      <w:r>
        <w:rPr>
          <w:rFonts w:hint="eastAsia" w:ascii="仿宋_GB2312" w:hAnsi="宋体" w:eastAsia="仿宋_GB2312"/>
          <w:color w:val="auto"/>
          <w:sz w:val="32"/>
          <w:szCs w:val="32"/>
          <w:highlight w:val="none"/>
        </w:rPr>
        <w:t>专项项目领导小组，保证项目的实施。</w:t>
      </w:r>
    </w:p>
    <w:p>
      <w:pPr>
        <w:ind w:firstLine="640"/>
        <w:rPr>
          <w:rFonts w:hint="eastAsia" w:ascii="仿宋_GB2312" w:hAnsi="宋体" w:eastAsia="仿宋_GB2312"/>
          <w:color w:val="auto"/>
          <w:sz w:val="32"/>
          <w:szCs w:val="32"/>
          <w:highlight w:val="none"/>
        </w:rPr>
      </w:pPr>
      <w:r>
        <w:rPr>
          <w:rFonts w:hint="eastAsia" w:ascii="仿宋_GB2312" w:eastAsia="仿宋_GB2312"/>
          <w:color w:val="auto"/>
          <w:sz w:val="32"/>
          <w:szCs w:val="32"/>
          <w:highlight w:val="none"/>
        </w:rPr>
        <w:t>（2）管理情况：</w:t>
      </w:r>
      <w:r>
        <w:rPr>
          <w:rFonts w:hint="eastAsia" w:ascii="仿宋_GB2312" w:hAnsi="宋体" w:eastAsia="仿宋_GB2312"/>
          <w:color w:val="auto"/>
          <w:sz w:val="32"/>
          <w:szCs w:val="32"/>
          <w:highlight w:val="none"/>
        </w:rPr>
        <w:t>昌吉市滨湖镇卫生院严格按照项目计划执行，明确部门管理职责，根据《财政专项资金管理办法》，建立科学的财政专项资金运行机制，本着专款专用的原则，严格执行项目资金批准的使用计划和项目批复资料，不擅自调项、扩项、缩项，更不拆借、挪用、挤占和随意扣压，提高财政资金使用效益。</w:t>
      </w:r>
    </w:p>
    <w:p>
      <w:pPr>
        <w:ind w:firstLine="640"/>
        <w:rPr>
          <w:rFonts w:hint="eastAsia" w:ascii="仿宋_GB2312" w:hAnsi="宋体" w:eastAsia="仿宋_GB2312"/>
          <w:color w:val="auto"/>
          <w:sz w:val="32"/>
          <w:szCs w:val="32"/>
          <w:highlight w:val="none"/>
        </w:rPr>
      </w:pPr>
      <w:r>
        <w:rPr>
          <w:rFonts w:hint="eastAsia" w:ascii="仿宋_GB2312" w:eastAsia="仿宋_GB2312"/>
          <w:color w:val="auto"/>
          <w:sz w:val="32"/>
          <w:szCs w:val="32"/>
          <w:highlight w:val="none"/>
        </w:rPr>
        <w:t>（3）监管情况：</w:t>
      </w:r>
      <w:r>
        <w:rPr>
          <w:rFonts w:hint="eastAsia" w:ascii="仿宋_GB2312" w:hAnsi="宋体" w:eastAsia="仿宋_GB2312"/>
          <w:color w:val="auto"/>
          <w:sz w:val="32"/>
          <w:szCs w:val="32"/>
          <w:highlight w:val="none"/>
        </w:rPr>
        <w:t>昌吉市滨湖镇卫生院随时对专项项目进行监督检查，监督</w:t>
      </w:r>
      <w:r>
        <w:rPr>
          <w:rFonts w:hint="eastAsia" w:ascii="仿宋_GB2312" w:hAnsi="宋体" w:eastAsia="仿宋_GB2312"/>
          <w:color w:val="auto"/>
          <w:sz w:val="32"/>
          <w:szCs w:val="32"/>
          <w:highlight w:val="none"/>
          <w:lang w:val="en-US" w:eastAsia="zh-CN"/>
        </w:rPr>
        <w:t>项目实施</w:t>
      </w:r>
      <w:r>
        <w:rPr>
          <w:rFonts w:hint="eastAsia" w:ascii="仿宋_GB2312" w:hAnsi="宋体" w:eastAsia="仿宋_GB2312"/>
          <w:color w:val="auto"/>
          <w:sz w:val="32"/>
          <w:szCs w:val="32"/>
          <w:highlight w:val="none"/>
        </w:rPr>
        <w:t>进度是否按照项目计划时间如期进行，检查项目实施内容是否与项目计划内容一致，同时对专项项目资金进行定期或不定期督查，确保项目资金专款专用。</w:t>
      </w:r>
    </w:p>
    <w:p>
      <w:p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3.项目绩效情况分析</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本单位所涉及专项项目均已纳入绩效管理，</w:t>
      </w:r>
      <w:r>
        <w:rPr>
          <w:rFonts w:hint="eastAsia" w:ascii="仿宋_GB2312" w:eastAsia="仿宋_GB2312"/>
          <w:color w:val="auto"/>
          <w:sz w:val="32"/>
          <w:szCs w:val="32"/>
          <w:highlight w:val="none"/>
          <w:lang w:val="en-US" w:eastAsia="zh-CN"/>
        </w:rPr>
        <w:t>6</w:t>
      </w:r>
      <w:r>
        <w:rPr>
          <w:rFonts w:hint="eastAsia" w:ascii="仿宋_GB2312" w:eastAsia="仿宋_GB2312"/>
          <w:color w:val="auto"/>
          <w:sz w:val="32"/>
          <w:szCs w:val="32"/>
          <w:highlight w:val="none"/>
        </w:rPr>
        <w:t>个专项项目实际绩效情况如下：</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（1）成本控制：</w:t>
      </w:r>
      <w:r>
        <w:rPr>
          <w:rFonts w:hint="eastAsia" w:ascii="仿宋_GB2312" w:hAnsi="宋体" w:eastAsia="仿宋_GB2312"/>
          <w:color w:val="auto"/>
          <w:sz w:val="32"/>
          <w:szCs w:val="32"/>
          <w:highlight w:val="none"/>
        </w:rPr>
        <w:t>昌</w:t>
      </w:r>
      <w:r>
        <w:rPr>
          <w:rFonts w:hint="eastAsia" w:ascii="仿宋_GB2312" w:eastAsia="仿宋_GB2312"/>
          <w:color w:val="auto"/>
          <w:sz w:val="32"/>
          <w:szCs w:val="32"/>
          <w:highlight w:val="none"/>
        </w:rPr>
        <w:t>吉市滨湖镇卫生院在其职能范围内，明确项目职责分工和成本控制要求，对各种影响成本的因素和条件采取了一系列预防和调节措施，科学地组织实施成本控制。</w:t>
      </w:r>
    </w:p>
    <w:p>
      <w:pPr>
        <w:ind w:firstLine="640"/>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rPr>
        <w:t>（2）成本节约：</w:t>
      </w:r>
      <w:r>
        <w:rPr>
          <w:rFonts w:hint="eastAsia" w:ascii="仿宋_GB2312" w:hAnsi="宋体" w:eastAsia="仿宋_GB2312"/>
          <w:color w:val="auto"/>
          <w:sz w:val="32"/>
          <w:szCs w:val="32"/>
          <w:highlight w:val="none"/>
        </w:rPr>
        <w:t>昌吉市滨湖</w:t>
      </w:r>
      <w:r>
        <w:rPr>
          <w:rFonts w:hint="eastAsia" w:ascii="仿宋_GB2312" w:eastAsia="仿宋_GB2312"/>
          <w:color w:val="auto"/>
          <w:sz w:val="32"/>
          <w:szCs w:val="32"/>
          <w:highlight w:val="none"/>
        </w:rPr>
        <w:t>镇卫生院在进行</w:t>
      </w:r>
      <w:r>
        <w:rPr>
          <w:rFonts w:hint="eastAsia" w:ascii="仿宋_GB2312" w:eastAsia="仿宋_GB2312"/>
          <w:color w:val="auto"/>
          <w:sz w:val="32"/>
          <w:szCs w:val="32"/>
          <w:highlight w:val="none"/>
          <w:lang w:val="en-US" w:eastAsia="zh-CN"/>
        </w:rPr>
        <w:t>基本公共卫生服务项目和基本药物</w:t>
      </w:r>
      <w:r>
        <w:rPr>
          <w:rFonts w:hint="eastAsia" w:ascii="仿宋_GB2312" w:eastAsia="仿宋_GB2312"/>
          <w:color w:val="auto"/>
          <w:sz w:val="32"/>
          <w:szCs w:val="32"/>
          <w:highlight w:val="none"/>
        </w:rPr>
        <w:t>项</w:t>
      </w:r>
      <w:r>
        <w:rPr>
          <w:rFonts w:hint="eastAsia" w:ascii="仿宋_GB2312" w:eastAsia="仿宋_GB2312"/>
          <w:color w:val="auto"/>
          <w:sz w:val="32"/>
          <w:szCs w:val="32"/>
          <w:highlight w:val="none"/>
          <w:lang w:val="en-US" w:eastAsia="zh-CN"/>
        </w:rPr>
        <w:t>目过程中，无相关成本节约情况。</w:t>
      </w:r>
    </w:p>
    <w:p>
      <w:p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4.项目效率性分析（实施进度、完成质量）</w:t>
      </w:r>
    </w:p>
    <w:p>
      <w:pPr>
        <w:pStyle w:val="4"/>
        <w:rPr>
          <w:rFonts w:hint="eastAsia" w:ascii="仿宋_GB2312" w:hAnsi="仿宋" w:eastAsia="仿宋_GB2312" w:cs="Times New Roman"/>
          <w:b w:val="0"/>
          <w:bCs w:val="0"/>
          <w:color w:val="auto"/>
          <w:kern w:val="2"/>
          <w:sz w:val="32"/>
          <w:szCs w:val="32"/>
          <w:highlight w:val="none"/>
          <w:lang w:val="en-US" w:eastAsia="zh-CN" w:bidi="ar-SA"/>
        </w:rPr>
      </w:pPr>
      <w:r>
        <w:rPr>
          <w:rFonts w:hint="eastAsia" w:hAnsi="仿宋" w:cs="Times New Roman"/>
          <w:b w:val="0"/>
          <w:bCs w:val="0"/>
          <w:color w:val="auto"/>
          <w:kern w:val="2"/>
          <w:sz w:val="32"/>
          <w:szCs w:val="32"/>
          <w:highlight w:val="none"/>
          <w:lang w:val="en-US" w:eastAsia="zh-CN" w:bidi="ar-SA"/>
        </w:rPr>
        <w:t>2022</w:t>
      </w:r>
      <w:r>
        <w:rPr>
          <w:rFonts w:hint="eastAsia" w:ascii="仿宋_GB2312" w:hAnsi="仿宋" w:eastAsia="仿宋_GB2312" w:cs="Times New Roman"/>
          <w:b w:val="0"/>
          <w:bCs w:val="0"/>
          <w:color w:val="auto"/>
          <w:kern w:val="2"/>
          <w:sz w:val="32"/>
          <w:szCs w:val="32"/>
          <w:highlight w:val="none"/>
          <w:lang w:val="en-US" w:eastAsia="zh-CN" w:bidi="ar-SA"/>
        </w:rPr>
        <w:t>年中央基本公共卫生服务补助资金项目已完成，实施进度为</w:t>
      </w:r>
      <w:r>
        <w:rPr>
          <w:rFonts w:hint="eastAsia" w:hAnsi="仿宋" w:cs="Times New Roman"/>
          <w:b w:val="0"/>
          <w:bCs w:val="0"/>
          <w:color w:val="auto"/>
          <w:kern w:val="2"/>
          <w:sz w:val="32"/>
          <w:szCs w:val="32"/>
          <w:highlight w:val="none"/>
          <w:lang w:val="en-US" w:eastAsia="zh-CN" w:bidi="ar-SA"/>
        </w:rPr>
        <w:t>94.44</w:t>
      </w:r>
      <w:r>
        <w:rPr>
          <w:rFonts w:hint="eastAsia" w:ascii="仿宋_GB2312" w:hAnsi="仿宋" w:eastAsia="仿宋_GB2312" w:cs="Times New Roman"/>
          <w:b w:val="0"/>
          <w:bCs w:val="0"/>
          <w:color w:val="auto"/>
          <w:kern w:val="2"/>
          <w:sz w:val="32"/>
          <w:szCs w:val="32"/>
          <w:highlight w:val="none"/>
          <w:lang w:val="en-US" w:eastAsia="zh-CN" w:bidi="ar-SA"/>
        </w:rPr>
        <w:t>%，达到预期完成质量要求；</w:t>
      </w:r>
    </w:p>
    <w:p>
      <w:pPr>
        <w:pStyle w:val="4"/>
        <w:ind w:firstLine="640"/>
        <w:rPr>
          <w:rFonts w:hint="eastAsia" w:ascii="仿宋_GB2312" w:hAnsi="仿宋" w:eastAsia="仿宋_GB2312" w:cs="Times New Roman"/>
          <w:b w:val="0"/>
          <w:bCs w:val="0"/>
          <w:color w:val="auto"/>
          <w:kern w:val="2"/>
          <w:sz w:val="32"/>
          <w:szCs w:val="32"/>
          <w:highlight w:val="none"/>
          <w:lang w:val="en-US" w:eastAsia="zh-CN" w:bidi="ar-SA"/>
        </w:rPr>
      </w:pPr>
      <w:r>
        <w:rPr>
          <w:rFonts w:hint="eastAsia" w:hAnsi="仿宋" w:cs="Times New Roman"/>
          <w:b w:val="0"/>
          <w:bCs w:val="0"/>
          <w:color w:val="auto"/>
          <w:kern w:val="2"/>
          <w:sz w:val="32"/>
          <w:szCs w:val="32"/>
          <w:highlight w:val="none"/>
          <w:lang w:val="en-US" w:eastAsia="zh-CN" w:bidi="ar-SA"/>
        </w:rPr>
        <w:t>2022</w:t>
      </w:r>
      <w:r>
        <w:rPr>
          <w:rFonts w:hint="eastAsia" w:ascii="仿宋_GB2312" w:hAnsi="仿宋" w:eastAsia="仿宋_GB2312" w:cs="Times New Roman"/>
          <w:b w:val="0"/>
          <w:bCs w:val="0"/>
          <w:color w:val="auto"/>
          <w:kern w:val="2"/>
          <w:sz w:val="32"/>
          <w:szCs w:val="32"/>
          <w:highlight w:val="none"/>
          <w:lang w:val="en-US" w:eastAsia="zh-CN" w:bidi="ar-SA"/>
        </w:rPr>
        <w:t>年中央基本公共卫生服务补助资金（第二批）项目已完成，实施进度为100%，达到预期完成质量要求；</w:t>
      </w:r>
    </w:p>
    <w:p>
      <w:pPr>
        <w:pStyle w:val="4"/>
        <w:rPr>
          <w:rFonts w:hint="eastAsia" w:ascii="仿宋_GB2312" w:hAnsi="仿宋" w:eastAsia="仿宋_GB2312" w:cs="Times New Roman"/>
          <w:b w:val="0"/>
          <w:bCs w:val="0"/>
          <w:color w:val="auto"/>
          <w:kern w:val="2"/>
          <w:sz w:val="32"/>
          <w:szCs w:val="32"/>
          <w:highlight w:val="none"/>
          <w:lang w:val="en-US" w:eastAsia="zh-CN" w:bidi="ar-SA"/>
        </w:rPr>
      </w:pPr>
      <w:r>
        <w:rPr>
          <w:rFonts w:hint="eastAsia" w:hAnsi="仿宋" w:cs="Times New Roman"/>
          <w:b w:val="0"/>
          <w:bCs w:val="0"/>
          <w:color w:val="auto"/>
          <w:kern w:val="2"/>
          <w:sz w:val="32"/>
          <w:szCs w:val="32"/>
          <w:highlight w:val="none"/>
          <w:lang w:val="en-US" w:eastAsia="zh-CN" w:bidi="ar-SA"/>
        </w:rPr>
        <w:t>2022</w:t>
      </w:r>
      <w:r>
        <w:rPr>
          <w:rFonts w:hint="eastAsia" w:ascii="仿宋_GB2312" w:hAnsi="仿宋" w:eastAsia="仿宋_GB2312" w:cs="Times New Roman"/>
          <w:b w:val="0"/>
          <w:bCs w:val="0"/>
          <w:color w:val="auto"/>
          <w:kern w:val="2"/>
          <w:sz w:val="32"/>
          <w:szCs w:val="32"/>
          <w:highlight w:val="none"/>
          <w:lang w:val="en-US" w:eastAsia="zh-CN" w:bidi="ar-SA"/>
        </w:rPr>
        <w:t>年中央基本药物制度补助资金预算项目已完成，实施进度为100%，达到预期完成质量要求；</w:t>
      </w:r>
    </w:p>
    <w:p>
      <w:pPr>
        <w:pStyle w:val="4"/>
        <w:ind w:firstLine="640"/>
        <w:rPr>
          <w:rFonts w:hint="eastAsia" w:ascii="仿宋_GB2312" w:hAnsi="仿宋" w:eastAsia="仿宋_GB2312" w:cs="Times New Roman"/>
          <w:b w:val="0"/>
          <w:bCs w:val="0"/>
          <w:color w:val="auto"/>
          <w:kern w:val="2"/>
          <w:sz w:val="32"/>
          <w:szCs w:val="32"/>
          <w:highlight w:val="none"/>
          <w:lang w:val="en-US" w:eastAsia="zh-CN" w:bidi="ar-SA"/>
        </w:rPr>
      </w:pPr>
      <w:r>
        <w:rPr>
          <w:rFonts w:hint="eastAsia" w:hAnsi="仿宋" w:cs="Times New Roman"/>
          <w:b w:val="0"/>
          <w:bCs w:val="0"/>
          <w:color w:val="auto"/>
          <w:kern w:val="2"/>
          <w:sz w:val="32"/>
          <w:szCs w:val="32"/>
          <w:highlight w:val="none"/>
          <w:lang w:val="en-US" w:eastAsia="zh-CN" w:bidi="ar-SA"/>
        </w:rPr>
        <w:t>2022</w:t>
      </w:r>
      <w:r>
        <w:rPr>
          <w:rFonts w:hint="eastAsia" w:ascii="仿宋_GB2312" w:hAnsi="仿宋" w:eastAsia="仿宋_GB2312" w:cs="Times New Roman"/>
          <w:b w:val="0"/>
          <w:bCs w:val="0"/>
          <w:color w:val="auto"/>
          <w:kern w:val="2"/>
          <w:sz w:val="32"/>
          <w:szCs w:val="32"/>
          <w:highlight w:val="none"/>
          <w:lang w:val="en-US" w:eastAsia="zh-CN" w:bidi="ar-SA"/>
        </w:rPr>
        <w:t>年中央基本药物制度补助资金（第二批）项目已完成，实施进度为100%，达到预期完成质量要求；</w:t>
      </w:r>
    </w:p>
    <w:p>
      <w:pPr>
        <w:pStyle w:val="4"/>
        <w:ind w:firstLine="640"/>
        <w:rPr>
          <w:rFonts w:hint="eastAsia" w:ascii="仿宋_GB2312" w:hAnsi="仿宋" w:eastAsia="仿宋_GB2312" w:cs="Times New Roman"/>
          <w:b w:val="0"/>
          <w:bCs w:val="0"/>
          <w:color w:val="auto"/>
          <w:kern w:val="2"/>
          <w:sz w:val="32"/>
          <w:szCs w:val="32"/>
          <w:highlight w:val="none"/>
          <w:lang w:val="en-US" w:eastAsia="zh-CN" w:bidi="ar-SA"/>
        </w:rPr>
      </w:pPr>
      <w:r>
        <w:rPr>
          <w:rFonts w:hint="eastAsia" w:hAnsi="仿宋" w:cs="Times New Roman"/>
          <w:b w:val="0"/>
          <w:bCs w:val="0"/>
          <w:color w:val="auto"/>
          <w:kern w:val="2"/>
          <w:sz w:val="32"/>
          <w:szCs w:val="32"/>
          <w:highlight w:val="none"/>
          <w:lang w:val="en-US" w:eastAsia="zh-CN" w:bidi="ar-SA"/>
        </w:rPr>
        <w:t>2022</w:t>
      </w:r>
      <w:r>
        <w:rPr>
          <w:rFonts w:hint="eastAsia" w:ascii="仿宋_GB2312" w:hAnsi="仿宋" w:eastAsia="仿宋_GB2312" w:cs="Times New Roman"/>
          <w:b w:val="0"/>
          <w:bCs w:val="0"/>
          <w:color w:val="auto"/>
          <w:kern w:val="2"/>
          <w:sz w:val="32"/>
          <w:szCs w:val="32"/>
          <w:highlight w:val="none"/>
          <w:lang w:val="en-US" w:eastAsia="zh-CN" w:bidi="ar-SA"/>
        </w:rPr>
        <w:t>年自治区基本公共卫生服务补助资金预算项目已完成，实施进度为100%，达到预期完成质量要求；</w:t>
      </w:r>
    </w:p>
    <w:p>
      <w:pPr>
        <w:pStyle w:val="4"/>
        <w:ind w:firstLine="640"/>
        <w:rPr>
          <w:rFonts w:hint="eastAsia" w:ascii="仿宋_GB2312" w:hAnsi="仿宋" w:eastAsia="仿宋_GB2312" w:cs="Times New Roman"/>
          <w:b w:val="0"/>
          <w:bCs w:val="0"/>
          <w:color w:val="auto"/>
          <w:kern w:val="2"/>
          <w:sz w:val="32"/>
          <w:szCs w:val="32"/>
          <w:highlight w:val="none"/>
          <w:lang w:val="en-US" w:eastAsia="zh-CN" w:bidi="ar-SA"/>
        </w:rPr>
      </w:pPr>
      <w:r>
        <w:rPr>
          <w:rFonts w:hint="eastAsia" w:hAnsi="仿宋" w:cs="Times New Roman"/>
          <w:b w:val="0"/>
          <w:bCs w:val="0"/>
          <w:color w:val="auto"/>
          <w:kern w:val="2"/>
          <w:sz w:val="32"/>
          <w:szCs w:val="32"/>
          <w:highlight w:val="none"/>
          <w:lang w:val="en-US" w:eastAsia="zh-CN" w:bidi="ar-SA"/>
        </w:rPr>
        <w:t>2022</w:t>
      </w:r>
      <w:r>
        <w:rPr>
          <w:rFonts w:hint="eastAsia" w:ascii="仿宋_GB2312" w:hAnsi="仿宋" w:eastAsia="仿宋_GB2312" w:cs="Times New Roman"/>
          <w:b w:val="0"/>
          <w:bCs w:val="0"/>
          <w:color w:val="auto"/>
          <w:kern w:val="2"/>
          <w:sz w:val="32"/>
          <w:szCs w:val="32"/>
          <w:highlight w:val="none"/>
          <w:lang w:val="en-US" w:eastAsia="zh-CN" w:bidi="ar-SA"/>
        </w:rPr>
        <w:t>年自治区基本公共卫生服务补助资金（第二批）项目任务已完成，实施进度为100%，达到预期完成质量要求；</w:t>
      </w:r>
    </w:p>
    <w:p>
      <w:p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5.项目效益性分析（预期目标完成程度、实施对经济和社会的影响）</w:t>
      </w:r>
    </w:p>
    <w:p>
      <w:pPr>
        <w:spacing w:line="560" w:lineRule="exact"/>
        <w:ind w:firstLine="640"/>
        <w:jc w:val="left"/>
        <w:rPr>
          <w:rFonts w:hint="eastAsia" w:ascii="仿宋_GB2312" w:hAnsi="宋体" w:eastAsia="仿宋_GB2312"/>
          <w:color w:val="auto"/>
          <w:sz w:val="32"/>
          <w:szCs w:val="32"/>
          <w:highlight w:val="none"/>
        </w:rPr>
      </w:pPr>
      <w:r>
        <w:rPr>
          <w:rFonts w:hint="eastAsia" w:ascii="仿宋_GB2312" w:hAnsi="宋体" w:eastAsia="仿宋_GB2312" w:cs="宋体"/>
          <w:color w:val="auto"/>
          <w:kern w:val="0"/>
          <w:sz w:val="32"/>
          <w:szCs w:val="32"/>
          <w:highlight w:val="none"/>
          <w:lang w:eastAsia="zh-CN"/>
        </w:rPr>
        <w:t>2022</w:t>
      </w:r>
      <w:r>
        <w:rPr>
          <w:rFonts w:hint="eastAsia" w:ascii="仿宋_GB2312" w:hAnsi="宋体" w:eastAsia="仿宋_GB2312" w:cs="宋体"/>
          <w:color w:val="auto"/>
          <w:kern w:val="0"/>
          <w:sz w:val="32"/>
          <w:szCs w:val="32"/>
          <w:highlight w:val="none"/>
        </w:rPr>
        <w:t>年，我单位积极开展了</w:t>
      </w:r>
      <w:r>
        <w:rPr>
          <w:rFonts w:hint="eastAsia" w:ascii="仿宋_GB2312" w:hAnsi="宋体" w:eastAsia="仿宋_GB2312" w:cs="宋体"/>
          <w:color w:val="auto"/>
          <w:kern w:val="0"/>
          <w:sz w:val="32"/>
          <w:szCs w:val="32"/>
          <w:highlight w:val="none"/>
          <w:lang w:val="en-US" w:eastAsia="zh-CN"/>
        </w:rPr>
        <w:t>基本公共卫生服务项目和基本药物</w:t>
      </w:r>
      <w:r>
        <w:rPr>
          <w:rFonts w:hint="eastAsia" w:ascii="仿宋_GB2312" w:hAnsi="宋体" w:eastAsia="仿宋_GB2312" w:cs="宋体"/>
          <w:color w:val="auto"/>
          <w:kern w:val="0"/>
          <w:sz w:val="32"/>
          <w:szCs w:val="32"/>
          <w:highlight w:val="none"/>
        </w:rPr>
        <w:t>项目，完善配套建设，继续深化医疗体制改革；严格落实区州市有关疫情防控各项工作措施，进一步细化新冠肺炎疫情防控常态化六项预警机制</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olor w:val="auto"/>
          <w:sz w:val="32"/>
          <w:szCs w:val="32"/>
          <w:highlight w:val="none"/>
        </w:rPr>
        <w:t>引导和帮助</w:t>
      </w:r>
      <w:r>
        <w:rPr>
          <w:rFonts w:hint="eastAsia" w:ascii="仿宋_GB2312" w:hAnsi="宋体" w:eastAsia="仿宋_GB2312"/>
          <w:color w:val="auto"/>
          <w:sz w:val="32"/>
          <w:szCs w:val="32"/>
          <w:highlight w:val="none"/>
          <w:lang w:val="en-US" w:eastAsia="zh-CN"/>
        </w:rPr>
        <w:t>辖区</w:t>
      </w:r>
      <w:r>
        <w:rPr>
          <w:rFonts w:hint="eastAsia" w:ascii="仿宋_GB2312" w:hAnsi="宋体" w:eastAsia="仿宋_GB2312"/>
          <w:color w:val="auto"/>
          <w:sz w:val="32"/>
          <w:szCs w:val="32"/>
          <w:highlight w:val="none"/>
        </w:rPr>
        <w:t>农民建立</w:t>
      </w:r>
      <w:r>
        <w:rPr>
          <w:rFonts w:hint="eastAsia" w:ascii="仿宋_GB2312" w:hAnsi="宋体" w:eastAsia="仿宋_GB2312"/>
          <w:color w:val="auto"/>
          <w:sz w:val="32"/>
          <w:szCs w:val="32"/>
          <w:highlight w:val="none"/>
          <w:lang w:val="en-US" w:eastAsia="zh-CN"/>
        </w:rPr>
        <w:t>了</w:t>
      </w:r>
      <w:r>
        <w:rPr>
          <w:rFonts w:hint="eastAsia" w:ascii="仿宋_GB2312" w:hAnsi="宋体" w:eastAsia="仿宋_GB2312"/>
          <w:color w:val="auto"/>
          <w:sz w:val="32"/>
          <w:szCs w:val="32"/>
          <w:highlight w:val="none"/>
        </w:rPr>
        <w:t>良好的卫生习惯。</w:t>
      </w:r>
    </w:p>
    <w:p>
      <w:pPr>
        <w:ind w:firstLine="640"/>
        <w:rPr>
          <w:rFonts w:ascii="仿宋_GB2312" w:eastAsia="仿宋_GB2312" w:cs="仿宋"/>
          <w:b/>
          <w:bCs/>
          <w:color w:val="auto"/>
          <w:sz w:val="32"/>
          <w:szCs w:val="32"/>
          <w:highlight w:val="none"/>
        </w:rPr>
      </w:pPr>
    </w:p>
    <w:p>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四、资产管理情况</w:t>
      </w:r>
    </w:p>
    <w:p>
      <w:pPr>
        <w:pStyle w:val="2"/>
        <w:numPr>
          <w:ilvl w:val="0"/>
          <w:numId w:val="6"/>
        </w:numPr>
        <w:ind w:firstLine="640"/>
        <w:rPr>
          <w:rFonts w:ascii="楷体_GB2312" w:eastAsia="楷体_GB2312"/>
          <w:color w:val="auto"/>
          <w:szCs w:val="32"/>
          <w:highlight w:val="none"/>
        </w:rPr>
      </w:pPr>
      <w:r>
        <w:rPr>
          <w:rFonts w:hint="eastAsia" w:ascii="楷体_GB2312" w:eastAsia="楷体_GB2312"/>
          <w:color w:val="auto"/>
          <w:szCs w:val="32"/>
          <w:highlight w:val="none"/>
        </w:rPr>
        <w:t>资产情况及固定资产利用情况</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截止</w:t>
      </w: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年12月31日，我单位资产账面总额为445</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rPr>
        <w:t>07万元，较年初资产总额</w:t>
      </w:r>
      <w:r>
        <w:rPr>
          <w:rFonts w:hint="eastAsia" w:ascii="仿宋_GB2312" w:eastAsia="仿宋_GB2312"/>
          <w:color w:val="auto"/>
          <w:sz w:val="32"/>
          <w:szCs w:val="32"/>
          <w:highlight w:val="none"/>
          <w:lang w:val="en-US" w:eastAsia="zh-CN"/>
        </w:rPr>
        <w:t>减少62.91</w:t>
      </w:r>
      <w:r>
        <w:rPr>
          <w:rFonts w:hint="eastAsia" w:ascii="仿宋_GB2312" w:eastAsia="仿宋_GB2312"/>
          <w:color w:val="auto"/>
          <w:sz w:val="32"/>
          <w:szCs w:val="32"/>
          <w:highlight w:val="none"/>
        </w:rPr>
        <w:t>万元，下降</w:t>
      </w:r>
      <w:r>
        <w:rPr>
          <w:rFonts w:hint="eastAsia" w:ascii="仿宋_GB2312" w:eastAsia="仿宋_GB2312"/>
          <w:color w:val="auto"/>
          <w:sz w:val="32"/>
          <w:szCs w:val="32"/>
          <w:highlight w:val="none"/>
          <w:lang w:val="en-US" w:eastAsia="zh-CN"/>
        </w:rPr>
        <w:t>12.38%</w:t>
      </w:r>
      <w:r>
        <w:rPr>
          <w:rFonts w:hint="eastAsia" w:ascii="仿宋_GB2312" w:eastAsia="仿宋_GB2312"/>
          <w:color w:val="auto"/>
          <w:sz w:val="32"/>
          <w:szCs w:val="32"/>
          <w:highlight w:val="none"/>
        </w:rPr>
        <w:t>，其中：</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年初，流动资产总额为</w:t>
      </w:r>
      <w:r>
        <w:rPr>
          <w:rFonts w:hint="eastAsia" w:ascii="仿宋_GB2312" w:eastAsia="仿宋_GB2312"/>
          <w:color w:val="auto"/>
          <w:sz w:val="32"/>
          <w:szCs w:val="32"/>
          <w:highlight w:val="none"/>
          <w:lang w:val="en-US" w:eastAsia="zh-CN"/>
        </w:rPr>
        <w:t>129.98</w:t>
      </w:r>
      <w:r>
        <w:rPr>
          <w:rFonts w:hint="eastAsia" w:ascii="仿宋_GB2312" w:eastAsia="仿宋_GB2312"/>
          <w:color w:val="auto"/>
          <w:sz w:val="32"/>
          <w:szCs w:val="32"/>
          <w:highlight w:val="none"/>
        </w:rPr>
        <w:t>万元，年末总额为</w:t>
      </w:r>
      <w:r>
        <w:rPr>
          <w:rFonts w:hint="eastAsia" w:ascii="仿宋_GB2312" w:eastAsia="仿宋_GB2312"/>
          <w:color w:val="auto"/>
          <w:sz w:val="32"/>
          <w:szCs w:val="32"/>
          <w:highlight w:val="none"/>
          <w:lang w:val="en-US" w:eastAsia="zh-CN"/>
        </w:rPr>
        <w:t>95.08</w:t>
      </w:r>
      <w:r>
        <w:rPr>
          <w:rFonts w:hint="eastAsia" w:ascii="仿宋_GB2312" w:eastAsia="仿宋_GB2312"/>
          <w:color w:val="auto"/>
          <w:sz w:val="32"/>
          <w:szCs w:val="32"/>
          <w:highlight w:val="none"/>
        </w:rPr>
        <w:t>万元，较年初流动资产减少</w:t>
      </w:r>
      <w:r>
        <w:rPr>
          <w:rFonts w:hint="eastAsia" w:ascii="仿宋_GB2312" w:eastAsia="仿宋_GB2312"/>
          <w:color w:val="auto"/>
          <w:sz w:val="32"/>
          <w:szCs w:val="32"/>
          <w:highlight w:val="none"/>
          <w:lang w:val="en-US" w:eastAsia="zh-CN"/>
        </w:rPr>
        <w:t>34.90</w:t>
      </w:r>
      <w:r>
        <w:rPr>
          <w:rFonts w:hint="eastAsia" w:ascii="仿宋_GB2312" w:eastAsia="仿宋_GB2312"/>
          <w:color w:val="auto"/>
          <w:sz w:val="32"/>
          <w:szCs w:val="32"/>
          <w:highlight w:val="none"/>
        </w:rPr>
        <w:t>万元，下降</w:t>
      </w:r>
      <w:r>
        <w:rPr>
          <w:rFonts w:hint="eastAsia" w:ascii="仿宋_GB2312" w:eastAsia="仿宋_GB2312"/>
          <w:color w:val="auto"/>
          <w:sz w:val="32"/>
          <w:szCs w:val="32"/>
          <w:highlight w:val="none"/>
          <w:lang w:val="en-US" w:eastAsia="zh-CN"/>
        </w:rPr>
        <w:t>26.8</w:t>
      </w:r>
      <w:r>
        <w:rPr>
          <w:rFonts w:hint="eastAsia" w:ascii="仿宋_GB2312" w:eastAsia="仿宋_GB2312"/>
          <w:color w:val="auto"/>
          <w:sz w:val="32"/>
          <w:szCs w:val="32"/>
          <w:highlight w:val="none"/>
        </w:rPr>
        <w:t>%，主要变动原因是：</w:t>
      </w:r>
      <w:r>
        <w:rPr>
          <w:rFonts w:hint="eastAsia" w:ascii="仿宋_GB2312" w:eastAsia="仿宋_GB2312"/>
          <w:color w:val="auto"/>
          <w:sz w:val="32"/>
          <w:szCs w:val="32"/>
          <w:highlight w:val="none"/>
          <w:lang w:val="en-US" w:eastAsia="zh-CN"/>
        </w:rPr>
        <w:t>财政应返还额度减少。</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年初，固定资产总额为</w:t>
      </w:r>
      <w:r>
        <w:rPr>
          <w:rFonts w:hint="eastAsia" w:ascii="仿宋_GB2312" w:eastAsia="仿宋_GB2312"/>
          <w:color w:val="auto"/>
          <w:sz w:val="32"/>
          <w:szCs w:val="32"/>
          <w:highlight w:val="none"/>
          <w:lang w:val="en-US" w:eastAsia="zh-CN"/>
        </w:rPr>
        <w:t>660.09</w:t>
      </w:r>
      <w:r>
        <w:rPr>
          <w:rFonts w:hint="eastAsia" w:ascii="仿宋_GB2312" w:eastAsia="仿宋_GB2312"/>
          <w:color w:val="auto"/>
          <w:sz w:val="32"/>
          <w:szCs w:val="32"/>
          <w:highlight w:val="none"/>
        </w:rPr>
        <w:t>万元，年末总额为</w:t>
      </w:r>
      <w:r>
        <w:rPr>
          <w:rFonts w:hint="eastAsia" w:ascii="仿宋_GB2312" w:eastAsia="仿宋_GB2312"/>
          <w:color w:val="auto"/>
          <w:sz w:val="32"/>
          <w:szCs w:val="32"/>
          <w:highlight w:val="none"/>
          <w:lang w:val="en-US" w:eastAsia="zh-CN"/>
        </w:rPr>
        <w:t>695.28</w:t>
      </w:r>
      <w:r>
        <w:rPr>
          <w:rFonts w:hint="eastAsia" w:ascii="仿宋_GB2312" w:eastAsia="仿宋_GB2312"/>
          <w:color w:val="auto"/>
          <w:sz w:val="32"/>
          <w:szCs w:val="32"/>
          <w:highlight w:val="none"/>
        </w:rPr>
        <w:t>万元，较年初固定资产增加</w:t>
      </w:r>
      <w:r>
        <w:rPr>
          <w:rFonts w:hint="eastAsia" w:ascii="仿宋_GB2312" w:eastAsia="仿宋_GB2312"/>
          <w:color w:val="auto"/>
          <w:sz w:val="32"/>
          <w:szCs w:val="32"/>
          <w:highlight w:val="none"/>
          <w:lang w:val="en-US" w:eastAsia="zh-CN"/>
        </w:rPr>
        <w:t>35.19</w:t>
      </w:r>
      <w:r>
        <w:rPr>
          <w:rFonts w:hint="eastAsia" w:ascii="仿宋_GB2312" w:eastAsia="仿宋_GB2312"/>
          <w:color w:val="auto"/>
          <w:sz w:val="32"/>
          <w:szCs w:val="32"/>
          <w:highlight w:val="none"/>
        </w:rPr>
        <w:t>万元，增长</w:t>
      </w:r>
      <w:r>
        <w:rPr>
          <w:rFonts w:hint="eastAsia" w:ascii="仿宋_GB2312" w:eastAsia="仿宋_GB2312"/>
          <w:color w:val="auto"/>
          <w:sz w:val="32"/>
          <w:szCs w:val="32"/>
          <w:highlight w:val="none"/>
          <w:lang w:val="en-US" w:eastAsia="zh-CN"/>
        </w:rPr>
        <w:t>5.3</w:t>
      </w:r>
      <w:r>
        <w:rPr>
          <w:rFonts w:hint="eastAsia" w:ascii="仿宋_GB2312" w:eastAsia="仿宋_GB2312"/>
          <w:color w:val="auto"/>
          <w:sz w:val="32"/>
          <w:szCs w:val="32"/>
          <w:highlight w:val="none"/>
        </w:rPr>
        <w:t>%，主要变动原因是：</w:t>
      </w:r>
      <w:r>
        <w:rPr>
          <w:rFonts w:hint="eastAsia" w:ascii="仿宋_GB2312" w:eastAsia="仿宋_GB2312"/>
          <w:color w:val="auto"/>
          <w:sz w:val="32"/>
          <w:szCs w:val="32"/>
          <w:highlight w:val="none"/>
          <w:lang w:val="en-US" w:eastAsia="zh-CN"/>
        </w:rPr>
        <w:t>以前年度已</w:t>
      </w:r>
      <w:r>
        <w:rPr>
          <w:rFonts w:hint="eastAsia" w:ascii="仿宋_GB2312" w:hAnsi="楷体" w:eastAsia="仿宋_GB2312"/>
          <w:color w:val="auto"/>
          <w:kern w:val="0"/>
          <w:sz w:val="32"/>
          <w:szCs w:val="32"/>
          <w:highlight w:val="none"/>
          <w:lang w:val="en-US" w:eastAsia="zh-CN"/>
        </w:rPr>
        <w:t>完工的污水处理系统由在建工程转入固定资</w:t>
      </w:r>
      <w:r>
        <w:rPr>
          <w:rFonts w:hint="eastAsia" w:ascii="仿宋_GB2312" w:eastAsia="仿宋_GB2312"/>
          <w:color w:val="auto"/>
          <w:sz w:val="32"/>
          <w:szCs w:val="32"/>
          <w:highlight w:val="none"/>
          <w:lang w:val="en-US" w:eastAsia="zh-CN"/>
        </w:rPr>
        <w:t>产</w:t>
      </w:r>
      <w:r>
        <w:rPr>
          <w:rFonts w:hint="eastAsia" w:ascii="仿宋_GB2312" w:eastAsia="仿宋_GB2312"/>
          <w:color w:val="auto"/>
          <w:sz w:val="32"/>
          <w:szCs w:val="32"/>
          <w:highlight w:val="none"/>
        </w:rPr>
        <w:t>。</w:t>
      </w:r>
    </w:p>
    <w:p>
      <w:pPr>
        <w:pStyle w:val="2"/>
        <w:numPr>
          <w:ilvl w:val="0"/>
          <w:numId w:val="6"/>
        </w:numPr>
        <w:ind w:firstLine="640"/>
        <w:rPr>
          <w:rFonts w:ascii="楷体_GB2312" w:eastAsia="楷体_GB2312"/>
          <w:color w:val="auto"/>
          <w:szCs w:val="32"/>
          <w:highlight w:val="none"/>
        </w:rPr>
      </w:pPr>
      <w:r>
        <w:rPr>
          <w:rFonts w:hint="eastAsia" w:ascii="楷体_GB2312" w:eastAsia="楷体_GB2312"/>
          <w:color w:val="auto"/>
          <w:szCs w:val="32"/>
          <w:highlight w:val="none"/>
        </w:rPr>
        <w:t>资产管理规范性分析</w:t>
      </w:r>
    </w:p>
    <w:p>
      <w:pPr>
        <w:ind w:firstLine="640"/>
        <w:jc w:val="left"/>
        <w:rPr>
          <w:rFonts w:ascii="仿宋_GB2312" w:eastAsia="仿宋_GB2312" w:cs="仿宋_GB2312"/>
          <w:color w:val="auto"/>
          <w:kern w:val="1"/>
          <w:sz w:val="32"/>
          <w:szCs w:val="32"/>
          <w:highlight w:val="none"/>
        </w:rPr>
      </w:pPr>
      <w:r>
        <w:rPr>
          <w:rFonts w:hint="eastAsia" w:ascii="仿宋_GB2312" w:eastAsia="仿宋_GB2312" w:cs="仿宋_GB2312"/>
          <w:b/>
          <w:color w:val="auto"/>
          <w:kern w:val="1"/>
          <w:sz w:val="32"/>
          <w:szCs w:val="32"/>
          <w:highlight w:val="none"/>
        </w:rPr>
        <w:t>1.资产管理体制和制度建设方面</w:t>
      </w:r>
    </w:p>
    <w:p>
      <w:pPr>
        <w:ind w:firstLine="681" w:firstLineChars="213"/>
        <w:jc w:val="left"/>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事业单位国有资产管理是公共财政管理的重要组成部分，是推进预算管理改革、完善公共财政体制的迫切需要，是建立完善事业单位国有资产管理体制的现实需要。</w:t>
      </w:r>
      <w:r>
        <w:rPr>
          <w:rFonts w:hint="eastAsia" w:ascii="仿宋_GB2312" w:eastAsia="仿宋_GB2312"/>
          <w:color w:val="auto"/>
          <w:sz w:val="32"/>
          <w:szCs w:val="32"/>
          <w:highlight w:val="none"/>
          <w:lang w:eastAsia="zh-CN"/>
        </w:rPr>
        <w:t>昌吉市</w:t>
      </w:r>
      <w:r>
        <w:rPr>
          <w:rFonts w:hint="eastAsia" w:ascii="仿宋_GB2312" w:eastAsia="仿宋_GB2312"/>
          <w:color w:val="auto"/>
          <w:sz w:val="32"/>
          <w:szCs w:val="32"/>
          <w:highlight w:val="none"/>
          <w:lang w:val="en-US" w:eastAsia="zh-CN"/>
        </w:rPr>
        <w:t>滨湖镇卫生院</w:t>
      </w:r>
      <w:r>
        <w:rPr>
          <w:rFonts w:hint="eastAsia" w:ascii="仿宋_GB2312" w:eastAsia="仿宋_GB2312"/>
          <w:color w:val="auto"/>
          <w:sz w:val="32"/>
          <w:szCs w:val="32"/>
          <w:highlight w:val="none"/>
        </w:rPr>
        <w:t>高度重视</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切实把此项工作抓紧抓好。</w:t>
      </w:r>
      <w:r>
        <w:rPr>
          <w:rFonts w:hint="eastAsia" w:ascii="仿宋_GB2312" w:eastAsia="仿宋_GB2312"/>
          <w:color w:val="auto"/>
          <w:sz w:val="32"/>
          <w:szCs w:val="32"/>
          <w:highlight w:val="none"/>
          <w:lang w:val="en-US" w:eastAsia="zh-CN"/>
        </w:rPr>
        <w:t>我院</w:t>
      </w:r>
      <w:r>
        <w:rPr>
          <w:rFonts w:hint="eastAsia" w:ascii="仿宋_GB2312" w:eastAsia="仿宋_GB2312"/>
          <w:color w:val="auto"/>
          <w:sz w:val="32"/>
          <w:szCs w:val="32"/>
          <w:highlight w:val="none"/>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pPr>
        <w:ind w:firstLine="640"/>
        <w:jc w:val="left"/>
        <w:rPr>
          <w:rFonts w:ascii="仿宋_GB2312" w:eastAsia="仿宋_GB2312" w:cs="仿宋_GB2312"/>
          <w:b/>
          <w:color w:val="auto"/>
          <w:kern w:val="1"/>
          <w:sz w:val="32"/>
          <w:szCs w:val="32"/>
          <w:highlight w:val="none"/>
        </w:rPr>
      </w:pPr>
      <w:r>
        <w:rPr>
          <w:rFonts w:hint="eastAsia" w:ascii="仿宋_GB2312" w:eastAsia="仿宋_GB2312" w:cs="仿宋_GB2312"/>
          <w:b/>
          <w:color w:val="auto"/>
          <w:kern w:val="1"/>
          <w:sz w:val="32"/>
          <w:szCs w:val="32"/>
          <w:highlight w:val="none"/>
        </w:rPr>
        <w:t>2.运行机制和管理方式</w:t>
      </w:r>
    </w:p>
    <w:p>
      <w:pPr>
        <w:ind w:firstLine="681" w:firstLineChars="213"/>
        <w:jc w:val="left"/>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pPr>
        <w:ind w:firstLine="640"/>
        <w:jc w:val="left"/>
        <w:rPr>
          <w:rFonts w:ascii="仿宋_GB2312" w:eastAsia="仿宋_GB2312" w:cs="仿宋_GB2312"/>
          <w:b/>
          <w:color w:val="auto"/>
          <w:kern w:val="1"/>
          <w:sz w:val="32"/>
          <w:szCs w:val="32"/>
          <w:highlight w:val="none"/>
        </w:rPr>
      </w:pPr>
      <w:r>
        <w:rPr>
          <w:rFonts w:hint="eastAsia" w:ascii="仿宋_GB2312" w:eastAsia="仿宋_GB2312" w:cs="仿宋_GB2312"/>
          <w:b/>
          <w:color w:val="auto"/>
          <w:kern w:val="1"/>
          <w:sz w:val="32"/>
          <w:szCs w:val="32"/>
          <w:highlight w:val="none"/>
        </w:rPr>
        <w:t>3.信息化建设方面</w:t>
      </w:r>
    </w:p>
    <w:p>
      <w:pPr>
        <w:ind w:firstLine="640"/>
        <w:jc w:val="left"/>
        <w:rPr>
          <w:rFonts w:ascii="仿宋_GB2312" w:eastAsia="仿宋_GB2312" w:cs="仿宋"/>
          <w:color w:val="auto"/>
          <w:kern w:val="1"/>
          <w:sz w:val="32"/>
          <w:szCs w:val="32"/>
          <w:highlight w:val="none"/>
        </w:rPr>
      </w:pPr>
      <w:r>
        <w:rPr>
          <w:rFonts w:hint="eastAsia" w:ascii="仿宋_GB2312" w:eastAsia="仿宋_GB2312"/>
          <w:color w:val="auto"/>
          <w:sz w:val="32"/>
          <w:szCs w:val="32"/>
          <w:highlight w:val="none"/>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pPr>
        <w:ind w:firstLine="640"/>
        <w:jc w:val="left"/>
        <w:rPr>
          <w:rFonts w:ascii="仿宋_GB2312" w:eastAsia="仿宋_GB2312" w:cs="仿宋_GB2312"/>
          <w:b/>
          <w:color w:val="auto"/>
          <w:kern w:val="1"/>
          <w:sz w:val="32"/>
          <w:szCs w:val="32"/>
          <w:highlight w:val="none"/>
        </w:rPr>
      </w:pPr>
      <w:r>
        <w:rPr>
          <w:rFonts w:hint="eastAsia" w:ascii="仿宋_GB2312" w:eastAsia="仿宋_GB2312" w:cs="仿宋_GB2312"/>
          <w:b/>
          <w:color w:val="auto"/>
          <w:kern w:val="1"/>
          <w:sz w:val="32"/>
          <w:szCs w:val="32"/>
          <w:highlight w:val="none"/>
        </w:rPr>
        <w:t xml:space="preserve"> 4.流动资产的管理</w:t>
      </w:r>
    </w:p>
    <w:p>
      <w:pPr>
        <w:pStyle w:val="9"/>
        <w:widowControl/>
        <w:spacing w:before="40" w:beforeAutospacing="0" w:after="0" w:afterAutospacing="0"/>
        <w:ind w:firstLine="640"/>
        <w:jc w:val="both"/>
        <w:rPr>
          <w:rFonts w:hint="eastAsia" w:ascii="仿宋_GB2312" w:hAnsi="仿宋" w:eastAsia="仿宋_GB2312" w:cs="Times New Roman"/>
          <w:color w:val="auto"/>
          <w:kern w:val="2"/>
          <w:sz w:val="32"/>
          <w:szCs w:val="32"/>
          <w:highlight w:val="none"/>
          <w:lang w:val="en-US" w:eastAsia="zh-CN" w:bidi="ar-SA"/>
        </w:rPr>
      </w:pPr>
      <w:r>
        <w:rPr>
          <w:rFonts w:hint="eastAsia" w:ascii="仿宋_GB2312" w:hAnsi="仿宋" w:eastAsia="仿宋_GB2312" w:cs="Times New Roman"/>
          <w:color w:val="auto"/>
          <w:kern w:val="2"/>
          <w:sz w:val="32"/>
          <w:szCs w:val="32"/>
          <w:highlight w:val="none"/>
          <w:lang w:val="en-US" w:eastAsia="zh-CN" w:bidi="ar-SA"/>
        </w:rPr>
        <w:t>流动资产严格按照我单位内控体系要求进行管理，无备用金，单位货币资金管理由办公室每月与国库支付中心进行对账。</w:t>
      </w:r>
    </w:p>
    <w:p>
      <w:pPr>
        <w:ind w:firstLine="640"/>
        <w:jc w:val="left"/>
        <w:rPr>
          <w:rFonts w:ascii="仿宋_GB2312" w:eastAsia="仿宋_GB2312" w:cs="仿宋_GB2312"/>
          <w:b/>
          <w:color w:val="auto"/>
          <w:kern w:val="1"/>
          <w:sz w:val="32"/>
          <w:szCs w:val="32"/>
          <w:highlight w:val="none"/>
        </w:rPr>
      </w:pPr>
      <w:r>
        <w:rPr>
          <w:rFonts w:hint="eastAsia" w:ascii="仿宋_GB2312" w:eastAsia="仿宋_GB2312" w:cs="仿宋_GB2312"/>
          <w:b/>
          <w:color w:val="auto"/>
          <w:kern w:val="1"/>
          <w:sz w:val="32"/>
          <w:szCs w:val="32"/>
          <w:highlight w:val="none"/>
        </w:rPr>
        <w:t>5.固定资产的管理</w:t>
      </w:r>
    </w:p>
    <w:p>
      <w:pPr>
        <w:pStyle w:val="9"/>
        <w:widowControl/>
        <w:spacing w:before="40" w:beforeAutospacing="0" w:after="0" w:afterAutospacing="0"/>
        <w:ind w:firstLine="640"/>
        <w:jc w:val="both"/>
        <w:rPr>
          <w:rFonts w:hint="eastAsia" w:ascii="仿宋_GB2312" w:hAnsi="仿宋" w:eastAsia="仿宋_GB2312" w:cs="Times New Roman"/>
          <w:color w:val="auto"/>
          <w:kern w:val="2"/>
          <w:sz w:val="32"/>
          <w:szCs w:val="32"/>
          <w:highlight w:val="none"/>
          <w:lang w:val="en-US" w:eastAsia="zh-CN" w:bidi="ar-SA"/>
        </w:rPr>
      </w:pPr>
      <w:r>
        <w:rPr>
          <w:rFonts w:hint="eastAsia" w:ascii="仿宋_GB2312" w:hAnsi="仿宋" w:eastAsia="仿宋_GB2312" w:cs="Times New Roman"/>
          <w:color w:val="auto"/>
          <w:kern w:val="2"/>
          <w:sz w:val="32"/>
          <w:szCs w:val="32"/>
          <w:highlight w:val="none"/>
          <w:lang w:val="en-US" w:eastAsia="zh-CN" w:bidi="ar-SA"/>
        </w:rPr>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找，并上报单位党组会研究决策，再上报财政行政事业单位资产管理科进行申报再行处理。</w:t>
      </w:r>
    </w:p>
    <w:p>
      <w:pPr>
        <w:pStyle w:val="3"/>
        <w:numPr>
          <w:ilvl w:val="0"/>
          <w:numId w:val="7"/>
        </w:numPr>
        <w:ind w:firstLine="640"/>
        <w:rPr>
          <w:rFonts w:ascii="黑体" w:hAnsi="黑体"/>
          <w:b w:val="0"/>
          <w:color w:val="auto"/>
          <w:sz w:val="32"/>
          <w:szCs w:val="32"/>
          <w:highlight w:val="none"/>
        </w:rPr>
      </w:pPr>
      <w:r>
        <w:rPr>
          <w:rFonts w:hint="eastAsia" w:ascii="黑体" w:hAnsi="黑体"/>
          <w:b w:val="0"/>
          <w:color w:val="auto"/>
          <w:sz w:val="32"/>
          <w:szCs w:val="32"/>
          <w:highlight w:val="none"/>
        </w:rPr>
        <w:t>部门单位整体支出绩效情况</w:t>
      </w:r>
    </w:p>
    <w:p>
      <w:pPr>
        <w:adjustRightInd w:val="0"/>
        <w:snapToGrid w:val="0"/>
        <w:ind w:firstLine="624"/>
        <w:rPr>
          <w:rFonts w:hint="eastAsia" w:ascii="仿宋_GB2312" w:eastAsia="仿宋_GB2312"/>
          <w:bCs/>
          <w:color w:val="auto"/>
          <w:spacing w:val="-4"/>
          <w:sz w:val="32"/>
          <w:szCs w:val="32"/>
          <w:highlight w:val="none"/>
        </w:rPr>
      </w:pPr>
      <w:r>
        <w:rPr>
          <w:rFonts w:hint="eastAsia" w:ascii="仿宋_GB2312" w:eastAsia="仿宋_GB2312"/>
          <w:bCs/>
          <w:color w:val="auto"/>
          <w:spacing w:val="-4"/>
          <w:sz w:val="32"/>
          <w:szCs w:val="32"/>
          <w:highlight w:val="none"/>
          <w:lang w:eastAsia="zh-CN"/>
        </w:rPr>
        <w:t>2022</w:t>
      </w:r>
      <w:r>
        <w:rPr>
          <w:rFonts w:hint="eastAsia" w:ascii="仿宋_GB2312" w:eastAsia="仿宋_GB2312"/>
          <w:bCs/>
          <w:color w:val="auto"/>
          <w:spacing w:val="-4"/>
          <w:sz w:val="32"/>
          <w:szCs w:val="32"/>
          <w:highlight w:val="none"/>
        </w:rPr>
        <w:t>年度，</w:t>
      </w:r>
      <w:r>
        <w:rPr>
          <w:rFonts w:hint="eastAsia" w:ascii="仿宋_GB2312" w:hAnsi="宋体" w:eastAsia="仿宋_GB2312"/>
          <w:color w:val="auto"/>
          <w:sz w:val="32"/>
          <w:szCs w:val="32"/>
          <w:highlight w:val="none"/>
        </w:rPr>
        <w:t>昌吉市滨湖镇卫生院</w:t>
      </w:r>
      <w:r>
        <w:rPr>
          <w:rFonts w:hint="eastAsia" w:ascii="仿宋_GB2312" w:eastAsia="仿宋_GB2312"/>
          <w:bCs/>
          <w:color w:val="auto"/>
          <w:spacing w:val="-4"/>
          <w:sz w:val="32"/>
          <w:szCs w:val="32"/>
          <w:highlight w:val="none"/>
        </w:rPr>
        <w:t>部门单位整体支出绩效目标共设置一级指标3个，二级指标</w:t>
      </w:r>
      <w:r>
        <w:rPr>
          <w:rFonts w:hint="eastAsia" w:ascii="仿宋_GB2312" w:eastAsia="仿宋_GB2312"/>
          <w:bCs/>
          <w:color w:val="auto"/>
          <w:spacing w:val="-4"/>
          <w:sz w:val="32"/>
          <w:szCs w:val="32"/>
          <w:highlight w:val="none"/>
          <w:lang w:val="en-US" w:eastAsia="zh-CN"/>
        </w:rPr>
        <w:t>9</w:t>
      </w:r>
      <w:r>
        <w:rPr>
          <w:rFonts w:hint="eastAsia" w:ascii="仿宋_GB2312" w:eastAsia="仿宋_GB2312"/>
          <w:bCs/>
          <w:color w:val="auto"/>
          <w:spacing w:val="-4"/>
          <w:sz w:val="32"/>
          <w:szCs w:val="32"/>
          <w:highlight w:val="none"/>
        </w:rPr>
        <w:t>个，三级指标</w:t>
      </w:r>
      <w:r>
        <w:rPr>
          <w:rFonts w:hint="eastAsia" w:ascii="仿宋_GB2312" w:eastAsia="仿宋_GB2312"/>
          <w:bCs/>
          <w:color w:val="auto"/>
          <w:spacing w:val="-4"/>
          <w:sz w:val="32"/>
          <w:szCs w:val="32"/>
          <w:highlight w:val="none"/>
          <w:lang w:val="en-US" w:eastAsia="zh-CN"/>
        </w:rPr>
        <w:t>13</w:t>
      </w:r>
      <w:r>
        <w:rPr>
          <w:rFonts w:hint="eastAsia" w:ascii="仿宋_GB2312" w:eastAsia="仿宋_GB2312"/>
          <w:bCs/>
          <w:color w:val="auto"/>
          <w:spacing w:val="-4"/>
          <w:sz w:val="32"/>
          <w:szCs w:val="32"/>
          <w:highlight w:val="none"/>
        </w:rPr>
        <w:t>个，其中：已完成三级指标</w:t>
      </w:r>
      <w:r>
        <w:rPr>
          <w:rFonts w:hint="eastAsia" w:ascii="仿宋_GB2312" w:eastAsia="仿宋_GB2312"/>
          <w:bCs/>
          <w:color w:val="auto"/>
          <w:spacing w:val="-4"/>
          <w:sz w:val="32"/>
          <w:szCs w:val="32"/>
          <w:highlight w:val="none"/>
          <w:lang w:val="en-US" w:eastAsia="zh-CN"/>
        </w:rPr>
        <w:t>10</w:t>
      </w:r>
      <w:r>
        <w:rPr>
          <w:rFonts w:hint="eastAsia" w:ascii="仿宋_GB2312" w:eastAsia="仿宋_GB2312"/>
          <w:bCs/>
          <w:color w:val="auto"/>
          <w:spacing w:val="-4"/>
          <w:sz w:val="32"/>
          <w:szCs w:val="32"/>
          <w:highlight w:val="none"/>
        </w:rPr>
        <w:t>个，指标完成率为</w:t>
      </w:r>
      <w:r>
        <w:rPr>
          <w:rFonts w:hint="eastAsia" w:ascii="仿宋_GB2312" w:eastAsia="仿宋_GB2312"/>
          <w:bCs/>
          <w:color w:val="auto"/>
          <w:spacing w:val="-4"/>
          <w:sz w:val="32"/>
          <w:szCs w:val="32"/>
          <w:highlight w:val="none"/>
          <w:lang w:val="en-US" w:eastAsia="zh-CN"/>
        </w:rPr>
        <w:t>96.02</w:t>
      </w:r>
      <w:r>
        <w:rPr>
          <w:rFonts w:hint="eastAsia" w:ascii="仿宋_GB2312" w:eastAsia="仿宋_GB2312"/>
          <w:bCs/>
          <w:color w:val="auto"/>
          <w:spacing w:val="-4"/>
          <w:sz w:val="32"/>
          <w:szCs w:val="32"/>
          <w:highlight w:val="none"/>
        </w:rPr>
        <w:t>%。</w:t>
      </w:r>
    </w:p>
    <w:p>
      <w:pPr>
        <w:pStyle w:val="4"/>
        <w:ind w:firstLine="640"/>
        <w:rPr>
          <w:color w:val="auto"/>
          <w:sz w:val="32"/>
          <w:highlight w:val="none"/>
        </w:rPr>
      </w:pPr>
      <w:r>
        <w:rPr>
          <w:rFonts w:hint="eastAsia"/>
          <w:color w:val="auto"/>
          <w:sz w:val="32"/>
          <w:highlight w:val="none"/>
        </w:rPr>
        <w:t>1.产出指标完成情况分析</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（1）数量指标</w:t>
      </w:r>
    </w:p>
    <w:p>
      <w:pPr>
        <w:ind w:firstLine="640"/>
        <w:rPr>
          <w:rFonts w:hint="eastAsia" w:ascii="仿宋_GB2312" w:eastAsia="仿宋_GB2312"/>
          <w:bCs/>
          <w:color w:val="auto"/>
          <w:spacing w:val="-4"/>
          <w:sz w:val="32"/>
          <w:szCs w:val="32"/>
          <w:highlight w:val="none"/>
          <w:lang w:val="en-US" w:eastAsia="zh-CN"/>
        </w:rPr>
      </w:pPr>
      <w:r>
        <w:rPr>
          <w:rFonts w:hint="eastAsia" w:ascii="仿宋_GB2312" w:eastAsia="仿宋_GB2312"/>
          <w:bCs/>
          <w:color w:val="auto"/>
          <w:spacing w:val="-4"/>
          <w:sz w:val="32"/>
          <w:szCs w:val="32"/>
          <w:highlight w:val="none"/>
        </w:rPr>
        <w:t>“</w:t>
      </w:r>
      <w:r>
        <w:rPr>
          <w:rFonts w:hint="eastAsia" w:ascii="仿宋_GB2312" w:eastAsia="仿宋_GB2312"/>
          <w:bCs/>
          <w:color w:val="auto"/>
          <w:spacing w:val="-4"/>
          <w:sz w:val="32"/>
          <w:szCs w:val="32"/>
          <w:highlight w:val="none"/>
          <w:lang w:val="en-US" w:eastAsia="zh-CN"/>
        </w:rPr>
        <w:t>年均门急诊人次数</w:t>
      </w:r>
      <w:r>
        <w:rPr>
          <w:rFonts w:hint="eastAsia" w:ascii="仿宋_GB2312" w:eastAsia="仿宋_GB2312"/>
          <w:bCs/>
          <w:color w:val="auto"/>
          <w:spacing w:val="-4"/>
          <w:sz w:val="32"/>
          <w:szCs w:val="32"/>
          <w:highlight w:val="none"/>
        </w:rPr>
        <w:t>”指标：预期指标值为“</w:t>
      </w:r>
      <w:r>
        <w:rPr>
          <w:rFonts w:hint="eastAsia" w:ascii="仿宋_GB2312" w:eastAsia="仿宋_GB2312"/>
          <w:bCs/>
          <w:color w:val="auto"/>
          <w:spacing w:val="-4"/>
          <w:sz w:val="32"/>
          <w:szCs w:val="32"/>
          <w:highlight w:val="none"/>
          <w:lang w:val="en-US" w:eastAsia="zh-CN"/>
        </w:rPr>
        <w:t>&gt;=9000.00人次</w:t>
      </w:r>
      <w:r>
        <w:rPr>
          <w:rFonts w:hint="eastAsia" w:ascii="仿宋_GB2312" w:eastAsia="仿宋_GB2312"/>
          <w:bCs/>
          <w:color w:val="auto"/>
          <w:spacing w:val="-4"/>
          <w:sz w:val="32"/>
          <w:szCs w:val="32"/>
          <w:highlight w:val="none"/>
        </w:rPr>
        <w:t>”，实</w:t>
      </w:r>
      <w:r>
        <w:rPr>
          <w:rFonts w:hint="eastAsia" w:ascii="仿宋_GB2312" w:eastAsia="仿宋_GB2312"/>
          <w:bCs/>
          <w:color w:val="auto"/>
          <w:spacing w:val="-4"/>
          <w:sz w:val="32"/>
          <w:szCs w:val="32"/>
          <w:highlight w:val="none"/>
          <w:lang w:val="en-US" w:eastAsia="zh-CN"/>
        </w:rPr>
        <w:t>际完成指标值为“15234人次”，指标完成率为169.27%;</w:t>
      </w:r>
    </w:p>
    <w:p>
      <w:pPr>
        <w:ind w:firstLine="640"/>
        <w:rPr>
          <w:rFonts w:hint="default" w:ascii="仿宋_GB2312" w:eastAsia="仿宋_GB2312"/>
          <w:bCs/>
          <w:color w:val="auto"/>
          <w:spacing w:val="-4"/>
          <w:sz w:val="32"/>
          <w:szCs w:val="32"/>
          <w:highlight w:val="none"/>
          <w:lang w:val="en-US" w:eastAsia="zh-CN"/>
        </w:rPr>
      </w:pPr>
      <w:r>
        <w:rPr>
          <w:rFonts w:hint="default" w:ascii="仿宋_GB2312" w:eastAsia="仿宋_GB2312"/>
          <w:bCs/>
          <w:color w:val="auto"/>
          <w:spacing w:val="-4"/>
          <w:sz w:val="32"/>
          <w:szCs w:val="32"/>
          <w:highlight w:val="none"/>
          <w:lang w:val="en-US" w:eastAsia="zh-CN"/>
        </w:rPr>
        <w:t>“</w:t>
      </w:r>
      <w:r>
        <w:rPr>
          <w:rFonts w:hint="eastAsia" w:ascii="仿宋_GB2312" w:eastAsia="仿宋_GB2312"/>
          <w:bCs/>
          <w:color w:val="auto"/>
          <w:spacing w:val="-4"/>
          <w:sz w:val="32"/>
          <w:szCs w:val="32"/>
          <w:highlight w:val="none"/>
          <w:lang w:val="en-US" w:eastAsia="zh-CN"/>
        </w:rPr>
        <w:t>保障公务用车数量</w:t>
      </w:r>
      <w:r>
        <w:rPr>
          <w:rFonts w:hint="default" w:ascii="仿宋_GB2312" w:eastAsia="仿宋_GB2312"/>
          <w:bCs/>
          <w:color w:val="auto"/>
          <w:spacing w:val="-4"/>
          <w:sz w:val="32"/>
          <w:szCs w:val="32"/>
          <w:highlight w:val="none"/>
          <w:lang w:val="en-US" w:eastAsia="zh-CN"/>
        </w:rPr>
        <w:t>”</w:t>
      </w:r>
      <w:r>
        <w:rPr>
          <w:rFonts w:hint="eastAsia" w:ascii="仿宋_GB2312" w:eastAsia="仿宋_GB2312"/>
          <w:bCs/>
          <w:color w:val="auto"/>
          <w:spacing w:val="-4"/>
          <w:sz w:val="32"/>
          <w:szCs w:val="32"/>
          <w:highlight w:val="none"/>
        </w:rPr>
        <w:t>预期指标值为“</w:t>
      </w:r>
      <w:r>
        <w:rPr>
          <w:rFonts w:hint="eastAsia" w:ascii="仿宋_GB2312" w:eastAsia="仿宋_GB2312"/>
          <w:bCs/>
          <w:color w:val="auto"/>
          <w:spacing w:val="-4"/>
          <w:sz w:val="32"/>
          <w:szCs w:val="32"/>
          <w:highlight w:val="none"/>
          <w:lang w:val="en-US" w:eastAsia="zh-CN"/>
        </w:rPr>
        <w:t>=1辆</w:t>
      </w:r>
      <w:r>
        <w:rPr>
          <w:rFonts w:hint="eastAsia" w:ascii="仿宋_GB2312" w:eastAsia="仿宋_GB2312"/>
          <w:bCs/>
          <w:color w:val="auto"/>
          <w:spacing w:val="-4"/>
          <w:sz w:val="32"/>
          <w:szCs w:val="32"/>
          <w:highlight w:val="none"/>
        </w:rPr>
        <w:t>”，实际完成指标值为“</w:t>
      </w:r>
      <w:r>
        <w:rPr>
          <w:rFonts w:hint="eastAsia" w:ascii="仿宋_GB2312" w:eastAsia="仿宋_GB2312"/>
          <w:bCs/>
          <w:color w:val="auto"/>
          <w:spacing w:val="-4"/>
          <w:sz w:val="32"/>
          <w:szCs w:val="32"/>
          <w:highlight w:val="none"/>
          <w:lang w:val="en-US" w:eastAsia="zh-CN"/>
        </w:rPr>
        <w:t>1辆</w:t>
      </w:r>
      <w:r>
        <w:rPr>
          <w:rFonts w:hint="eastAsia" w:ascii="仿宋_GB2312" w:eastAsia="仿宋_GB2312"/>
          <w:bCs/>
          <w:color w:val="auto"/>
          <w:spacing w:val="-4"/>
          <w:sz w:val="32"/>
          <w:szCs w:val="32"/>
          <w:highlight w:val="none"/>
        </w:rPr>
        <w:t>”，指</w:t>
      </w:r>
      <w:r>
        <w:rPr>
          <w:rFonts w:hint="eastAsia" w:ascii="仿宋_GB2312" w:eastAsia="仿宋_GB2312"/>
          <w:bCs/>
          <w:color w:val="auto"/>
          <w:spacing w:val="-4"/>
          <w:sz w:val="32"/>
          <w:szCs w:val="32"/>
          <w:highlight w:val="none"/>
          <w:lang w:val="en-US" w:eastAsia="zh-CN"/>
        </w:rPr>
        <w:t>标完成率为100.0%;</w:t>
      </w:r>
    </w:p>
    <w:p>
      <w:pPr>
        <w:ind w:firstLine="640"/>
        <w:rPr>
          <w:rFonts w:hint="eastAsia" w:ascii="仿宋_GB2312" w:eastAsia="仿宋_GB2312"/>
          <w:bCs/>
          <w:color w:val="auto"/>
          <w:spacing w:val="-4"/>
          <w:sz w:val="32"/>
          <w:szCs w:val="32"/>
          <w:highlight w:val="none"/>
          <w:lang w:val="en-US" w:eastAsia="zh-CN"/>
        </w:rPr>
      </w:pPr>
      <w:r>
        <w:rPr>
          <w:rFonts w:hint="eastAsia" w:ascii="仿宋_GB2312" w:eastAsia="仿宋_GB2312"/>
          <w:bCs/>
          <w:color w:val="auto"/>
          <w:spacing w:val="-4"/>
          <w:sz w:val="32"/>
          <w:szCs w:val="32"/>
          <w:highlight w:val="none"/>
          <w:lang w:val="en-US" w:eastAsia="zh-CN"/>
        </w:rPr>
        <w:t>“在编人数”指</w:t>
      </w:r>
      <w:r>
        <w:rPr>
          <w:rFonts w:hint="eastAsia" w:ascii="仿宋_GB2312" w:eastAsia="仿宋_GB2312"/>
          <w:bCs/>
          <w:color w:val="auto"/>
          <w:spacing w:val="-4"/>
          <w:sz w:val="32"/>
          <w:szCs w:val="32"/>
          <w:highlight w:val="none"/>
        </w:rPr>
        <w:t>标：预期指标值为“</w:t>
      </w:r>
      <w:r>
        <w:rPr>
          <w:rFonts w:hint="eastAsia" w:ascii="仿宋_GB2312" w:eastAsia="仿宋_GB2312"/>
          <w:bCs/>
          <w:color w:val="auto"/>
          <w:spacing w:val="-4"/>
          <w:sz w:val="32"/>
          <w:szCs w:val="32"/>
          <w:highlight w:val="none"/>
          <w:lang w:val="en-US" w:eastAsia="zh-CN"/>
        </w:rPr>
        <w:t>=20人</w:t>
      </w:r>
      <w:r>
        <w:rPr>
          <w:rFonts w:hint="eastAsia" w:ascii="仿宋_GB2312" w:eastAsia="仿宋_GB2312"/>
          <w:bCs/>
          <w:color w:val="auto"/>
          <w:spacing w:val="-4"/>
          <w:sz w:val="32"/>
          <w:szCs w:val="32"/>
          <w:highlight w:val="none"/>
        </w:rPr>
        <w:t>”，实际完成指标值为“</w:t>
      </w:r>
      <w:r>
        <w:rPr>
          <w:rFonts w:hint="eastAsia" w:ascii="仿宋_GB2312" w:eastAsia="仿宋_GB2312"/>
          <w:bCs/>
          <w:color w:val="auto"/>
          <w:spacing w:val="-4"/>
          <w:sz w:val="32"/>
          <w:szCs w:val="32"/>
          <w:highlight w:val="none"/>
          <w:lang w:val="en-US" w:eastAsia="zh-CN"/>
        </w:rPr>
        <w:t>19人</w:t>
      </w:r>
      <w:r>
        <w:rPr>
          <w:rFonts w:hint="eastAsia" w:ascii="仿宋_GB2312" w:eastAsia="仿宋_GB2312"/>
          <w:bCs/>
          <w:color w:val="auto"/>
          <w:spacing w:val="-4"/>
          <w:sz w:val="32"/>
          <w:szCs w:val="32"/>
          <w:highlight w:val="none"/>
        </w:rPr>
        <w:t>”，指</w:t>
      </w:r>
      <w:r>
        <w:rPr>
          <w:rFonts w:hint="eastAsia" w:ascii="仿宋_GB2312" w:eastAsia="仿宋_GB2312"/>
          <w:bCs/>
          <w:color w:val="auto"/>
          <w:spacing w:val="-4"/>
          <w:sz w:val="32"/>
          <w:szCs w:val="32"/>
          <w:highlight w:val="none"/>
          <w:lang w:val="en-US" w:eastAsia="zh-CN"/>
        </w:rPr>
        <w:t>标完成率为95.0%;</w:t>
      </w:r>
    </w:p>
    <w:p>
      <w:pPr>
        <w:numPr>
          <w:ilvl w:val="0"/>
          <w:numId w:val="8"/>
        </w:num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质量指标</w:t>
      </w:r>
    </w:p>
    <w:p>
      <w:pPr>
        <w:ind w:firstLine="640"/>
        <w:rPr>
          <w:rFonts w:hint="eastAsia" w:ascii="仿宋_GB2312" w:eastAsia="仿宋_GB2312"/>
          <w:bCs/>
          <w:color w:val="auto"/>
          <w:spacing w:val="-4"/>
          <w:sz w:val="32"/>
          <w:szCs w:val="32"/>
          <w:highlight w:val="none"/>
          <w:lang w:val="en-US" w:eastAsia="zh-CN"/>
        </w:rPr>
      </w:pPr>
      <w:r>
        <w:rPr>
          <w:rFonts w:hint="eastAsia" w:ascii="仿宋_GB2312" w:eastAsia="仿宋_GB2312"/>
          <w:bCs/>
          <w:color w:val="auto"/>
          <w:spacing w:val="-4"/>
          <w:sz w:val="32"/>
          <w:szCs w:val="32"/>
          <w:highlight w:val="none"/>
          <w:lang w:val="en-US" w:eastAsia="zh-CN"/>
        </w:rPr>
        <w:t>“工作考核合格率”指标：预期指标值为“&gt;=90.00%”，实际完成指标值为“95.0%”，指标完成率为100.0%;</w:t>
      </w:r>
    </w:p>
    <w:p>
      <w:pPr>
        <w:pStyle w:val="2"/>
        <w:rPr>
          <w:color w:val="auto"/>
          <w:highlight w:val="none"/>
        </w:rPr>
      </w:pPr>
    </w:p>
    <w:p>
      <w:pPr>
        <w:ind w:firstLine="640"/>
        <w:rPr>
          <w:rFonts w:hint="eastAsia" w:ascii="仿宋_GB2312" w:eastAsia="仿宋_GB2312"/>
          <w:color w:val="auto"/>
          <w:sz w:val="32"/>
          <w:szCs w:val="32"/>
          <w:highlight w:val="none"/>
        </w:rPr>
      </w:pPr>
      <w:r>
        <w:rPr>
          <w:rFonts w:hint="eastAsia" w:ascii="仿宋_GB2312" w:eastAsia="仿宋_GB2312"/>
          <w:bCs/>
          <w:color w:val="auto"/>
          <w:spacing w:val="-4"/>
          <w:sz w:val="32"/>
          <w:szCs w:val="32"/>
          <w:highlight w:val="none"/>
          <w:lang w:val="en-US" w:eastAsia="zh-CN"/>
        </w:rPr>
        <w:t>“资金使用合格率”指标：预期指标值为“=100.0%”，实际完成指标值为“100.0%”，指标完成率为100.0</w:t>
      </w:r>
      <w:r>
        <w:rPr>
          <w:rFonts w:hint="eastAsia" w:ascii="仿宋_GB2312" w:eastAsia="仿宋_GB2312"/>
          <w:color w:val="auto"/>
          <w:sz w:val="32"/>
          <w:szCs w:val="32"/>
          <w:highlight w:val="none"/>
        </w:rPr>
        <w:t>%;</w:t>
      </w:r>
    </w:p>
    <w:p>
      <w:pPr>
        <w:numPr>
          <w:ilvl w:val="0"/>
          <w:numId w:val="8"/>
        </w:num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时效指标</w:t>
      </w:r>
    </w:p>
    <w:p>
      <w:pPr>
        <w:ind w:firstLine="640"/>
        <w:rPr>
          <w:rFonts w:ascii="仿宋_GB2312" w:eastAsia="仿宋_GB2312"/>
          <w:color w:val="auto"/>
          <w:sz w:val="32"/>
          <w:szCs w:val="32"/>
          <w:highlight w:val="none"/>
        </w:rPr>
      </w:pPr>
      <w:r>
        <w:rPr>
          <w:rFonts w:hint="eastAsia" w:ascii="仿宋_GB2312" w:hAnsi="仿宋" w:eastAsia="仿宋_GB2312" w:cs="Times New Roman"/>
          <w:b w:val="0"/>
          <w:bCs/>
          <w:color w:val="auto"/>
          <w:spacing w:val="-4"/>
          <w:kern w:val="2"/>
          <w:sz w:val="32"/>
          <w:szCs w:val="32"/>
          <w:highlight w:val="none"/>
          <w:lang w:val="en-US" w:eastAsia="zh-CN" w:bidi="ar-SA"/>
        </w:rPr>
        <w:t>“各项工资补助发放及时率”指标：预期指标值为“</w:t>
      </w:r>
      <w:r>
        <w:rPr>
          <w:rFonts w:hint="eastAsia" w:ascii="仿宋_GB2312" w:eastAsia="仿宋_GB2312" w:cs="Times New Roman"/>
          <w:b w:val="0"/>
          <w:bCs/>
          <w:color w:val="auto"/>
          <w:spacing w:val="-4"/>
          <w:kern w:val="2"/>
          <w:sz w:val="32"/>
          <w:szCs w:val="32"/>
          <w:highlight w:val="none"/>
          <w:lang w:val="en-US" w:eastAsia="zh-CN" w:bidi="ar-SA"/>
        </w:rPr>
        <w:t>=100.00%</w:t>
      </w:r>
      <w:r>
        <w:rPr>
          <w:rFonts w:hint="eastAsia" w:ascii="仿宋_GB2312" w:hAnsi="仿宋" w:eastAsia="仿宋_GB2312" w:cs="Times New Roman"/>
          <w:b w:val="0"/>
          <w:bCs/>
          <w:color w:val="auto"/>
          <w:spacing w:val="-4"/>
          <w:kern w:val="2"/>
          <w:sz w:val="32"/>
          <w:szCs w:val="32"/>
          <w:highlight w:val="none"/>
          <w:lang w:val="en-US" w:eastAsia="zh-CN" w:bidi="ar-SA"/>
        </w:rPr>
        <w:t>”，实际完成指标值为“</w:t>
      </w:r>
      <w:r>
        <w:rPr>
          <w:rFonts w:hint="eastAsia" w:ascii="仿宋_GB2312" w:eastAsia="仿宋_GB2312" w:cs="Times New Roman"/>
          <w:b w:val="0"/>
          <w:bCs/>
          <w:color w:val="auto"/>
          <w:spacing w:val="-4"/>
          <w:kern w:val="2"/>
          <w:sz w:val="32"/>
          <w:szCs w:val="32"/>
          <w:highlight w:val="none"/>
          <w:lang w:val="en-US" w:eastAsia="zh-CN" w:bidi="ar-SA"/>
        </w:rPr>
        <w:t>100.00%</w:t>
      </w:r>
      <w:r>
        <w:rPr>
          <w:rFonts w:hint="eastAsia" w:ascii="仿宋_GB2312" w:hAnsi="仿宋" w:eastAsia="仿宋_GB2312" w:cs="Times New Roman"/>
          <w:b w:val="0"/>
          <w:bCs/>
          <w:color w:val="auto"/>
          <w:spacing w:val="-4"/>
          <w:kern w:val="2"/>
          <w:sz w:val="32"/>
          <w:szCs w:val="32"/>
          <w:highlight w:val="none"/>
          <w:lang w:val="en-US" w:eastAsia="zh-CN" w:bidi="ar-SA"/>
        </w:rPr>
        <w:t>”，指标完成率为100.0%;</w:t>
      </w:r>
    </w:p>
    <w:p>
      <w:pPr>
        <w:numPr>
          <w:ilvl w:val="0"/>
          <w:numId w:val="8"/>
        </w:num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成本指标</w:t>
      </w:r>
    </w:p>
    <w:p>
      <w:pPr>
        <w:ind w:firstLine="640"/>
        <w:rPr>
          <w:rFonts w:hint="eastAsia" w:ascii="仿宋_GB2312" w:hAnsi="仿宋" w:eastAsia="仿宋_GB2312" w:cs="Times New Roman"/>
          <w:b w:val="0"/>
          <w:bCs/>
          <w:color w:val="auto"/>
          <w:spacing w:val="-4"/>
          <w:kern w:val="2"/>
          <w:sz w:val="32"/>
          <w:szCs w:val="32"/>
          <w:highlight w:val="none"/>
          <w:lang w:val="en-US" w:eastAsia="zh-CN" w:bidi="ar-SA"/>
        </w:rPr>
      </w:pPr>
      <w:r>
        <w:rPr>
          <w:rFonts w:hint="eastAsia" w:ascii="仿宋_GB2312" w:hAnsi="仿宋" w:eastAsia="仿宋_GB2312" w:cs="Times New Roman"/>
          <w:b w:val="0"/>
          <w:bCs/>
          <w:color w:val="auto"/>
          <w:spacing w:val="-4"/>
          <w:kern w:val="2"/>
          <w:sz w:val="32"/>
          <w:szCs w:val="32"/>
          <w:highlight w:val="none"/>
          <w:lang w:val="en-US" w:eastAsia="zh-CN" w:bidi="ar-SA"/>
        </w:rPr>
        <w:t>“人员经费支出”指标：预期指标值为“&lt;=244.11万元”，实际完成指标值为“&lt;=295.58万元”，指标完成率为100.0%;</w:t>
      </w:r>
    </w:p>
    <w:p>
      <w:pPr>
        <w:pStyle w:val="2"/>
        <w:rPr>
          <w:rFonts w:hint="eastAsia"/>
          <w:color w:val="auto"/>
          <w:highlight w:val="none"/>
          <w:lang w:val="en-US" w:eastAsia="zh-CN"/>
        </w:rPr>
      </w:pPr>
      <w:r>
        <w:rPr>
          <w:rFonts w:hint="eastAsia" w:ascii="仿宋_GB2312" w:hAnsi="仿宋" w:eastAsia="仿宋_GB2312" w:cs="Times New Roman"/>
          <w:b w:val="0"/>
          <w:bCs/>
          <w:color w:val="auto"/>
          <w:spacing w:val="-4"/>
          <w:kern w:val="2"/>
          <w:sz w:val="32"/>
          <w:szCs w:val="32"/>
          <w:highlight w:val="none"/>
          <w:lang w:val="en-US" w:eastAsia="zh-CN" w:bidi="ar-SA"/>
        </w:rPr>
        <w:t>“公用经费支出”指标：预期指标值为“&lt;=22.60万元”，实际完成指标值为“&lt;=13.74万元”，指标完成率为60.8%;</w:t>
      </w:r>
    </w:p>
    <w:p>
      <w:pPr>
        <w:pStyle w:val="4"/>
        <w:ind w:firstLine="640"/>
        <w:rPr>
          <w:color w:val="auto"/>
          <w:sz w:val="32"/>
          <w:highlight w:val="none"/>
        </w:rPr>
      </w:pPr>
      <w:r>
        <w:rPr>
          <w:rFonts w:hint="eastAsia"/>
          <w:color w:val="auto"/>
          <w:sz w:val="32"/>
          <w:highlight w:val="none"/>
        </w:rPr>
        <w:t>2.效益指标完成情况分析</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（1）经济效益</w:t>
      </w:r>
    </w:p>
    <w:p>
      <w:pPr>
        <w:ind w:firstLine="640"/>
        <w:rPr>
          <w:rFonts w:hint="eastAsia" w:ascii="仿宋_GB2312" w:eastAsia="仿宋_GB2312" w:cs="Times New Roman"/>
          <w:b w:val="0"/>
          <w:bCs/>
          <w:color w:val="auto"/>
          <w:spacing w:val="-4"/>
          <w:kern w:val="2"/>
          <w:sz w:val="32"/>
          <w:szCs w:val="32"/>
          <w:highlight w:val="none"/>
          <w:lang w:val="en-US" w:eastAsia="zh-CN" w:bidi="ar-SA"/>
        </w:rPr>
      </w:pPr>
      <w:r>
        <w:rPr>
          <w:rFonts w:hint="eastAsia" w:ascii="仿宋_GB2312" w:hAnsi="仿宋" w:eastAsia="仿宋_GB2312" w:cs="Times New Roman"/>
          <w:b w:val="0"/>
          <w:bCs/>
          <w:color w:val="auto"/>
          <w:spacing w:val="-4"/>
          <w:kern w:val="2"/>
          <w:sz w:val="32"/>
          <w:szCs w:val="32"/>
          <w:highlight w:val="none"/>
          <w:lang w:val="en-US" w:eastAsia="zh-CN" w:bidi="ar-SA"/>
        </w:rPr>
        <w:t>“医疗收入”指标：预期指标值为“&gt;=100.00万元”，实际完成指标值为“&gt;=91.64万元”，指标完成率为</w:t>
      </w:r>
      <w:r>
        <w:rPr>
          <w:rFonts w:hint="eastAsia" w:ascii="仿宋_GB2312" w:eastAsia="仿宋_GB2312" w:cs="Times New Roman"/>
          <w:b w:val="0"/>
          <w:bCs/>
          <w:color w:val="auto"/>
          <w:spacing w:val="-4"/>
          <w:kern w:val="2"/>
          <w:sz w:val="32"/>
          <w:szCs w:val="32"/>
          <w:highlight w:val="none"/>
          <w:lang w:val="en-US" w:eastAsia="zh-CN" w:bidi="ar-SA"/>
        </w:rPr>
        <w:t>91.64</w:t>
      </w:r>
      <w:r>
        <w:rPr>
          <w:rFonts w:hint="eastAsia" w:ascii="仿宋_GB2312" w:hAnsi="仿宋" w:eastAsia="仿宋_GB2312" w:cs="Times New Roman"/>
          <w:b w:val="0"/>
          <w:bCs/>
          <w:color w:val="auto"/>
          <w:spacing w:val="-4"/>
          <w:kern w:val="2"/>
          <w:sz w:val="32"/>
          <w:szCs w:val="32"/>
          <w:highlight w:val="none"/>
          <w:lang w:val="en-US" w:eastAsia="zh-CN" w:bidi="ar-SA"/>
        </w:rPr>
        <w:t>%;</w:t>
      </w:r>
      <w:r>
        <w:rPr>
          <w:rFonts w:hint="eastAsia" w:ascii="仿宋_GB2312" w:eastAsia="仿宋_GB2312" w:cs="Times New Roman"/>
          <w:b w:val="0"/>
          <w:bCs/>
          <w:color w:val="auto"/>
          <w:spacing w:val="-4"/>
          <w:kern w:val="2"/>
          <w:sz w:val="32"/>
          <w:szCs w:val="32"/>
          <w:highlight w:val="none"/>
          <w:lang w:val="en-US" w:eastAsia="zh-CN" w:bidi="ar-SA"/>
        </w:rPr>
        <w:t xml:space="preserve">     </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（2）社会效益</w:t>
      </w:r>
    </w:p>
    <w:p>
      <w:pPr>
        <w:ind w:firstLine="640"/>
        <w:rPr>
          <w:rFonts w:hint="eastAsia" w:ascii="仿宋_GB2312" w:hAnsi="仿宋" w:eastAsia="仿宋_GB2312" w:cs="Times New Roman"/>
          <w:b w:val="0"/>
          <w:bCs/>
          <w:color w:val="auto"/>
          <w:spacing w:val="-4"/>
          <w:kern w:val="2"/>
          <w:sz w:val="32"/>
          <w:szCs w:val="32"/>
          <w:highlight w:val="none"/>
          <w:lang w:val="en-US" w:eastAsia="zh-CN" w:bidi="ar-SA"/>
        </w:rPr>
      </w:pPr>
      <w:r>
        <w:rPr>
          <w:rFonts w:hint="eastAsia" w:ascii="仿宋_GB2312" w:hAnsi="仿宋" w:eastAsia="仿宋_GB2312" w:cs="Times New Roman"/>
          <w:b w:val="0"/>
          <w:bCs/>
          <w:color w:val="auto"/>
          <w:spacing w:val="-4"/>
          <w:kern w:val="2"/>
          <w:sz w:val="32"/>
          <w:szCs w:val="32"/>
          <w:highlight w:val="none"/>
          <w:lang w:val="en-US" w:eastAsia="zh-CN" w:bidi="ar-SA"/>
        </w:rPr>
        <w:t>“提高干部职工工作积极性、创造良好的工作生活环境”指标：预期指标值为“有效提高”，实际完成指标值为“有效提高”，指标完成率为100.0%；</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（3）生态效益</w:t>
      </w:r>
    </w:p>
    <w:p>
      <w:pPr>
        <w:ind w:firstLine="640"/>
        <w:rPr>
          <w:rFonts w:ascii="仿宋_GB2312" w:eastAsia="仿宋_GB2312"/>
          <w:color w:val="auto"/>
          <w:sz w:val="32"/>
          <w:szCs w:val="32"/>
          <w:highlight w:val="none"/>
        </w:rPr>
      </w:pPr>
      <w:r>
        <w:rPr>
          <w:rFonts w:hint="eastAsia" w:ascii="仿宋_GB2312" w:hAnsi="仿宋" w:eastAsia="仿宋_GB2312" w:cs="Times New Roman"/>
          <w:b w:val="0"/>
          <w:bCs/>
          <w:color w:val="auto"/>
          <w:spacing w:val="-4"/>
          <w:kern w:val="2"/>
          <w:sz w:val="32"/>
          <w:szCs w:val="32"/>
          <w:highlight w:val="none"/>
          <w:lang w:val="en-US" w:eastAsia="zh-CN" w:bidi="ar-SA"/>
        </w:rPr>
        <w:t>无此项指标。</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（4）可持续影响</w:t>
      </w:r>
    </w:p>
    <w:p>
      <w:pPr>
        <w:ind w:firstLine="640"/>
        <w:rPr>
          <w:rFonts w:ascii="仿宋_GB2312" w:eastAsia="仿宋_GB2312"/>
          <w:color w:val="auto"/>
          <w:sz w:val="32"/>
          <w:szCs w:val="32"/>
          <w:highlight w:val="none"/>
        </w:rPr>
      </w:pPr>
      <w:r>
        <w:rPr>
          <w:rFonts w:hint="eastAsia" w:ascii="仿宋_GB2312" w:hAnsi="仿宋" w:eastAsia="仿宋_GB2312" w:cs="Times New Roman"/>
          <w:b w:val="0"/>
          <w:bCs/>
          <w:color w:val="auto"/>
          <w:spacing w:val="-4"/>
          <w:kern w:val="2"/>
          <w:sz w:val="32"/>
          <w:szCs w:val="32"/>
          <w:highlight w:val="none"/>
          <w:lang w:val="en-US" w:eastAsia="zh-CN" w:bidi="ar-SA"/>
        </w:rPr>
        <w:t>“服务人员队伍结构更加科学”指标：预期指标值为“逐步提高”，实际完成指标值为“逐步提高”，指标完成率为100.0%；</w:t>
      </w:r>
    </w:p>
    <w:p>
      <w:pPr>
        <w:pStyle w:val="4"/>
        <w:ind w:firstLine="640"/>
        <w:rPr>
          <w:color w:val="auto"/>
          <w:sz w:val="32"/>
          <w:highlight w:val="none"/>
        </w:rPr>
      </w:pPr>
      <w:r>
        <w:rPr>
          <w:rFonts w:hint="eastAsia"/>
          <w:color w:val="auto"/>
          <w:sz w:val="32"/>
          <w:highlight w:val="none"/>
        </w:rPr>
        <w:t>3.满意度指标完成情况分析</w:t>
      </w:r>
    </w:p>
    <w:p>
      <w:pPr>
        <w:ind w:firstLine="640"/>
        <w:rPr>
          <w:rFonts w:hint="eastAsia" w:ascii="仿宋_GB2312" w:hAnsi="仿宋" w:eastAsia="仿宋_GB2312" w:cs="Times New Roman"/>
          <w:b w:val="0"/>
          <w:bCs/>
          <w:color w:val="auto"/>
          <w:spacing w:val="-4"/>
          <w:kern w:val="2"/>
          <w:sz w:val="32"/>
          <w:szCs w:val="32"/>
          <w:highlight w:val="none"/>
          <w:lang w:val="en-US" w:eastAsia="zh-CN" w:bidi="ar-SA"/>
        </w:rPr>
      </w:pPr>
      <w:r>
        <w:rPr>
          <w:rFonts w:hint="eastAsia" w:ascii="仿宋_GB2312" w:hAnsi="仿宋" w:eastAsia="仿宋_GB2312" w:cs="Times New Roman"/>
          <w:b w:val="0"/>
          <w:bCs/>
          <w:color w:val="auto"/>
          <w:spacing w:val="-4"/>
          <w:kern w:val="2"/>
          <w:sz w:val="32"/>
          <w:szCs w:val="32"/>
          <w:highlight w:val="none"/>
          <w:lang w:val="en-US" w:eastAsia="zh-CN" w:bidi="ar-SA"/>
        </w:rPr>
        <w:t>“员工满意度”指标：预期指标值为“&gt;=90.00%”，实际完成指标值为“95.0%”，指标完成率为100.0%;</w:t>
      </w:r>
    </w:p>
    <w:p>
      <w:pPr>
        <w:pStyle w:val="3"/>
        <w:ind w:firstLine="640"/>
        <w:rPr>
          <w:rFonts w:hint="eastAsia" w:ascii="仿宋_GB2312" w:hAnsi="仿宋" w:eastAsia="仿宋_GB2312" w:cs="Times New Roman"/>
          <w:b w:val="0"/>
          <w:bCs/>
          <w:color w:val="auto"/>
          <w:spacing w:val="-4"/>
          <w:kern w:val="2"/>
          <w:sz w:val="32"/>
          <w:szCs w:val="32"/>
          <w:highlight w:val="none"/>
          <w:lang w:val="en-US" w:eastAsia="zh-CN" w:bidi="ar-SA"/>
        </w:rPr>
      </w:pPr>
      <w:r>
        <w:rPr>
          <w:rFonts w:hint="eastAsia" w:ascii="仿宋_GB2312" w:hAnsi="仿宋" w:eastAsia="仿宋_GB2312" w:cs="Times New Roman"/>
          <w:b w:val="0"/>
          <w:bCs/>
          <w:color w:val="auto"/>
          <w:spacing w:val="-4"/>
          <w:kern w:val="2"/>
          <w:sz w:val="32"/>
          <w:szCs w:val="32"/>
          <w:highlight w:val="none"/>
          <w:lang w:val="en-US" w:eastAsia="zh-CN" w:bidi="ar-SA"/>
        </w:rPr>
        <w:t>“服务对象满意度”指标：预期指标值为“&gt;=90.00%”，实际完成指标值为“95.0%”，指标完成率为100.0%</w:t>
      </w:r>
    </w:p>
    <w:p>
      <w:pPr>
        <w:pStyle w:val="3"/>
        <w:ind w:firstLine="640"/>
        <w:rPr>
          <w:rFonts w:ascii="黑体" w:hAnsi="黑体"/>
          <w:b w:val="0"/>
          <w:color w:val="auto"/>
          <w:sz w:val="32"/>
          <w:szCs w:val="32"/>
          <w:highlight w:val="none"/>
        </w:rPr>
      </w:pPr>
      <w:r>
        <w:rPr>
          <w:rFonts w:hint="eastAsia" w:ascii="仿宋_GB2312" w:hAnsi="仿宋" w:eastAsia="仿宋_GB2312" w:cs="Times New Roman"/>
          <w:b w:val="0"/>
          <w:bCs/>
          <w:color w:val="auto"/>
          <w:spacing w:val="-4"/>
          <w:kern w:val="2"/>
          <w:sz w:val="32"/>
          <w:szCs w:val="32"/>
          <w:highlight w:val="none"/>
          <w:lang w:val="en-US" w:eastAsia="zh-CN" w:bidi="ar-SA"/>
        </w:rPr>
        <w:t>六</w:t>
      </w:r>
      <w:r>
        <w:rPr>
          <w:rFonts w:hint="eastAsia" w:ascii="黑体" w:hAnsi="黑体"/>
          <w:b w:val="0"/>
          <w:color w:val="auto"/>
          <w:sz w:val="32"/>
          <w:szCs w:val="32"/>
          <w:highlight w:val="none"/>
        </w:rPr>
        <w:t>、存在的主要问题</w:t>
      </w:r>
    </w:p>
    <w:p>
      <w:pPr>
        <w:ind w:firstLine="640"/>
        <w:rPr>
          <w:rFonts w:hint="eastAsia" w:ascii="仿宋_GB2312" w:hAnsi="仿宋" w:eastAsia="仿宋_GB2312" w:cs="Times New Roman"/>
          <w:b w:val="0"/>
          <w:bCs/>
          <w:color w:val="auto"/>
          <w:spacing w:val="-4"/>
          <w:kern w:val="2"/>
          <w:sz w:val="32"/>
          <w:szCs w:val="32"/>
          <w:highlight w:val="none"/>
          <w:lang w:val="en-US" w:eastAsia="zh-CN" w:bidi="ar-SA"/>
        </w:rPr>
      </w:pPr>
      <w:r>
        <w:rPr>
          <w:rFonts w:hint="eastAsia" w:ascii="仿宋_GB2312" w:hAnsi="仿宋" w:eastAsia="仿宋_GB2312" w:cs="Times New Roman"/>
          <w:b w:val="0"/>
          <w:bCs/>
          <w:color w:val="auto"/>
          <w:spacing w:val="-4"/>
          <w:kern w:val="2"/>
          <w:sz w:val="32"/>
          <w:szCs w:val="32"/>
          <w:highlight w:val="none"/>
          <w:lang w:val="en-US" w:eastAsia="zh-CN" w:bidi="ar-SA"/>
        </w:rPr>
        <w:t>我院</w:t>
      </w:r>
      <w:r>
        <w:rPr>
          <w:rFonts w:hint="eastAsia" w:ascii="仿宋_GB2312" w:eastAsia="仿宋_GB2312" w:cs="Times New Roman"/>
          <w:b w:val="0"/>
          <w:bCs/>
          <w:color w:val="auto"/>
          <w:spacing w:val="-4"/>
          <w:kern w:val="2"/>
          <w:sz w:val="32"/>
          <w:szCs w:val="32"/>
          <w:highlight w:val="none"/>
          <w:lang w:val="en-US" w:eastAsia="zh-CN" w:bidi="ar-SA"/>
        </w:rPr>
        <w:t>医疗门诊收入</w:t>
      </w:r>
      <w:r>
        <w:rPr>
          <w:rFonts w:hint="eastAsia" w:ascii="仿宋_GB2312" w:hAnsi="仿宋" w:eastAsia="仿宋_GB2312" w:cs="Times New Roman"/>
          <w:b w:val="0"/>
          <w:bCs/>
          <w:color w:val="auto"/>
          <w:spacing w:val="-4"/>
          <w:kern w:val="2"/>
          <w:sz w:val="32"/>
          <w:szCs w:val="32"/>
          <w:highlight w:val="none"/>
          <w:lang w:val="en-US" w:eastAsia="zh-CN" w:bidi="ar-SA"/>
        </w:rPr>
        <w:t>目标未完成，未完成原因</w:t>
      </w:r>
      <w:r>
        <w:rPr>
          <w:rFonts w:hint="eastAsia" w:ascii="仿宋_GB2312" w:eastAsia="仿宋_GB2312" w:cs="Times New Roman"/>
          <w:b w:val="0"/>
          <w:bCs/>
          <w:color w:val="auto"/>
          <w:spacing w:val="-4"/>
          <w:kern w:val="2"/>
          <w:sz w:val="32"/>
          <w:szCs w:val="32"/>
          <w:highlight w:val="none"/>
          <w:lang w:val="en-US" w:eastAsia="zh-CN" w:bidi="ar-SA"/>
        </w:rPr>
        <w:t>主要是受疫情影响，</w:t>
      </w:r>
      <w:r>
        <w:rPr>
          <w:rFonts w:hint="eastAsia" w:ascii="仿宋" w:hAnsi="仿宋" w:eastAsia="仿宋" w:cs="仿宋"/>
          <w:color w:val="auto"/>
          <w:sz w:val="32"/>
          <w:szCs w:val="32"/>
          <w:highlight w:val="none"/>
        </w:rPr>
        <w:t>门诊病种较为单一，以感冒、咳嗽、慢性胃炎、高血压、糖尿病、冠心病、脑梗死较为多见，救治复杂病患的能力还是不足，外科基本没有开展</w:t>
      </w:r>
      <w:r>
        <w:rPr>
          <w:rFonts w:hint="eastAsia" w:ascii="仿宋_GB2312" w:hAnsi="仿宋" w:eastAsia="仿宋_GB2312" w:cs="Times New Roman"/>
          <w:b w:val="0"/>
          <w:bCs/>
          <w:color w:val="auto"/>
          <w:spacing w:val="-4"/>
          <w:kern w:val="2"/>
          <w:sz w:val="32"/>
          <w:szCs w:val="32"/>
          <w:highlight w:val="none"/>
          <w:lang w:val="en-US" w:eastAsia="zh-CN" w:bidi="ar-SA"/>
        </w:rPr>
        <w:t>。</w:t>
      </w:r>
    </w:p>
    <w:p>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七、改进措施和建议</w:t>
      </w:r>
    </w:p>
    <w:p>
      <w:pPr>
        <w:ind w:firstLine="640"/>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绩效管理过程缺乏系统性管理体系，主要表现在资金科室绩效考核联动性不强。</w:t>
      </w:r>
    </w:p>
    <w:p>
      <w:pPr>
        <w:ind w:firstLine="640"/>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建议财政部门加大业务知识培训力度，组织预算单位学习《预算法》、《政府会计制度》等相关法律法规，学习现代财政预算管理体系，提高单位领导对全面预算管理的重视程度，增强财务人员的预算意识，树立预算绩效管理支出理念。</w:t>
      </w:r>
    </w:p>
    <w:p>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八、附表</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《部门整体支出绩效目标自评表》</w:t>
      </w:r>
    </w:p>
    <w:tbl>
      <w:tblPr>
        <w:tblStyle w:val="11"/>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36"/>
        <w:gridCol w:w="542"/>
        <w:gridCol w:w="583"/>
        <w:gridCol w:w="1439"/>
        <w:gridCol w:w="902"/>
        <w:gridCol w:w="954"/>
        <w:gridCol w:w="641"/>
        <w:gridCol w:w="1219"/>
        <w:gridCol w:w="954"/>
        <w:gridCol w:w="75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5000" w:type="pct"/>
            <w:gridSpan w:val="10"/>
            <w:tcBorders>
              <w:top w:val="nil"/>
              <w:left w:val="nil"/>
              <w:bottom w:val="nil"/>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ascii="方正小标宋简体" w:hAnsi="方正小标宋简体" w:eastAsia="方正小标宋简体" w:cs="方正小标宋简体"/>
                <w:i w:val="0"/>
                <w:iCs w:val="0"/>
                <w:color w:val="auto"/>
                <w:sz w:val="28"/>
                <w:szCs w:val="28"/>
                <w:highlight w:val="none"/>
                <w:u w:val="none"/>
              </w:rPr>
            </w:pPr>
            <w:r>
              <w:rPr>
                <w:rFonts w:hint="default" w:ascii="方正小标宋简体" w:hAnsi="方正小标宋简体" w:eastAsia="方正小标宋简体" w:cs="方正小标宋简体"/>
                <w:i w:val="0"/>
                <w:iCs w:val="0"/>
                <w:color w:val="auto"/>
                <w:kern w:val="0"/>
                <w:sz w:val="28"/>
                <w:szCs w:val="28"/>
                <w:highlight w:val="none"/>
                <w:u w:val="none"/>
                <w:lang w:val="en-US" w:eastAsia="zh-CN" w:bidi="ar"/>
              </w:rPr>
              <w:t>部门整体支出绩效目标自评表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5000" w:type="pct"/>
            <w:gridSpan w:val="10"/>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（2022年度）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975"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部门（单位）名称</w:t>
            </w:r>
          </w:p>
        </w:tc>
        <w:tc>
          <w:tcPr>
            <w:tcW w:w="4024"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昌吉市滨湖镇卫生院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31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年度主要任务</w:t>
            </w:r>
          </w:p>
        </w:tc>
        <w:tc>
          <w:tcPr>
            <w:tcW w:w="660"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任务名称</w:t>
            </w:r>
          </w:p>
        </w:tc>
        <w:tc>
          <w:tcPr>
            <w:tcW w:w="84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主要内容</w:t>
            </w:r>
          </w:p>
        </w:tc>
        <w:tc>
          <w:tcPr>
            <w:tcW w:w="1465" w:type="pct"/>
            <w:gridSpan w:val="3"/>
            <w:tcBorders>
              <w:top w:val="single" w:color="000000" w:sz="4" w:space="0"/>
              <w:left w:val="nil"/>
              <w:bottom w:val="nil"/>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预算金额（万元）</w:t>
            </w:r>
          </w:p>
        </w:tc>
        <w:tc>
          <w:tcPr>
            <w:tcW w:w="1714"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实际执行（万元）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3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highlight w:val="none"/>
                <w:u w:val="none"/>
              </w:rPr>
            </w:pPr>
          </w:p>
        </w:tc>
        <w:tc>
          <w:tcPr>
            <w:tcW w:w="660"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highlight w:val="none"/>
                <w:u w:val="none"/>
              </w:rPr>
            </w:pPr>
          </w:p>
        </w:tc>
        <w:tc>
          <w:tcPr>
            <w:tcW w:w="8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highlight w:val="none"/>
                <w:u w:val="none"/>
              </w:rPr>
            </w:pP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总额</w:t>
            </w: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财政拨款</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其他资金</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总额</w:t>
            </w: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财政拨款</w:t>
            </w:r>
          </w:p>
        </w:tc>
        <w:tc>
          <w:tcPr>
            <w:tcW w:w="4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其他资金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80" w:hRule="atLeast"/>
        </w:trPr>
        <w:tc>
          <w:tcPr>
            <w:tcW w:w="3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highlight w:val="none"/>
                <w:u w:val="none"/>
              </w:rPr>
            </w:pPr>
          </w:p>
        </w:tc>
        <w:tc>
          <w:tcPr>
            <w:tcW w:w="660" w:type="pct"/>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昌吉市滨湖镇卫生院2022年人员经费支出</w:t>
            </w:r>
          </w:p>
        </w:tc>
        <w:tc>
          <w:tcPr>
            <w:tcW w:w="8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保障卫生院在职19人、聘用14人、退休6人的正常办公，生活秩序，社会保险，保障退休人员安定生活及日常生活经费。</w:t>
            </w: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244.11</w:t>
            </w: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244.11</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0</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295.58</w:t>
            </w: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295.58</w:t>
            </w:r>
          </w:p>
        </w:tc>
        <w:tc>
          <w:tcPr>
            <w:tcW w:w="4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80" w:hRule="atLeast"/>
        </w:trPr>
        <w:tc>
          <w:tcPr>
            <w:tcW w:w="3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highlight w:val="none"/>
                <w:u w:val="none"/>
              </w:rPr>
            </w:pPr>
          </w:p>
        </w:tc>
        <w:tc>
          <w:tcPr>
            <w:tcW w:w="660" w:type="pct"/>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昌吉市滨湖镇卫生院2022年公用经费支出</w:t>
            </w:r>
          </w:p>
        </w:tc>
        <w:tc>
          <w:tcPr>
            <w:tcW w:w="8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保障卫生院日常工作正常运行支出，保障卫生院车辆运行、水费、电费、办公费、网费、电话费等基本日常经费。</w:t>
            </w:r>
          </w:p>
        </w:tc>
        <w:tc>
          <w:tcPr>
            <w:tcW w:w="52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22.6</w:t>
            </w: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22.6</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0</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13.74</w:t>
            </w: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13.74</w:t>
            </w:r>
          </w:p>
        </w:tc>
        <w:tc>
          <w:tcPr>
            <w:tcW w:w="4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3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highlight w:val="none"/>
                <w:u w:val="none"/>
              </w:rPr>
            </w:pPr>
          </w:p>
        </w:tc>
        <w:tc>
          <w:tcPr>
            <w:tcW w:w="1504"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合　计</w:t>
            </w:r>
          </w:p>
        </w:tc>
        <w:tc>
          <w:tcPr>
            <w:tcW w:w="5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266.71</w:t>
            </w: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266.71</w:t>
            </w:r>
          </w:p>
        </w:tc>
        <w:tc>
          <w:tcPr>
            <w:tcW w:w="37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0.0</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309.32</w:t>
            </w: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309.32</w:t>
            </w:r>
          </w:p>
        </w:tc>
        <w:tc>
          <w:tcPr>
            <w:tcW w:w="4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31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年度总体目标</w:t>
            </w:r>
          </w:p>
        </w:tc>
        <w:tc>
          <w:tcPr>
            <w:tcW w:w="2033"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预期目标</w:t>
            </w:r>
          </w:p>
        </w:tc>
        <w:tc>
          <w:tcPr>
            <w:tcW w:w="2651" w:type="pct"/>
            <w:gridSpan w:val="5"/>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实际完成目标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60" w:hRule="atLeast"/>
        </w:trPr>
        <w:tc>
          <w:tcPr>
            <w:tcW w:w="3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highlight w:val="none"/>
                <w:u w:val="none"/>
              </w:rPr>
            </w:pPr>
          </w:p>
        </w:tc>
        <w:tc>
          <w:tcPr>
            <w:tcW w:w="2033"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 xml:space="preserve">职能： </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 xml:space="preserve">1、负责开展辖区农村常见病、多发病的诊治；负责诊断和处理危机重症适时转诊；负责宣传城乡居民医疗保险的基本政策，对参保就诊病人医疗费用和补偿费用垫付，承担村级医疗卫生机构门诊病人补偿费的审核汇总，并上报市级经办机构。 </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 xml:space="preserve">2、做好基层医疗卫生工作； </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 xml:space="preserve">3、做好公共卫生及全民健康体检工作； </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 xml:space="preserve">4、保障各项工作的开展； </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 xml:space="preserve">5、提高辖区居民的健康水平和满意度。 </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 xml:space="preserve">目标 </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 xml:space="preserve">1、保障卫生院在职19人、聘用14人、退休6人的正常办公，生活秩序，社会保险，保障退休人员安定生活及日常生活经费。 </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2、保障卫生院日常工作正常运行支出，保障卫生院车辆运行、水费、电费、办公费、网费、电话费等基本日常经费。</w:t>
            </w:r>
          </w:p>
        </w:tc>
        <w:tc>
          <w:tcPr>
            <w:tcW w:w="2651" w:type="pct"/>
            <w:gridSpan w:val="5"/>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 xml:space="preserve">1、卫生院已承担本乡镇的基本医疗服务、公共卫生、预防、保健等服务，并开展本辖区全民体检工作。 </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 xml:space="preserve">2、保障了卫生院在职19人、聘用14人、退休6人的正常办公，生活秩序，社会保险，保障退休人员安定生活及日常生活经费。 </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3、保障了卫生院日常工作正常运行支出，保障卫生院车辆运行、水费、电费、办公费、网费、电话费等基本日常经费。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31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年度绩效指标完成情况</w:t>
            </w:r>
          </w:p>
        </w:tc>
        <w:tc>
          <w:tcPr>
            <w:tcW w:w="31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一级指标</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二级指标</w:t>
            </w:r>
          </w:p>
        </w:tc>
        <w:tc>
          <w:tcPr>
            <w:tcW w:w="137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三级指标</w:t>
            </w:r>
          </w:p>
        </w:tc>
        <w:tc>
          <w:tcPr>
            <w:tcW w:w="9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绩效目标值</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实际完成值</w:t>
            </w: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指标分值</w:t>
            </w:r>
          </w:p>
        </w:tc>
        <w:tc>
          <w:tcPr>
            <w:tcW w:w="4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3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highlight w:val="none"/>
                <w:u w:val="none"/>
              </w:rPr>
            </w:pPr>
          </w:p>
        </w:tc>
        <w:tc>
          <w:tcPr>
            <w:tcW w:w="31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项目完成</w:t>
            </w:r>
          </w:p>
        </w:tc>
        <w:tc>
          <w:tcPr>
            <w:tcW w:w="3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数量指标</w:t>
            </w:r>
          </w:p>
        </w:tc>
        <w:tc>
          <w:tcPr>
            <w:tcW w:w="137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年均门急诊人次数</w:t>
            </w:r>
          </w:p>
        </w:tc>
        <w:tc>
          <w:tcPr>
            <w:tcW w:w="9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&gt;=9000.00人次</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&gt;=15234人次</w:t>
            </w: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8</w:t>
            </w:r>
          </w:p>
        </w:tc>
        <w:tc>
          <w:tcPr>
            <w:tcW w:w="4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3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highlight w:val="none"/>
                <w:u w:val="none"/>
              </w:rPr>
            </w:pPr>
          </w:p>
        </w:tc>
        <w:tc>
          <w:tcPr>
            <w:tcW w:w="3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highlight w:val="none"/>
                <w:u w:val="none"/>
              </w:rPr>
            </w:pPr>
          </w:p>
        </w:tc>
        <w:tc>
          <w:tcPr>
            <w:tcW w:w="3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highlight w:val="none"/>
                <w:u w:val="none"/>
              </w:rPr>
            </w:pPr>
          </w:p>
        </w:tc>
        <w:tc>
          <w:tcPr>
            <w:tcW w:w="137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保障公务用车数量</w:t>
            </w:r>
          </w:p>
        </w:tc>
        <w:tc>
          <w:tcPr>
            <w:tcW w:w="9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&gt;=1.00辆</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&gt;=1辆</w:t>
            </w: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8</w:t>
            </w:r>
          </w:p>
        </w:tc>
        <w:tc>
          <w:tcPr>
            <w:tcW w:w="4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3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highlight w:val="none"/>
                <w:u w:val="none"/>
              </w:rPr>
            </w:pPr>
          </w:p>
        </w:tc>
        <w:tc>
          <w:tcPr>
            <w:tcW w:w="3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highlight w:val="none"/>
                <w:u w:val="none"/>
              </w:rPr>
            </w:pPr>
          </w:p>
        </w:tc>
        <w:tc>
          <w:tcPr>
            <w:tcW w:w="3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highlight w:val="none"/>
                <w:u w:val="none"/>
              </w:rPr>
            </w:pPr>
          </w:p>
        </w:tc>
        <w:tc>
          <w:tcPr>
            <w:tcW w:w="137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保障工作人员数量</w:t>
            </w:r>
          </w:p>
        </w:tc>
        <w:tc>
          <w:tcPr>
            <w:tcW w:w="9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=20.00名</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=19名</w:t>
            </w: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8</w:t>
            </w:r>
          </w:p>
        </w:tc>
        <w:tc>
          <w:tcPr>
            <w:tcW w:w="4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7.6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3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highlight w:val="none"/>
                <w:u w:val="none"/>
              </w:rPr>
            </w:pPr>
          </w:p>
        </w:tc>
        <w:tc>
          <w:tcPr>
            <w:tcW w:w="3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highlight w:val="none"/>
                <w:u w:val="none"/>
              </w:rPr>
            </w:pPr>
          </w:p>
        </w:tc>
        <w:tc>
          <w:tcPr>
            <w:tcW w:w="3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质量指标</w:t>
            </w:r>
          </w:p>
        </w:tc>
        <w:tc>
          <w:tcPr>
            <w:tcW w:w="137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工作考核合格率</w:t>
            </w:r>
          </w:p>
        </w:tc>
        <w:tc>
          <w:tcPr>
            <w:tcW w:w="9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&gt;=90.00%</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&gt;=95%</w:t>
            </w: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8</w:t>
            </w:r>
          </w:p>
        </w:tc>
        <w:tc>
          <w:tcPr>
            <w:tcW w:w="4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3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highlight w:val="none"/>
                <w:u w:val="none"/>
              </w:rPr>
            </w:pPr>
          </w:p>
        </w:tc>
        <w:tc>
          <w:tcPr>
            <w:tcW w:w="3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highlight w:val="none"/>
                <w:u w:val="none"/>
              </w:rPr>
            </w:pPr>
          </w:p>
        </w:tc>
        <w:tc>
          <w:tcPr>
            <w:tcW w:w="3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highlight w:val="none"/>
                <w:u w:val="none"/>
              </w:rPr>
            </w:pPr>
          </w:p>
        </w:tc>
        <w:tc>
          <w:tcPr>
            <w:tcW w:w="137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资金使用合格率</w:t>
            </w:r>
          </w:p>
        </w:tc>
        <w:tc>
          <w:tcPr>
            <w:tcW w:w="9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=100.00%</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=100%</w:t>
            </w: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7</w:t>
            </w:r>
          </w:p>
        </w:tc>
        <w:tc>
          <w:tcPr>
            <w:tcW w:w="4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3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highlight w:val="none"/>
                <w:u w:val="none"/>
              </w:rPr>
            </w:pPr>
          </w:p>
        </w:tc>
        <w:tc>
          <w:tcPr>
            <w:tcW w:w="3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highlight w:val="none"/>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时效指标</w:t>
            </w:r>
          </w:p>
        </w:tc>
        <w:tc>
          <w:tcPr>
            <w:tcW w:w="137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各项工资补助发放及时率</w:t>
            </w:r>
          </w:p>
        </w:tc>
        <w:tc>
          <w:tcPr>
            <w:tcW w:w="9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=100.00%</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=100%</w:t>
            </w: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7</w:t>
            </w:r>
          </w:p>
        </w:tc>
        <w:tc>
          <w:tcPr>
            <w:tcW w:w="4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3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highlight w:val="none"/>
                <w:u w:val="none"/>
              </w:rPr>
            </w:pPr>
          </w:p>
        </w:tc>
        <w:tc>
          <w:tcPr>
            <w:tcW w:w="3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highlight w:val="none"/>
                <w:u w:val="none"/>
              </w:rPr>
            </w:pPr>
          </w:p>
        </w:tc>
        <w:tc>
          <w:tcPr>
            <w:tcW w:w="3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成本指标</w:t>
            </w:r>
          </w:p>
        </w:tc>
        <w:tc>
          <w:tcPr>
            <w:tcW w:w="137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人员经费支出</w:t>
            </w:r>
          </w:p>
        </w:tc>
        <w:tc>
          <w:tcPr>
            <w:tcW w:w="9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&lt;=244.11万元</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&lt;=295.58万元</w:t>
            </w: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7</w:t>
            </w:r>
          </w:p>
        </w:tc>
        <w:tc>
          <w:tcPr>
            <w:tcW w:w="4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3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highlight w:val="none"/>
                <w:u w:val="none"/>
              </w:rPr>
            </w:pPr>
          </w:p>
        </w:tc>
        <w:tc>
          <w:tcPr>
            <w:tcW w:w="3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highlight w:val="none"/>
                <w:u w:val="none"/>
              </w:rPr>
            </w:pPr>
          </w:p>
        </w:tc>
        <w:tc>
          <w:tcPr>
            <w:tcW w:w="3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highlight w:val="none"/>
                <w:u w:val="none"/>
              </w:rPr>
            </w:pPr>
          </w:p>
        </w:tc>
        <w:tc>
          <w:tcPr>
            <w:tcW w:w="137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公用经费支出</w:t>
            </w:r>
          </w:p>
        </w:tc>
        <w:tc>
          <w:tcPr>
            <w:tcW w:w="9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&lt;=22.60万元</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&lt;=13.74万元</w:t>
            </w: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7</w:t>
            </w:r>
          </w:p>
        </w:tc>
        <w:tc>
          <w:tcPr>
            <w:tcW w:w="4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4.26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3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highlight w:val="none"/>
                <w:u w:val="none"/>
              </w:rPr>
            </w:pPr>
          </w:p>
        </w:tc>
        <w:tc>
          <w:tcPr>
            <w:tcW w:w="31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项目效益</w:t>
            </w: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经济效益指标</w:t>
            </w:r>
          </w:p>
        </w:tc>
        <w:tc>
          <w:tcPr>
            <w:tcW w:w="137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医疗收入</w:t>
            </w:r>
          </w:p>
        </w:tc>
        <w:tc>
          <w:tcPr>
            <w:tcW w:w="9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&gt;=100.00万元</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&gt;=91.64万元</w:t>
            </w: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10</w:t>
            </w:r>
          </w:p>
        </w:tc>
        <w:tc>
          <w:tcPr>
            <w:tcW w:w="4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9.16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3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highlight w:val="none"/>
                <w:u w:val="none"/>
              </w:rPr>
            </w:pPr>
          </w:p>
        </w:tc>
        <w:tc>
          <w:tcPr>
            <w:tcW w:w="3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highlight w:val="none"/>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社会效益指标</w:t>
            </w:r>
          </w:p>
        </w:tc>
        <w:tc>
          <w:tcPr>
            <w:tcW w:w="137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提高干部职工工作积极性、创造良好的工作生活环境</w:t>
            </w:r>
          </w:p>
        </w:tc>
        <w:tc>
          <w:tcPr>
            <w:tcW w:w="9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有效提高</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有效提高</w:t>
            </w: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10</w:t>
            </w:r>
          </w:p>
        </w:tc>
        <w:tc>
          <w:tcPr>
            <w:tcW w:w="4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3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highlight w:val="none"/>
                <w:u w:val="none"/>
              </w:rPr>
            </w:pPr>
          </w:p>
        </w:tc>
        <w:tc>
          <w:tcPr>
            <w:tcW w:w="3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highlight w:val="none"/>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生态效益指标</w:t>
            </w:r>
          </w:p>
        </w:tc>
        <w:tc>
          <w:tcPr>
            <w:tcW w:w="137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w:t>
            </w:r>
          </w:p>
        </w:tc>
        <w:tc>
          <w:tcPr>
            <w:tcW w:w="9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w:t>
            </w: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w:t>
            </w:r>
          </w:p>
        </w:tc>
        <w:tc>
          <w:tcPr>
            <w:tcW w:w="4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3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highlight w:val="none"/>
                <w:u w:val="none"/>
              </w:rPr>
            </w:pPr>
          </w:p>
        </w:tc>
        <w:tc>
          <w:tcPr>
            <w:tcW w:w="3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highlight w:val="none"/>
                <w:u w:val="none"/>
              </w:rPr>
            </w:pPr>
          </w:p>
        </w:tc>
        <w:tc>
          <w:tcPr>
            <w:tcW w:w="34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可持续影响指标</w:t>
            </w:r>
          </w:p>
        </w:tc>
        <w:tc>
          <w:tcPr>
            <w:tcW w:w="137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服务人员队伍结构更加科学</w:t>
            </w:r>
          </w:p>
        </w:tc>
        <w:tc>
          <w:tcPr>
            <w:tcW w:w="9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逐步提高</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逐步提高</w:t>
            </w: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10</w:t>
            </w:r>
          </w:p>
        </w:tc>
        <w:tc>
          <w:tcPr>
            <w:tcW w:w="4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3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highlight w:val="none"/>
                <w:u w:val="none"/>
              </w:rPr>
            </w:pPr>
          </w:p>
        </w:tc>
        <w:tc>
          <w:tcPr>
            <w:tcW w:w="31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满意度指标</w:t>
            </w:r>
          </w:p>
        </w:tc>
        <w:tc>
          <w:tcPr>
            <w:tcW w:w="34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满意度指标</w:t>
            </w:r>
          </w:p>
        </w:tc>
        <w:tc>
          <w:tcPr>
            <w:tcW w:w="137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员工满意度</w:t>
            </w:r>
          </w:p>
        </w:tc>
        <w:tc>
          <w:tcPr>
            <w:tcW w:w="9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&gt;=90.00%</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&gt;=95%</w:t>
            </w: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5</w:t>
            </w:r>
          </w:p>
        </w:tc>
        <w:tc>
          <w:tcPr>
            <w:tcW w:w="4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31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highlight w:val="none"/>
                <w:u w:val="none"/>
              </w:rPr>
            </w:pPr>
          </w:p>
        </w:tc>
        <w:tc>
          <w:tcPr>
            <w:tcW w:w="31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highlight w:val="none"/>
                <w:u w:val="none"/>
              </w:rPr>
            </w:pPr>
          </w:p>
        </w:tc>
        <w:tc>
          <w:tcPr>
            <w:tcW w:w="34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highlight w:val="none"/>
                <w:u w:val="none"/>
              </w:rPr>
            </w:pPr>
          </w:p>
        </w:tc>
        <w:tc>
          <w:tcPr>
            <w:tcW w:w="137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服务对象满意度</w:t>
            </w:r>
          </w:p>
        </w:tc>
        <w:tc>
          <w:tcPr>
            <w:tcW w:w="9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&gt;=90.00%</w:t>
            </w:r>
          </w:p>
        </w:tc>
        <w:tc>
          <w:tcPr>
            <w:tcW w:w="71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&gt;=95%</w:t>
            </w: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5</w:t>
            </w:r>
          </w:p>
        </w:tc>
        <w:tc>
          <w:tcPr>
            <w:tcW w:w="4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5</w:t>
            </w:r>
          </w:p>
        </w:tc>
      </w:tr>
    </w:tbl>
    <w:p>
      <w:pPr>
        <w:pStyle w:val="2"/>
        <w:rPr>
          <w:color w:val="auto"/>
          <w:highlight w:val="none"/>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titlePg/>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Malgun Gothic Semilight">
    <w:altName w:val="Malgun Gothic"/>
    <w:panose1 w:val="020B0502040204020203"/>
    <w:charset w:val="80"/>
    <w:family w:val="swiss"/>
    <w:pitch w:val="default"/>
    <w:sig w:usb0="00000000" w:usb1="00000000" w:usb2="00000012" w:usb3="00000000" w:csb0="203E01BD" w:csb1="D7FF0000"/>
  </w:font>
  <w:font w:name="Malgun Gothic">
    <w:panose1 w:val="020B0503020000020004"/>
    <w:charset w:val="81"/>
    <w:family w:val="auto"/>
    <w:pitch w:val="default"/>
    <w:sig w:usb0="900002AF" w:usb1="01D77CFB" w:usb2="00000012" w:usb3="00000000" w:csb0="00080001" w:csb1="00000000"/>
  </w:font>
  <w:font w:name="楷体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方正小标宋简体">
    <w:altName w:val="微软雅黑"/>
    <w:panose1 w:val="02010601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194959"/>
    </w:sdtPr>
    <w:sdtContent>
      <w:p>
        <w:pPr>
          <w:pStyle w:val="7"/>
          <w:ind w:firstLine="360"/>
          <w:jc w:val="right"/>
        </w:pPr>
        <w:r>
          <w:rPr>
            <w:lang w:val="zh-CN"/>
          </w:rPr>
          <w:fldChar w:fldCharType="begin"/>
        </w:r>
        <w:r>
          <w:rPr>
            <w:lang w:val="zh-CN"/>
          </w:rPr>
          <w:instrText xml:space="preserve"> PAGE   \* MERGEFORMAT </w:instrText>
        </w:r>
        <w:r>
          <w:rPr>
            <w:lang w:val="zh-CN"/>
          </w:rPr>
          <w:fldChar w:fldCharType="separate"/>
        </w:r>
        <w:r>
          <w:rPr>
            <w:lang w:val="zh-CN"/>
          </w:rPr>
          <w:t>6</w:t>
        </w:r>
        <w:r>
          <w:rPr>
            <w:lang w:val="zh-CN"/>
          </w:rPr>
          <w:fldChar w:fldCharType="end"/>
        </w:r>
      </w:p>
    </w:sdtContent>
  </w:sdt>
  <w:p>
    <w:pPr>
      <w:pStyle w:val="7"/>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D29B09"/>
    <w:multiLevelType w:val="singleLevel"/>
    <w:tmpl w:val="96D29B09"/>
    <w:lvl w:ilvl="0" w:tentative="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tentative="0">
      <w:start w:val="5"/>
      <w:numFmt w:val="chineseCounting"/>
      <w:suff w:val="nothing"/>
      <w:lvlText w:val="%1、"/>
      <w:lvlJc w:val="left"/>
      <w:rPr>
        <w:rFonts w:hint="eastAsia"/>
      </w:rPr>
    </w:lvl>
  </w:abstractNum>
  <w:abstractNum w:abstractNumId="2">
    <w:nsid w:val="F68CBA3B"/>
    <w:multiLevelType w:val="singleLevel"/>
    <w:tmpl w:val="F68CBA3B"/>
    <w:lvl w:ilvl="0" w:tentative="0">
      <w:start w:val="2"/>
      <w:numFmt w:val="decimal"/>
      <w:suff w:val="nothing"/>
      <w:lvlText w:val="（%1）"/>
      <w:lvlJc w:val="left"/>
    </w:lvl>
  </w:abstractNum>
  <w:abstractNum w:abstractNumId="3">
    <w:nsid w:val="F6B52E37"/>
    <w:multiLevelType w:val="singleLevel"/>
    <w:tmpl w:val="F6B52E37"/>
    <w:lvl w:ilvl="0" w:tentative="0">
      <w:start w:val="2"/>
      <w:numFmt w:val="chineseCounting"/>
      <w:suff w:val="nothing"/>
      <w:lvlText w:val="（%1）"/>
      <w:lvlJc w:val="left"/>
      <w:rPr>
        <w:rFonts w:hint="eastAsia"/>
      </w:rPr>
    </w:lvl>
  </w:abstractNum>
  <w:abstractNum w:abstractNumId="4">
    <w:nsid w:val="FB7AFB3F"/>
    <w:multiLevelType w:val="singleLevel"/>
    <w:tmpl w:val="FB7AFB3F"/>
    <w:lvl w:ilvl="0" w:tentative="0">
      <w:start w:val="2"/>
      <w:numFmt w:val="decimal"/>
      <w:suff w:val="nothing"/>
      <w:lvlText w:val="%1."/>
      <w:lvlJc w:val="left"/>
    </w:lvl>
  </w:abstractNum>
  <w:abstractNum w:abstractNumId="5">
    <w:nsid w:val="225C8922"/>
    <w:multiLevelType w:val="singleLevel"/>
    <w:tmpl w:val="225C8922"/>
    <w:lvl w:ilvl="0" w:tentative="0">
      <w:start w:val="1"/>
      <w:numFmt w:val="decimal"/>
      <w:suff w:val="space"/>
      <w:lvlText w:val="%1."/>
      <w:lvlJc w:val="left"/>
    </w:lvl>
  </w:abstractNum>
  <w:abstractNum w:abstractNumId="6">
    <w:nsid w:val="282FBCCD"/>
    <w:multiLevelType w:val="singleLevel"/>
    <w:tmpl w:val="282FBCCD"/>
    <w:lvl w:ilvl="0" w:tentative="0">
      <w:start w:val="3"/>
      <w:numFmt w:val="chineseCounting"/>
      <w:suff w:val="nothing"/>
      <w:lvlText w:val="（%1）"/>
      <w:lvlJc w:val="left"/>
      <w:rPr>
        <w:rFonts w:hint="eastAsia"/>
      </w:rPr>
    </w:lvl>
  </w:abstractNum>
  <w:abstractNum w:abstractNumId="7">
    <w:nsid w:val="2DF647DA"/>
    <w:multiLevelType w:val="singleLevel"/>
    <w:tmpl w:val="2DF647DA"/>
    <w:lvl w:ilvl="0" w:tentative="0">
      <w:start w:val="1"/>
      <w:numFmt w:val="chineseCounting"/>
      <w:suff w:val="nothing"/>
      <w:lvlText w:val="（%1）"/>
      <w:lvlJc w:val="left"/>
      <w:pPr>
        <w:ind w:left="0" w:firstLine="420"/>
      </w:pPr>
      <w:rPr>
        <w:rFonts w:hint="eastAsia"/>
      </w:rPr>
    </w:lvl>
  </w:abstractNum>
  <w:num w:numId="1">
    <w:abstractNumId w:val="4"/>
  </w:num>
  <w:num w:numId="2">
    <w:abstractNumId w:val="6"/>
  </w:num>
  <w:num w:numId="3">
    <w:abstractNumId w:val="5"/>
  </w:num>
  <w:num w:numId="4">
    <w:abstractNumId w:val="7"/>
  </w:num>
  <w:num w:numId="5">
    <w:abstractNumId w:val="3"/>
  </w:num>
  <w:num w:numId="6">
    <w:abstractNumId w:val="0"/>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TI1NGQ0YzFkNWQ0ZTJlZGVlOTYwYjZjNzI4ZmRiZGUifQ=="/>
  </w:docVars>
  <w:rsids>
    <w:rsidRoot w:val="005736CA"/>
    <w:rsid w:val="00012408"/>
    <w:rsid w:val="000127F0"/>
    <w:rsid w:val="00012F5F"/>
    <w:rsid w:val="00201A4A"/>
    <w:rsid w:val="002153DD"/>
    <w:rsid w:val="002640E4"/>
    <w:rsid w:val="00266868"/>
    <w:rsid w:val="003B184C"/>
    <w:rsid w:val="003F473D"/>
    <w:rsid w:val="00455E2F"/>
    <w:rsid w:val="00485980"/>
    <w:rsid w:val="004D4927"/>
    <w:rsid w:val="004E4CA7"/>
    <w:rsid w:val="005736CA"/>
    <w:rsid w:val="005A124E"/>
    <w:rsid w:val="005D3F17"/>
    <w:rsid w:val="005E5D6E"/>
    <w:rsid w:val="005F7A93"/>
    <w:rsid w:val="00601640"/>
    <w:rsid w:val="00617C63"/>
    <w:rsid w:val="00722410"/>
    <w:rsid w:val="0077571A"/>
    <w:rsid w:val="007A1B0F"/>
    <w:rsid w:val="007B6305"/>
    <w:rsid w:val="008A09A7"/>
    <w:rsid w:val="008A1C5E"/>
    <w:rsid w:val="008D5E7B"/>
    <w:rsid w:val="0090615A"/>
    <w:rsid w:val="00931A42"/>
    <w:rsid w:val="009443DA"/>
    <w:rsid w:val="00961F8B"/>
    <w:rsid w:val="009C3541"/>
    <w:rsid w:val="009D6347"/>
    <w:rsid w:val="009E68A2"/>
    <w:rsid w:val="00A7110C"/>
    <w:rsid w:val="00A720BD"/>
    <w:rsid w:val="00A85EC6"/>
    <w:rsid w:val="00A87301"/>
    <w:rsid w:val="00A95478"/>
    <w:rsid w:val="00AE0359"/>
    <w:rsid w:val="00B00384"/>
    <w:rsid w:val="00B40102"/>
    <w:rsid w:val="00BC7E1D"/>
    <w:rsid w:val="00C11C70"/>
    <w:rsid w:val="00C5695F"/>
    <w:rsid w:val="00CA0283"/>
    <w:rsid w:val="00CC6CC1"/>
    <w:rsid w:val="00CD147B"/>
    <w:rsid w:val="00D2747D"/>
    <w:rsid w:val="00D34758"/>
    <w:rsid w:val="00D81057"/>
    <w:rsid w:val="00D816FD"/>
    <w:rsid w:val="00D8792A"/>
    <w:rsid w:val="00DB3723"/>
    <w:rsid w:val="00DC7874"/>
    <w:rsid w:val="00E122EB"/>
    <w:rsid w:val="00E65EF1"/>
    <w:rsid w:val="00E76F6F"/>
    <w:rsid w:val="00EA0F2D"/>
    <w:rsid w:val="012D3D63"/>
    <w:rsid w:val="01330A6C"/>
    <w:rsid w:val="01487A18"/>
    <w:rsid w:val="01720865"/>
    <w:rsid w:val="0189003F"/>
    <w:rsid w:val="01B464A4"/>
    <w:rsid w:val="01C42D66"/>
    <w:rsid w:val="02A227A1"/>
    <w:rsid w:val="02C15BF6"/>
    <w:rsid w:val="02DA63DE"/>
    <w:rsid w:val="03354A65"/>
    <w:rsid w:val="03673532"/>
    <w:rsid w:val="0379691F"/>
    <w:rsid w:val="037C7496"/>
    <w:rsid w:val="03BE7262"/>
    <w:rsid w:val="04313FCA"/>
    <w:rsid w:val="046072C6"/>
    <w:rsid w:val="048C2D97"/>
    <w:rsid w:val="048C34B8"/>
    <w:rsid w:val="04993586"/>
    <w:rsid w:val="049D20FD"/>
    <w:rsid w:val="04C42719"/>
    <w:rsid w:val="04DF6C0B"/>
    <w:rsid w:val="050D0377"/>
    <w:rsid w:val="05424A8A"/>
    <w:rsid w:val="05560765"/>
    <w:rsid w:val="058D51FF"/>
    <w:rsid w:val="06222B2B"/>
    <w:rsid w:val="06401D70"/>
    <w:rsid w:val="06586D46"/>
    <w:rsid w:val="065A4860"/>
    <w:rsid w:val="06662B98"/>
    <w:rsid w:val="067565EE"/>
    <w:rsid w:val="067716E0"/>
    <w:rsid w:val="06C060E1"/>
    <w:rsid w:val="06DE0B3E"/>
    <w:rsid w:val="06F301EC"/>
    <w:rsid w:val="06F61BCB"/>
    <w:rsid w:val="07012CA8"/>
    <w:rsid w:val="07014925"/>
    <w:rsid w:val="072D5374"/>
    <w:rsid w:val="073C28DF"/>
    <w:rsid w:val="073D47DD"/>
    <w:rsid w:val="07C178A3"/>
    <w:rsid w:val="07CA63EE"/>
    <w:rsid w:val="07D07530"/>
    <w:rsid w:val="08170519"/>
    <w:rsid w:val="08436556"/>
    <w:rsid w:val="0856616F"/>
    <w:rsid w:val="08622524"/>
    <w:rsid w:val="086A7EAD"/>
    <w:rsid w:val="08881A41"/>
    <w:rsid w:val="08E604A1"/>
    <w:rsid w:val="08EF03CC"/>
    <w:rsid w:val="092D6339"/>
    <w:rsid w:val="097A0CA3"/>
    <w:rsid w:val="099472E7"/>
    <w:rsid w:val="09DA2AA5"/>
    <w:rsid w:val="0A3E7253"/>
    <w:rsid w:val="0A570F00"/>
    <w:rsid w:val="0AD23979"/>
    <w:rsid w:val="0AE14729"/>
    <w:rsid w:val="0B4635B9"/>
    <w:rsid w:val="0B6C582B"/>
    <w:rsid w:val="0B735A1E"/>
    <w:rsid w:val="0B927CE4"/>
    <w:rsid w:val="0BB6664C"/>
    <w:rsid w:val="0BCC05A7"/>
    <w:rsid w:val="0C1D3D6A"/>
    <w:rsid w:val="0C525237"/>
    <w:rsid w:val="0C8959A0"/>
    <w:rsid w:val="0C9B591B"/>
    <w:rsid w:val="0CC024A2"/>
    <w:rsid w:val="0CDD02FC"/>
    <w:rsid w:val="0CE67E95"/>
    <w:rsid w:val="0D2C01B6"/>
    <w:rsid w:val="0D5973A7"/>
    <w:rsid w:val="0D703DA4"/>
    <w:rsid w:val="0D706869"/>
    <w:rsid w:val="0D7C06D5"/>
    <w:rsid w:val="0D7C2CF2"/>
    <w:rsid w:val="0DA24F7E"/>
    <w:rsid w:val="0DD643ED"/>
    <w:rsid w:val="0DF75868"/>
    <w:rsid w:val="0E1400AD"/>
    <w:rsid w:val="0E343D9E"/>
    <w:rsid w:val="0E9E33B0"/>
    <w:rsid w:val="0EF905AA"/>
    <w:rsid w:val="0F140AC0"/>
    <w:rsid w:val="0F14215B"/>
    <w:rsid w:val="0F276507"/>
    <w:rsid w:val="0F3C74C6"/>
    <w:rsid w:val="0F5372FC"/>
    <w:rsid w:val="0FA7589A"/>
    <w:rsid w:val="0FE06440"/>
    <w:rsid w:val="1049193F"/>
    <w:rsid w:val="10566744"/>
    <w:rsid w:val="10625CF9"/>
    <w:rsid w:val="10950DBA"/>
    <w:rsid w:val="10B52A92"/>
    <w:rsid w:val="10D40475"/>
    <w:rsid w:val="113051CE"/>
    <w:rsid w:val="114E5553"/>
    <w:rsid w:val="1193547A"/>
    <w:rsid w:val="1199679A"/>
    <w:rsid w:val="11B513B1"/>
    <w:rsid w:val="11C51460"/>
    <w:rsid w:val="120B3EBE"/>
    <w:rsid w:val="12105979"/>
    <w:rsid w:val="1211524D"/>
    <w:rsid w:val="12160F32"/>
    <w:rsid w:val="129C5FBF"/>
    <w:rsid w:val="12F11306"/>
    <w:rsid w:val="132A631E"/>
    <w:rsid w:val="13332723"/>
    <w:rsid w:val="13336BAF"/>
    <w:rsid w:val="134D7FF4"/>
    <w:rsid w:val="13A27094"/>
    <w:rsid w:val="13B42D72"/>
    <w:rsid w:val="13D06674"/>
    <w:rsid w:val="13D44D7F"/>
    <w:rsid w:val="14120FE1"/>
    <w:rsid w:val="142C48EB"/>
    <w:rsid w:val="143E1A74"/>
    <w:rsid w:val="143E5526"/>
    <w:rsid w:val="14703A03"/>
    <w:rsid w:val="1493153C"/>
    <w:rsid w:val="14B33F8F"/>
    <w:rsid w:val="14E37CA6"/>
    <w:rsid w:val="14F81E1D"/>
    <w:rsid w:val="15343BE6"/>
    <w:rsid w:val="15357338"/>
    <w:rsid w:val="153612FD"/>
    <w:rsid w:val="154136C6"/>
    <w:rsid w:val="15530DDD"/>
    <w:rsid w:val="1560223C"/>
    <w:rsid w:val="156F1B1C"/>
    <w:rsid w:val="16050D98"/>
    <w:rsid w:val="164D645C"/>
    <w:rsid w:val="167B52F3"/>
    <w:rsid w:val="16811A70"/>
    <w:rsid w:val="16D97F04"/>
    <w:rsid w:val="16DC79A8"/>
    <w:rsid w:val="16F4505A"/>
    <w:rsid w:val="17136C0E"/>
    <w:rsid w:val="172B529B"/>
    <w:rsid w:val="17383D5F"/>
    <w:rsid w:val="177D3D5F"/>
    <w:rsid w:val="17C573FD"/>
    <w:rsid w:val="18142FD5"/>
    <w:rsid w:val="18243F2C"/>
    <w:rsid w:val="18647115"/>
    <w:rsid w:val="187B711C"/>
    <w:rsid w:val="18B44DAA"/>
    <w:rsid w:val="18C44CD5"/>
    <w:rsid w:val="18D075C6"/>
    <w:rsid w:val="191D76ED"/>
    <w:rsid w:val="193D3C42"/>
    <w:rsid w:val="195864BB"/>
    <w:rsid w:val="19B05D52"/>
    <w:rsid w:val="19FC0A98"/>
    <w:rsid w:val="1A0D43A0"/>
    <w:rsid w:val="1A50150C"/>
    <w:rsid w:val="1A7F4EB5"/>
    <w:rsid w:val="1AE12836"/>
    <w:rsid w:val="1AE925F4"/>
    <w:rsid w:val="1B234950"/>
    <w:rsid w:val="1B2706B9"/>
    <w:rsid w:val="1B421E7E"/>
    <w:rsid w:val="1B64461F"/>
    <w:rsid w:val="1B6B7B31"/>
    <w:rsid w:val="1B9C202B"/>
    <w:rsid w:val="1B9C3AE1"/>
    <w:rsid w:val="1C0E12CD"/>
    <w:rsid w:val="1C314449"/>
    <w:rsid w:val="1C3C0819"/>
    <w:rsid w:val="1C5A6A79"/>
    <w:rsid w:val="1C603202"/>
    <w:rsid w:val="1C9A0200"/>
    <w:rsid w:val="1CCE5055"/>
    <w:rsid w:val="1CD529D6"/>
    <w:rsid w:val="1DEB6607"/>
    <w:rsid w:val="1DED007E"/>
    <w:rsid w:val="1DFB6F14"/>
    <w:rsid w:val="1E47773B"/>
    <w:rsid w:val="1E4B6E86"/>
    <w:rsid w:val="1E570356"/>
    <w:rsid w:val="1F0539AE"/>
    <w:rsid w:val="1F7A4784"/>
    <w:rsid w:val="1F7D50C8"/>
    <w:rsid w:val="1F893367"/>
    <w:rsid w:val="1FCB3375"/>
    <w:rsid w:val="1FE173B4"/>
    <w:rsid w:val="1FE72E58"/>
    <w:rsid w:val="200667A3"/>
    <w:rsid w:val="20173A7C"/>
    <w:rsid w:val="203A6B52"/>
    <w:rsid w:val="203B1607"/>
    <w:rsid w:val="20783813"/>
    <w:rsid w:val="20855784"/>
    <w:rsid w:val="20F25F2A"/>
    <w:rsid w:val="20F27184"/>
    <w:rsid w:val="212F5EEF"/>
    <w:rsid w:val="213A4AC2"/>
    <w:rsid w:val="218515E9"/>
    <w:rsid w:val="218738BE"/>
    <w:rsid w:val="21B21339"/>
    <w:rsid w:val="21BF20AD"/>
    <w:rsid w:val="21C43928"/>
    <w:rsid w:val="21F330F9"/>
    <w:rsid w:val="22235E02"/>
    <w:rsid w:val="228C2437"/>
    <w:rsid w:val="22AA70CA"/>
    <w:rsid w:val="23447230"/>
    <w:rsid w:val="23585C4E"/>
    <w:rsid w:val="236A7EFE"/>
    <w:rsid w:val="23765811"/>
    <w:rsid w:val="23805685"/>
    <w:rsid w:val="23880F1A"/>
    <w:rsid w:val="23A43F46"/>
    <w:rsid w:val="23BA6588"/>
    <w:rsid w:val="23DC635E"/>
    <w:rsid w:val="23DF7B59"/>
    <w:rsid w:val="248879F4"/>
    <w:rsid w:val="24A97FDF"/>
    <w:rsid w:val="24BC01CD"/>
    <w:rsid w:val="24C25CD7"/>
    <w:rsid w:val="24D73DEE"/>
    <w:rsid w:val="24D96D65"/>
    <w:rsid w:val="24E04C2E"/>
    <w:rsid w:val="25452366"/>
    <w:rsid w:val="256E5D87"/>
    <w:rsid w:val="258917A9"/>
    <w:rsid w:val="25A82154"/>
    <w:rsid w:val="25FC1269"/>
    <w:rsid w:val="2608337D"/>
    <w:rsid w:val="260C06F0"/>
    <w:rsid w:val="2620433E"/>
    <w:rsid w:val="266D2F42"/>
    <w:rsid w:val="269D5137"/>
    <w:rsid w:val="26BD3A0A"/>
    <w:rsid w:val="26BE70D6"/>
    <w:rsid w:val="26C301BC"/>
    <w:rsid w:val="26D424C1"/>
    <w:rsid w:val="26E81C8F"/>
    <w:rsid w:val="26F02D0C"/>
    <w:rsid w:val="26FD226B"/>
    <w:rsid w:val="27006B49"/>
    <w:rsid w:val="27367DFA"/>
    <w:rsid w:val="273C2CA3"/>
    <w:rsid w:val="277371F3"/>
    <w:rsid w:val="278E79B1"/>
    <w:rsid w:val="27C51152"/>
    <w:rsid w:val="284171EC"/>
    <w:rsid w:val="286B4689"/>
    <w:rsid w:val="289F2164"/>
    <w:rsid w:val="28B60026"/>
    <w:rsid w:val="28E215A0"/>
    <w:rsid w:val="29350CD3"/>
    <w:rsid w:val="29784CA5"/>
    <w:rsid w:val="29B76660"/>
    <w:rsid w:val="29B80C93"/>
    <w:rsid w:val="29BB20D2"/>
    <w:rsid w:val="29CF181E"/>
    <w:rsid w:val="29D44C7C"/>
    <w:rsid w:val="29F33C34"/>
    <w:rsid w:val="2A380298"/>
    <w:rsid w:val="2A7B46E1"/>
    <w:rsid w:val="2A886FA9"/>
    <w:rsid w:val="2AB4113F"/>
    <w:rsid w:val="2AC64A60"/>
    <w:rsid w:val="2B732DA8"/>
    <w:rsid w:val="2C085CD5"/>
    <w:rsid w:val="2C5033C5"/>
    <w:rsid w:val="2C5C6A3E"/>
    <w:rsid w:val="2C757BAF"/>
    <w:rsid w:val="2C8606C5"/>
    <w:rsid w:val="2C8C2E69"/>
    <w:rsid w:val="2C974E3D"/>
    <w:rsid w:val="2C977814"/>
    <w:rsid w:val="2CA52702"/>
    <w:rsid w:val="2D07338F"/>
    <w:rsid w:val="2DB93477"/>
    <w:rsid w:val="2DBE6BC2"/>
    <w:rsid w:val="2DF65048"/>
    <w:rsid w:val="2E165B2D"/>
    <w:rsid w:val="2E536EC1"/>
    <w:rsid w:val="2E9C69DA"/>
    <w:rsid w:val="2EE84ED3"/>
    <w:rsid w:val="2F047E61"/>
    <w:rsid w:val="2F062134"/>
    <w:rsid w:val="2F115A52"/>
    <w:rsid w:val="2F21289E"/>
    <w:rsid w:val="2F6668E0"/>
    <w:rsid w:val="2F8507EF"/>
    <w:rsid w:val="2F912F13"/>
    <w:rsid w:val="2FFE7267"/>
    <w:rsid w:val="30315A18"/>
    <w:rsid w:val="308C4C8C"/>
    <w:rsid w:val="30A14448"/>
    <w:rsid w:val="30CB5726"/>
    <w:rsid w:val="30CD0051"/>
    <w:rsid w:val="310A717F"/>
    <w:rsid w:val="31121DE6"/>
    <w:rsid w:val="31793EC1"/>
    <w:rsid w:val="31F242FB"/>
    <w:rsid w:val="31F82192"/>
    <w:rsid w:val="32025E0E"/>
    <w:rsid w:val="32031EA3"/>
    <w:rsid w:val="321C166B"/>
    <w:rsid w:val="32805979"/>
    <w:rsid w:val="32892EB1"/>
    <w:rsid w:val="32E66065"/>
    <w:rsid w:val="331160AA"/>
    <w:rsid w:val="33436432"/>
    <w:rsid w:val="335D23DB"/>
    <w:rsid w:val="33952FEB"/>
    <w:rsid w:val="33A34B5F"/>
    <w:rsid w:val="33A764C0"/>
    <w:rsid w:val="33AE0918"/>
    <w:rsid w:val="33B45D0C"/>
    <w:rsid w:val="34054358"/>
    <w:rsid w:val="3417608E"/>
    <w:rsid w:val="34287B19"/>
    <w:rsid w:val="342E7F12"/>
    <w:rsid w:val="343E7569"/>
    <w:rsid w:val="34496D65"/>
    <w:rsid w:val="345459E1"/>
    <w:rsid w:val="346976B5"/>
    <w:rsid w:val="346B7F37"/>
    <w:rsid w:val="34A94CBA"/>
    <w:rsid w:val="34B92F28"/>
    <w:rsid w:val="34CA47BA"/>
    <w:rsid w:val="35031EB5"/>
    <w:rsid w:val="35DE49C0"/>
    <w:rsid w:val="35FA7EA7"/>
    <w:rsid w:val="362C4BCC"/>
    <w:rsid w:val="363B291C"/>
    <w:rsid w:val="363E1F63"/>
    <w:rsid w:val="364C66D0"/>
    <w:rsid w:val="369D7784"/>
    <w:rsid w:val="36A4650C"/>
    <w:rsid w:val="37206D7C"/>
    <w:rsid w:val="375B421F"/>
    <w:rsid w:val="37905AF3"/>
    <w:rsid w:val="37A34800"/>
    <w:rsid w:val="37E02280"/>
    <w:rsid w:val="38026202"/>
    <w:rsid w:val="383B1C65"/>
    <w:rsid w:val="38764896"/>
    <w:rsid w:val="388A1731"/>
    <w:rsid w:val="388D632D"/>
    <w:rsid w:val="38962C73"/>
    <w:rsid w:val="38C05FA5"/>
    <w:rsid w:val="38CD3EED"/>
    <w:rsid w:val="38DF1F43"/>
    <w:rsid w:val="390339EB"/>
    <w:rsid w:val="39D66640"/>
    <w:rsid w:val="3A3453FF"/>
    <w:rsid w:val="3A5C0A17"/>
    <w:rsid w:val="3A8248E0"/>
    <w:rsid w:val="3AF76DD0"/>
    <w:rsid w:val="3B1D07BC"/>
    <w:rsid w:val="3B245E6D"/>
    <w:rsid w:val="3B447872"/>
    <w:rsid w:val="3B474B41"/>
    <w:rsid w:val="3B8D4322"/>
    <w:rsid w:val="3B9508B7"/>
    <w:rsid w:val="3BCE13F3"/>
    <w:rsid w:val="3BD2350C"/>
    <w:rsid w:val="3C071D01"/>
    <w:rsid w:val="3C463454"/>
    <w:rsid w:val="3CAB5742"/>
    <w:rsid w:val="3CDF1FAA"/>
    <w:rsid w:val="3CFC0EF8"/>
    <w:rsid w:val="3D1026F3"/>
    <w:rsid w:val="3DB561A7"/>
    <w:rsid w:val="3E4157CD"/>
    <w:rsid w:val="3E5049D6"/>
    <w:rsid w:val="3E6E32B4"/>
    <w:rsid w:val="3E6F122B"/>
    <w:rsid w:val="3E747214"/>
    <w:rsid w:val="3E7865FD"/>
    <w:rsid w:val="3E7F0D7D"/>
    <w:rsid w:val="3E880E32"/>
    <w:rsid w:val="3EC65777"/>
    <w:rsid w:val="3EE871B2"/>
    <w:rsid w:val="3EFF7B42"/>
    <w:rsid w:val="3F005B2D"/>
    <w:rsid w:val="3F24659E"/>
    <w:rsid w:val="3F2E2C76"/>
    <w:rsid w:val="3F3B5C85"/>
    <w:rsid w:val="3F3E0088"/>
    <w:rsid w:val="3F6E51CB"/>
    <w:rsid w:val="3FFD6C8D"/>
    <w:rsid w:val="40006CAB"/>
    <w:rsid w:val="40085D42"/>
    <w:rsid w:val="402E562B"/>
    <w:rsid w:val="4046343E"/>
    <w:rsid w:val="40463EAA"/>
    <w:rsid w:val="405007A0"/>
    <w:rsid w:val="4061544C"/>
    <w:rsid w:val="40710710"/>
    <w:rsid w:val="40754A75"/>
    <w:rsid w:val="40F61FC7"/>
    <w:rsid w:val="40FA4ADB"/>
    <w:rsid w:val="41055DF9"/>
    <w:rsid w:val="410A06F9"/>
    <w:rsid w:val="4125037B"/>
    <w:rsid w:val="413357D7"/>
    <w:rsid w:val="41447D45"/>
    <w:rsid w:val="41977304"/>
    <w:rsid w:val="41CD393D"/>
    <w:rsid w:val="41F949FB"/>
    <w:rsid w:val="421630C6"/>
    <w:rsid w:val="422B5E31"/>
    <w:rsid w:val="4252595A"/>
    <w:rsid w:val="43826A74"/>
    <w:rsid w:val="4389139C"/>
    <w:rsid w:val="43B22635"/>
    <w:rsid w:val="43DC59FD"/>
    <w:rsid w:val="43FB14AB"/>
    <w:rsid w:val="44016A8B"/>
    <w:rsid w:val="441B763D"/>
    <w:rsid w:val="443F0A8A"/>
    <w:rsid w:val="44483F56"/>
    <w:rsid w:val="444C0E2A"/>
    <w:rsid w:val="44703E7E"/>
    <w:rsid w:val="44867A3B"/>
    <w:rsid w:val="44FD5F6B"/>
    <w:rsid w:val="450C3B52"/>
    <w:rsid w:val="450F1ADE"/>
    <w:rsid w:val="45103FCB"/>
    <w:rsid w:val="4512666F"/>
    <w:rsid w:val="45852FD0"/>
    <w:rsid w:val="458E7F08"/>
    <w:rsid w:val="45A1630C"/>
    <w:rsid w:val="45B242B5"/>
    <w:rsid w:val="45E33D03"/>
    <w:rsid w:val="46751144"/>
    <w:rsid w:val="467B610B"/>
    <w:rsid w:val="46D17A2C"/>
    <w:rsid w:val="470109B9"/>
    <w:rsid w:val="47067546"/>
    <w:rsid w:val="474801E9"/>
    <w:rsid w:val="477232C8"/>
    <w:rsid w:val="478C46CC"/>
    <w:rsid w:val="47AF67A7"/>
    <w:rsid w:val="47B339B4"/>
    <w:rsid w:val="47CB1091"/>
    <w:rsid w:val="48035F02"/>
    <w:rsid w:val="4860434A"/>
    <w:rsid w:val="48B602D6"/>
    <w:rsid w:val="48D908C8"/>
    <w:rsid w:val="490010A1"/>
    <w:rsid w:val="493537CF"/>
    <w:rsid w:val="493F2E3C"/>
    <w:rsid w:val="49460D45"/>
    <w:rsid w:val="4A0155CC"/>
    <w:rsid w:val="4A74195A"/>
    <w:rsid w:val="4A7A3D76"/>
    <w:rsid w:val="4A8B6AB4"/>
    <w:rsid w:val="4A9F3033"/>
    <w:rsid w:val="4AAE190E"/>
    <w:rsid w:val="4AE70AB8"/>
    <w:rsid w:val="4B7E595B"/>
    <w:rsid w:val="4BB07602"/>
    <w:rsid w:val="4BF32BD8"/>
    <w:rsid w:val="4C421049"/>
    <w:rsid w:val="4C5411D7"/>
    <w:rsid w:val="4C546F81"/>
    <w:rsid w:val="4C564361"/>
    <w:rsid w:val="4C5904F7"/>
    <w:rsid w:val="4C99363E"/>
    <w:rsid w:val="4C9C4F4D"/>
    <w:rsid w:val="4CB46925"/>
    <w:rsid w:val="4CB96723"/>
    <w:rsid w:val="4CE4471C"/>
    <w:rsid w:val="4D826A23"/>
    <w:rsid w:val="4D8C30FA"/>
    <w:rsid w:val="4D960495"/>
    <w:rsid w:val="4DB52955"/>
    <w:rsid w:val="4E1A2AF8"/>
    <w:rsid w:val="4E261AA5"/>
    <w:rsid w:val="4E326A13"/>
    <w:rsid w:val="4E3E44C6"/>
    <w:rsid w:val="4E944C60"/>
    <w:rsid w:val="4E9D6C5F"/>
    <w:rsid w:val="4ED065C7"/>
    <w:rsid w:val="4ED60D0E"/>
    <w:rsid w:val="4EE43CC2"/>
    <w:rsid w:val="4F5E0911"/>
    <w:rsid w:val="4F6C7D95"/>
    <w:rsid w:val="4F7B7863"/>
    <w:rsid w:val="4FBC77EB"/>
    <w:rsid w:val="4FBD4AFA"/>
    <w:rsid w:val="50206576"/>
    <w:rsid w:val="50303A7C"/>
    <w:rsid w:val="50453781"/>
    <w:rsid w:val="50A26FF3"/>
    <w:rsid w:val="50E25E91"/>
    <w:rsid w:val="513D210E"/>
    <w:rsid w:val="51525315"/>
    <w:rsid w:val="51577709"/>
    <w:rsid w:val="515C17D5"/>
    <w:rsid w:val="519223A8"/>
    <w:rsid w:val="51B45CF8"/>
    <w:rsid w:val="51CB5559"/>
    <w:rsid w:val="520F3713"/>
    <w:rsid w:val="52B15B08"/>
    <w:rsid w:val="52CF7054"/>
    <w:rsid w:val="52EA6EF6"/>
    <w:rsid w:val="52FD6971"/>
    <w:rsid w:val="53223E56"/>
    <w:rsid w:val="53275AB8"/>
    <w:rsid w:val="537D5DC6"/>
    <w:rsid w:val="5388089F"/>
    <w:rsid w:val="53B05A8D"/>
    <w:rsid w:val="53B54B10"/>
    <w:rsid w:val="53D745FA"/>
    <w:rsid w:val="53DF7707"/>
    <w:rsid w:val="53E40714"/>
    <w:rsid w:val="53FD29C3"/>
    <w:rsid w:val="54063F0A"/>
    <w:rsid w:val="541F5ED8"/>
    <w:rsid w:val="54436A24"/>
    <w:rsid w:val="54467244"/>
    <w:rsid w:val="54511C79"/>
    <w:rsid w:val="54520573"/>
    <w:rsid w:val="547D34B8"/>
    <w:rsid w:val="548D7C01"/>
    <w:rsid w:val="54942775"/>
    <w:rsid w:val="549C23F0"/>
    <w:rsid w:val="54B8713B"/>
    <w:rsid w:val="55132799"/>
    <w:rsid w:val="55881A6F"/>
    <w:rsid w:val="55A768F4"/>
    <w:rsid w:val="55B62452"/>
    <w:rsid w:val="55FE78A0"/>
    <w:rsid w:val="56253786"/>
    <w:rsid w:val="562D3283"/>
    <w:rsid w:val="566C0CF7"/>
    <w:rsid w:val="569156EC"/>
    <w:rsid w:val="56CE2C6C"/>
    <w:rsid w:val="56E95104"/>
    <w:rsid w:val="571924B2"/>
    <w:rsid w:val="572109E0"/>
    <w:rsid w:val="5747400E"/>
    <w:rsid w:val="575751FD"/>
    <w:rsid w:val="578A3F51"/>
    <w:rsid w:val="57CC6BA1"/>
    <w:rsid w:val="57CE3E29"/>
    <w:rsid w:val="581B6FA6"/>
    <w:rsid w:val="58F37117"/>
    <w:rsid w:val="594D3747"/>
    <w:rsid w:val="596F52DD"/>
    <w:rsid w:val="59736E3F"/>
    <w:rsid w:val="59783883"/>
    <w:rsid w:val="59BE14BB"/>
    <w:rsid w:val="59E91E58"/>
    <w:rsid w:val="5A0207F8"/>
    <w:rsid w:val="5A0F7C73"/>
    <w:rsid w:val="5A100CE1"/>
    <w:rsid w:val="5A1256F7"/>
    <w:rsid w:val="5A132397"/>
    <w:rsid w:val="5A2E42CD"/>
    <w:rsid w:val="5A7F37F9"/>
    <w:rsid w:val="5A837878"/>
    <w:rsid w:val="5A9E7D61"/>
    <w:rsid w:val="5AB5421F"/>
    <w:rsid w:val="5B0C31BE"/>
    <w:rsid w:val="5B767297"/>
    <w:rsid w:val="5B887615"/>
    <w:rsid w:val="5B8F6EDB"/>
    <w:rsid w:val="5BBC41DB"/>
    <w:rsid w:val="5BFF2AD9"/>
    <w:rsid w:val="5C016066"/>
    <w:rsid w:val="5C044AD5"/>
    <w:rsid w:val="5C1138CE"/>
    <w:rsid w:val="5C1459ED"/>
    <w:rsid w:val="5C41460B"/>
    <w:rsid w:val="5C57182F"/>
    <w:rsid w:val="5C573E22"/>
    <w:rsid w:val="5C73505B"/>
    <w:rsid w:val="5C890F37"/>
    <w:rsid w:val="5CBE1F4B"/>
    <w:rsid w:val="5CE65356"/>
    <w:rsid w:val="5CF72BB2"/>
    <w:rsid w:val="5D041203"/>
    <w:rsid w:val="5D27565F"/>
    <w:rsid w:val="5D6A538C"/>
    <w:rsid w:val="5D8627AD"/>
    <w:rsid w:val="5DAA0B93"/>
    <w:rsid w:val="5DCE0E18"/>
    <w:rsid w:val="5E2A4BFC"/>
    <w:rsid w:val="5EAC236D"/>
    <w:rsid w:val="5EDB0D8B"/>
    <w:rsid w:val="5F3732A8"/>
    <w:rsid w:val="5FCC33D8"/>
    <w:rsid w:val="60033350"/>
    <w:rsid w:val="602266C7"/>
    <w:rsid w:val="603B7C36"/>
    <w:rsid w:val="60534AA3"/>
    <w:rsid w:val="60680187"/>
    <w:rsid w:val="60832CD9"/>
    <w:rsid w:val="60B6369A"/>
    <w:rsid w:val="60CB1B4D"/>
    <w:rsid w:val="60D86C2E"/>
    <w:rsid w:val="60DC42D6"/>
    <w:rsid w:val="61217D14"/>
    <w:rsid w:val="61291238"/>
    <w:rsid w:val="613172F2"/>
    <w:rsid w:val="6142313B"/>
    <w:rsid w:val="614D3BC8"/>
    <w:rsid w:val="618F1CE4"/>
    <w:rsid w:val="61B9511D"/>
    <w:rsid w:val="61CE240F"/>
    <w:rsid w:val="61D23BCD"/>
    <w:rsid w:val="62302D5E"/>
    <w:rsid w:val="62A43EEF"/>
    <w:rsid w:val="63277530"/>
    <w:rsid w:val="6352384A"/>
    <w:rsid w:val="64340981"/>
    <w:rsid w:val="644B1C20"/>
    <w:rsid w:val="6471055F"/>
    <w:rsid w:val="64AE7D1C"/>
    <w:rsid w:val="64B97E4E"/>
    <w:rsid w:val="64C303D9"/>
    <w:rsid w:val="64FE478A"/>
    <w:rsid w:val="652B7127"/>
    <w:rsid w:val="656B579F"/>
    <w:rsid w:val="656E592B"/>
    <w:rsid w:val="65A165E9"/>
    <w:rsid w:val="65C14A06"/>
    <w:rsid w:val="65C15488"/>
    <w:rsid w:val="660D76B4"/>
    <w:rsid w:val="66462745"/>
    <w:rsid w:val="667136F9"/>
    <w:rsid w:val="66841ED9"/>
    <w:rsid w:val="66B24A2C"/>
    <w:rsid w:val="67024FEA"/>
    <w:rsid w:val="671073D1"/>
    <w:rsid w:val="678E06CE"/>
    <w:rsid w:val="679A602D"/>
    <w:rsid w:val="67E028BC"/>
    <w:rsid w:val="683C5CF5"/>
    <w:rsid w:val="68537B47"/>
    <w:rsid w:val="68620DC9"/>
    <w:rsid w:val="689B6EBF"/>
    <w:rsid w:val="68A9552D"/>
    <w:rsid w:val="68C330AE"/>
    <w:rsid w:val="68D52CCF"/>
    <w:rsid w:val="68E45DE3"/>
    <w:rsid w:val="691D1344"/>
    <w:rsid w:val="6934149F"/>
    <w:rsid w:val="6958671E"/>
    <w:rsid w:val="6A281A45"/>
    <w:rsid w:val="6A3B618C"/>
    <w:rsid w:val="6AA103CB"/>
    <w:rsid w:val="6AA75408"/>
    <w:rsid w:val="6AE30A31"/>
    <w:rsid w:val="6B182CCA"/>
    <w:rsid w:val="6B2560EF"/>
    <w:rsid w:val="6B4D19C5"/>
    <w:rsid w:val="6B5F2BF8"/>
    <w:rsid w:val="6B685053"/>
    <w:rsid w:val="6B715200"/>
    <w:rsid w:val="6B725E67"/>
    <w:rsid w:val="6B737395"/>
    <w:rsid w:val="6BA20565"/>
    <w:rsid w:val="6BD55D0B"/>
    <w:rsid w:val="6BD83CC4"/>
    <w:rsid w:val="6BDC47ED"/>
    <w:rsid w:val="6BF1112B"/>
    <w:rsid w:val="6BF76F4D"/>
    <w:rsid w:val="6C0A4626"/>
    <w:rsid w:val="6C1B3303"/>
    <w:rsid w:val="6C1B55BA"/>
    <w:rsid w:val="6C3E28BF"/>
    <w:rsid w:val="6C3F33CD"/>
    <w:rsid w:val="6C7A7040"/>
    <w:rsid w:val="6C8132A9"/>
    <w:rsid w:val="6C9E6020"/>
    <w:rsid w:val="6CAA4D6A"/>
    <w:rsid w:val="6CC70826"/>
    <w:rsid w:val="6CD77821"/>
    <w:rsid w:val="6D0A6DBB"/>
    <w:rsid w:val="6D40311C"/>
    <w:rsid w:val="6DB167DD"/>
    <w:rsid w:val="6DB43590"/>
    <w:rsid w:val="6DB84EBA"/>
    <w:rsid w:val="6E2D7393"/>
    <w:rsid w:val="6E6E6F1D"/>
    <w:rsid w:val="6E9543B1"/>
    <w:rsid w:val="6E985F27"/>
    <w:rsid w:val="6EA63453"/>
    <w:rsid w:val="6EC425A0"/>
    <w:rsid w:val="6F1C4DB2"/>
    <w:rsid w:val="6F293DA9"/>
    <w:rsid w:val="6F6A53B1"/>
    <w:rsid w:val="6FC83C68"/>
    <w:rsid w:val="6FCE226C"/>
    <w:rsid w:val="6FF67EDB"/>
    <w:rsid w:val="6FF82CD2"/>
    <w:rsid w:val="704F233D"/>
    <w:rsid w:val="706747BD"/>
    <w:rsid w:val="707165D4"/>
    <w:rsid w:val="70A93F9B"/>
    <w:rsid w:val="70BF5715"/>
    <w:rsid w:val="70BF78D7"/>
    <w:rsid w:val="70E95E6A"/>
    <w:rsid w:val="712F11E7"/>
    <w:rsid w:val="71603DC0"/>
    <w:rsid w:val="71790E9D"/>
    <w:rsid w:val="717A6C89"/>
    <w:rsid w:val="71AC1A5C"/>
    <w:rsid w:val="71CD17F6"/>
    <w:rsid w:val="71D4229F"/>
    <w:rsid w:val="72084E9A"/>
    <w:rsid w:val="72117E7E"/>
    <w:rsid w:val="723B41CF"/>
    <w:rsid w:val="728971FB"/>
    <w:rsid w:val="72D06024"/>
    <w:rsid w:val="732D5122"/>
    <w:rsid w:val="733878DA"/>
    <w:rsid w:val="734779C2"/>
    <w:rsid w:val="7372294D"/>
    <w:rsid w:val="73BF73C1"/>
    <w:rsid w:val="73C23920"/>
    <w:rsid w:val="73F201AA"/>
    <w:rsid w:val="73F56F27"/>
    <w:rsid w:val="745E33A9"/>
    <w:rsid w:val="74802249"/>
    <w:rsid w:val="74EB4810"/>
    <w:rsid w:val="75155729"/>
    <w:rsid w:val="75266207"/>
    <w:rsid w:val="75763149"/>
    <w:rsid w:val="75F5233E"/>
    <w:rsid w:val="765D19FC"/>
    <w:rsid w:val="769B14BB"/>
    <w:rsid w:val="76A11828"/>
    <w:rsid w:val="76AA596C"/>
    <w:rsid w:val="76CF0956"/>
    <w:rsid w:val="76DF2EC8"/>
    <w:rsid w:val="76EB0D54"/>
    <w:rsid w:val="77045F8B"/>
    <w:rsid w:val="771C6744"/>
    <w:rsid w:val="7771110B"/>
    <w:rsid w:val="77782D28"/>
    <w:rsid w:val="779F41DA"/>
    <w:rsid w:val="77C20123"/>
    <w:rsid w:val="77F538F8"/>
    <w:rsid w:val="788A3DEB"/>
    <w:rsid w:val="78D6469A"/>
    <w:rsid w:val="78D82626"/>
    <w:rsid w:val="79111AC7"/>
    <w:rsid w:val="794E098B"/>
    <w:rsid w:val="799E36F7"/>
    <w:rsid w:val="79F3334C"/>
    <w:rsid w:val="7A074A95"/>
    <w:rsid w:val="7A150EF7"/>
    <w:rsid w:val="7A2E1812"/>
    <w:rsid w:val="7A3251AA"/>
    <w:rsid w:val="7A7029D6"/>
    <w:rsid w:val="7A751437"/>
    <w:rsid w:val="7AB2209C"/>
    <w:rsid w:val="7ACB6E73"/>
    <w:rsid w:val="7B033D7C"/>
    <w:rsid w:val="7B233171"/>
    <w:rsid w:val="7B3943CF"/>
    <w:rsid w:val="7B634CE1"/>
    <w:rsid w:val="7B9C2512"/>
    <w:rsid w:val="7BFB110F"/>
    <w:rsid w:val="7C0443D6"/>
    <w:rsid w:val="7C09409A"/>
    <w:rsid w:val="7C287D7E"/>
    <w:rsid w:val="7C3825FA"/>
    <w:rsid w:val="7D4B33BB"/>
    <w:rsid w:val="7D7C4CEA"/>
    <w:rsid w:val="7D866779"/>
    <w:rsid w:val="7D9F3F02"/>
    <w:rsid w:val="7DB639FC"/>
    <w:rsid w:val="7E5F0EE8"/>
    <w:rsid w:val="7E7506DB"/>
    <w:rsid w:val="7E851F96"/>
    <w:rsid w:val="7EAB0E13"/>
    <w:rsid w:val="7EB2667C"/>
    <w:rsid w:val="7EC854AC"/>
    <w:rsid w:val="7EF90802"/>
    <w:rsid w:val="7F191C23"/>
    <w:rsid w:val="7F961180"/>
    <w:rsid w:val="7FD25BD3"/>
    <w:rsid w:val="7FDC49A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qFormat="1" w:unhideWhenUsed="0"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jc w:val="both"/>
    </w:pPr>
    <w:rPr>
      <w:rFonts w:ascii="仿宋" w:hAnsi="仿宋" w:eastAsia="仿宋" w:cs="Times New Roman"/>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
      <w:bCs/>
      <w:kern w:val="44"/>
      <w:szCs w:val="44"/>
    </w:rPr>
  </w:style>
  <w:style w:type="paragraph" w:styleId="2">
    <w:name w:val="heading 2"/>
    <w:basedOn w:val="1"/>
    <w:next w:val="1"/>
    <w:unhideWhenUsed/>
    <w:qFormat/>
    <w:uiPriority w:val="0"/>
    <w:pPr>
      <w:keepNext/>
      <w:keepLines/>
      <w:outlineLvl w:val="1"/>
    </w:pPr>
    <w:rPr>
      <w:rFonts w:ascii="Arial" w:hAnsi="Arial" w:eastAsia="楷体"/>
      <w:b/>
      <w:sz w:val="32"/>
    </w:rPr>
  </w:style>
  <w:style w:type="paragraph" w:styleId="4">
    <w:name w:val="heading 3"/>
    <w:basedOn w:val="1"/>
    <w:next w:val="1"/>
    <w:qFormat/>
    <w:uiPriority w:val="0"/>
    <w:pPr>
      <w:keepNext/>
      <w:keepLines/>
      <w:outlineLvl w:val="2"/>
    </w:pPr>
    <w:rPr>
      <w:rFonts w:ascii="仿宋_GB2312" w:hAnsi="仿宋_GB2312" w:eastAsia="仿宋_GB2312"/>
      <w:b/>
      <w:bCs/>
      <w:szCs w:val="32"/>
    </w:rPr>
  </w:style>
  <w:style w:type="character" w:default="1" w:styleId="12">
    <w:name w:val="Default Paragraph Font"/>
    <w:unhideWhenUsed/>
    <w:qFormat/>
    <w:uiPriority w:val="1"/>
  </w:style>
  <w:style w:type="table" w:default="1" w:styleId="11">
    <w:name w:val="Normal Table"/>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99"/>
    <w:pPr>
      <w:spacing w:after="120"/>
    </w:pPr>
    <w:rPr>
      <w:rFonts w:ascii="Times New Roman" w:hAnsi="Times New Roman" w:eastAsia="宋体"/>
    </w:rPr>
  </w:style>
  <w:style w:type="paragraph" w:styleId="7">
    <w:name w:val="footer"/>
    <w:basedOn w:val="1"/>
    <w:link w:val="21"/>
    <w:qFormat/>
    <w:uiPriority w:val="99"/>
    <w:pPr>
      <w:tabs>
        <w:tab w:val="center" w:pos="4153"/>
        <w:tab w:val="right" w:pos="8306"/>
      </w:tabs>
      <w:snapToGrid w:val="0"/>
      <w:jc w:val="left"/>
    </w:pPr>
    <w:rPr>
      <w:rFonts w:ascii="Times New Roman" w:hAnsi="Times New Roman"/>
      <w:sz w:val="18"/>
    </w:rPr>
  </w:style>
  <w:style w:type="paragraph" w:styleId="8">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99"/>
    <w:pPr>
      <w:spacing w:before="100" w:beforeAutospacing="1" w:after="100" w:afterAutospacing="1"/>
      <w:jc w:val="left"/>
    </w:pPr>
    <w:rPr>
      <w:sz w:val="24"/>
    </w:rPr>
  </w:style>
  <w:style w:type="paragraph" w:styleId="10">
    <w:name w:val="Body Text First Indent"/>
    <w:qFormat/>
    <w:uiPriority w:val="0"/>
    <w:pPr>
      <w:spacing w:after="0" w:afterLines="0"/>
      <w:ind w:firstLine="200" w:firstLineChars="200"/>
    </w:pPr>
    <w:rPr>
      <w:rFonts w:ascii="Times New Roman" w:hAnsi="Times New Roman" w:eastAsia="宋体" w:cs="Times New Roman"/>
      <w:sz w:val="21"/>
      <w:szCs w:val="22"/>
    </w:rPr>
  </w:style>
  <w:style w:type="character" w:styleId="13">
    <w:name w:val="Strong"/>
    <w:basedOn w:val="12"/>
    <w:qFormat/>
    <w:uiPriority w:val="0"/>
    <w:rPr>
      <w:b/>
      <w:bCs/>
    </w:rPr>
  </w:style>
  <w:style w:type="paragraph" w:customStyle="1" w:styleId="14">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paragraph" w:customStyle="1" w:styleId="15">
    <w:name w:val="List Paragraph"/>
    <w:basedOn w:val="1"/>
    <w:unhideWhenUsed/>
    <w:qFormat/>
    <w:uiPriority w:val="99"/>
    <w:pPr>
      <w:ind w:firstLine="420"/>
    </w:pPr>
  </w:style>
  <w:style w:type="paragraph" w:customStyle="1" w:styleId="16">
    <w:name w:val="样式1"/>
    <w:basedOn w:val="1"/>
    <w:link w:val="18"/>
    <w:qFormat/>
    <w:uiPriority w:val="0"/>
    <w:pPr>
      <w:ind w:firstLine="560"/>
    </w:pPr>
  </w:style>
  <w:style w:type="paragraph" w:customStyle="1" w:styleId="17">
    <w:name w:val="样式2"/>
    <w:basedOn w:val="8"/>
    <w:link w:val="20"/>
    <w:qFormat/>
    <w:uiPriority w:val="0"/>
    <w:pPr>
      <w:pBdr>
        <w:bottom w:val="none" w:color="auto" w:sz="0" w:space="0"/>
      </w:pBdr>
      <w:ind w:firstLine="360"/>
    </w:pPr>
  </w:style>
  <w:style w:type="character" w:customStyle="1" w:styleId="18">
    <w:name w:val="样式1 Char"/>
    <w:basedOn w:val="12"/>
    <w:link w:val="16"/>
    <w:qFormat/>
    <w:uiPriority w:val="0"/>
    <w:rPr>
      <w:rFonts w:ascii="仿宋" w:hAnsi="仿宋" w:eastAsia="仿宋"/>
      <w:kern w:val="2"/>
      <w:sz w:val="28"/>
      <w:szCs w:val="24"/>
    </w:rPr>
  </w:style>
  <w:style w:type="character" w:customStyle="1" w:styleId="19">
    <w:name w:val="页眉 字符"/>
    <w:basedOn w:val="12"/>
    <w:link w:val="8"/>
    <w:qFormat/>
    <w:uiPriority w:val="99"/>
    <w:rPr>
      <w:rFonts w:ascii="仿宋" w:hAnsi="仿宋" w:eastAsia="仿宋"/>
      <w:kern w:val="2"/>
      <w:sz w:val="18"/>
      <w:szCs w:val="18"/>
    </w:rPr>
  </w:style>
  <w:style w:type="character" w:customStyle="1" w:styleId="20">
    <w:name w:val="样式2 Char"/>
    <w:basedOn w:val="19"/>
    <w:link w:val="17"/>
    <w:qFormat/>
    <w:uiPriority w:val="0"/>
    <w:rPr>
      <w:rFonts w:ascii="仿宋" w:hAnsi="仿宋" w:eastAsia="仿宋"/>
      <w:kern w:val="2"/>
      <w:sz w:val="18"/>
      <w:szCs w:val="18"/>
    </w:rPr>
  </w:style>
  <w:style w:type="character" w:customStyle="1" w:styleId="21">
    <w:name w:val="页脚 字符"/>
    <w:basedOn w:val="12"/>
    <w:link w:val="7"/>
    <w:qFormat/>
    <w:uiPriority w:val="99"/>
    <w:rPr>
      <w:rFonts w:eastAsia="仿宋"/>
      <w:kern w:val="2"/>
      <w:sz w:val="18"/>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20</Pages>
  <Words>7718</Words>
  <Characters>8680</Characters>
  <Lines>47</Lines>
  <Paragraphs>13</Paragraphs>
  <TotalTime>7</TotalTime>
  <ScaleCrop>false</ScaleCrop>
  <LinksUpToDate>false</LinksUpToDate>
  <CharactersWithSpaces>8703</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2023-02-22T04:41:13Z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66CBBD1055D6461B88FE67D3673BC3C5</vt:lpwstr>
  </property>
</Properties>
</file>