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昌吉市交通运输局</w:t>
      </w:r>
      <w:r>
        <w:rPr>
          <w:rFonts w:hint="eastAsia" w:ascii="方正小标宋_GBK" w:hAnsi="华文中宋" w:eastAsia="方正小标宋_GBK" w:cs="宋体"/>
          <w:kern w:val="0"/>
          <w:sz w:val="48"/>
          <w:szCs w:val="48"/>
        </w:rPr>
        <w:t>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eastAsia"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昌吉市交通运输局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21</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pacing w:line="540" w:lineRule="exact"/>
        <w:ind w:firstLine="640" w:firstLineChars="200"/>
        <w:rPr>
          <w:rFonts w:ascii="仿宋" w:hAnsi="仿宋" w:eastAsia="仿宋" w:cs="仿宋"/>
          <w:color w:val="000000"/>
          <w:sz w:val="32"/>
          <w:szCs w:val="32"/>
        </w:rPr>
      </w:pPr>
      <w:r>
        <w:rPr>
          <w:rFonts w:hint="eastAsia" w:ascii="仿宋_GB2312" w:eastAsia="仿宋_GB2312"/>
          <w:sz w:val="32"/>
          <w:szCs w:val="32"/>
        </w:rPr>
        <w:t>昌吉市交通运输局无下属预算单位，下设3个科室</w:t>
      </w:r>
      <w:r>
        <w:rPr>
          <w:rFonts w:hint="eastAsia" w:ascii="仿宋_GB2312" w:eastAsia="仿宋_GB2312"/>
          <w:sz w:val="32"/>
          <w:szCs w:val="32"/>
          <w:lang w:val="en-US" w:eastAsia="zh-CN"/>
        </w:rPr>
        <w:t>及1个大队</w:t>
      </w:r>
      <w:r>
        <w:rPr>
          <w:rFonts w:hint="eastAsia" w:ascii="仿宋_GB2312" w:eastAsia="仿宋_GB2312"/>
          <w:sz w:val="32"/>
          <w:szCs w:val="32"/>
        </w:rPr>
        <w:t>，分别是：</w:t>
      </w:r>
      <w:r>
        <w:rPr>
          <w:rFonts w:hint="eastAsia" w:ascii="仿宋" w:hAnsi="仿宋" w:eastAsia="仿宋" w:cs="仿宋"/>
          <w:color w:val="000000"/>
          <w:sz w:val="32"/>
          <w:szCs w:val="32"/>
        </w:rPr>
        <w:t>党政办公室、综合业务科、运输管理科（昌吉市国防动员委员会交通战备办公室）</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交通运输综合行政执法大队</w:t>
      </w:r>
      <w:r>
        <w:rPr>
          <w:rFonts w:hint="eastAsia" w:ascii="仿宋" w:hAnsi="仿宋" w:eastAsia="仿宋" w:cs="仿宋"/>
          <w:color w:val="000000"/>
          <w:sz w:val="32"/>
          <w:szCs w:val="32"/>
        </w:rPr>
        <w:t>。</w:t>
      </w:r>
    </w:p>
    <w:p>
      <w:pPr>
        <w:spacing w:line="560" w:lineRule="exact"/>
        <w:ind w:firstLine="640" w:firstLineChars="200"/>
        <w:rPr>
          <w:rFonts w:hint="eastAsia" w:eastAsia="仿宋_GB2312"/>
          <w:sz w:val="32"/>
          <w:lang w:eastAsia="zh-CN"/>
        </w:rPr>
      </w:pPr>
      <w:r>
        <w:rPr>
          <w:rFonts w:hint="eastAsia" w:ascii="仿宋_GB2312" w:eastAsia="仿宋_GB2312"/>
          <w:color w:val="000000" w:themeColor="text1"/>
          <w:sz w:val="32"/>
          <w:szCs w:val="32"/>
          <w14:textFill>
            <w14:solidFill>
              <w14:schemeClr w14:val="tx1"/>
            </w14:solidFill>
          </w14:textFill>
        </w:rPr>
        <w:t>昌吉市交通运输局编制数</w:t>
      </w:r>
      <w:r>
        <w:rPr>
          <w:rFonts w:hint="eastAsia" w:ascii="仿宋_GB2312" w:eastAsia="仿宋_GB2312"/>
          <w:color w:val="000000" w:themeColor="text1"/>
          <w:sz w:val="32"/>
          <w:szCs w:val="32"/>
          <w:lang w:val="en-US" w:eastAsia="zh-CN"/>
          <w14:textFill>
            <w14:solidFill>
              <w14:schemeClr w14:val="tx1"/>
            </w14:solidFill>
          </w14:textFill>
        </w:rPr>
        <w:t>57</w:t>
      </w:r>
      <w:r>
        <w:rPr>
          <w:rFonts w:hint="eastAsia" w:ascii="仿宋_GB2312" w:eastAsia="仿宋_GB2312"/>
          <w:color w:val="000000" w:themeColor="text1"/>
          <w:sz w:val="32"/>
          <w:szCs w:val="32"/>
          <w14:textFill>
            <w14:solidFill>
              <w14:schemeClr w14:val="tx1"/>
            </w14:solidFill>
          </w14:textFill>
        </w:rPr>
        <w:t>，实有人数</w:t>
      </w:r>
      <w:r>
        <w:rPr>
          <w:rFonts w:hint="eastAsia" w:ascii="仿宋_GB2312" w:eastAsia="仿宋_GB2312"/>
          <w:color w:val="000000" w:themeColor="text1"/>
          <w:sz w:val="32"/>
          <w:szCs w:val="32"/>
          <w:lang w:val="en-US" w:eastAsia="zh-CN"/>
          <w14:textFill>
            <w14:solidFill>
              <w14:schemeClr w14:val="tx1"/>
            </w14:solidFill>
          </w14:textFill>
        </w:rPr>
        <w:t>74</w:t>
      </w:r>
      <w:r>
        <w:rPr>
          <w:rFonts w:hint="eastAsia" w:ascii="仿宋_GB2312" w:eastAsia="仿宋_GB2312"/>
          <w:color w:val="000000" w:themeColor="text1"/>
          <w:sz w:val="32"/>
          <w:szCs w:val="32"/>
          <w14:textFill>
            <w14:solidFill>
              <w14:schemeClr w14:val="tx1"/>
            </w14:solidFill>
          </w14:textFill>
        </w:rPr>
        <w:t>人，其中：在职5</w:t>
      </w:r>
      <w:r>
        <w:rPr>
          <w:rFonts w:hint="eastAsia" w:ascii="仿宋_GB2312" w:eastAsia="仿宋_GB2312"/>
          <w:color w:val="000000" w:themeColor="text1"/>
          <w:sz w:val="32"/>
          <w:szCs w:val="32"/>
          <w:lang w:val="en-US" w:eastAsia="zh-CN"/>
          <w14:textFill>
            <w14:solidFill>
              <w14:schemeClr w14:val="tx1"/>
            </w14:solidFill>
          </w14:textFill>
        </w:rPr>
        <w:t>4</w:t>
      </w:r>
      <w:r>
        <w:rPr>
          <w:rFonts w:hint="eastAsia" w:ascii="仿宋_GB2312" w:eastAsia="仿宋_GB2312"/>
          <w:color w:val="000000" w:themeColor="text1"/>
          <w:sz w:val="32"/>
          <w:szCs w:val="32"/>
          <w14:textFill>
            <w14:solidFill>
              <w14:schemeClr w14:val="tx1"/>
            </w14:solidFill>
          </w14:textFill>
        </w:rPr>
        <w:t>人；退休</w:t>
      </w:r>
      <w:r>
        <w:rPr>
          <w:rFonts w:hint="eastAsia" w:ascii="仿宋_GB2312" w:eastAsia="仿宋_GB2312"/>
          <w:color w:val="000000" w:themeColor="text1"/>
          <w:sz w:val="32"/>
          <w:szCs w:val="32"/>
          <w:lang w:val="en-US" w:eastAsia="zh-CN"/>
          <w14:textFill>
            <w14:solidFill>
              <w14:schemeClr w14:val="tx1"/>
            </w14:solidFill>
          </w14:textFill>
        </w:rPr>
        <w:t>20</w:t>
      </w:r>
      <w:r>
        <w:rPr>
          <w:rFonts w:hint="eastAsia" w:ascii="仿宋_GB2312" w:eastAsia="仿宋_GB2312"/>
          <w:color w:val="000000" w:themeColor="text1"/>
          <w:sz w:val="32"/>
          <w:szCs w:val="32"/>
          <w14:textFill>
            <w14:solidFill>
              <w14:schemeClr w14:val="tx1"/>
            </w14:solidFill>
          </w14:textFill>
        </w:rPr>
        <w:t>人；离休0人。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（1）贯彻执行国家、自治区、自治州公路交通运输行业的方针、政策、法规，并组织实施和监督检查。</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（2）主管全市公路交通运输工作，维护交通基础设施建设秩序，并加强监督管理；编制昌吉市公路交通运输发展规划、计划，并监督实施；参与拟订昌吉市运输物流业发展战略与规划。</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（3）负责辖区内公路管理的行政审批和行政许可工作，交通基础设施的建设、管理工作；指导重要专用公路的规划、建设、管理工作。</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4）指导全市交通运输行业体制改革；负责组织领导昌吉市道路运输管理工作，承担本行政区域内运输线路、营运车辆、枢纽、运输站场等管理工作；负责城市公交、出租汽车管理工作；培育和管理交通运输市场，建立完善信息服务体系，维护全市交通行业的平等竞争秩序，引导交通运输行业优化机构、协调发展。</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（5）负责全市农村公路的养护管理工作。负责</w:t>
      </w:r>
      <w:r>
        <w:rPr>
          <w:rFonts w:hint="eastAsia" w:ascii="仿宋" w:hAnsi="仿宋" w:eastAsia="仿宋" w:cs="仿宋"/>
          <w:color w:val="000000"/>
          <w:sz w:val="32"/>
          <w:szCs w:val="32"/>
        </w:rPr>
        <w:t>编制并上</w:t>
      </w:r>
      <w:r>
        <w:rPr>
          <w:rStyle w:val="13"/>
          <w:rFonts w:hint="eastAsia" w:ascii="仿宋" w:hAnsi="仿宋" w:eastAsia="仿宋"/>
          <w:b w:val="0"/>
          <w:spacing w:val="-4"/>
          <w:sz w:val="32"/>
          <w:szCs w:val="32"/>
        </w:rPr>
        <w:t>报农村公路养护建议计划，管理农村公路养护资金，培训养护管理人员，监督检查养护计划执行情况和养护质量，指导监督农村公路管理养护工作；依法制定地震、泥石流、雨雪冰冻灾害等损毁公路的突发事件应急预案，报本级人民政府批准后实施。</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（6）负责全市农村公路的安全保护工作。加强全市农村公路路政管理工作，依法保护农村公路路产路权。</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（7）贯彻执行交通行业科技政策、技术标准和规范；指导交通运输行业职业教育和培训工作；指导全市交通运输行业环境保护和节能减排工作。</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（8）负责全市交通行业财务、审计、统计工作；协同和会同有关部门监督执行交通行业价格、税收及有关方面的经济政策。</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（9）负责全市交通运输行业的提案处理、信访接待及法制宣传，负责行政复议、行政诉讼的应诉工作，指导监督系统内行政执法工作。</w:t>
      </w:r>
    </w:p>
    <w:p>
      <w:pPr>
        <w:spacing w:line="540" w:lineRule="exact"/>
        <w:ind w:firstLine="611" w:firstLineChars="196"/>
        <w:rPr>
          <w:rStyle w:val="13"/>
          <w:rFonts w:ascii="仿宋" w:hAnsi="仿宋" w:eastAsia="仿宋"/>
          <w:b w:val="0"/>
          <w:spacing w:val="-4"/>
          <w:sz w:val="32"/>
          <w:szCs w:val="32"/>
        </w:rPr>
      </w:pPr>
      <w:r>
        <w:rPr>
          <w:rStyle w:val="13"/>
          <w:rFonts w:hint="eastAsia" w:ascii="仿宋" w:hAnsi="仿宋" w:eastAsia="仿宋"/>
          <w:b w:val="0"/>
          <w:spacing w:val="-4"/>
          <w:sz w:val="32"/>
          <w:szCs w:val="32"/>
        </w:rPr>
        <w:t>（10）负责全市交通战备工作。</w:t>
      </w:r>
    </w:p>
    <w:p>
      <w:pPr>
        <w:spacing w:line="540" w:lineRule="exact"/>
        <w:ind w:firstLine="611" w:firstLineChars="196"/>
        <w:rPr>
          <w:sz w:val="32"/>
        </w:rPr>
      </w:pPr>
      <w:r>
        <w:rPr>
          <w:rStyle w:val="13"/>
          <w:rFonts w:hint="eastAsia" w:ascii="仿宋" w:hAnsi="仿宋" w:eastAsia="仿宋"/>
          <w:b w:val="0"/>
          <w:spacing w:val="-4"/>
          <w:sz w:val="32"/>
          <w:szCs w:val="32"/>
        </w:rPr>
        <w:t>（11）承办昌吉人民政府和上级交通运输主管部门交办的其它工作。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pacing w:line="540" w:lineRule="exact"/>
        <w:ind w:firstLine="611" w:firstLineChars="196"/>
        <w:rPr>
          <w:rStyle w:val="13"/>
          <w:rFonts w:hint="eastAsia" w:ascii="仿宋" w:hAnsi="仿宋" w:eastAsia="仿宋"/>
          <w:b w:val="0"/>
          <w:spacing w:val="-4"/>
          <w:sz w:val="32"/>
          <w:szCs w:val="32"/>
          <w:lang w:eastAsia="zh-CN"/>
        </w:rPr>
      </w:pPr>
      <w:r>
        <w:rPr>
          <w:rStyle w:val="13"/>
          <w:rFonts w:hint="eastAsia" w:ascii="仿宋" w:hAnsi="仿宋" w:eastAsia="仿宋"/>
          <w:b w:val="0"/>
          <w:spacing w:val="-4"/>
          <w:sz w:val="32"/>
          <w:szCs w:val="32"/>
        </w:rPr>
        <w:t>我单位根据《昌吉市交通运输局202</w:t>
      </w:r>
      <w:r>
        <w:rPr>
          <w:rStyle w:val="13"/>
          <w:rFonts w:hint="eastAsia"/>
          <w:b w:val="0"/>
          <w:spacing w:val="-4"/>
          <w:sz w:val="32"/>
          <w:szCs w:val="32"/>
          <w:lang w:val="en-US" w:eastAsia="zh-CN"/>
        </w:rPr>
        <w:t>2</w:t>
      </w:r>
      <w:r>
        <w:rPr>
          <w:rStyle w:val="13"/>
          <w:rFonts w:hint="eastAsia" w:ascii="仿宋" w:hAnsi="仿宋" w:eastAsia="仿宋"/>
          <w:b w:val="0"/>
          <w:spacing w:val="-4"/>
          <w:sz w:val="32"/>
          <w:szCs w:val="32"/>
        </w:rPr>
        <w:t>年工作要点》重点工作部署以及本单位的职能，制定了本单位工作计划及绩效目标，将本单位202</w:t>
      </w:r>
      <w:r>
        <w:rPr>
          <w:rStyle w:val="13"/>
          <w:rFonts w:hint="eastAsia" w:ascii="仿宋" w:hAnsi="仿宋" w:eastAsia="仿宋"/>
          <w:b w:val="0"/>
          <w:spacing w:val="-4"/>
          <w:sz w:val="32"/>
          <w:szCs w:val="32"/>
          <w:lang w:val="en-US" w:eastAsia="zh-CN"/>
        </w:rPr>
        <w:t>1</w:t>
      </w:r>
      <w:r>
        <w:rPr>
          <w:rStyle w:val="13"/>
          <w:rFonts w:hint="eastAsia" w:ascii="仿宋" w:hAnsi="仿宋" w:eastAsia="仿宋"/>
          <w:b w:val="0"/>
          <w:spacing w:val="-4"/>
          <w:sz w:val="32"/>
          <w:szCs w:val="32"/>
        </w:rPr>
        <w:t>年度的重点工作分解为具体工作，如</w:t>
      </w:r>
      <w:r>
        <w:rPr>
          <w:rStyle w:val="13"/>
          <w:rFonts w:hint="eastAsia"/>
          <w:b w:val="0"/>
          <w:spacing w:val="-4"/>
          <w:sz w:val="32"/>
          <w:szCs w:val="32"/>
          <w:lang w:eastAsia="zh-CN"/>
        </w:rPr>
        <w:t>：</w:t>
      </w:r>
    </w:p>
    <w:p>
      <w:pPr>
        <w:spacing w:line="540" w:lineRule="exact"/>
        <w:ind w:firstLine="611" w:firstLineChars="196"/>
        <w:rPr>
          <w:rFonts w:ascii="仿宋_GB2312" w:eastAsia="仿宋_GB2312"/>
          <w:sz w:val="32"/>
          <w:szCs w:val="32"/>
        </w:rPr>
      </w:pPr>
      <w:r>
        <w:rPr>
          <w:rStyle w:val="13"/>
          <w:rFonts w:hint="eastAsia" w:ascii="仿宋" w:hAnsi="仿宋" w:eastAsia="仿宋"/>
          <w:b w:val="0"/>
          <w:spacing w:val="-4"/>
          <w:sz w:val="32"/>
          <w:szCs w:val="32"/>
          <w:lang w:val="en-US" w:eastAsia="zh-CN"/>
        </w:rPr>
        <w:t>加快城乡交通基础设施建设，提升城乡交通运输服务总体质量和水平。一是积极争取2023年车购税建设项目、一般地债项目资金，提前做好项目储备计划，按时开展项目前期工作。继续完成2022年续建农村公路、养护建设项目。做好年初养护数据的调查工作，继续加大对地质灾害和洪水的防范、抢险、处理工作。对灾害易发路段做到常巡查、早发现、早预防、早处理。二是对2022年已完工的项目进行交工验收及质量鉴定。三是做好2022年至2023年冬季清雪工作。四是积极对接帮扶助力企业，了解梳理企业困难诉求，搭建服务平台，切实解决诸多企业实际难题。五是协调属地乡镇联合开展铁路沿线安全环境管理，解决铁路沿线安全环境监管的突出问题，全面消除安全隐患，营造安全整洁有序的铁路沿线环境。六是深入开展交通运输行业常态化疫情防控工作，扎实推进交通运输行业深化改革、“放管服”、优化营商环境等提质优服工作，持续巩固脱贫攻坚、市域社会治理现代化、扫黑除恶、污染防治等攻坚克难专项工作。七是持续推进农村公路“路长制”，完善市域路产路权保护工作机制。</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firstLineChars="200"/>
        <w:jc w:val="left"/>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交通运输局</w:t>
      </w:r>
      <w:r>
        <w:rPr>
          <w:rFonts w:hint="eastAsia" w:ascii="仿宋_GB2312" w:eastAsia="仿宋_GB2312"/>
          <w:color w:val="auto"/>
          <w:sz w:val="32"/>
          <w:szCs w:val="32"/>
        </w:rPr>
        <w:t>决策机制根据行政事业单位内部控制体系建设相关要求，逐步完善《</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交通运输局</w:t>
      </w:r>
      <w:r>
        <w:rPr>
          <w:rFonts w:hint="eastAsia" w:ascii="仿宋_GB2312" w:eastAsia="仿宋_GB2312"/>
          <w:color w:val="auto"/>
          <w:sz w:val="32"/>
          <w:szCs w:val="32"/>
        </w:rPr>
        <w:t>党</w:t>
      </w:r>
      <w:r>
        <w:rPr>
          <w:rFonts w:hint="eastAsia" w:ascii="仿宋_GB2312" w:eastAsia="仿宋_GB2312"/>
          <w:color w:val="auto"/>
          <w:sz w:val="32"/>
          <w:szCs w:val="32"/>
          <w:lang w:val="en-US" w:eastAsia="zh-CN"/>
        </w:rPr>
        <w:t>组</w:t>
      </w:r>
      <w:r>
        <w:rPr>
          <w:rFonts w:hint="eastAsia" w:ascii="仿宋_GB2312" w:eastAsia="仿宋_GB2312"/>
          <w:color w:val="auto"/>
          <w:sz w:val="32"/>
          <w:szCs w:val="32"/>
          <w:lang w:eastAsia="zh-CN"/>
        </w:rPr>
        <w:t>会议</w:t>
      </w:r>
      <w:r>
        <w:rPr>
          <w:rFonts w:hint="eastAsia" w:ascii="仿宋_GB2312" w:eastAsia="仿宋_GB2312"/>
          <w:color w:val="auto"/>
          <w:sz w:val="32"/>
          <w:szCs w:val="32"/>
        </w:rPr>
        <w:t>议事规则》、《三重一大会议制度》</w:t>
      </w:r>
      <w:r>
        <w:rPr>
          <w:rFonts w:hint="eastAsia" w:ascii="仿宋_GB2312" w:eastAsia="仿宋_GB2312"/>
          <w:color w:val="auto"/>
          <w:sz w:val="32"/>
          <w:szCs w:val="32"/>
          <w:lang w:eastAsia="zh-CN"/>
        </w:rPr>
        <w:t>、《公务卡使用办法》《非税收入管理制度》等</w:t>
      </w:r>
      <w:r>
        <w:rPr>
          <w:rFonts w:hint="eastAsia" w:ascii="仿宋_GB2312" w:eastAsia="仿宋_GB2312"/>
          <w:color w:val="auto"/>
          <w:sz w:val="32"/>
          <w:szCs w:val="32"/>
        </w:rPr>
        <w:t>，根据</w:t>
      </w:r>
      <w:r>
        <w:rPr>
          <w:rFonts w:hint="eastAsia" w:ascii="仿宋_GB2312" w:eastAsia="仿宋_GB2312"/>
          <w:color w:val="auto"/>
          <w:sz w:val="32"/>
          <w:szCs w:val="32"/>
          <w:lang w:eastAsia="zh-CN"/>
        </w:rPr>
        <w:t>相关制度制定昌吉市</w:t>
      </w:r>
      <w:r>
        <w:rPr>
          <w:rFonts w:hint="eastAsia" w:ascii="仿宋_GB2312" w:eastAsia="仿宋_GB2312"/>
          <w:color w:val="auto"/>
          <w:sz w:val="32"/>
          <w:szCs w:val="32"/>
          <w:lang w:val="en-US" w:eastAsia="zh-CN"/>
        </w:rPr>
        <w:t>交通运输局</w:t>
      </w:r>
      <w:r>
        <w:rPr>
          <w:rFonts w:hint="eastAsia" w:ascii="仿宋_GB2312" w:eastAsia="仿宋_GB2312"/>
          <w:color w:val="auto"/>
          <w:sz w:val="32"/>
          <w:szCs w:val="32"/>
          <w:lang w:eastAsia="zh-CN"/>
        </w:rPr>
        <w:t>资金支付流程。</w:t>
      </w:r>
    </w:p>
    <w:p>
      <w:pPr>
        <w:ind w:firstLine="640" w:firstLineChars="200"/>
        <w:jc w:val="left"/>
        <w:rPr>
          <w:rFonts w:hint="eastAsia" w:ascii="仿宋_GB2312" w:eastAsia="仿宋_GB2312"/>
          <w:color w:val="auto"/>
          <w:sz w:val="32"/>
          <w:szCs w:val="32"/>
          <w:lang w:val="en-US" w:eastAsia="zh-CN"/>
        </w:rPr>
      </w:pPr>
      <w:r>
        <w:rPr>
          <w:rFonts w:hint="eastAsia" w:ascii="仿宋_GB2312" w:eastAsia="仿宋_GB2312"/>
          <w:color w:val="auto"/>
          <w:sz w:val="32"/>
          <w:szCs w:val="32"/>
          <w:lang w:eastAsia="zh-CN"/>
        </w:rPr>
        <w:t>每月</w:t>
      </w:r>
      <w:r>
        <w:rPr>
          <w:rFonts w:hint="eastAsia" w:ascii="仿宋_GB2312" w:eastAsia="仿宋_GB2312"/>
          <w:color w:val="auto"/>
          <w:sz w:val="32"/>
          <w:szCs w:val="32"/>
          <w:lang w:val="en-US" w:eastAsia="zh-CN"/>
        </w:rPr>
        <w:t>15号之前各科室上报次月资金计划申请单及相关附件至局财务室。</w:t>
      </w:r>
    </w:p>
    <w:p>
      <w:pPr>
        <w:ind w:firstLine="640" w:firstLineChars="200"/>
        <w:jc w:val="left"/>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由局财经领导小组会议审议，形成会议纪要。（1）若申请金额小于5000元，由相关业务科室向财经领导小组申请，同意后报分管业务、财务领导签字，并报主要领导审批。  若申请金额大于等于5000元，由相关科室提出申请，报财经领导小组共同审批，同意后则根据会议审议通过的资金计划申请单上报局财经领导小组会议审议.若审议通过，由中心相关业务科室填写资金支付申请单，并报中心分管业务、财务领导和主要领导签字后进行支付，否则予以退回。</w:t>
      </w:r>
    </w:p>
    <w:p>
      <w:pPr>
        <w:ind w:firstLine="640" w:firstLineChars="200"/>
        <w:jc w:val="left"/>
        <w:rPr>
          <w:rFonts w:hint="eastAsia"/>
          <w:lang w:val="en-US" w:eastAsia="zh-CN"/>
        </w:rPr>
      </w:pPr>
      <w:r>
        <w:rPr>
          <w:rFonts w:hint="eastAsia" w:ascii="仿宋_GB2312" w:eastAsia="仿宋_GB2312"/>
          <w:color w:val="auto"/>
          <w:sz w:val="32"/>
          <w:szCs w:val="32"/>
          <w:lang w:val="en-US" w:eastAsia="zh-CN"/>
        </w:rPr>
        <w:t>项目资金由局财务室根据上级要求填写资金计划支付汇总表，报局财经领导小组审议，通过后，再次分项填写资金支付审请单，由局领导签字后予以支付.</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1</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400</w:t>
      </w:r>
      <w:r>
        <w:rPr>
          <w:rFonts w:hint="eastAsia" w:ascii="仿宋_GB2312" w:eastAsia="仿宋_GB2312"/>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olor w:val="auto"/>
          <w:sz w:val="32"/>
          <w:szCs w:val="32"/>
          <w:lang w:val="en-US" w:eastAsia="zh-CN"/>
        </w:rPr>
        <w:t>15075.91</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26.5</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color w:val="auto"/>
          <w:sz w:val="32"/>
          <w:szCs w:val="32"/>
          <w:lang w:val="en-US" w:eastAsia="zh-CN"/>
        </w:rPr>
        <w:t>昌吉市交通运输局</w:t>
      </w:r>
      <w:r>
        <w:rPr>
          <w:rFonts w:hint="eastAsia" w:ascii="仿宋_GB2312" w:eastAsia="仿宋_GB2312"/>
          <w:bCs/>
          <w:color w:val="auto"/>
          <w:sz w:val="32"/>
          <w:szCs w:val="32"/>
        </w:rPr>
        <w:t>部门单位整体支出年初预算金额</w:t>
      </w:r>
      <w:r>
        <w:rPr>
          <w:rFonts w:hint="eastAsia" w:ascii="仿宋_GB2312" w:eastAsia="仿宋_GB2312" w:cs="Times New Roman"/>
          <w:color w:val="auto"/>
          <w:sz w:val="32"/>
          <w:szCs w:val="32"/>
        </w:rPr>
        <w:t>为</w:t>
      </w:r>
      <w:r>
        <w:rPr>
          <w:rFonts w:hint="eastAsia" w:ascii="仿宋_GB2312" w:eastAsia="仿宋_GB2312" w:cs="Times New Roman"/>
          <w:color w:val="auto"/>
          <w:sz w:val="32"/>
          <w:szCs w:val="32"/>
          <w:lang w:val="en-US" w:eastAsia="zh-CN"/>
        </w:rPr>
        <w:t>749.36</w:t>
      </w:r>
      <w:r>
        <w:rPr>
          <w:rFonts w:hint="eastAsia" w:ascii="仿宋_GB2312" w:eastAsia="仿宋_GB2312" w:cs="Times New Roman"/>
          <w:color w:val="auto"/>
          <w:sz w:val="32"/>
          <w:szCs w:val="32"/>
        </w:rPr>
        <w:t>万元，支出金额为</w:t>
      </w:r>
      <w:r>
        <w:rPr>
          <w:rFonts w:hint="eastAsia" w:ascii="仿宋_GB2312" w:eastAsia="仿宋_GB2312" w:cs="Times New Roman"/>
          <w:color w:val="auto"/>
          <w:sz w:val="32"/>
          <w:szCs w:val="32"/>
          <w:lang w:val="en-US" w:eastAsia="zh-CN"/>
        </w:rPr>
        <w:t>897.46</w:t>
      </w:r>
      <w:r>
        <w:rPr>
          <w:rFonts w:hint="eastAsia" w:ascii="仿宋_GB2312" w:eastAsia="仿宋_GB2312" w:cs="Times New Roman"/>
          <w:color w:val="auto"/>
          <w:sz w:val="32"/>
          <w:szCs w:val="32"/>
        </w:rPr>
        <w:t>万元，执行率为</w:t>
      </w:r>
      <w:r>
        <w:rPr>
          <w:rFonts w:hint="eastAsia" w:ascii="仿宋_GB2312" w:eastAsia="仿宋_GB2312" w:cs="Times New Roman"/>
          <w:color w:val="auto"/>
          <w:sz w:val="32"/>
          <w:szCs w:val="32"/>
          <w:lang w:val="en-US" w:eastAsia="zh-CN"/>
        </w:rPr>
        <w:t>119.8</w:t>
      </w:r>
      <w:r>
        <w:rPr>
          <w:rFonts w:hint="eastAsia" w:ascii="仿宋_GB2312" w:eastAsia="仿宋_GB2312" w:cs="Times New Roman"/>
          <w:color w:val="auto"/>
          <w:sz w:val="32"/>
          <w:szCs w:val="32"/>
        </w:rPr>
        <w:t>%，其</w:t>
      </w:r>
      <w:r>
        <w:rPr>
          <w:rFonts w:hint="eastAsia" w:ascii="仿宋_GB2312" w:eastAsia="仿宋_GB2312"/>
          <w:color w:val="auto"/>
          <w:sz w:val="32"/>
          <w:szCs w:val="32"/>
        </w:rPr>
        <w:t>中：政府采购年初预算金额为</w:t>
      </w:r>
      <w:r>
        <w:rPr>
          <w:rFonts w:hint="eastAsia" w:ascii="仿宋_GB2312" w:eastAsia="仿宋_GB2312"/>
          <w:color w:val="auto"/>
          <w:sz w:val="32"/>
          <w:szCs w:val="32"/>
          <w:lang w:val="en-US" w:eastAsia="zh-CN"/>
        </w:rPr>
        <w:t>27.18</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27.18</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13864.18</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(其中项目调整金额为</w:t>
      </w:r>
      <w:r>
        <w:rPr>
          <w:rFonts w:hint="eastAsia"/>
          <w:b w:val="0"/>
          <w:bCs w:val="0"/>
          <w:color w:val="auto"/>
          <w:sz w:val="32"/>
          <w:lang w:val="en-US" w:eastAsia="zh-CN"/>
        </w:rPr>
        <w:t>13716.09</w:t>
      </w:r>
      <w:r>
        <w:rPr>
          <w:rFonts w:hint="eastAsia" w:ascii="仿宋_GB2312" w:eastAsia="仿宋_GB2312"/>
          <w:color w:val="auto"/>
          <w:sz w:val="32"/>
          <w:szCs w:val="32"/>
          <w:lang w:val="en-US" w:eastAsia="zh-CN"/>
        </w:rPr>
        <w:t>万元，基本支出调整148.09万元)。</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14613.54</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14271.11</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97.7</w:t>
      </w:r>
      <w:r>
        <w:rPr>
          <w:rFonts w:hint="eastAsia" w:ascii="仿宋_GB2312" w:eastAsia="仿宋_GB2312"/>
          <w:color w:val="auto"/>
          <w:sz w:val="32"/>
          <w:szCs w:val="32"/>
        </w:rPr>
        <w:t>%。</w:t>
      </w:r>
    </w:p>
    <w:p>
      <w:pPr>
        <w:pStyle w:val="5"/>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spacing w:line="5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财务合规性符合各项规定。支出规范性方面，预算执行规范，我局财政资金支付均通过完整严格的审批程序和手续。具体流程为：各项目资金按照各项目进展情况以及付款约定，由各支付款项科室填写资金审批单，并会签与项目相关的业务科室→局财务室审核→分管局领导审批→局长审批→党组会议决定及党组书记签字确认→局财务按照财务制度规定办理支付和报账手续。</w:t>
      </w:r>
    </w:p>
    <w:p>
      <w:pPr>
        <w:spacing w:line="5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资金下达合法。部门资金经费严格按照财务管理制度进行管理。项目经费专款专用,每笔款项支付前都经过严格的审批，只有符合了合同支付条款及专项经费使用管理办法支付规定的款项才得以支付。会计核算规范。为规范经费使用，财务室一直严格按照《行政事业单位财务管理规定》对我局各项经费进行严格管理，提高资金使用绩效，防范和管控风险，制度健全。每一笔专项经费的支付都录入记账凭证，并附有相应的支付审批材料，入账程序规范，不存在截留、挤占、挪用及虚列支出等违规情况。</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昌吉市交通运输局</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749.36</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897.45</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119.8</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148.09</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897.45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897.45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869.89</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27.56</w:t>
      </w:r>
      <w:r>
        <w:rPr>
          <w:rFonts w:hint="eastAsia" w:ascii="仿宋_GB2312" w:eastAsia="仿宋_GB2312"/>
          <w:color w:val="auto"/>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10.40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10.40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hint="default" w:ascii="仿宋_GB2312" w:eastAsia="仿宋_GB2312" w:cs="宋体"/>
          <w:color w:val="auto"/>
          <w:sz w:val="32"/>
          <w:szCs w:val="32"/>
          <w:lang w:val="en-US" w:eastAsia="zh-CN"/>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6.89</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6.89</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10.40</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减少3.51</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下降33.8</w:t>
      </w:r>
      <w:r>
        <w:rPr>
          <w:rFonts w:hint="eastAsia" w:ascii="仿宋_GB2312" w:eastAsia="仿宋_GB2312" w:cs="宋体"/>
          <w:color w:val="auto"/>
          <w:sz w:val="32"/>
          <w:szCs w:val="32"/>
        </w:rPr>
        <w:t>%</w:t>
      </w:r>
      <w:r>
        <w:rPr>
          <w:rFonts w:hint="eastAsia" w:ascii="仿宋_GB2312" w:eastAsia="仿宋_GB2312" w:cs="宋体"/>
          <w:color w:val="auto"/>
          <w:sz w:val="32"/>
          <w:szCs w:val="32"/>
          <w:lang w:eastAsia="zh-CN"/>
        </w:rPr>
        <w:t>，</w:t>
      </w:r>
      <w:r>
        <w:rPr>
          <w:rFonts w:hint="eastAsia" w:ascii="仿宋_GB2312" w:eastAsia="仿宋_GB2312" w:cs="宋体"/>
          <w:color w:val="auto"/>
          <w:sz w:val="32"/>
          <w:szCs w:val="32"/>
          <w:lang w:val="en-US" w:eastAsia="zh-CN"/>
        </w:rPr>
        <w:t>主要原因是疫情防控 导致基本巡道业务减少，减少车辆成本损耗。</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5"/>
        <w:ind w:firstLine="640"/>
        <w:rPr>
          <w:b w:val="0"/>
          <w:bCs w:val="0"/>
          <w:color w:val="auto"/>
          <w:sz w:val="32"/>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val="en-US" w:eastAsia="zh-CN"/>
        </w:rPr>
        <w:t>昌吉市交通运输局</w:t>
      </w:r>
      <w:r>
        <w:rPr>
          <w:rFonts w:hint="eastAsia"/>
          <w:b w:val="0"/>
          <w:bCs w:val="0"/>
          <w:color w:val="auto"/>
          <w:sz w:val="32"/>
        </w:rPr>
        <w:t>项目支出年初预算金额为</w:t>
      </w:r>
      <w:r>
        <w:rPr>
          <w:rFonts w:hint="eastAsia"/>
          <w:b w:val="0"/>
          <w:bCs w:val="0"/>
          <w:color w:val="auto"/>
          <w:sz w:val="32"/>
          <w:lang w:val="en-US" w:eastAsia="zh-CN"/>
        </w:rPr>
        <w:t>0.00</w:t>
      </w:r>
      <w:r>
        <w:rPr>
          <w:rFonts w:hint="eastAsia"/>
          <w:b w:val="0"/>
          <w:bCs w:val="0"/>
          <w:color w:val="auto"/>
          <w:sz w:val="32"/>
        </w:rPr>
        <w:t>万元，支出金额为</w:t>
      </w:r>
      <w:r>
        <w:rPr>
          <w:rFonts w:hint="eastAsia"/>
          <w:b w:val="0"/>
          <w:bCs w:val="0"/>
          <w:color w:val="auto"/>
          <w:sz w:val="32"/>
          <w:lang w:val="en-US" w:eastAsia="zh-CN"/>
        </w:rPr>
        <w:t>0.00</w:t>
      </w:r>
      <w:r>
        <w:rPr>
          <w:rFonts w:hint="eastAsia"/>
          <w:b w:val="0"/>
          <w:bCs w:val="0"/>
          <w:color w:val="auto"/>
          <w:sz w:val="32"/>
        </w:rPr>
        <w:t>万元，执行率为</w:t>
      </w:r>
      <w:r>
        <w:rPr>
          <w:rFonts w:hint="eastAsia"/>
          <w:b w:val="0"/>
          <w:bCs w:val="0"/>
          <w:color w:val="auto"/>
          <w:sz w:val="32"/>
          <w:lang w:val="en-US" w:eastAsia="zh-CN"/>
        </w:rPr>
        <w:t>0.0</w:t>
      </w:r>
      <w:r>
        <w:rPr>
          <w:rFonts w:hint="eastAsia"/>
          <w:b w:val="0"/>
          <w:bCs w:val="0"/>
          <w:color w:val="auto"/>
          <w:sz w:val="32"/>
        </w:rPr>
        <w:t>%，年中调整预算金额为</w:t>
      </w:r>
      <w:r>
        <w:rPr>
          <w:rFonts w:hint="eastAsia"/>
          <w:b w:val="0"/>
          <w:bCs w:val="0"/>
          <w:color w:val="auto"/>
          <w:sz w:val="32"/>
          <w:lang w:val="en-US" w:eastAsia="zh-CN"/>
        </w:rPr>
        <w:t>13716.09</w:t>
      </w:r>
      <w:r>
        <w:rPr>
          <w:rFonts w:hint="eastAsia"/>
          <w:b w:val="0"/>
          <w:bCs w:val="0"/>
          <w:color w:val="auto"/>
          <w:sz w:val="32"/>
        </w:rPr>
        <w:t>万元。综上，我单位项目支出预算总额为</w:t>
      </w:r>
      <w:r>
        <w:rPr>
          <w:rFonts w:hint="eastAsia"/>
          <w:b w:val="0"/>
          <w:bCs w:val="0"/>
          <w:color w:val="auto"/>
          <w:sz w:val="32"/>
          <w:lang w:val="en-US" w:eastAsia="zh-CN"/>
        </w:rPr>
        <w:t>13716.09</w:t>
      </w:r>
      <w:r>
        <w:rPr>
          <w:rFonts w:hint="eastAsia"/>
          <w:b w:val="0"/>
          <w:bCs w:val="0"/>
          <w:color w:val="auto"/>
          <w:sz w:val="32"/>
        </w:rPr>
        <w:t>万元，支出总额为</w:t>
      </w:r>
      <w:r>
        <w:rPr>
          <w:rFonts w:hint="eastAsia"/>
          <w:b w:val="0"/>
          <w:bCs w:val="0"/>
          <w:color w:val="auto"/>
          <w:sz w:val="32"/>
          <w:lang w:val="en-US" w:eastAsia="zh-CN"/>
        </w:rPr>
        <w:t>13373.66</w:t>
      </w:r>
      <w:r>
        <w:rPr>
          <w:rFonts w:hint="eastAsia"/>
          <w:b w:val="0"/>
          <w:bCs w:val="0"/>
          <w:color w:val="auto"/>
          <w:sz w:val="32"/>
        </w:rPr>
        <w:t>万元，预算总执行率为</w:t>
      </w:r>
      <w:r>
        <w:rPr>
          <w:rFonts w:hint="eastAsia"/>
          <w:b w:val="0"/>
          <w:bCs w:val="0"/>
          <w:color w:val="auto"/>
          <w:sz w:val="32"/>
          <w:lang w:val="en-US" w:eastAsia="zh-CN"/>
        </w:rPr>
        <w:t>97.5</w:t>
      </w:r>
      <w:r>
        <w:rPr>
          <w:rFonts w:hint="eastAsia"/>
          <w:b w:val="0"/>
          <w:bCs w:val="0"/>
          <w:color w:val="auto"/>
          <w:sz w:val="32"/>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昌吉市交通运输局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25</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21</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2022年自治区第三批地方政府债券（一般债）昌吉市农村公路建设项目</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.0</w:t>
            </w:r>
            <w:r>
              <w:rPr>
                <w:rFonts w:hint="eastAsia" w:ascii="仿宋_GB2312" w:hAnsi="宋体" w:eastAsia="仿宋_GB2312" w:cs="宋体"/>
                <w:kern w:val="0"/>
                <w:sz w:val="21"/>
                <w:szCs w:val="21"/>
                <w:lang w:val="en-US" w:eastAsia="zh-CN"/>
              </w:rPr>
              <w:t>%</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501"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2022年昌吉州本级农村公路养护资金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388</w:t>
            </w: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188.00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48.5%</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X125线昌吉市宝安煤矿采空区专项勘察费用</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昌吉公共交通集团有限责任公司2021年度第一季度社会公益性服务补贴资金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125.00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125.00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下巴湖监狱公路改建工程（二期）顶管施工对接费用</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3.60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3.60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农村客运等行业成品油价格改革财政补贴资金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726.42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726.42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eastAsia="仿宋_GB2312" w:cs="Calibri"/>
                <w:kern w:val="0"/>
                <w:sz w:val="21"/>
                <w:szCs w:val="21"/>
                <w:lang w:val="en-US" w:eastAsia="zh-CN"/>
              </w:rPr>
            </w:pPr>
            <w:r>
              <w:rPr>
                <w:rFonts w:hint="eastAsia" w:ascii="仿宋_GB2312" w:eastAsia="仿宋_GB2312" w:cs="Calibri"/>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拨付交通局2020年至2021年农村公路清雪资金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2.73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2.73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北新路桥诉讼案律师代理费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疫情期间返昌离昌运输车辆费用</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呼图壁雀尔沟丰源煤矿事故应急救援费用</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43.12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43.12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4" w:space="0"/>
              <w:right w:val="single" w:color="auto" w:sz="8" w:space="0"/>
            </w:tcBorders>
            <w:shd w:val="clear" w:color="auto" w:fill="auto"/>
            <w:vAlign w:val="center"/>
          </w:tcPr>
          <w:p>
            <w:pPr>
              <w:widowControl/>
              <w:tabs>
                <w:tab w:val="left" w:pos="1198"/>
              </w:tabs>
              <w:adjustRightInd w:val="0"/>
              <w:snapToGrid w:val="0"/>
              <w:spacing w:line="240" w:lineRule="auto"/>
              <w:ind w:firstLine="0" w:firstLineChars="0"/>
              <w:jc w:val="left"/>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疫情期间返昌离昌运输车辆费用</w:t>
            </w:r>
          </w:p>
        </w:tc>
        <w:tc>
          <w:tcPr>
            <w:tcW w:w="1134" w:type="dxa"/>
            <w:tcBorders>
              <w:top w:val="nil"/>
              <w:left w:val="nil"/>
              <w:bottom w:val="single" w:color="auto" w:sz="4"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1134" w:type="dxa"/>
            <w:tcBorders>
              <w:top w:val="nil"/>
              <w:left w:val="nil"/>
              <w:bottom w:val="single" w:color="auto" w:sz="4"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850" w:type="dxa"/>
            <w:tcBorders>
              <w:top w:val="nil"/>
              <w:left w:val="nil"/>
              <w:bottom w:val="single" w:color="auto" w:sz="4"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4"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4"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2021年政府还贷二级公路取消收费后补助资金用于国省干线和农村公路养护</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1003.00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1003.00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中高风险地区入昌货物三工消杀场站2021陈欠运行经费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71.20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69.67</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　</w:t>
            </w: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r>
              <w:rPr>
                <w:rFonts w:hint="eastAsia" w:ascii="仿宋_GB2312" w:hAnsi="宋体" w:eastAsia="仿宋_GB2312" w:cs="宋体"/>
                <w:kern w:val="0"/>
                <w:sz w:val="21"/>
                <w:szCs w:val="21"/>
              </w:rPr>
              <w:t>　</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2014年第二批通村油路第二合同段项目工程款</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15.38</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15.38</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2022年自治区“访惠聚”驻村工作专项经费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2022年“访惠聚”驻村（社区）工作经费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9.34</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58.4%</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疫情期间应急保障运输车辆费用</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18.27</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18.27</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2022年车辆购置税收入补助地方资金预算（第一批）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2225.08</w:t>
            </w:r>
            <w:r>
              <w:rPr>
                <w:rFonts w:hint="eastAsia" w:ascii="仿宋_GB2312" w:hAnsi="宋体" w:eastAsia="仿宋_GB2312" w:cs="宋体"/>
                <w:kern w:val="0"/>
                <w:sz w:val="21"/>
                <w:szCs w:val="21"/>
              </w:rPr>
              <w:t>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2225.08</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中小企业欠款化解资金（第二批）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中小企业欠款化解资金（第二批）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2022年政府还贷二级公路取消收费后补助资金用于农村公路养护项目</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374.22</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260.92</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69.7%</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昌吉州西部南山伴行公路项目（一期）专项债利息和发行费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4210.94</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4210.94</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转运租车费及工作人员住宿费、餐费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90.00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转运租车费及工作人员住宿费、餐费（第二批）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110.00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中高风险地区入昌货物三工消杀场站2022年1-4月陈欠运行经费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21.86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rPr>
              <w:t>21.86</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2022年成品油税费改革转移支付资金预算用于农村公路养护（中央直达资金）</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194.00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194.00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100.0%</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b/>
                <w:bCs/>
                <w:kern w:val="0"/>
                <w:sz w:val="21"/>
                <w:szCs w:val="21"/>
                <w:lang w:val="en-US" w:eastAsia="zh-CN"/>
              </w:rPr>
              <w:t>合计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13716.09</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13373.66</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97.5%</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kern w:val="0"/>
                <w:sz w:val="21"/>
                <w:szCs w:val="21"/>
                <w:lang w:val="en-US" w:eastAsia="zh-CN"/>
              </w:rPr>
            </w:pPr>
          </w:p>
        </w:tc>
        <w:tc>
          <w:tcPr>
            <w:tcW w:w="78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hint="default" w:ascii="仿宋_GB2312" w:eastAsia="仿宋_GB2312" w:cs="仿宋"/>
          <w:color w:val="auto"/>
          <w:sz w:val="32"/>
          <w:szCs w:val="32"/>
          <w:lang w:val="en-US" w:eastAsia="zh-CN"/>
        </w:rPr>
      </w:pP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13716.09</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13373.66</w:t>
      </w:r>
      <w:r>
        <w:rPr>
          <w:rFonts w:hint="eastAsia" w:ascii="仿宋_GB2312" w:eastAsia="仿宋_GB2312" w:cs="仿宋"/>
          <w:color w:val="auto"/>
          <w:sz w:val="32"/>
          <w:szCs w:val="32"/>
        </w:rPr>
        <w:t>万元,结转</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w:t>
      </w:r>
      <w:r>
        <w:rPr>
          <w:rFonts w:hint="eastAsia" w:ascii="仿宋_GB2312" w:eastAsia="仿宋_GB2312" w:cs="仿宋"/>
          <w:color w:val="auto"/>
          <w:sz w:val="32"/>
          <w:szCs w:val="32"/>
          <w:lang w:val="en-US" w:eastAsia="zh-CN"/>
        </w:rPr>
        <w:t>结转资金0.00万元,主要原因是由于财政年底将专项资金收回。</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cs="Times New Roman"/>
          <w:sz w:val="32"/>
          <w:szCs w:val="32"/>
        </w:rPr>
      </w:pPr>
      <w:r>
        <w:rPr>
          <w:rFonts w:hint="eastAsia" w:ascii="仿宋_GB2312" w:eastAsia="仿宋_GB2312"/>
          <w:sz w:val="32"/>
          <w:szCs w:val="32"/>
        </w:rPr>
        <w:t>（1）</w:t>
      </w:r>
      <w:r>
        <w:rPr>
          <w:rFonts w:hint="eastAsia" w:ascii="仿宋_GB2312" w:eastAsia="仿宋_GB2312" w:cs="Times New Roman"/>
          <w:sz w:val="32"/>
          <w:szCs w:val="32"/>
        </w:rPr>
        <w:t>202</w:t>
      </w:r>
      <w:r>
        <w:rPr>
          <w:rFonts w:hint="eastAsia" w:ascii="仿宋_GB2312" w:eastAsia="仿宋_GB2312" w:cs="Times New Roman"/>
          <w:sz w:val="32"/>
          <w:szCs w:val="32"/>
          <w:lang w:val="en-US" w:eastAsia="zh-CN"/>
        </w:rPr>
        <w:t>2</w:t>
      </w:r>
      <w:r>
        <w:rPr>
          <w:rFonts w:hint="eastAsia" w:ascii="仿宋_GB2312" w:eastAsia="仿宋_GB2312" w:cs="Times New Roman"/>
          <w:sz w:val="32"/>
          <w:szCs w:val="32"/>
        </w:rPr>
        <w:t>年，预算安排专项资金</w:t>
      </w:r>
      <w:r>
        <w:rPr>
          <w:rFonts w:hint="eastAsia" w:ascii="仿宋_GB2312" w:eastAsia="仿宋_GB2312" w:cs="Times New Roman"/>
          <w:sz w:val="32"/>
          <w:szCs w:val="32"/>
          <w:lang w:val="en-US" w:eastAsia="zh-CN"/>
        </w:rPr>
        <w:t>13716.09</w:t>
      </w:r>
      <w:r>
        <w:rPr>
          <w:rFonts w:hint="eastAsia" w:ascii="仿宋_GB2312" w:eastAsia="仿宋_GB2312" w:cs="Times New Roman"/>
          <w:sz w:val="32"/>
          <w:szCs w:val="32"/>
        </w:rPr>
        <w:t>万元，实际使用</w:t>
      </w:r>
      <w:r>
        <w:rPr>
          <w:rFonts w:hint="eastAsia" w:ascii="仿宋_GB2312" w:eastAsia="仿宋_GB2312" w:cs="Times New Roman"/>
          <w:sz w:val="32"/>
          <w:szCs w:val="32"/>
          <w:lang w:val="en-US" w:eastAsia="zh-CN"/>
        </w:rPr>
        <w:t>13373.66</w:t>
      </w:r>
      <w:r>
        <w:rPr>
          <w:rFonts w:hint="eastAsia" w:ascii="仿宋_GB2312" w:eastAsia="仿宋_GB2312" w:cs="Times New Roman"/>
          <w:sz w:val="32"/>
          <w:szCs w:val="32"/>
        </w:rPr>
        <w:t>万元，预算执行率为</w:t>
      </w:r>
      <w:r>
        <w:rPr>
          <w:rFonts w:hint="eastAsia" w:ascii="仿宋_GB2312" w:eastAsia="仿宋_GB2312" w:cs="Times New Roman"/>
          <w:sz w:val="32"/>
          <w:szCs w:val="32"/>
          <w:lang w:val="en-US" w:eastAsia="zh-CN"/>
        </w:rPr>
        <w:t>97.5</w:t>
      </w:r>
      <w:r>
        <w:rPr>
          <w:rFonts w:hint="eastAsia" w:ascii="仿宋_GB2312" w:eastAsia="仿宋_GB2312" w:cs="Times New Roman"/>
          <w:sz w:val="32"/>
          <w:szCs w:val="32"/>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eastAsia="仿宋_GB2312" w:cs="Times New Roman"/>
          <w:sz w:val="32"/>
          <w:szCs w:val="32"/>
          <w:lang w:val="en-US" w:eastAsia="zh-CN"/>
        </w:rPr>
      </w:pPr>
      <w:r>
        <w:rPr>
          <w:rFonts w:hint="eastAsia" w:ascii="仿宋_GB2312" w:eastAsia="仿宋_GB2312"/>
          <w:sz w:val="32"/>
          <w:szCs w:val="32"/>
        </w:rPr>
        <w:t>（1）组织情况：</w:t>
      </w:r>
      <w:r>
        <w:rPr>
          <w:rFonts w:hint="eastAsia" w:ascii="仿宋_GB2312" w:eastAsia="仿宋_GB2312"/>
          <w:sz w:val="32"/>
          <w:szCs w:val="32"/>
          <w:lang w:val="en-US" w:eastAsia="zh-CN"/>
        </w:rPr>
        <w:t>昌吉市交通运输局</w:t>
      </w:r>
      <w:r>
        <w:rPr>
          <w:rFonts w:hint="eastAsia" w:ascii="仿宋_GB2312" w:eastAsia="仿宋_GB2312" w:cs="Times New Roman"/>
          <w:sz w:val="32"/>
          <w:szCs w:val="32"/>
          <w:lang w:val="en-US" w:eastAsia="zh-CN"/>
        </w:rPr>
        <w:t>建立公路交通运输专项项目领导小组，保证项目的实施。</w:t>
      </w:r>
    </w:p>
    <w:p>
      <w:pPr>
        <w:ind w:firstLine="640"/>
        <w:rPr>
          <w:rFonts w:ascii="仿宋_GB2312" w:eastAsia="仿宋_GB2312"/>
          <w:color w:val="auto"/>
          <w:sz w:val="32"/>
          <w:szCs w:val="32"/>
        </w:rPr>
      </w:pPr>
      <w:r>
        <w:rPr>
          <w:rFonts w:hint="eastAsia" w:ascii="仿宋_GB2312" w:eastAsia="仿宋_GB2312"/>
          <w:sz w:val="32"/>
          <w:szCs w:val="32"/>
        </w:rPr>
        <w:t>（2）管理情况</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昌吉市交通运输局</w:t>
      </w:r>
      <w:r>
        <w:rPr>
          <w:rFonts w:hint="eastAsia" w:ascii="仿宋_GB2312" w:eastAsia="仿宋_GB2312"/>
          <w:color w:val="auto"/>
          <w:sz w:val="32"/>
          <w:szCs w:val="32"/>
        </w:rPr>
        <w:t>严格按照项目计划执行，明确部门管理职责，</w:t>
      </w:r>
      <w:r>
        <w:rPr>
          <w:rFonts w:hint="eastAsia" w:ascii="仿宋" w:hAnsi="仿宋" w:eastAsia="仿宋" w:cs="仿宋"/>
          <w:color w:val="000000"/>
          <w:sz w:val="32"/>
          <w:szCs w:val="32"/>
        </w:rPr>
        <w:t>严格按照《中华人民共和国预算法》和国家有关法律、法规的规定，在法律赋予部门的职能范围内按依法合规、科学规范、全面绩效的原则编制和执行部门项目预算管理。根据年度工作任务和事业发展计划，客观、合理的制定项目资金计划，并按照项目的轻重缓急进行资金安排。</w:t>
      </w:r>
      <w:r>
        <w:rPr>
          <w:rFonts w:hint="eastAsia" w:ascii="仿宋_GB2312" w:eastAsia="仿宋_GB2312"/>
          <w:color w:val="auto"/>
          <w:sz w:val="32"/>
          <w:szCs w:val="32"/>
        </w:rPr>
        <w:t>不擅自调项、扩项、缩项，更不拆借、挪用、挤占和随意扣压，提高财政资金使用效益。</w:t>
      </w:r>
    </w:p>
    <w:p>
      <w:pPr>
        <w:spacing w:line="540" w:lineRule="exact"/>
        <w:ind w:firstLine="640" w:firstLineChars="200"/>
        <w:rPr>
          <w:rFonts w:ascii="仿宋" w:hAnsi="仿宋" w:eastAsia="仿宋" w:cs="仿宋"/>
          <w:color w:val="000000"/>
          <w:sz w:val="32"/>
          <w:szCs w:val="32"/>
        </w:rPr>
      </w:pPr>
      <w:r>
        <w:rPr>
          <w:rFonts w:hint="eastAsia" w:ascii="仿宋_GB2312" w:eastAsia="仿宋_GB2312"/>
          <w:sz w:val="32"/>
          <w:szCs w:val="32"/>
        </w:rPr>
        <w:t>（3）监管情况：</w:t>
      </w:r>
      <w:r>
        <w:rPr>
          <w:rFonts w:hint="eastAsia" w:ascii="仿宋" w:hAnsi="仿宋" w:eastAsia="仿宋" w:cs="仿宋"/>
          <w:color w:val="000000"/>
          <w:sz w:val="32"/>
          <w:szCs w:val="32"/>
        </w:rPr>
        <w:t>每个项目都指派业务人员作为项目业务负责人，开展业务可行性研究，组织项目概算，提出项目经费申请，制定与及时调整项目进度计划，参与项目采购文件编制与评审、合同签订、项目实施、验收等相关工作。局党组指派干部负责对各项目全过程的工作效能、程序合法性、干部廉洁行为等方面进行监督管理。</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color w:val="auto"/>
          <w:sz w:val="32"/>
          <w:szCs w:val="32"/>
          <w:lang w:val="en-US" w:eastAsia="zh-CN"/>
        </w:rPr>
        <w:t>2</w:t>
      </w:r>
      <w:r>
        <w:rPr>
          <w:rFonts w:hint="eastAsia" w:ascii="仿宋_GB2312" w:eastAsia="仿宋_GB2312"/>
          <w:sz w:val="32"/>
          <w:szCs w:val="32"/>
        </w:rPr>
        <w:t>个专项项目实际绩效情况如下：</w:t>
      </w:r>
    </w:p>
    <w:p>
      <w:pPr>
        <w:ind w:firstLine="640"/>
        <w:rPr>
          <w:rFonts w:hint="eastAsia" w:ascii="仿宋_GB2312" w:eastAsia="仿宋_GB2312" w:cs="Times New Roman"/>
          <w:sz w:val="32"/>
          <w:szCs w:val="32"/>
        </w:rPr>
      </w:pPr>
      <w:r>
        <w:rPr>
          <w:rFonts w:hint="eastAsia" w:ascii="仿宋_GB2312" w:eastAsia="仿宋_GB2312"/>
          <w:sz w:val="32"/>
          <w:szCs w:val="32"/>
        </w:rPr>
        <w:t>（1）成本控制：</w:t>
      </w:r>
      <w:r>
        <w:rPr>
          <w:rFonts w:hint="eastAsia" w:ascii="仿宋_GB2312" w:eastAsia="仿宋_GB2312" w:cs="Times New Roman"/>
          <w:sz w:val="32"/>
          <w:szCs w:val="32"/>
          <w:lang w:val="en-US" w:eastAsia="zh-CN"/>
        </w:rPr>
        <w:t>昌吉市交通运输局</w:t>
      </w:r>
      <w:r>
        <w:rPr>
          <w:rFonts w:hint="eastAsia" w:ascii="仿宋_GB2312" w:eastAsia="仿宋_GB2312" w:cs="Times New Roman"/>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cs="Times New Roman"/>
          <w:sz w:val="32"/>
          <w:szCs w:val="32"/>
        </w:rPr>
      </w:pPr>
      <w:r>
        <w:rPr>
          <w:rFonts w:hint="eastAsia" w:ascii="仿宋_GB2312" w:eastAsia="仿宋_GB2312"/>
          <w:sz w:val="32"/>
          <w:szCs w:val="32"/>
        </w:rPr>
        <w:t>（2）成本节约：</w:t>
      </w:r>
      <w:r>
        <w:rPr>
          <w:rFonts w:hint="eastAsia" w:ascii="仿宋_GB2312" w:eastAsia="仿宋_GB2312"/>
          <w:sz w:val="32"/>
          <w:szCs w:val="32"/>
          <w:lang w:val="en-US" w:eastAsia="zh-CN"/>
        </w:rPr>
        <w:t>昌吉市交通运输局</w:t>
      </w:r>
      <w:r>
        <w:rPr>
          <w:rFonts w:hint="eastAsia" w:ascii="仿宋_GB2312" w:eastAsia="仿宋_GB2312" w:cs="Times New Roman"/>
          <w:sz w:val="32"/>
          <w:szCs w:val="32"/>
        </w:rPr>
        <w:t>在实施专项项目过程中，无相关成本节约情况。</w:t>
      </w:r>
    </w:p>
    <w:p>
      <w:pPr>
        <w:ind w:firstLine="640"/>
        <w:rPr>
          <w:rFonts w:hint="eastAsia" w:ascii="仿宋_GB2312" w:eastAsia="仿宋_GB2312"/>
          <w:b/>
          <w:bCs/>
          <w:sz w:val="32"/>
          <w:szCs w:val="32"/>
        </w:rPr>
      </w:pPr>
      <w:r>
        <w:rPr>
          <w:rFonts w:hint="eastAsia" w:ascii="仿宋_GB2312" w:eastAsia="仿宋_GB2312"/>
          <w:b/>
          <w:bCs/>
          <w:sz w:val="32"/>
          <w:szCs w:val="32"/>
        </w:rPr>
        <w:t>4.项目效率性分析（实施进度、完成质量）</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年车辆购置税收入补助地方资金预算用于农村公路建设项目已完成，实施进度为100%，达到预期完成质量要求；</w:t>
      </w:r>
    </w:p>
    <w:p>
      <w:pPr>
        <w:ind w:firstLine="640"/>
        <w:rPr>
          <w:rFonts w:hint="default"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2022年自治区第三批地方政府债券（一般债）昌吉市农村公路建设项目已完成，实施进度为100%，达到预期完成质量要求</w:t>
      </w:r>
      <w:r>
        <w:rPr>
          <w:rFonts w:hint="eastAsia" w:ascii="仿宋_GB2312" w:eastAsia="仿宋_GB2312" w:cs="Times New Roman"/>
          <w:b w:val="0"/>
          <w:bCs w:val="0"/>
          <w:kern w:val="2"/>
          <w:sz w:val="32"/>
          <w:szCs w:val="32"/>
          <w:lang w:val="en-US" w:eastAsia="zh-CN" w:bidi="ar-SA"/>
        </w:rPr>
        <w:t>。</w:t>
      </w:r>
    </w:p>
    <w:p>
      <w:pPr>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pStyle w:val="5"/>
        <w:ind w:firstLine="640"/>
        <w:rPr>
          <w:rFonts w:hint="default" w:hAnsi="仿宋"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年车辆购置税收入补助地方资金预算用于农村公路建设项目</w:t>
      </w:r>
      <w:r>
        <w:rPr>
          <w:rFonts w:hint="eastAsia" w:hAnsi="仿宋" w:cs="Times New Roman"/>
          <w:b w:val="0"/>
          <w:bCs w:val="0"/>
          <w:kern w:val="2"/>
          <w:sz w:val="32"/>
          <w:szCs w:val="32"/>
          <w:lang w:val="en-US" w:eastAsia="zh-CN" w:bidi="ar-SA"/>
        </w:rPr>
        <w:t>2225.08万元</w:t>
      </w:r>
      <w:r>
        <w:rPr>
          <w:rFonts w:hint="eastAsia" w:ascii="仿宋_GB2312" w:hAnsi="仿宋" w:eastAsia="仿宋_GB2312" w:cs="Times New Roman"/>
          <w:b w:val="0"/>
          <w:bCs w:val="0"/>
          <w:kern w:val="2"/>
          <w:sz w:val="32"/>
          <w:szCs w:val="32"/>
          <w:lang w:val="en-US" w:eastAsia="zh-CN" w:bidi="ar-SA"/>
        </w:rPr>
        <w:t>，</w:t>
      </w:r>
      <w:r>
        <w:rPr>
          <w:rFonts w:hint="eastAsia" w:hAnsi="仿宋" w:cs="Times New Roman"/>
          <w:b w:val="0"/>
          <w:bCs w:val="0"/>
          <w:kern w:val="2"/>
          <w:sz w:val="32"/>
          <w:szCs w:val="32"/>
          <w:lang w:val="en-US" w:eastAsia="zh-CN" w:bidi="ar-SA"/>
        </w:rPr>
        <w:t>该项目完成了156.55公里的农村公路安保设施的安装，一般道路的提升改造28.81公里，完成村道路网结构的提升292.29公里。在一定程度上缓解农村道路出行状况，同时也对农村经济带来一定的发展推动作用。</w:t>
      </w:r>
    </w:p>
    <w:p>
      <w:pPr>
        <w:ind w:firstLine="640"/>
        <w:rPr>
          <w:rFonts w:hint="eastAsia" w:ascii="仿宋_GB2312" w:eastAsia="仿宋_GB2312" w:cs="仿宋"/>
          <w:color w:val="auto"/>
          <w:sz w:val="32"/>
          <w:szCs w:val="32"/>
        </w:rPr>
      </w:pPr>
      <w:r>
        <w:rPr>
          <w:rFonts w:hint="eastAsia" w:ascii="仿宋_GB2312" w:hAnsi="仿宋" w:eastAsia="仿宋_GB2312" w:cs="Times New Roman"/>
          <w:b w:val="0"/>
          <w:bCs w:val="0"/>
          <w:kern w:val="2"/>
          <w:sz w:val="32"/>
          <w:szCs w:val="32"/>
          <w:lang w:val="en-US" w:eastAsia="zh-CN" w:bidi="ar-SA"/>
        </w:rPr>
        <w:t>2022年自治区第三批地方政府债券（一般债）昌吉市农村公路建设项目</w:t>
      </w:r>
      <w:r>
        <w:rPr>
          <w:rFonts w:hint="eastAsia" w:ascii="仿宋_GB2312" w:eastAsia="仿宋_GB2312" w:cs="仿宋"/>
          <w:color w:val="auto"/>
          <w:sz w:val="32"/>
          <w:szCs w:val="32"/>
        </w:rPr>
        <w:t>目前完成10个乡镇农村公路新建及改造里程</w:t>
      </w:r>
      <w:r>
        <w:rPr>
          <w:rFonts w:hint="eastAsia" w:ascii="仿宋_GB2312" w:eastAsia="仿宋_GB2312" w:cs="仿宋"/>
          <w:color w:val="auto"/>
          <w:sz w:val="32"/>
          <w:szCs w:val="32"/>
          <w:lang w:val="en-US" w:eastAsia="zh-CN"/>
        </w:rPr>
        <w:t>44.60</w:t>
      </w:r>
      <w:r>
        <w:rPr>
          <w:rFonts w:hint="eastAsia" w:ascii="仿宋_GB2312" w:eastAsia="仿宋_GB2312" w:cs="仿宋"/>
          <w:color w:val="auto"/>
          <w:sz w:val="32"/>
          <w:szCs w:val="32"/>
        </w:rPr>
        <w:t>公里，能够较大改善农村居民出行状况，同时也有效推动地方经济的发展，让农村群众获得更好的幸福感，满意度达到95%。</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62838.49</w:t>
      </w:r>
      <w:r>
        <w:rPr>
          <w:rFonts w:hint="eastAsia" w:ascii="仿宋_GB2312" w:eastAsia="仿宋_GB2312"/>
          <w:color w:val="auto"/>
          <w:sz w:val="32"/>
          <w:szCs w:val="32"/>
        </w:rPr>
        <w:t>万元，较年初资产总额增加</w:t>
      </w:r>
      <w:r>
        <w:rPr>
          <w:rFonts w:hint="eastAsia" w:ascii="仿宋_GB2312" w:eastAsia="仿宋_GB2312"/>
          <w:color w:val="auto"/>
          <w:sz w:val="32"/>
          <w:szCs w:val="32"/>
          <w:lang w:val="en-US" w:eastAsia="zh-CN"/>
        </w:rPr>
        <w:t>11725.11</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45.8</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5230.61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5798.10</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增加567.49</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增长10.8</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本年度年末项目履约保证金增加，导致流动资产增加。</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5364.71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79.81</w:t>
      </w:r>
      <w:r>
        <w:rPr>
          <w:rFonts w:hint="eastAsia" w:ascii="仿宋_GB2312" w:eastAsia="仿宋_GB2312"/>
          <w:color w:val="auto"/>
          <w:sz w:val="32"/>
          <w:szCs w:val="32"/>
        </w:rPr>
        <w:t>万元，较年初固定资产</w:t>
      </w:r>
      <w:r>
        <w:rPr>
          <w:rFonts w:hint="eastAsia" w:ascii="仿宋_GB2312" w:eastAsia="仿宋_GB2312"/>
          <w:color w:val="auto"/>
          <w:sz w:val="32"/>
          <w:szCs w:val="32"/>
          <w:lang w:val="en-US" w:eastAsia="zh-CN"/>
        </w:rPr>
        <w:t>减少5284.9</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下降98.5</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固定资产年度正常折旧，同时公路基础设施转移至其他科目内，导致年底固定资产净值减少</w:t>
      </w:r>
      <w:r>
        <w:rPr>
          <w:rFonts w:hint="eastAsia" w:ascii="仿宋_GB2312" w:eastAsia="仿宋_GB2312"/>
          <w:color w:val="auto"/>
          <w:sz w:val="32"/>
          <w:szCs w:val="32"/>
        </w:rPr>
        <w:t>。</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2022年初，公共基础设施未0.00万元，年末总额为17621.41万元，较上年度公共基础设施增加17621.41万元，增长100.0%，</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部分固定资产转至公路基础设施转移至其他科目内，导致公共基础设施增加</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w:t>
      </w:r>
      <w:r>
        <w:rPr>
          <w:rFonts w:hint="eastAsia" w:ascii="仿宋_GB2312" w:eastAsia="仿宋_GB2312"/>
          <w:color w:val="auto"/>
          <w:sz w:val="32"/>
          <w:szCs w:val="32"/>
          <w:lang w:val="en-US" w:eastAsia="zh-CN"/>
        </w:rPr>
        <w:t>在建工程</w:t>
      </w:r>
      <w:r>
        <w:rPr>
          <w:rFonts w:hint="eastAsia" w:ascii="仿宋_GB2312" w:eastAsia="仿宋_GB2312"/>
          <w:color w:val="auto"/>
          <w:sz w:val="32"/>
          <w:szCs w:val="32"/>
        </w:rPr>
        <w:t>总额为</w:t>
      </w:r>
      <w:r>
        <w:rPr>
          <w:rFonts w:hint="eastAsia" w:ascii="仿宋_GB2312" w:eastAsia="仿宋_GB2312"/>
          <w:color w:val="auto"/>
          <w:sz w:val="32"/>
          <w:szCs w:val="32"/>
          <w:lang w:val="en-US" w:eastAsia="zh-CN"/>
        </w:rPr>
        <w:t>32518.08</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39339.17</w:t>
      </w:r>
      <w:r>
        <w:rPr>
          <w:rFonts w:hint="eastAsia" w:ascii="仿宋_GB2312" w:eastAsia="仿宋_GB2312"/>
          <w:color w:val="auto"/>
          <w:sz w:val="32"/>
          <w:szCs w:val="32"/>
        </w:rPr>
        <w:t>万元，较年初</w:t>
      </w:r>
      <w:r>
        <w:rPr>
          <w:rFonts w:hint="eastAsia" w:ascii="仿宋_GB2312" w:eastAsia="仿宋_GB2312"/>
          <w:color w:val="auto"/>
          <w:sz w:val="32"/>
          <w:szCs w:val="32"/>
          <w:lang w:val="en-US" w:eastAsia="zh-CN"/>
        </w:rPr>
        <w:t>在建工程</w:t>
      </w:r>
      <w:r>
        <w:rPr>
          <w:rFonts w:hint="eastAsia" w:ascii="仿宋_GB2312" w:eastAsia="仿宋_GB2312"/>
          <w:color w:val="auto"/>
          <w:sz w:val="32"/>
          <w:szCs w:val="32"/>
        </w:rPr>
        <w:t>增加</w:t>
      </w:r>
      <w:r>
        <w:rPr>
          <w:rFonts w:hint="eastAsia" w:ascii="仿宋_GB2312" w:eastAsia="仿宋_GB2312"/>
          <w:color w:val="auto"/>
          <w:sz w:val="32"/>
          <w:szCs w:val="32"/>
          <w:lang w:val="en-US" w:eastAsia="zh-CN"/>
        </w:rPr>
        <w:t>6821.09</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20.9</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我局本年度实施基建项目较多，造成在建工程账面价值增加</w:t>
      </w:r>
      <w:r>
        <w:rPr>
          <w:rFonts w:hint="eastAsia" w:ascii="仿宋_GB2312" w:eastAsia="仿宋_GB2312"/>
          <w:color w:val="auto"/>
          <w:sz w:val="32"/>
          <w:szCs w:val="32"/>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w:t>
      </w:r>
      <w:r>
        <w:rPr>
          <w:rFonts w:hint="eastAsia" w:ascii="仿宋_GB2312" w:eastAsia="仿宋_GB2312"/>
          <w:bCs/>
          <w:color w:val="auto"/>
          <w:spacing w:val="-4"/>
          <w:sz w:val="32"/>
          <w:szCs w:val="32"/>
          <w:lang w:val="en-US" w:eastAsia="zh-CN"/>
        </w:rPr>
        <w:t>22</w:t>
      </w:r>
      <w:r>
        <w:rPr>
          <w:rFonts w:hint="eastAsia" w:ascii="仿宋_GB2312" w:eastAsia="仿宋_GB2312"/>
          <w:bCs/>
          <w:color w:val="auto"/>
          <w:spacing w:val="-4"/>
          <w:sz w:val="32"/>
          <w:szCs w:val="32"/>
        </w:rPr>
        <w:t>年度，</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交通运输局</w:t>
      </w:r>
      <w:r>
        <w:rPr>
          <w:rFonts w:hint="eastAsia" w:ascii="仿宋_GB2312" w:eastAsia="仿宋_GB2312"/>
          <w:bCs/>
          <w:color w:val="auto"/>
          <w:spacing w:val="-4"/>
          <w:sz w:val="32"/>
          <w:szCs w:val="32"/>
        </w:rPr>
        <w:t>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16</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16</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w:t>
      </w:r>
      <w:r>
        <w:rPr>
          <w:rFonts w:hint="eastAsia" w:ascii="仿宋_GB2312" w:eastAsia="仿宋_GB2312"/>
          <w:bCs/>
          <w:color w:val="auto"/>
          <w:spacing w:val="-4"/>
          <w:sz w:val="32"/>
          <w:szCs w:val="32"/>
        </w:rPr>
        <w:t>%。</w:t>
      </w:r>
    </w:p>
    <w:p>
      <w:pPr>
        <w:pStyle w:val="5"/>
        <w:ind w:firstLine="640"/>
        <w:rPr>
          <w:sz w:val="32"/>
        </w:rPr>
      </w:pPr>
      <w:r>
        <w:rPr>
          <w:rFonts w:hint="eastAsia"/>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s="Times New Roman"/>
          <w:bCs/>
          <w:color w:val="auto"/>
          <w:spacing w:val="-4"/>
          <w:sz w:val="32"/>
          <w:szCs w:val="32"/>
        </w:rPr>
        <w:t>“组织各类培训宣传活动”</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s="Times New Roman"/>
          <w:bCs/>
          <w:color w:val="auto"/>
          <w:spacing w:val="-4"/>
          <w:sz w:val="32"/>
          <w:szCs w:val="32"/>
        </w:rPr>
        <w:t>“路政年度日常巡道里程”</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≥7000公里</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7500公里</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s="Times New Roman"/>
          <w:bCs/>
          <w:color w:val="auto"/>
          <w:spacing w:val="-4"/>
          <w:sz w:val="32"/>
          <w:szCs w:val="32"/>
        </w:rPr>
        <w:t>“年度新建道路工程里数”指标：预期指标值为“</w:t>
      </w:r>
      <w:r>
        <w:rPr>
          <w:rFonts w:hint="eastAsia" w:ascii="仿宋_GB2312" w:eastAsia="仿宋_GB2312" w:cs="Times New Roman"/>
          <w:bCs/>
          <w:color w:val="auto"/>
          <w:spacing w:val="-4"/>
          <w:sz w:val="32"/>
          <w:szCs w:val="32"/>
          <w:lang w:val="en-US" w:eastAsia="zh-CN"/>
        </w:rPr>
        <w:t>≥50公里</w:t>
      </w:r>
      <w:r>
        <w:rPr>
          <w:rFonts w:hint="eastAsia" w:ascii="仿宋_GB2312" w:eastAsia="仿宋_GB2312" w:cs="Times New Roman"/>
          <w:bCs/>
          <w:color w:val="auto"/>
          <w:spacing w:val="-4"/>
          <w:sz w:val="32"/>
          <w:szCs w:val="32"/>
        </w:rPr>
        <w:t>”，实际完成指标值为“</w:t>
      </w:r>
      <w:r>
        <w:rPr>
          <w:rFonts w:hint="eastAsia" w:ascii="仿宋_GB2312" w:eastAsia="仿宋_GB2312" w:cs="Times New Roman"/>
          <w:bCs/>
          <w:color w:val="auto"/>
          <w:spacing w:val="-4"/>
          <w:sz w:val="32"/>
          <w:szCs w:val="32"/>
          <w:lang w:val="en-US" w:eastAsia="zh-CN"/>
        </w:rPr>
        <w:t>50公里</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s="Times New Roman"/>
          <w:bCs/>
          <w:color w:val="auto"/>
          <w:spacing w:val="-4"/>
          <w:sz w:val="32"/>
          <w:szCs w:val="32"/>
        </w:rPr>
        <w:t>“</w:t>
      </w:r>
      <w:r>
        <w:rPr>
          <w:rFonts w:hint="eastAsia" w:ascii="仿宋_GB2312" w:eastAsia="仿宋_GB2312" w:cs="Times New Roman"/>
          <w:bCs/>
          <w:color w:val="auto"/>
          <w:spacing w:val="-4"/>
          <w:sz w:val="32"/>
          <w:szCs w:val="32"/>
          <w:lang w:val="en-US" w:eastAsia="zh-CN"/>
        </w:rPr>
        <w:t>年度对主管行业内各类企业检查次数</w:t>
      </w:r>
      <w:r>
        <w:rPr>
          <w:rFonts w:hint="eastAsia" w:ascii="仿宋_GB2312" w:eastAsia="仿宋_GB2312" w:cs="Times New Roman"/>
          <w:bCs/>
          <w:color w:val="auto"/>
          <w:spacing w:val="-4"/>
          <w:sz w:val="32"/>
          <w:szCs w:val="32"/>
        </w:rPr>
        <w:t>”指标：预期指标值为“</w:t>
      </w:r>
      <w:r>
        <w:rPr>
          <w:rFonts w:hint="eastAsia" w:ascii="仿宋_GB2312" w:eastAsia="仿宋_GB2312" w:cs="Times New Roman"/>
          <w:bCs/>
          <w:color w:val="auto"/>
          <w:spacing w:val="-4"/>
          <w:sz w:val="32"/>
          <w:szCs w:val="32"/>
          <w:lang w:val="en-US" w:eastAsia="zh-CN"/>
        </w:rPr>
        <w:t>≥4次</w:t>
      </w:r>
      <w:r>
        <w:rPr>
          <w:rFonts w:hint="eastAsia" w:ascii="仿宋_GB2312" w:eastAsia="仿宋_GB2312" w:cs="Times New Roman"/>
          <w:bCs/>
          <w:color w:val="auto"/>
          <w:spacing w:val="-4"/>
          <w:sz w:val="32"/>
          <w:szCs w:val="32"/>
        </w:rPr>
        <w:t>”，实际完成指标值为“</w:t>
      </w:r>
      <w:r>
        <w:rPr>
          <w:rFonts w:hint="eastAsia" w:ascii="仿宋_GB2312" w:eastAsia="仿宋_GB2312" w:cs="Times New Roman"/>
          <w:bCs/>
          <w:color w:val="auto"/>
          <w:spacing w:val="-4"/>
          <w:sz w:val="32"/>
          <w:szCs w:val="32"/>
          <w:lang w:val="en-US" w:eastAsia="zh-CN"/>
        </w:rPr>
        <w:t>4次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s="Times New Roman"/>
          <w:bCs/>
          <w:color w:val="auto"/>
          <w:spacing w:val="-4"/>
          <w:sz w:val="32"/>
          <w:szCs w:val="32"/>
        </w:rPr>
        <w:t>“</w:t>
      </w:r>
      <w:r>
        <w:rPr>
          <w:rFonts w:hint="eastAsia" w:ascii="仿宋_GB2312" w:eastAsia="仿宋_GB2312" w:cs="Times New Roman"/>
          <w:bCs/>
          <w:color w:val="auto"/>
          <w:spacing w:val="-4"/>
          <w:sz w:val="32"/>
          <w:szCs w:val="32"/>
          <w:lang w:val="en-US" w:eastAsia="zh-CN"/>
        </w:rPr>
        <w:t>房屋建筑供暖面积</w:t>
      </w:r>
      <w:r>
        <w:rPr>
          <w:rFonts w:hint="eastAsia" w:ascii="仿宋_GB2312" w:eastAsia="仿宋_GB2312" w:cs="Times New Roman"/>
          <w:bCs/>
          <w:color w:val="auto"/>
          <w:spacing w:val="-4"/>
          <w:sz w:val="32"/>
          <w:szCs w:val="32"/>
        </w:rPr>
        <w:t>”指标：预期指标值为“</w:t>
      </w:r>
      <w:r>
        <w:rPr>
          <w:rFonts w:hint="eastAsia" w:ascii="仿宋_GB2312" w:eastAsia="仿宋_GB2312" w:cs="Times New Roman"/>
          <w:bCs/>
          <w:color w:val="auto"/>
          <w:spacing w:val="-4"/>
          <w:sz w:val="32"/>
          <w:szCs w:val="32"/>
          <w:lang w:val="en-US" w:eastAsia="zh-CN"/>
        </w:rPr>
        <w:t>＝483.91平方米</w:t>
      </w:r>
      <w:r>
        <w:rPr>
          <w:rFonts w:hint="eastAsia" w:ascii="仿宋_GB2312" w:eastAsia="仿宋_GB2312" w:cs="Times New Roman"/>
          <w:bCs/>
          <w:color w:val="auto"/>
          <w:spacing w:val="-4"/>
          <w:sz w:val="32"/>
          <w:szCs w:val="32"/>
        </w:rPr>
        <w:t>”，实际完成指标值为“</w:t>
      </w:r>
      <w:r>
        <w:rPr>
          <w:rFonts w:hint="eastAsia" w:ascii="仿宋_GB2312" w:eastAsia="仿宋_GB2312" w:cs="Times New Roman"/>
          <w:bCs/>
          <w:color w:val="auto"/>
          <w:spacing w:val="-4"/>
          <w:sz w:val="32"/>
          <w:szCs w:val="32"/>
          <w:lang w:val="en-US" w:eastAsia="zh-CN"/>
        </w:rPr>
        <w:t>483.91平方米</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s="Times New Roman"/>
          <w:bCs/>
          <w:color w:val="auto"/>
          <w:spacing w:val="-4"/>
          <w:sz w:val="32"/>
          <w:szCs w:val="32"/>
        </w:rPr>
        <w:t>“</w:t>
      </w:r>
      <w:r>
        <w:rPr>
          <w:rFonts w:hint="eastAsia" w:ascii="仿宋_GB2312" w:eastAsia="仿宋_GB2312" w:cs="Times New Roman"/>
          <w:bCs/>
          <w:color w:val="auto"/>
          <w:spacing w:val="-4"/>
          <w:sz w:val="32"/>
          <w:szCs w:val="32"/>
          <w:lang w:val="en-US" w:eastAsia="zh-CN"/>
        </w:rPr>
        <w:t>公务保障用车数量</w:t>
      </w:r>
      <w:r>
        <w:rPr>
          <w:rFonts w:hint="eastAsia" w:ascii="仿宋_GB2312" w:eastAsia="仿宋_GB2312" w:cs="Times New Roman"/>
          <w:bCs/>
          <w:color w:val="auto"/>
          <w:spacing w:val="-4"/>
          <w:sz w:val="32"/>
          <w:szCs w:val="32"/>
        </w:rPr>
        <w:t>”指标：预期指标值为“</w:t>
      </w:r>
      <w:r>
        <w:rPr>
          <w:rFonts w:hint="eastAsia" w:ascii="仿宋_GB2312" w:eastAsia="仿宋_GB2312" w:cs="Times New Roman"/>
          <w:bCs/>
          <w:color w:val="auto"/>
          <w:spacing w:val="-4"/>
          <w:sz w:val="32"/>
          <w:szCs w:val="32"/>
          <w:lang w:val="en-US" w:eastAsia="zh-CN"/>
        </w:rPr>
        <w:t>＝4辆</w:t>
      </w:r>
      <w:r>
        <w:rPr>
          <w:rFonts w:hint="eastAsia" w:ascii="仿宋_GB2312" w:eastAsia="仿宋_GB2312" w:cs="Times New Roman"/>
          <w:bCs/>
          <w:color w:val="auto"/>
          <w:spacing w:val="-4"/>
          <w:sz w:val="32"/>
          <w:szCs w:val="32"/>
        </w:rPr>
        <w:t>”，实际完成指标值为“</w:t>
      </w:r>
      <w:r>
        <w:rPr>
          <w:rFonts w:hint="eastAsia" w:ascii="仿宋_GB2312" w:eastAsia="仿宋_GB2312" w:cs="Times New Roman"/>
          <w:bCs/>
          <w:color w:val="auto"/>
          <w:spacing w:val="-4"/>
          <w:sz w:val="32"/>
          <w:szCs w:val="32"/>
          <w:lang w:val="en-US" w:eastAsia="zh-CN"/>
        </w:rPr>
        <w:t>4辆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left="0" w:leftChars="0" w:firstLine="624" w:firstLineChars="200"/>
        <w:rPr>
          <w:rFonts w:hint="default" w:eastAsia="仿宋_GB2312"/>
          <w:lang w:val="en-US" w:eastAsia="zh-CN"/>
        </w:rPr>
      </w:pPr>
      <w:r>
        <w:rPr>
          <w:rFonts w:hint="eastAsia" w:ascii="仿宋_GB2312" w:eastAsia="仿宋_GB2312" w:cs="Times New Roman"/>
          <w:bCs/>
          <w:color w:val="auto"/>
          <w:spacing w:val="-4"/>
          <w:sz w:val="32"/>
          <w:szCs w:val="32"/>
        </w:rPr>
        <w:t>“</w:t>
      </w:r>
      <w:r>
        <w:rPr>
          <w:rFonts w:hint="eastAsia" w:ascii="仿宋_GB2312" w:eastAsia="仿宋_GB2312" w:cs="Times New Roman"/>
          <w:bCs/>
          <w:color w:val="auto"/>
          <w:spacing w:val="-4"/>
          <w:sz w:val="32"/>
          <w:szCs w:val="32"/>
          <w:lang w:val="en-US" w:eastAsia="zh-CN"/>
        </w:rPr>
        <w:t>保障办公人员数量</w:t>
      </w:r>
      <w:r>
        <w:rPr>
          <w:rFonts w:hint="eastAsia" w:ascii="仿宋_GB2312" w:eastAsia="仿宋_GB2312" w:cs="Times New Roman"/>
          <w:bCs/>
          <w:color w:val="auto"/>
          <w:spacing w:val="-4"/>
          <w:sz w:val="32"/>
          <w:szCs w:val="32"/>
        </w:rPr>
        <w:t>”指标：预期指标值为“</w:t>
      </w:r>
      <w:r>
        <w:rPr>
          <w:rFonts w:hint="eastAsia" w:ascii="仿宋_GB2312" w:eastAsia="仿宋_GB2312" w:cs="Times New Roman"/>
          <w:bCs/>
          <w:color w:val="auto"/>
          <w:spacing w:val="-4"/>
          <w:sz w:val="32"/>
          <w:szCs w:val="32"/>
          <w:lang w:val="en-US" w:eastAsia="zh-CN"/>
        </w:rPr>
        <w:t>＝68人</w:t>
      </w:r>
      <w:r>
        <w:rPr>
          <w:rFonts w:hint="eastAsia" w:ascii="仿宋_GB2312" w:eastAsia="仿宋_GB2312" w:cs="Times New Roman"/>
          <w:bCs/>
          <w:color w:val="auto"/>
          <w:spacing w:val="-4"/>
          <w:sz w:val="32"/>
          <w:szCs w:val="32"/>
        </w:rPr>
        <w:t>”，实际完成指标值为“</w:t>
      </w:r>
      <w:r>
        <w:rPr>
          <w:rFonts w:hint="eastAsia" w:ascii="仿宋_GB2312" w:eastAsia="仿宋_GB2312" w:cs="Times New Roman"/>
          <w:bCs/>
          <w:color w:val="auto"/>
          <w:spacing w:val="-4"/>
          <w:sz w:val="32"/>
          <w:szCs w:val="32"/>
          <w:lang w:val="en-US" w:eastAsia="zh-CN"/>
        </w:rPr>
        <w:t>62人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91.2</w:t>
      </w:r>
      <w:r>
        <w:rPr>
          <w:rFonts w:hint="eastAsia" w:ascii="仿宋_GB2312" w:eastAsia="仿宋_GB2312"/>
          <w:color w:val="auto"/>
          <w:sz w:val="32"/>
          <w:szCs w:val="32"/>
        </w:rPr>
        <w:t>%;</w:t>
      </w:r>
    </w:p>
    <w:p>
      <w:pPr>
        <w:numPr>
          <w:ilvl w:val="0"/>
          <w:numId w:val="8"/>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color w:val="auto"/>
          <w:sz w:val="32"/>
          <w:szCs w:val="32"/>
        </w:rPr>
      </w:pPr>
      <w:r>
        <w:rPr>
          <w:rFonts w:hint="eastAsia" w:ascii="仿宋_GB2312" w:eastAsia="仿宋_GB2312" w:cs="Times New Roman"/>
          <w:bCs/>
          <w:color w:val="auto"/>
          <w:spacing w:val="-4"/>
          <w:sz w:val="32"/>
          <w:szCs w:val="32"/>
        </w:rPr>
        <w:t>“各项工作任务开展及时率”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pPr>
      <w:r>
        <w:rPr>
          <w:rFonts w:hint="eastAsia" w:ascii="仿宋_GB2312" w:eastAsia="仿宋_GB2312" w:cs="Times New Roman"/>
          <w:bCs/>
          <w:color w:val="auto"/>
          <w:spacing w:val="-4"/>
          <w:sz w:val="32"/>
          <w:szCs w:val="32"/>
        </w:rPr>
        <w:t>“信访案件回复率”指</w:t>
      </w:r>
      <w:r>
        <w:rPr>
          <w:rFonts w:hint="eastAsia" w:ascii="仿宋_GB2312" w:eastAsia="仿宋_GB2312"/>
          <w:color w:val="auto"/>
          <w:sz w:val="32"/>
          <w:szCs w:val="32"/>
        </w:rPr>
        <w:t>标：预期指标值为“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8"/>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ascii="仿宋_GB2312" w:eastAsia="仿宋_GB2312"/>
          <w:color w:val="auto"/>
          <w:sz w:val="32"/>
          <w:szCs w:val="32"/>
        </w:rPr>
      </w:pPr>
      <w:r>
        <w:rPr>
          <w:rFonts w:hint="eastAsia" w:ascii="仿宋_GB2312" w:eastAsia="仿宋_GB2312" w:cs="Times New Roman"/>
          <w:bCs/>
          <w:color w:val="auto"/>
          <w:spacing w:val="-4"/>
          <w:sz w:val="32"/>
          <w:szCs w:val="32"/>
        </w:rPr>
        <w:t>“年度任务完成时限”指</w:t>
      </w:r>
      <w:r>
        <w:rPr>
          <w:rFonts w:hint="eastAsia" w:ascii="仿宋_GB2312" w:eastAsia="仿宋_GB2312"/>
          <w:color w:val="auto"/>
          <w:sz w:val="32"/>
          <w:szCs w:val="32"/>
        </w:rPr>
        <w:t>标：预期指标值为“</w:t>
      </w:r>
      <w:r>
        <w:rPr>
          <w:rFonts w:hint="eastAsia" w:ascii="仿宋_GB2312" w:eastAsia="仿宋_GB2312"/>
          <w:color w:val="auto"/>
          <w:sz w:val="32"/>
          <w:szCs w:val="32"/>
          <w:lang w:val="en-US" w:eastAsia="zh-CN"/>
        </w:rPr>
        <w:t>2021年12月31日</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2021年12月31日</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8"/>
        </w:numPr>
        <w:ind w:firstLine="640"/>
        <w:rPr>
          <w:rFonts w:ascii="仿宋_GB2312" w:eastAsia="仿宋_GB2312"/>
          <w:sz w:val="32"/>
          <w:szCs w:val="32"/>
        </w:rPr>
      </w:pPr>
      <w:r>
        <w:rPr>
          <w:rFonts w:hint="eastAsia" w:ascii="仿宋_GB2312" w:eastAsia="仿宋_GB2312"/>
          <w:sz w:val="32"/>
          <w:szCs w:val="32"/>
        </w:rPr>
        <w:t>成本指标</w:t>
      </w:r>
    </w:p>
    <w:p>
      <w:pPr>
        <w:adjustRightInd w:val="0"/>
        <w:snapToGrid w:val="0"/>
        <w:ind w:firstLine="624"/>
        <w:rPr>
          <w:rFonts w:hint="default"/>
          <w:lang w:val="en-US" w:eastAsia="zh-CN"/>
        </w:rPr>
      </w:pPr>
      <w:r>
        <w:rPr>
          <w:rFonts w:hint="eastAsia" w:ascii="仿宋_GB2312" w:eastAsia="仿宋_GB2312" w:cs="Times New Roman"/>
          <w:bCs/>
          <w:color w:val="auto"/>
          <w:spacing w:val="-4"/>
          <w:sz w:val="32"/>
          <w:szCs w:val="32"/>
        </w:rPr>
        <w:t>“</w:t>
      </w:r>
      <w:r>
        <w:rPr>
          <w:rFonts w:hint="eastAsia" w:ascii="仿宋_GB2312" w:eastAsia="仿宋_GB2312" w:cs="Times New Roman"/>
          <w:bCs/>
          <w:color w:val="auto"/>
          <w:spacing w:val="-4"/>
          <w:sz w:val="32"/>
          <w:szCs w:val="32"/>
          <w:lang w:val="en-US" w:eastAsia="zh-CN"/>
        </w:rPr>
        <w:t>人员经费总成本</w:t>
      </w:r>
      <w:r>
        <w:rPr>
          <w:rFonts w:hint="eastAsia" w:ascii="仿宋_GB2312" w:eastAsia="仿宋_GB2312" w:cs="Times New Roman"/>
          <w:bCs/>
          <w:color w:val="auto"/>
          <w:spacing w:val="-4"/>
          <w:sz w:val="32"/>
          <w:szCs w:val="32"/>
        </w:rPr>
        <w:t>”指标：预期指标值为“</w:t>
      </w:r>
      <w:r>
        <w:rPr>
          <w:rFonts w:hint="eastAsia" w:ascii="仿宋_GB2312" w:eastAsia="仿宋_GB2312" w:cs="Times New Roman"/>
          <w:bCs/>
          <w:color w:val="auto"/>
          <w:spacing w:val="-4"/>
          <w:sz w:val="32"/>
          <w:szCs w:val="32"/>
          <w:lang w:val="en-US" w:eastAsia="zh-CN"/>
        </w:rPr>
        <w:t>≤693.20</w:t>
      </w:r>
      <w:r>
        <w:rPr>
          <w:rFonts w:hint="eastAsia" w:ascii="仿宋_GB2312" w:eastAsia="仿宋_GB2312" w:cs="Times New Roman"/>
          <w:bCs/>
          <w:color w:val="auto"/>
          <w:spacing w:val="-4"/>
          <w:sz w:val="32"/>
          <w:szCs w:val="32"/>
        </w:rPr>
        <w:t>万元”，实际完成指标值为“</w:t>
      </w:r>
      <w:r>
        <w:rPr>
          <w:rFonts w:hint="eastAsia" w:ascii="仿宋_GB2312" w:eastAsia="仿宋_GB2312" w:cs="Times New Roman"/>
          <w:bCs/>
          <w:color w:val="auto"/>
          <w:spacing w:val="-4"/>
          <w:sz w:val="32"/>
          <w:szCs w:val="32"/>
          <w:lang w:val="en-US" w:eastAsia="zh-CN"/>
        </w:rPr>
        <w:t>869.89万元</w:t>
      </w:r>
      <w:r>
        <w:rPr>
          <w:rFonts w:hint="eastAsia" w:ascii="仿宋_GB2312" w:eastAsia="仿宋_GB2312" w:cs="Times New Roman"/>
          <w:bCs/>
          <w:color w:val="auto"/>
          <w:spacing w:val="-4"/>
          <w:sz w:val="32"/>
          <w:szCs w:val="32"/>
        </w:rPr>
        <w:t>”，指标完成率为</w:t>
      </w:r>
      <w:r>
        <w:rPr>
          <w:rFonts w:hint="eastAsia" w:ascii="仿宋_GB2312" w:eastAsia="仿宋_GB2312" w:cs="Times New Roman"/>
          <w:bCs/>
          <w:color w:val="auto"/>
          <w:spacing w:val="-4"/>
          <w:sz w:val="32"/>
          <w:szCs w:val="32"/>
          <w:lang w:val="en-US" w:eastAsia="zh-CN"/>
        </w:rPr>
        <w:t>79.7</w:t>
      </w:r>
      <w:r>
        <w:rPr>
          <w:rFonts w:hint="eastAsia" w:ascii="仿宋_GB2312" w:eastAsia="仿宋_GB2312" w:cs="Times New Roman"/>
          <w:bCs/>
          <w:color w:val="auto"/>
          <w:spacing w:val="-4"/>
          <w:sz w:val="32"/>
          <w:szCs w:val="32"/>
        </w:rPr>
        <w:t>%</w:t>
      </w:r>
      <w:r>
        <w:rPr>
          <w:rFonts w:hint="eastAsia" w:ascii="仿宋_GB2312" w:eastAsia="仿宋_GB2312" w:cs="Times New Roman"/>
          <w:bCs/>
          <w:color w:val="auto"/>
          <w:spacing w:val="-4"/>
          <w:sz w:val="32"/>
          <w:szCs w:val="32"/>
          <w:lang w:eastAsia="zh-CN"/>
        </w:rPr>
        <w:t>，</w:t>
      </w:r>
      <w:r>
        <w:rPr>
          <w:rFonts w:hint="eastAsia" w:ascii="仿宋_GB2312" w:eastAsia="仿宋_GB2312" w:cs="Times New Roman"/>
          <w:bCs/>
          <w:color w:val="auto"/>
          <w:spacing w:val="-4"/>
          <w:sz w:val="32"/>
          <w:szCs w:val="32"/>
          <w:lang w:val="en-US" w:eastAsia="zh-CN"/>
        </w:rPr>
        <w:t>由于年中所有人员工资结构变化，导致增加预算。</w:t>
      </w:r>
    </w:p>
    <w:p>
      <w:pPr>
        <w:adjustRightInd w:val="0"/>
        <w:snapToGrid w:val="0"/>
        <w:ind w:firstLine="624"/>
        <w:rPr>
          <w:rFonts w:hint="eastAsia" w:ascii="仿宋_GB2312" w:eastAsia="仿宋_GB2312" w:cs="Times New Roman"/>
          <w:bCs/>
          <w:color w:val="auto"/>
          <w:spacing w:val="-4"/>
          <w:sz w:val="32"/>
          <w:szCs w:val="32"/>
          <w:lang w:val="en-US" w:eastAsia="zh-CN"/>
        </w:rPr>
      </w:pPr>
      <w:r>
        <w:rPr>
          <w:rFonts w:hint="eastAsia" w:ascii="仿宋_GB2312" w:eastAsia="仿宋_GB2312" w:cs="Times New Roman"/>
          <w:bCs/>
          <w:color w:val="auto"/>
          <w:spacing w:val="-4"/>
          <w:sz w:val="32"/>
          <w:szCs w:val="32"/>
        </w:rPr>
        <w:t>“</w:t>
      </w:r>
      <w:r>
        <w:rPr>
          <w:rFonts w:hint="eastAsia" w:ascii="仿宋_GB2312" w:eastAsia="仿宋_GB2312" w:cs="Times New Roman"/>
          <w:bCs/>
          <w:color w:val="auto"/>
          <w:spacing w:val="-4"/>
          <w:sz w:val="32"/>
          <w:szCs w:val="32"/>
          <w:lang w:val="en-US" w:eastAsia="zh-CN"/>
        </w:rPr>
        <w:t>公用运转经费总成本</w:t>
      </w:r>
      <w:r>
        <w:rPr>
          <w:rFonts w:hint="eastAsia" w:ascii="仿宋_GB2312" w:eastAsia="仿宋_GB2312" w:cs="Times New Roman"/>
          <w:bCs/>
          <w:color w:val="auto"/>
          <w:spacing w:val="-4"/>
          <w:sz w:val="32"/>
          <w:szCs w:val="32"/>
        </w:rPr>
        <w:t>”指标：预期指标值为“</w:t>
      </w:r>
      <w:r>
        <w:rPr>
          <w:rFonts w:hint="eastAsia" w:ascii="仿宋_GB2312" w:eastAsia="仿宋_GB2312" w:cs="Times New Roman"/>
          <w:bCs/>
          <w:color w:val="auto"/>
          <w:spacing w:val="-4"/>
          <w:sz w:val="32"/>
          <w:szCs w:val="32"/>
          <w:lang w:val="en-US" w:eastAsia="zh-CN"/>
        </w:rPr>
        <w:t>≤27.56</w:t>
      </w:r>
      <w:r>
        <w:rPr>
          <w:rFonts w:hint="eastAsia" w:ascii="仿宋_GB2312" w:eastAsia="仿宋_GB2312" w:cs="Times New Roman"/>
          <w:bCs/>
          <w:color w:val="auto"/>
          <w:spacing w:val="-4"/>
          <w:sz w:val="32"/>
          <w:szCs w:val="32"/>
        </w:rPr>
        <w:t>万元”，实际完成指标值为“</w:t>
      </w:r>
      <w:r>
        <w:rPr>
          <w:rFonts w:hint="eastAsia" w:ascii="仿宋_GB2312" w:eastAsia="仿宋_GB2312" w:cs="Times New Roman"/>
          <w:bCs/>
          <w:color w:val="auto"/>
          <w:spacing w:val="-4"/>
          <w:sz w:val="32"/>
          <w:szCs w:val="32"/>
          <w:lang w:val="en-US" w:eastAsia="zh-CN"/>
        </w:rPr>
        <w:t>27.56万元</w:t>
      </w:r>
      <w:r>
        <w:rPr>
          <w:rFonts w:hint="eastAsia" w:ascii="仿宋_GB2312" w:eastAsia="仿宋_GB2312" w:cs="Times New Roman"/>
          <w:bCs/>
          <w:color w:val="auto"/>
          <w:spacing w:val="-4"/>
          <w:sz w:val="32"/>
          <w:szCs w:val="32"/>
        </w:rPr>
        <w:t>”，指标完成率为</w:t>
      </w:r>
      <w:r>
        <w:rPr>
          <w:rFonts w:hint="eastAsia" w:ascii="仿宋_GB2312" w:eastAsia="仿宋_GB2312" w:cs="Times New Roman"/>
          <w:bCs/>
          <w:color w:val="auto"/>
          <w:spacing w:val="-4"/>
          <w:sz w:val="32"/>
          <w:szCs w:val="32"/>
          <w:lang w:val="en-US" w:eastAsia="zh-CN"/>
        </w:rPr>
        <w:t>100</w:t>
      </w:r>
      <w:r>
        <w:rPr>
          <w:rFonts w:hint="eastAsia" w:ascii="仿宋_GB2312" w:eastAsia="仿宋_GB2312" w:cs="Times New Roman"/>
          <w:bCs/>
          <w:color w:val="auto"/>
          <w:spacing w:val="-4"/>
          <w:sz w:val="32"/>
          <w:szCs w:val="32"/>
        </w:rPr>
        <w:t>%</w:t>
      </w:r>
      <w:r>
        <w:rPr>
          <w:rFonts w:hint="eastAsia" w:ascii="仿宋_GB2312" w:eastAsia="仿宋_GB2312" w:cs="Times New Roman"/>
          <w:bCs/>
          <w:color w:val="auto"/>
          <w:spacing w:val="-4"/>
          <w:sz w:val="32"/>
          <w:szCs w:val="32"/>
          <w:lang w:val="en-US" w:eastAsia="zh-CN"/>
        </w:rPr>
        <w:t>。</w:t>
      </w:r>
    </w:p>
    <w:p>
      <w:pPr>
        <w:pStyle w:val="5"/>
        <w:ind w:firstLine="640"/>
        <w:rPr>
          <w:sz w:val="32"/>
        </w:rPr>
      </w:pPr>
      <w:r>
        <w:rPr>
          <w:rFonts w:hint="eastAsia"/>
          <w:sz w:val="32"/>
        </w:rPr>
        <w:t>益指标完成情况分析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（1）经济效益</w:t>
      </w:r>
    </w:p>
    <w:p>
      <w:pPr>
        <w:ind w:firstLine="960" w:firstLineChars="300"/>
        <w:rPr>
          <w:rFonts w:hint="default" w:ascii="仿宋_GB2312" w:eastAsia="仿宋_GB2312"/>
          <w:color w:val="auto"/>
          <w:sz w:val="32"/>
          <w:szCs w:val="32"/>
          <w:lang w:val="en-US" w:eastAsia="zh-CN"/>
        </w:rPr>
      </w:pPr>
      <w:r>
        <w:rPr>
          <w:rFonts w:hint="eastAsia" w:ascii="仿宋_GB2312" w:eastAsia="仿宋_GB2312"/>
          <w:color w:val="auto"/>
          <w:sz w:val="32"/>
          <w:szCs w:val="32"/>
        </w:rPr>
        <w:t>无</w:t>
      </w:r>
      <w:r>
        <w:rPr>
          <w:rFonts w:hint="eastAsia" w:ascii="仿宋_GB2312" w:eastAsia="仿宋_GB2312"/>
          <w:color w:val="auto"/>
          <w:sz w:val="32"/>
          <w:szCs w:val="32"/>
          <w:lang w:val="en-US" w:eastAsia="zh-CN"/>
        </w:rPr>
        <w:t>此项指标</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s="Times New Roman"/>
          <w:bCs/>
          <w:color w:val="auto"/>
          <w:spacing w:val="-4"/>
          <w:sz w:val="32"/>
          <w:szCs w:val="32"/>
        </w:rPr>
        <w:t>“保障全市交通运输安全”指标：预期指标值为“</w:t>
      </w:r>
      <w:r>
        <w:rPr>
          <w:rFonts w:hint="eastAsia" w:ascii="仿宋_GB2312" w:eastAsia="仿宋_GB2312" w:cs="Times New Roman"/>
          <w:bCs/>
          <w:color w:val="auto"/>
          <w:spacing w:val="-4"/>
          <w:sz w:val="32"/>
          <w:szCs w:val="32"/>
          <w:lang w:val="en-US" w:eastAsia="zh-CN"/>
        </w:rPr>
        <w:t>保障</w:t>
      </w:r>
      <w:r>
        <w:rPr>
          <w:rFonts w:hint="eastAsia" w:ascii="仿宋_GB2312" w:eastAsia="仿宋_GB2312" w:cs="Times New Roman"/>
          <w:bCs/>
          <w:color w:val="auto"/>
          <w:spacing w:val="-4"/>
          <w:sz w:val="32"/>
          <w:szCs w:val="32"/>
        </w:rPr>
        <w:t>”，实际完成指标值为“</w:t>
      </w:r>
      <w:r>
        <w:rPr>
          <w:rFonts w:hint="eastAsia" w:ascii="仿宋_GB2312" w:eastAsia="仿宋_GB2312" w:cs="Times New Roman"/>
          <w:bCs/>
          <w:color w:val="auto"/>
          <w:spacing w:val="-4"/>
          <w:sz w:val="32"/>
          <w:szCs w:val="32"/>
          <w:lang w:val="en-US" w:eastAsia="zh-CN"/>
        </w:rPr>
        <w:t>有效保障</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960" w:firstLineChars="300"/>
        <w:rPr>
          <w:rFonts w:hint="eastAsia" w:ascii="仿宋_GB2312" w:eastAsia="仿宋_GB2312"/>
          <w:color w:val="auto"/>
          <w:sz w:val="32"/>
          <w:szCs w:val="32"/>
          <w:lang w:val="en-US" w:eastAsia="zh-CN"/>
        </w:rPr>
      </w:pPr>
      <w:r>
        <w:rPr>
          <w:rFonts w:hint="eastAsia" w:ascii="仿宋_GB2312" w:eastAsia="仿宋_GB2312"/>
          <w:color w:val="auto"/>
          <w:sz w:val="32"/>
          <w:szCs w:val="32"/>
        </w:rPr>
        <w:t>无</w:t>
      </w:r>
      <w:r>
        <w:rPr>
          <w:rFonts w:hint="eastAsia" w:ascii="仿宋_GB2312" w:eastAsia="仿宋_GB2312"/>
          <w:color w:val="auto"/>
          <w:sz w:val="32"/>
          <w:szCs w:val="32"/>
          <w:lang w:val="en-US" w:eastAsia="zh-CN"/>
        </w:rPr>
        <w:t>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color w:val="auto"/>
          <w:sz w:val="32"/>
          <w:szCs w:val="32"/>
        </w:rPr>
      </w:pPr>
      <w:r>
        <w:rPr>
          <w:rFonts w:hint="eastAsia" w:ascii="仿宋_GB2312" w:eastAsia="仿宋_GB2312" w:cs="Times New Roman"/>
          <w:bCs/>
          <w:color w:val="auto"/>
          <w:spacing w:val="-4"/>
          <w:sz w:val="32"/>
          <w:szCs w:val="32"/>
        </w:rPr>
        <w:t>“有效推动农村道路发展”指</w:t>
      </w:r>
      <w:r>
        <w:rPr>
          <w:rFonts w:hint="eastAsia" w:ascii="仿宋_GB2312" w:eastAsia="仿宋_GB2312"/>
          <w:color w:val="auto"/>
          <w:sz w:val="32"/>
          <w:szCs w:val="32"/>
        </w:rPr>
        <w:t>标：预期指标值为“</w:t>
      </w:r>
      <w:r>
        <w:rPr>
          <w:rFonts w:hint="eastAsia" w:ascii="仿宋_GB2312" w:eastAsia="仿宋_GB2312"/>
          <w:color w:val="auto"/>
          <w:sz w:val="32"/>
          <w:szCs w:val="32"/>
          <w:lang w:val="en-US" w:eastAsia="zh-CN"/>
        </w:rPr>
        <w:t>推动</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有效推动</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5"/>
        <w:ind w:firstLine="640"/>
        <w:rPr>
          <w:sz w:val="32"/>
        </w:rPr>
      </w:pPr>
      <w:r>
        <w:rPr>
          <w:rFonts w:hint="eastAsia"/>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群众满意度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工作人员</w:t>
      </w:r>
      <w:r>
        <w:rPr>
          <w:rFonts w:hint="eastAsia" w:ascii="仿宋_GB2312" w:eastAsia="仿宋_GB2312" w:cs="Times New Roman"/>
          <w:color w:val="auto"/>
          <w:sz w:val="32"/>
          <w:szCs w:val="32"/>
        </w:rPr>
        <w:t>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3"/>
        <w:ind w:firstLine="640"/>
        <w:rPr>
          <w:rFonts w:ascii="黑体" w:hAnsi="黑体"/>
          <w:b w:val="0"/>
          <w:sz w:val="32"/>
          <w:szCs w:val="32"/>
        </w:rPr>
      </w:pPr>
      <w:r>
        <w:rPr>
          <w:rFonts w:hint="eastAsia" w:ascii="黑体" w:hAnsi="黑体"/>
          <w:b w:val="0"/>
          <w:sz w:val="32"/>
          <w:szCs w:val="32"/>
        </w:rPr>
        <w:t>六、存在的主要问题</w:t>
      </w:r>
    </w:p>
    <w:p>
      <w:pPr>
        <w:spacing w:line="5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预算绩效管理的观念不够深入人心，预算绩效管理学习不够深入，预算绩效工作涉及项目业务、财务、效益等方面知识，能全面掌握这些知识的人员较少，特别是能对效益方面进行较好评价的人才比较缺乏，还处在学习、摸索阶段。</w:t>
      </w:r>
    </w:p>
    <w:p>
      <w:pPr>
        <w:spacing w:line="540" w:lineRule="exact"/>
        <w:ind w:firstLine="640" w:firstLineChars="200"/>
      </w:pPr>
      <w:r>
        <w:rPr>
          <w:rFonts w:hint="eastAsia" w:ascii="仿宋" w:hAnsi="仿宋" w:eastAsia="仿宋" w:cs="仿宋"/>
          <w:color w:val="000000"/>
          <w:sz w:val="32"/>
          <w:szCs w:val="32"/>
        </w:rPr>
        <w:t>（二）年末结余资金较多，我局项目资金均为为年中追加的预算，项目资金指标下达时间较晚，导致项目工作开展时间较晚，资金未能及时拨付使用，导致结余资金相对较大。</w:t>
      </w:r>
    </w:p>
    <w:p>
      <w:pPr>
        <w:pStyle w:val="3"/>
        <w:ind w:firstLine="640"/>
        <w:rPr>
          <w:rFonts w:ascii="黑体" w:hAnsi="黑体"/>
          <w:b w:val="0"/>
          <w:sz w:val="32"/>
          <w:szCs w:val="32"/>
        </w:rPr>
      </w:pPr>
      <w:r>
        <w:rPr>
          <w:rFonts w:hint="eastAsia" w:ascii="黑体" w:hAnsi="黑体"/>
          <w:b w:val="0"/>
          <w:sz w:val="32"/>
          <w:szCs w:val="32"/>
        </w:rPr>
        <w:t>七、改进措施和建议</w:t>
      </w:r>
    </w:p>
    <w:p>
      <w:pPr>
        <w:spacing w:line="5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（一）建议加大预算管理理论及实际操作培训力度，加强人才储备，一要加大理论研究力度。对预算绩效管理进行系统性研究，形成好的意见和建议，为预算绩效管理提供理论上的支持。</w:t>
      </w:r>
    </w:p>
    <w:p>
      <w:pPr>
        <w:spacing w:line="540" w:lineRule="exact"/>
        <w:ind w:firstLine="640" w:firstLineChars="200"/>
      </w:pPr>
      <w:r>
        <w:rPr>
          <w:rFonts w:hint="eastAsia" w:ascii="仿宋" w:hAnsi="仿宋" w:eastAsia="仿宋" w:cs="仿宋"/>
          <w:color w:val="000000"/>
          <w:sz w:val="32"/>
          <w:szCs w:val="32"/>
        </w:rPr>
        <w:t>（二）严格按照预算编制的相关制度和规定，根据上年度决算加强支出分析，提高预算编制的科学性，加强内部配合，充分征求部门意见，根据部门的工作重点和年度工作计划，合理确定各项支出需要，提高预算编制的精准性，从严控制追加预算规模，减少资金结余。 </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24"/>
        <w:gridCol w:w="750"/>
        <w:gridCol w:w="891"/>
        <w:gridCol w:w="1191"/>
        <w:gridCol w:w="876"/>
        <w:gridCol w:w="876"/>
        <w:gridCol w:w="566"/>
        <w:gridCol w:w="1316"/>
        <w:gridCol w:w="876"/>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53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6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昌吉市交通运输局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3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113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78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307"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369"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3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8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39" w:type="pct"/>
            <w:gridSpan w:val="2"/>
            <w:vMerge w:val="restart"/>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昌吉市交通运输局2022年整体绩效目标</w:t>
            </w:r>
          </w:p>
        </w:tc>
        <w:tc>
          <w:tcPr>
            <w:tcW w:w="78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人员费用总支出</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693.2</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693.2</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869.89</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869.89</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39" w:type="pct"/>
            <w:gridSpan w:val="2"/>
            <w:vMerge w:val="continue"/>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8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运转类专用经费</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56.15</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56.15</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27.56</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27.56</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926"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449"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749.35</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749.35</w:t>
            </w:r>
          </w:p>
        </w:tc>
        <w:tc>
          <w:tcPr>
            <w:tcW w:w="42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897.45</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897.45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3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237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227"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6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376"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交通运输局2022年度整体预算经费共计749.35万元，主要分为人员经费及公共运转经费。本年度计划组织各类培训宣传活动2次以上，路政巡查道路7000公里以上，公用取暖面积483.91平方米，公务保障用车4辆，保障办公人员68人，年度计划新建农村公路里程达50公里以上，年度对主管行业内各类企业检查次数达到4次以上，各项工作开展及时率达到98%以上，信访案件回复率达到98%以上。能够全面做好全市农村道路安全以及有效管理全市客运、公交、出租车的正常秩序；管理局本级和下属3个事业单位各项工作的实施；提供各科室、单位日常生活运转的基本保障。让广大群众及工作人员满意度达到90%以上。</w:t>
            </w:r>
          </w:p>
        </w:tc>
        <w:tc>
          <w:tcPr>
            <w:tcW w:w="2227"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在2022年中，能够及时完成上级领导部门安排的各项工作，组织各类培训宣传活动3次，路政执法人员巡道累计里程超过7500公里之多；本难度完成农村公路建设及改造50余公里；能够积极回复各类群众信访案件，有效推动昌吉市农村公路发展，能够让广大群众走放心满意的公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3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52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6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61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组织各类培训宣传活动</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&gt;=2.00次</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&gt;=2次</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路政年度日常巡道里程</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&gt;=7000.00公里</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&gt;=7500公里</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年度新建道路工程里数</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&gt;=50.00公里</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&gt;=50公里</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年度对主管行业内各类企业检查次数</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&gt;=4.00次</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&gt;=4次</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房屋建筑物供暖面积</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=483.91平方米</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=483.91平方米</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=4.00辆</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=4辆</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=68.00人</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=62人</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各项工作任务开展及时率</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信访案件回复率</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年度任务完成时限</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2022年12月31日前</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2022.12.31</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人员经费总成本</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&lt;=693.20万元</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&lt;=869.89万元</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公用运转经费总成本</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&lt;=56.15万元</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&lt;=27.56万元</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6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bookmarkStart w:id="0" w:name="_GoBack"/>
            <w:bookmarkEnd w:id="0"/>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保障全市交通运输安全</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有利保障</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有效推动农村道路发展</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推动</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有效推动</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1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群众满意度</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2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3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工作人员满意度</w:t>
            </w:r>
          </w:p>
        </w:tc>
        <w:tc>
          <w:tcPr>
            <w:tcW w:w="8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4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5"/>
        <w:rPr>
          <w:rFonts w:hint="eastAsia" w:ascii="仿宋_GB2312" w:eastAsia="仿宋_GB2312"/>
          <w:sz w:val="32"/>
          <w:szCs w:val="32"/>
        </w:rPr>
      </w:pPr>
    </w:p>
    <w:p>
      <w:pPr>
        <w:rPr>
          <w:rFonts w:hint="eastAsia" w:ascii="仿宋_GB2312" w:eastAsia="仿宋_GB2312"/>
          <w:sz w:val="32"/>
          <w:szCs w:val="32"/>
        </w:rPr>
      </w:pPr>
    </w:p>
    <w:p>
      <w:pPr>
        <w:pStyle w:val="5"/>
        <w:rPr>
          <w:rFonts w:hint="eastAsia"/>
        </w:rPr>
      </w:pPr>
    </w:p>
    <w:p>
      <w:pPr>
        <w:pStyle w:val="5"/>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34627A"/>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717CE5"/>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365F72"/>
    <w:rsid w:val="13367661"/>
    <w:rsid w:val="134D7FF4"/>
    <w:rsid w:val="13A27094"/>
    <w:rsid w:val="13B42D72"/>
    <w:rsid w:val="13D06674"/>
    <w:rsid w:val="13D44D7F"/>
    <w:rsid w:val="14120FE1"/>
    <w:rsid w:val="142C48EB"/>
    <w:rsid w:val="143E5526"/>
    <w:rsid w:val="14703A03"/>
    <w:rsid w:val="147F2FBE"/>
    <w:rsid w:val="1493153C"/>
    <w:rsid w:val="14B33F8F"/>
    <w:rsid w:val="14F81E1D"/>
    <w:rsid w:val="15343BE6"/>
    <w:rsid w:val="15357338"/>
    <w:rsid w:val="153612FD"/>
    <w:rsid w:val="154136C6"/>
    <w:rsid w:val="15530DDD"/>
    <w:rsid w:val="156F1B1C"/>
    <w:rsid w:val="16050D98"/>
    <w:rsid w:val="164D645C"/>
    <w:rsid w:val="167B52F3"/>
    <w:rsid w:val="16811A70"/>
    <w:rsid w:val="16D173A8"/>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3A3DB4"/>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E97664"/>
    <w:rsid w:val="29EA6657"/>
    <w:rsid w:val="29F33C34"/>
    <w:rsid w:val="2A380298"/>
    <w:rsid w:val="2A7B46E1"/>
    <w:rsid w:val="2A886FA9"/>
    <w:rsid w:val="2AC64A60"/>
    <w:rsid w:val="2C085CD5"/>
    <w:rsid w:val="2C5033C5"/>
    <w:rsid w:val="2C5C6A3E"/>
    <w:rsid w:val="2C757BAF"/>
    <w:rsid w:val="2C8606C5"/>
    <w:rsid w:val="2C8C2E69"/>
    <w:rsid w:val="2C974E3D"/>
    <w:rsid w:val="2D07338F"/>
    <w:rsid w:val="2D300825"/>
    <w:rsid w:val="2D5C161A"/>
    <w:rsid w:val="2DB93477"/>
    <w:rsid w:val="2DF65048"/>
    <w:rsid w:val="2E165B2D"/>
    <w:rsid w:val="2E9C69DA"/>
    <w:rsid w:val="2EE84ED3"/>
    <w:rsid w:val="2F047E61"/>
    <w:rsid w:val="2F062134"/>
    <w:rsid w:val="2F0703F6"/>
    <w:rsid w:val="2F21289E"/>
    <w:rsid w:val="2F8507EF"/>
    <w:rsid w:val="2F912F13"/>
    <w:rsid w:val="30315A18"/>
    <w:rsid w:val="304F5466"/>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4C208FD"/>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E74C19"/>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B63622"/>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9A71A0"/>
    <w:rsid w:val="44FD5F6B"/>
    <w:rsid w:val="450C3B52"/>
    <w:rsid w:val="450F1ADE"/>
    <w:rsid w:val="45103FCB"/>
    <w:rsid w:val="4512666F"/>
    <w:rsid w:val="45852FD0"/>
    <w:rsid w:val="458E7F08"/>
    <w:rsid w:val="45B242B5"/>
    <w:rsid w:val="45E33D03"/>
    <w:rsid w:val="4643662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574EE0"/>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ABA4EA0"/>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0E3664"/>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4D84E04"/>
    <w:rsid w:val="652B7127"/>
    <w:rsid w:val="653A1C66"/>
    <w:rsid w:val="656B579F"/>
    <w:rsid w:val="656E592B"/>
    <w:rsid w:val="65A165E9"/>
    <w:rsid w:val="65C14A06"/>
    <w:rsid w:val="65C15488"/>
    <w:rsid w:val="660D76B4"/>
    <w:rsid w:val="667136F9"/>
    <w:rsid w:val="66841ED9"/>
    <w:rsid w:val="66B24A2C"/>
    <w:rsid w:val="67024FEA"/>
    <w:rsid w:val="671073D1"/>
    <w:rsid w:val="678E06CE"/>
    <w:rsid w:val="67964925"/>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DF218A7"/>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4B0ED2"/>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9E680F"/>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华文中宋" w:hAnsi="华文中宋" w:eastAsia="华文中宋" w:cs="Times New Roman"/>
      <w:color w:val="000000"/>
      <w:sz w:val="24"/>
      <w:szCs w:val="22"/>
      <w:lang w:val="en-US" w:eastAsia="zh-CN" w:bidi="ar-SA"/>
    </w:r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8711</Words>
  <Characters>9798</Characters>
  <Lines>47</Lines>
  <Paragraphs>13</Paragraphs>
  <TotalTime>4</TotalTime>
  <ScaleCrop>false</ScaleCrop>
  <LinksUpToDate>false</LinksUpToDate>
  <CharactersWithSpaces>9810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2023-02-22T02:27:57Z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CE15CDAC2CCA4A37BFBA13490BED5C5C</vt:lpwstr>
  </property>
</Properties>
</file>