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val="en-US" w:eastAsia="zh-CN"/>
        </w:rPr>
        <w:t>昌吉市技工学校</w:t>
      </w:r>
      <w:r>
        <w:rPr>
          <w:rFonts w:hint="eastAsia" w:ascii="方正小标宋_GBK" w:hAnsi="华文中宋" w:eastAsia="方正小标宋_GBK" w:cs="宋体"/>
          <w:kern w:val="0"/>
          <w:sz w:val="48"/>
          <w:szCs w:val="48"/>
        </w:rPr>
        <w:t>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hint="default" w:ascii="黑体" w:hAnsi="黑体" w:eastAsia="黑体" w:cs="黑体"/>
          <w:bCs/>
          <w:sz w:val="36"/>
          <w:szCs w:val="36"/>
          <w:lang w:val="en-US" w:eastAsia="zh-CN"/>
        </w:rPr>
      </w:pPr>
      <w:r>
        <w:rPr>
          <w:rFonts w:hint="eastAsia" w:ascii="黑体" w:hAnsi="黑体" w:eastAsia="黑体" w:cs="黑体"/>
          <w:bCs/>
          <w:sz w:val="36"/>
          <w:szCs w:val="36"/>
        </w:rPr>
        <w:t>部门单位名称（公章）：</w:t>
      </w:r>
      <w:r>
        <w:rPr>
          <w:rFonts w:hint="eastAsia" w:ascii="黑体" w:hAnsi="黑体" w:eastAsia="黑体" w:cs="黑体"/>
          <w:bCs/>
          <w:sz w:val="36"/>
          <w:szCs w:val="36"/>
          <w:lang w:val="en-US" w:eastAsia="zh-CN"/>
        </w:rPr>
        <w:t>昌吉市技工学校</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 xml:space="preserve">2023 </w:t>
      </w:r>
      <w:r>
        <w:rPr>
          <w:rFonts w:hint="eastAsia" w:ascii="黑体" w:hAnsi="黑体" w:eastAsia="黑体" w:cs="黑体"/>
          <w:bCs/>
          <w:sz w:val="36"/>
          <w:szCs w:val="36"/>
        </w:rPr>
        <w:t xml:space="preserve">年 </w:t>
      </w:r>
      <w:r>
        <w:rPr>
          <w:rFonts w:hint="eastAsia" w:ascii="黑体" w:hAnsi="黑体" w:eastAsia="黑体" w:cs="黑体"/>
          <w:bCs/>
          <w:sz w:val="36"/>
          <w:szCs w:val="36"/>
          <w:lang w:val="en-US" w:eastAsia="zh-CN"/>
        </w:rPr>
        <w:t>2</w:t>
      </w:r>
      <w:r>
        <w:rPr>
          <w:rFonts w:hint="eastAsia" w:ascii="黑体" w:hAnsi="黑体" w:eastAsia="黑体" w:cs="黑体"/>
          <w:bCs/>
          <w:sz w:val="36"/>
          <w:szCs w:val="36"/>
        </w:rPr>
        <w:t xml:space="preserve"> 月 </w:t>
      </w:r>
      <w:r>
        <w:rPr>
          <w:rFonts w:hint="eastAsia" w:ascii="黑体" w:hAnsi="黑体" w:eastAsia="黑体" w:cs="黑体"/>
          <w:bCs/>
          <w:sz w:val="36"/>
          <w:szCs w:val="36"/>
          <w:lang w:val="en-US" w:eastAsia="zh-CN"/>
        </w:rPr>
        <w:t>14</w:t>
      </w:r>
      <w:r>
        <w:rPr>
          <w:rFonts w:hint="eastAsia" w:ascii="黑体" w:hAnsi="黑体" w:eastAsia="黑体" w:cs="黑体"/>
          <w:bCs/>
          <w:sz w:val="36"/>
          <w:szCs w:val="36"/>
        </w:rPr>
        <w:t xml:space="preserve"> 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4"/>
        <w:ind w:firstLine="640"/>
        <w:rPr>
          <w:rFonts w:ascii="黑体" w:hAnsi="黑体"/>
          <w:b w:val="0"/>
          <w:sz w:val="32"/>
          <w:szCs w:val="32"/>
        </w:rPr>
      </w:pPr>
      <w:r>
        <w:rPr>
          <w:rFonts w:hint="eastAsia" w:ascii="黑体" w:hAnsi="黑体"/>
          <w:b w:val="0"/>
          <w:sz w:val="32"/>
          <w:szCs w:val="32"/>
        </w:rPr>
        <w:t>一、基本概况</w:t>
      </w:r>
    </w:p>
    <w:p>
      <w:pPr>
        <w:pStyle w:val="5"/>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pStyle w:val="6"/>
        <w:ind w:firstLine="640"/>
        <w:rPr>
          <w:sz w:val="32"/>
        </w:rPr>
      </w:pPr>
      <w:r>
        <w:rPr>
          <w:rFonts w:hint="eastAsia" w:ascii="仿宋_GB2312" w:hAnsi="楷体" w:eastAsia="仿宋_GB2312"/>
          <w:b w:val="0"/>
          <w:bCs w:val="0"/>
          <w:spacing w:val="-4"/>
          <w:sz w:val="32"/>
          <w:szCs w:val="32"/>
        </w:rPr>
        <w:t>昌吉市</w:t>
      </w:r>
      <w:r>
        <w:rPr>
          <w:rFonts w:hint="eastAsia" w:hAnsi="楷体"/>
          <w:b w:val="0"/>
          <w:bCs w:val="0"/>
          <w:spacing w:val="-4"/>
          <w:sz w:val="32"/>
          <w:szCs w:val="32"/>
          <w:lang w:eastAsia="zh-CN"/>
        </w:rPr>
        <w:t>技工学校</w:t>
      </w:r>
      <w:r>
        <w:rPr>
          <w:rFonts w:hint="eastAsia" w:ascii="仿宋_GB2312" w:hAnsi="楷体" w:eastAsia="仿宋_GB2312"/>
          <w:b w:val="0"/>
          <w:bCs w:val="0"/>
          <w:spacing w:val="-4"/>
          <w:sz w:val="32"/>
          <w:szCs w:val="32"/>
        </w:rPr>
        <w:t>是昌吉市</w:t>
      </w:r>
      <w:r>
        <w:rPr>
          <w:rFonts w:hint="eastAsia" w:hAnsi="楷体"/>
          <w:b w:val="0"/>
          <w:bCs w:val="0"/>
          <w:spacing w:val="-4"/>
          <w:sz w:val="32"/>
          <w:szCs w:val="32"/>
          <w:lang w:eastAsia="zh-CN"/>
        </w:rPr>
        <w:t>人力资源和社会保障局下属</w:t>
      </w:r>
      <w:r>
        <w:rPr>
          <w:rFonts w:hint="eastAsia" w:ascii="仿宋_GB2312" w:hAnsi="楷体" w:eastAsia="仿宋_GB2312"/>
          <w:b w:val="0"/>
          <w:bCs w:val="0"/>
          <w:spacing w:val="-4"/>
          <w:sz w:val="32"/>
          <w:szCs w:val="32"/>
        </w:rPr>
        <w:t>负责</w:t>
      </w:r>
      <w:r>
        <w:rPr>
          <w:rFonts w:hint="eastAsia" w:hAnsi="楷体"/>
          <w:b w:val="0"/>
          <w:bCs w:val="0"/>
          <w:spacing w:val="-4"/>
          <w:sz w:val="32"/>
          <w:szCs w:val="32"/>
          <w:lang w:eastAsia="zh-CN"/>
        </w:rPr>
        <w:t>职业技能培训</w:t>
      </w:r>
      <w:r>
        <w:rPr>
          <w:rFonts w:hint="eastAsia" w:ascii="仿宋_GB2312" w:hAnsi="楷体" w:eastAsia="仿宋_GB2312"/>
          <w:b w:val="0"/>
          <w:bCs w:val="0"/>
          <w:spacing w:val="-4"/>
          <w:sz w:val="32"/>
          <w:szCs w:val="32"/>
        </w:rPr>
        <w:t>工作的公益一类事业单位，根据职责任务和工作实际，昌吉市</w:t>
      </w:r>
      <w:r>
        <w:rPr>
          <w:rFonts w:hint="eastAsia" w:hAnsi="楷体"/>
          <w:b w:val="0"/>
          <w:bCs w:val="0"/>
          <w:spacing w:val="-4"/>
          <w:sz w:val="32"/>
          <w:szCs w:val="32"/>
          <w:lang w:eastAsia="zh-CN"/>
        </w:rPr>
        <w:t>技工学校</w:t>
      </w:r>
      <w:r>
        <w:rPr>
          <w:rFonts w:hint="eastAsia" w:ascii="仿宋_GB2312" w:hAnsi="楷体" w:eastAsia="仿宋_GB2312"/>
          <w:b w:val="0"/>
          <w:bCs w:val="0"/>
          <w:spacing w:val="-4"/>
          <w:sz w:val="32"/>
          <w:szCs w:val="32"/>
        </w:rPr>
        <w:t>内设6个科室：综合办公室、</w:t>
      </w:r>
      <w:r>
        <w:rPr>
          <w:rFonts w:hint="eastAsia" w:hAnsi="楷体"/>
          <w:b w:val="0"/>
          <w:bCs w:val="0"/>
          <w:spacing w:val="-4"/>
          <w:sz w:val="32"/>
          <w:szCs w:val="32"/>
          <w:lang w:eastAsia="zh-CN"/>
        </w:rPr>
        <w:t>教育教学科</w:t>
      </w:r>
      <w:r>
        <w:rPr>
          <w:rFonts w:hint="eastAsia" w:ascii="仿宋_GB2312" w:hAnsi="楷体" w:eastAsia="仿宋_GB2312"/>
          <w:b w:val="0"/>
          <w:bCs w:val="0"/>
          <w:spacing w:val="-4"/>
          <w:sz w:val="32"/>
          <w:szCs w:val="32"/>
        </w:rPr>
        <w:t>、</w:t>
      </w:r>
      <w:r>
        <w:rPr>
          <w:rFonts w:hint="eastAsia" w:hAnsi="楷体"/>
          <w:b w:val="0"/>
          <w:bCs w:val="0"/>
          <w:spacing w:val="-4"/>
          <w:sz w:val="32"/>
          <w:szCs w:val="32"/>
          <w:lang w:eastAsia="zh-CN"/>
        </w:rPr>
        <w:t>学员管理科、招生就业科、考核评价科、后勤保障科</w:t>
      </w:r>
      <w:r>
        <w:rPr>
          <w:rFonts w:hint="eastAsia" w:ascii="仿宋_GB2312" w:hAnsi="楷体" w:eastAsia="仿宋_GB2312"/>
          <w:b w:val="0"/>
          <w:bCs w:val="0"/>
          <w:spacing w:val="-4"/>
          <w:sz w:val="32"/>
          <w:szCs w:val="32"/>
        </w:rPr>
        <w:t>。核定事业编制</w:t>
      </w:r>
      <w:r>
        <w:rPr>
          <w:rFonts w:hint="eastAsia" w:hAnsi="楷体"/>
          <w:b w:val="0"/>
          <w:bCs w:val="0"/>
          <w:spacing w:val="-4"/>
          <w:sz w:val="32"/>
          <w:szCs w:val="32"/>
          <w:lang w:val="en-US" w:eastAsia="zh-CN"/>
        </w:rPr>
        <w:t>18</w:t>
      </w:r>
      <w:r>
        <w:rPr>
          <w:rFonts w:hint="eastAsia" w:ascii="仿宋_GB2312" w:hAnsi="楷体" w:eastAsia="仿宋_GB2312"/>
          <w:b w:val="0"/>
          <w:bCs w:val="0"/>
          <w:spacing w:val="-4"/>
          <w:sz w:val="32"/>
          <w:szCs w:val="32"/>
        </w:rPr>
        <w:t>名，实有</w:t>
      </w:r>
      <w:r>
        <w:rPr>
          <w:rFonts w:hint="eastAsia" w:hAnsi="楷体"/>
          <w:b w:val="0"/>
          <w:bCs w:val="0"/>
          <w:spacing w:val="-4"/>
          <w:sz w:val="32"/>
          <w:szCs w:val="32"/>
          <w:lang w:val="en-US" w:eastAsia="zh-CN"/>
        </w:rPr>
        <w:t>18</w:t>
      </w:r>
      <w:r>
        <w:rPr>
          <w:rFonts w:hint="eastAsia" w:ascii="仿宋_GB2312" w:hAnsi="楷体" w:eastAsia="仿宋_GB2312"/>
          <w:b w:val="0"/>
          <w:bCs w:val="0"/>
          <w:spacing w:val="-4"/>
          <w:sz w:val="32"/>
          <w:szCs w:val="32"/>
        </w:rPr>
        <w:t>人，其中在职</w:t>
      </w:r>
      <w:r>
        <w:rPr>
          <w:rFonts w:hint="eastAsia" w:hAnsi="楷体"/>
          <w:b w:val="0"/>
          <w:bCs w:val="0"/>
          <w:spacing w:val="-4"/>
          <w:sz w:val="32"/>
          <w:szCs w:val="32"/>
          <w:lang w:val="en-US" w:eastAsia="zh-CN"/>
        </w:rPr>
        <w:t>18</w:t>
      </w:r>
      <w:r>
        <w:rPr>
          <w:rFonts w:hint="eastAsia" w:ascii="仿宋_GB2312" w:hAnsi="楷体" w:eastAsia="仿宋_GB2312"/>
          <w:b w:val="0"/>
          <w:bCs w:val="0"/>
          <w:spacing w:val="-4"/>
          <w:sz w:val="32"/>
          <w:szCs w:val="32"/>
        </w:rPr>
        <w:t>人。</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rPr>
          <w:rFonts w:hint="eastAsia" w:ascii="仿宋_GB2312" w:hAnsi="楷体" w:eastAsia="仿宋_GB2312" w:cs="Times New Roman"/>
          <w:b w:val="0"/>
          <w:bCs w:val="0"/>
          <w:spacing w:val="-4"/>
          <w:kern w:val="2"/>
          <w:sz w:val="32"/>
          <w:szCs w:val="32"/>
          <w:lang w:val="en-US" w:eastAsia="zh-CN" w:bidi="ar-SA"/>
        </w:rPr>
      </w:pPr>
      <w:r>
        <w:rPr>
          <w:rFonts w:hint="eastAsia" w:ascii="仿宋_GB2312" w:hAnsi="楷体" w:eastAsia="仿宋_GB2312" w:cs="Times New Roman"/>
          <w:b w:val="0"/>
          <w:bCs w:val="0"/>
          <w:spacing w:val="-4"/>
          <w:kern w:val="2"/>
          <w:sz w:val="32"/>
          <w:szCs w:val="32"/>
          <w:lang w:val="en-US" w:eastAsia="zh-CN" w:bidi="ar-SA"/>
        </w:rPr>
        <w:t>技工学校推行终身职业技能培训制度，重点面向农村劳动力开展集中式、专业化、系统化培训，重点围绕十大产业和地方特色产业发展，坚持专业课程建设，紧密结合乡村产业振兴，人才振兴，重点开展养老服务、育婴、烹饪、酒店管理、电子商务、馕加工、酿酒葡萄产业，林果种植、畜禽养殖、农副产品生产加工、建筑施工、电工、电焊、美容美发、家政服务、物流服务、电子技术应用、纺织技术、机电设备安装与维修等专业工种培训，紧盯新业态发展需求，开展“网红带货”“快递小哥”网络营销数字经济平台等培训，同时着力提高国家通用语言文字水平，增强法治观念，掌握一技之长，为经济社会发展提供人力资源支撑。</w:t>
      </w:r>
    </w:p>
    <w:p>
      <w:pPr>
        <w:rPr>
          <w:rFonts w:hint="eastAsia" w:ascii="仿宋_GB2312" w:hAnsi="楷体" w:eastAsia="仿宋_GB2312" w:cs="Times New Roman"/>
          <w:b w:val="0"/>
          <w:bCs w:val="0"/>
          <w:spacing w:val="-4"/>
          <w:kern w:val="2"/>
          <w:sz w:val="32"/>
          <w:szCs w:val="32"/>
          <w:lang w:val="en-US" w:eastAsia="zh-CN" w:bidi="ar-SA"/>
        </w:rPr>
      </w:pPr>
      <w:r>
        <w:rPr>
          <w:rFonts w:hint="eastAsia" w:ascii="仿宋_GB2312" w:hAnsi="楷体" w:eastAsia="仿宋_GB2312" w:cs="Times New Roman"/>
          <w:b w:val="0"/>
          <w:bCs w:val="0"/>
          <w:spacing w:val="-4"/>
          <w:kern w:val="2"/>
          <w:sz w:val="32"/>
          <w:szCs w:val="32"/>
          <w:lang w:val="en-US" w:eastAsia="zh-CN" w:bidi="ar-SA"/>
        </w:rPr>
        <w:t>以独立办学、校企合作、校校合作、送学上门及多单位、多部门联合办学的多元化办学模式对符合产业发展需要和有技能培训需求的农村劳动力轮训一遍；到“十四五”末，昌吉市技工学校功能更加明确、管理更加规范、特色更加突出、机制更加健全，培养一专多能、国家通用语言能力显著提升、政治立场坚定的复合型高素质技能人才，学校步入专业化、标准化、科学化的发展轨道。</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pStyle w:val="6"/>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 xml:space="preserve">（1）开展农村劳动力职业技能培训工作，提高农村劳动力的综合素质，提升职业技能水平。 </w:t>
      </w:r>
    </w:p>
    <w:p>
      <w:pPr>
        <w:pStyle w:val="6"/>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（2）以就业为导向，开展招生就业工作。</w:t>
      </w:r>
    </w:p>
    <w:p>
      <w:pPr>
        <w:keepNext w:val="0"/>
        <w:keepLines w:val="0"/>
        <w:pageBreakBefore w:val="0"/>
        <w:widowControl w:val="0"/>
        <w:kinsoku/>
        <w:wordWrap/>
        <w:overflowPunct/>
        <w:topLinePunct w:val="0"/>
        <w:autoSpaceDE/>
        <w:autoSpaceDN/>
        <w:bidi w:val="0"/>
        <w:spacing w:line="560" w:lineRule="exact"/>
        <w:ind w:firstLine="640" w:firstLineChars="200"/>
        <w:jc w:val="both"/>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（3）</w:t>
      </w:r>
      <w:r>
        <w:rPr>
          <w:rFonts w:hint="eastAsia" w:ascii="仿宋_GB2312" w:hAnsi="仿宋_GB2312" w:eastAsia="仿宋_GB2312" w:cs="仿宋_GB2312"/>
          <w:sz w:val="32"/>
          <w:szCs w:val="32"/>
          <w:lang w:eastAsia="zh-CN"/>
        </w:rPr>
        <w:t>打造高素质兼职教师队伍，满足学校日常教育教学需要。</w:t>
      </w:r>
    </w:p>
    <w:p>
      <w:pPr>
        <w:pStyle w:val="6"/>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（4）学校财务管理核算运行工作。</w:t>
      </w:r>
    </w:p>
    <w:p>
      <w:pPr>
        <w:pStyle w:val="5"/>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hint="eastAsia" w:ascii="仿宋_GB2312" w:eastAsia="仿宋_GB2312"/>
          <w:color w:val="auto"/>
          <w:sz w:val="32"/>
          <w:szCs w:val="32"/>
        </w:rPr>
      </w:pPr>
      <w:r>
        <w:rPr>
          <w:rFonts w:hint="eastAsia" w:ascii="仿宋_GB2312" w:eastAsia="仿宋_GB2312"/>
          <w:color w:val="auto"/>
          <w:sz w:val="32"/>
          <w:szCs w:val="32"/>
        </w:rPr>
        <w:t>我单位决策机制根据行政事业单位内部控制体系建设相关要求，逐步完善《三重一大会议制度》（按单位自身实际决策制度填写），根据制度规定“</w:t>
      </w:r>
      <w:r>
        <w:rPr>
          <w:rFonts w:hint="eastAsia" w:ascii="仿宋_GB2312" w:eastAsia="仿宋_GB2312"/>
          <w:color w:val="auto"/>
          <w:sz w:val="32"/>
          <w:szCs w:val="32"/>
          <w:lang w:val="en-US" w:eastAsia="zh-CN"/>
        </w:rPr>
        <w:t>决策方式和决策程序</w:t>
      </w:r>
      <w:r>
        <w:rPr>
          <w:rFonts w:hint="eastAsia" w:ascii="仿宋_GB2312" w:eastAsia="仿宋_GB2312"/>
          <w:color w:val="auto"/>
          <w:sz w:val="32"/>
          <w:szCs w:val="32"/>
        </w:rPr>
        <w:t>”进行单位事项决策。</w:t>
      </w:r>
    </w:p>
    <w:p>
      <w:pPr>
        <w:spacing w:line="540" w:lineRule="exact"/>
        <w:ind w:firstLine="602" w:firstLineChars="200"/>
        <w:rPr>
          <w:rFonts w:ascii="仿宋_GB2312" w:hAnsi="仿宋_GB2312" w:eastAsia="仿宋_GB2312" w:cs="仿宋_GB2312"/>
          <w:b/>
          <w:sz w:val="30"/>
          <w:szCs w:val="30"/>
        </w:rPr>
      </w:pPr>
      <w:r>
        <w:rPr>
          <w:rFonts w:hint="eastAsia" w:ascii="仿宋_GB2312" w:hAnsi="仿宋_GB2312" w:eastAsia="仿宋_GB2312" w:cs="仿宋_GB2312"/>
          <w:b/>
          <w:sz w:val="30"/>
          <w:szCs w:val="30"/>
          <w:lang w:val="en-US" w:eastAsia="zh-CN"/>
        </w:rPr>
        <w:t>1.</w:t>
      </w:r>
      <w:r>
        <w:rPr>
          <w:rFonts w:hint="eastAsia" w:ascii="仿宋_GB2312" w:hAnsi="仿宋_GB2312" w:eastAsia="仿宋_GB2312" w:cs="仿宋_GB2312"/>
          <w:b/>
          <w:sz w:val="30"/>
          <w:szCs w:val="30"/>
        </w:rPr>
        <w:t>决策方式</w:t>
      </w:r>
    </w:p>
    <w:p>
      <w:pPr>
        <w:spacing w:line="540" w:lineRule="exact"/>
        <w:ind w:firstLine="600" w:firstLineChars="200"/>
        <w:rPr>
          <w:rFonts w:hint="eastAsia" w:ascii="仿宋_GB2312" w:eastAsia="仿宋_GB2312" w:cs="Times New Roman"/>
          <w:color w:val="auto"/>
          <w:sz w:val="32"/>
          <w:szCs w:val="32"/>
        </w:rPr>
      </w:pPr>
      <w:r>
        <w:rPr>
          <w:rFonts w:hint="eastAsia" w:ascii="仿宋_GB2312" w:hAnsi="仿宋_GB2312" w:eastAsia="仿宋_GB2312" w:cs="仿宋_GB2312"/>
          <w:sz w:val="30"/>
          <w:szCs w:val="30"/>
        </w:rPr>
        <w:t xml:space="preserve"> </w:t>
      </w:r>
      <w:r>
        <w:rPr>
          <w:rFonts w:hint="eastAsia" w:ascii="仿宋_GB2312" w:eastAsia="仿宋_GB2312" w:cs="Times New Roman"/>
          <w:color w:val="auto"/>
          <w:sz w:val="32"/>
          <w:szCs w:val="32"/>
        </w:rPr>
        <w:t>“三重一大”事项主要采取领导班子以会议形式集体讨论的形式决策。依照有关规定，“三重一大”事项在提交会议决策之前，要经过必要的民主程序进行论证，广泛征求干部职工意见。</w:t>
      </w:r>
    </w:p>
    <w:p>
      <w:pPr>
        <w:widowControl/>
        <w:ind w:firstLine="640"/>
        <w:jc w:val="left"/>
        <w:rPr>
          <w:rFonts w:hint="eastAsia" w:ascii="仿宋_GB2312" w:eastAsia="仿宋_GB2312" w:cs="仿宋"/>
          <w:b/>
          <w:color w:val="auto"/>
          <w:sz w:val="32"/>
          <w:szCs w:val="32"/>
        </w:rPr>
      </w:pPr>
      <w:r>
        <w:rPr>
          <w:rFonts w:hint="eastAsia" w:ascii="仿宋_GB2312" w:eastAsia="仿宋_GB2312" w:cs="仿宋"/>
          <w:b/>
          <w:color w:val="auto"/>
          <w:sz w:val="32"/>
          <w:szCs w:val="32"/>
          <w:lang w:val="en-US" w:eastAsia="zh-CN"/>
        </w:rPr>
        <w:t>2.</w:t>
      </w:r>
      <w:r>
        <w:rPr>
          <w:rFonts w:hint="eastAsia" w:ascii="仿宋_GB2312" w:eastAsia="仿宋_GB2312" w:cs="仿宋"/>
          <w:b/>
          <w:color w:val="auto"/>
          <w:sz w:val="32"/>
          <w:szCs w:val="32"/>
        </w:rPr>
        <w:t>决策程序</w:t>
      </w:r>
    </w:p>
    <w:p>
      <w:pPr>
        <w:spacing w:line="540" w:lineRule="exact"/>
        <w:ind w:firstLine="640" w:firstLineChars="200"/>
        <w:rPr>
          <w:rFonts w:hint="eastAsia" w:ascii="仿宋_GB2312" w:eastAsia="仿宋_GB2312" w:cs="Times New Roman"/>
          <w:color w:val="auto"/>
          <w:sz w:val="32"/>
          <w:szCs w:val="32"/>
        </w:rPr>
      </w:pPr>
      <w:r>
        <w:rPr>
          <w:rFonts w:hint="eastAsia" w:ascii="仿宋_GB2312" w:eastAsia="仿宋_GB2312" w:cs="Times New Roman"/>
          <w:color w:val="auto"/>
          <w:sz w:val="32"/>
          <w:szCs w:val="32"/>
        </w:rPr>
        <w:t>凡属“三重一大”事项，应按规定程序决策，除遇重大突发事件和紧急情况外，应由领导班子以会议形式集体讨论决定，不得以传阅会签或个别征求意见等方式代替集体决策。议题的有关材料要在领导班子会议召开前送达参加人员，并保证其有充足时间了解相关情况。“三重一大”事项决策前，班子成员要通过多种方式对有关议题进行充分酝酿，但不得作出决定或影响集体决策，不能在会上搞临时动议或形式主义。</w:t>
      </w:r>
    </w:p>
    <w:p>
      <w:pPr>
        <w:pStyle w:val="5"/>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1.分配依据及结果。</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hint="eastAsia" w:ascii="仿宋_GB2312" w:eastAsia="仿宋_GB2312"/>
          <w:b/>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p>
    <w:p>
      <w:pPr>
        <w:widowControl/>
        <w:ind w:firstLine="640"/>
        <w:jc w:val="left"/>
        <w:rPr>
          <w:rFonts w:hint="eastAsia" w:ascii="仿宋_GB2312" w:eastAsia="仿宋_GB2312" w:cs="仿宋"/>
          <w:color w:val="auto"/>
          <w:sz w:val="32"/>
          <w:szCs w:val="32"/>
          <w:lang w:eastAsia="zh-CN"/>
        </w:rPr>
      </w:pPr>
      <w:r>
        <w:rPr>
          <w:rFonts w:hint="eastAsia" w:ascii="仿宋_GB2312" w:eastAsia="仿宋_GB2312" w:cs="仿宋"/>
          <w:color w:val="auto"/>
          <w:sz w:val="32"/>
          <w:szCs w:val="32"/>
          <w:lang w:eastAsia="zh-CN"/>
        </w:rPr>
        <w:t>本年度本单位预算未安排重点项目。</w:t>
      </w:r>
    </w:p>
    <w:p>
      <w:pPr>
        <w:pStyle w:val="5"/>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FF0000"/>
          <w:sz w:val="32"/>
          <w:szCs w:val="32"/>
          <w:highlight w:val="yellow"/>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昌吉市技工学校</w:t>
      </w:r>
      <w:r>
        <w:rPr>
          <w:rFonts w:hint="eastAsia" w:ascii="仿宋_GB2312" w:eastAsia="仿宋_GB2312"/>
          <w:bCs/>
          <w:sz w:val="32"/>
          <w:szCs w:val="32"/>
          <w:highlight w:val="none"/>
        </w:rPr>
        <w:t>单位整体支出年初预算金额</w:t>
      </w:r>
      <w:r>
        <w:rPr>
          <w:rFonts w:hint="eastAsia" w:ascii="仿宋_GB2312" w:eastAsia="仿宋_GB2312"/>
          <w:bCs/>
          <w:color w:val="auto"/>
          <w:sz w:val="32"/>
          <w:szCs w:val="32"/>
          <w:highlight w:val="none"/>
        </w:rPr>
        <w:t>为</w:t>
      </w:r>
      <w:r>
        <w:rPr>
          <w:rFonts w:hint="eastAsia" w:ascii="仿宋_GB2312" w:eastAsia="仿宋_GB2312"/>
          <w:color w:val="auto"/>
          <w:sz w:val="32"/>
          <w:szCs w:val="32"/>
          <w:highlight w:val="none"/>
          <w:lang w:val="en-US" w:eastAsia="zh-CN"/>
        </w:rPr>
        <w:t>66.12万元，支出金额为64.72万元，执行率为97.88%</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286.99</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434.04</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353.11</w:t>
      </w:r>
      <w:r>
        <w:rPr>
          <w:rFonts w:hint="eastAsia" w:ascii="仿宋_GB2312" w:eastAsia="仿宋_GB2312"/>
          <w:sz w:val="32"/>
          <w:szCs w:val="32"/>
          <w:highlight w:val="none"/>
        </w:rPr>
        <w:t>万元，支出总</w:t>
      </w:r>
      <w:r>
        <w:rPr>
          <w:rFonts w:hint="eastAsia" w:ascii="仿宋_GB2312" w:eastAsia="仿宋_GB2312"/>
          <w:color w:val="auto"/>
          <w:sz w:val="32"/>
          <w:szCs w:val="32"/>
          <w:highlight w:val="none"/>
        </w:rPr>
        <w:t>额为</w:t>
      </w:r>
      <w:r>
        <w:rPr>
          <w:rFonts w:hint="eastAsia" w:ascii="仿宋_GB2312" w:eastAsia="仿宋_GB2312"/>
          <w:color w:val="auto"/>
          <w:sz w:val="32"/>
          <w:szCs w:val="32"/>
          <w:highlight w:val="none"/>
          <w:lang w:val="en-US" w:eastAsia="zh-CN"/>
        </w:rPr>
        <w:t>353.11</w:t>
      </w:r>
      <w:r>
        <w:rPr>
          <w:rFonts w:hint="eastAsia" w:ascii="仿宋_GB2312" w:eastAsia="仿宋_GB2312"/>
          <w:color w:val="auto"/>
          <w:sz w:val="32"/>
          <w:szCs w:val="32"/>
          <w:highlight w:val="none"/>
        </w:rPr>
        <w:t>万</w:t>
      </w:r>
      <w:r>
        <w:rPr>
          <w:rFonts w:hint="eastAsia" w:ascii="仿宋_GB2312" w:eastAsia="仿宋_GB2312"/>
          <w:sz w:val="32"/>
          <w:szCs w:val="32"/>
          <w:highlight w:val="none"/>
        </w:rPr>
        <w:t>元，预算总执行率</w:t>
      </w:r>
      <w:r>
        <w:rPr>
          <w:rFonts w:hint="eastAsia" w:ascii="仿宋_GB2312" w:eastAsia="仿宋_GB2312"/>
          <w:sz w:val="32"/>
          <w:szCs w:val="32"/>
          <w:highlight w:val="none"/>
          <w:lang w:val="en-US" w:eastAsia="zh-CN"/>
        </w:rPr>
        <w:t>100.0</w:t>
      </w:r>
      <w:r>
        <w:rPr>
          <w:rFonts w:hint="eastAsia" w:ascii="仿宋_GB2312" w:eastAsia="仿宋_GB2312"/>
          <w:color w:val="auto"/>
          <w:sz w:val="32"/>
          <w:szCs w:val="32"/>
          <w:highlight w:val="none"/>
        </w:rPr>
        <w:t>%</w:t>
      </w:r>
      <w:r>
        <w:rPr>
          <w:rFonts w:hint="eastAsia" w:ascii="仿宋_GB2312" w:eastAsia="仿宋_GB2312"/>
          <w:sz w:val="32"/>
          <w:szCs w:val="32"/>
          <w:highlight w:val="none"/>
        </w:rPr>
        <w:t>。</w:t>
      </w:r>
    </w:p>
    <w:p>
      <w:pPr>
        <w:pStyle w:val="6"/>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6"/>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4"/>
        <w:ind w:firstLine="640"/>
        <w:rPr>
          <w:rFonts w:ascii="黑体" w:hAnsi="黑体"/>
          <w:b w:val="0"/>
          <w:sz w:val="32"/>
          <w:szCs w:val="32"/>
        </w:rPr>
      </w:pPr>
      <w:r>
        <w:rPr>
          <w:rFonts w:hint="eastAsia" w:ascii="黑体" w:hAnsi="黑体"/>
          <w:b w:val="0"/>
          <w:sz w:val="32"/>
          <w:szCs w:val="32"/>
        </w:rPr>
        <w:t>二、部门单位整体支出管理及使用情况</w:t>
      </w:r>
    </w:p>
    <w:p>
      <w:pPr>
        <w:pStyle w:val="5"/>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eastAsia="zh-CN"/>
        </w:rPr>
        <w:t>《昌吉市技工学校预算绩效管理制度》、《</w:t>
      </w:r>
      <w:r>
        <w:rPr>
          <w:rFonts w:hint="eastAsia" w:ascii="仿宋_GB2312" w:eastAsia="仿宋_GB2312"/>
          <w:color w:val="auto"/>
          <w:sz w:val="32"/>
          <w:szCs w:val="32"/>
        </w:rPr>
        <w:t>昌吉市</w:t>
      </w:r>
      <w:r>
        <w:rPr>
          <w:rFonts w:hint="eastAsia" w:ascii="仿宋_GB2312" w:eastAsia="仿宋_GB2312"/>
          <w:color w:val="auto"/>
          <w:sz w:val="32"/>
          <w:szCs w:val="32"/>
          <w:lang w:eastAsia="zh-CN"/>
        </w:rPr>
        <w:t>技工学校</w:t>
      </w:r>
      <w:r>
        <w:rPr>
          <w:rFonts w:hint="eastAsia" w:ascii="仿宋_GB2312" w:eastAsia="仿宋_GB2312"/>
          <w:color w:val="auto"/>
          <w:sz w:val="32"/>
          <w:szCs w:val="32"/>
        </w:rPr>
        <w:t>财务管理制度</w:t>
      </w:r>
      <w:r>
        <w:rPr>
          <w:rFonts w:hint="eastAsia" w:ascii="仿宋_GB2312" w:eastAsia="仿宋_GB2312"/>
          <w:color w:val="auto"/>
          <w:sz w:val="32"/>
          <w:szCs w:val="32"/>
          <w:lang w:eastAsia="zh-CN"/>
        </w:rPr>
        <w:t>》、《技工学校现金管理制度》等</w:t>
      </w:r>
      <w:r>
        <w:rPr>
          <w:rFonts w:hint="eastAsia" w:ascii="仿宋_GB2312" w:eastAsia="仿宋_GB2312"/>
          <w:color w:val="auto"/>
          <w:sz w:val="32"/>
          <w:szCs w:val="32"/>
          <w:lang w:val="en-US" w:eastAsia="zh-CN"/>
        </w:rPr>
        <w:t>财务管理办法和预算资金</w:t>
      </w:r>
      <w:r>
        <w:rPr>
          <w:rFonts w:hint="eastAsia" w:ascii="仿宋_GB2312" w:eastAsia="仿宋_GB2312"/>
          <w:color w:val="auto"/>
          <w:sz w:val="32"/>
          <w:szCs w:val="32"/>
        </w:rPr>
        <w:t>管理办法，并严格按照此管理办法管理使用预算资金，严格按照政府信息公开有关规定及财政部门要求公开相关预决算信息。</w:t>
      </w:r>
    </w:p>
    <w:p>
      <w:pPr>
        <w:pStyle w:val="5"/>
        <w:numPr>
          <w:ilvl w:val="0"/>
          <w:numId w:val="4"/>
        </w:numPr>
        <w:ind w:firstLineChars="0"/>
        <w:rPr>
          <w:rFonts w:ascii="楷体_GB2312" w:eastAsia="楷体_GB2312"/>
          <w:bCs/>
          <w:color w:val="auto"/>
          <w:szCs w:val="32"/>
        </w:rPr>
      </w:pPr>
      <w:r>
        <w:rPr>
          <w:rFonts w:hint="eastAsia" w:ascii="楷体_GB2312" w:eastAsia="楷体_GB2312"/>
          <w:bCs/>
          <w:color w:val="auto"/>
          <w:szCs w:val="32"/>
        </w:rPr>
        <w:t>基本支出预算安排及支出情况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1.基本支出情况</w:t>
      </w:r>
    </w:p>
    <w:p>
      <w:pPr>
        <w:ind w:firstLine="640"/>
        <w:rPr>
          <w:rFonts w:ascii="仿宋_GB2312" w:eastAsia="仿宋_GB2312"/>
          <w:color w:val="auto"/>
          <w:sz w:val="32"/>
          <w:szCs w:val="32"/>
          <w:highlight w:val="yellow"/>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w:t>
      </w:r>
      <w:r>
        <w:rPr>
          <w:rFonts w:hint="eastAsia" w:ascii="仿宋_GB2312" w:eastAsia="仿宋_GB2312"/>
          <w:sz w:val="32"/>
          <w:szCs w:val="32"/>
          <w:highlight w:val="none"/>
          <w:lang w:eastAsia="zh-CN"/>
        </w:rPr>
        <w:t>昌吉市技工学校</w:t>
      </w:r>
      <w:r>
        <w:rPr>
          <w:rFonts w:hint="eastAsia" w:ascii="仿宋_GB2312" w:eastAsia="仿宋_GB2312"/>
          <w:sz w:val="32"/>
          <w:szCs w:val="32"/>
          <w:highlight w:val="none"/>
        </w:rPr>
        <w:t>基本支出年初预算金</w:t>
      </w:r>
      <w:r>
        <w:rPr>
          <w:rFonts w:hint="eastAsia" w:ascii="仿宋_GB2312" w:eastAsia="仿宋_GB2312"/>
          <w:color w:val="auto"/>
          <w:sz w:val="32"/>
          <w:szCs w:val="32"/>
          <w:highlight w:val="none"/>
        </w:rPr>
        <w:t>额为</w:t>
      </w:r>
      <w:r>
        <w:rPr>
          <w:rFonts w:hint="eastAsia" w:ascii="仿宋_GB2312" w:eastAsia="仿宋_GB2312"/>
          <w:color w:val="auto"/>
          <w:sz w:val="32"/>
          <w:szCs w:val="32"/>
          <w:highlight w:val="none"/>
          <w:lang w:val="en-US" w:eastAsia="zh-CN"/>
        </w:rPr>
        <w:t>66.12</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64.72</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97.88</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201.49</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267.61</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267.61</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264.89</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2.72</w:t>
      </w:r>
      <w:r>
        <w:rPr>
          <w:rFonts w:hint="eastAsia" w:ascii="仿宋_GB2312" w:eastAsia="仿宋_GB2312"/>
          <w:color w:val="auto"/>
          <w:sz w:val="32"/>
          <w:szCs w:val="32"/>
          <w:highlight w:val="none"/>
        </w:rPr>
        <w:t>万元。</w:t>
      </w:r>
    </w:p>
    <w:p>
      <w:pPr>
        <w:numPr>
          <w:ilvl w:val="0"/>
          <w:numId w:val="3"/>
        </w:numPr>
        <w:ind w:left="0" w:leftChars="0" w:firstLine="643" w:firstLineChars="200"/>
        <w:rPr>
          <w:rFonts w:hint="eastAsia" w:ascii="仿宋_GB2312" w:eastAsia="仿宋_GB2312"/>
          <w:b/>
          <w:bCs/>
          <w:color w:val="auto"/>
          <w:sz w:val="32"/>
          <w:szCs w:val="32"/>
        </w:rPr>
      </w:pPr>
      <w:r>
        <w:rPr>
          <w:rFonts w:hint="eastAsia" w:ascii="仿宋_GB2312" w:eastAsia="仿宋_GB2312"/>
          <w:b/>
          <w:bCs/>
          <w:color w:val="auto"/>
          <w:sz w:val="32"/>
          <w:szCs w:val="32"/>
        </w:rPr>
        <w:t>“三公”经费情况</w:t>
      </w:r>
    </w:p>
    <w:p>
      <w:pPr>
        <w:pStyle w:val="2"/>
        <w:numPr>
          <w:ilvl w:val="0"/>
          <w:numId w:val="0"/>
        </w:numPr>
        <w:ind w:leftChars="200"/>
        <w:rPr>
          <w:rFonts w:hint="eastAsia" w:ascii="仿宋_GB2312" w:hAnsi="仿宋" w:eastAsia="仿宋_GB2312" w:cs="Times New Roman"/>
          <w:color w:val="auto"/>
          <w:kern w:val="2"/>
          <w:sz w:val="32"/>
          <w:szCs w:val="32"/>
          <w:highlight w:val="none"/>
          <w:lang w:val="en-US" w:eastAsia="zh-CN" w:bidi="ar-SA"/>
        </w:rPr>
      </w:pPr>
      <w:r>
        <w:rPr>
          <w:rFonts w:hint="eastAsia"/>
          <w:lang w:val="en-US" w:eastAsia="zh-CN"/>
        </w:rPr>
        <w:t xml:space="preserve"> </w:t>
      </w:r>
      <w:r>
        <w:rPr>
          <w:rFonts w:hint="eastAsia" w:ascii="仿宋_GB2312" w:hAnsi="仿宋" w:eastAsia="仿宋_GB2312" w:cs="Times New Roman"/>
          <w:color w:val="auto"/>
          <w:kern w:val="2"/>
          <w:sz w:val="32"/>
          <w:szCs w:val="32"/>
          <w:highlight w:val="none"/>
          <w:lang w:val="en-US" w:eastAsia="zh-CN" w:bidi="ar-SA"/>
        </w:rPr>
        <w:t>本年度本单位未安排三公经费。</w:t>
      </w:r>
    </w:p>
    <w:p>
      <w:pPr>
        <w:pStyle w:val="5"/>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pStyle w:val="6"/>
        <w:ind w:firstLine="640"/>
        <w:rPr>
          <w:b w:val="0"/>
          <w:bCs w:val="0"/>
          <w:color w:val="auto"/>
          <w:sz w:val="32"/>
        </w:rPr>
      </w:pPr>
      <w:r>
        <w:rPr>
          <w:rFonts w:hint="eastAsia"/>
          <w:b w:val="0"/>
          <w:bCs w:val="0"/>
          <w:color w:val="auto"/>
          <w:sz w:val="32"/>
        </w:rPr>
        <w:t>202</w:t>
      </w:r>
      <w:r>
        <w:rPr>
          <w:rFonts w:hint="eastAsia"/>
          <w:b w:val="0"/>
          <w:bCs w:val="0"/>
          <w:color w:val="auto"/>
          <w:sz w:val="32"/>
          <w:lang w:val="en-US" w:eastAsia="zh-CN"/>
        </w:rPr>
        <w:t>2</w:t>
      </w:r>
      <w:r>
        <w:rPr>
          <w:rFonts w:hint="eastAsia"/>
          <w:b w:val="0"/>
          <w:bCs w:val="0"/>
          <w:color w:val="auto"/>
          <w:sz w:val="32"/>
        </w:rPr>
        <w:t>年，</w:t>
      </w:r>
      <w:r>
        <w:rPr>
          <w:rFonts w:hint="eastAsia"/>
          <w:b w:val="0"/>
          <w:bCs w:val="0"/>
          <w:color w:val="auto"/>
          <w:sz w:val="32"/>
          <w:lang w:val="en-US" w:eastAsia="zh-CN"/>
        </w:rPr>
        <w:t>昌吉市技工学校</w:t>
      </w:r>
      <w:r>
        <w:rPr>
          <w:rFonts w:hint="eastAsia"/>
          <w:b w:val="0"/>
          <w:bCs w:val="0"/>
          <w:color w:val="auto"/>
          <w:sz w:val="32"/>
        </w:rPr>
        <w:t>项目支出年初预算金额为</w:t>
      </w:r>
      <w:r>
        <w:rPr>
          <w:rFonts w:hint="eastAsia"/>
          <w:b w:val="0"/>
          <w:bCs w:val="0"/>
          <w:color w:val="auto"/>
          <w:sz w:val="32"/>
          <w:lang w:val="en-US" w:eastAsia="zh-CN"/>
        </w:rPr>
        <w:t>0</w:t>
      </w:r>
      <w:r>
        <w:rPr>
          <w:rFonts w:hint="eastAsia"/>
          <w:b w:val="0"/>
          <w:bCs w:val="0"/>
          <w:color w:val="auto"/>
          <w:sz w:val="32"/>
        </w:rPr>
        <w:t>.</w:t>
      </w:r>
      <w:r>
        <w:rPr>
          <w:rFonts w:hint="eastAsia"/>
          <w:b w:val="0"/>
          <w:bCs w:val="0"/>
          <w:color w:val="auto"/>
          <w:sz w:val="32"/>
          <w:lang w:val="en-US" w:eastAsia="zh-CN"/>
        </w:rPr>
        <w:t>00</w:t>
      </w:r>
      <w:r>
        <w:rPr>
          <w:rFonts w:hint="eastAsia"/>
          <w:b w:val="0"/>
          <w:bCs w:val="0"/>
          <w:color w:val="auto"/>
          <w:sz w:val="32"/>
        </w:rPr>
        <w:t>万元，支出金额为</w:t>
      </w:r>
      <w:r>
        <w:rPr>
          <w:rFonts w:hint="eastAsia"/>
          <w:b w:val="0"/>
          <w:bCs w:val="0"/>
          <w:color w:val="auto"/>
          <w:sz w:val="32"/>
          <w:lang w:val="en-US" w:eastAsia="zh-CN"/>
        </w:rPr>
        <w:t>0</w:t>
      </w:r>
      <w:r>
        <w:rPr>
          <w:rFonts w:hint="eastAsia"/>
          <w:b w:val="0"/>
          <w:bCs w:val="0"/>
          <w:color w:val="auto"/>
          <w:sz w:val="32"/>
        </w:rPr>
        <w:t>万元，执行率为</w:t>
      </w:r>
      <w:r>
        <w:rPr>
          <w:rFonts w:hint="eastAsia"/>
          <w:b w:val="0"/>
          <w:bCs w:val="0"/>
          <w:color w:val="auto"/>
          <w:sz w:val="32"/>
          <w:lang w:val="en-US" w:eastAsia="zh-CN"/>
        </w:rPr>
        <w:t>0.0</w:t>
      </w:r>
      <w:r>
        <w:rPr>
          <w:rFonts w:hint="eastAsia"/>
          <w:b w:val="0"/>
          <w:bCs w:val="0"/>
          <w:color w:val="auto"/>
          <w:sz w:val="32"/>
        </w:rPr>
        <w:t>%，年中调整预算金额为</w:t>
      </w:r>
      <w:r>
        <w:rPr>
          <w:rFonts w:hint="eastAsia"/>
          <w:b w:val="0"/>
          <w:bCs w:val="0"/>
          <w:color w:val="auto"/>
          <w:sz w:val="32"/>
          <w:lang w:val="en-US" w:eastAsia="zh-CN"/>
        </w:rPr>
        <w:t>85.49</w:t>
      </w:r>
      <w:r>
        <w:rPr>
          <w:rFonts w:hint="eastAsia"/>
          <w:b w:val="0"/>
          <w:bCs w:val="0"/>
          <w:color w:val="auto"/>
          <w:sz w:val="32"/>
        </w:rPr>
        <w:t>万元。综上，我单位项目支出预算总额为</w:t>
      </w:r>
      <w:r>
        <w:rPr>
          <w:rFonts w:hint="eastAsia"/>
          <w:b w:val="0"/>
          <w:bCs w:val="0"/>
          <w:color w:val="auto"/>
          <w:sz w:val="32"/>
          <w:lang w:val="en-US" w:eastAsia="zh-CN"/>
        </w:rPr>
        <w:t>85.49</w:t>
      </w:r>
      <w:r>
        <w:rPr>
          <w:rFonts w:hint="eastAsia"/>
          <w:b w:val="0"/>
          <w:bCs w:val="0"/>
          <w:color w:val="auto"/>
          <w:sz w:val="32"/>
        </w:rPr>
        <w:t>万元，支出总额</w:t>
      </w:r>
      <w:r>
        <w:rPr>
          <w:rFonts w:hint="eastAsia"/>
          <w:b w:val="0"/>
          <w:bCs w:val="0"/>
          <w:color w:val="auto"/>
          <w:sz w:val="32"/>
          <w:lang w:val="en-US" w:eastAsia="zh-CN"/>
        </w:rPr>
        <w:t>85.49</w:t>
      </w:r>
      <w:r>
        <w:rPr>
          <w:rFonts w:hint="eastAsia"/>
          <w:b w:val="0"/>
          <w:bCs w:val="0"/>
          <w:color w:val="auto"/>
          <w:sz w:val="32"/>
        </w:rPr>
        <w:t>万元，预算总执行率为</w:t>
      </w:r>
      <w:r>
        <w:rPr>
          <w:rFonts w:hint="eastAsia"/>
          <w:b w:val="0"/>
          <w:bCs w:val="0"/>
          <w:color w:val="auto"/>
          <w:sz w:val="32"/>
          <w:lang w:val="en-US" w:eastAsia="zh-CN"/>
        </w:rPr>
        <w:t>100.0</w:t>
      </w:r>
      <w:r>
        <w:rPr>
          <w:rFonts w:hint="eastAsia"/>
          <w:b w:val="0"/>
          <w:bCs w:val="0"/>
          <w:color w:val="auto"/>
          <w:sz w:val="32"/>
        </w:rPr>
        <w:t>%</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昌吉市技工学校</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个</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p>
      <w:pPr>
        <w:ind w:firstLine="420"/>
        <w:jc w:val="right"/>
        <w:rPr>
          <w:rFonts w:hint="eastAsia"/>
          <w:sz w:val="21"/>
          <w:szCs w:val="21"/>
        </w:rPr>
      </w:pPr>
    </w:p>
    <w:p>
      <w:pPr>
        <w:ind w:firstLine="420"/>
        <w:jc w:val="right"/>
        <w:rPr>
          <w:rFonts w:hint="eastAsia"/>
          <w:sz w:val="21"/>
          <w:szCs w:val="21"/>
        </w:rPr>
      </w:pPr>
    </w:p>
    <w:p>
      <w:pPr>
        <w:ind w:firstLine="420"/>
        <w:jc w:val="right"/>
        <w:rPr>
          <w:sz w:val="21"/>
          <w:szCs w:val="21"/>
        </w:rPr>
      </w:pPr>
      <w:r>
        <w:rPr>
          <w:rFonts w:hint="eastAsia"/>
          <w:sz w:val="21"/>
          <w:szCs w:val="21"/>
        </w:rPr>
        <w:t>单位：万元</w:t>
      </w:r>
    </w:p>
    <w:tbl>
      <w:tblPr>
        <w:tblStyle w:val="11"/>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431"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昌吉市技工学校运转及培训经费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b/>
                <w:bCs/>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b/>
                <w:bCs/>
                <w:kern w:val="0"/>
                <w:sz w:val="21"/>
                <w:szCs w:val="21"/>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昌吉市技工学校开办经费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55.49</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55.49</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b/>
                <w:bCs/>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b/>
                <w:bCs/>
                <w:kern w:val="0"/>
                <w:sz w:val="21"/>
                <w:szCs w:val="21"/>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85.49</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85.49</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kern w:val="0"/>
                <w:sz w:val="21"/>
                <w:szCs w:val="21"/>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10"/>
        <w:widowControl/>
        <w:spacing w:before="40" w:beforeAutospacing="0" w:after="0" w:afterAutospacing="0"/>
        <w:ind w:firstLine="640"/>
        <w:jc w:val="both"/>
        <w:rPr>
          <w:rFonts w:hint="eastAsia" w:ascii="仿宋_GB2312" w:eastAsia="仿宋" w:cs="仿宋"/>
          <w:color w:val="FF0000"/>
          <w:sz w:val="32"/>
          <w:szCs w:val="32"/>
          <w:highlight w:val="yellow"/>
          <w:lang w:eastAsia="zh-CN"/>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年本单位全年未安排中央及自治区专项资金支出项目。</w:t>
      </w:r>
    </w:p>
    <w:p>
      <w:pPr>
        <w:pStyle w:val="4"/>
        <w:ind w:firstLine="640"/>
        <w:rPr>
          <w:rFonts w:ascii="黑体" w:hAnsi="黑体"/>
          <w:b w:val="0"/>
          <w:sz w:val="32"/>
          <w:szCs w:val="32"/>
        </w:rPr>
      </w:pPr>
      <w:r>
        <w:rPr>
          <w:rFonts w:hint="eastAsia" w:ascii="黑体" w:hAnsi="黑体"/>
          <w:b w:val="0"/>
          <w:sz w:val="32"/>
          <w:szCs w:val="32"/>
        </w:rPr>
        <w:t>三、部门单位专项组织实施情况</w:t>
      </w:r>
    </w:p>
    <w:p>
      <w:pPr>
        <w:pStyle w:val="5"/>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5"/>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s="仿宋"/>
          <w:b/>
          <w:bCs/>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年本单位全年未安排中央及自治区专项资金支出项目。</w:t>
      </w:r>
    </w:p>
    <w:p>
      <w:pPr>
        <w:pStyle w:val="4"/>
        <w:ind w:firstLine="640"/>
        <w:rPr>
          <w:rFonts w:ascii="黑体" w:hAnsi="黑体"/>
          <w:b w:val="0"/>
          <w:color w:val="auto"/>
          <w:sz w:val="32"/>
          <w:szCs w:val="32"/>
        </w:rPr>
      </w:pPr>
      <w:r>
        <w:rPr>
          <w:rFonts w:hint="eastAsia" w:ascii="黑体" w:hAnsi="黑体"/>
          <w:b w:val="0"/>
          <w:color w:val="auto"/>
          <w:sz w:val="32"/>
          <w:szCs w:val="32"/>
        </w:rPr>
        <w:t>四、资产管理情况</w:t>
      </w:r>
    </w:p>
    <w:p>
      <w:pPr>
        <w:pStyle w:val="5"/>
        <w:numPr>
          <w:ilvl w:val="0"/>
          <w:numId w:val="6"/>
        </w:numPr>
        <w:ind w:firstLine="640"/>
        <w:rPr>
          <w:rFonts w:ascii="楷体_GB2312" w:eastAsia="楷体_GB2312"/>
          <w:color w:val="auto"/>
          <w:szCs w:val="32"/>
        </w:rPr>
      </w:pPr>
      <w:r>
        <w:rPr>
          <w:rFonts w:hint="eastAsia" w:ascii="楷体_GB2312" w:eastAsia="楷体_GB2312"/>
          <w:color w:val="auto"/>
          <w:szCs w:val="32"/>
        </w:rPr>
        <w:t>资产情况及固定资产利用情况</w:t>
      </w:r>
    </w:p>
    <w:p>
      <w:pPr>
        <w:ind w:firstLine="640"/>
        <w:rPr>
          <w:rFonts w:ascii="仿宋_GB2312" w:eastAsia="仿宋_GB2312"/>
          <w:color w:val="auto"/>
          <w:sz w:val="32"/>
          <w:szCs w:val="32"/>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294.17</w:t>
      </w:r>
      <w:r>
        <w:rPr>
          <w:rFonts w:hint="eastAsia" w:ascii="仿宋_GB2312" w:eastAsia="仿宋_GB2312"/>
          <w:color w:val="auto"/>
          <w:sz w:val="32"/>
          <w:szCs w:val="32"/>
        </w:rPr>
        <w:t>万元，较年初资产总额</w:t>
      </w:r>
      <w:r>
        <w:rPr>
          <w:rFonts w:hint="eastAsia" w:ascii="仿宋_GB2312" w:eastAsia="仿宋_GB2312"/>
          <w:color w:val="auto"/>
          <w:sz w:val="32"/>
          <w:szCs w:val="32"/>
          <w:lang w:val="en-US" w:eastAsia="zh-CN"/>
        </w:rPr>
        <w:t>增长12.93</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增长4.21</w:t>
      </w:r>
      <w:r>
        <w:rPr>
          <w:rFonts w:hint="eastAsia" w:ascii="仿宋_GB2312" w:eastAsia="仿宋_GB2312"/>
          <w:color w:val="auto"/>
          <w:sz w:val="32"/>
          <w:szCs w:val="32"/>
        </w:rPr>
        <w:t>%，其中：</w:t>
      </w:r>
    </w:p>
    <w:p>
      <w:pPr>
        <w:ind w:firstLine="640"/>
        <w:rPr>
          <w:rFonts w:hint="default" w:ascii="仿宋_GB2312" w:eastAsia="仿宋_GB2312"/>
          <w:color w:val="auto"/>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307.1</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27.66</w:t>
      </w:r>
      <w:r>
        <w:rPr>
          <w:rFonts w:hint="eastAsia" w:ascii="仿宋_GB2312" w:eastAsia="仿宋_GB2312"/>
          <w:color w:val="auto"/>
          <w:sz w:val="32"/>
          <w:szCs w:val="32"/>
        </w:rPr>
        <w:t>万元，较年初流动资产</w:t>
      </w:r>
      <w:r>
        <w:rPr>
          <w:rFonts w:hint="eastAsia" w:ascii="仿宋_GB2312" w:eastAsia="仿宋_GB2312"/>
          <w:color w:val="auto"/>
          <w:sz w:val="32"/>
          <w:szCs w:val="32"/>
          <w:lang w:val="en-US" w:eastAsia="zh-CN"/>
        </w:rPr>
        <w:t>减少279.44</w:t>
      </w:r>
      <w:r>
        <w:rPr>
          <w:rFonts w:hint="eastAsia" w:ascii="仿宋_GB2312" w:eastAsia="仿宋_GB2312"/>
          <w:color w:val="auto"/>
          <w:sz w:val="32"/>
          <w:szCs w:val="32"/>
        </w:rPr>
        <w:t>万元，</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90.99</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2022年度应付款减少，用于支付项目资金。</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266.51</w:t>
      </w:r>
      <w:r>
        <w:rPr>
          <w:rFonts w:hint="eastAsia" w:ascii="仿宋_GB2312" w:eastAsia="仿宋_GB2312"/>
          <w:color w:val="auto"/>
          <w:sz w:val="32"/>
          <w:szCs w:val="32"/>
        </w:rPr>
        <w:t>万元，较年初固定资产增加</w:t>
      </w:r>
      <w:r>
        <w:rPr>
          <w:rFonts w:hint="eastAsia" w:ascii="仿宋_GB2312" w:eastAsia="仿宋_GB2312"/>
          <w:color w:val="auto"/>
          <w:sz w:val="32"/>
          <w:szCs w:val="32"/>
          <w:lang w:val="en-US" w:eastAsia="zh-CN"/>
        </w:rPr>
        <w:t>266.51</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2021年度新增单位无固定资产</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本年度购入固定资产</w:t>
      </w:r>
      <w:r>
        <w:rPr>
          <w:rFonts w:hint="eastAsia" w:ascii="仿宋_GB2312" w:eastAsia="仿宋_GB2312"/>
          <w:color w:val="auto"/>
          <w:sz w:val="32"/>
          <w:szCs w:val="32"/>
        </w:rPr>
        <w:t>。</w:t>
      </w:r>
    </w:p>
    <w:p>
      <w:pPr>
        <w:pStyle w:val="5"/>
        <w:numPr>
          <w:ilvl w:val="0"/>
          <w:numId w:val="6"/>
        </w:numPr>
        <w:ind w:firstLine="640"/>
        <w:rPr>
          <w:rFonts w:ascii="楷体_GB2312" w:eastAsia="楷体_GB2312"/>
          <w:color w:val="auto"/>
          <w:szCs w:val="32"/>
        </w:rPr>
      </w:pPr>
      <w:r>
        <w:rPr>
          <w:rFonts w:hint="eastAsia" w:ascii="楷体_GB2312" w:eastAsia="楷体_GB2312"/>
          <w:color w:val="auto"/>
          <w:szCs w:val="32"/>
        </w:rPr>
        <w:t>资产管理规范性分析</w:t>
      </w:r>
    </w:p>
    <w:p>
      <w:pPr>
        <w:ind w:firstLine="640"/>
        <w:jc w:val="left"/>
        <w:rPr>
          <w:rFonts w:ascii="仿宋_GB2312" w:eastAsia="仿宋_GB2312" w:cs="仿宋_GB2312"/>
          <w:color w:val="auto"/>
          <w:kern w:val="1"/>
          <w:sz w:val="32"/>
          <w:szCs w:val="32"/>
        </w:rPr>
      </w:pPr>
      <w:r>
        <w:rPr>
          <w:rFonts w:hint="eastAsia" w:ascii="仿宋_GB2312" w:eastAsia="仿宋_GB2312" w:cs="仿宋_GB2312"/>
          <w:b/>
          <w:color w:val="auto"/>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4"/>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202</w:t>
      </w:r>
      <w:r>
        <w:rPr>
          <w:rFonts w:hint="eastAsia" w:ascii="仿宋_GB2312" w:eastAsia="仿宋_GB2312"/>
          <w:bCs/>
          <w:color w:val="auto"/>
          <w:spacing w:val="-4"/>
          <w:sz w:val="32"/>
          <w:szCs w:val="32"/>
          <w:lang w:val="en-US" w:eastAsia="zh-CN"/>
        </w:rPr>
        <w:t>2</w:t>
      </w:r>
      <w:r>
        <w:rPr>
          <w:rFonts w:hint="eastAsia" w:ascii="仿宋_GB2312" w:eastAsia="仿宋_GB2312"/>
          <w:bCs/>
          <w:color w:val="auto"/>
          <w:spacing w:val="-4"/>
          <w:sz w:val="32"/>
          <w:szCs w:val="32"/>
        </w:rPr>
        <w:t>年度，</w:t>
      </w:r>
      <w:r>
        <w:rPr>
          <w:rFonts w:hint="eastAsia" w:ascii="仿宋_GB2312" w:eastAsia="仿宋_GB2312"/>
          <w:color w:val="auto"/>
          <w:sz w:val="32"/>
          <w:szCs w:val="32"/>
          <w:lang w:val="en-US" w:eastAsia="zh-CN"/>
        </w:rPr>
        <w:t>昌吉市技工学校</w:t>
      </w:r>
      <w:r>
        <w:rPr>
          <w:rFonts w:hint="eastAsia" w:ascii="仿宋_GB2312" w:eastAsia="仿宋_GB2312"/>
          <w:bCs/>
          <w:color w:val="auto"/>
          <w:spacing w:val="-4"/>
          <w:sz w:val="32"/>
          <w:szCs w:val="32"/>
        </w:rPr>
        <w:t>整体支出绩效目标共设置一级指标3个，二级指标</w:t>
      </w:r>
      <w:r>
        <w:rPr>
          <w:rFonts w:hint="eastAsia" w:ascii="仿宋_GB2312" w:eastAsia="仿宋_GB2312"/>
          <w:bCs/>
          <w:color w:val="auto"/>
          <w:spacing w:val="-4"/>
          <w:sz w:val="32"/>
          <w:szCs w:val="32"/>
          <w:lang w:val="en-US" w:eastAsia="zh-CN"/>
        </w:rPr>
        <w:t>7</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13</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11</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84.62</w:t>
      </w:r>
      <w:r>
        <w:rPr>
          <w:rFonts w:hint="eastAsia" w:ascii="仿宋_GB2312" w:eastAsia="仿宋_GB2312"/>
          <w:bCs/>
          <w:color w:val="auto"/>
          <w:spacing w:val="-4"/>
          <w:sz w:val="32"/>
          <w:szCs w:val="32"/>
        </w:rPr>
        <w:t>%。</w:t>
      </w:r>
    </w:p>
    <w:p>
      <w:pPr>
        <w:pStyle w:val="6"/>
        <w:ind w:firstLine="640"/>
        <w:rPr>
          <w:color w:val="auto"/>
          <w:sz w:val="32"/>
        </w:rPr>
      </w:pPr>
      <w:r>
        <w:rPr>
          <w:rFonts w:hint="eastAsia"/>
          <w:color w:val="auto"/>
          <w:sz w:val="32"/>
        </w:rPr>
        <w:t>1.产出指标完成情况分析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（1）数量指标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保障办公人员数量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&gt;=7.00个</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7个</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办公经费购置商品批次</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&gt;=3.00批</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3批</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质量指标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购买商品验收合格率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 xml:space="preserve">&gt;=95.00% </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95%</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w:t>
      </w:r>
      <w:r>
        <w:rPr>
          <w:rFonts w:hint="eastAsia" w:ascii="仿宋_GB2312" w:eastAsia="仿宋_GB2312"/>
          <w:b w:val="0"/>
          <w:bCs w:val="0"/>
          <w:color w:val="auto"/>
          <w:sz w:val="32"/>
          <w:szCs w:val="32"/>
          <w:lang w:val="en-US" w:eastAsia="zh-CN"/>
        </w:rPr>
        <w:t>人员保障资金发放率</w:t>
      </w:r>
      <w:r>
        <w:rPr>
          <w:rFonts w:hint="eastAsia" w:ascii="仿宋_GB2312" w:eastAsia="仿宋_GB2312"/>
          <w:b w:val="0"/>
          <w:bCs w:val="0"/>
          <w:color w:val="auto"/>
          <w:sz w:val="32"/>
          <w:szCs w:val="32"/>
        </w:rPr>
        <w:t>”指标：预期指标值为“</w:t>
      </w:r>
      <w:r>
        <w:rPr>
          <w:rFonts w:hint="eastAsia"/>
          <w:b w:val="0"/>
          <w:bCs w:val="0"/>
          <w:color w:val="auto"/>
          <w:sz w:val="32"/>
          <w:szCs w:val="32"/>
          <w:lang w:val="en-US" w:eastAsia="zh-CN"/>
        </w:rPr>
        <w:t>=100.00%</w:t>
      </w:r>
      <w:r>
        <w:rPr>
          <w:rFonts w:hint="eastAsia" w:ascii="仿宋_GB2312" w:eastAsia="仿宋_GB2312"/>
          <w:b w:val="0"/>
          <w:bCs w:val="0"/>
          <w:color w:val="auto"/>
          <w:sz w:val="32"/>
          <w:szCs w:val="32"/>
        </w:rPr>
        <w:t>”，实际完成指标值为“</w:t>
      </w:r>
      <w:r>
        <w:rPr>
          <w:rFonts w:hint="eastAsia" w:ascii="仿宋_GB2312" w:eastAsia="仿宋_GB2312"/>
          <w:b w:val="0"/>
          <w:bCs w:val="0"/>
          <w:color w:val="auto"/>
          <w:sz w:val="32"/>
          <w:szCs w:val="32"/>
          <w:lang w:val="en-US" w:eastAsia="zh-CN"/>
        </w:rPr>
        <w:t>100%</w:t>
      </w:r>
      <w:r>
        <w:rPr>
          <w:rFonts w:hint="eastAsia" w:ascii="仿宋_GB2312" w:eastAsia="仿宋_GB2312"/>
          <w:b w:val="0"/>
          <w:bCs w:val="0"/>
          <w:color w:val="auto"/>
          <w:sz w:val="32"/>
          <w:szCs w:val="32"/>
        </w:rPr>
        <w:t>”，指标完成率为</w:t>
      </w:r>
      <w:r>
        <w:rPr>
          <w:rFonts w:hint="eastAsia" w:ascii="仿宋_GB2312" w:eastAsia="仿宋_GB2312"/>
          <w:b w:val="0"/>
          <w:bCs w:val="0"/>
          <w:color w:val="auto"/>
          <w:spacing w:val="-4"/>
          <w:sz w:val="32"/>
          <w:szCs w:val="32"/>
          <w:lang w:val="en-US" w:eastAsia="zh-CN"/>
        </w:rPr>
        <w:t>100.0</w:t>
      </w:r>
      <w:r>
        <w:rPr>
          <w:rFonts w:hint="eastAsia" w:ascii="仿宋_GB2312" w:eastAsia="仿宋_GB2312"/>
          <w:b w:val="0"/>
          <w:bCs w:val="0"/>
          <w:color w:val="auto"/>
          <w:sz w:val="32"/>
          <w:szCs w:val="32"/>
        </w:rPr>
        <w:t>%;</w:t>
      </w:r>
    </w:p>
    <w:p>
      <w:pPr>
        <w:ind w:firstLine="640"/>
        <w:rPr>
          <w:rFonts w:ascii="仿宋_GB2312" w:eastAsia="仿宋_GB2312"/>
          <w:color w:val="auto"/>
          <w:sz w:val="32"/>
          <w:szCs w:val="32"/>
        </w:rPr>
      </w:pPr>
      <w:r>
        <w:rPr>
          <w:rFonts w:hint="eastAsia" w:ascii="仿宋_GB2312" w:eastAsia="仿宋_GB2312"/>
          <w:b w:val="0"/>
          <w:bCs w:val="0"/>
          <w:color w:val="auto"/>
          <w:sz w:val="32"/>
          <w:szCs w:val="32"/>
          <w:lang w:eastAsia="zh-CN"/>
        </w:rPr>
        <w:t>（</w:t>
      </w:r>
      <w:r>
        <w:rPr>
          <w:rFonts w:hint="eastAsia" w:ascii="仿宋_GB2312" w:eastAsia="仿宋_GB2312"/>
          <w:b w:val="0"/>
          <w:bCs w:val="0"/>
          <w:color w:val="auto"/>
          <w:sz w:val="32"/>
          <w:szCs w:val="32"/>
          <w:lang w:val="en-US" w:eastAsia="zh-CN"/>
        </w:rPr>
        <w:t>3</w:t>
      </w:r>
      <w:r>
        <w:rPr>
          <w:rFonts w:hint="eastAsia" w:ascii="仿宋_GB2312" w:eastAsia="仿宋_GB2312"/>
          <w:b w:val="0"/>
          <w:bCs w:val="0"/>
          <w:color w:val="auto"/>
          <w:sz w:val="32"/>
          <w:szCs w:val="32"/>
          <w:lang w:eastAsia="zh-CN"/>
        </w:rPr>
        <w:t>）</w:t>
      </w:r>
      <w:r>
        <w:rPr>
          <w:rFonts w:hint="eastAsia" w:ascii="仿宋_GB2312" w:eastAsia="仿宋_GB2312"/>
          <w:color w:val="auto"/>
          <w:sz w:val="32"/>
          <w:szCs w:val="32"/>
        </w:rPr>
        <w:t>时效指标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工作开展时间</w:t>
      </w:r>
      <w:r>
        <w:rPr>
          <w:rFonts w:hint="eastAsia" w:ascii="仿宋_GB2312" w:eastAsia="仿宋_GB2312"/>
          <w:color w:val="auto"/>
          <w:sz w:val="32"/>
          <w:szCs w:val="32"/>
        </w:rPr>
        <w:t>”指标：预期指标值为“</w:t>
      </w:r>
      <w:r>
        <w:rPr>
          <w:rFonts w:hint="eastAsia"/>
          <w:b w:val="0"/>
          <w:bCs w:val="0"/>
          <w:color w:val="auto"/>
          <w:sz w:val="32"/>
          <w:szCs w:val="32"/>
          <w:lang w:val="en-US" w:eastAsia="zh-CN"/>
        </w:rPr>
        <w:t>2022年12月31日</w:t>
      </w:r>
      <w:r>
        <w:rPr>
          <w:rFonts w:hint="eastAsia" w:ascii="仿宋_GB2312" w:eastAsia="仿宋_GB2312"/>
          <w:color w:val="auto"/>
          <w:sz w:val="32"/>
          <w:szCs w:val="32"/>
        </w:rPr>
        <w:t>”，实际完成指标值为“</w:t>
      </w:r>
      <w:r>
        <w:rPr>
          <w:rFonts w:hint="eastAsia" w:ascii="仿宋_GB2312" w:eastAsia="仿宋_GB2312"/>
          <w:b w:val="0"/>
          <w:bCs w:val="0"/>
          <w:color w:val="auto"/>
          <w:sz w:val="32"/>
          <w:szCs w:val="32"/>
          <w:lang w:val="en-US" w:eastAsia="zh-CN"/>
        </w:rPr>
        <w:t>2022年12月31日</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公用经费支付及时率</w:t>
      </w:r>
      <w:r>
        <w:rPr>
          <w:rFonts w:hint="eastAsia" w:ascii="仿宋_GB2312" w:eastAsia="仿宋_GB2312"/>
          <w:color w:val="auto"/>
          <w:sz w:val="32"/>
          <w:szCs w:val="32"/>
        </w:rPr>
        <w:t>”指标：预期指标值为“</w:t>
      </w:r>
      <w:r>
        <w:rPr>
          <w:rFonts w:hint="eastAsia"/>
          <w:b w:val="0"/>
          <w:bCs w:val="0"/>
          <w:color w:val="auto"/>
          <w:sz w:val="32"/>
          <w:szCs w:val="32"/>
          <w:lang w:val="en-US" w:eastAsia="zh-CN"/>
        </w:rPr>
        <w:t>&gt;=91.00%</w:t>
      </w:r>
      <w:r>
        <w:rPr>
          <w:rFonts w:hint="eastAsia" w:ascii="仿宋_GB2312" w:eastAsia="仿宋_GB2312"/>
          <w:color w:val="auto"/>
          <w:sz w:val="32"/>
          <w:szCs w:val="32"/>
        </w:rPr>
        <w:t>”，实际完成指标值为“</w:t>
      </w:r>
      <w:r>
        <w:rPr>
          <w:rFonts w:hint="eastAsia" w:ascii="仿宋_GB2312" w:eastAsia="仿宋_GB2312"/>
          <w:b w:val="0"/>
          <w:bCs w:val="0"/>
          <w:color w:val="auto"/>
          <w:sz w:val="32"/>
          <w:szCs w:val="32"/>
          <w:lang w:val="en-US" w:eastAsia="zh-CN"/>
        </w:rPr>
        <w:t>100.00%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0"/>
        </w:numPr>
        <w:ind w:firstLine="960" w:firstLineChars="300"/>
        <w:rPr>
          <w:rFonts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4</w:t>
      </w:r>
      <w:r>
        <w:rPr>
          <w:rFonts w:hint="eastAsia" w:ascii="仿宋_GB2312" w:eastAsia="仿宋_GB2312"/>
          <w:color w:val="auto"/>
          <w:sz w:val="32"/>
          <w:szCs w:val="32"/>
          <w:lang w:eastAsia="zh-CN"/>
        </w:rPr>
        <w:t>）</w:t>
      </w:r>
      <w:r>
        <w:rPr>
          <w:rFonts w:hint="eastAsia" w:ascii="仿宋_GB2312" w:eastAsia="仿宋_GB2312"/>
          <w:color w:val="auto"/>
          <w:sz w:val="32"/>
          <w:szCs w:val="32"/>
        </w:rPr>
        <w:t>成本指标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昌吉市技工学校人员保障成本</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&lt;=62.00万元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62万元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昌吉市技工学校公用经费成本</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&lt;=4.12万元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2.72万元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66.01</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人均运转经费数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&lt;=0.59万元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0.39万元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66.1</w:t>
      </w:r>
      <w:r>
        <w:rPr>
          <w:rFonts w:hint="eastAsia" w:ascii="仿宋_GB2312" w:eastAsia="仿宋_GB2312"/>
          <w:color w:val="auto"/>
          <w:sz w:val="32"/>
          <w:szCs w:val="32"/>
        </w:rPr>
        <w:t>%;</w:t>
      </w:r>
    </w:p>
    <w:p>
      <w:pPr>
        <w:pStyle w:val="6"/>
        <w:ind w:firstLine="640"/>
        <w:rPr>
          <w:color w:val="auto"/>
          <w:sz w:val="32"/>
        </w:rPr>
      </w:pPr>
      <w:r>
        <w:rPr>
          <w:rFonts w:hint="eastAsia"/>
          <w:color w:val="auto"/>
          <w:sz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（1）经济效益</w:t>
      </w:r>
    </w:p>
    <w:p>
      <w:pPr>
        <w:ind w:firstLine="640"/>
        <w:rPr>
          <w:rFonts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提高农牧民转产转岗能力</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有效提高</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有效提高</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sz w:val="32"/>
          <w:szCs w:val="32"/>
        </w:rPr>
      </w:pPr>
      <w:r>
        <w:rPr>
          <w:rFonts w:hint="eastAsia" w:ascii="仿宋_GB2312" w:eastAsia="仿宋_GB2312"/>
          <w:sz w:val="32"/>
          <w:szCs w:val="32"/>
        </w:rPr>
        <w:t>（4）可持续影响</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持续发展技工教育，大规模开展职业技能培训，加快培养大批高素质劳动者和技术技能人才</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持续发展</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有效提高</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pStyle w:val="6"/>
        <w:ind w:firstLine="640"/>
        <w:rPr>
          <w:sz w:val="32"/>
        </w:rPr>
      </w:pPr>
      <w:r>
        <w:rPr>
          <w:rFonts w:hint="eastAsia"/>
          <w:sz w:val="32"/>
        </w:rPr>
        <w:t>3.满意度指标完成情况分析</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培训学员满意度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≥95%</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95%</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eastAsia="仿宋_GB2312"/>
          <w:lang w:eastAsia="zh-CN"/>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职工满意度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≥95%</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95%</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pStyle w:val="4"/>
        <w:numPr>
          <w:ilvl w:val="0"/>
          <w:numId w:val="7"/>
        </w:numPr>
        <w:ind w:left="0" w:leftChars="0" w:firstLine="640" w:firstLineChars="200"/>
        <w:rPr>
          <w:rFonts w:hint="eastAsia" w:ascii="黑体" w:hAnsi="黑体"/>
          <w:b w:val="0"/>
          <w:sz w:val="32"/>
          <w:szCs w:val="32"/>
        </w:rPr>
      </w:pPr>
      <w:r>
        <w:rPr>
          <w:rFonts w:hint="eastAsia" w:ascii="黑体" w:hAnsi="黑体"/>
          <w:b w:val="0"/>
          <w:sz w:val="32"/>
          <w:szCs w:val="32"/>
        </w:rPr>
        <w:t>存在的主要问题</w:t>
      </w:r>
    </w:p>
    <w:p>
      <w:pPr>
        <w:spacing w:line="540" w:lineRule="exact"/>
        <w:ind w:firstLine="624" w:firstLineChars="200"/>
        <w:rPr>
          <w:rStyle w:val="13"/>
          <w:rFonts w:hint="eastAsia" w:ascii="仿宋" w:hAnsi="仿宋" w:eastAsia="仿宋"/>
          <w:b w:val="0"/>
          <w:color w:val="auto"/>
          <w:spacing w:val="-4"/>
          <w:sz w:val="32"/>
          <w:szCs w:val="32"/>
          <w:lang w:eastAsia="zh-CN"/>
        </w:rPr>
      </w:pPr>
      <w:r>
        <w:rPr>
          <w:rStyle w:val="13"/>
          <w:rFonts w:hint="eastAsia" w:ascii="仿宋" w:hAnsi="仿宋" w:eastAsia="仿宋"/>
          <w:b w:val="0"/>
          <w:color w:val="auto"/>
          <w:spacing w:val="-4"/>
          <w:sz w:val="32"/>
          <w:szCs w:val="32"/>
          <w:lang w:eastAsia="zh-CN"/>
        </w:rPr>
        <w:t>（</w:t>
      </w:r>
      <w:r>
        <w:rPr>
          <w:rStyle w:val="13"/>
          <w:rFonts w:hint="eastAsia" w:ascii="仿宋" w:hAnsi="仿宋" w:eastAsia="仿宋"/>
          <w:b w:val="0"/>
          <w:color w:val="auto"/>
          <w:spacing w:val="-4"/>
          <w:sz w:val="32"/>
          <w:szCs w:val="32"/>
          <w:lang w:val="en-US" w:eastAsia="zh-CN"/>
        </w:rPr>
        <w:t>一</w:t>
      </w:r>
      <w:r>
        <w:rPr>
          <w:rStyle w:val="13"/>
          <w:rFonts w:hint="eastAsia" w:ascii="仿宋" w:hAnsi="仿宋" w:eastAsia="仿宋"/>
          <w:b w:val="0"/>
          <w:color w:val="auto"/>
          <w:spacing w:val="-4"/>
          <w:sz w:val="32"/>
          <w:szCs w:val="32"/>
          <w:lang w:eastAsia="zh-CN"/>
        </w:rPr>
        <w:t>）预算执行进度慢、存在部分项目资金</w:t>
      </w:r>
      <w:r>
        <w:rPr>
          <w:rStyle w:val="13"/>
          <w:rFonts w:hint="eastAsia" w:ascii="仿宋" w:hAnsi="仿宋" w:eastAsia="仿宋"/>
          <w:b w:val="0"/>
          <w:color w:val="auto"/>
          <w:spacing w:val="-4"/>
          <w:sz w:val="32"/>
          <w:szCs w:val="32"/>
          <w:lang w:val="en-US" w:eastAsia="zh-CN"/>
        </w:rPr>
        <w:t>上</w:t>
      </w:r>
      <w:r>
        <w:rPr>
          <w:rStyle w:val="13"/>
          <w:rFonts w:hint="eastAsia" w:ascii="仿宋" w:hAnsi="仿宋" w:eastAsia="仿宋"/>
          <w:b w:val="0"/>
          <w:color w:val="auto"/>
          <w:spacing w:val="-4"/>
          <w:sz w:val="32"/>
          <w:szCs w:val="32"/>
          <w:lang w:eastAsia="zh-CN"/>
        </w:rPr>
        <w:t>报不及时。</w:t>
      </w:r>
    </w:p>
    <w:p>
      <w:pPr>
        <w:pStyle w:val="2"/>
        <w:numPr>
          <w:ilvl w:val="0"/>
          <w:numId w:val="0"/>
        </w:numPr>
        <w:ind w:firstLine="624" w:firstLineChars="200"/>
        <w:rPr>
          <w:rFonts w:hint="eastAsia" w:eastAsia="仿宋"/>
          <w:lang w:eastAsia="zh-CN"/>
        </w:rPr>
      </w:pPr>
      <w:r>
        <w:rPr>
          <w:rStyle w:val="13"/>
          <w:rFonts w:hint="eastAsia" w:ascii="仿宋" w:hAnsi="仿宋" w:eastAsia="仿宋"/>
          <w:b w:val="0"/>
          <w:color w:val="auto"/>
          <w:spacing w:val="-4"/>
          <w:sz w:val="32"/>
          <w:szCs w:val="32"/>
          <w:lang w:eastAsia="zh-CN"/>
        </w:rPr>
        <w:t>（</w:t>
      </w:r>
      <w:r>
        <w:rPr>
          <w:rStyle w:val="13"/>
          <w:rFonts w:hint="eastAsia" w:ascii="仿宋" w:hAnsi="仿宋" w:eastAsia="仿宋"/>
          <w:b w:val="0"/>
          <w:color w:val="auto"/>
          <w:spacing w:val="-4"/>
          <w:sz w:val="32"/>
          <w:szCs w:val="32"/>
          <w:lang w:val="en-US" w:eastAsia="zh-CN"/>
        </w:rPr>
        <w:t>二</w:t>
      </w:r>
      <w:r>
        <w:rPr>
          <w:rStyle w:val="13"/>
          <w:rFonts w:hint="eastAsia" w:ascii="仿宋" w:hAnsi="仿宋" w:eastAsia="仿宋"/>
          <w:b w:val="0"/>
          <w:color w:val="auto"/>
          <w:spacing w:val="-4"/>
          <w:sz w:val="32"/>
          <w:szCs w:val="32"/>
          <w:lang w:eastAsia="zh-CN"/>
        </w:rPr>
        <w:t>）制度建立还不够完善，制度执行力度还不够。</w:t>
      </w:r>
    </w:p>
    <w:p>
      <w:pPr>
        <w:pStyle w:val="4"/>
        <w:ind w:firstLine="640"/>
        <w:rPr>
          <w:rFonts w:hint="eastAsia" w:ascii="仿宋_GB2312" w:eastAsia="仿宋_GB2312"/>
          <w:bCs/>
          <w:color w:val="FF0000"/>
          <w:spacing w:val="-4"/>
          <w:sz w:val="32"/>
          <w:szCs w:val="32"/>
        </w:rPr>
      </w:pPr>
      <w:r>
        <w:rPr>
          <w:rFonts w:hint="eastAsia" w:ascii="黑体" w:hAnsi="黑体"/>
          <w:b w:val="0"/>
          <w:sz w:val="32"/>
          <w:szCs w:val="32"/>
        </w:rPr>
        <w:t>七、改进措施和建议</w:t>
      </w:r>
    </w:p>
    <w:p>
      <w:pPr>
        <w:numPr>
          <w:ilvl w:val="0"/>
          <w:numId w:val="0"/>
        </w:numPr>
        <w:spacing w:line="560" w:lineRule="exact"/>
        <w:ind w:firstLine="624" w:firstLineChars="200"/>
        <w:jc w:val="left"/>
        <w:rPr>
          <w:rStyle w:val="13"/>
          <w:rFonts w:ascii="仿宋_GB2312" w:eastAsia="仿宋_GB2312" w:hAnsiTheme="minorEastAsia" w:cstheme="minorEastAsia"/>
          <w:b w:val="0"/>
          <w:bCs w:val="0"/>
          <w:kern w:val="0"/>
          <w:sz w:val="32"/>
          <w:szCs w:val="32"/>
        </w:rPr>
      </w:pPr>
      <w:r>
        <w:rPr>
          <w:rStyle w:val="13"/>
          <w:rFonts w:hint="eastAsia" w:ascii="仿宋_GB2312" w:hAnsi="仿宋" w:eastAsia="仿宋_GB2312" w:cs="仿宋"/>
          <w:b w:val="0"/>
          <w:bCs w:val="0"/>
          <w:spacing w:val="-4"/>
          <w:sz w:val="32"/>
          <w:szCs w:val="32"/>
        </w:rPr>
        <w:t>年初虽然制定</w:t>
      </w:r>
      <w:r>
        <w:rPr>
          <w:rFonts w:hint="eastAsia" w:ascii="仿宋_GB2312" w:hAnsi="宋体" w:eastAsia="仿宋_GB2312"/>
          <w:sz w:val="32"/>
          <w:szCs w:val="32"/>
        </w:rPr>
        <w:t>细化了全年的预算支出指标，但是在实际支付过程中，年末和整体绩效目标还是存在一定的差异。</w:t>
      </w:r>
      <w:r>
        <w:rPr>
          <w:rFonts w:hint="eastAsia" w:ascii="仿宋_GB2312" w:eastAsia="仿宋_GB2312" w:hAnsiTheme="minorEastAsia" w:cstheme="minorEastAsia"/>
          <w:kern w:val="0"/>
          <w:sz w:val="32"/>
          <w:szCs w:val="32"/>
        </w:rPr>
        <w:t>需要在今后的工作中不断探索研究制定日益完善的预算绩</w:t>
      </w:r>
      <w:r>
        <w:rPr>
          <w:rFonts w:hint="eastAsia" w:ascii="仿宋_GB2312" w:eastAsia="仿宋_GB2312" w:hAnsiTheme="minorEastAsia" w:cstheme="minorEastAsia"/>
          <w:kern w:val="0"/>
          <w:sz w:val="32"/>
          <w:szCs w:val="32"/>
          <w:lang w:eastAsia="zh-CN"/>
        </w:rPr>
        <w:t>效</w:t>
      </w:r>
      <w:r>
        <w:rPr>
          <w:rFonts w:hint="eastAsia" w:ascii="仿宋_GB2312" w:eastAsia="仿宋_GB2312" w:hAnsiTheme="minorEastAsia" w:cstheme="minorEastAsia"/>
          <w:kern w:val="0"/>
          <w:sz w:val="32"/>
          <w:szCs w:val="32"/>
        </w:rPr>
        <w:t>监控制度，原因分析：对预算绩效管理工作没有丰富的工作经验；工作组织中缺少具有丰富绩效管理的人员; 责任监管制度不够完善有待进一步探索研究加以完善</w:t>
      </w:r>
      <w:r>
        <w:rPr>
          <w:rFonts w:hint="eastAsia" w:ascii="仿宋_GB2312" w:eastAsia="仿宋_GB2312" w:hAnsiTheme="minorEastAsia" w:cstheme="minorEastAsia"/>
          <w:kern w:val="0"/>
          <w:sz w:val="32"/>
          <w:szCs w:val="32"/>
          <w:lang w:eastAsia="zh-CN"/>
        </w:rPr>
        <w:t>。</w:t>
      </w:r>
      <w:r>
        <w:rPr>
          <w:rFonts w:hint="eastAsia" w:ascii="仿宋_GB2312" w:eastAsia="仿宋_GB2312" w:hAnsiTheme="minorEastAsia" w:cstheme="minorEastAsia"/>
          <w:kern w:val="0"/>
          <w:sz w:val="32"/>
          <w:szCs w:val="32"/>
        </w:rPr>
        <w:t>明确绩效评价工作职责分工</w:t>
      </w:r>
      <w:r>
        <w:rPr>
          <w:rFonts w:hint="eastAsia" w:ascii="仿宋_GB2312" w:eastAsia="仿宋_GB2312" w:hAnsiTheme="minorEastAsia" w:cstheme="minorEastAsia"/>
          <w:kern w:val="0"/>
          <w:sz w:val="32"/>
          <w:szCs w:val="32"/>
          <w:lang w:eastAsia="zh-CN"/>
        </w:rPr>
        <w:t>，</w:t>
      </w:r>
      <w:r>
        <w:rPr>
          <w:rFonts w:hint="eastAsia" w:ascii="仿宋_GB2312" w:eastAsia="仿宋_GB2312" w:hAnsiTheme="minorEastAsia" w:cstheme="minorEastAsia"/>
          <w:kern w:val="0"/>
          <w:sz w:val="32"/>
          <w:szCs w:val="32"/>
        </w:rPr>
        <w:t>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 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不定期进行绩效过程监控，及时发现问题及时调整。在实际操作中，不断总结经验，向上级部门和统计部门学习，掌握丰富的工作经验，加以完善。</w:t>
      </w:r>
    </w:p>
    <w:p>
      <w:pPr>
        <w:pStyle w:val="4"/>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Style w:val="11"/>
        <w:tblpPr w:leftFromText="180" w:rightFromText="180" w:vertAnchor="text" w:horzAnchor="page" w:tblpXSpec="center" w:tblpY="781"/>
        <w:tblOverlap w:val="neve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29"/>
        <w:gridCol w:w="729"/>
        <w:gridCol w:w="729"/>
        <w:gridCol w:w="729"/>
        <w:gridCol w:w="946"/>
        <w:gridCol w:w="946"/>
        <w:gridCol w:w="802"/>
        <w:gridCol w:w="1019"/>
        <w:gridCol w:w="1019"/>
        <w:gridCol w:w="8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jc w:val="center"/>
        </w:trPr>
        <w:tc>
          <w:tcPr>
            <w:tcW w:w="5000" w:type="pct"/>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5000" w:type="pct"/>
            <w:gridSpan w:val="10"/>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126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部门（单位）名称</w:t>
            </w:r>
          </w:p>
        </w:tc>
        <w:tc>
          <w:tcPr>
            <w:tcW w:w="3733"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昌吉市技工学校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4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年度主要任务</w:t>
            </w:r>
          </w:p>
        </w:tc>
        <w:tc>
          <w:tcPr>
            <w:tcW w:w="84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任务名称</w:t>
            </w:r>
          </w:p>
        </w:tc>
        <w:tc>
          <w:tcPr>
            <w:tcW w:w="4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主要内容</w:t>
            </w:r>
          </w:p>
        </w:tc>
        <w:tc>
          <w:tcPr>
            <w:tcW w:w="1586" w:type="pct"/>
            <w:gridSpan w:val="3"/>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bookmarkStart w:id="0" w:name="_GoBack"/>
            <w:bookmarkEnd w:id="0"/>
            <w:r>
              <w:rPr>
                <w:rFonts w:hint="eastAsia" w:ascii="宋体" w:hAnsi="宋体" w:eastAsia="宋体" w:cs="宋体"/>
                <w:i w:val="0"/>
                <w:iCs w:val="0"/>
                <w:color w:val="000000"/>
                <w:kern w:val="0"/>
                <w:sz w:val="22"/>
                <w:szCs w:val="22"/>
                <w:u w:val="none"/>
                <w:lang w:val="en-US" w:eastAsia="zh-CN" w:bidi="ar"/>
              </w:rPr>
              <w:t>预算金额（万元）</w:t>
            </w:r>
          </w:p>
        </w:tc>
        <w:tc>
          <w:tcPr>
            <w:tcW w:w="172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4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44"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人员经费保障</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用于保障支出在职人员工资的正常发放，社会保险及住房公积金的正常缴纳。</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264.89</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264.89</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44"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日常办公经费保障</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用于保障日常办公包括水电暖费用、办公用品及其他运行过程当中需要支出的运行保障费用。</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26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66.12</w:t>
            </w:r>
          </w:p>
        </w:tc>
        <w:tc>
          <w:tcPr>
            <w:tcW w:w="5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66.12</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267.61</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267.61</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jc w:val="center"/>
        </w:trPr>
        <w:tc>
          <w:tcPr>
            <w:tcW w:w="4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182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预期目标</w:t>
            </w:r>
          </w:p>
        </w:tc>
        <w:tc>
          <w:tcPr>
            <w:tcW w:w="2752" w:type="pct"/>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82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昌吉市技工学校2022年预算金额未66.12万元，其中人员经费保障为62万元，日常办公经费保障4.12万元，主要工作为保障办公人员7名，购置办公用品3次，，保证商品验收合格率95%，通过本单位的运转切实提高我市农村劳动力思想政治素质、就业技能和国语水平，促进就业和再就业工作，开展以学国语、学法律政策、学技能为主要内容的综合培训，提升我市农村劳动力综合能力。以技能培训为基础，以政治思想教育为核心，以政策法规为重点，以就业增收为方向，充分利用市技工学校政府办学的资源优势，做到“两确保、两提升”，确保农村劳动力应培尽培，全面提升农村劳动力思想政治综合素质水平和技能水平，确保培养一支高素质新型职业农牧民队伍，提升我市地方特色产业发展就业水平。依据全市摸排的农村劳动力底数，2022年计划完成15737人农村劳动力轮训任务。 </w:t>
            </w:r>
          </w:p>
        </w:tc>
        <w:tc>
          <w:tcPr>
            <w:tcW w:w="2752" w:type="pct"/>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截至2022年12月31日，通过本单位的运转切实提高我市农村劳动力思想政治素质、就业技能和国语水平，促进就业和再就业工作，开展以学国语、学法律政策、学技能为主要内容的综合培训，提升我市农村劳动力综合能力。本年度完成保障办公人员数量7人，办公用品购置3批，商品验收合格率95%，人员保障资金发放率100%，公用经费支付及时率91%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4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4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一级指标</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二级指标</w:t>
            </w: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三级指标</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绩效目标值</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实际完成值</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指标分值</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w:t>
            </w:r>
          </w:p>
        </w:tc>
        <w:tc>
          <w:tcPr>
            <w:tcW w:w="4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保障办公人员数量</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&gt;=7.00个</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&gt;=7个</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办公经费购置商品批次</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&gt;=3.00批</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&gt;=3批</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购买商品验收合格率</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&gt;=95.00% </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&gt;=95% </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人员保障资金发放率</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工作开展时间</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公用经费支付及时率</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&gt;=91.00%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&gt;=91%</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昌吉市技工学校人员保障成本</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&lt;=62.00万元</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&lt;=62万元</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昌吉市技工学校公用经费成本</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&lt;=4.12万元</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&lt;=2.72万元</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人均运转经费数</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&lt;=0.59万元</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&lt;=0.39万元</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提高农牧民转产转岗能力</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有效提高</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有效提高</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生态效益指标</w:t>
            </w: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可持续影响指标</w:t>
            </w: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持续发展技工教育，大规模开展职业技能培训，加快培养大批高素质劳动者和技术技能人才</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持续发展</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有效提高</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42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单位职工满意度</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jc w:val="center"/>
        </w:trPr>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42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8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培训学员满意度</w:t>
            </w:r>
          </w:p>
        </w:tc>
        <w:tc>
          <w:tcPr>
            <w:tcW w:w="102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6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bl>
    <w:p>
      <w:pPr>
        <w:pStyle w:val="6"/>
        <w:rPr>
          <w:rFonts w:hint="eastAsia"/>
        </w:rPr>
      </w:pPr>
    </w:p>
    <w:p>
      <w:pPr>
        <w:pStyle w:val="6"/>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Malgun Gothic Semilight">
    <w:altName w:val="Malgun Gothic"/>
    <w:panose1 w:val="020B0502040204020203"/>
    <w:charset w:val="80"/>
    <w:family w:val="swiss"/>
    <w:pitch w:val="default"/>
    <w:sig w:usb0="00000000" w:usb1="00000000" w:usb2="00000012" w:usb3="00000000" w:csb0="003E01BD" w:csb1="0000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5F" w:usb2="0000000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MWY3MTYxMDFhMGY2OWJiNGI0OGYyNjk0ZTczOGI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6FC"/>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A15406"/>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6C04D1"/>
    <w:rsid w:val="0E9E33B0"/>
    <w:rsid w:val="0EF905AA"/>
    <w:rsid w:val="0F140AC0"/>
    <w:rsid w:val="0F14215B"/>
    <w:rsid w:val="0F3C74C6"/>
    <w:rsid w:val="0FE06440"/>
    <w:rsid w:val="10014FAA"/>
    <w:rsid w:val="1049193F"/>
    <w:rsid w:val="10566744"/>
    <w:rsid w:val="10625CF9"/>
    <w:rsid w:val="10950DBA"/>
    <w:rsid w:val="10B52A92"/>
    <w:rsid w:val="10D40475"/>
    <w:rsid w:val="10DA2CC2"/>
    <w:rsid w:val="113051CE"/>
    <w:rsid w:val="114478B6"/>
    <w:rsid w:val="114E5553"/>
    <w:rsid w:val="1193547A"/>
    <w:rsid w:val="1199679A"/>
    <w:rsid w:val="11B513B1"/>
    <w:rsid w:val="11C51460"/>
    <w:rsid w:val="12160F32"/>
    <w:rsid w:val="121640C3"/>
    <w:rsid w:val="1280713A"/>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88673C"/>
    <w:rsid w:val="19B05D52"/>
    <w:rsid w:val="19FC0A98"/>
    <w:rsid w:val="1A0D43A0"/>
    <w:rsid w:val="1A50150C"/>
    <w:rsid w:val="1A6D0082"/>
    <w:rsid w:val="1AE12836"/>
    <w:rsid w:val="1AE925F4"/>
    <w:rsid w:val="1B234950"/>
    <w:rsid w:val="1B2706B9"/>
    <w:rsid w:val="1B421E7E"/>
    <w:rsid w:val="1B64461F"/>
    <w:rsid w:val="1B6B7B31"/>
    <w:rsid w:val="1B9C3AE1"/>
    <w:rsid w:val="1BCD48DA"/>
    <w:rsid w:val="1C0E12CD"/>
    <w:rsid w:val="1C3C0819"/>
    <w:rsid w:val="1C461E65"/>
    <w:rsid w:val="1C5A6A79"/>
    <w:rsid w:val="1C603202"/>
    <w:rsid w:val="1C9A0200"/>
    <w:rsid w:val="1CCE5055"/>
    <w:rsid w:val="1CD529D6"/>
    <w:rsid w:val="1D885977"/>
    <w:rsid w:val="1DEB6607"/>
    <w:rsid w:val="1DED007E"/>
    <w:rsid w:val="1DFB6F14"/>
    <w:rsid w:val="1E47773B"/>
    <w:rsid w:val="1E4B6E86"/>
    <w:rsid w:val="1E682698"/>
    <w:rsid w:val="1F0539AE"/>
    <w:rsid w:val="1F23133F"/>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7014E"/>
    <w:rsid w:val="21BF20AD"/>
    <w:rsid w:val="21C43928"/>
    <w:rsid w:val="21F330F9"/>
    <w:rsid w:val="22235E02"/>
    <w:rsid w:val="228C2437"/>
    <w:rsid w:val="22AA70CA"/>
    <w:rsid w:val="22F97F47"/>
    <w:rsid w:val="23585C4E"/>
    <w:rsid w:val="236A7EFE"/>
    <w:rsid w:val="23765811"/>
    <w:rsid w:val="23805685"/>
    <w:rsid w:val="23880F1A"/>
    <w:rsid w:val="23A43F46"/>
    <w:rsid w:val="23BA6588"/>
    <w:rsid w:val="23DC635E"/>
    <w:rsid w:val="23DF7B59"/>
    <w:rsid w:val="248879F4"/>
    <w:rsid w:val="24A97FDF"/>
    <w:rsid w:val="24BC01CD"/>
    <w:rsid w:val="24C25CD7"/>
    <w:rsid w:val="24D01514"/>
    <w:rsid w:val="24D73DEE"/>
    <w:rsid w:val="24D96D65"/>
    <w:rsid w:val="24E04C2E"/>
    <w:rsid w:val="25246AE5"/>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9C343E"/>
    <w:rsid w:val="32E66065"/>
    <w:rsid w:val="331160AA"/>
    <w:rsid w:val="33436432"/>
    <w:rsid w:val="335D23DB"/>
    <w:rsid w:val="33952FEB"/>
    <w:rsid w:val="33A34B5F"/>
    <w:rsid w:val="33A764C0"/>
    <w:rsid w:val="33AE0918"/>
    <w:rsid w:val="33DA1234"/>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6946104"/>
    <w:rsid w:val="37206D7C"/>
    <w:rsid w:val="375B421F"/>
    <w:rsid w:val="37905AF3"/>
    <w:rsid w:val="37A34800"/>
    <w:rsid w:val="37B17BA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2235E"/>
    <w:rsid w:val="3B9508B7"/>
    <w:rsid w:val="3BCE13F3"/>
    <w:rsid w:val="3BD2350C"/>
    <w:rsid w:val="3C071D01"/>
    <w:rsid w:val="3C463454"/>
    <w:rsid w:val="3CDF1FAA"/>
    <w:rsid w:val="3CFC0EF8"/>
    <w:rsid w:val="3D1026F3"/>
    <w:rsid w:val="3DB561A7"/>
    <w:rsid w:val="3DF72F7B"/>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7865F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976382D"/>
    <w:rsid w:val="4A74195A"/>
    <w:rsid w:val="4A7A3D76"/>
    <w:rsid w:val="4A8B6AB4"/>
    <w:rsid w:val="4A9F3033"/>
    <w:rsid w:val="4AAE190E"/>
    <w:rsid w:val="4AD33603"/>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0D77494"/>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8A041F"/>
    <w:rsid w:val="5EAC236D"/>
    <w:rsid w:val="5EDB0D8B"/>
    <w:rsid w:val="5F3732A8"/>
    <w:rsid w:val="5FCC33D8"/>
    <w:rsid w:val="60033350"/>
    <w:rsid w:val="602266C7"/>
    <w:rsid w:val="603B7C36"/>
    <w:rsid w:val="60534AA3"/>
    <w:rsid w:val="60680187"/>
    <w:rsid w:val="606D776E"/>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39B742C"/>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6E32C7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B362CE"/>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5301BA"/>
    <w:rsid w:val="728971FB"/>
    <w:rsid w:val="72D06024"/>
    <w:rsid w:val="733878DA"/>
    <w:rsid w:val="734779C2"/>
    <w:rsid w:val="7372294D"/>
    <w:rsid w:val="73BF73C1"/>
    <w:rsid w:val="73C23920"/>
    <w:rsid w:val="73F201AA"/>
    <w:rsid w:val="73F56F27"/>
    <w:rsid w:val="745E33A9"/>
    <w:rsid w:val="74802249"/>
    <w:rsid w:val="74EB4810"/>
    <w:rsid w:val="74EC2851"/>
    <w:rsid w:val="75155729"/>
    <w:rsid w:val="7521699E"/>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CC04CEF"/>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
      <w:bCs/>
      <w:kern w:val="44"/>
      <w:szCs w:val="44"/>
    </w:rPr>
  </w:style>
  <w:style w:type="paragraph" w:styleId="5">
    <w:name w:val="heading 2"/>
    <w:basedOn w:val="1"/>
    <w:next w:val="1"/>
    <w:unhideWhenUsed/>
    <w:qFormat/>
    <w:uiPriority w:val="0"/>
    <w:pPr>
      <w:keepNext/>
      <w:keepLines/>
      <w:outlineLvl w:val="1"/>
    </w:pPr>
    <w:rPr>
      <w:rFonts w:ascii="Arial" w:hAnsi="Arial" w:eastAsia="楷体"/>
      <w:b/>
      <w:sz w:val="32"/>
    </w:rPr>
  </w:style>
  <w:style w:type="paragraph" w:styleId="6">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99"/>
    <w:pPr>
      <w:spacing w:after="120"/>
    </w:pPr>
    <w:rPr>
      <w:rFonts w:ascii="Times New Roman" w:hAnsi="Times New Roman" w:eastAsia="宋体"/>
    </w:rPr>
  </w:style>
  <w:style w:type="paragraph" w:styleId="7">
    <w:name w:val="annotation text"/>
    <w:basedOn w:val="1"/>
    <w:qFormat/>
    <w:uiPriority w:val="0"/>
    <w:pPr>
      <w:jc w:val="left"/>
    </w:p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字符"/>
    <w:basedOn w:val="12"/>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字符"/>
    <w:basedOn w:val="12"/>
    <w:link w:val="8"/>
    <w:qFormat/>
    <w:uiPriority w:val="99"/>
    <w:rPr>
      <w:rFonts w:eastAsia="仿宋"/>
      <w:kern w:val="2"/>
      <w:sz w:val="18"/>
      <w:szCs w:val="24"/>
    </w:rPr>
  </w:style>
  <w:style w:type="paragraph" w:customStyle="1" w:styleId="22">
    <w:name w:val="列出段落1"/>
    <w:basedOn w:val="1"/>
    <w:qFormat/>
    <w:uiPriority w:val="34"/>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18</Pages>
  <Words>6535</Words>
  <Characters>7177</Characters>
  <Lines>47</Lines>
  <Paragraphs>13</Paragraphs>
  <TotalTime>2</TotalTime>
  <ScaleCrop>false</ScaleCrop>
  <LinksUpToDate>false</LinksUpToDate>
  <CharactersWithSpaces>7197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2023-02-17T10:16:14Z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E170483D3B0D4AACA7071EB9F36AE9D7</vt:lpwstr>
  </property>
</Properties>
</file>