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华文中宋" w:hAnsi="华文中宋" w:eastAsia="华文中宋" w:cs="宋体"/>
          <w:b/>
          <w:kern w:val="0"/>
          <w:sz w:val="52"/>
          <w:szCs w:val="52"/>
        </w:rPr>
      </w:pPr>
      <w:r>
        <w:rPr>
          <w:rFonts w:hint="eastAsia" w:ascii="方正小标宋_GBK" w:hAnsi="华文中宋" w:eastAsia="方正小标宋_GBK" w:cs="宋体"/>
          <w:kern w:val="0"/>
          <w:sz w:val="48"/>
          <w:szCs w:val="48"/>
        </w:rPr>
        <w:t>昌吉市部门单位整体支出绩效自评报告</w:t>
      </w:r>
    </w:p>
    <w:p>
      <w:pPr>
        <w:spacing w:line="540" w:lineRule="exact"/>
        <w:jc w:val="center"/>
        <w:rPr>
          <w:rFonts w:hAnsi="宋体" w:eastAsia="仿宋_GB2312" w:cs="宋体"/>
          <w:kern w:val="0"/>
          <w:sz w:val="30"/>
          <w:szCs w:val="30"/>
        </w:rPr>
      </w:pPr>
      <w:r>
        <w:rPr>
          <w:rFonts w:hint="eastAsia" w:hAnsi="宋体" w:eastAsia="仿宋_GB2312" w:cs="宋体"/>
          <w:kern w:val="0"/>
          <w:sz w:val="36"/>
          <w:szCs w:val="36"/>
        </w:rPr>
        <w:t>（202</w:t>
      </w:r>
      <w:bookmarkStart w:id="0" w:name="fi_xm_year"/>
      <w:bookmarkEnd w:id="0"/>
      <w:r>
        <w:rPr>
          <w:rFonts w:hint="eastAsia" w:hAnsi="宋体" w:eastAsia="仿宋_GB2312" w:cs="宋体"/>
          <w:kern w:val="0"/>
          <w:sz w:val="36"/>
          <w:szCs w:val="36"/>
        </w:rPr>
        <w:t>2年度）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p>
    <w:p>
      <w:pPr>
        <w:spacing w:line="700" w:lineRule="exact"/>
        <w:ind w:firstLine="1209" w:firstLineChars="336"/>
        <w:jc w:val="left"/>
        <w:rPr>
          <w:rFonts w:hAnsi="宋体" w:eastAsia="仿宋_GB2312" w:cs="宋体"/>
          <w:kern w:val="0"/>
          <w:sz w:val="36"/>
          <w:szCs w:val="36"/>
        </w:rPr>
      </w:pPr>
      <w:r>
        <w:rPr>
          <w:rFonts w:hint="eastAsia" w:hAnsi="宋体" w:eastAsia="仿宋_GB2312" w:cs="宋体"/>
          <w:kern w:val="0"/>
          <w:sz w:val="36"/>
          <w:szCs w:val="36"/>
        </w:rPr>
        <w:t>部门单位名称（公章）：昌吉市卫生健康委员会</w:t>
      </w:r>
      <w:bookmarkStart w:id="1" w:name="fi_xm_orgname"/>
      <w:bookmarkEnd w:id="1"/>
    </w:p>
    <w:p>
      <w:pPr>
        <w:spacing w:line="700" w:lineRule="exact"/>
        <w:ind w:firstLine="1209" w:firstLineChars="336"/>
        <w:jc w:val="left"/>
        <w:rPr>
          <w:rFonts w:hAnsi="宋体" w:eastAsia="仿宋_GB2312" w:cs="宋体"/>
          <w:kern w:val="0"/>
          <w:sz w:val="36"/>
          <w:szCs w:val="36"/>
        </w:rPr>
      </w:pPr>
      <w:r>
        <w:rPr>
          <w:rFonts w:hint="eastAsia" w:hAnsi="宋体" w:eastAsia="仿宋_GB2312" w:cs="宋体"/>
          <w:kern w:val="0"/>
          <w:sz w:val="36"/>
          <w:szCs w:val="36"/>
        </w:rPr>
        <w:t>填报时间：2023年2月15日</w:t>
      </w:r>
      <w:bookmarkStart w:id="2" w:name="fi_xm_createdata"/>
      <w:bookmarkEnd w:id="2"/>
    </w:p>
    <w:p>
      <w:pPr>
        <w:spacing w:line="700" w:lineRule="exact"/>
        <w:jc w:val="left"/>
        <w:rPr>
          <w:rFonts w:hAnsi="宋体" w:eastAsia="仿宋_GB2312" w:cs="宋体"/>
          <w:kern w:val="0"/>
          <w:sz w:val="36"/>
          <w:szCs w:val="36"/>
        </w:rPr>
      </w:pPr>
    </w:p>
    <w:p>
      <w:pPr>
        <w:spacing w:line="560" w:lineRule="exact"/>
        <w:jc w:val="left"/>
        <w:rPr>
          <w:rFonts w:hAnsi="宋体" w:eastAsia="仿宋_GB2312" w:cs="宋体"/>
          <w:kern w:val="0"/>
          <w:sz w:val="36"/>
          <w:szCs w:val="36"/>
        </w:rPr>
      </w:pPr>
    </w:p>
    <w:p>
      <w:pPr>
        <w:pStyle w:val="16"/>
        <w:rPr>
          <w:rFonts w:hAnsi="宋体" w:eastAsia="仿宋_GB2312" w:cs="宋体"/>
          <w:kern w:val="0"/>
          <w:sz w:val="36"/>
          <w:szCs w:val="36"/>
        </w:rPr>
      </w:pPr>
    </w:p>
    <w:p>
      <w:pPr>
        <w:pStyle w:val="16"/>
      </w:pPr>
    </w:p>
    <w:p>
      <w:pPr>
        <w:spacing w:line="560" w:lineRule="exact"/>
        <w:jc w:val="left"/>
        <w:rPr>
          <w:rFonts w:hAnsi="宋体" w:eastAsia="仿宋_GB2312" w:cs="宋体"/>
          <w:kern w:val="0"/>
          <w:sz w:val="36"/>
          <w:szCs w:val="36"/>
        </w:rPr>
      </w:pPr>
    </w:p>
    <w:p>
      <w:pPr>
        <w:ind w:firstLine="640"/>
        <w:outlineLvl w:val="0"/>
        <w:rPr>
          <w:rFonts w:ascii="黑体" w:hAnsi="黑体" w:eastAsia="黑体" w:cs="黑体"/>
          <w:sz w:val="32"/>
          <w:szCs w:val="32"/>
        </w:rPr>
      </w:pPr>
      <w:r>
        <w:rPr>
          <w:rFonts w:hint="eastAsia" w:ascii="黑体" w:hAnsi="黑体" w:eastAsia="黑体" w:cs="黑体"/>
          <w:sz w:val="32"/>
          <w:szCs w:val="32"/>
        </w:rPr>
        <w:t>一、基本概况</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snapToGrid w:val="0"/>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昌吉市卫生健康委员会下设13个科室，分别是：党政办公室、法规和体制改革科、人口监测与计划生育基层工作科、家庭发展与老龄健康科、妇幼健康科、疾病预防控制科、卫生应急管理科、医政药政科教科、基层卫生健康科、基层医疗卫生机构服务管理中心、流动人口管理办公室、爱国卫生运动委员会办公室、计划生育协会。</w:t>
      </w:r>
    </w:p>
    <w:p>
      <w:pPr>
        <w:snapToGrid w:val="0"/>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昌吉市卫生健康委员会编制数44人，实有人数38人。 退休30人。（截至2022年12月31日）</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snapToGrid w:val="0"/>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1）组织拟订国民健康政策措施，贯彻执行卫生健康事业发展法律法规、政策、规章和标准并组织实施。统筹规划卫生健康资源配置，研究拟订全市卫生健康规划并组织实施。制定并组织实施推进卫生健康基本公共服务均等化、普惠化、便捷化和公共资源向基层延伸等政策措施。</w:t>
      </w:r>
    </w:p>
    <w:p>
      <w:pPr>
        <w:snapToGrid w:val="0"/>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2）协调推进深化医药卫生体制改革，贯彻执行深化医药卫生体制改革重大方针、政策、措施。组织深化公立医院综合改革，推进管办分离，健全现代医院管理制度，制定并组织实施推动卫生健康公共服务提供主体多元化、方式多样化的政策措施，提出医疗服务和药品价格政策的建议。</w:t>
      </w:r>
    </w:p>
    <w:p>
      <w:pPr>
        <w:snapToGrid w:val="0"/>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（3）制定并组织落实全市疾病预防控制规划、免疫规划以及严重危害人民健康公共卫生问题的干预措施。负责卫生应急工作，负责突发公共卫生事件的预防控制和各类突发公共事件的医疗卫生救援。</w:t>
      </w:r>
    </w:p>
    <w:p>
      <w:pPr>
        <w:snapToGrid w:val="0"/>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（4）组织拟订并协调落实应对人口老龄化政策措施，负责推进昌吉市老年健康服务体系建设和医养结合工作。</w:t>
      </w:r>
    </w:p>
    <w:p>
      <w:pPr>
        <w:snapToGrid w:val="0"/>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（5）贯彻落实国家药物政策和国家基本药物制度，负责药品使用监测、临床综合评价和短缺药品预警工作。执行国家药典，提出基本药物价格政策的建议。负责食品安全风险监测评估。</w:t>
      </w:r>
    </w:p>
    <w:p>
      <w:pPr>
        <w:snapToGrid w:val="0"/>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6）负责职责范围内的职业卫生、放射卫生、环境卫生、学校卫生、公共场所卫生、饮用水卫生等公共卫生和监督管理，负责传染病防治监督，健全卫生健康综合监督体系。牵头《烟草控制框架公约》履约工作。</w:t>
      </w:r>
    </w:p>
    <w:p>
      <w:pPr>
        <w:snapToGrid w:val="0"/>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（7）监督实施医疗机构、医疗服务行业管理办法，建立医疗服务评价和监督管理体系。实施卫生健康专业技术人员资格标准。组织实施医疗服务规范、标准和卫生健康专业技术人员执业规则、服务规范。</w:t>
      </w:r>
    </w:p>
    <w:p>
      <w:pPr>
        <w:snapToGrid w:val="0"/>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（8）负责计划生育管理和服务工作，开展人口监测预警，研究提出人口与家庭发展相关政策建议，完善计划生育政策措施。</w:t>
      </w:r>
    </w:p>
    <w:p>
      <w:pPr>
        <w:snapToGrid w:val="0"/>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（9）指导乡镇卫生院及其村卫生室、社区卫生服务中心及其卫生服务站的卫生健康工作，指导医疗卫生、妇幼健康服务体系和全科医生队伍建设。推进卫生健康科技创新发展。</w:t>
      </w:r>
    </w:p>
    <w:p>
      <w:pPr>
        <w:snapToGrid w:val="0"/>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（10）负责保健对象的医疗保健工作，负责重要会议与重大活动的医疗卫生保障工作。</w:t>
      </w:r>
    </w:p>
    <w:p>
      <w:pPr>
        <w:snapToGrid w:val="0"/>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（11）承担市老龄委员会的日常工作。指导市计划生育协会的业务工作。</w:t>
      </w:r>
    </w:p>
    <w:p>
      <w:pPr>
        <w:snapToGrid w:val="0"/>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（12）完成市委、市人民政府交办的其他任务。</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snapToGrid w:val="0"/>
        <w:spacing w:line="560" w:lineRule="exact"/>
        <w:ind w:firstLine="624" w:firstLineChars="200"/>
        <w:rPr>
          <w:rFonts w:ascii="仿宋_GB2312" w:hAnsi="楷体" w:eastAsia="仿宋_GB2312"/>
          <w:bCs/>
          <w:spacing w:val="-4"/>
          <w:sz w:val="32"/>
          <w:szCs w:val="32"/>
        </w:rPr>
      </w:pPr>
      <w:r>
        <w:rPr>
          <w:rFonts w:hint="eastAsia" w:ascii="仿宋_GB2312" w:hAnsi="楷体" w:eastAsia="仿宋_GB2312"/>
          <w:bCs/>
          <w:spacing w:val="-4"/>
          <w:sz w:val="32"/>
          <w:szCs w:val="32"/>
        </w:rPr>
        <w:t>慎终如始抓好常态化疫情防控工作。持续深化医药卫生体制改革。不断提升公共卫生服务能力。强化医疗服务能力和质量。全面加强基层卫生工作。加强和改进计划生育工作。推进重点人群健康管理。全力以赴迎接第四轮“国家卫生城市”复审。加强人才队伍建设。全面加强党的建设。</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（二）单位决策机制</w:t>
      </w:r>
    </w:p>
    <w:p>
      <w:pPr>
        <w:ind w:firstLine="640"/>
        <w:rPr>
          <w:rFonts w:ascii="仿宋_GB2312" w:eastAsia="仿宋_GB2312"/>
          <w:sz w:val="32"/>
          <w:szCs w:val="32"/>
        </w:rPr>
      </w:pPr>
      <w:r>
        <w:rPr>
          <w:rFonts w:hint="eastAsia" w:ascii="仿宋_GB2312" w:eastAsia="仿宋_GB2312"/>
          <w:b/>
          <w:bCs/>
          <w:sz w:val="32"/>
          <w:szCs w:val="32"/>
        </w:rPr>
        <w:t>1.议事决策机制：</w:t>
      </w:r>
      <w:r>
        <w:rPr>
          <w:rFonts w:ascii="仿宋_GB2312" w:eastAsia="仿宋_GB2312"/>
          <w:sz w:val="32"/>
          <w:szCs w:val="32"/>
        </w:rPr>
        <w:t>单位最高议事决策机构是党</w:t>
      </w:r>
      <w:r>
        <w:rPr>
          <w:rFonts w:hint="eastAsia" w:ascii="仿宋_GB2312" w:eastAsia="仿宋_GB2312"/>
          <w:sz w:val="32"/>
          <w:szCs w:val="32"/>
        </w:rPr>
        <w:t>组</w:t>
      </w:r>
      <w:r>
        <w:rPr>
          <w:rFonts w:ascii="仿宋_GB2312" w:eastAsia="仿宋_GB2312"/>
          <w:sz w:val="32"/>
          <w:szCs w:val="32"/>
        </w:rPr>
        <w:t xml:space="preserve">会。议事决策机制是集体研究，专家论证和技术咨询相结合。决策原则是民主集中制及首长负责制，实行决策权、执行权与监督权分置，三者各负其责各尽其职。 </w:t>
      </w:r>
    </w:p>
    <w:p>
      <w:pPr>
        <w:ind w:firstLine="640"/>
        <w:rPr>
          <w:rFonts w:ascii="仿宋_GB2312" w:eastAsia="仿宋_GB2312"/>
          <w:sz w:val="32"/>
          <w:szCs w:val="32"/>
        </w:rPr>
      </w:pPr>
      <w:r>
        <w:rPr>
          <w:rFonts w:hint="eastAsia" w:ascii="仿宋_GB2312" w:eastAsia="仿宋_GB2312"/>
          <w:b/>
          <w:bCs/>
          <w:sz w:val="32"/>
          <w:szCs w:val="32"/>
        </w:rPr>
        <w:t>2.议事决策规则：</w:t>
      </w:r>
      <w:r>
        <w:rPr>
          <w:rFonts w:ascii="仿宋_GB2312" w:eastAsia="仿宋_GB2312"/>
          <w:sz w:val="32"/>
          <w:szCs w:val="32"/>
        </w:rPr>
        <w:t>包括：议事成员构成、决策事项范围、投票表决规则、决策纪要的撰写、流转和保存、决策事项贯彻落实、监督检查等。</w:t>
      </w:r>
    </w:p>
    <w:p>
      <w:pPr>
        <w:ind w:firstLine="640"/>
        <w:rPr>
          <w:rFonts w:ascii="仿宋_GB2312" w:eastAsia="仿宋_GB2312"/>
          <w:sz w:val="32"/>
          <w:szCs w:val="32"/>
        </w:rPr>
      </w:pPr>
      <w:r>
        <w:rPr>
          <w:rFonts w:hint="eastAsia" w:ascii="仿宋_GB2312" w:eastAsia="仿宋_GB2312"/>
          <w:b/>
          <w:bCs/>
          <w:sz w:val="32"/>
          <w:szCs w:val="32"/>
        </w:rPr>
        <w:t xml:space="preserve"> 3。议事决策内容：</w:t>
      </w:r>
      <w:r>
        <w:rPr>
          <w:rFonts w:ascii="仿宋_GB2312" w:eastAsia="仿宋_GB2312"/>
          <w:sz w:val="32"/>
          <w:szCs w:val="32"/>
        </w:rPr>
        <w:t>单位执行“三重一大”事项集体决策机制，为加强科学决策、民主决策的要求，切实把执行“三重一大”事项集体决策制度作为贯彻民主集中制</w:t>
      </w:r>
      <w:r>
        <w:rPr>
          <w:rFonts w:hint="eastAsia" w:ascii="仿宋_GB2312" w:eastAsia="仿宋_GB2312"/>
          <w:sz w:val="32"/>
          <w:szCs w:val="32"/>
        </w:rPr>
        <w:t>，防止个人或少数人决策的重要措施，推进集体决策的制度化、规范化和程序化。</w:t>
      </w:r>
      <w:r>
        <w:rPr>
          <w:rFonts w:ascii="仿宋_GB2312" w:eastAsia="仿宋_GB2312"/>
          <w:sz w:val="32"/>
          <w:szCs w:val="32"/>
        </w:rPr>
        <w:t xml:space="preserve"> “三重一大”事项集体决策机制：即重大事项决策、重要干部任免、重要项目安排、大额资金使用 。“三重一大”的具体标准由单位党总支会议确定。</w:t>
      </w:r>
    </w:p>
    <w:p>
      <w:pPr>
        <w:snapToGrid w:val="0"/>
        <w:spacing w:line="560" w:lineRule="exact"/>
        <w:ind w:firstLine="643" w:firstLineChars="200"/>
        <w:rPr>
          <w:rFonts w:ascii="仿宋_GB2312" w:eastAsia="仿宋_GB2312"/>
          <w:sz w:val="32"/>
          <w:szCs w:val="32"/>
        </w:rPr>
      </w:pPr>
      <w:r>
        <w:rPr>
          <w:rFonts w:hint="eastAsia" w:ascii="仿宋_GB2312" w:eastAsia="仿宋_GB2312"/>
          <w:b/>
          <w:bCs/>
          <w:sz w:val="32"/>
          <w:szCs w:val="32"/>
        </w:rPr>
        <w:t>4.大额资金决策：</w:t>
      </w:r>
      <w:r>
        <w:rPr>
          <w:rFonts w:ascii="仿宋_GB2312" w:eastAsia="仿宋_GB2312"/>
          <w:sz w:val="32"/>
          <w:szCs w:val="32"/>
        </w:rPr>
        <w:t>大额资金使用通过党总支会集体讨论决定。班子各成员应对决策事项逐个明确表示意见。会议决策应按大多数成员的意见形成，讨论须执行有关回避规定。决策“三重一大”事项需表决的，应按规定进行表决。决定多个事项时，应当逐项进行表决。对少数人的不同意见，应认真考虑。如对重大问题分歧意见较大时，应暂缓决</w:t>
      </w:r>
      <w:r>
        <w:rPr>
          <w:rFonts w:hint="eastAsia" w:ascii="仿宋_GB2312" w:eastAsia="仿宋_GB2312"/>
          <w:sz w:val="32"/>
          <w:szCs w:val="32"/>
        </w:rPr>
        <w:t>定，并进一步调查研究，交换意见，下次再进行表决。决策“三重一大”事项时，应完整地做好会议纪录，必要时并印发会议纪要，会议记录、纪要应明确记载会议时间、地点、参会人员、讨论具体事项、决策过程和决策结论。会议文件、记录等资料存档。</w:t>
      </w:r>
      <w:r>
        <w:rPr>
          <w:rFonts w:ascii="仿宋_GB2312" w:eastAsia="仿宋_GB2312"/>
          <w:sz w:val="32"/>
          <w:szCs w:val="32"/>
        </w:rPr>
        <w:tab/>
      </w:r>
    </w:p>
    <w:p>
      <w:pPr>
        <w:numPr>
          <w:ilvl w:val="0"/>
          <w:numId w:val="2"/>
        </w:numPr>
        <w:ind w:firstLine="643"/>
        <w:outlineLvl w:val="1"/>
        <w:rPr>
          <w:rFonts w:ascii="楷体" w:hAnsi="楷体" w:eastAsia="楷体" w:cs="楷体"/>
          <w:b/>
          <w:bCs/>
          <w:sz w:val="32"/>
          <w:szCs w:val="32"/>
        </w:rPr>
      </w:pPr>
      <w:r>
        <w:rPr>
          <w:rFonts w:hint="eastAsia" w:ascii="楷体" w:hAnsi="楷体" w:eastAsia="楷体" w:cs="楷体"/>
          <w:b/>
          <w:bCs/>
          <w:sz w:val="32"/>
          <w:szCs w:val="32"/>
        </w:rPr>
        <w:t>单位资金分配情况</w:t>
      </w:r>
    </w:p>
    <w:p>
      <w:pPr>
        <w:ind w:firstLine="640"/>
        <w:rPr>
          <w:rFonts w:ascii="仿宋_GB2312" w:eastAsia="仿宋_GB2312"/>
          <w:sz w:val="32"/>
          <w:szCs w:val="32"/>
        </w:rPr>
      </w:pPr>
      <w:r>
        <w:rPr>
          <w:rFonts w:hint="eastAsia" w:ascii="仿宋_GB2312" w:eastAsia="仿宋_GB2312"/>
          <w:sz w:val="32"/>
          <w:szCs w:val="32"/>
        </w:rPr>
        <w:t>本年度单位预算为788.85万元，严格按照三定方案进行编制，主要支出分为人员经费支出、商品服务支出及项目支出，人员经费按照相应文件标准进行发放，商品服务支出主要以提高卫生健康能力、工作效率为目标，项目支出主要以计划生育奖励扶助项目按照相应文件标准进行发放，按年初计划及工作实际进行分配，基本与整体绩效目标一致。</w:t>
      </w:r>
    </w:p>
    <w:p>
      <w:pPr>
        <w:pStyle w:val="2"/>
        <w:ind w:firstLine="640"/>
        <w:rPr>
          <w:rFonts w:cs="仿宋"/>
          <w:sz w:val="32"/>
        </w:rPr>
      </w:pPr>
      <w:r>
        <w:rPr>
          <w:rFonts w:hint="eastAsia" w:cs="仿宋"/>
          <w:sz w:val="32"/>
        </w:rPr>
        <w:t>1.分配依据及结果。</w:t>
      </w:r>
    </w:p>
    <w:p>
      <w:pPr>
        <w:pStyle w:val="2"/>
        <w:ind w:firstLine="640"/>
        <w:rPr>
          <w:rFonts w:hAnsi="仿宋"/>
          <w:b w:val="0"/>
          <w:bCs w:val="0"/>
          <w:sz w:val="32"/>
        </w:rPr>
      </w:pPr>
      <w:r>
        <w:rPr>
          <w:rFonts w:hint="eastAsia" w:hAnsi="仿宋"/>
          <w:b w:val="0"/>
          <w:bCs w:val="0"/>
          <w:sz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560"/>
        <w:jc w:val="left"/>
        <w:rPr>
          <w:rFonts w:ascii="仿宋_GB2312" w:eastAsia="仿宋_GB2312"/>
          <w:b/>
          <w:sz w:val="32"/>
          <w:szCs w:val="32"/>
        </w:rPr>
      </w:pPr>
      <w:r>
        <w:rPr>
          <w:rFonts w:hint="eastAsia" w:ascii="仿宋_GB2312" w:eastAsia="仿宋_GB2312"/>
          <w:b/>
          <w:sz w:val="32"/>
          <w:szCs w:val="32"/>
        </w:rPr>
        <w:t>2.重点支出保障情况。</w:t>
      </w:r>
    </w:p>
    <w:p>
      <w:pPr>
        <w:pStyle w:val="2"/>
        <w:ind w:firstLine="640"/>
        <w:rPr>
          <w:rFonts w:hAnsi="仿宋"/>
          <w:b w:val="0"/>
          <w:bCs w:val="0"/>
          <w:sz w:val="32"/>
        </w:rPr>
      </w:pPr>
      <w:r>
        <w:rPr>
          <w:rFonts w:hint="eastAsia" w:hAnsi="仿宋"/>
          <w:b w:val="0"/>
          <w:bCs w:val="0"/>
          <w:sz w:val="32"/>
        </w:rPr>
        <w:t>本年度本单位计划生育奖励扶助项目市本级配套资金232.45万元。</w:t>
      </w:r>
    </w:p>
    <w:p>
      <w:pPr>
        <w:pStyle w:val="4"/>
        <w:keepNext/>
        <w:keepLines/>
        <w:numPr>
          <w:ilvl w:val="0"/>
          <w:numId w:val="2"/>
        </w:numPr>
        <w:spacing w:line="560" w:lineRule="exact"/>
        <w:ind w:firstLine="643" w:firstLineChars="200"/>
        <w:jc w:val="both"/>
        <w:rPr>
          <w:rFonts w:ascii="楷体_GB2312" w:hAnsi="Arial" w:eastAsia="楷体_GB2312"/>
          <w:b/>
          <w:sz w:val="32"/>
          <w:szCs w:val="32"/>
        </w:rPr>
      </w:pPr>
      <w:r>
        <w:rPr>
          <w:rFonts w:hint="eastAsia" w:ascii="楷体_GB2312" w:hAnsi="Arial" w:eastAsia="楷体_GB2312"/>
          <w:b/>
          <w:sz w:val="32"/>
          <w:szCs w:val="32"/>
        </w:rPr>
        <w:t>部门单位整体支出规模、使用方法和主要内容、涉及范围</w:t>
      </w:r>
    </w:p>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sz w:val="32"/>
          <w:szCs w:val="32"/>
          <w:highlight w:val="yellow"/>
        </w:rPr>
      </w:pPr>
      <w:r>
        <w:rPr>
          <w:rFonts w:hint="eastAsia" w:ascii="仿宋_GB2312" w:eastAsia="仿宋_GB2312"/>
          <w:sz w:val="32"/>
          <w:szCs w:val="32"/>
        </w:rPr>
        <w:t>2022年度，昌吉市卫生健康委员会部门单位整体支出年初预算金额为788.85万元，支出金额为</w:t>
      </w:r>
      <w:r>
        <w:rPr>
          <w:rFonts w:ascii="仿宋_GB2312" w:eastAsia="仿宋_GB2312"/>
          <w:sz w:val="32"/>
          <w:szCs w:val="32"/>
        </w:rPr>
        <w:t>788.85</w:t>
      </w:r>
      <w:r>
        <w:rPr>
          <w:rFonts w:hint="eastAsia" w:ascii="仿宋_GB2312" w:eastAsia="仿宋_GB2312"/>
          <w:sz w:val="32"/>
          <w:szCs w:val="32"/>
        </w:rPr>
        <w:t>万元，执行率为1</w:t>
      </w:r>
      <w:r>
        <w:rPr>
          <w:rFonts w:ascii="仿宋_GB2312" w:eastAsia="仿宋_GB2312"/>
          <w:sz w:val="32"/>
          <w:szCs w:val="32"/>
        </w:rPr>
        <w:t>0</w:t>
      </w:r>
      <w:r>
        <w:rPr>
          <w:rFonts w:hint="eastAsia" w:ascii="仿宋_GB2312" w:eastAsia="仿宋_GB2312"/>
          <w:sz w:val="32"/>
          <w:szCs w:val="32"/>
        </w:rPr>
        <w:t>0.0%，其中：政府采购年初预算金额为</w:t>
      </w:r>
      <w:r>
        <w:rPr>
          <w:rFonts w:ascii="仿宋_GB2312" w:eastAsia="仿宋_GB2312"/>
          <w:sz w:val="32"/>
          <w:szCs w:val="32"/>
        </w:rPr>
        <w:t>101.15</w:t>
      </w:r>
      <w:r>
        <w:rPr>
          <w:rFonts w:hint="eastAsia" w:ascii="仿宋_GB2312" w:eastAsia="仿宋_GB2312"/>
          <w:sz w:val="32"/>
          <w:szCs w:val="32"/>
        </w:rPr>
        <w:t>万元，支出金额为</w:t>
      </w:r>
      <w:r>
        <w:rPr>
          <w:rFonts w:ascii="仿宋_GB2312" w:eastAsia="仿宋_GB2312"/>
          <w:sz w:val="32"/>
          <w:szCs w:val="32"/>
        </w:rPr>
        <w:t>101.15</w:t>
      </w:r>
      <w:r>
        <w:rPr>
          <w:rFonts w:hint="eastAsia" w:ascii="仿宋_GB2312" w:eastAsia="仿宋_GB2312"/>
          <w:sz w:val="32"/>
          <w:szCs w:val="32"/>
        </w:rPr>
        <w:t>万元，执行率为</w:t>
      </w:r>
      <w:r>
        <w:rPr>
          <w:rFonts w:ascii="仿宋_GB2312" w:eastAsia="仿宋_GB2312"/>
          <w:sz w:val="32"/>
          <w:szCs w:val="32"/>
        </w:rPr>
        <w:t>100</w:t>
      </w:r>
      <w:r>
        <w:rPr>
          <w:rFonts w:hint="eastAsia" w:ascii="仿宋_GB2312" w:eastAsia="仿宋_GB2312"/>
          <w:sz w:val="32"/>
          <w:szCs w:val="32"/>
        </w:rPr>
        <w:t>%。年中调整预算金额为调增</w:t>
      </w:r>
      <w:r>
        <w:rPr>
          <w:rFonts w:ascii="仿宋_GB2312" w:eastAsia="仿宋_GB2312"/>
          <w:sz w:val="32"/>
          <w:szCs w:val="32"/>
        </w:rPr>
        <w:t>6,002.22</w:t>
      </w:r>
      <w:r>
        <w:rPr>
          <w:rFonts w:hint="eastAsia" w:ascii="仿宋_GB2312" w:eastAsia="仿宋_GB2312"/>
          <w:sz w:val="32"/>
          <w:szCs w:val="32"/>
        </w:rPr>
        <w:t>万元，预算调整率为</w:t>
      </w:r>
      <w:r>
        <w:rPr>
          <w:rFonts w:ascii="仿宋_GB2312" w:eastAsia="仿宋_GB2312"/>
          <w:sz w:val="32"/>
          <w:szCs w:val="32"/>
        </w:rPr>
        <w:t>100.0</w:t>
      </w:r>
      <w:r>
        <w:rPr>
          <w:rFonts w:hint="eastAsia" w:ascii="仿宋_GB2312" w:eastAsia="仿宋_GB2312"/>
          <w:sz w:val="32"/>
          <w:szCs w:val="32"/>
        </w:rPr>
        <w:t>%。综上，我单位部门单位整体预算总额为</w:t>
      </w:r>
      <w:r>
        <w:rPr>
          <w:rFonts w:ascii="仿宋_GB2312" w:eastAsia="仿宋_GB2312"/>
          <w:sz w:val="32"/>
          <w:szCs w:val="32"/>
        </w:rPr>
        <w:t>6791.06</w:t>
      </w:r>
      <w:r>
        <w:rPr>
          <w:rFonts w:hint="eastAsia" w:ascii="仿宋_GB2312" w:eastAsia="仿宋_GB2312"/>
          <w:sz w:val="32"/>
          <w:szCs w:val="32"/>
        </w:rPr>
        <w:t>万元，支出总额为6791.06万元，预算总执行率为1</w:t>
      </w:r>
      <w:r>
        <w:rPr>
          <w:rFonts w:ascii="仿宋_GB2312" w:eastAsia="仿宋_GB2312"/>
          <w:sz w:val="32"/>
          <w:szCs w:val="32"/>
        </w:rPr>
        <w:t>00.0</w:t>
      </w:r>
      <w:r>
        <w:rPr>
          <w:rFonts w:hint="eastAsia" w:ascii="仿宋_GB2312" w:eastAsia="仿宋_GB2312"/>
          <w:sz w:val="32"/>
          <w:szCs w:val="32"/>
        </w:rPr>
        <w:t>%。</w:t>
      </w:r>
    </w:p>
    <w:p>
      <w:pPr>
        <w:pStyle w:val="2"/>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ascii="仿宋_GB2312" w:eastAsia="仿宋_GB2312"/>
          <w:sz w:val="32"/>
          <w:szCs w:val="32"/>
        </w:rPr>
        <w:t>1</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numPr>
          <w:ilvl w:val="0"/>
          <w:numId w:val="4"/>
        </w:numPr>
        <w:ind w:firstLine="640"/>
      </w:pPr>
      <w:r>
        <w:rPr>
          <w:rFonts w:hint="eastAsia" w:ascii="黑体" w:hAnsi="黑体"/>
          <w:b w:val="0"/>
          <w:sz w:val="32"/>
          <w:szCs w:val="32"/>
        </w:rPr>
        <w:t>部门单位整体支出管理及使用情况</w:t>
      </w:r>
    </w:p>
    <w:p>
      <w:pPr>
        <w:pStyle w:val="4"/>
        <w:keepNext/>
        <w:keepLines/>
        <w:spacing w:line="560" w:lineRule="exact"/>
        <w:ind w:firstLine="643" w:firstLineChars="200"/>
        <w:jc w:val="both"/>
        <w:rPr>
          <w:rFonts w:ascii="楷体_GB2312" w:hAnsi="Arial" w:eastAsia="楷体_GB2312"/>
          <w:b/>
          <w:bCs/>
          <w:sz w:val="32"/>
          <w:szCs w:val="32"/>
        </w:rPr>
      </w:pPr>
      <w:r>
        <w:rPr>
          <w:rFonts w:hint="eastAsia" w:ascii="楷体_GB2312" w:hAnsi="Arial" w:eastAsia="楷体_GB2312"/>
          <w:b/>
          <w:bCs/>
          <w:sz w:val="32"/>
          <w:szCs w:val="32"/>
        </w:rPr>
        <w:t>（一）预算管理情况</w:t>
      </w:r>
    </w:p>
    <w:p>
      <w:pPr>
        <w:ind w:firstLine="640"/>
        <w:rPr>
          <w:rFonts w:ascii="仿宋_GB2312" w:eastAsia="仿宋_GB2312"/>
          <w:sz w:val="32"/>
          <w:szCs w:val="32"/>
        </w:rPr>
      </w:pPr>
      <w:r>
        <w:rPr>
          <w:rFonts w:hint="eastAsia" w:ascii="仿宋_GB2312" w:eastAsia="仿宋_GB2312"/>
          <w:sz w:val="32"/>
          <w:szCs w:val="32"/>
        </w:rPr>
        <w:t>我单位为加强预算管理、规范财务行为、加强内部控制体系建设，制定了卫健系统财务管理制度，并严格按照此管理制度管理使用预算资金，严格按照政府信息公开有关规定及财政部门要求公开相关预决算信息。</w:t>
      </w:r>
    </w:p>
    <w:p>
      <w:pPr>
        <w:pStyle w:val="4"/>
        <w:keepNext/>
        <w:keepLines/>
        <w:spacing w:line="560" w:lineRule="exact"/>
        <w:ind w:firstLine="643" w:firstLineChars="200"/>
        <w:jc w:val="both"/>
        <w:rPr>
          <w:rFonts w:ascii="楷体_GB2312" w:hAnsi="Arial" w:eastAsia="楷体_GB2312"/>
          <w:b/>
          <w:bCs/>
          <w:sz w:val="32"/>
          <w:szCs w:val="32"/>
        </w:rPr>
      </w:pPr>
      <w:r>
        <w:rPr>
          <w:rFonts w:hint="eastAsia" w:ascii="楷体_GB2312" w:hAnsi="Arial" w:eastAsia="楷体_GB2312"/>
          <w:b/>
          <w:bCs/>
          <w:sz w:val="32"/>
          <w:szCs w:val="32"/>
        </w:rPr>
        <w:t>（二）基本支出预算安排及支出情况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eastAsia="仿宋_GB2312"/>
          <w:sz w:val="32"/>
          <w:szCs w:val="32"/>
        </w:rPr>
      </w:pPr>
      <w:r>
        <w:rPr>
          <w:rFonts w:hint="eastAsia" w:ascii="仿宋_GB2312" w:eastAsia="仿宋_GB2312"/>
          <w:sz w:val="32"/>
          <w:szCs w:val="32"/>
        </w:rPr>
        <w:t>2022年，昌吉市卫生健康委员会基本支出年初预算金额为</w:t>
      </w:r>
      <w:r>
        <w:rPr>
          <w:rFonts w:ascii="仿宋_GB2312" w:eastAsia="仿宋_GB2312"/>
          <w:sz w:val="32"/>
          <w:szCs w:val="32"/>
        </w:rPr>
        <w:t>556.40</w:t>
      </w:r>
      <w:r>
        <w:rPr>
          <w:rFonts w:hint="eastAsia" w:ascii="仿宋_GB2312" w:eastAsia="仿宋_GB2312"/>
          <w:sz w:val="32"/>
          <w:szCs w:val="32"/>
        </w:rPr>
        <w:t>万元，支出金额为</w:t>
      </w:r>
      <w:r>
        <w:rPr>
          <w:rFonts w:ascii="仿宋_GB2312" w:eastAsia="仿宋_GB2312"/>
          <w:sz w:val="32"/>
          <w:szCs w:val="32"/>
        </w:rPr>
        <w:t>556.40</w:t>
      </w:r>
      <w:r>
        <w:rPr>
          <w:rFonts w:hint="eastAsia" w:ascii="仿宋_GB2312" w:eastAsia="仿宋_GB2312"/>
          <w:sz w:val="32"/>
          <w:szCs w:val="32"/>
        </w:rPr>
        <w:t>万元，执行率为100.0%，年中调整预算金额为调整</w:t>
      </w:r>
      <w:r>
        <w:rPr>
          <w:rFonts w:ascii="仿宋_GB2312" w:eastAsia="仿宋_GB2312"/>
          <w:sz w:val="32"/>
          <w:szCs w:val="32"/>
        </w:rPr>
        <w:t>125.42</w:t>
      </w:r>
      <w:r>
        <w:rPr>
          <w:rFonts w:hint="eastAsia" w:ascii="仿宋_GB2312" w:eastAsia="仿宋_GB2312"/>
          <w:sz w:val="32"/>
          <w:szCs w:val="32"/>
        </w:rPr>
        <w:t>万元。综上，我单位基本支出预算总额为</w:t>
      </w:r>
      <w:r>
        <w:rPr>
          <w:rFonts w:ascii="仿宋_GB2312" w:eastAsia="仿宋_GB2312"/>
          <w:sz w:val="32"/>
          <w:szCs w:val="32"/>
        </w:rPr>
        <w:t>681.82</w:t>
      </w:r>
      <w:r>
        <w:rPr>
          <w:rFonts w:hint="eastAsia" w:ascii="仿宋_GB2312" w:eastAsia="仿宋_GB2312"/>
          <w:sz w:val="32"/>
          <w:szCs w:val="32"/>
        </w:rPr>
        <w:t>万元，支出总额为</w:t>
      </w:r>
      <w:r>
        <w:rPr>
          <w:rFonts w:ascii="仿宋_GB2312" w:eastAsia="仿宋_GB2312"/>
          <w:sz w:val="32"/>
          <w:szCs w:val="32"/>
        </w:rPr>
        <w:t>681.82</w:t>
      </w:r>
      <w:r>
        <w:rPr>
          <w:rFonts w:hint="eastAsia" w:ascii="仿宋_GB2312" w:eastAsia="仿宋_GB2312"/>
          <w:sz w:val="32"/>
          <w:szCs w:val="32"/>
        </w:rPr>
        <w:t>万元，预算总执行率为</w:t>
      </w:r>
      <w:r>
        <w:rPr>
          <w:rFonts w:ascii="仿宋_GB2312" w:eastAsia="仿宋_GB2312"/>
          <w:sz w:val="32"/>
          <w:szCs w:val="32"/>
        </w:rPr>
        <w:t>100</w:t>
      </w:r>
      <w:r>
        <w:rPr>
          <w:rFonts w:hint="eastAsia" w:ascii="仿宋_GB2312" w:eastAsia="仿宋_GB2312"/>
          <w:sz w:val="32"/>
          <w:szCs w:val="32"/>
        </w:rPr>
        <w:t>%，其中人员经费624.17万元，公用经费57.65万元。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sz w:val="32"/>
          <w:szCs w:val="32"/>
        </w:rPr>
      </w:pPr>
      <w:r>
        <w:rPr>
          <w:rFonts w:hint="eastAsia" w:ascii="仿宋_GB2312" w:eastAsia="仿宋_GB2312" w:cs="宋体"/>
          <w:sz w:val="32"/>
          <w:szCs w:val="32"/>
        </w:rPr>
        <w:t>我单位认真贯彻落实中央关于厉行节约的有关规定，严格执行《党政机关厉行节约反对浪费条例》，2022年“三公”经费预算数为13万元，其中：因公出国（境）费0万元，公务用车购置及运行费13万元（其中公务用车购置为0万元），公务接待费0万元。</w:t>
      </w:r>
    </w:p>
    <w:p>
      <w:pPr>
        <w:ind w:firstLine="681" w:firstLineChars="213"/>
        <w:jc w:val="left"/>
      </w:pPr>
      <w:r>
        <w:rPr>
          <w:rFonts w:hint="eastAsia" w:ascii="仿宋_GB2312" w:eastAsia="仿宋_GB2312" w:cs="宋体"/>
          <w:sz w:val="32"/>
          <w:szCs w:val="32"/>
        </w:rPr>
        <w:t>2022年，全年“三公”经费决算支出8.1万元，其中：因公出国（境）费用0万元、公务用车购置及运行费8.1万元（其中公务用车购置为0万元）、公务接待费0万元。较上年“三公”经费决算支出9万元，减少0.9万元，下降9.99%。</w:t>
      </w:r>
    </w:p>
    <w:p>
      <w:pPr>
        <w:pStyle w:val="4"/>
        <w:keepNext/>
        <w:keepLines/>
        <w:numPr>
          <w:ilvl w:val="0"/>
          <w:numId w:val="5"/>
        </w:numPr>
        <w:spacing w:line="560" w:lineRule="exact"/>
        <w:ind w:firstLine="643" w:firstLineChars="200"/>
        <w:jc w:val="both"/>
        <w:rPr>
          <w:rFonts w:ascii="楷体_GB2312" w:hAnsi="Arial" w:eastAsia="楷体_GB2312"/>
          <w:b/>
          <w:bCs/>
          <w:sz w:val="32"/>
          <w:szCs w:val="32"/>
        </w:rPr>
      </w:pPr>
      <w:r>
        <w:rPr>
          <w:rFonts w:hint="eastAsia" w:ascii="楷体_GB2312" w:hAnsi="Arial" w:eastAsia="楷体_GB2312"/>
          <w:b/>
          <w:bCs/>
          <w:sz w:val="32"/>
          <w:szCs w:val="32"/>
        </w:rPr>
        <w:t>项目支出管理和使用情况：</w:t>
      </w:r>
    </w:p>
    <w:p>
      <w:pPr>
        <w:ind w:firstLine="640"/>
        <w:rPr>
          <w:rFonts w:ascii="仿宋_GB2312" w:eastAsia="仿宋_GB2312"/>
          <w:b/>
          <w:bCs/>
          <w:sz w:val="32"/>
          <w:szCs w:val="32"/>
        </w:rPr>
      </w:pPr>
      <w:r>
        <w:rPr>
          <w:rFonts w:hint="eastAsia" w:ascii="仿宋_GB2312" w:eastAsia="仿宋_GB2312"/>
          <w:b/>
          <w:bCs/>
          <w:sz w:val="32"/>
          <w:szCs w:val="32"/>
        </w:rPr>
        <w:t>1.项目支出情况</w:t>
      </w:r>
    </w:p>
    <w:p>
      <w:pPr>
        <w:pStyle w:val="2"/>
        <w:ind w:firstLine="640"/>
        <w:rPr>
          <w:b w:val="0"/>
          <w:bCs w:val="0"/>
          <w:color w:val="FF0000"/>
          <w:sz w:val="32"/>
        </w:rPr>
      </w:pPr>
      <w:r>
        <w:rPr>
          <w:rFonts w:hint="eastAsia"/>
          <w:b w:val="0"/>
          <w:bCs w:val="0"/>
          <w:sz w:val="32"/>
        </w:rPr>
        <w:t>2022年，</w:t>
      </w:r>
      <w:r>
        <w:rPr>
          <w:rFonts w:hint="eastAsia" w:hAnsi="仿宋"/>
          <w:b w:val="0"/>
          <w:bCs w:val="0"/>
          <w:sz w:val="32"/>
        </w:rPr>
        <w:t>昌吉市卫生健康委员会项目</w:t>
      </w:r>
      <w:r>
        <w:rPr>
          <w:rFonts w:hint="eastAsia"/>
          <w:b w:val="0"/>
          <w:bCs w:val="0"/>
          <w:sz w:val="32"/>
        </w:rPr>
        <w:t>支出年初预算金额为</w:t>
      </w:r>
      <w:r>
        <w:rPr>
          <w:rFonts w:hint="eastAsia" w:hAnsi="仿宋"/>
          <w:b w:val="0"/>
          <w:bCs w:val="0"/>
          <w:sz w:val="32"/>
        </w:rPr>
        <w:t>232.45</w:t>
      </w:r>
      <w:r>
        <w:rPr>
          <w:rFonts w:hint="eastAsia"/>
          <w:b w:val="0"/>
          <w:bCs w:val="0"/>
          <w:sz w:val="32"/>
        </w:rPr>
        <w:t>万元，支出金额为</w:t>
      </w:r>
      <w:r>
        <w:rPr>
          <w:rFonts w:hint="eastAsia" w:hAnsi="仿宋"/>
          <w:b w:val="0"/>
          <w:bCs w:val="0"/>
          <w:sz w:val="32"/>
        </w:rPr>
        <w:t>6109.24</w:t>
      </w:r>
      <w:r>
        <w:rPr>
          <w:rFonts w:hint="eastAsia"/>
          <w:b w:val="0"/>
          <w:bCs w:val="0"/>
          <w:sz w:val="32"/>
        </w:rPr>
        <w:t>万元，执行率为</w:t>
      </w:r>
      <w:r>
        <w:rPr>
          <w:b w:val="0"/>
          <w:bCs w:val="0"/>
          <w:sz w:val="32"/>
        </w:rPr>
        <w:t>0</w:t>
      </w:r>
      <w:r>
        <w:rPr>
          <w:rFonts w:hint="eastAsia"/>
          <w:b w:val="0"/>
          <w:bCs w:val="0"/>
          <w:sz w:val="32"/>
        </w:rPr>
        <w:t>%，年中调整预算金额为6109.24万元。综上，我单位全年项目支出预算总额为6109.24万元，支出总额为6109.24万元，预算总执行率为</w:t>
      </w:r>
      <w:r>
        <w:rPr>
          <w:b w:val="0"/>
          <w:bCs w:val="0"/>
          <w:sz w:val="32"/>
        </w:rPr>
        <w:t>100</w:t>
      </w:r>
      <w:r>
        <w:rPr>
          <w:rFonts w:hint="eastAsia"/>
          <w:b w:val="0"/>
          <w:bCs w:val="0"/>
          <w:sz w:val="32"/>
        </w:rPr>
        <w:t>%。</w:t>
      </w:r>
    </w:p>
    <w:p>
      <w:pPr>
        <w:ind w:firstLine="640"/>
        <w:rPr>
          <w:rFonts w:ascii="仿宋_GB2312" w:eastAsia="仿宋_GB2312"/>
          <w:sz w:val="32"/>
          <w:szCs w:val="32"/>
        </w:rPr>
      </w:pPr>
      <w:r>
        <w:rPr>
          <w:rFonts w:hint="eastAsia" w:ascii="仿宋_GB2312" w:eastAsia="仿宋_GB2312"/>
          <w:sz w:val="32"/>
          <w:szCs w:val="32"/>
        </w:rPr>
        <w:t>2022年，昌吉市卫生健康委员会共有58个中央、自治区、地区、</w:t>
      </w:r>
      <w:r>
        <w:rPr>
          <w:rFonts w:ascii="仿宋_GB2312" w:eastAsia="仿宋_GB2312"/>
          <w:sz w:val="32"/>
          <w:szCs w:val="32"/>
        </w:rPr>
        <w:t>县</w:t>
      </w:r>
      <w:r>
        <w:rPr>
          <w:rFonts w:hint="eastAsia" w:ascii="仿宋_GB2312" w:eastAsia="仿宋_GB2312"/>
          <w:sz w:val="32"/>
          <w:szCs w:val="32"/>
        </w:rPr>
        <w:t>本级财力安排项目，已完成项目数量58个、未完成项目数量0个。2022年度中央、自治区、地区、</w:t>
      </w:r>
      <w:r>
        <w:rPr>
          <w:rFonts w:ascii="仿宋_GB2312" w:eastAsia="仿宋_GB2312"/>
          <w:sz w:val="32"/>
          <w:szCs w:val="32"/>
        </w:rPr>
        <w:t>县</w:t>
      </w:r>
      <w:r>
        <w:rPr>
          <w:rFonts w:hint="eastAsia" w:ascii="仿宋_GB2312" w:eastAsia="仿宋_GB2312"/>
          <w:sz w:val="32"/>
          <w:szCs w:val="32"/>
        </w:rPr>
        <w:t>本级财力安排项目预算及执行情况见下表：</w:t>
      </w:r>
    </w:p>
    <w:p/>
    <w:p>
      <w:pPr>
        <w:ind w:firstLine="420"/>
        <w:jc w:val="right"/>
        <w:rPr>
          <w:szCs w:val="21"/>
        </w:rPr>
      </w:pPr>
    </w:p>
    <w:p>
      <w:pPr>
        <w:ind w:firstLine="420"/>
        <w:jc w:val="right"/>
        <w:rPr>
          <w:szCs w:val="21"/>
        </w:rPr>
      </w:pPr>
    </w:p>
    <w:p>
      <w:pPr>
        <w:ind w:firstLine="420"/>
        <w:jc w:val="right"/>
        <w:rPr>
          <w:szCs w:val="21"/>
        </w:rPr>
      </w:pPr>
      <w:r>
        <w:rPr>
          <w:rFonts w:hint="eastAsia"/>
          <w:szCs w:val="21"/>
        </w:rPr>
        <w:t>单位：万元</w:t>
      </w:r>
    </w:p>
    <w:tbl>
      <w:tblPr>
        <w:tblStyle w:val="8"/>
        <w:tblW w:w="9187" w:type="dxa"/>
        <w:tblInd w:w="0" w:type="dxa"/>
        <w:tblLayout w:type="fixed"/>
        <w:tblCellMar>
          <w:top w:w="0" w:type="dxa"/>
          <w:left w:w="108" w:type="dxa"/>
          <w:bottom w:w="0" w:type="dxa"/>
          <w:right w:w="108" w:type="dxa"/>
        </w:tblCellMar>
      </w:tblPr>
      <w:tblGrid>
        <w:gridCol w:w="534"/>
        <w:gridCol w:w="4905"/>
        <w:gridCol w:w="1095"/>
        <w:gridCol w:w="1110"/>
        <w:gridCol w:w="839"/>
        <w:gridCol w:w="359"/>
        <w:gridCol w:w="345"/>
      </w:tblGrid>
      <w:tr>
        <w:tblPrEx>
          <w:tblLayout w:type="fixed"/>
          <w:tblCellMar>
            <w:top w:w="0" w:type="dxa"/>
            <w:left w:w="108" w:type="dxa"/>
            <w:bottom w:w="0" w:type="dxa"/>
            <w:right w:w="108" w:type="dxa"/>
          </w:tblCellMar>
        </w:tblPrEx>
        <w:trPr>
          <w:trHeight w:val="525" w:hRule="atLeast"/>
        </w:trPr>
        <w:tc>
          <w:tcPr>
            <w:tcW w:w="53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kern w:val="0"/>
                <w:sz w:val="22"/>
                <w:szCs w:val="22"/>
                <w:u w:val="none"/>
                <w:lang w:val="en-US" w:eastAsia="zh-CN" w:bidi="ar"/>
              </w:rPr>
            </w:pPr>
            <w:r>
              <w:rPr>
                <w:rFonts w:hint="eastAsia" w:ascii="仿宋_GB2312" w:hAnsi="宋体" w:eastAsia="仿宋_GB2312" w:cs="仿宋_GB2312"/>
                <w:b/>
                <w:i w:val="0"/>
                <w:color w:val="000000"/>
                <w:kern w:val="0"/>
                <w:sz w:val="22"/>
                <w:szCs w:val="22"/>
                <w:u w:val="none"/>
                <w:lang w:val="en-US" w:eastAsia="zh-CN" w:bidi="ar"/>
              </w:rPr>
              <w:t>序号</w:t>
            </w:r>
          </w:p>
        </w:tc>
        <w:tc>
          <w:tcPr>
            <w:tcW w:w="49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b/>
                <w:bCs/>
                <w:color w:val="000000"/>
                <w:kern w:val="0"/>
                <w:szCs w:val="21"/>
              </w:rPr>
            </w:pPr>
            <w:r>
              <w:rPr>
                <w:rFonts w:hint="eastAsia" w:ascii="仿宋_GB2312" w:hAnsi="宋体" w:eastAsia="仿宋_GB2312" w:cs="仿宋_GB2312"/>
                <w:b/>
                <w:i w:val="0"/>
                <w:color w:val="000000"/>
                <w:kern w:val="0"/>
                <w:sz w:val="22"/>
                <w:szCs w:val="22"/>
                <w:u w:val="none"/>
                <w:lang w:val="en-US" w:eastAsia="zh-CN" w:bidi="ar"/>
              </w:rPr>
              <w:t>项目名称</w:t>
            </w:r>
          </w:p>
        </w:tc>
        <w:tc>
          <w:tcPr>
            <w:tcW w:w="109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b/>
                <w:bCs/>
                <w:color w:val="000000"/>
                <w:kern w:val="0"/>
                <w:szCs w:val="21"/>
              </w:rPr>
            </w:pPr>
            <w:r>
              <w:rPr>
                <w:rFonts w:hint="eastAsia" w:ascii="仿宋_GB2312" w:hAnsi="宋体" w:eastAsia="仿宋_GB2312" w:cs="仿宋_GB2312"/>
                <w:b/>
                <w:i w:val="0"/>
                <w:color w:val="000000"/>
                <w:kern w:val="0"/>
                <w:sz w:val="22"/>
                <w:szCs w:val="22"/>
                <w:u w:val="none"/>
                <w:lang w:val="en-US" w:eastAsia="zh-CN" w:bidi="ar"/>
              </w:rPr>
              <w:t>预算金额</w:t>
            </w:r>
          </w:p>
        </w:tc>
        <w:tc>
          <w:tcPr>
            <w:tcW w:w="111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b/>
                <w:bCs/>
                <w:color w:val="000000"/>
                <w:kern w:val="0"/>
                <w:szCs w:val="21"/>
              </w:rPr>
            </w:pPr>
            <w:r>
              <w:rPr>
                <w:rFonts w:hint="eastAsia" w:ascii="仿宋_GB2312" w:hAnsi="宋体" w:eastAsia="仿宋_GB2312" w:cs="仿宋_GB2312"/>
                <w:b/>
                <w:i w:val="0"/>
                <w:color w:val="000000"/>
                <w:kern w:val="0"/>
                <w:sz w:val="22"/>
                <w:szCs w:val="22"/>
                <w:u w:val="none"/>
                <w:lang w:val="en-US" w:eastAsia="zh-CN" w:bidi="ar"/>
              </w:rPr>
              <w:t>执行金额</w:t>
            </w:r>
          </w:p>
        </w:tc>
        <w:tc>
          <w:tcPr>
            <w:tcW w:w="839"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b/>
                <w:bCs/>
                <w:color w:val="000000"/>
                <w:kern w:val="0"/>
                <w:szCs w:val="21"/>
              </w:rPr>
            </w:pPr>
            <w:r>
              <w:rPr>
                <w:rFonts w:hint="eastAsia" w:ascii="仿宋_GB2312" w:hAnsi="宋体" w:eastAsia="仿宋_GB2312" w:cs="仿宋_GB2312"/>
                <w:b/>
                <w:i w:val="0"/>
                <w:color w:val="000000"/>
                <w:kern w:val="0"/>
                <w:sz w:val="22"/>
                <w:szCs w:val="22"/>
                <w:u w:val="none"/>
                <w:lang w:val="en-US" w:eastAsia="zh-CN" w:bidi="ar"/>
              </w:rPr>
              <w:t>执行率</w:t>
            </w:r>
          </w:p>
        </w:tc>
        <w:tc>
          <w:tcPr>
            <w:tcW w:w="359"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b/>
                <w:bCs/>
                <w:color w:val="000000"/>
                <w:kern w:val="0"/>
                <w:szCs w:val="21"/>
              </w:rPr>
            </w:pPr>
            <w:r>
              <w:rPr>
                <w:rFonts w:hint="eastAsia" w:ascii="仿宋_GB2312" w:hAnsi="宋体" w:eastAsia="仿宋_GB2312" w:cs="仿宋_GB2312"/>
                <w:b/>
                <w:i w:val="0"/>
                <w:color w:val="000000"/>
                <w:kern w:val="0"/>
                <w:sz w:val="22"/>
                <w:szCs w:val="22"/>
                <w:u w:val="none"/>
                <w:lang w:val="en-US" w:eastAsia="zh-CN" w:bidi="ar"/>
              </w:rPr>
              <w:t>项目是否完成</w:t>
            </w:r>
          </w:p>
        </w:tc>
        <w:tc>
          <w:tcPr>
            <w:tcW w:w="34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b/>
                <w:bCs/>
                <w:color w:val="000000"/>
                <w:kern w:val="0"/>
                <w:szCs w:val="21"/>
              </w:rPr>
            </w:pPr>
            <w:r>
              <w:rPr>
                <w:rFonts w:hint="eastAsia" w:ascii="仿宋_GB2312" w:hAnsi="宋体" w:eastAsia="仿宋_GB2312" w:cs="仿宋_GB2312"/>
                <w:b/>
                <w:i w:val="0"/>
                <w:color w:val="000000"/>
                <w:kern w:val="0"/>
                <w:sz w:val="22"/>
                <w:szCs w:val="22"/>
                <w:u w:val="none"/>
                <w:lang w:val="en-US" w:eastAsia="zh-CN" w:bidi="ar"/>
              </w:rPr>
              <w:t>是否上级专项资金</w:t>
            </w:r>
          </w:p>
        </w:tc>
      </w:tr>
      <w:tr>
        <w:tblPrEx>
          <w:tblLayout w:type="fixed"/>
          <w:tblCellMar>
            <w:top w:w="0" w:type="dxa"/>
            <w:left w:w="108" w:type="dxa"/>
            <w:bottom w:w="0" w:type="dxa"/>
            <w:right w:w="108" w:type="dxa"/>
          </w:tblCellMar>
        </w:tblPrEx>
        <w:trPr>
          <w:trHeight w:val="300" w:hRule="atLeast"/>
        </w:trPr>
        <w:tc>
          <w:tcPr>
            <w:tcW w:w="534"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w:t>
            </w:r>
          </w:p>
        </w:tc>
        <w:tc>
          <w:tcPr>
            <w:tcW w:w="4905"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全民疫苗接种刻章经费</w:t>
            </w:r>
          </w:p>
        </w:tc>
        <w:tc>
          <w:tcPr>
            <w:tcW w:w="1095"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0.46</w:t>
            </w:r>
          </w:p>
        </w:tc>
        <w:tc>
          <w:tcPr>
            <w:tcW w:w="1110" w:type="dxa"/>
            <w:tcBorders>
              <w:top w:val="single" w:color="auto" w:sz="4" w:space="0"/>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0.46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中小企业化解债务资金（第三批）湖畔客栈留观期间住宿费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1.81</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1.81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3</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2022年昌吉州本级疫情防控能力提升项目补助资金（核酸检测能力提升项目采样证印刷费）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2.62</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2.62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2022年昌吉州本级疫情防控能力提升项目补助资金（核酸检测能力提升项目新冠疫苗指示牌宣传品费用）</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4</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5</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园博国际酒店室内消毒设施资金</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5</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5.00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6</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市疫情防控接送站工作组工作人员2021年11月欠付工作用餐费用</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7.3</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7.30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7</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市疫情防控接送站工作组2021年8月1日至9月30日住宿费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7.45</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7.45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8</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疫情指挥部相关办公用品经费2021年10-11月办公相关用品费用、核酸检测健康证及接待费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7.87</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7.78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9</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中小企业化解债务资金（第三批）四方庭州酒店留观期间费用</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8.45</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8.45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10</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2022年昌吉州本级疫情防控能力提升项目补助资金（集中隔离能力提升项目集中隔离点消杀设备）</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8.6</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11</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留观宾馆贷款利息</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8.78</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8.78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100.04%</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12</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2022年昌吉州本级疫情防控能力提升项目补助资金（核酸检测能力提升项目云视讯设备）</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9.83</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9.83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13</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飞机场火车站工作组住宿费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14</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昌吉市集中隔离医学观察点改造项目第二批工程款</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15</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昌吉市集中隔离医学观察点改造费用</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16</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中小企业欠款化解资金（第二批）（宾馆三区两通道）</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17</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2022年自治区三保及疫情防控补助资金</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11.94</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11.94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18</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2022年自治区“访惠聚”驻村工作专项经费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15</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15.00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19</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2022年中央基本公共卫生服务（中央直达资金）</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15.09</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10.06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66.69%</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20</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2022年“访惠聚”驻村（社区）工作经费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16</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16.00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21</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中小企业化解债务资金（第三批）湖畔客栈留观期间住宿费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16.98</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16.98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22</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飞机场火车站工作组餐费（9-11月）</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18.26</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18.26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100.02%</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23</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2022年昌吉州本级疫情防控能力提升项目补助资金（核酸检测能力提升项目疫苗接种知情同意书费用）</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18.55</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18.55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24</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2022年昌吉州本级疫情防控能力提升项目补助资金（集中隔离能力提升项目市十中隔离点安装WIFI设备）</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19.11</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19.11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25</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园博国际酒店污水处理项目资金</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20.00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26</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来疆返疆接送站管理工作组工作人员2021年12月1日至2022年2月28日用餐费用</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22.04</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22.04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27</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2022年中央重大传染病防控经费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23</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22.79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28</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2022年昌吉州本级疫情防控能力提升项目补助资金（方舱医院和救治能力提升项目云视讯会议系统连路费）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24.36</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29</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预借华怡留观宾馆房费餐费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25</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25.00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30</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拨付华怡酒店房费餐费预付款</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25</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25.00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31</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2022年昌吉州本级疫情防控能力提升项目补助资金（集中隔离补助项目来疆返疆组住宿费餐费）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30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30.00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32</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2022年中央计划生育奖励扶助制度自治区补助（自治区直达资金）</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34.51</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34.33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99.47%</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33</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中小企业化解债务资金（第三批）四方庭州酒店留观期间费用</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36.63</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36.63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34</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2022年自治区计划生育服务补助资金预算</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40.95</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40.95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35</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昌吉市流调组食宿费用</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41.18</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41.18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36</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遇见西域遇见你餐厅留观期间供餐费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50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50.00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37</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昌吉城投安康卫生服务有限公司消杀经费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50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50.00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38</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昊泰酒店2021年8月2日至2021年9月2日住宿费餐费、2021年10月3日至2021年11月28日住宿费餐费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50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50.00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39</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中小企业化解债务资金（第三批）园博酒店留观期间费用</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50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50.00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40</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中小企业化解债务资金（第三批）园博酒店留观期间费用</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50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50.00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41</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2022年计划生育奖扶州本级财政补助资金</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55.43</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55.36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99.88%</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42</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中央2022年计划生育转移支付资金（第二批）（中央直达资金）</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82.12</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81.88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99.70%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43</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城投安康公司消毒消杀经费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100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100.00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44</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园博酒店2021年1月9日至2021年4月3日住宿费、2021年7月24日2022年2月28日住宿费餐费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120.76</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120.76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45</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2022年度计划生育专干专项补助</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124.17</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117.52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94.65%</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46</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留观宾馆住宿费餐费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143.37</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143.37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47</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2022年自治区计划生育奖励扶助制度补助资金</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163.57</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114.47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69.98%</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48</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中小企业化解债务资金（第三批）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170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170.00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49</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中小企业化解债务资金（第三批）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180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180.00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50</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2022年昌吉州本级疫情防控能力提升项目补助资金（集中隔离补助项目集中隔离酒店费用）</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200.00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51</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2022年昌吉州本级疫情防控能力提升项目补助资金（集中隔离补助项目闭环管理酒店费用）</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200.00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52</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昌吉市留观宾馆房费餐费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205</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205.00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53</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计划生育奖励扶助项目资金</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232.45</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149.84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64.46%</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54</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留观宾馆房费餐费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250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250.00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55</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2022年中央计划生育转移支付资金（中央直达资金）</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255.3</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255.30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56</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2022年昌吉州本级疫情防控能力提升项目补助资金</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255.53</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57</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留观宾馆2022年2月28日以前所欠房费餐费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340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340.00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58</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移动核酸检测车应急采购项目</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417</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59</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留观宾馆费用</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433.23</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433.23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60</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集中隔离酒店住宿费餐费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500</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500.00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61</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2022年昌吉州本级疫情防控能力提升项目补助资金（方舱医院和救治能力提升项目）</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545</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63.64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11.68%</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62</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留观宾馆住宿费餐费</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644.72</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644.72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63</w:t>
            </w:r>
          </w:p>
        </w:tc>
        <w:tc>
          <w:tcPr>
            <w:tcW w:w="4905"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2022年昌吉州本级疫情防控能力提升项目补助资金（急救和转运能力提升项目20辆救护车费用）</w:t>
            </w:r>
          </w:p>
        </w:tc>
        <w:tc>
          <w:tcPr>
            <w:tcW w:w="1095"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945</w:t>
            </w:r>
          </w:p>
        </w:tc>
        <w:tc>
          <w:tcPr>
            <w:tcW w:w="1110"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0.00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300" w:hRule="atLeast"/>
        </w:trPr>
        <w:tc>
          <w:tcPr>
            <w:tcW w:w="534" w:type="dxa"/>
            <w:tcBorders>
              <w:top w:val="nil"/>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color w:val="000000"/>
                <w:kern w:val="0"/>
                <w:sz w:val="22"/>
                <w:szCs w:val="22"/>
                <w:u w:val="none"/>
                <w:lang w:val="en-US" w:eastAsia="zh-CN" w:bidi="ar"/>
              </w:rPr>
            </w:pPr>
            <w:r>
              <w:rPr>
                <w:rFonts w:hint="eastAsia" w:ascii="仿宋" w:hAnsi="仿宋" w:eastAsia="仿宋" w:cs="仿宋"/>
                <w:i w:val="0"/>
                <w:color w:val="000000"/>
                <w:kern w:val="0"/>
                <w:sz w:val="22"/>
                <w:szCs w:val="22"/>
                <w:u w:val="none"/>
                <w:lang w:val="en-US" w:eastAsia="zh-CN" w:bidi="ar"/>
              </w:rPr>
              <w:t>64</w:t>
            </w:r>
          </w:p>
        </w:tc>
        <w:tc>
          <w:tcPr>
            <w:tcW w:w="4905" w:type="dxa"/>
            <w:tcBorders>
              <w:top w:val="nil"/>
              <w:left w:val="single" w:color="auto" w:sz="4" w:space="0"/>
              <w:bottom w:val="single" w:color="000000" w:sz="8"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补助资金</w:t>
            </w:r>
          </w:p>
        </w:tc>
        <w:tc>
          <w:tcPr>
            <w:tcW w:w="1095" w:type="dxa"/>
            <w:tcBorders>
              <w:top w:val="nil"/>
              <w:left w:val="nil"/>
              <w:bottom w:val="single" w:color="000000" w:sz="8"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1010.85</w:t>
            </w:r>
          </w:p>
        </w:tc>
        <w:tc>
          <w:tcPr>
            <w:tcW w:w="1110" w:type="dxa"/>
            <w:tcBorders>
              <w:top w:val="nil"/>
              <w:left w:val="nil"/>
              <w:bottom w:val="single" w:color="000000" w:sz="8" w:space="0"/>
              <w:right w:val="single" w:color="auto" w:sz="4"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1010.85 </w:t>
            </w:r>
          </w:p>
        </w:tc>
        <w:tc>
          <w:tcPr>
            <w:tcW w:w="83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100.00%</w:t>
            </w:r>
          </w:p>
        </w:tc>
        <w:tc>
          <w:tcPr>
            <w:tcW w:w="359"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是</w:t>
            </w:r>
          </w:p>
        </w:tc>
        <w:tc>
          <w:tcPr>
            <w:tcW w:w="34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宋体"/>
                <w:color w:val="000000"/>
                <w:kern w:val="0"/>
                <w:szCs w:val="21"/>
              </w:rPr>
            </w:pPr>
            <w:r>
              <w:rPr>
                <w:rFonts w:hint="eastAsia" w:ascii="仿宋_GB2312" w:hAnsi="宋体" w:eastAsia="仿宋_GB2312" w:cs="仿宋_GB2312"/>
                <w:i w:val="0"/>
                <w:color w:val="000000"/>
                <w:kern w:val="0"/>
                <w:sz w:val="22"/>
                <w:szCs w:val="22"/>
                <w:u w:val="none"/>
                <w:lang w:val="en-US" w:eastAsia="zh-CN" w:bidi="ar"/>
              </w:rPr>
              <w:t>否</w:t>
            </w:r>
          </w:p>
        </w:tc>
      </w:tr>
      <w:tr>
        <w:tblPrEx>
          <w:tblLayout w:type="fixed"/>
          <w:tblCellMar>
            <w:top w:w="0" w:type="dxa"/>
            <w:left w:w="108" w:type="dxa"/>
            <w:bottom w:w="0" w:type="dxa"/>
            <w:right w:w="108" w:type="dxa"/>
          </w:tblCellMar>
        </w:tblPrEx>
        <w:trPr>
          <w:trHeight w:val="502" w:hRule="atLeast"/>
        </w:trPr>
        <w:tc>
          <w:tcPr>
            <w:tcW w:w="534"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2"/>
                <w:szCs w:val="22"/>
                <w:u w:val="none"/>
                <w:lang w:val="en-US" w:eastAsia="zh-CN" w:bidi="ar"/>
              </w:rPr>
            </w:pPr>
          </w:p>
        </w:tc>
        <w:tc>
          <w:tcPr>
            <w:tcW w:w="490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ascii="宋体" w:hAnsi="宋体" w:cs="宋体"/>
                <w:color w:val="000000"/>
                <w:kern w:val="0"/>
                <w:sz w:val="16"/>
                <w:szCs w:val="16"/>
              </w:rPr>
            </w:pPr>
            <w:r>
              <w:rPr>
                <w:rFonts w:hint="eastAsia" w:ascii="仿宋_GB2312" w:hAnsi="宋体" w:eastAsia="仿宋_GB2312" w:cs="仿宋_GB2312"/>
                <w:i w:val="0"/>
                <w:color w:val="000000"/>
                <w:kern w:val="0"/>
                <w:sz w:val="22"/>
                <w:szCs w:val="22"/>
                <w:u w:val="none"/>
                <w:lang w:val="en-US" w:eastAsia="zh-CN" w:bidi="ar"/>
              </w:rPr>
              <w:t>合计</w:t>
            </w:r>
          </w:p>
        </w:tc>
        <w:tc>
          <w:tcPr>
            <w:tcW w:w="109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ascii="宋体" w:hAnsi="宋体" w:cs="宋体"/>
                <w:kern w:val="0"/>
                <w:sz w:val="16"/>
                <w:szCs w:val="16"/>
              </w:rPr>
            </w:pPr>
            <w:r>
              <w:rPr>
                <w:rFonts w:hint="eastAsia" w:ascii="仿宋_GB2312" w:hAnsi="宋体" w:eastAsia="仿宋_GB2312" w:cs="仿宋_GB2312"/>
                <w:i w:val="0"/>
                <w:color w:val="000000"/>
                <w:kern w:val="0"/>
                <w:sz w:val="22"/>
                <w:szCs w:val="22"/>
                <w:u w:val="none"/>
                <w:lang w:val="en-US" w:eastAsia="zh-CN" w:bidi="ar"/>
              </w:rPr>
              <w:t>8389.27</w:t>
            </w:r>
          </w:p>
        </w:tc>
        <w:tc>
          <w:tcPr>
            <w:tcW w:w="1110"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ascii="Arial" w:hAnsi="Arial" w:cs="Arial"/>
                <w:color w:val="000000"/>
                <w:kern w:val="0"/>
                <w:sz w:val="16"/>
                <w:szCs w:val="16"/>
              </w:rPr>
            </w:pPr>
            <w:r>
              <w:rPr>
                <w:rFonts w:hint="eastAsia" w:ascii="仿宋_GB2312" w:hAnsi="宋体" w:eastAsia="仿宋_GB2312" w:cs="仿宋_GB2312"/>
                <w:i w:val="0"/>
                <w:color w:val="000000"/>
                <w:kern w:val="0"/>
                <w:sz w:val="22"/>
                <w:szCs w:val="22"/>
                <w:u w:val="none"/>
                <w:lang w:val="en-US" w:eastAsia="zh-CN" w:bidi="ar"/>
              </w:rPr>
              <w:t xml:space="preserve">6109.24 </w:t>
            </w:r>
          </w:p>
        </w:tc>
        <w:tc>
          <w:tcPr>
            <w:tcW w:w="839" w:type="dxa"/>
            <w:tcBorders>
              <w:top w:val="nil"/>
              <w:left w:val="nil"/>
              <w:bottom w:val="single" w:color="000000" w:sz="8" w:space="0"/>
              <w:right w:val="single" w:color="000000" w:sz="8" w:space="0"/>
            </w:tcBorders>
            <w:shd w:val="clear" w:color="auto" w:fill="auto"/>
            <w:noWrap/>
            <w:vAlign w:val="center"/>
          </w:tcPr>
          <w:p>
            <w:pPr>
              <w:jc w:val="center"/>
              <w:rPr>
                <w:rFonts w:ascii="Arial" w:hAnsi="Arial" w:cs="Arial"/>
                <w:color w:val="000000"/>
                <w:kern w:val="0"/>
                <w:sz w:val="20"/>
                <w:szCs w:val="20"/>
              </w:rPr>
            </w:pPr>
          </w:p>
        </w:tc>
        <w:tc>
          <w:tcPr>
            <w:tcW w:w="359" w:type="dxa"/>
            <w:tcBorders>
              <w:top w:val="nil"/>
              <w:left w:val="nil"/>
              <w:bottom w:val="single" w:color="000000" w:sz="8" w:space="0"/>
              <w:right w:val="single" w:color="000000" w:sz="8" w:space="0"/>
            </w:tcBorders>
            <w:shd w:val="clear" w:color="auto" w:fill="auto"/>
            <w:noWrap/>
            <w:vAlign w:val="center"/>
          </w:tcPr>
          <w:p>
            <w:pPr>
              <w:jc w:val="center"/>
              <w:rPr>
                <w:rFonts w:ascii="Arial" w:hAnsi="Arial" w:cs="Arial"/>
                <w:color w:val="000000"/>
                <w:kern w:val="0"/>
                <w:sz w:val="20"/>
                <w:szCs w:val="20"/>
              </w:rPr>
            </w:pPr>
          </w:p>
        </w:tc>
        <w:tc>
          <w:tcPr>
            <w:tcW w:w="345" w:type="dxa"/>
            <w:tcBorders>
              <w:top w:val="nil"/>
              <w:left w:val="nil"/>
              <w:bottom w:val="single" w:color="000000" w:sz="8" w:space="0"/>
              <w:right w:val="single" w:color="000000" w:sz="8" w:space="0"/>
            </w:tcBorders>
            <w:shd w:val="clear" w:color="auto" w:fill="auto"/>
            <w:noWrap/>
            <w:vAlign w:val="center"/>
          </w:tcPr>
          <w:p>
            <w:pPr>
              <w:jc w:val="center"/>
              <w:rPr>
                <w:rFonts w:ascii="Arial" w:hAnsi="Arial" w:cs="Arial"/>
                <w:color w:val="000000"/>
                <w:kern w:val="0"/>
                <w:sz w:val="20"/>
                <w:szCs w:val="20"/>
              </w:rPr>
            </w:pPr>
          </w:p>
        </w:tc>
      </w:tr>
    </w:tbl>
    <w:p>
      <w:pPr>
        <w:pStyle w:val="2"/>
      </w:pP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7"/>
        <w:widowControl/>
        <w:spacing w:before="40" w:beforeAutospacing="0" w:afterAutospacing="0"/>
        <w:ind w:firstLine="640"/>
        <w:jc w:val="both"/>
        <w:rPr>
          <w:rFonts w:ascii="仿宋_GB2312" w:eastAsia="仿宋_GB2312" w:cs="宋体"/>
          <w:kern w:val="2"/>
          <w:sz w:val="32"/>
          <w:szCs w:val="32"/>
          <w:highlight w:val="yellow"/>
        </w:rPr>
      </w:pPr>
      <w:r>
        <w:rPr>
          <w:rFonts w:hint="eastAsia" w:ascii="仿宋_GB2312" w:eastAsia="仿宋_GB2312" w:cs="仿宋"/>
          <w:sz w:val="32"/>
          <w:szCs w:val="32"/>
        </w:rPr>
        <w:t>2022年，年初预算安排专项资金232.45万元，调整预算金额</w:t>
      </w:r>
      <w:r>
        <w:rPr>
          <w:rFonts w:ascii="仿宋_GB2312" w:eastAsia="仿宋_GB2312" w:cs="仿宋"/>
          <w:sz w:val="32"/>
          <w:szCs w:val="32"/>
        </w:rPr>
        <w:t>6109.24</w:t>
      </w:r>
      <w:r>
        <w:rPr>
          <w:rFonts w:hint="eastAsia" w:ascii="仿宋_GB2312" w:eastAsia="仿宋_GB2312" w:cs="仿宋"/>
          <w:sz w:val="32"/>
          <w:szCs w:val="32"/>
        </w:rPr>
        <w:t>万元，实际使用6109.24万元,结转0万元。</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keepNext/>
        <w:keepLines/>
        <w:spacing w:line="560" w:lineRule="exact"/>
        <w:ind w:firstLine="643" w:firstLineChars="200"/>
        <w:jc w:val="both"/>
        <w:rPr>
          <w:rFonts w:ascii="楷体_GB2312" w:hAnsi="Arial" w:eastAsia="楷体_GB2312"/>
          <w:b/>
          <w:sz w:val="32"/>
          <w:szCs w:val="32"/>
        </w:rPr>
      </w:pPr>
      <w:r>
        <w:rPr>
          <w:rFonts w:hint="eastAsia" w:ascii="楷体_GB2312" w:hAnsi="Arial" w:eastAsia="楷体_GB2312"/>
          <w:b/>
          <w:sz w:val="3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梳理2022年专项资金使用情况和专项项目实施规模，根据各专项实际存档资料，就专项工作计划与</w:t>
      </w:r>
      <w:bookmarkStart w:id="3" w:name="_GoBack"/>
      <w:bookmarkEnd w:id="3"/>
      <w:r>
        <w:rPr>
          <w:rFonts w:hint="eastAsia" w:ascii="仿宋_GB2312" w:eastAsia="仿宋_GB2312"/>
          <w:sz w:val="32"/>
          <w:szCs w:val="32"/>
        </w:rPr>
        <w:t>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keepNext/>
        <w:keepLines/>
        <w:spacing w:line="560" w:lineRule="exact"/>
        <w:ind w:firstLine="643" w:firstLineChars="200"/>
        <w:jc w:val="both"/>
        <w:rPr>
          <w:rFonts w:ascii="楷体_GB2312" w:hAnsi="Arial" w:eastAsia="楷体_GB2312"/>
          <w:b/>
          <w:sz w:val="32"/>
          <w:szCs w:val="32"/>
        </w:rPr>
      </w:pPr>
      <w:r>
        <w:rPr>
          <w:rFonts w:hint="eastAsia" w:ascii="楷体_GB2312" w:hAnsi="Arial" w:eastAsia="楷体_GB2312"/>
          <w:b/>
          <w:sz w:val="32"/>
          <w:szCs w:val="32"/>
        </w:rPr>
        <w:t>（二）专项管理情况分析</w:t>
      </w:r>
    </w:p>
    <w:p>
      <w:pPr>
        <w:ind w:firstLine="640"/>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ascii="仿宋_GB2312" w:eastAsia="仿宋_GB2312"/>
          <w:sz w:val="32"/>
          <w:szCs w:val="32"/>
        </w:rPr>
      </w:pPr>
      <w:r>
        <w:rPr>
          <w:rFonts w:hint="eastAsia" w:ascii="仿宋_GB2312" w:eastAsia="仿宋_GB2312"/>
          <w:sz w:val="32"/>
          <w:szCs w:val="32"/>
        </w:rPr>
        <w:t>（1）</w:t>
      </w:r>
      <w:r>
        <w:rPr>
          <w:rFonts w:hint="eastAsia" w:ascii="仿宋_GB2312" w:eastAsia="仿宋_GB2312" w:cs="仿宋"/>
          <w:sz w:val="32"/>
          <w:szCs w:val="32"/>
        </w:rPr>
        <w:t>2022年，预算安排专项资金232.45万元，实际使用6109.24万元</w:t>
      </w:r>
      <w:r>
        <w:rPr>
          <w:rFonts w:hint="eastAsia" w:ascii="仿宋_GB2312" w:eastAsia="仿宋_GB2312"/>
          <w:sz w:val="32"/>
          <w:szCs w:val="32"/>
        </w:rPr>
        <w:t>，预算执行率为100%。我单位专项资金严格按照昌吉市财政局及相关专项资金管理办法要求实行专款专用，在本年度各级审计和财政监督检查中未发现资金使用合规性问题。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ascii="仿宋_GB2312" w:eastAsia="仿宋_GB2312"/>
          <w:sz w:val="32"/>
          <w:szCs w:val="32"/>
        </w:rPr>
      </w:pPr>
      <w:r>
        <w:rPr>
          <w:rFonts w:hint="eastAsia" w:ascii="仿宋_GB2312" w:eastAsia="仿宋_GB2312"/>
          <w:sz w:val="32"/>
          <w:szCs w:val="32"/>
        </w:rPr>
        <w:t>（1）组织情况：昌吉市卫生健康委员会建立专项项目领导小组，保证项目的实施。</w:t>
      </w:r>
    </w:p>
    <w:p>
      <w:pPr>
        <w:ind w:firstLine="640"/>
        <w:rPr>
          <w:rFonts w:ascii="仿宋_GB2312" w:eastAsia="仿宋_GB2312"/>
          <w:sz w:val="32"/>
          <w:szCs w:val="32"/>
        </w:rPr>
      </w:pPr>
      <w:r>
        <w:rPr>
          <w:rFonts w:hint="eastAsia" w:ascii="仿宋_GB2312" w:eastAsia="仿宋_GB2312"/>
          <w:sz w:val="32"/>
          <w:szCs w:val="32"/>
        </w:rPr>
        <w:t>（2）管理情况：昌吉市卫生健康委员会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eastAsia="仿宋_GB2312"/>
          <w:sz w:val="32"/>
          <w:szCs w:val="32"/>
        </w:rPr>
      </w:pPr>
      <w:r>
        <w:rPr>
          <w:rFonts w:hint="eastAsia" w:ascii="仿宋_GB2312" w:eastAsia="仿宋_GB2312"/>
          <w:sz w:val="32"/>
          <w:szCs w:val="32"/>
        </w:rPr>
        <w:t>（3）监管情况：昌吉市卫生健康委员会随时对专项项目进行监督检查，监督施工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本单位所涉及专项项目均已纳入绩效管理，58个专项项目实际绩效情况如下：</w:t>
      </w:r>
    </w:p>
    <w:p>
      <w:pPr>
        <w:ind w:firstLine="640"/>
        <w:rPr>
          <w:rFonts w:ascii="仿宋_GB2312" w:eastAsia="仿宋_GB2312"/>
          <w:sz w:val="32"/>
          <w:szCs w:val="32"/>
        </w:rPr>
      </w:pPr>
      <w:r>
        <w:rPr>
          <w:rFonts w:hint="eastAsia" w:ascii="仿宋_GB2312" w:eastAsia="仿宋_GB2312"/>
          <w:sz w:val="32"/>
          <w:szCs w:val="32"/>
        </w:rPr>
        <w:t>（1）成本控制：昌吉市卫生健康委员会在其职能范围内，明确项目职责分工和成本控制要求，对各种影响成本的因素和条件采取了一系列预防和调节措施，科学地组织实施成本控制。</w:t>
      </w:r>
    </w:p>
    <w:p>
      <w:pPr>
        <w:ind w:firstLine="640"/>
        <w:rPr>
          <w:rFonts w:ascii="仿宋_GB2312" w:eastAsia="仿宋_GB2312"/>
          <w:sz w:val="32"/>
          <w:szCs w:val="32"/>
        </w:rPr>
      </w:pPr>
      <w:r>
        <w:rPr>
          <w:rFonts w:hint="eastAsia" w:ascii="仿宋_GB2312" w:eastAsia="仿宋_GB2312"/>
          <w:sz w:val="32"/>
          <w:szCs w:val="32"/>
        </w:rPr>
        <w:t>（2）成本节约：昌吉市卫生健康委员会在实施专项项目过程中，无相关成本节约情况。</w:t>
      </w:r>
    </w:p>
    <w:p>
      <w:pPr>
        <w:ind w:firstLine="640"/>
        <w:rPr>
          <w:rFonts w:ascii="仿宋_GB2312" w:eastAsia="仿宋_GB2312"/>
          <w:b/>
          <w:bCs/>
          <w:sz w:val="32"/>
          <w:szCs w:val="32"/>
        </w:rPr>
      </w:pPr>
      <w:r>
        <w:rPr>
          <w:rFonts w:hint="eastAsia" w:ascii="仿宋_GB2312" w:eastAsia="仿宋_GB2312"/>
          <w:b/>
          <w:bCs/>
          <w:sz w:val="32"/>
          <w:szCs w:val="32"/>
        </w:rPr>
        <w:t>4.项目效率性分析（实施进度、完成质量）</w:t>
      </w:r>
    </w:p>
    <w:p>
      <w:pPr>
        <w:pStyle w:val="2"/>
        <w:ind w:firstLine="640"/>
        <w:rPr>
          <w:rFonts w:hAnsi="仿宋" w:cs="仿宋"/>
          <w:b w:val="0"/>
          <w:bCs w:val="0"/>
          <w:sz w:val="32"/>
        </w:rPr>
      </w:pPr>
      <w:r>
        <w:rPr>
          <w:rFonts w:hint="eastAsia" w:hAnsi="仿宋" w:cs="仿宋"/>
          <w:b w:val="0"/>
          <w:bCs w:val="0"/>
          <w:sz w:val="32"/>
        </w:rPr>
        <w:t>（1）2022年中央基本公共卫生服务补助资金项目已完成，实施进度为100%，达到预期完成质量要求；</w:t>
      </w:r>
    </w:p>
    <w:p>
      <w:pPr>
        <w:pStyle w:val="2"/>
        <w:numPr>
          <w:ilvl w:val="0"/>
          <w:numId w:val="6"/>
        </w:numPr>
        <w:ind w:firstLine="640"/>
        <w:rPr>
          <w:rFonts w:hAnsi="仿宋" w:cs="仿宋"/>
          <w:b w:val="0"/>
          <w:bCs w:val="0"/>
          <w:sz w:val="32"/>
        </w:rPr>
      </w:pPr>
      <w:r>
        <w:rPr>
          <w:rFonts w:hint="eastAsia" w:hAnsi="仿宋" w:cs="仿宋"/>
          <w:b w:val="0"/>
          <w:bCs w:val="0"/>
          <w:sz w:val="32"/>
        </w:rPr>
        <w:t>2022年中央重大传染病防控经费项目已完成，实施进度为100%，达到预期完成质量要求；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（3）指挥部全民疫苗接种刻章经费项目已完成，实施进度为100%，达到预期完成质量要求；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（4）市疫情指挥部采样证印刷费项目已完成，实施进度为100%，达到预期完成质量要求；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（5）园博国际酒店污水处理及室内消毒设施项目已完成，实施进度为100%，达到预期完成质量要求；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（6）飞机场、火车站接站组工作人员工作用餐餐费（2021年11月欠付）项目已完成，实施进度为100%，达到预期完成质量要求；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（7）飞机场、火车站接站组工作人员酒店住宿费用（2021.8.1-9.31）项目已完成，实施进度为100%，达到预期完成质量要求；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（8）指挥部购置2021年10-11月相关办公用品、核酸检测健康证及接待费项目已完成，实施进度为100%，达到预期完成质量要求；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（9）留观宾馆贷款项目已完成，实施进度为100%，达到预期完成质量要求；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（10）市疫情指挥部云视讯设备项目已完成，实施进度为100%，达到预期完成质量要求；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（11）飞机场火车站工作组住宿费项目已完成，实施进度为100%，达到预期完成质量要求；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（12）集中隔离医学观察点改造费项目已完成，实施进度为100%，达到预期完成质量要求；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（13）昌吉市集中隔离医学观察点改造费第二批工程款项目已完成，实施进度为100%，达到预期完成质量要求；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（14）集中隔离点保洁工资项目已完成，实施进度为100%，达到预期完成质量要求；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（15）本级安排中小企业欠款化解（第四批）-隔离医学观察点湖畔酒店项目已完成，实施进度为100%，达到预期完成质量要求；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（16）飞机场火车站工作组餐费(9-11月)项目已完成，实施进度为100%，达到预期完成质量要求；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（17）昌吉市辖区新冠疫苗接种点宣传品及加强接种知情同意书费用项目已完成，实施进度为100%，达到预期完成质量要求；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（18）十中隔离点安装WIFI费用项目已完成，实施进度为100%，达到预期完成质量要求；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（19）园博国际酒店污水处理及室内消毒设施项目项目已完成，实施进度为100%，达到预期完成质量要求；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（20）疫情防控来疆接送站管理工作组餐费2021.12-2022.2月项目已完成，实施进度为100%，达到预期完成质量要求；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（21）预借华怡留观宾馆房费餐费项目已完成，实施进度为100%，达到预期完成质量要求；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（22）华怡酒店房费、餐费预付款项目已完成，实施进度为100%，达到预期完成质量要求；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（23）来疆返疆组酒店及餐费项目已完成，实施进度为100%，达到预期完成质量要求；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（24）本级安排中小企业欠款化解资金（第四批）-隔离医学观察点四方酒店住宿费项目已完成，实施进度为100%，达到预期完成质量要求；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（25）昌吉市流调组食宿费项目已完成，实施进度为100%，达到预期完成质量要求；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（26）昊泰酒店留观酒店期间食宿费用（21年8.2-9.2,；10.3-11.28）项目已完成，实施进度为100%，达到预期完成质量要求；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（27）昌吉市城投安康卫生服务有限公司消杀经费项目已完成，实施进度为100%，达到预期完成质量要求；</w:t>
      </w:r>
    </w:p>
    <w:p/>
    <w:p>
      <w:pPr>
        <w:pStyle w:val="2"/>
        <w:ind w:firstLine="640"/>
        <w:rPr>
          <w:rFonts w:hAnsi="仿宋" w:cs="仿宋"/>
          <w:b w:val="0"/>
          <w:bCs w:val="0"/>
          <w:sz w:val="32"/>
        </w:rPr>
      </w:pPr>
      <w:r>
        <w:rPr>
          <w:rFonts w:hint="eastAsia" w:hAnsi="仿宋" w:cs="仿宋"/>
          <w:b w:val="0"/>
          <w:bCs w:val="0"/>
          <w:sz w:val="32"/>
        </w:rPr>
        <w:t>（28）本级安排中小企业欠款化解资金（第四批）-隔离医学观察点园博酒店房费餐费项目已完成，实施进度为100%，达到预期完成质量要求；</w:t>
      </w:r>
    </w:p>
    <w:p>
      <w:pPr>
        <w:pStyle w:val="2"/>
      </w:pPr>
    </w:p>
    <w:p>
      <w:pPr>
        <w:pStyle w:val="2"/>
        <w:ind w:firstLine="640"/>
        <w:rPr>
          <w:rFonts w:hAnsi="仿宋" w:cs="仿宋"/>
          <w:b w:val="0"/>
          <w:bCs w:val="0"/>
          <w:sz w:val="32"/>
        </w:rPr>
      </w:pPr>
      <w:r>
        <w:rPr>
          <w:rFonts w:hint="eastAsia" w:hAnsi="仿宋" w:cs="仿宋"/>
          <w:b w:val="0"/>
          <w:bCs w:val="0"/>
          <w:sz w:val="32"/>
        </w:rPr>
        <w:t>（29）遇见西域遇见你餐厅留观期间供餐费用项目已完成，实施进度为100%，达到预期完成质量要求；</w:t>
      </w:r>
    </w:p>
    <w:p/>
    <w:p>
      <w:pPr>
        <w:pStyle w:val="2"/>
        <w:ind w:firstLine="640"/>
        <w:rPr>
          <w:rFonts w:hAnsi="仿宋" w:cs="仿宋"/>
          <w:b w:val="0"/>
          <w:bCs w:val="0"/>
          <w:sz w:val="32"/>
        </w:rPr>
      </w:pPr>
      <w:r>
        <w:rPr>
          <w:rFonts w:hint="eastAsia" w:hAnsi="仿宋" w:cs="仿宋"/>
          <w:b w:val="0"/>
          <w:bCs w:val="0"/>
          <w:sz w:val="32"/>
        </w:rPr>
        <w:t>（30）昌吉市卫健委方舱医院医疗设备项目已完成，实施进度为100%，达到预期完成质量要求；</w:t>
      </w:r>
    </w:p>
    <w:p>
      <w:pPr>
        <w:pStyle w:val="2"/>
      </w:pPr>
    </w:p>
    <w:p>
      <w:pPr>
        <w:pStyle w:val="2"/>
        <w:ind w:firstLine="640"/>
        <w:rPr>
          <w:rFonts w:hAnsi="仿宋" w:cs="仿宋"/>
          <w:b w:val="0"/>
          <w:bCs w:val="0"/>
          <w:sz w:val="32"/>
        </w:rPr>
      </w:pPr>
      <w:r>
        <w:rPr>
          <w:rFonts w:hint="eastAsia" w:hAnsi="仿宋" w:cs="仿宋"/>
          <w:b w:val="0"/>
          <w:bCs w:val="0"/>
          <w:sz w:val="32"/>
        </w:rPr>
        <w:t>（31）安康公司消毒消杀经费项目已完成，实施进度为100%，达到预期完成质量要求；</w:t>
      </w:r>
    </w:p>
    <w:p/>
    <w:p>
      <w:pPr>
        <w:pStyle w:val="2"/>
        <w:ind w:firstLine="640"/>
        <w:rPr>
          <w:rFonts w:hAnsi="仿宋" w:cs="仿宋"/>
          <w:b w:val="0"/>
          <w:bCs w:val="0"/>
          <w:sz w:val="32"/>
        </w:rPr>
      </w:pPr>
      <w:r>
        <w:rPr>
          <w:rFonts w:hint="eastAsia" w:hAnsi="仿宋" w:cs="仿宋"/>
          <w:b w:val="0"/>
          <w:bCs w:val="0"/>
          <w:sz w:val="32"/>
        </w:rPr>
        <w:t>（32）园博国际酒店留观酒店期间食宿费用（21年1.9-4.3；7.24-22年2.28）项目已完成，实施进度为100%，达到预期完成质量要求；</w:t>
      </w:r>
    </w:p>
    <w:p>
      <w:pPr>
        <w:pStyle w:val="2"/>
      </w:pPr>
    </w:p>
    <w:p>
      <w:pPr>
        <w:pStyle w:val="2"/>
        <w:ind w:firstLine="640"/>
        <w:rPr>
          <w:rFonts w:hAnsi="仿宋" w:cs="仿宋"/>
          <w:b w:val="0"/>
          <w:bCs w:val="0"/>
          <w:sz w:val="32"/>
        </w:rPr>
      </w:pPr>
      <w:r>
        <w:rPr>
          <w:rFonts w:hint="eastAsia" w:hAnsi="仿宋" w:cs="仿宋"/>
          <w:b w:val="0"/>
          <w:bCs w:val="0"/>
          <w:sz w:val="32"/>
        </w:rPr>
        <w:t>（33）留观宾馆住宿费项目已完成，实施进度为100%，达到预期完成质量要求；</w:t>
      </w:r>
    </w:p>
    <w:p/>
    <w:p>
      <w:pPr>
        <w:pStyle w:val="2"/>
        <w:ind w:firstLine="640"/>
        <w:rPr>
          <w:rFonts w:hAnsi="仿宋" w:cs="仿宋"/>
          <w:b w:val="0"/>
          <w:bCs w:val="0"/>
          <w:sz w:val="32"/>
        </w:rPr>
      </w:pPr>
      <w:r>
        <w:rPr>
          <w:rFonts w:hint="eastAsia" w:hAnsi="仿宋" w:cs="仿宋"/>
          <w:b w:val="0"/>
          <w:bCs w:val="0"/>
          <w:sz w:val="32"/>
        </w:rPr>
        <w:t>（34）本级安排中小企业欠款化解资金（第三批）-留观宾馆房费餐费2022.2.28前项目已完成，实施进度为100%，达到预期完成质量要求；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（35）集中隔离酒店费用项目已完成，实施进度为100%，达到预期完成质量要求；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（36）闭环管理酒店费用项目已完成，实施进度为100%，达到预期完成质量要求；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（37）昌吉市留观宾馆房费餐费项目已完成，实施进度为100%，达到预期完成质量要求；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（38）留观宾馆房费餐费项目已完成，实施进度为100%，达到预期完成质量要求；</w:t>
      </w:r>
    </w:p>
    <w:p/>
    <w:p>
      <w:pPr>
        <w:pStyle w:val="2"/>
        <w:ind w:firstLine="640"/>
        <w:rPr>
          <w:rFonts w:hAnsi="仿宋" w:cs="仿宋"/>
          <w:b w:val="0"/>
          <w:bCs w:val="0"/>
          <w:sz w:val="32"/>
        </w:rPr>
      </w:pPr>
      <w:r>
        <w:rPr>
          <w:rFonts w:hint="eastAsia" w:hAnsi="仿宋" w:cs="仿宋"/>
          <w:b w:val="0"/>
          <w:bCs w:val="0"/>
          <w:sz w:val="32"/>
        </w:rPr>
        <w:t>（39）留观宾馆2月28日以前所欠房费餐费项目已完成，实施进度为100%，达到预期完成质量要求；</w:t>
      </w:r>
    </w:p>
    <w:p>
      <w:pPr>
        <w:pStyle w:val="2"/>
      </w:pPr>
    </w:p>
    <w:p>
      <w:pPr>
        <w:pStyle w:val="2"/>
        <w:ind w:firstLine="640"/>
        <w:rPr>
          <w:rFonts w:hAnsi="仿宋" w:cs="仿宋"/>
          <w:b w:val="0"/>
          <w:bCs w:val="0"/>
          <w:sz w:val="32"/>
        </w:rPr>
      </w:pPr>
      <w:r>
        <w:rPr>
          <w:rFonts w:hint="eastAsia" w:hAnsi="仿宋" w:cs="仿宋"/>
          <w:b w:val="0"/>
          <w:bCs w:val="0"/>
          <w:sz w:val="32"/>
        </w:rPr>
        <w:t>（40）留观宾馆费用项目已完成，实施进度为100%，达到预期完成质量要求；</w:t>
      </w:r>
    </w:p>
    <w:p/>
    <w:p>
      <w:pPr>
        <w:pStyle w:val="2"/>
        <w:ind w:firstLine="640"/>
        <w:rPr>
          <w:rFonts w:hAnsi="仿宋" w:cs="仿宋"/>
          <w:b w:val="0"/>
          <w:bCs w:val="0"/>
          <w:sz w:val="32"/>
        </w:rPr>
      </w:pPr>
      <w:r>
        <w:rPr>
          <w:rFonts w:hint="eastAsia" w:hAnsi="仿宋" w:cs="仿宋"/>
          <w:b w:val="0"/>
          <w:bCs w:val="0"/>
          <w:sz w:val="32"/>
        </w:rPr>
        <w:t>（41）隔离酒店住宿费餐费项目已完成，实施进度为100%，达到预期完成质量要求；</w:t>
      </w:r>
    </w:p>
    <w:p>
      <w:pPr>
        <w:pStyle w:val="2"/>
      </w:pPr>
    </w:p>
    <w:p>
      <w:pPr>
        <w:pStyle w:val="2"/>
        <w:ind w:firstLine="640"/>
        <w:rPr>
          <w:rFonts w:hAnsi="仿宋" w:cs="仿宋"/>
          <w:b w:val="0"/>
          <w:bCs w:val="0"/>
          <w:sz w:val="32"/>
        </w:rPr>
      </w:pPr>
      <w:r>
        <w:rPr>
          <w:rFonts w:hint="eastAsia" w:hAnsi="仿宋" w:cs="仿宋"/>
          <w:b w:val="0"/>
          <w:bCs w:val="0"/>
          <w:sz w:val="32"/>
        </w:rPr>
        <w:t>（42）留观宾馆住宿费餐费项目已完成，实施进度为100%，达到预期完成质量要求；</w:t>
      </w:r>
    </w:p>
    <w:p/>
    <w:p>
      <w:pPr>
        <w:pStyle w:val="2"/>
        <w:ind w:firstLine="640"/>
        <w:rPr>
          <w:rFonts w:hAnsi="仿宋" w:cs="仿宋"/>
          <w:b w:val="0"/>
          <w:bCs w:val="0"/>
          <w:sz w:val="32"/>
        </w:rPr>
      </w:pPr>
      <w:r>
        <w:rPr>
          <w:rFonts w:hint="eastAsia" w:hAnsi="仿宋" w:cs="仿宋"/>
          <w:b w:val="0"/>
          <w:bCs w:val="0"/>
          <w:sz w:val="32"/>
        </w:rPr>
        <w:t>（43）2022年中央计划生育奖励扶助制度自治区补助资金项目已完成，实施进度为100%，达到预期完成质量要求；</w:t>
      </w:r>
    </w:p>
    <w:p>
      <w:pPr>
        <w:pStyle w:val="2"/>
      </w:pPr>
    </w:p>
    <w:p>
      <w:pPr>
        <w:pStyle w:val="2"/>
        <w:ind w:firstLine="640"/>
        <w:rPr>
          <w:rFonts w:hAnsi="仿宋" w:cs="仿宋"/>
          <w:b w:val="0"/>
          <w:bCs w:val="0"/>
          <w:sz w:val="32"/>
        </w:rPr>
      </w:pPr>
      <w:r>
        <w:rPr>
          <w:rFonts w:hint="eastAsia" w:hAnsi="仿宋" w:cs="仿宋"/>
          <w:b w:val="0"/>
          <w:bCs w:val="0"/>
          <w:sz w:val="32"/>
        </w:rPr>
        <w:t>（44）2022年自治区计划生育服务补助资金项目已完成，实施进度为100%，达到预期完成质量要求；</w:t>
      </w:r>
    </w:p>
    <w:p/>
    <w:p>
      <w:pPr>
        <w:pStyle w:val="2"/>
        <w:ind w:firstLine="640"/>
        <w:rPr>
          <w:rFonts w:hAnsi="仿宋" w:cs="仿宋"/>
          <w:b w:val="0"/>
          <w:bCs w:val="0"/>
          <w:sz w:val="32"/>
        </w:rPr>
      </w:pPr>
      <w:r>
        <w:rPr>
          <w:rFonts w:hint="eastAsia" w:hAnsi="仿宋" w:cs="仿宋"/>
          <w:b w:val="0"/>
          <w:bCs w:val="0"/>
          <w:sz w:val="32"/>
        </w:rPr>
        <w:t>（45）中央2022年计划生育转移支付资金（第二批）项目已完成，实施进度为100%，达到预期完成质量要求；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（46）2022年自治区计划生育奖励扶助制度补助项目已完成，实施进度为100%，达到预期完成质量要求；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（47）2022年计划生育专干专项补助项目已完成，实施进度为100%，达到预期完成质量要求；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（48）2022年中央计划生育转移支付资金项目已完成，实施进度为100%，达到预期完成质量要求；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（49）2022年计划生育奖扶州本级财政补助资金项目已完成，实施进度为100%，达到预期完成质量要求；</w:t>
      </w:r>
    </w:p>
    <w:p/>
    <w:p>
      <w:pPr>
        <w:pStyle w:val="2"/>
        <w:ind w:firstLine="640"/>
        <w:rPr>
          <w:rFonts w:hAnsi="仿宋" w:cs="仿宋"/>
          <w:b w:val="0"/>
          <w:bCs w:val="0"/>
          <w:sz w:val="32"/>
        </w:rPr>
      </w:pPr>
      <w:r>
        <w:rPr>
          <w:rFonts w:hint="eastAsia" w:hAnsi="仿宋" w:cs="仿宋"/>
          <w:b w:val="0"/>
          <w:bCs w:val="0"/>
          <w:sz w:val="32"/>
        </w:rPr>
        <w:t>（50）计划生育奖励扶助项目市本级配套资金项目已完成，实施进度为100%，达到预期完成质量要求；</w:t>
      </w:r>
    </w:p>
    <w:p>
      <w:pPr>
        <w:pStyle w:val="2"/>
      </w:pPr>
    </w:p>
    <w:p>
      <w:pPr>
        <w:pStyle w:val="2"/>
        <w:ind w:firstLine="640"/>
        <w:rPr>
          <w:rFonts w:hAnsi="仿宋" w:cs="仿宋"/>
          <w:b w:val="0"/>
          <w:bCs w:val="0"/>
          <w:sz w:val="32"/>
        </w:rPr>
      </w:pPr>
      <w:r>
        <w:rPr>
          <w:rFonts w:hint="eastAsia" w:hAnsi="仿宋" w:cs="仿宋"/>
          <w:b w:val="0"/>
          <w:bCs w:val="0"/>
          <w:sz w:val="32"/>
        </w:rPr>
        <w:t>（51）补助资金项目已完成，实施进度为100%，达到预期完成质量要求；</w:t>
      </w:r>
    </w:p>
    <w:p/>
    <w:p>
      <w:pPr>
        <w:pStyle w:val="2"/>
        <w:ind w:firstLine="640"/>
        <w:rPr>
          <w:rFonts w:hAnsi="仿宋" w:cs="仿宋"/>
          <w:b w:val="0"/>
          <w:bCs w:val="0"/>
          <w:sz w:val="32"/>
        </w:rPr>
      </w:pPr>
      <w:r>
        <w:rPr>
          <w:rFonts w:hint="eastAsia" w:hAnsi="仿宋" w:cs="仿宋"/>
          <w:b w:val="0"/>
          <w:bCs w:val="0"/>
          <w:sz w:val="32"/>
        </w:rPr>
        <w:t>（52）中小企业欠款化解（第四批）-隔离医学观察点湖畔酒店项目已完成，实施进度为100%，达到预期完成质量要求；</w:t>
      </w:r>
    </w:p>
    <w:p>
      <w:pPr>
        <w:pStyle w:val="2"/>
      </w:pPr>
    </w:p>
    <w:p>
      <w:pPr>
        <w:pStyle w:val="2"/>
        <w:ind w:firstLine="640"/>
        <w:rPr>
          <w:rFonts w:hAnsi="仿宋" w:cs="仿宋"/>
          <w:b w:val="0"/>
          <w:bCs w:val="0"/>
          <w:sz w:val="32"/>
        </w:rPr>
      </w:pPr>
      <w:r>
        <w:rPr>
          <w:rFonts w:hint="eastAsia" w:hAnsi="仿宋" w:cs="仿宋"/>
          <w:b w:val="0"/>
          <w:bCs w:val="0"/>
          <w:sz w:val="32"/>
        </w:rPr>
        <w:t>（53）中小企业欠款化解（第四批）-隔离医学观察点四方酒店房费餐费项目已完成，实施进度为100%，达到预期完成质量要求；</w:t>
      </w:r>
    </w:p>
    <w:p/>
    <w:p>
      <w:pPr>
        <w:pStyle w:val="2"/>
        <w:ind w:firstLine="640"/>
        <w:rPr>
          <w:rFonts w:hAnsi="仿宋" w:cs="仿宋"/>
          <w:b w:val="0"/>
          <w:bCs w:val="0"/>
          <w:sz w:val="32"/>
        </w:rPr>
      </w:pPr>
      <w:r>
        <w:rPr>
          <w:rFonts w:hint="eastAsia" w:hAnsi="仿宋" w:cs="仿宋"/>
          <w:b w:val="0"/>
          <w:bCs w:val="0"/>
          <w:sz w:val="32"/>
        </w:rPr>
        <w:t>（54）中小企业欠款化解资金第二批（宾馆三区两通道）项目已完成，实施进度为100%，达到预期完成质量要求；</w:t>
      </w:r>
    </w:p>
    <w:p>
      <w:pPr>
        <w:pStyle w:val="2"/>
      </w:pPr>
    </w:p>
    <w:p>
      <w:pPr>
        <w:pStyle w:val="2"/>
        <w:ind w:firstLine="640"/>
        <w:rPr>
          <w:rFonts w:hAnsi="仿宋" w:cs="仿宋"/>
          <w:b w:val="0"/>
          <w:bCs w:val="0"/>
          <w:sz w:val="32"/>
        </w:rPr>
      </w:pPr>
      <w:r>
        <w:rPr>
          <w:rFonts w:hint="eastAsia" w:hAnsi="仿宋" w:cs="仿宋"/>
          <w:b w:val="0"/>
          <w:bCs w:val="0"/>
          <w:sz w:val="32"/>
        </w:rPr>
        <w:t>（55）中小企业欠款化解（第四批）-隔离医学观察点园博酒店房费餐费项目已完成，实施进度为100%，达到预期完成质量要求；</w:t>
      </w:r>
    </w:p>
    <w:p/>
    <w:p>
      <w:pPr>
        <w:pStyle w:val="2"/>
        <w:ind w:firstLine="640"/>
        <w:rPr>
          <w:rFonts w:hAnsi="仿宋" w:cs="仿宋"/>
          <w:b w:val="0"/>
          <w:bCs w:val="0"/>
          <w:sz w:val="32"/>
        </w:rPr>
      </w:pPr>
      <w:r>
        <w:rPr>
          <w:rFonts w:hint="eastAsia" w:hAnsi="仿宋" w:cs="仿宋"/>
          <w:b w:val="0"/>
          <w:bCs w:val="0"/>
          <w:sz w:val="32"/>
        </w:rPr>
        <w:t>（56）中小企业欠款化解（第三批）-留观宾馆房费餐费2022.2.28前项目已完成，实施进度为100%，达到预期完成质量要求；</w:t>
      </w:r>
    </w:p>
    <w:p>
      <w:pPr>
        <w:pStyle w:val="2"/>
        <w:ind w:firstLine="640"/>
        <w:rPr>
          <w:rFonts w:hAnsi="仿宋" w:cs="仿宋"/>
          <w:b w:val="0"/>
          <w:bCs w:val="0"/>
          <w:sz w:val="32"/>
        </w:rPr>
      </w:pPr>
      <w:r>
        <w:rPr>
          <w:rFonts w:hint="eastAsia" w:hAnsi="仿宋" w:cs="仿宋"/>
          <w:b w:val="0"/>
          <w:bCs w:val="0"/>
          <w:sz w:val="32"/>
        </w:rPr>
        <w:t>（57）2022年自治区“访惠聚”驻村工作专项经费（村为民办实事）项目已完成，实施进度为100%，达到预期完成质量要求；</w:t>
      </w:r>
    </w:p>
    <w:p>
      <w:pPr>
        <w:pStyle w:val="2"/>
        <w:ind w:firstLine="640"/>
        <w:rPr>
          <w:rFonts w:hint="eastAsia" w:hAnsi="仿宋" w:cs="仿宋"/>
          <w:b w:val="0"/>
          <w:bCs w:val="0"/>
          <w:sz w:val="32"/>
        </w:rPr>
      </w:pPr>
      <w:r>
        <w:rPr>
          <w:rFonts w:hint="eastAsia" w:hAnsi="仿宋" w:cs="仿宋"/>
          <w:b w:val="0"/>
          <w:bCs w:val="0"/>
          <w:sz w:val="32"/>
        </w:rPr>
        <w:t>（58）2022年“访惠聚”驻村（社区）工作经费项目已完成，实施进度为100%，达到预期完成质量要求；</w:t>
      </w:r>
    </w:p>
    <w:p>
      <w:pPr>
        <w:pStyle w:val="2"/>
        <w:ind w:firstLine="640"/>
        <w:rPr>
          <w:rFonts w:hint="eastAsia" w:hAnsi="仿宋" w:cs="仿宋"/>
          <w:b w:val="0"/>
          <w:bCs w:val="0"/>
          <w:sz w:val="32"/>
        </w:rPr>
      </w:pPr>
      <w:r>
        <w:rPr>
          <w:rFonts w:hint="eastAsia" w:hAnsi="仿宋" w:cs="仿宋"/>
          <w:b w:val="0"/>
          <w:bCs w:val="0"/>
          <w:sz w:val="32"/>
        </w:rPr>
        <w:t>（5</w:t>
      </w:r>
      <w:r>
        <w:rPr>
          <w:rFonts w:hint="eastAsia" w:hAnsi="仿宋" w:cs="仿宋"/>
          <w:b w:val="0"/>
          <w:bCs w:val="0"/>
          <w:sz w:val="32"/>
          <w:lang w:val="en-US" w:eastAsia="zh-CN"/>
        </w:rPr>
        <w:t>9</w:t>
      </w:r>
      <w:r>
        <w:rPr>
          <w:rFonts w:hint="eastAsia" w:hAnsi="仿宋" w:cs="仿宋"/>
          <w:b w:val="0"/>
          <w:bCs w:val="0"/>
          <w:sz w:val="32"/>
        </w:rPr>
        <w:t>）2022年昌吉州本级疫情防控能力提升项目补助资金（核酸检测能力提升项目新冠疫苗指示牌宣传品费用）项目已完成</w:t>
      </w:r>
      <w:r>
        <w:rPr>
          <w:rFonts w:hint="eastAsia" w:hAnsi="仿宋" w:cs="仿宋"/>
          <w:b w:val="0"/>
          <w:bCs w:val="0"/>
          <w:sz w:val="32"/>
          <w:lang w:eastAsia="zh-CN"/>
        </w:rPr>
        <w:t>未验收，故资金未支付</w:t>
      </w:r>
      <w:r>
        <w:rPr>
          <w:rFonts w:hint="eastAsia" w:hAnsi="仿宋" w:cs="仿宋"/>
          <w:b w:val="0"/>
          <w:bCs w:val="0"/>
          <w:sz w:val="32"/>
        </w:rPr>
        <w:t>；</w:t>
      </w:r>
    </w:p>
    <w:p>
      <w:pPr>
        <w:pStyle w:val="2"/>
        <w:ind w:firstLine="640"/>
        <w:rPr>
          <w:rFonts w:hint="eastAsia" w:hAnsi="仿宋" w:cs="仿宋"/>
          <w:b w:val="0"/>
          <w:bCs w:val="0"/>
          <w:sz w:val="32"/>
        </w:rPr>
      </w:pPr>
      <w:r>
        <w:rPr>
          <w:rFonts w:hint="eastAsia" w:hAnsi="仿宋" w:cs="仿宋"/>
          <w:b w:val="0"/>
          <w:bCs w:val="0"/>
          <w:sz w:val="32"/>
        </w:rPr>
        <w:t>（</w:t>
      </w:r>
      <w:r>
        <w:rPr>
          <w:rFonts w:hint="eastAsia" w:hAnsi="仿宋" w:cs="仿宋"/>
          <w:b w:val="0"/>
          <w:bCs w:val="0"/>
          <w:sz w:val="32"/>
          <w:lang w:val="en-US" w:eastAsia="zh-CN"/>
        </w:rPr>
        <w:t>60</w:t>
      </w:r>
      <w:r>
        <w:rPr>
          <w:rFonts w:hint="eastAsia" w:hAnsi="仿宋" w:cs="仿宋"/>
          <w:b w:val="0"/>
          <w:bCs w:val="0"/>
          <w:sz w:val="32"/>
        </w:rPr>
        <w:t>）2022年昌吉州本级疫情防控能力提升项目补助资金（集中隔离能力提升项目集中隔离点消杀设备）项目已完成</w:t>
      </w:r>
      <w:r>
        <w:rPr>
          <w:rFonts w:hint="eastAsia" w:hAnsi="仿宋" w:cs="仿宋"/>
          <w:b w:val="0"/>
          <w:bCs w:val="0"/>
          <w:sz w:val="32"/>
          <w:lang w:eastAsia="zh-CN"/>
        </w:rPr>
        <w:t>未验收，故资金未支付</w:t>
      </w:r>
      <w:r>
        <w:rPr>
          <w:rFonts w:hint="eastAsia" w:hAnsi="仿宋" w:cs="仿宋"/>
          <w:b w:val="0"/>
          <w:bCs w:val="0"/>
          <w:sz w:val="32"/>
        </w:rPr>
        <w:t>；</w:t>
      </w:r>
    </w:p>
    <w:p>
      <w:pPr>
        <w:pStyle w:val="2"/>
        <w:ind w:firstLine="640"/>
        <w:rPr>
          <w:rFonts w:hint="eastAsia" w:hAnsi="仿宋" w:cs="仿宋"/>
          <w:b w:val="0"/>
          <w:bCs w:val="0"/>
          <w:sz w:val="32"/>
        </w:rPr>
      </w:pPr>
      <w:r>
        <w:rPr>
          <w:rFonts w:hint="eastAsia" w:hAnsi="仿宋" w:cs="仿宋"/>
          <w:b w:val="0"/>
          <w:bCs w:val="0"/>
          <w:sz w:val="32"/>
        </w:rPr>
        <w:t>（</w:t>
      </w:r>
      <w:r>
        <w:rPr>
          <w:rFonts w:hint="eastAsia" w:hAnsi="仿宋" w:cs="仿宋"/>
          <w:b w:val="0"/>
          <w:bCs w:val="0"/>
          <w:sz w:val="32"/>
          <w:lang w:val="en-US" w:eastAsia="zh-CN"/>
        </w:rPr>
        <w:t>61</w:t>
      </w:r>
      <w:r>
        <w:rPr>
          <w:rFonts w:hint="eastAsia" w:hAnsi="仿宋" w:cs="仿宋"/>
          <w:b w:val="0"/>
          <w:bCs w:val="0"/>
          <w:sz w:val="32"/>
        </w:rPr>
        <w:t>）2022年昌吉州本级疫情防控能力提升项目补助资金（方舱医院和救治能力提升项目云视讯会议系统连路费）项目已完成</w:t>
      </w:r>
      <w:r>
        <w:rPr>
          <w:rFonts w:hint="eastAsia" w:hAnsi="仿宋" w:cs="仿宋"/>
          <w:b w:val="0"/>
          <w:bCs w:val="0"/>
          <w:sz w:val="32"/>
          <w:lang w:eastAsia="zh-CN"/>
        </w:rPr>
        <w:t>未验收，故资金未支付</w:t>
      </w:r>
      <w:r>
        <w:rPr>
          <w:rFonts w:hint="eastAsia" w:hAnsi="仿宋" w:cs="仿宋"/>
          <w:b w:val="0"/>
          <w:bCs w:val="0"/>
          <w:sz w:val="32"/>
        </w:rPr>
        <w:t>；</w:t>
      </w:r>
    </w:p>
    <w:p>
      <w:pPr>
        <w:pStyle w:val="2"/>
        <w:ind w:firstLine="640"/>
        <w:rPr>
          <w:rFonts w:hint="eastAsia" w:hAnsi="仿宋" w:cs="仿宋"/>
          <w:b w:val="0"/>
          <w:bCs w:val="0"/>
          <w:sz w:val="32"/>
        </w:rPr>
      </w:pPr>
      <w:r>
        <w:rPr>
          <w:rFonts w:hint="eastAsia" w:hAnsi="仿宋" w:cs="仿宋"/>
          <w:b w:val="0"/>
          <w:bCs w:val="0"/>
          <w:sz w:val="32"/>
        </w:rPr>
        <w:t>（</w:t>
      </w:r>
      <w:r>
        <w:rPr>
          <w:rFonts w:hint="eastAsia" w:hAnsi="仿宋" w:cs="仿宋"/>
          <w:b w:val="0"/>
          <w:bCs w:val="0"/>
          <w:sz w:val="32"/>
          <w:lang w:val="en-US" w:eastAsia="zh-CN"/>
        </w:rPr>
        <w:t>62</w:t>
      </w:r>
      <w:r>
        <w:rPr>
          <w:rFonts w:hint="eastAsia" w:hAnsi="仿宋" w:cs="仿宋"/>
          <w:b w:val="0"/>
          <w:bCs w:val="0"/>
          <w:sz w:val="32"/>
        </w:rPr>
        <w:t>）2022年昌吉州本级疫情防控能力提升项目补助资金项目项目已完成</w:t>
      </w:r>
      <w:r>
        <w:rPr>
          <w:rFonts w:hint="eastAsia" w:hAnsi="仿宋" w:cs="仿宋"/>
          <w:b w:val="0"/>
          <w:bCs w:val="0"/>
          <w:sz w:val="32"/>
          <w:lang w:eastAsia="zh-CN"/>
        </w:rPr>
        <w:t>未验收，故资金未支付</w:t>
      </w:r>
      <w:r>
        <w:rPr>
          <w:rFonts w:hint="eastAsia" w:hAnsi="仿宋" w:cs="仿宋"/>
          <w:b w:val="0"/>
          <w:bCs w:val="0"/>
          <w:sz w:val="32"/>
        </w:rPr>
        <w:t>；</w:t>
      </w:r>
    </w:p>
    <w:p>
      <w:pPr>
        <w:pStyle w:val="2"/>
        <w:ind w:firstLine="640"/>
        <w:rPr>
          <w:rFonts w:hint="eastAsia" w:hAnsi="仿宋" w:cs="仿宋"/>
          <w:b w:val="0"/>
          <w:bCs w:val="0"/>
          <w:sz w:val="32"/>
        </w:rPr>
      </w:pPr>
      <w:r>
        <w:rPr>
          <w:rFonts w:hint="eastAsia" w:hAnsi="仿宋" w:cs="仿宋"/>
          <w:b w:val="0"/>
          <w:bCs w:val="0"/>
          <w:sz w:val="32"/>
        </w:rPr>
        <w:t>（</w:t>
      </w:r>
      <w:r>
        <w:rPr>
          <w:rFonts w:hint="eastAsia" w:hAnsi="仿宋" w:cs="仿宋"/>
          <w:b w:val="0"/>
          <w:bCs w:val="0"/>
          <w:sz w:val="32"/>
          <w:lang w:val="en-US" w:eastAsia="zh-CN"/>
        </w:rPr>
        <w:t>63</w:t>
      </w:r>
      <w:r>
        <w:rPr>
          <w:rFonts w:hint="eastAsia" w:hAnsi="仿宋" w:cs="仿宋"/>
          <w:b w:val="0"/>
          <w:bCs w:val="0"/>
          <w:sz w:val="32"/>
        </w:rPr>
        <w:t>）移动核酸检测车应急采购项目项目已完成</w:t>
      </w:r>
      <w:r>
        <w:rPr>
          <w:rFonts w:hint="eastAsia" w:hAnsi="仿宋" w:cs="仿宋"/>
          <w:b w:val="0"/>
          <w:bCs w:val="0"/>
          <w:sz w:val="32"/>
          <w:lang w:eastAsia="zh-CN"/>
        </w:rPr>
        <w:t>未验收，故资金未支付</w:t>
      </w:r>
      <w:r>
        <w:rPr>
          <w:rFonts w:hint="eastAsia" w:hAnsi="仿宋" w:cs="仿宋"/>
          <w:b w:val="0"/>
          <w:bCs w:val="0"/>
          <w:sz w:val="32"/>
        </w:rPr>
        <w:t>；</w:t>
      </w:r>
    </w:p>
    <w:p>
      <w:pPr>
        <w:pStyle w:val="2"/>
        <w:ind w:firstLine="640"/>
      </w:pPr>
      <w:r>
        <w:rPr>
          <w:rFonts w:hint="eastAsia" w:hAnsi="仿宋" w:cs="仿宋"/>
          <w:b w:val="0"/>
          <w:bCs w:val="0"/>
          <w:sz w:val="32"/>
        </w:rPr>
        <w:t>（</w:t>
      </w:r>
      <w:r>
        <w:rPr>
          <w:rFonts w:hint="eastAsia" w:hAnsi="仿宋" w:cs="仿宋"/>
          <w:b w:val="0"/>
          <w:bCs w:val="0"/>
          <w:sz w:val="32"/>
          <w:lang w:val="en-US" w:eastAsia="zh-CN"/>
        </w:rPr>
        <w:t>64</w:t>
      </w:r>
      <w:r>
        <w:rPr>
          <w:rFonts w:hint="eastAsia" w:hAnsi="仿宋" w:cs="仿宋"/>
          <w:b w:val="0"/>
          <w:bCs w:val="0"/>
          <w:sz w:val="32"/>
        </w:rPr>
        <w:t>）2022年昌吉州本级疫情防控能力提升项目补助资金（急救和转运能力提升项目20辆救护车费用）项目已完成</w:t>
      </w:r>
      <w:r>
        <w:rPr>
          <w:rFonts w:hint="eastAsia" w:hAnsi="仿宋" w:cs="仿宋"/>
          <w:b w:val="0"/>
          <w:bCs w:val="0"/>
          <w:sz w:val="32"/>
          <w:lang w:eastAsia="zh-CN"/>
        </w:rPr>
        <w:t>未验收，故资金未支付</w:t>
      </w:r>
      <w:r>
        <w:rPr>
          <w:rFonts w:hint="eastAsia" w:hAnsi="仿宋" w:cs="仿宋"/>
          <w:b w:val="0"/>
          <w:bCs w:val="0"/>
          <w:sz w:val="32"/>
        </w:rPr>
        <w:t>；</w:t>
      </w:r>
    </w:p>
    <w:p>
      <w:pPr>
        <w:ind w:firstLine="640"/>
        <w:rPr>
          <w:rFonts w:ascii="仿宋_GB2312" w:eastAsia="仿宋_GB2312"/>
          <w:b/>
          <w:bCs/>
          <w:sz w:val="32"/>
          <w:szCs w:val="32"/>
        </w:rPr>
      </w:pPr>
      <w:r>
        <w:rPr>
          <w:rFonts w:hint="eastAsia" w:ascii="仿宋_GB2312" w:eastAsia="仿宋_GB2312"/>
          <w:b/>
          <w:bCs/>
          <w:sz w:val="32"/>
          <w:szCs w:val="32"/>
        </w:rPr>
        <w:t>5.项目效益性分析（预期目标完成程度、实施对经济和社会的影响）</w:t>
      </w:r>
    </w:p>
    <w:p>
      <w:pPr>
        <w:pStyle w:val="2"/>
        <w:ind w:firstLine="640"/>
        <w:rPr>
          <w:rFonts w:hAnsi="仿宋" w:cs="仿宋"/>
          <w:b w:val="0"/>
          <w:bCs w:val="0"/>
          <w:sz w:val="32"/>
        </w:rPr>
      </w:pPr>
      <w:r>
        <w:rPr>
          <w:rFonts w:hint="eastAsia" w:hAnsi="仿宋" w:cs="仿宋"/>
          <w:b w:val="0"/>
          <w:bCs w:val="0"/>
          <w:sz w:val="32"/>
        </w:rPr>
        <w:t>（1）2022年中央基本公共卫生服务补助资金项目的实施，有效规范公共卫生服务行为，推进基本公共卫生服务项目开展；</w:t>
      </w:r>
    </w:p>
    <w:p>
      <w:pPr>
        <w:pStyle w:val="2"/>
        <w:numPr>
          <w:ilvl w:val="0"/>
          <w:numId w:val="6"/>
        </w:numPr>
        <w:ind w:firstLine="640"/>
        <w:rPr>
          <w:rFonts w:hAnsi="仿宋" w:cs="仿宋"/>
          <w:b w:val="0"/>
          <w:bCs w:val="0"/>
          <w:sz w:val="32"/>
        </w:rPr>
      </w:pPr>
      <w:r>
        <w:rPr>
          <w:rFonts w:hint="eastAsia" w:hAnsi="仿宋" w:cs="仿宋"/>
          <w:b w:val="0"/>
          <w:bCs w:val="0"/>
          <w:sz w:val="32"/>
        </w:rPr>
        <w:t>2022年中央重大传染病防控经费项目的实施，有效降低患者疾病使用负担；</w:t>
      </w:r>
    </w:p>
    <w:p>
      <w:pPr>
        <w:pStyle w:val="2"/>
        <w:ind w:firstLine="640"/>
        <w:rPr>
          <w:rFonts w:hAnsi="仿宋" w:cs="仿宋"/>
          <w:b w:val="0"/>
          <w:bCs w:val="0"/>
          <w:sz w:val="32"/>
        </w:rPr>
      </w:pPr>
      <w:r>
        <w:rPr>
          <w:rFonts w:hint="eastAsia" w:hAnsi="仿宋" w:cs="仿宋"/>
          <w:b w:val="0"/>
          <w:bCs w:val="0"/>
          <w:sz w:val="32"/>
        </w:rPr>
        <w:t>（3）指挥部全民疫苗接种刻章经费项目的实施，有效提升疫情指挥部后勤保障能力；</w:t>
      </w:r>
    </w:p>
    <w:p>
      <w:pPr>
        <w:pStyle w:val="2"/>
        <w:ind w:firstLine="640"/>
        <w:rPr>
          <w:rFonts w:hAnsi="仿宋" w:cs="仿宋"/>
          <w:b w:val="0"/>
          <w:bCs w:val="0"/>
          <w:sz w:val="32"/>
        </w:rPr>
      </w:pPr>
      <w:r>
        <w:rPr>
          <w:rFonts w:hint="eastAsia" w:hAnsi="仿宋" w:cs="仿宋"/>
          <w:b w:val="0"/>
          <w:bCs w:val="0"/>
          <w:sz w:val="32"/>
        </w:rPr>
        <w:t>（4）市疫情指挥部采样证印刷费项目的实施，有效提升疫情指挥部后勤保障能力；</w:t>
      </w:r>
    </w:p>
    <w:p>
      <w:pPr>
        <w:pStyle w:val="2"/>
        <w:ind w:firstLine="640"/>
        <w:rPr>
          <w:rFonts w:hAnsi="仿宋" w:cs="仿宋"/>
          <w:b w:val="0"/>
          <w:bCs w:val="0"/>
          <w:sz w:val="32"/>
        </w:rPr>
      </w:pPr>
      <w:r>
        <w:rPr>
          <w:rFonts w:hint="eastAsia" w:hAnsi="仿宋" w:cs="仿宋"/>
          <w:b w:val="0"/>
          <w:bCs w:val="0"/>
          <w:sz w:val="32"/>
        </w:rPr>
        <w:t>（5）园博国际酒店污水处理及室内消毒设施项目的实施，有效控制疫情传播，提高疫情防控意识；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（6）飞机场、火车站接站组工作人员工作用餐餐费（2021年11月欠付）项目的实施，有效控制疫情传播，提高疫情防控意识；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（7）飞机场、火车站接站组工作人员酒店住宿费用（2021.8.1-9.31）项目的实施，有效控制疫情传播，提高疫情防控意识；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（8）指挥部购置2021年10-11月相关办公用品、核酸检测健康证及接待费项目的实施，有效提升疫情指挥部后勤保障能力；</w:t>
      </w:r>
    </w:p>
    <w:p>
      <w:pPr>
        <w:pStyle w:val="2"/>
        <w:ind w:firstLine="640"/>
        <w:rPr>
          <w:rFonts w:hAnsi="仿宋" w:cs="仿宋"/>
          <w:b w:val="0"/>
          <w:bCs w:val="0"/>
          <w:sz w:val="32"/>
        </w:rPr>
      </w:pPr>
      <w:r>
        <w:rPr>
          <w:rFonts w:hint="eastAsia" w:hAnsi="仿宋" w:cs="仿宋"/>
          <w:b w:val="0"/>
          <w:bCs w:val="0"/>
          <w:sz w:val="32"/>
        </w:rPr>
        <w:t>（9）留观宾馆贷款项目的实施，有效控制疫情传播，提高疫情防控意识；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（10）市疫情指挥部云视讯设备项目的实施，有效提升疫情指挥部后勤保障能力；</w:t>
      </w:r>
    </w:p>
    <w:p>
      <w:pPr>
        <w:pStyle w:val="2"/>
        <w:ind w:firstLine="640"/>
        <w:rPr>
          <w:rFonts w:hAnsi="仿宋" w:cs="仿宋"/>
          <w:b w:val="0"/>
          <w:bCs w:val="0"/>
          <w:sz w:val="32"/>
        </w:rPr>
      </w:pPr>
      <w:r>
        <w:rPr>
          <w:rFonts w:hint="eastAsia" w:hAnsi="仿宋" w:cs="仿宋"/>
          <w:b w:val="0"/>
          <w:bCs w:val="0"/>
          <w:sz w:val="32"/>
        </w:rPr>
        <w:t>（11）飞机场火车站工作组住宿费项目的实施，有效控制疫情传播，提高疫情防控意识；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（12）集中隔离医学观察点改造费项目的实施，有效控制疫情传播，提高疫情防控意识；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（13）昌吉市集中隔离医学观察点改造费第二批工程款项目的实施，有效控制疫情传播，提高疫情防控意识；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（14）集中隔离点保洁工资项目的实施，有效控制疫情传播，提高疫情防控意识；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（15）本级安排中小企业欠款化解（第四批）-隔离医学观察点湖畔酒店项目的实施，有效控制疫情传播，提高疫情防控意识；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（16）飞机场火车站工作组餐费(9-11月)项目的实施，有效控制疫情传播，提高疫情防控意识；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（17）昌吉市辖区新冠疫苗接种点宣传品及加强接种知情同意书费用项目的实施，有效提升疫情指挥部后勤保障能力；</w:t>
      </w:r>
    </w:p>
    <w:p>
      <w:pPr>
        <w:pStyle w:val="2"/>
        <w:ind w:firstLine="640"/>
        <w:rPr>
          <w:rFonts w:hAnsi="仿宋" w:cs="仿宋"/>
          <w:b w:val="0"/>
          <w:bCs w:val="0"/>
          <w:sz w:val="32"/>
        </w:rPr>
      </w:pPr>
      <w:r>
        <w:rPr>
          <w:rFonts w:hint="eastAsia" w:hAnsi="仿宋" w:cs="仿宋"/>
          <w:b w:val="0"/>
          <w:bCs w:val="0"/>
          <w:sz w:val="32"/>
        </w:rPr>
        <w:t>（18）十中隔离点安装WIFI费用项目的实施，有效提升疫情指挥部后勤保障能力；</w:t>
      </w:r>
    </w:p>
    <w:p>
      <w:pPr>
        <w:pStyle w:val="2"/>
        <w:ind w:firstLine="640"/>
        <w:rPr>
          <w:rFonts w:hAnsi="仿宋" w:cs="仿宋"/>
          <w:b w:val="0"/>
          <w:bCs w:val="0"/>
          <w:sz w:val="32"/>
        </w:rPr>
      </w:pPr>
      <w:r>
        <w:rPr>
          <w:rFonts w:hint="eastAsia" w:hAnsi="仿宋" w:cs="仿宋"/>
          <w:b w:val="0"/>
          <w:bCs w:val="0"/>
          <w:sz w:val="32"/>
        </w:rPr>
        <w:t>（19）园博国际酒店污水处理及室内消毒设施项目项目的实施，有效控制疫情传播，提高疫情防控意识；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（20）疫情防控来疆接送站管理工作组餐费2021.12-2022.2月项目的实施，有效控制疫情传播，提高疫情防控意识；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（21）预借华怡留观宾馆房费餐费项目的实施，有效控制疫情传播，提高疫情防控意识；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（22）华怡酒店房费、餐费预付款项目的实施，有效控制疫情传播，提高疫情防控意识；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（23）来疆返疆组酒店及餐费项目的实施，有效控制疫情传播，提高疫情防控意识；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（24）本级安排中小企业欠款化解资金（第四批）-隔离医学观察点四方酒店住宿费项目的实施，有效控制疫情传播，提高疫情防控意识；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（25）昌吉市流调组食宿费项目的实施，有效控制疫情传播，提高疫情防控意识；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（26）昊泰酒店留观酒店期间食宿费用（21年8.2-9.2,；10.3-11.28）项目的实施，有效控制疫情传播，提高疫情防控意识；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（27）昌吉市城投安康卫生服务有限公司消杀经费项目的实施，有效控制疫情传播，提高疫情防控意识；</w:t>
      </w:r>
    </w:p>
    <w:p/>
    <w:p>
      <w:pPr>
        <w:pStyle w:val="2"/>
        <w:ind w:firstLine="640"/>
        <w:rPr>
          <w:rFonts w:hAnsi="仿宋" w:cs="仿宋"/>
          <w:b w:val="0"/>
          <w:bCs w:val="0"/>
          <w:sz w:val="32"/>
        </w:rPr>
      </w:pPr>
      <w:r>
        <w:rPr>
          <w:rFonts w:hint="eastAsia" w:hAnsi="仿宋" w:cs="仿宋"/>
          <w:b w:val="0"/>
          <w:bCs w:val="0"/>
          <w:sz w:val="32"/>
        </w:rPr>
        <w:t>（28）本级安排中小企业欠款化解资金（第四批）-隔离医学观察点园博酒店房费餐费项目的实施，有效控制疫情传播，提高疫情防控意识；</w:t>
      </w:r>
    </w:p>
    <w:p>
      <w:pPr>
        <w:pStyle w:val="2"/>
      </w:pPr>
    </w:p>
    <w:p>
      <w:pPr>
        <w:pStyle w:val="2"/>
        <w:ind w:firstLine="640"/>
        <w:rPr>
          <w:rFonts w:hAnsi="仿宋" w:cs="仿宋"/>
          <w:b w:val="0"/>
          <w:bCs w:val="0"/>
          <w:sz w:val="32"/>
        </w:rPr>
      </w:pPr>
      <w:r>
        <w:rPr>
          <w:rFonts w:hint="eastAsia" w:hAnsi="仿宋" w:cs="仿宋"/>
          <w:b w:val="0"/>
          <w:bCs w:val="0"/>
          <w:sz w:val="32"/>
        </w:rPr>
        <w:t>（29）遇见西域遇见你餐厅留观期间供餐费用项目的实施，有效控制疫情传播，提高疫情防控意识；</w:t>
      </w:r>
    </w:p>
    <w:p/>
    <w:p>
      <w:pPr>
        <w:pStyle w:val="2"/>
        <w:ind w:firstLine="640"/>
        <w:rPr>
          <w:rFonts w:hAnsi="仿宋" w:cs="仿宋"/>
          <w:b w:val="0"/>
          <w:bCs w:val="0"/>
          <w:sz w:val="32"/>
        </w:rPr>
      </w:pPr>
      <w:r>
        <w:rPr>
          <w:rFonts w:hint="eastAsia" w:hAnsi="仿宋" w:cs="仿宋"/>
          <w:b w:val="0"/>
          <w:bCs w:val="0"/>
          <w:sz w:val="32"/>
        </w:rPr>
        <w:t>（30）昌吉市卫健委方舱医院医疗设备项目的实施，有效提升医疗单位的医疗救治能力；</w:t>
      </w:r>
    </w:p>
    <w:p>
      <w:pPr>
        <w:pStyle w:val="2"/>
      </w:pPr>
    </w:p>
    <w:p>
      <w:pPr>
        <w:pStyle w:val="2"/>
        <w:ind w:firstLine="640"/>
        <w:rPr>
          <w:rFonts w:hAnsi="仿宋" w:cs="仿宋"/>
          <w:b w:val="0"/>
          <w:bCs w:val="0"/>
          <w:sz w:val="32"/>
        </w:rPr>
      </w:pPr>
      <w:r>
        <w:rPr>
          <w:rFonts w:hint="eastAsia" w:hAnsi="仿宋" w:cs="仿宋"/>
          <w:b w:val="0"/>
          <w:bCs w:val="0"/>
          <w:sz w:val="32"/>
        </w:rPr>
        <w:t>（31）安康公司消毒消杀经费项目的实施，有效控制疫情传播，提高疫情防控意识；</w:t>
      </w:r>
    </w:p>
    <w:p/>
    <w:p>
      <w:pPr>
        <w:pStyle w:val="2"/>
        <w:ind w:firstLine="640"/>
        <w:rPr>
          <w:rFonts w:hAnsi="仿宋" w:cs="仿宋"/>
          <w:b w:val="0"/>
          <w:bCs w:val="0"/>
          <w:sz w:val="32"/>
        </w:rPr>
      </w:pPr>
      <w:r>
        <w:rPr>
          <w:rFonts w:hint="eastAsia" w:hAnsi="仿宋" w:cs="仿宋"/>
          <w:b w:val="0"/>
          <w:bCs w:val="0"/>
          <w:sz w:val="32"/>
        </w:rPr>
        <w:t>（32）园博国际酒店留观酒店期间食宿费用（21年1.9-4.3；7.24-22年2.28）项目的实施，有效控制疫情传播，提高疫情防控意识；</w:t>
      </w:r>
    </w:p>
    <w:p>
      <w:pPr>
        <w:pStyle w:val="2"/>
      </w:pPr>
    </w:p>
    <w:p>
      <w:pPr>
        <w:pStyle w:val="2"/>
        <w:ind w:firstLine="640"/>
        <w:rPr>
          <w:rFonts w:hAnsi="仿宋" w:cs="仿宋"/>
          <w:b w:val="0"/>
          <w:bCs w:val="0"/>
          <w:sz w:val="32"/>
        </w:rPr>
      </w:pPr>
      <w:r>
        <w:rPr>
          <w:rFonts w:hint="eastAsia" w:hAnsi="仿宋" w:cs="仿宋"/>
          <w:b w:val="0"/>
          <w:bCs w:val="0"/>
          <w:sz w:val="32"/>
        </w:rPr>
        <w:t>（33）留观宾馆住宿费项目的实施，有效控制疫情传播，提高疫情防控意识；</w:t>
      </w:r>
    </w:p>
    <w:p/>
    <w:p>
      <w:pPr>
        <w:pStyle w:val="2"/>
        <w:ind w:firstLine="640"/>
        <w:rPr>
          <w:rFonts w:hAnsi="仿宋" w:cs="仿宋"/>
          <w:b w:val="0"/>
          <w:bCs w:val="0"/>
          <w:sz w:val="32"/>
        </w:rPr>
      </w:pPr>
      <w:r>
        <w:rPr>
          <w:rFonts w:hint="eastAsia" w:hAnsi="仿宋" w:cs="仿宋"/>
          <w:b w:val="0"/>
          <w:bCs w:val="0"/>
          <w:sz w:val="32"/>
        </w:rPr>
        <w:t>（34）本级安排中小企业欠款化解资金（第三批）-留观宾馆房费餐费2022.2.28前项目的实施，有效控制疫情传播，提高疫情防控意识；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（35）集中隔离酒店费用项目的实施，有效控制疫情传播，提高疫情防控意识；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（36）闭环管理酒店费用项目的实施，有效控制疫情传播，提高疫情防控意识；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（37）昌吉市留观宾馆房费餐费项目的实施，有效控制疫情传播，提高疫情防控意识；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（38）留观宾馆房费餐费项目的实施，有效控制疫情传播，提高疫情防控意识；</w:t>
      </w:r>
    </w:p>
    <w:p/>
    <w:p>
      <w:pPr>
        <w:pStyle w:val="2"/>
        <w:ind w:firstLine="640"/>
        <w:rPr>
          <w:rFonts w:hAnsi="仿宋" w:cs="仿宋"/>
          <w:b w:val="0"/>
          <w:bCs w:val="0"/>
          <w:sz w:val="32"/>
        </w:rPr>
      </w:pPr>
      <w:r>
        <w:rPr>
          <w:rFonts w:hint="eastAsia" w:hAnsi="仿宋" w:cs="仿宋"/>
          <w:b w:val="0"/>
          <w:bCs w:val="0"/>
          <w:sz w:val="32"/>
        </w:rPr>
        <w:t>（39）留观宾馆2月28日以前所欠房费餐费项目的实施，有效控制疫情传播，提高疫情防控意识；</w:t>
      </w:r>
    </w:p>
    <w:p>
      <w:pPr>
        <w:pStyle w:val="2"/>
      </w:pPr>
    </w:p>
    <w:p>
      <w:pPr>
        <w:pStyle w:val="2"/>
        <w:ind w:firstLine="640"/>
        <w:rPr>
          <w:rFonts w:hAnsi="仿宋" w:cs="仿宋"/>
          <w:b w:val="0"/>
          <w:bCs w:val="0"/>
          <w:sz w:val="32"/>
        </w:rPr>
      </w:pPr>
      <w:r>
        <w:rPr>
          <w:rFonts w:hint="eastAsia" w:hAnsi="仿宋" w:cs="仿宋"/>
          <w:b w:val="0"/>
          <w:bCs w:val="0"/>
          <w:sz w:val="32"/>
        </w:rPr>
        <w:t>（40）留观宾馆费用项目的实施，有效控制疫情传播，提高疫情防控意识；</w:t>
      </w:r>
    </w:p>
    <w:p/>
    <w:p>
      <w:pPr>
        <w:pStyle w:val="2"/>
        <w:ind w:firstLine="640"/>
        <w:rPr>
          <w:rFonts w:hAnsi="仿宋" w:cs="仿宋"/>
          <w:b w:val="0"/>
          <w:bCs w:val="0"/>
          <w:sz w:val="32"/>
        </w:rPr>
      </w:pPr>
      <w:r>
        <w:rPr>
          <w:rFonts w:hint="eastAsia" w:hAnsi="仿宋" w:cs="仿宋"/>
          <w:b w:val="0"/>
          <w:bCs w:val="0"/>
          <w:sz w:val="32"/>
        </w:rPr>
        <w:t>（41）隔离酒店住宿费餐费项目的实施，有效控制疫情传播，提高疫情防控意识；</w:t>
      </w:r>
    </w:p>
    <w:p>
      <w:pPr>
        <w:pStyle w:val="2"/>
      </w:pPr>
    </w:p>
    <w:p>
      <w:pPr>
        <w:pStyle w:val="2"/>
        <w:ind w:firstLine="640"/>
        <w:rPr>
          <w:rFonts w:hAnsi="仿宋" w:cs="仿宋"/>
          <w:b w:val="0"/>
          <w:bCs w:val="0"/>
          <w:sz w:val="32"/>
        </w:rPr>
      </w:pPr>
      <w:r>
        <w:rPr>
          <w:rFonts w:hint="eastAsia" w:hAnsi="仿宋" w:cs="仿宋"/>
          <w:b w:val="0"/>
          <w:bCs w:val="0"/>
          <w:sz w:val="32"/>
        </w:rPr>
        <w:t>（42）留观宾馆住宿费餐费项目的实施，有效控制疫情传播，提高疫情防控意识；</w:t>
      </w:r>
    </w:p>
    <w:p/>
    <w:p>
      <w:pPr>
        <w:pStyle w:val="2"/>
        <w:ind w:firstLine="640"/>
        <w:rPr>
          <w:rFonts w:hAnsi="仿宋" w:cs="仿宋"/>
          <w:b w:val="0"/>
          <w:bCs w:val="0"/>
          <w:sz w:val="32"/>
        </w:rPr>
      </w:pPr>
      <w:r>
        <w:rPr>
          <w:rFonts w:hint="eastAsia" w:hAnsi="仿宋" w:cs="仿宋"/>
          <w:b w:val="0"/>
          <w:bCs w:val="0"/>
          <w:sz w:val="32"/>
        </w:rPr>
        <w:t>（43）2022年中央计划生育奖励扶助制度自治区补助资金项目的实施，有效提高受益对象生活水平，提升受益对象家庭发展能力；</w:t>
      </w:r>
    </w:p>
    <w:p>
      <w:pPr>
        <w:pStyle w:val="2"/>
      </w:pPr>
    </w:p>
    <w:p>
      <w:pPr>
        <w:pStyle w:val="2"/>
        <w:ind w:firstLine="640"/>
        <w:rPr>
          <w:rFonts w:hAnsi="仿宋" w:cs="仿宋"/>
          <w:b w:val="0"/>
          <w:bCs w:val="0"/>
          <w:sz w:val="32"/>
        </w:rPr>
      </w:pPr>
      <w:r>
        <w:rPr>
          <w:rFonts w:hint="eastAsia" w:hAnsi="仿宋" w:cs="仿宋"/>
          <w:b w:val="0"/>
          <w:bCs w:val="0"/>
          <w:sz w:val="32"/>
        </w:rPr>
        <w:t>（44）2022年自治区计划生育服务补助资金项目的实施，有效提高受益对象生活水平，提升受益对象家庭发展能力；</w:t>
      </w:r>
    </w:p>
    <w:p/>
    <w:p>
      <w:pPr>
        <w:pStyle w:val="2"/>
        <w:ind w:firstLine="640"/>
        <w:rPr>
          <w:rFonts w:hAnsi="仿宋" w:cs="仿宋"/>
          <w:b w:val="0"/>
          <w:bCs w:val="0"/>
          <w:sz w:val="32"/>
        </w:rPr>
      </w:pPr>
      <w:r>
        <w:rPr>
          <w:rFonts w:hint="eastAsia" w:hAnsi="仿宋" w:cs="仿宋"/>
          <w:b w:val="0"/>
          <w:bCs w:val="0"/>
          <w:sz w:val="32"/>
        </w:rPr>
        <w:t>（45）中央2022年计划生育转移支付资金（第二批）项目的实施，有效提高受益对象生活水平，提升受益对象家庭发展能力；</w:t>
      </w:r>
    </w:p>
    <w:p>
      <w:pPr>
        <w:pStyle w:val="2"/>
        <w:ind w:firstLine="640"/>
        <w:rPr>
          <w:rFonts w:hAnsi="仿宋" w:cs="仿宋"/>
          <w:b w:val="0"/>
          <w:bCs w:val="0"/>
          <w:sz w:val="32"/>
        </w:rPr>
      </w:pPr>
      <w:r>
        <w:rPr>
          <w:rFonts w:hint="eastAsia" w:hAnsi="仿宋" w:cs="仿宋"/>
          <w:b w:val="0"/>
          <w:bCs w:val="0"/>
          <w:sz w:val="32"/>
        </w:rPr>
        <w:t>（46）2022年自治区计划生育奖励扶助制度补助项目的实施，有效提高受益对象生活水平，提升受益对象家庭发展能力；</w:t>
      </w:r>
    </w:p>
    <w:p>
      <w:pPr>
        <w:pStyle w:val="2"/>
        <w:ind w:firstLine="640"/>
        <w:rPr>
          <w:rFonts w:hAnsi="仿宋" w:cs="仿宋"/>
          <w:b w:val="0"/>
          <w:bCs w:val="0"/>
          <w:sz w:val="32"/>
        </w:rPr>
      </w:pPr>
      <w:r>
        <w:rPr>
          <w:rFonts w:hint="eastAsia" w:hAnsi="仿宋" w:cs="仿宋"/>
          <w:b w:val="0"/>
          <w:bCs w:val="0"/>
          <w:sz w:val="32"/>
        </w:rPr>
        <w:t>（47）2022年计划生育专干专项补助项目的实施，有效提高计划生育宣传员专干的工作积极性；</w:t>
      </w:r>
    </w:p>
    <w:p>
      <w:pPr>
        <w:pStyle w:val="2"/>
        <w:ind w:firstLine="640"/>
        <w:rPr>
          <w:rFonts w:hAnsi="仿宋" w:cs="仿宋"/>
          <w:b w:val="0"/>
          <w:bCs w:val="0"/>
          <w:sz w:val="32"/>
        </w:rPr>
      </w:pPr>
      <w:r>
        <w:rPr>
          <w:rFonts w:hint="eastAsia" w:hAnsi="仿宋" w:cs="仿宋"/>
          <w:b w:val="0"/>
          <w:bCs w:val="0"/>
          <w:sz w:val="32"/>
        </w:rPr>
        <w:t>（48）2022年中央计划生育转移支付资金项目的实施，有效提高受益对象生活水平，提升受益对象家庭发展能力；</w:t>
      </w:r>
    </w:p>
    <w:p>
      <w:pPr>
        <w:pStyle w:val="2"/>
        <w:ind w:firstLine="640"/>
        <w:rPr>
          <w:rFonts w:hAnsi="仿宋" w:cs="仿宋"/>
          <w:b w:val="0"/>
          <w:bCs w:val="0"/>
          <w:sz w:val="32"/>
        </w:rPr>
      </w:pPr>
      <w:r>
        <w:rPr>
          <w:rFonts w:hint="eastAsia" w:hAnsi="仿宋" w:cs="仿宋"/>
          <w:b w:val="0"/>
          <w:bCs w:val="0"/>
          <w:sz w:val="32"/>
        </w:rPr>
        <w:t>（49）2022年计划生育奖扶州本级财政补助资金项目的实施，有效提高受益对象生活水平，提升受益对象家庭发展能力；</w:t>
      </w:r>
    </w:p>
    <w:p/>
    <w:p>
      <w:pPr>
        <w:pStyle w:val="2"/>
        <w:ind w:firstLine="640"/>
        <w:rPr>
          <w:rFonts w:hAnsi="仿宋" w:cs="仿宋"/>
          <w:b w:val="0"/>
          <w:bCs w:val="0"/>
          <w:sz w:val="32"/>
        </w:rPr>
      </w:pPr>
      <w:r>
        <w:rPr>
          <w:rFonts w:hint="eastAsia" w:hAnsi="仿宋" w:cs="仿宋"/>
          <w:b w:val="0"/>
          <w:bCs w:val="0"/>
          <w:sz w:val="32"/>
        </w:rPr>
        <w:t>（50）计划生育奖励扶助项目市本级配套资金项目的实施，有效提高受益对象生活水平，提升受益对象家庭发展能力；</w:t>
      </w:r>
    </w:p>
    <w:p>
      <w:pPr>
        <w:pStyle w:val="2"/>
      </w:pPr>
    </w:p>
    <w:p>
      <w:pPr>
        <w:pStyle w:val="2"/>
        <w:ind w:firstLine="640"/>
        <w:rPr>
          <w:rFonts w:hAnsi="仿宋" w:cs="仿宋"/>
          <w:b w:val="0"/>
          <w:bCs w:val="0"/>
          <w:sz w:val="32"/>
        </w:rPr>
      </w:pPr>
      <w:r>
        <w:rPr>
          <w:rFonts w:hint="eastAsia" w:hAnsi="仿宋" w:cs="仿宋"/>
          <w:b w:val="0"/>
          <w:bCs w:val="0"/>
          <w:sz w:val="32"/>
        </w:rPr>
        <w:t>（51）补助资金项目的实施，有效提升公共卫生均等化水平；</w:t>
      </w:r>
    </w:p>
    <w:p/>
    <w:p>
      <w:pPr>
        <w:pStyle w:val="2"/>
        <w:ind w:firstLine="640"/>
        <w:rPr>
          <w:rFonts w:hAnsi="仿宋" w:cs="仿宋"/>
          <w:b w:val="0"/>
          <w:bCs w:val="0"/>
          <w:sz w:val="32"/>
        </w:rPr>
      </w:pPr>
      <w:r>
        <w:rPr>
          <w:rFonts w:hint="eastAsia" w:hAnsi="仿宋" w:cs="仿宋"/>
          <w:b w:val="0"/>
          <w:bCs w:val="0"/>
          <w:sz w:val="32"/>
        </w:rPr>
        <w:t>（52）中小企业欠款化解（第四批）-隔离医学观察点湖畔酒店项目的实施，有效控制疫情传播，提高疫情防控意识；</w:t>
      </w:r>
    </w:p>
    <w:p>
      <w:pPr>
        <w:pStyle w:val="2"/>
      </w:pPr>
    </w:p>
    <w:p>
      <w:pPr>
        <w:pStyle w:val="2"/>
        <w:ind w:firstLine="640"/>
        <w:rPr>
          <w:rFonts w:hAnsi="仿宋" w:cs="仿宋"/>
          <w:b w:val="0"/>
          <w:bCs w:val="0"/>
          <w:sz w:val="32"/>
        </w:rPr>
      </w:pPr>
      <w:r>
        <w:rPr>
          <w:rFonts w:hint="eastAsia" w:hAnsi="仿宋" w:cs="仿宋"/>
          <w:b w:val="0"/>
          <w:bCs w:val="0"/>
          <w:sz w:val="32"/>
        </w:rPr>
        <w:t>（53）中小企业欠款化解（第四批）-隔离医学观察点四方酒店房费餐费项目的实施，有效控制疫情传播，提高疫情防控意识；</w:t>
      </w:r>
    </w:p>
    <w:p/>
    <w:p>
      <w:pPr>
        <w:pStyle w:val="2"/>
        <w:ind w:firstLine="640"/>
        <w:rPr>
          <w:rFonts w:hAnsi="仿宋" w:cs="仿宋"/>
          <w:b w:val="0"/>
          <w:bCs w:val="0"/>
          <w:sz w:val="32"/>
        </w:rPr>
      </w:pPr>
      <w:r>
        <w:rPr>
          <w:rFonts w:hint="eastAsia" w:hAnsi="仿宋" w:cs="仿宋"/>
          <w:b w:val="0"/>
          <w:bCs w:val="0"/>
          <w:sz w:val="32"/>
        </w:rPr>
        <w:t>（54）中小企业欠款化解资金第二批（宾馆三区两通道）项目的实施，有效控制疫情传播，提高疫情防控意识；</w:t>
      </w:r>
    </w:p>
    <w:p>
      <w:pPr>
        <w:pStyle w:val="2"/>
      </w:pPr>
    </w:p>
    <w:p>
      <w:pPr>
        <w:pStyle w:val="2"/>
        <w:ind w:firstLine="640"/>
        <w:rPr>
          <w:rFonts w:hAnsi="仿宋" w:cs="仿宋"/>
          <w:b w:val="0"/>
          <w:bCs w:val="0"/>
          <w:sz w:val="32"/>
        </w:rPr>
      </w:pPr>
      <w:r>
        <w:rPr>
          <w:rFonts w:hint="eastAsia" w:hAnsi="仿宋" w:cs="仿宋"/>
          <w:b w:val="0"/>
          <w:bCs w:val="0"/>
          <w:sz w:val="32"/>
        </w:rPr>
        <w:t>（55）中小企业欠款化解（第四批）-隔离医学观察点园博酒店房费餐费项目的实施，有效控制疫情传播，提高疫情防控意识；</w:t>
      </w:r>
    </w:p>
    <w:p/>
    <w:p>
      <w:pPr>
        <w:pStyle w:val="2"/>
        <w:ind w:firstLine="640"/>
        <w:rPr>
          <w:rFonts w:hAnsi="仿宋" w:cs="仿宋"/>
          <w:b w:val="0"/>
          <w:bCs w:val="0"/>
          <w:sz w:val="32"/>
        </w:rPr>
      </w:pPr>
      <w:r>
        <w:rPr>
          <w:rFonts w:hint="eastAsia" w:hAnsi="仿宋" w:cs="仿宋"/>
          <w:b w:val="0"/>
          <w:bCs w:val="0"/>
          <w:sz w:val="32"/>
        </w:rPr>
        <w:t>（56）中小企业欠款化解（第三批）-留观宾馆房费餐费2022.2.28前项目的实施，有效控制疫情传播，提高疫情防控意识；</w:t>
      </w:r>
    </w:p>
    <w:p>
      <w:pPr>
        <w:pStyle w:val="2"/>
        <w:ind w:firstLine="640"/>
        <w:rPr>
          <w:rFonts w:hAnsi="仿宋" w:cs="仿宋"/>
          <w:b w:val="0"/>
          <w:bCs w:val="0"/>
          <w:sz w:val="32"/>
        </w:rPr>
      </w:pPr>
      <w:r>
        <w:rPr>
          <w:rFonts w:hint="eastAsia" w:hAnsi="仿宋" w:cs="仿宋"/>
          <w:b w:val="0"/>
          <w:bCs w:val="0"/>
          <w:sz w:val="32"/>
        </w:rPr>
        <w:t>（57）2022年自治区“访惠聚”驻村工作专项经费（村为民办实事）项目的实施，有效改善困难群众生活质量；</w:t>
      </w:r>
    </w:p>
    <w:p>
      <w:pPr>
        <w:pStyle w:val="2"/>
        <w:ind w:firstLine="640"/>
        <w:rPr>
          <w:rFonts w:hint="eastAsia" w:hAnsi="仿宋" w:cs="仿宋"/>
          <w:b w:val="0"/>
          <w:bCs w:val="0"/>
          <w:sz w:val="32"/>
        </w:rPr>
      </w:pPr>
      <w:r>
        <w:rPr>
          <w:rFonts w:hint="eastAsia" w:hAnsi="仿宋" w:cs="仿宋"/>
          <w:b w:val="0"/>
          <w:bCs w:val="0"/>
          <w:sz w:val="32"/>
        </w:rPr>
        <w:t>（58）2022年“访惠聚”驻村（社区）工作经费项目的实施，有效改善困难群众生活质量；</w:t>
      </w:r>
    </w:p>
    <w:p>
      <w:pPr>
        <w:pStyle w:val="2"/>
        <w:ind w:firstLine="640"/>
        <w:rPr>
          <w:rFonts w:hAnsi="仿宋" w:cs="仿宋"/>
          <w:b w:val="0"/>
          <w:bCs w:val="0"/>
          <w:sz w:val="32"/>
        </w:rPr>
      </w:pPr>
      <w:r>
        <w:rPr>
          <w:rFonts w:hint="eastAsia" w:hAnsi="仿宋" w:cs="仿宋"/>
          <w:b w:val="0"/>
          <w:bCs w:val="0"/>
          <w:sz w:val="32"/>
        </w:rPr>
        <w:t>（5</w:t>
      </w:r>
      <w:r>
        <w:rPr>
          <w:rFonts w:hint="eastAsia" w:hAnsi="仿宋" w:cs="仿宋"/>
          <w:b w:val="0"/>
          <w:bCs w:val="0"/>
          <w:sz w:val="32"/>
          <w:lang w:val="en-US" w:eastAsia="zh-CN"/>
        </w:rPr>
        <w:t>9</w:t>
      </w:r>
      <w:r>
        <w:rPr>
          <w:rFonts w:hint="eastAsia" w:hAnsi="仿宋" w:cs="仿宋"/>
          <w:b w:val="0"/>
          <w:bCs w:val="0"/>
          <w:sz w:val="32"/>
        </w:rPr>
        <w:t>）2022年昌吉州本级疫情防控能力提升项目补助资金（核酸检测能力提升项目新冠疫苗指示牌宣传品费用）项目的实施，有效提升疫情指挥部后勤保障能力；</w:t>
      </w:r>
    </w:p>
    <w:p>
      <w:pPr>
        <w:pStyle w:val="2"/>
        <w:ind w:firstLine="640"/>
        <w:rPr>
          <w:rFonts w:hAnsi="仿宋" w:cs="仿宋"/>
          <w:b w:val="0"/>
          <w:bCs w:val="0"/>
          <w:sz w:val="32"/>
        </w:rPr>
      </w:pPr>
      <w:r>
        <w:rPr>
          <w:rFonts w:hint="eastAsia" w:hAnsi="仿宋" w:cs="仿宋"/>
          <w:b w:val="0"/>
          <w:bCs w:val="0"/>
          <w:sz w:val="32"/>
        </w:rPr>
        <w:t>（</w:t>
      </w:r>
      <w:r>
        <w:rPr>
          <w:rFonts w:hint="eastAsia" w:hAnsi="仿宋" w:cs="仿宋"/>
          <w:b w:val="0"/>
          <w:bCs w:val="0"/>
          <w:sz w:val="32"/>
          <w:lang w:val="en-US" w:eastAsia="zh-CN"/>
        </w:rPr>
        <w:t>60</w:t>
      </w:r>
      <w:r>
        <w:rPr>
          <w:rFonts w:hint="eastAsia" w:hAnsi="仿宋" w:cs="仿宋"/>
          <w:b w:val="0"/>
          <w:bCs w:val="0"/>
          <w:sz w:val="32"/>
        </w:rPr>
        <w:t>）2022年昌吉州本级疫情防控能力提升项目补助资金（集中隔离能力提升项目集中隔离点消杀设备）项目的实施，有效提升疫情指挥部后勤保障能力；</w:t>
      </w:r>
    </w:p>
    <w:p>
      <w:pPr>
        <w:pStyle w:val="2"/>
        <w:ind w:firstLine="640"/>
        <w:rPr>
          <w:rFonts w:hint="eastAsia" w:hAnsi="仿宋" w:cs="仿宋"/>
          <w:b w:val="0"/>
          <w:bCs w:val="0"/>
          <w:sz w:val="32"/>
        </w:rPr>
      </w:pPr>
      <w:r>
        <w:rPr>
          <w:rFonts w:hint="eastAsia" w:hAnsi="仿宋" w:cs="仿宋"/>
          <w:b w:val="0"/>
          <w:bCs w:val="0"/>
          <w:sz w:val="32"/>
        </w:rPr>
        <w:t>（</w:t>
      </w:r>
      <w:r>
        <w:rPr>
          <w:rFonts w:hint="eastAsia" w:hAnsi="仿宋" w:cs="仿宋"/>
          <w:b w:val="0"/>
          <w:bCs w:val="0"/>
          <w:sz w:val="32"/>
          <w:lang w:val="en-US" w:eastAsia="zh-CN"/>
        </w:rPr>
        <w:t>61</w:t>
      </w:r>
      <w:r>
        <w:rPr>
          <w:rFonts w:hint="eastAsia" w:hAnsi="仿宋" w:cs="仿宋"/>
          <w:b w:val="0"/>
          <w:bCs w:val="0"/>
          <w:sz w:val="32"/>
        </w:rPr>
        <w:t>）2022年昌吉州本级疫情防控能力提升项目补助资金（方舱医院和救治能力提升项目云视讯会议系统连路费）项目</w:t>
      </w:r>
      <w:r>
        <w:rPr>
          <w:rFonts w:hint="eastAsia" w:hAnsi="仿宋" w:cs="仿宋"/>
          <w:b w:val="0"/>
          <w:bCs w:val="0"/>
          <w:sz w:val="32"/>
          <w:lang w:eastAsia="zh-CN"/>
        </w:rPr>
        <w:t>的实施，</w:t>
      </w:r>
      <w:r>
        <w:rPr>
          <w:rFonts w:hint="eastAsia" w:hAnsi="仿宋" w:cs="仿宋"/>
          <w:b w:val="0"/>
          <w:bCs w:val="0"/>
          <w:sz w:val="32"/>
        </w:rPr>
        <w:t>实施，有效提升医疗单位的医疗救治能力；</w:t>
      </w:r>
    </w:p>
    <w:p>
      <w:pPr>
        <w:pStyle w:val="2"/>
        <w:ind w:firstLine="640"/>
        <w:rPr>
          <w:rFonts w:hint="eastAsia" w:hAnsi="仿宋" w:cs="仿宋"/>
          <w:b w:val="0"/>
          <w:bCs w:val="0"/>
          <w:sz w:val="32"/>
        </w:rPr>
      </w:pPr>
      <w:r>
        <w:rPr>
          <w:rFonts w:hint="eastAsia" w:hAnsi="仿宋" w:cs="仿宋"/>
          <w:b w:val="0"/>
          <w:bCs w:val="0"/>
          <w:sz w:val="32"/>
        </w:rPr>
        <w:t>（</w:t>
      </w:r>
      <w:r>
        <w:rPr>
          <w:rFonts w:hint="eastAsia" w:hAnsi="仿宋" w:cs="仿宋"/>
          <w:b w:val="0"/>
          <w:bCs w:val="0"/>
          <w:sz w:val="32"/>
          <w:lang w:val="en-US" w:eastAsia="zh-CN"/>
        </w:rPr>
        <w:t>62</w:t>
      </w:r>
      <w:r>
        <w:rPr>
          <w:rFonts w:hint="eastAsia" w:hAnsi="仿宋" w:cs="仿宋"/>
          <w:b w:val="0"/>
          <w:bCs w:val="0"/>
          <w:sz w:val="32"/>
        </w:rPr>
        <w:t>）2022年昌吉州本级疫情防控能力提升项目补助资金项目新冠疫苗指示牌宣传品费用）项目的实施，有效提升疫情指挥部后勤保障能力；</w:t>
      </w:r>
    </w:p>
    <w:p>
      <w:pPr>
        <w:pStyle w:val="2"/>
        <w:ind w:firstLine="640"/>
        <w:rPr>
          <w:rFonts w:hint="eastAsia" w:hAnsi="仿宋" w:cs="仿宋"/>
          <w:b w:val="0"/>
          <w:bCs w:val="0"/>
          <w:sz w:val="32"/>
        </w:rPr>
      </w:pPr>
      <w:r>
        <w:rPr>
          <w:rFonts w:hint="eastAsia" w:hAnsi="仿宋" w:cs="仿宋"/>
          <w:b w:val="0"/>
          <w:bCs w:val="0"/>
          <w:sz w:val="32"/>
        </w:rPr>
        <w:t>（</w:t>
      </w:r>
      <w:r>
        <w:rPr>
          <w:rFonts w:hint="eastAsia" w:hAnsi="仿宋" w:cs="仿宋"/>
          <w:b w:val="0"/>
          <w:bCs w:val="0"/>
          <w:sz w:val="32"/>
          <w:lang w:val="en-US" w:eastAsia="zh-CN"/>
        </w:rPr>
        <w:t>63</w:t>
      </w:r>
      <w:r>
        <w:rPr>
          <w:rFonts w:hint="eastAsia" w:hAnsi="仿宋" w:cs="仿宋"/>
          <w:b w:val="0"/>
          <w:bCs w:val="0"/>
          <w:sz w:val="32"/>
        </w:rPr>
        <w:t>）移动核酸检测车应急采购项目项目</w:t>
      </w:r>
      <w:r>
        <w:rPr>
          <w:rFonts w:hint="eastAsia" w:hAnsi="仿宋" w:cs="仿宋"/>
          <w:b w:val="0"/>
          <w:bCs w:val="0"/>
          <w:sz w:val="32"/>
          <w:lang w:eastAsia="zh-CN"/>
        </w:rPr>
        <w:t>的</w:t>
      </w:r>
      <w:r>
        <w:rPr>
          <w:rFonts w:hint="eastAsia" w:hAnsi="仿宋" w:cs="仿宋"/>
          <w:b w:val="0"/>
          <w:bCs w:val="0"/>
          <w:sz w:val="32"/>
        </w:rPr>
        <w:t>实施，有效提升</w:t>
      </w:r>
      <w:r>
        <w:rPr>
          <w:rFonts w:hint="eastAsia" w:hAnsi="仿宋" w:cs="仿宋"/>
          <w:b w:val="0"/>
          <w:bCs w:val="0"/>
          <w:sz w:val="32"/>
          <w:lang w:eastAsia="zh-CN"/>
        </w:rPr>
        <w:t>核酸检测</w:t>
      </w:r>
      <w:r>
        <w:rPr>
          <w:rFonts w:hint="eastAsia" w:hAnsi="仿宋" w:cs="仿宋"/>
          <w:b w:val="0"/>
          <w:bCs w:val="0"/>
          <w:sz w:val="32"/>
        </w:rPr>
        <w:t>能力；</w:t>
      </w:r>
    </w:p>
    <w:p>
      <w:pPr>
        <w:pStyle w:val="2"/>
        <w:ind w:firstLine="640"/>
      </w:pPr>
      <w:r>
        <w:rPr>
          <w:rFonts w:hint="eastAsia" w:hAnsi="仿宋" w:cs="仿宋"/>
          <w:b w:val="0"/>
          <w:bCs w:val="0"/>
          <w:sz w:val="32"/>
        </w:rPr>
        <w:t>（</w:t>
      </w:r>
      <w:r>
        <w:rPr>
          <w:rFonts w:hint="eastAsia" w:hAnsi="仿宋" w:cs="仿宋"/>
          <w:b w:val="0"/>
          <w:bCs w:val="0"/>
          <w:sz w:val="32"/>
          <w:lang w:val="en-US" w:eastAsia="zh-CN"/>
        </w:rPr>
        <w:t>64</w:t>
      </w:r>
      <w:r>
        <w:rPr>
          <w:rFonts w:hint="eastAsia" w:hAnsi="仿宋" w:cs="仿宋"/>
          <w:b w:val="0"/>
          <w:bCs w:val="0"/>
          <w:sz w:val="32"/>
        </w:rPr>
        <w:t>）2022年昌吉州本级疫情防控能力提升项目补助资金（急救和转运能力提升项目20辆救护车费用）项目</w:t>
      </w:r>
      <w:r>
        <w:rPr>
          <w:rFonts w:hint="eastAsia" w:hAnsi="仿宋" w:cs="仿宋"/>
          <w:b w:val="0"/>
          <w:bCs w:val="0"/>
          <w:sz w:val="32"/>
          <w:lang w:eastAsia="zh-CN"/>
        </w:rPr>
        <w:t>的</w:t>
      </w:r>
      <w:r>
        <w:rPr>
          <w:rFonts w:hint="eastAsia" w:hAnsi="仿宋" w:cs="仿宋"/>
          <w:b w:val="0"/>
          <w:bCs w:val="0"/>
          <w:sz w:val="32"/>
        </w:rPr>
        <w:t>实施，有效提升</w:t>
      </w:r>
      <w:r>
        <w:rPr>
          <w:rFonts w:hint="eastAsia" w:hAnsi="仿宋" w:cs="仿宋"/>
          <w:b w:val="0"/>
          <w:bCs w:val="0"/>
          <w:sz w:val="32"/>
          <w:lang w:eastAsia="zh-CN"/>
        </w:rPr>
        <w:t>医疗单位的医疗救治</w:t>
      </w:r>
      <w:r>
        <w:rPr>
          <w:rFonts w:hint="eastAsia" w:hAnsi="仿宋" w:cs="仿宋"/>
          <w:b w:val="0"/>
          <w:bCs w:val="0"/>
          <w:sz w:val="32"/>
        </w:rPr>
        <w:t>能力；</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keepNext/>
        <w:keepLines/>
        <w:numPr>
          <w:ilvl w:val="0"/>
          <w:numId w:val="7"/>
        </w:numPr>
        <w:spacing w:line="560" w:lineRule="exact"/>
        <w:ind w:firstLine="643" w:firstLineChars="200"/>
        <w:jc w:val="both"/>
        <w:rPr>
          <w:rFonts w:ascii="楷体_GB2312" w:hAnsi="Arial" w:eastAsia="楷体_GB2312"/>
          <w:b/>
          <w:sz w:val="32"/>
          <w:szCs w:val="32"/>
        </w:rPr>
      </w:pPr>
      <w:r>
        <w:rPr>
          <w:rFonts w:hint="eastAsia" w:ascii="楷体_GB2312" w:hAnsi="Arial" w:eastAsia="楷体_GB2312"/>
          <w:b/>
          <w:sz w:val="32"/>
          <w:szCs w:val="32"/>
        </w:rPr>
        <w:t>资产情况及固定资产利用情况</w:t>
      </w:r>
    </w:p>
    <w:p>
      <w:pPr>
        <w:ind w:firstLine="681" w:firstLineChars="213"/>
        <w:jc w:val="left"/>
        <w:rPr>
          <w:rFonts w:ascii="仿宋_GB2312" w:eastAsia="仿宋_GB2312"/>
          <w:sz w:val="32"/>
          <w:szCs w:val="32"/>
        </w:rPr>
      </w:pPr>
      <w:r>
        <w:rPr>
          <w:rFonts w:hint="eastAsia" w:ascii="仿宋_GB2312" w:eastAsia="仿宋_GB2312"/>
          <w:sz w:val="32"/>
          <w:szCs w:val="32"/>
        </w:rPr>
        <w:t>截止2022年12月31日，我单位资产账面总额为14486.22万元，较年初资产总额22787.75万元，减少8301.53万元，其中：</w:t>
      </w:r>
    </w:p>
    <w:p>
      <w:pPr>
        <w:ind w:firstLine="681" w:firstLineChars="213"/>
        <w:jc w:val="left"/>
        <w:rPr>
          <w:rFonts w:ascii="仿宋_GB2312" w:eastAsia="仿宋_GB2312"/>
          <w:sz w:val="32"/>
          <w:szCs w:val="32"/>
        </w:rPr>
      </w:pPr>
      <w:r>
        <w:rPr>
          <w:rFonts w:hint="eastAsia" w:ascii="仿宋_GB2312" w:eastAsia="仿宋_GB2312"/>
          <w:sz w:val="32"/>
          <w:szCs w:val="32"/>
        </w:rPr>
        <w:t>流动资产：2022年初，流动资产总额为1163.14万元，较年初资产总额1172.57万元，较年初流动资产减少9.43万元，下降0.2%，主要变动原因是：银行存款减少。</w:t>
      </w:r>
    </w:p>
    <w:p>
      <w:pPr>
        <w:ind w:firstLine="681" w:firstLineChars="213"/>
        <w:jc w:val="left"/>
        <w:rPr>
          <w:rFonts w:ascii="仿宋_GB2312" w:eastAsia="仿宋_GB2312"/>
          <w:sz w:val="32"/>
          <w:szCs w:val="32"/>
        </w:rPr>
      </w:pPr>
      <w:r>
        <w:rPr>
          <w:rFonts w:hint="eastAsia" w:ascii="仿宋_GB2312" w:eastAsia="仿宋_GB2312"/>
          <w:sz w:val="32"/>
          <w:szCs w:val="32"/>
        </w:rPr>
        <w:t>固定资产：2022年初，固定资产总额为18354.08万元，年末总额为4639.66万元，较年初固定资产增加13714.42万元，增长295.59%，主要变动原因是：在建工程转固定资产。</w:t>
      </w:r>
    </w:p>
    <w:p>
      <w:pPr>
        <w:pStyle w:val="4"/>
        <w:keepNext/>
        <w:keepLines/>
        <w:numPr>
          <w:ilvl w:val="0"/>
          <w:numId w:val="7"/>
        </w:numPr>
        <w:spacing w:line="560" w:lineRule="exact"/>
        <w:ind w:firstLine="643" w:firstLineChars="200"/>
        <w:jc w:val="both"/>
        <w:rPr>
          <w:rFonts w:ascii="楷体_GB2312" w:hAnsi="Arial" w:eastAsia="楷体_GB2312"/>
          <w:b/>
          <w:sz w:val="32"/>
          <w:szCs w:val="32"/>
        </w:rPr>
      </w:pPr>
      <w:r>
        <w:rPr>
          <w:rFonts w:hint="eastAsia" w:ascii="楷体_GB2312" w:hAnsi="Arial" w:eastAsia="楷体_GB2312"/>
          <w:b/>
          <w:sz w:val="3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sz w:val="32"/>
          <w:szCs w:val="32"/>
        </w:rPr>
      </w:pPr>
      <w:r>
        <w:rPr>
          <w:rFonts w:hint="eastAsia" w:ascii="仿宋_GB2312" w:eastAsia="仿宋_GB2312"/>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sz w:val="32"/>
          <w:szCs w:val="32"/>
        </w:rPr>
      </w:pPr>
      <w:r>
        <w:rPr>
          <w:rFonts w:hint="eastAsia" w:ascii="仿宋_GB2312" w:eastAsia="仿宋_GB2312"/>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81" w:firstLineChars="213"/>
        <w:jc w:val="left"/>
        <w:rPr>
          <w:rFonts w:ascii="仿宋_GB2312" w:eastAsia="仿宋_GB2312"/>
          <w:sz w:val="32"/>
          <w:szCs w:val="32"/>
        </w:rPr>
      </w:pPr>
      <w:r>
        <w:rPr>
          <w:rFonts w:hint="eastAsia" w:ascii="仿宋_GB2312" w:eastAsia="仿宋_GB2312"/>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4.流动资产的管理</w:t>
      </w:r>
    </w:p>
    <w:p>
      <w:pPr>
        <w:ind w:firstLine="681" w:firstLineChars="213"/>
        <w:jc w:val="left"/>
        <w:rPr>
          <w:rFonts w:ascii="仿宋_GB2312" w:eastAsia="仿宋_GB2312"/>
          <w:sz w:val="32"/>
          <w:szCs w:val="32"/>
        </w:rPr>
      </w:pPr>
      <w:r>
        <w:rPr>
          <w:rFonts w:hint="eastAsia" w:ascii="仿宋_GB2312" w:eastAsia="仿宋_GB2312"/>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ind w:firstLine="681" w:firstLineChars="213"/>
        <w:jc w:val="left"/>
        <w:rPr>
          <w:rFonts w:ascii="仿宋_GB2312" w:eastAsia="仿宋_GB2312"/>
          <w:sz w:val="32"/>
          <w:szCs w:val="32"/>
        </w:rPr>
      </w:pPr>
      <w:r>
        <w:rPr>
          <w:rFonts w:hint="eastAsia" w:ascii="仿宋_GB2312" w:eastAsia="仿宋_GB2312"/>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8"/>
        </w:numPr>
        <w:ind w:firstLine="640"/>
        <w:rPr>
          <w:rFonts w:ascii="黑体" w:hAnsi="黑体"/>
          <w:b w:val="0"/>
          <w:sz w:val="32"/>
          <w:szCs w:val="32"/>
        </w:rPr>
      </w:pPr>
      <w:r>
        <w:rPr>
          <w:rFonts w:hint="eastAsia" w:ascii="黑体" w:hAnsi="黑体"/>
          <w:b w:val="0"/>
          <w:sz w:val="32"/>
          <w:szCs w:val="32"/>
        </w:rPr>
        <w:t>部门单位整体支出绩效情况</w:t>
      </w:r>
    </w:p>
    <w:p>
      <w:pPr>
        <w:ind w:firstLine="681" w:firstLineChars="213"/>
        <w:jc w:val="left"/>
        <w:rPr>
          <w:rFonts w:ascii="仿宋_GB2312" w:eastAsia="仿宋_GB2312"/>
          <w:sz w:val="32"/>
          <w:szCs w:val="32"/>
        </w:rPr>
      </w:pPr>
      <w:r>
        <w:rPr>
          <w:rFonts w:hint="eastAsia" w:ascii="仿宋_GB2312" w:eastAsia="仿宋_GB2312"/>
          <w:sz w:val="32"/>
          <w:szCs w:val="32"/>
        </w:rPr>
        <w:t>2022年度，我单位整体支出绩效目标共设置一级指标3个，二级指标7个，三级指标14个，其中：已完成三级指标14个，指标完成率为100%。</w:t>
      </w:r>
    </w:p>
    <w:p>
      <w:pPr>
        <w:pStyle w:val="2"/>
        <w:ind w:firstLine="640"/>
        <w:rPr>
          <w:sz w:val="32"/>
        </w:rPr>
      </w:pPr>
      <w:r>
        <w:rPr>
          <w:rFonts w:hint="eastAsia"/>
          <w:sz w:val="32"/>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ascii="仿宋_GB2312" w:eastAsia="仿宋_GB2312"/>
          <w:sz w:val="32"/>
          <w:szCs w:val="32"/>
        </w:rPr>
      </w:pPr>
      <w:r>
        <w:rPr>
          <w:rFonts w:hint="eastAsia" w:ascii="仿宋_GB2312" w:eastAsia="仿宋_GB2312"/>
          <w:sz w:val="32"/>
          <w:szCs w:val="32"/>
        </w:rPr>
        <w:t>“保障办公人员数量”指标：预期指标值为“≥39人”，实际完成指标值为“39人”，指标完成率为100%；</w:t>
      </w:r>
    </w:p>
    <w:p>
      <w:pPr>
        <w:ind w:firstLine="640"/>
        <w:rPr>
          <w:rFonts w:ascii="仿宋_GB2312" w:eastAsia="仿宋_GB2312"/>
          <w:sz w:val="32"/>
          <w:szCs w:val="32"/>
        </w:rPr>
      </w:pPr>
      <w:r>
        <w:rPr>
          <w:rFonts w:hint="eastAsia" w:ascii="仿宋_GB2312" w:eastAsia="仿宋_GB2312"/>
          <w:sz w:val="32"/>
          <w:szCs w:val="32"/>
        </w:rPr>
        <w:t>“房屋建筑物供暖面积”指标：预期指标值为“=2915.00平方米”，实际完成指标值为“2915.00平方米”，指标完成率为100%;</w:t>
      </w:r>
    </w:p>
    <w:p>
      <w:pPr>
        <w:ind w:firstLine="640"/>
        <w:rPr>
          <w:rFonts w:ascii="仿宋_GB2312" w:eastAsia="仿宋_GB2312"/>
          <w:sz w:val="32"/>
          <w:szCs w:val="32"/>
        </w:rPr>
      </w:pPr>
      <w:r>
        <w:rPr>
          <w:rFonts w:hint="eastAsia" w:ascii="仿宋_GB2312" w:eastAsia="仿宋_GB2312"/>
          <w:sz w:val="32"/>
          <w:szCs w:val="32"/>
        </w:rPr>
        <w:t>“公务保障用车数量”指标：预期指标值为“=5.00辆”，实际完成指标值为“5.00辆”，指标完成率为100%;</w:t>
      </w:r>
    </w:p>
    <w:p>
      <w:pPr>
        <w:ind w:firstLine="640"/>
      </w:pPr>
      <w:r>
        <w:rPr>
          <w:rFonts w:hint="eastAsia" w:ascii="仿宋_GB2312" w:eastAsia="仿宋_GB2312"/>
          <w:sz w:val="32"/>
          <w:szCs w:val="32"/>
        </w:rPr>
        <w:t>“发放奖扶资金人数”指标：预期指标值为“≥2693人”，实际完成指标值为“2843人”，指标完成率为100%。</w:t>
      </w:r>
    </w:p>
    <w:p>
      <w:pPr>
        <w:numPr>
          <w:ilvl w:val="0"/>
          <w:numId w:val="9"/>
        </w:numPr>
        <w:ind w:firstLine="640"/>
        <w:rPr>
          <w:rFonts w:ascii="仿宋_GB2312" w:eastAsia="仿宋_GB2312"/>
          <w:sz w:val="32"/>
          <w:szCs w:val="32"/>
        </w:rPr>
      </w:pPr>
      <w:r>
        <w:rPr>
          <w:rFonts w:hint="eastAsia" w:ascii="仿宋_GB2312" w:eastAsia="仿宋_GB2312"/>
          <w:sz w:val="32"/>
          <w:szCs w:val="32"/>
        </w:rPr>
        <w:t>质量指标</w:t>
      </w:r>
    </w:p>
    <w:p>
      <w:pPr>
        <w:ind w:firstLine="640"/>
        <w:rPr>
          <w:rFonts w:ascii="仿宋_GB2312" w:eastAsia="仿宋_GB2312"/>
          <w:sz w:val="32"/>
          <w:szCs w:val="32"/>
        </w:rPr>
      </w:pPr>
      <w:r>
        <w:rPr>
          <w:rFonts w:hint="eastAsia" w:ascii="仿宋_GB2312" w:eastAsia="仿宋_GB2312"/>
          <w:sz w:val="32"/>
          <w:szCs w:val="32"/>
        </w:rPr>
        <w:t>“公用经费使用合规率”指标：预期指标值为“100%”，实际完成指标值为“100%”，指标完成率为100%;</w:t>
      </w:r>
    </w:p>
    <w:p>
      <w:pPr>
        <w:ind w:firstLine="640"/>
        <w:rPr>
          <w:rFonts w:ascii="仿宋_GB2312" w:eastAsia="仿宋_GB2312"/>
          <w:sz w:val="32"/>
          <w:szCs w:val="32"/>
        </w:rPr>
      </w:pPr>
      <w:r>
        <w:rPr>
          <w:rFonts w:hint="eastAsia" w:ascii="仿宋_GB2312" w:eastAsia="仿宋_GB2312"/>
          <w:sz w:val="32"/>
          <w:szCs w:val="32"/>
        </w:rPr>
        <w:t>“商品及服务类验收合格率”指标：预期指标值为“≥95%”，实际完成指标值为“95%”，指标完成率为100%;</w:t>
      </w:r>
    </w:p>
    <w:p>
      <w:pPr>
        <w:ind w:firstLine="640"/>
        <w:rPr>
          <w:rFonts w:ascii="仿宋_GB2312" w:eastAsia="仿宋_GB2312"/>
          <w:sz w:val="32"/>
          <w:szCs w:val="32"/>
        </w:rPr>
      </w:pPr>
      <w:r>
        <w:rPr>
          <w:rFonts w:hint="eastAsia" w:ascii="仿宋_GB2312" w:eastAsia="仿宋_GB2312"/>
          <w:sz w:val="32"/>
          <w:szCs w:val="32"/>
        </w:rPr>
        <w:t>“符合计划生育奖励扶助条件申报对象覆盖率”指标：预期指标值为“100%”，实际完成指标值为“100%”，指标完成率为100%。</w:t>
      </w:r>
    </w:p>
    <w:p>
      <w:pPr>
        <w:numPr>
          <w:ilvl w:val="0"/>
          <w:numId w:val="9"/>
        </w:numPr>
        <w:ind w:firstLine="640"/>
        <w:rPr>
          <w:rFonts w:ascii="仿宋_GB2312" w:eastAsia="仿宋_GB2312"/>
          <w:sz w:val="32"/>
          <w:szCs w:val="32"/>
        </w:rPr>
      </w:pPr>
      <w:r>
        <w:rPr>
          <w:rFonts w:hint="eastAsia" w:ascii="仿宋_GB2312" w:eastAsia="仿宋_GB2312"/>
          <w:sz w:val="32"/>
          <w:szCs w:val="32"/>
        </w:rPr>
        <w:t>时效指标</w:t>
      </w:r>
    </w:p>
    <w:p>
      <w:pPr>
        <w:ind w:firstLine="640"/>
        <w:rPr>
          <w:rFonts w:ascii="仿宋_GB2312" w:eastAsia="仿宋_GB2312"/>
          <w:sz w:val="32"/>
          <w:szCs w:val="32"/>
        </w:rPr>
      </w:pPr>
      <w:r>
        <w:rPr>
          <w:rFonts w:hint="eastAsia" w:ascii="仿宋_GB2312" w:eastAsia="仿宋_GB2312"/>
          <w:sz w:val="32"/>
          <w:szCs w:val="32"/>
        </w:rPr>
        <w:t>“公用经费支付及时率”指标：预期指标值为“100%”，实际完成指标值为“100%”，指标完成率为100%。</w:t>
      </w:r>
    </w:p>
    <w:p>
      <w:pPr>
        <w:ind w:firstLine="640"/>
        <w:rPr>
          <w:rFonts w:ascii="仿宋_GB2312" w:eastAsia="仿宋_GB2312"/>
          <w:sz w:val="32"/>
          <w:szCs w:val="32"/>
        </w:rPr>
      </w:pPr>
      <w:r>
        <w:rPr>
          <w:rFonts w:hint="eastAsia" w:ascii="仿宋_GB2312" w:eastAsia="仿宋_GB2312"/>
          <w:sz w:val="32"/>
          <w:szCs w:val="32"/>
        </w:rPr>
        <w:t>（4）成本指标</w:t>
      </w:r>
    </w:p>
    <w:p>
      <w:pPr>
        <w:ind w:firstLine="640"/>
        <w:rPr>
          <w:rFonts w:ascii="仿宋_GB2312" w:eastAsia="仿宋_GB2312"/>
          <w:sz w:val="32"/>
          <w:szCs w:val="32"/>
        </w:rPr>
      </w:pPr>
      <w:r>
        <w:rPr>
          <w:rFonts w:hint="eastAsia" w:ascii="仿宋_GB2312" w:eastAsia="仿宋_GB2312"/>
          <w:sz w:val="32"/>
          <w:szCs w:val="32"/>
        </w:rPr>
        <w:t>“人员经费支出”指标：预期指标值为“505.61万元”，实际完成指标值为“624.17万元”，指标完成率为100%；</w:t>
      </w:r>
    </w:p>
    <w:p>
      <w:pPr>
        <w:ind w:firstLine="640"/>
      </w:pPr>
      <w:r>
        <w:rPr>
          <w:rFonts w:hint="eastAsia" w:ascii="仿宋_GB2312" w:eastAsia="仿宋_GB2312"/>
          <w:sz w:val="32"/>
          <w:szCs w:val="32"/>
        </w:rPr>
        <w:t>“办公经费支出”指标：预期指标值为“50.79万元”，实际完成指标值为“57.65万元”，指标完成率为100%；</w:t>
      </w:r>
    </w:p>
    <w:p>
      <w:pPr>
        <w:ind w:firstLine="640"/>
      </w:pPr>
      <w:r>
        <w:rPr>
          <w:rFonts w:hint="eastAsia" w:ascii="仿宋_GB2312" w:eastAsia="仿宋_GB2312"/>
          <w:sz w:val="32"/>
          <w:szCs w:val="32"/>
        </w:rPr>
        <w:t>“项目预算资金”指标：预期指标值为“232.45万元”，实际完成指标值为“6109.24万元”，指标完成率为100%；</w:t>
      </w:r>
    </w:p>
    <w:p>
      <w:pPr>
        <w:pStyle w:val="2"/>
        <w:ind w:firstLine="640"/>
        <w:rPr>
          <w:sz w:val="32"/>
        </w:rPr>
      </w:pPr>
      <w:r>
        <w:rPr>
          <w:rFonts w:hint="eastAsia"/>
          <w:sz w:val="32"/>
        </w:rPr>
        <w:t>2.效益指标完成情况分析</w:t>
      </w:r>
    </w:p>
    <w:p>
      <w:pPr>
        <w:ind w:firstLine="640"/>
        <w:rPr>
          <w:rFonts w:ascii="仿宋_GB2312" w:eastAsia="仿宋_GB2312"/>
          <w:sz w:val="32"/>
          <w:szCs w:val="32"/>
        </w:rPr>
      </w:pPr>
      <w:r>
        <w:rPr>
          <w:rFonts w:hint="eastAsia" w:ascii="仿宋_GB2312" w:eastAsia="仿宋_GB2312"/>
          <w:sz w:val="32"/>
          <w:szCs w:val="32"/>
        </w:rPr>
        <w:t>（1）经济效益</w:t>
      </w:r>
    </w:p>
    <w:p>
      <w:pPr>
        <w:ind w:firstLine="640"/>
        <w:rPr>
          <w:rFonts w:ascii="仿宋_GB2312" w:eastAsia="仿宋_GB2312"/>
          <w:color w:val="FF0000"/>
          <w:sz w:val="32"/>
          <w:szCs w:val="32"/>
        </w:rPr>
      </w:pPr>
      <w:r>
        <w:rPr>
          <w:rFonts w:hint="eastAsia" w:ascii="仿宋_GB2312" w:eastAsia="仿宋_GB2312"/>
          <w:sz w:val="32"/>
          <w:szCs w:val="32"/>
        </w:rPr>
        <w:t>无此项指标。</w:t>
      </w:r>
    </w:p>
    <w:p>
      <w:pPr>
        <w:ind w:firstLine="640"/>
        <w:rPr>
          <w:rFonts w:ascii="仿宋_GB2312" w:eastAsia="仿宋_GB2312"/>
          <w:sz w:val="32"/>
          <w:szCs w:val="32"/>
        </w:rPr>
      </w:pPr>
      <w:r>
        <w:rPr>
          <w:rFonts w:hint="eastAsia" w:ascii="仿宋_GB2312" w:eastAsia="仿宋_GB2312"/>
          <w:sz w:val="32"/>
          <w:szCs w:val="32"/>
        </w:rPr>
        <w:t>（2）社会效益</w:t>
      </w:r>
    </w:p>
    <w:p>
      <w:pPr>
        <w:ind w:firstLine="640"/>
        <w:rPr>
          <w:rFonts w:ascii="仿宋_GB2312" w:eastAsia="仿宋_GB2312"/>
          <w:sz w:val="32"/>
          <w:szCs w:val="32"/>
        </w:rPr>
      </w:pPr>
      <w:r>
        <w:rPr>
          <w:rFonts w:hint="eastAsia" w:ascii="仿宋_GB2312" w:eastAsia="仿宋_GB2312"/>
          <w:sz w:val="32"/>
          <w:szCs w:val="32"/>
        </w:rPr>
        <w:t>“完成卫生健康相关工作”指标：预期指标值为“有效完成”，实际完成指标值为“有效完成”，指标完成率为100%;</w:t>
      </w:r>
    </w:p>
    <w:p>
      <w:pPr>
        <w:ind w:firstLine="640"/>
        <w:rPr>
          <w:rFonts w:ascii="仿宋_GB2312" w:eastAsia="仿宋_GB2312"/>
          <w:sz w:val="32"/>
          <w:szCs w:val="32"/>
        </w:rPr>
      </w:pPr>
      <w:r>
        <w:rPr>
          <w:rFonts w:hint="eastAsia" w:ascii="仿宋_GB2312" w:eastAsia="仿宋_GB2312"/>
          <w:sz w:val="32"/>
          <w:szCs w:val="32"/>
        </w:rPr>
        <w:t>（3）生态效益</w:t>
      </w:r>
    </w:p>
    <w:p>
      <w:pPr>
        <w:ind w:firstLine="640"/>
        <w:rPr>
          <w:rFonts w:ascii="仿宋_GB2312" w:eastAsia="仿宋_GB2312"/>
          <w:color w:val="FF0000"/>
          <w:sz w:val="32"/>
          <w:szCs w:val="32"/>
        </w:rPr>
      </w:pPr>
      <w:r>
        <w:rPr>
          <w:rFonts w:hint="eastAsia" w:ascii="仿宋_GB2312" w:eastAsia="仿宋_GB2312"/>
          <w:sz w:val="32"/>
          <w:szCs w:val="32"/>
        </w:rPr>
        <w:t>无此项指标。</w:t>
      </w:r>
    </w:p>
    <w:p>
      <w:pPr>
        <w:ind w:firstLine="640"/>
        <w:rPr>
          <w:rFonts w:ascii="仿宋_GB2312" w:eastAsia="仿宋_GB2312"/>
          <w:sz w:val="32"/>
          <w:szCs w:val="32"/>
        </w:rPr>
      </w:pPr>
      <w:r>
        <w:rPr>
          <w:rFonts w:hint="eastAsia" w:ascii="仿宋_GB2312" w:eastAsia="仿宋_GB2312"/>
          <w:sz w:val="32"/>
          <w:szCs w:val="32"/>
        </w:rPr>
        <w:t>（4）可持续影响</w:t>
      </w:r>
    </w:p>
    <w:p>
      <w:pPr>
        <w:ind w:firstLine="640"/>
        <w:rPr>
          <w:rFonts w:ascii="仿宋_GB2312" w:eastAsia="仿宋_GB2312"/>
          <w:sz w:val="32"/>
          <w:szCs w:val="32"/>
        </w:rPr>
      </w:pPr>
      <w:r>
        <w:rPr>
          <w:rFonts w:hint="eastAsia" w:ascii="仿宋_GB2312" w:eastAsia="仿宋_GB2312"/>
          <w:sz w:val="32"/>
          <w:szCs w:val="32"/>
        </w:rPr>
        <w:t>“提高全民健康意识”指标：预期指标值为“明显提高”，实际完成指标值为“明显提高”，指标完成率为100 %;</w:t>
      </w:r>
    </w:p>
    <w:p>
      <w:pPr>
        <w:pStyle w:val="2"/>
        <w:ind w:firstLine="640"/>
        <w:rPr>
          <w:sz w:val="32"/>
        </w:rPr>
      </w:pPr>
      <w:r>
        <w:rPr>
          <w:rFonts w:hint="eastAsia"/>
          <w:sz w:val="32"/>
        </w:rPr>
        <w:t>3.满意度指标完成情况分析</w:t>
      </w:r>
    </w:p>
    <w:p>
      <w:pPr>
        <w:ind w:firstLine="640"/>
        <w:rPr>
          <w:rFonts w:ascii="仿宋_GB2312" w:eastAsia="仿宋_GB2312"/>
          <w:sz w:val="32"/>
          <w:szCs w:val="32"/>
        </w:rPr>
      </w:pPr>
      <w:r>
        <w:rPr>
          <w:rFonts w:hint="eastAsia" w:ascii="仿宋_GB2312" w:eastAsia="仿宋_GB2312"/>
          <w:sz w:val="32"/>
          <w:szCs w:val="32"/>
        </w:rPr>
        <w:t>“单位职工满意率”指标：预期指标值为“≥95%”，实际完成指标值为“100%”，指标完成率为100%;</w:t>
      </w:r>
    </w:p>
    <w:p>
      <w:pPr>
        <w:pStyle w:val="3"/>
        <w:ind w:firstLine="640"/>
        <w:rPr>
          <w:rFonts w:ascii="黑体" w:hAnsi="黑体"/>
          <w:b w:val="0"/>
          <w:sz w:val="32"/>
          <w:szCs w:val="32"/>
        </w:rPr>
      </w:pPr>
      <w:r>
        <w:rPr>
          <w:rFonts w:hint="eastAsia" w:ascii="黑体" w:hAnsi="黑体"/>
          <w:b w:val="0"/>
          <w:sz w:val="32"/>
          <w:szCs w:val="32"/>
        </w:rPr>
        <w:t>六、存在的主要问题</w:t>
      </w:r>
    </w:p>
    <w:p>
      <w:pPr>
        <w:adjustRightInd w:val="0"/>
        <w:snapToGrid w:val="0"/>
        <w:ind w:firstLine="640"/>
        <w:rPr>
          <w:rFonts w:ascii="仿宋_GB2312" w:eastAsia="仿宋_GB2312"/>
          <w:sz w:val="32"/>
          <w:szCs w:val="32"/>
        </w:rPr>
      </w:pPr>
      <w:r>
        <w:rPr>
          <w:rFonts w:hint="eastAsia" w:ascii="仿宋_GB2312" w:eastAsia="仿宋_GB2312"/>
          <w:sz w:val="32"/>
          <w:szCs w:val="32"/>
        </w:rPr>
        <w:t>2022年本单位整体支出绩效目标全部达成，不存在未完成原因分析。</w:t>
      </w:r>
    </w:p>
    <w:p>
      <w:pPr>
        <w:pStyle w:val="3"/>
        <w:ind w:firstLine="640"/>
        <w:rPr>
          <w:rFonts w:ascii="黑体" w:hAnsi="黑体"/>
          <w:b w:val="0"/>
          <w:sz w:val="32"/>
          <w:szCs w:val="32"/>
        </w:rPr>
      </w:pPr>
      <w:r>
        <w:rPr>
          <w:rFonts w:hint="eastAsia" w:ascii="黑体" w:hAnsi="黑体"/>
          <w:b w:val="0"/>
          <w:sz w:val="32"/>
          <w:szCs w:val="32"/>
        </w:rPr>
        <w:t>七、改进措施和建议</w:t>
      </w:r>
    </w:p>
    <w:p>
      <w:pPr>
        <w:snapToGrid w:val="0"/>
        <w:spacing w:line="560" w:lineRule="exact"/>
        <w:ind w:firstLine="624" w:firstLineChars="200"/>
        <w:rPr>
          <w:rFonts w:ascii="仿宋_GB2312" w:hAnsi="楷体" w:eastAsia="仿宋_GB2312"/>
          <w:bCs/>
          <w:spacing w:val="-4"/>
          <w:sz w:val="32"/>
          <w:szCs w:val="32"/>
        </w:rPr>
      </w:pPr>
      <w:r>
        <w:rPr>
          <w:rFonts w:ascii="仿宋_GB2312" w:hAnsi="楷体" w:eastAsia="仿宋_GB2312"/>
          <w:bCs/>
          <w:spacing w:val="-4"/>
          <w:sz w:val="32"/>
          <w:szCs w:val="32"/>
        </w:rPr>
        <w:t>不断加强</w:t>
      </w:r>
      <w:r>
        <w:rPr>
          <w:rFonts w:hint="eastAsia" w:ascii="仿宋_GB2312" w:hAnsi="楷体" w:eastAsia="仿宋_GB2312"/>
          <w:bCs/>
          <w:spacing w:val="-4"/>
          <w:sz w:val="32"/>
          <w:szCs w:val="32"/>
        </w:rPr>
        <w:t>学习</w:t>
      </w:r>
      <w:r>
        <w:rPr>
          <w:rFonts w:ascii="仿宋_GB2312" w:hAnsi="楷体" w:eastAsia="仿宋_GB2312"/>
          <w:bCs/>
          <w:spacing w:val="-4"/>
          <w:sz w:val="32"/>
          <w:szCs w:val="32"/>
        </w:rPr>
        <w:t>，努力提高</w:t>
      </w:r>
      <w:r>
        <w:rPr>
          <w:rFonts w:hint="eastAsia" w:ascii="仿宋_GB2312" w:hAnsi="楷体" w:eastAsia="仿宋_GB2312"/>
          <w:bCs/>
          <w:spacing w:val="-4"/>
          <w:sz w:val="32"/>
          <w:szCs w:val="32"/>
        </w:rPr>
        <w:t>对绩效评价</w:t>
      </w:r>
      <w:r>
        <w:rPr>
          <w:rFonts w:ascii="仿宋_GB2312" w:hAnsi="楷体" w:eastAsia="仿宋_GB2312"/>
          <w:bCs/>
          <w:spacing w:val="-4"/>
          <w:sz w:val="32"/>
          <w:szCs w:val="32"/>
        </w:rPr>
        <w:t>工作的认识</w:t>
      </w:r>
      <w:r>
        <w:rPr>
          <w:rFonts w:hint="eastAsia" w:ascii="仿宋_GB2312" w:hAnsi="楷体" w:eastAsia="仿宋_GB2312"/>
          <w:bCs/>
          <w:spacing w:val="-4"/>
          <w:sz w:val="32"/>
          <w:szCs w:val="32"/>
        </w:rPr>
        <w:t>，</w:t>
      </w:r>
      <w:r>
        <w:rPr>
          <w:rFonts w:ascii="仿宋_GB2312" w:hAnsi="楷体" w:eastAsia="仿宋_GB2312"/>
          <w:bCs/>
          <w:spacing w:val="-4"/>
          <w:sz w:val="32"/>
          <w:szCs w:val="32"/>
        </w:rPr>
        <w:t>进一步完善相关制度，加大监督管理力度。</w:t>
      </w:r>
    </w:p>
    <w:p>
      <w:pPr>
        <w:numPr>
          <w:ilvl w:val="0"/>
          <w:numId w:val="10"/>
        </w:numPr>
        <w:ind w:left="920"/>
        <w:rPr>
          <w:rFonts w:ascii="黑体" w:hAnsi="黑体"/>
          <w:sz w:val="32"/>
          <w:szCs w:val="32"/>
        </w:rPr>
      </w:pPr>
      <w:r>
        <w:rPr>
          <w:rFonts w:hint="eastAsia" w:ascii="黑体" w:hAnsi="黑体"/>
          <w:sz w:val="32"/>
          <w:szCs w:val="32"/>
        </w:rPr>
        <w:t>附表</w:t>
      </w:r>
    </w:p>
    <w:p>
      <w:pPr>
        <w:ind w:firstLine="640"/>
      </w:pPr>
      <w:r>
        <w:rPr>
          <w:rFonts w:hint="eastAsia" w:ascii="仿宋_GB2312" w:eastAsia="仿宋_GB2312"/>
          <w:sz w:val="32"/>
          <w:szCs w:val="32"/>
        </w:rPr>
        <w:t>《部门整体支出绩效目标自评表》</w:t>
      </w:r>
    </w:p>
    <w:tbl>
      <w:tblPr>
        <w:tblStyle w:val="8"/>
        <w:tblW w:w="9026" w:type="dxa"/>
        <w:tblInd w:w="0" w:type="dxa"/>
        <w:tblLayout w:type="fixed"/>
        <w:tblCellMar>
          <w:top w:w="0" w:type="dxa"/>
          <w:left w:w="108" w:type="dxa"/>
          <w:bottom w:w="0" w:type="dxa"/>
          <w:right w:w="108" w:type="dxa"/>
        </w:tblCellMar>
      </w:tblPr>
      <w:tblGrid>
        <w:gridCol w:w="557"/>
        <w:gridCol w:w="810"/>
        <w:gridCol w:w="960"/>
        <w:gridCol w:w="1288"/>
        <w:gridCol w:w="876"/>
        <w:gridCol w:w="922"/>
        <w:gridCol w:w="890"/>
        <w:gridCol w:w="1096"/>
        <w:gridCol w:w="986"/>
        <w:gridCol w:w="641"/>
      </w:tblGrid>
      <w:tr>
        <w:tblPrEx>
          <w:tblLayout w:type="fixed"/>
          <w:tblCellMar>
            <w:top w:w="0" w:type="dxa"/>
            <w:left w:w="108" w:type="dxa"/>
            <w:bottom w:w="0" w:type="dxa"/>
            <w:right w:w="108" w:type="dxa"/>
          </w:tblCellMar>
        </w:tblPrEx>
        <w:trPr>
          <w:trHeight w:val="799" w:hRule="atLeast"/>
        </w:trPr>
        <w:tc>
          <w:tcPr>
            <w:tcW w:w="9026" w:type="dxa"/>
            <w:gridSpan w:val="10"/>
            <w:tcBorders>
              <w:top w:val="nil"/>
              <w:left w:val="nil"/>
              <w:bottom w:val="nil"/>
              <w:right w:val="nil"/>
            </w:tcBorders>
            <w:shd w:val="clear" w:color="auto" w:fill="auto"/>
            <w:vAlign w:val="center"/>
          </w:tcPr>
          <w:p>
            <w:pPr>
              <w:widowControl/>
              <w:jc w:val="center"/>
              <w:rPr>
                <w:rFonts w:ascii="方正小标宋简体" w:hAnsi="方正小标宋简体" w:eastAsia="方正小标宋简体" w:cs="宋体"/>
                <w:kern w:val="0"/>
                <w:sz w:val="40"/>
                <w:szCs w:val="40"/>
              </w:rPr>
            </w:pPr>
            <w:r>
              <w:rPr>
                <w:rFonts w:hint="eastAsia" w:ascii="方正小标宋简体" w:hAnsi="方正小标宋简体" w:eastAsia="方正小标宋简体" w:cs="宋体"/>
                <w:kern w:val="0"/>
                <w:sz w:val="40"/>
                <w:szCs w:val="40"/>
              </w:rPr>
              <w:t>部门整体支出绩效目标自评表</w:t>
            </w:r>
          </w:p>
        </w:tc>
      </w:tr>
      <w:tr>
        <w:tblPrEx>
          <w:tblLayout w:type="fixed"/>
          <w:tblCellMar>
            <w:top w:w="0" w:type="dxa"/>
            <w:left w:w="108" w:type="dxa"/>
            <w:bottom w:w="0" w:type="dxa"/>
            <w:right w:w="108" w:type="dxa"/>
          </w:tblCellMar>
        </w:tblPrEx>
        <w:trPr>
          <w:trHeight w:val="679" w:hRule="atLeast"/>
        </w:trPr>
        <w:tc>
          <w:tcPr>
            <w:tcW w:w="9026" w:type="dxa"/>
            <w:gridSpan w:val="10"/>
            <w:tcBorders>
              <w:top w:val="nil"/>
              <w:left w:val="nil"/>
              <w:bottom w:val="single" w:color="auto" w:sz="4" w:space="0"/>
              <w:right w:val="nil"/>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（2022年度）</w:t>
            </w:r>
          </w:p>
        </w:tc>
      </w:tr>
      <w:tr>
        <w:tblPrEx>
          <w:tblLayout w:type="fixed"/>
          <w:tblCellMar>
            <w:top w:w="0" w:type="dxa"/>
            <w:left w:w="108" w:type="dxa"/>
            <w:bottom w:w="0" w:type="dxa"/>
            <w:right w:w="108" w:type="dxa"/>
          </w:tblCellMar>
        </w:tblPrEx>
        <w:trPr>
          <w:trHeight w:val="540" w:hRule="atLeast"/>
        </w:trPr>
        <w:tc>
          <w:tcPr>
            <w:tcW w:w="2327"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部门（单位）名称</w:t>
            </w:r>
          </w:p>
        </w:tc>
        <w:tc>
          <w:tcPr>
            <w:tcW w:w="6699" w:type="dxa"/>
            <w:gridSpan w:val="7"/>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昌吉市卫生健康委员会</w:t>
            </w:r>
          </w:p>
        </w:tc>
      </w:tr>
      <w:tr>
        <w:tblPrEx>
          <w:tblLayout w:type="fixed"/>
          <w:tblCellMar>
            <w:top w:w="0" w:type="dxa"/>
            <w:left w:w="108" w:type="dxa"/>
            <w:bottom w:w="0" w:type="dxa"/>
            <w:right w:w="108" w:type="dxa"/>
          </w:tblCellMar>
        </w:tblPrEx>
        <w:trPr>
          <w:trHeight w:val="559" w:hRule="atLeast"/>
        </w:trPr>
        <w:tc>
          <w:tcPr>
            <w:tcW w:w="55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年度主要任务</w:t>
            </w:r>
          </w:p>
        </w:tc>
        <w:tc>
          <w:tcPr>
            <w:tcW w:w="1770"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任务名称</w:t>
            </w:r>
          </w:p>
        </w:tc>
        <w:tc>
          <w:tcPr>
            <w:tcW w:w="128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主要内容</w:t>
            </w:r>
          </w:p>
        </w:tc>
        <w:tc>
          <w:tcPr>
            <w:tcW w:w="2688" w:type="dxa"/>
            <w:gridSpan w:val="3"/>
            <w:tcBorders>
              <w:top w:val="single" w:color="auto" w:sz="4" w:space="0"/>
              <w:left w:val="nil"/>
              <w:bottom w:val="nil"/>
              <w:right w:val="nil"/>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预算金额（万元）</w:t>
            </w:r>
          </w:p>
        </w:tc>
        <w:tc>
          <w:tcPr>
            <w:tcW w:w="2723"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实际执行（万元）</w:t>
            </w:r>
          </w:p>
        </w:tc>
      </w:tr>
      <w:tr>
        <w:tblPrEx>
          <w:tblLayout w:type="fixed"/>
          <w:tblCellMar>
            <w:top w:w="0" w:type="dxa"/>
            <w:left w:w="108" w:type="dxa"/>
            <w:bottom w:w="0" w:type="dxa"/>
            <w:right w:w="108" w:type="dxa"/>
          </w:tblCellMar>
        </w:tblPrEx>
        <w:trPr>
          <w:trHeight w:val="840"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1770"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kern w:val="0"/>
                <w:sz w:val="22"/>
                <w:szCs w:val="22"/>
              </w:rPr>
            </w:pPr>
          </w:p>
        </w:tc>
        <w:tc>
          <w:tcPr>
            <w:tcW w:w="128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8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总额</w:t>
            </w:r>
          </w:p>
        </w:tc>
        <w:tc>
          <w:tcPr>
            <w:tcW w:w="92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财政拨款</w:t>
            </w:r>
          </w:p>
        </w:tc>
        <w:tc>
          <w:tcPr>
            <w:tcW w:w="8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其他资金</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总额</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财政拨款</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其他资金</w:t>
            </w:r>
          </w:p>
        </w:tc>
      </w:tr>
      <w:tr>
        <w:tblPrEx>
          <w:tblLayout w:type="fixed"/>
          <w:tblCellMar>
            <w:top w:w="0" w:type="dxa"/>
            <w:left w:w="108" w:type="dxa"/>
            <w:bottom w:w="0" w:type="dxa"/>
            <w:right w:w="108" w:type="dxa"/>
          </w:tblCellMar>
        </w:tblPrEx>
        <w:trPr>
          <w:trHeight w:val="840"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177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人员经费</w:t>
            </w:r>
          </w:p>
        </w:tc>
        <w:tc>
          <w:tcPr>
            <w:tcW w:w="128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保障各项工作顺利进行，精细化管理</w:t>
            </w:r>
          </w:p>
        </w:tc>
        <w:tc>
          <w:tcPr>
            <w:tcW w:w="8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505.61</w:t>
            </w:r>
          </w:p>
        </w:tc>
        <w:tc>
          <w:tcPr>
            <w:tcW w:w="9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505.61</w:t>
            </w:r>
          </w:p>
        </w:tc>
        <w:tc>
          <w:tcPr>
            <w:tcW w:w="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624.17</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624.17</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0</w:t>
            </w:r>
          </w:p>
        </w:tc>
      </w:tr>
      <w:tr>
        <w:tblPrEx>
          <w:tblLayout w:type="fixed"/>
          <w:tblCellMar>
            <w:top w:w="0" w:type="dxa"/>
            <w:left w:w="108" w:type="dxa"/>
            <w:bottom w:w="0" w:type="dxa"/>
            <w:right w:w="108" w:type="dxa"/>
          </w:tblCellMar>
        </w:tblPrEx>
        <w:trPr>
          <w:trHeight w:val="840"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177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公用经费</w:t>
            </w:r>
          </w:p>
        </w:tc>
        <w:tc>
          <w:tcPr>
            <w:tcW w:w="128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商品服务类支出</w:t>
            </w:r>
          </w:p>
        </w:tc>
        <w:tc>
          <w:tcPr>
            <w:tcW w:w="8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50.79</w:t>
            </w:r>
          </w:p>
        </w:tc>
        <w:tc>
          <w:tcPr>
            <w:tcW w:w="9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50.79</w:t>
            </w:r>
          </w:p>
        </w:tc>
        <w:tc>
          <w:tcPr>
            <w:tcW w:w="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57.65</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57.65</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0</w:t>
            </w:r>
          </w:p>
        </w:tc>
      </w:tr>
      <w:tr>
        <w:tblPrEx>
          <w:tblLayout w:type="fixed"/>
          <w:tblCellMar>
            <w:top w:w="0" w:type="dxa"/>
            <w:left w:w="108" w:type="dxa"/>
            <w:bottom w:w="0" w:type="dxa"/>
            <w:right w:w="108" w:type="dxa"/>
          </w:tblCellMar>
        </w:tblPrEx>
        <w:trPr>
          <w:trHeight w:val="840"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177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计划生育奖励扶助项目市本级配套资金</w:t>
            </w:r>
          </w:p>
        </w:tc>
        <w:tc>
          <w:tcPr>
            <w:tcW w:w="128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计划生育奖励扶助资金发放</w:t>
            </w:r>
          </w:p>
        </w:tc>
        <w:tc>
          <w:tcPr>
            <w:tcW w:w="8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232.45</w:t>
            </w:r>
          </w:p>
        </w:tc>
        <w:tc>
          <w:tcPr>
            <w:tcW w:w="9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232.45</w:t>
            </w:r>
          </w:p>
        </w:tc>
        <w:tc>
          <w:tcPr>
            <w:tcW w:w="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6109.24</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6109.24</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0</w:t>
            </w:r>
          </w:p>
        </w:tc>
      </w:tr>
      <w:tr>
        <w:tblPrEx>
          <w:tblLayout w:type="fixed"/>
          <w:tblCellMar>
            <w:top w:w="0" w:type="dxa"/>
            <w:left w:w="108" w:type="dxa"/>
            <w:bottom w:w="0" w:type="dxa"/>
            <w:right w:w="108" w:type="dxa"/>
          </w:tblCellMar>
        </w:tblPrEx>
        <w:trPr>
          <w:trHeight w:val="540"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3058"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合　计</w:t>
            </w:r>
          </w:p>
        </w:tc>
        <w:tc>
          <w:tcPr>
            <w:tcW w:w="87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788.85</w:t>
            </w:r>
          </w:p>
        </w:tc>
        <w:tc>
          <w:tcPr>
            <w:tcW w:w="92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788.85</w:t>
            </w:r>
          </w:p>
        </w:tc>
        <w:tc>
          <w:tcPr>
            <w:tcW w:w="89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6791.06</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6791.06</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0</w:t>
            </w:r>
          </w:p>
        </w:tc>
      </w:tr>
      <w:tr>
        <w:tblPrEx>
          <w:tblLayout w:type="fixed"/>
          <w:tblCellMar>
            <w:top w:w="0" w:type="dxa"/>
            <w:left w:w="108" w:type="dxa"/>
            <w:bottom w:w="0" w:type="dxa"/>
            <w:right w:w="108" w:type="dxa"/>
          </w:tblCellMar>
        </w:tblPrEx>
        <w:trPr>
          <w:trHeight w:val="465" w:hRule="atLeast"/>
        </w:trPr>
        <w:tc>
          <w:tcPr>
            <w:tcW w:w="55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年度总体目标</w:t>
            </w:r>
          </w:p>
        </w:tc>
        <w:tc>
          <w:tcPr>
            <w:tcW w:w="393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预期目标</w:t>
            </w:r>
          </w:p>
        </w:tc>
        <w:tc>
          <w:tcPr>
            <w:tcW w:w="4535"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实际完成目标</w:t>
            </w:r>
          </w:p>
        </w:tc>
      </w:tr>
      <w:tr>
        <w:tblPrEx>
          <w:tblLayout w:type="fixed"/>
          <w:tblCellMar>
            <w:top w:w="0" w:type="dxa"/>
            <w:left w:w="108" w:type="dxa"/>
            <w:bottom w:w="0" w:type="dxa"/>
            <w:right w:w="108" w:type="dxa"/>
          </w:tblCellMar>
        </w:tblPrEx>
        <w:trPr>
          <w:trHeight w:val="4362" w:hRule="atLeast"/>
        </w:trPr>
        <w:tc>
          <w:tcPr>
            <w:tcW w:w="55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3934"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2022年度计划投入788.85万元，经费主要支出方向为人员经费505.61万元，商品服务类支出50.79万元，计划生育奖励扶助项目市本级配套资金232.45万元，保障办公人员39人，房屋建筑物供暖面积2915平方米，发放奖励扶助资金人数2693人，公用经费使用合规率100%，商品及服务类验收合格率100%，符合计划生育奖励扶助条件申报对象覆盖率100%，以此确保机构正常运转，完成正常的工作开展活动。负责起草卫生和计划生育事业发展的地方性法规和市人民政府规章草案，拟订政策规划，制定卫生和计划生育地方标准和技术规范。负责制定全市疾病预防控制规划、免疫规划、严重危害人民健康的公共卫生问题的干预措施并组织落实，负责组织拟订并实施基层卫生和基层计生发展规划和政策措施，指导全市基层卫生和基层计生服务体系建设，推进基本公共卫生和计划生育服务均等化，完善基层运行新机制和乡村医生管理制度。负责制定全市医疗机构和医疗服务全行业管理办法并监督实施。负责组织实施计划生育目标管理责任制考核工作，组织实施卫生和计划生育国家、自治区、州项目实施情况的绩效考核。贯彻落实国家基本药物优先和合理使用制度。负责组织推进公立医院改革，建立公益性为导向的绩效考核和评价运行机制，建设和谐医患关系，落实医疗服务和药品价格政策。统筹协调全市爱国卫生工作，制定市爱国卫生工作方针政策并组织实施。负责全市中医药民族医药工作，制定全市中医民族医药中长期发展规划。</w:t>
            </w:r>
          </w:p>
        </w:tc>
        <w:tc>
          <w:tcPr>
            <w:tcW w:w="4535"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cs="宋体"/>
                <w:kern w:val="0"/>
                <w:sz w:val="22"/>
                <w:szCs w:val="22"/>
              </w:rPr>
            </w:pPr>
            <w:r>
              <w:rPr>
                <w:rFonts w:hint="eastAsia" w:ascii="宋体" w:hAnsi="宋体" w:cs="宋体"/>
                <w:kern w:val="0"/>
                <w:sz w:val="22"/>
                <w:szCs w:val="22"/>
              </w:rPr>
              <w:t>依照年初预期目标，于2022年12月31日前已完成，保障办公人员数量39人，房屋建筑物供暖面积2915平方米，公务保障用车数量5辆，发放奖扶资金人数2843人，公用经费使用合规率100%，商品及服务类验收合格率100%，符合计划生育奖励扶助条件申报对象覆盖率100%，公用经费支付及时率100%。有效完成卫生健康相关工作，明显提高提高全民健康意识。</w:t>
            </w:r>
          </w:p>
        </w:tc>
      </w:tr>
      <w:tr>
        <w:tblPrEx>
          <w:tblLayout w:type="fixed"/>
          <w:tblCellMar>
            <w:top w:w="0" w:type="dxa"/>
            <w:left w:w="108" w:type="dxa"/>
            <w:bottom w:w="0" w:type="dxa"/>
            <w:right w:w="108" w:type="dxa"/>
          </w:tblCellMar>
        </w:tblPrEx>
        <w:trPr>
          <w:trHeight w:val="780" w:hRule="atLeast"/>
        </w:trPr>
        <w:tc>
          <w:tcPr>
            <w:tcW w:w="55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年度绩效指标完成情况</w:t>
            </w: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一级指标</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二级指标</w:t>
            </w:r>
          </w:p>
        </w:tc>
        <w:tc>
          <w:tcPr>
            <w:tcW w:w="21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三级指标</w:t>
            </w:r>
          </w:p>
        </w:tc>
        <w:tc>
          <w:tcPr>
            <w:tcW w:w="181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绩效目标值</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实际完成值</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指标分值</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得分</w:t>
            </w:r>
          </w:p>
        </w:tc>
      </w:tr>
      <w:tr>
        <w:tblPrEx>
          <w:tblLayout w:type="fixed"/>
          <w:tblCellMar>
            <w:top w:w="0" w:type="dxa"/>
            <w:left w:w="108" w:type="dxa"/>
            <w:bottom w:w="0" w:type="dxa"/>
            <w:right w:w="108" w:type="dxa"/>
          </w:tblCellMar>
        </w:tblPrEx>
        <w:trPr>
          <w:trHeight w:val="582"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81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项目完成</w:t>
            </w:r>
          </w:p>
        </w:tc>
        <w:tc>
          <w:tcPr>
            <w:tcW w:w="9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数量指标</w:t>
            </w:r>
          </w:p>
        </w:tc>
        <w:tc>
          <w:tcPr>
            <w:tcW w:w="21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保障办公人员数量</w:t>
            </w:r>
          </w:p>
        </w:tc>
        <w:tc>
          <w:tcPr>
            <w:tcW w:w="181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&gt;=39.00人</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39人</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r>
      <w:tr>
        <w:tblPrEx>
          <w:tblLayout w:type="fixed"/>
          <w:tblCellMar>
            <w:top w:w="0" w:type="dxa"/>
            <w:left w:w="108" w:type="dxa"/>
            <w:bottom w:w="0" w:type="dxa"/>
            <w:right w:w="108" w:type="dxa"/>
          </w:tblCellMar>
        </w:tblPrEx>
        <w:trPr>
          <w:trHeight w:val="582"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8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9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21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房屋建筑物供暖面积</w:t>
            </w:r>
          </w:p>
        </w:tc>
        <w:tc>
          <w:tcPr>
            <w:tcW w:w="181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=2915.00平方米</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2915平方米</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r>
      <w:tr>
        <w:tblPrEx>
          <w:tblLayout w:type="fixed"/>
          <w:tblCellMar>
            <w:top w:w="0" w:type="dxa"/>
            <w:left w:w="108" w:type="dxa"/>
            <w:bottom w:w="0" w:type="dxa"/>
            <w:right w:w="108" w:type="dxa"/>
          </w:tblCellMar>
        </w:tblPrEx>
        <w:trPr>
          <w:trHeight w:val="582"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8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9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21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公务保障用车数量</w:t>
            </w:r>
          </w:p>
        </w:tc>
        <w:tc>
          <w:tcPr>
            <w:tcW w:w="181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=5.00辆</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5辆</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r>
      <w:tr>
        <w:tblPrEx>
          <w:tblLayout w:type="fixed"/>
          <w:tblCellMar>
            <w:top w:w="0" w:type="dxa"/>
            <w:left w:w="108" w:type="dxa"/>
            <w:bottom w:w="0" w:type="dxa"/>
            <w:right w:w="108" w:type="dxa"/>
          </w:tblCellMar>
        </w:tblPrEx>
        <w:trPr>
          <w:trHeight w:val="582"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8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9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21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发放奖扶资金人数</w:t>
            </w:r>
          </w:p>
        </w:tc>
        <w:tc>
          <w:tcPr>
            <w:tcW w:w="181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&gt;=2693.00人</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2843人</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r>
      <w:tr>
        <w:tblPrEx>
          <w:tblLayout w:type="fixed"/>
          <w:tblCellMar>
            <w:top w:w="0" w:type="dxa"/>
            <w:left w:w="108" w:type="dxa"/>
            <w:bottom w:w="0" w:type="dxa"/>
            <w:right w:w="108" w:type="dxa"/>
          </w:tblCellMar>
        </w:tblPrEx>
        <w:trPr>
          <w:trHeight w:val="582"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8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9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质量指标</w:t>
            </w:r>
          </w:p>
        </w:tc>
        <w:tc>
          <w:tcPr>
            <w:tcW w:w="21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公用经费使用合规率</w:t>
            </w:r>
          </w:p>
        </w:tc>
        <w:tc>
          <w:tcPr>
            <w:tcW w:w="181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=100.00%</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100%</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r>
      <w:tr>
        <w:tblPrEx>
          <w:tblLayout w:type="fixed"/>
          <w:tblCellMar>
            <w:top w:w="0" w:type="dxa"/>
            <w:left w:w="108" w:type="dxa"/>
            <w:bottom w:w="0" w:type="dxa"/>
            <w:right w:w="108" w:type="dxa"/>
          </w:tblCellMar>
        </w:tblPrEx>
        <w:trPr>
          <w:trHeight w:val="582"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8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9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21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商品及服务类验收合格率</w:t>
            </w:r>
          </w:p>
        </w:tc>
        <w:tc>
          <w:tcPr>
            <w:tcW w:w="181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=100.00%</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100%</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r>
      <w:tr>
        <w:tblPrEx>
          <w:tblLayout w:type="fixed"/>
          <w:tblCellMar>
            <w:top w:w="0" w:type="dxa"/>
            <w:left w:w="108" w:type="dxa"/>
            <w:bottom w:w="0" w:type="dxa"/>
            <w:right w:w="108" w:type="dxa"/>
          </w:tblCellMar>
        </w:tblPrEx>
        <w:trPr>
          <w:trHeight w:val="582"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8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9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21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符合计划生育奖励扶助条件申报对象覆盖率</w:t>
            </w:r>
          </w:p>
        </w:tc>
        <w:tc>
          <w:tcPr>
            <w:tcW w:w="181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=100.00%</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100%</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w:t>
            </w:r>
          </w:p>
        </w:tc>
      </w:tr>
      <w:tr>
        <w:tblPrEx>
          <w:tblLayout w:type="fixed"/>
          <w:tblCellMar>
            <w:top w:w="0" w:type="dxa"/>
            <w:left w:w="108" w:type="dxa"/>
            <w:bottom w:w="0" w:type="dxa"/>
            <w:right w:w="108" w:type="dxa"/>
          </w:tblCellMar>
        </w:tblPrEx>
        <w:trPr>
          <w:trHeight w:val="582"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8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时效指标</w:t>
            </w:r>
          </w:p>
        </w:tc>
        <w:tc>
          <w:tcPr>
            <w:tcW w:w="21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公用经费支付及时率</w:t>
            </w:r>
          </w:p>
        </w:tc>
        <w:tc>
          <w:tcPr>
            <w:tcW w:w="181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=100.00%</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100%</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r>
      <w:tr>
        <w:tblPrEx>
          <w:tblLayout w:type="fixed"/>
          <w:tblCellMar>
            <w:top w:w="0" w:type="dxa"/>
            <w:left w:w="108" w:type="dxa"/>
            <w:bottom w:w="0" w:type="dxa"/>
            <w:right w:w="108" w:type="dxa"/>
          </w:tblCellMar>
        </w:tblPrEx>
        <w:trPr>
          <w:trHeight w:val="582"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8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9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成本指标</w:t>
            </w:r>
          </w:p>
        </w:tc>
        <w:tc>
          <w:tcPr>
            <w:tcW w:w="21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人员经费支出</w:t>
            </w:r>
          </w:p>
        </w:tc>
        <w:tc>
          <w:tcPr>
            <w:tcW w:w="181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&lt;=505.61万元</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624.17万元</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r>
      <w:tr>
        <w:tblPrEx>
          <w:tblLayout w:type="fixed"/>
          <w:tblCellMar>
            <w:top w:w="0" w:type="dxa"/>
            <w:left w:w="108" w:type="dxa"/>
            <w:bottom w:w="0" w:type="dxa"/>
            <w:right w:w="108" w:type="dxa"/>
          </w:tblCellMar>
        </w:tblPrEx>
        <w:trPr>
          <w:trHeight w:val="582"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8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9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1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办公经费支出</w:t>
            </w:r>
          </w:p>
        </w:tc>
        <w:tc>
          <w:tcPr>
            <w:tcW w:w="181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&lt;=50.79万元</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57.65万元</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r>
      <w:tr>
        <w:tblPrEx>
          <w:tblLayout w:type="fixed"/>
          <w:tblCellMar>
            <w:top w:w="0" w:type="dxa"/>
            <w:left w:w="108" w:type="dxa"/>
            <w:bottom w:w="0" w:type="dxa"/>
            <w:right w:w="108" w:type="dxa"/>
          </w:tblCellMar>
        </w:tblPrEx>
        <w:trPr>
          <w:trHeight w:val="582"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8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96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2"/>
                <w:szCs w:val="22"/>
              </w:rPr>
            </w:pPr>
          </w:p>
        </w:tc>
        <w:tc>
          <w:tcPr>
            <w:tcW w:w="21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项目预算资金</w:t>
            </w:r>
          </w:p>
        </w:tc>
        <w:tc>
          <w:tcPr>
            <w:tcW w:w="181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&lt;=232.45万元</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6109.24万元</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r>
      <w:tr>
        <w:tblPrEx>
          <w:tblLayout w:type="fixed"/>
          <w:tblCellMar>
            <w:top w:w="0" w:type="dxa"/>
            <w:left w:w="108" w:type="dxa"/>
            <w:bottom w:w="0" w:type="dxa"/>
            <w:right w:w="108" w:type="dxa"/>
          </w:tblCellMar>
        </w:tblPrEx>
        <w:trPr>
          <w:trHeight w:val="582"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81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项目效益</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经济效益指标</w:t>
            </w:r>
          </w:p>
        </w:tc>
        <w:tc>
          <w:tcPr>
            <w:tcW w:w="21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c>
          <w:tcPr>
            <w:tcW w:w="181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r>
      <w:tr>
        <w:tblPrEx>
          <w:tblLayout w:type="fixed"/>
          <w:tblCellMar>
            <w:top w:w="0" w:type="dxa"/>
            <w:left w:w="108" w:type="dxa"/>
            <w:bottom w:w="0" w:type="dxa"/>
            <w:right w:w="108" w:type="dxa"/>
          </w:tblCellMar>
        </w:tblPrEx>
        <w:trPr>
          <w:trHeight w:val="582"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8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社会效益指标</w:t>
            </w:r>
          </w:p>
        </w:tc>
        <w:tc>
          <w:tcPr>
            <w:tcW w:w="21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完成卫生健康相关工作</w:t>
            </w:r>
          </w:p>
        </w:tc>
        <w:tc>
          <w:tcPr>
            <w:tcW w:w="181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有效完成</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有效完成</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10</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10</w:t>
            </w:r>
          </w:p>
        </w:tc>
      </w:tr>
      <w:tr>
        <w:tblPrEx>
          <w:tblLayout w:type="fixed"/>
          <w:tblCellMar>
            <w:top w:w="0" w:type="dxa"/>
            <w:left w:w="108" w:type="dxa"/>
            <w:bottom w:w="0" w:type="dxa"/>
            <w:right w:w="108" w:type="dxa"/>
          </w:tblCellMar>
        </w:tblPrEx>
        <w:trPr>
          <w:trHeight w:val="582"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8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生态效益指标</w:t>
            </w:r>
          </w:p>
        </w:tc>
        <w:tc>
          <w:tcPr>
            <w:tcW w:w="21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c>
          <w:tcPr>
            <w:tcW w:w="1812"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w:t>
            </w:r>
          </w:p>
        </w:tc>
      </w:tr>
      <w:tr>
        <w:tblPrEx>
          <w:tblLayout w:type="fixed"/>
          <w:tblCellMar>
            <w:top w:w="0" w:type="dxa"/>
            <w:left w:w="108" w:type="dxa"/>
            <w:bottom w:w="0" w:type="dxa"/>
            <w:right w:w="108" w:type="dxa"/>
          </w:tblCellMar>
        </w:tblPrEx>
        <w:trPr>
          <w:trHeight w:val="582"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8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可持续影响指标</w:t>
            </w:r>
          </w:p>
        </w:tc>
        <w:tc>
          <w:tcPr>
            <w:tcW w:w="21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提高全民健康意识</w:t>
            </w:r>
          </w:p>
        </w:tc>
        <w:tc>
          <w:tcPr>
            <w:tcW w:w="181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明显提高</w:t>
            </w:r>
          </w:p>
        </w:tc>
        <w:tc>
          <w:tcPr>
            <w:tcW w:w="109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明显提高</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10</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10</w:t>
            </w:r>
          </w:p>
        </w:tc>
      </w:tr>
      <w:tr>
        <w:tblPrEx>
          <w:tblLayout w:type="fixed"/>
          <w:tblCellMar>
            <w:top w:w="0" w:type="dxa"/>
            <w:left w:w="108" w:type="dxa"/>
            <w:bottom w:w="0" w:type="dxa"/>
            <w:right w:w="108" w:type="dxa"/>
          </w:tblCellMar>
        </w:tblPrEx>
        <w:trPr>
          <w:trHeight w:val="582" w:hRule="atLeast"/>
        </w:trPr>
        <w:tc>
          <w:tcPr>
            <w:tcW w:w="55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kern w:val="0"/>
                <w:sz w:val="22"/>
                <w:szCs w:val="22"/>
              </w:rPr>
            </w:pPr>
          </w:p>
        </w:tc>
        <w:tc>
          <w:tcPr>
            <w:tcW w:w="8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满意度指标</w:t>
            </w:r>
          </w:p>
        </w:tc>
        <w:tc>
          <w:tcPr>
            <w:tcW w:w="96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满意度指标</w:t>
            </w:r>
          </w:p>
        </w:tc>
        <w:tc>
          <w:tcPr>
            <w:tcW w:w="2164"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单位职工满意率</w:t>
            </w:r>
          </w:p>
        </w:tc>
        <w:tc>
          <w:tcPr>
            <w:tcW w:w="181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&gt;=95.00%</w:t>
            </w:r>
          </w:p>
        </w:tc>
        <w:tc>
          <w:tcPr>
            <w:tcW w:w="109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100</w:t>
            </w:r>
          </w:p>
        </w:tc>
        <w:tc>
          <w:tcPr>
            <w:tcW w:w="986"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10</w:t>
            </w:r>
          </w:p>
        </w:tc>
        <w:tc>
          <w:tcPr>
            <w:tcW w:w="6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kern w:val="0"/>
                <w:sz w:val="22"/>
                <w:szCs w:val="22"/>
              </w:rPr>
            </w:pPr>
            <w:r>
              <w:rPr>
                <w:rFonts w:hint="eastAsia" w:ascii="宋体" w:hAnsi="宋体" w:cs="宋体"/>
                <w:kern w:val="0"/>
                <w:sz w:val="22"/>
                <w:szCs w:val="22"/>
              </w:rPr>
              <w:t>10</w:t>
            </w:r>
          </w:p>
        </w:tc>
      </w:tr>
    </w:tbl>
    <w:p>
      <w:pPr>
        <w:snapToGrid w:val="0"/>
        <w:spacing w:line="560" w:lineRule="exact"/>
        <w:ind w:firstLine="624" w:firstLineChars="200"/>
        <w:rPr>
          <w:rFonts w:ascii="黑体" w:hAnsi="黑体" w:eastAsia="黑体"/>
          <w:bCs/>
          <w:spacing w:val="-4"/>
          <w:sz w:val="32"/>
          <w:szCs w:val="32"/>
        </w:rPr>
      </w:pPr>
    </w:p>
    <w:p>
      <w:pPr>
        <w:snapToGrid w:val="0"/>
        <w:spacing w:line="560" w:lineRule="exact"/>
        <w:ind w:firstLine="420" w:firstLineChars="200"/>
      </w:pPr>
    </w:p>
    <w:sectPr>
      <w:pgSz w:w="11906" w:h="16838"/>
      <w:pgMar w:top="1440" w:right="1440" w:bottom="144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CB7B47F9"/>
    <w:multiLevelType w:val="singleLevel"/>
    <w:tmpl w:val="CB7B47F9"/>
    <w:lvl w:ilvl="0" w:tentative="0">
      <w:start w:val="2"/>
      <w:numFmt w:val="decimal"/>
      <w:suff w:val="nothing"/>
      <w:lvlText w:val="（%1）"/>
      <w:lvlJc w:val="left"/>
    </w:lvl>
  </w:abstractNum>
  <w:abstractNum w:abstractNumId="3">
    <w:nsid w:val="F68CBA3B"/>
    <w:multiLevelType w:val="singleLevel"/>
    <w:tmpl w:val="F68CBA3B"/>
    <w:lvl w:ilvl="0" w:tentative="0">
      <w:start w:val="2"/>
      <w:numFmt w:val="decimal"/>
      <w:suff w:val="nothing"/>
      <w:lvlText w:val="（%1）"/>
      <w:lvlJc w:val="left"/>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B06FA87"/>
    <w:multiLevelType w:val="singleLevel"/>
    <w:tmpl w:val="2B06FA87"/>
    <w:lvl w:ilvl="0" w:tentative="0">
      <w:start w:val="8"/>
      <w:numFmt w:val="chineseCounting"/>
      <w:suff w:val="nothing"/>
      <w:lvlText w:val="%1、"/>
      <w:lvlJc w:val="left"/>
      <w:rPr>
        <w:rFonts w:hint="eastAsia"/>
      </w:rPr>
    </w:lvl>
  </w:abstractNum>
  <w:abstractNum w:abstractNumId="8">
    <w:nsid w:val="6AD950CB"/>
    <w:multiLevelType w:val="singleLevel"/>
    <w:tmpl w:val="6AD950CB"/>
    <w:lvl w:ilvl="0" w:tentative="0">
      <w:start w:val="3"/>
      <w:numFmt w:val="chineseCounting"/>
      <w:suff w:val="nothing"/>
      <w:lvlText w:val="（%1）"/>
      <w:lvlJc w:val="left"/>
      <w:rPr>
        <w:rFonts w:hint="eastAsia"/>
      </w:rPr>
    </w:lvl>
  </w:abstractNum>
  <w:abstractNum w:abstractNumId="9">
    <w:nsid w:val="73F06C6E"/>
    <w:multiLevelType w:val="singleLevel"/>
    <w:tmpl w:val="73F06C6E"/>
    <w:lvl w:ilvl="0" w:tentative="0">
      <w:start w:val="2"/>
      <w:numFmt w:val="chineseCounting"/>
      <w:suff w:val="nothing"/>
      <w:lvlText w:val="%1、"/>
      <w:lvlJc w:val="left"/>
      <w:rPr>
        <w:rFonts w:hint="eastAsia"/>
      </w:rPr>
    </w:lvl>
  </w:abstractNum>
  <w:num w:numId="1">
    <w:abstractNumId w:val="4"/>
  </w:num>
  <w:num w:numId="2">
    <w:abstractNumId w:val="6"/>
  </w:num>
  <w:num w:numId="3">
    <w:abstractNumId w:val="5"/>
  </w:num>
  <w:num w:numId="4">
    <w:abstractNumId w:val="9"/>
  </w:num>
  <w:num w:numId="5">
    <w:abstractNumId w:val="8"/>
  </w:num>
  <w:num w:numId="6">
    <w:abstractNumId w:val="2"/>
  </w:num>
  <w:num w:numId="7">
    <w:abstractNumId w:val="0"/>
  </w:num>
  <w:num w:numId="8">
    <w:abstractNumId w:val="1"/>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D33"/>
    <w:rsid w:val="00001687"/>
    <w:rsid w:val="0014528A"/>
    <w:rsid w:val="00157CC3"/>
    <w:rsid w:val="0019439A"/>
    <w:rsid w:val="00266AA0"/>
    <w:rsid w:val="00452A90"/>
    <w:rsid w:val="004C78EC"/>
    <w:rsid w:val="00525890"/>
    <w:rsid w:val="005343FD"/>
    <w:rsid w:val="00560CF2"/>
    <w:rsid w:val="006E1169"/>
    <w:rsid w:val="007E53E4"/>
    <w:rsid w:val="008474BB"/>
    <w:rsid w:val="00920D33"/>
    <w:rsid w:val="00982400"/>
    <w:rsid w:val="009B691B"/>
    <w:rsid w:val="009C4F3B"/>
    <w:rsid w:val="00A752F5"/>
    <w:rsid w:val="00B923A0"/>
    <w:rsid w:val="00BF0C9C"/>
    <w:rsid w:val="00C3012B"/>
    <w:rsid w:val="00C5173F"/>
    <w:rsid w:val="00E42803"/>
    <w:rsid w:val="00E742F3"/>
    <w:rsid w:val="00F11458"/>
    <w:rsid w:val="025A63E5"/>
    <w:rsid w:val="03104D0F"/>
    <w:rsid w:val="03B065B9"/>
    <w:rsid w:val="043766EE"/>
    <w:rsid w:val="04A97222"/>
    <w:rsid w:val="05A33470"/>
    <w:rsid w:val="05F37769"/>
    <w:rsid w:val="060F6ECF"/>
    <w:rsid w:val="067319AB"/>
    <w:rsid w:val="074C7DC6"/>
    <w:rsid w:val="07A2264A"/>
    <w:rsid w:val="07AF2EC9"/>
    <w:rsid w:val="0A5A3783"/>
    <w:rsid w:val="0B566124"/>
    <w:rsid w:val="0C0D19AC"/>
    <w:rsid w:val="0CB721E1"/>
    <w:rsid w:val="0D8D29B1"/>
    <w:rsid w:val="0F952EFF"/>
    <w:rsid w:val="0FDB4710"/>
    <w:rsid w:val="10A9643A"/>
    <w:rsid w:val="11ED6871"/>
    <w:rsid w:val="122B0B94"/>
    <w:rsid w:val="1272197F"/>
    <w:rsid w:val="127B41CF"/>
    <w:rsid w:val="133D2DCD"/>
    <w:rsid w:val="13413BCC"/>
    <w:rsid w:val="13F905EC"/>
    <w:rsid w:val="143F27ED"/>
    <w:rsid w:val="14533EDD"/>
    <w:rsid w:val="14DC0C32"/>
    <w:rsid w:val="14FA0C64"/>
    <w:rsid w:val="15E74C42"/>
    <w:rsid w:val="160A488E"/>
    <w:rsid w:val="16211731"/>
    <w:rsid w:val="16553024"/>
    <w:rsid w:val="18965566"/>
    <w:rsid w:val="19DC0BB3"/>
    <w:rsid w:val="1AE67028"/>
    <w:rsid w:val="1B5F660B"/>
    <w:rsid w:val="1B9E06D3"/>
    <w:rsid w:val="1C0A4F93"/>
    <w:rsid w:val="1CDF09C8"/>
    <w:rsid w:val="1D1612A6"/>
    <w:rsid w:val="1DFA1543"/>
    <w:rsid w:val="206C2035"/>
    <w:rsid w:val="217925AE"/>
    <w:rsid w:val="218F01AE"/>
    <w:rsid w:val="21E36220"/>
    <w:rsid w:val="21F45F80"/>
    <w:rsid w:val="221A04EA"/>
    <w:rsid w:val="23E41FAC"/>
    <w:rsid w:val="251C699D"/>
    <w:rsid w:val="258F2242"/>
    <w:rsid w:val="288B360D"/>
    <w:rsid w:val="28E26FDC"/>
    <w:rsid w:val="29CF0AE4"/>
    <w:rsid w:val="2A4213E6"/>
    <w:rsid w:val="2AC414F4"/>
    <w:rsid w:val="2B3E1153"/>
    <w:rsid w:val="2D611067"/>
    <w:rsid w:val="2F8448A9"/>
    <w:rsid w:val="2FD369CC"/>
    <w:rsid w:val="301C11CE"/>
    <w:rsid w:val="310A7C39"/>
    <w:rsid w:val="320664DF"/>
    <w:rsid w:val="342F4A73"/>
    <w:rsid w:val="347E478F"/>
    <w:rsid w:val="35774124"/>
    <w:rsid w:val="363649E8"/>
    <w:rsid w:val="36B940A5"/>
    <w:rsid w:val="38F0253E"/>
    <w:rsid w:val="3AB91270"/>
    <w:rsid w:val="3B06221A"/>
    <w:rsid w:val="3C5A5BA6"/>
    <w:rsid w:val="3CCF7AA8"/>
    <w:rsid w:val="3DFE03CE"/>
    <w:rsid w:val="40684577"/>
    <w:rsid w:val="409D348F"/>
    <w:rsid w:val="41744DC9"/>
    <w:rsid w:val="417A59C5"/>
    <w:rsid w:val="41975BDF"/>
    <w:rsid w:val="419817E0"/>
    <w:rsid w:val="42AE4462"/>
    <w:rsid w:val="42B13051"/>
    <w:rsid w:val="44641396"/>
    <w:rsid w:val="448D4D9B"/>
    <w:rsid w:val="449F4ECF"/>
    <w:rsid w:val="44DB0BCA"/>
    <w:rsid w:val="44F3530C"/>
    <w:rsid w:val="4507721F"/>
    <w:rsid w:val="464D3149"/>
    <w:rsid w:val="468372D7"/>
    <w:rsid w:val="48E34C2C"/>
    <w:rsid w:val="4AE319FB"/>
    <w:rsid w:val="4AE828CB"/>
    <w:rsid w:val="4C897819"/>
    <w:rsid w:val="4C8D3795"/>
    <w:rsid w:val="4E5A2AFF"/>
    <w:rsid w:val="4EDB6946"/>
    <w:rsid w:val="503A7BB6"/>
    <w:rsid w:val="53066521"/>
    <w:rsid w:val="531F4D12"/>
    <w:rsid w:val="53965A3A"/>
    <w:rsid w:val="53A455D6"/>
    <w:rsid w:val="53E7155A"/>
    <w:rsid w:val="55E22AB4"/>
    <w:rsid w:val="55EF7CE7"/>
    <w:rsid w:val="5661538F"/>
    <w:rsid w:val="56746C55"/>
    <w:rsid w:val="57BB282B"/>
    <w:rsid w:val="58370200"/>
    <w:rsid w:val="592164BB"/>
    <w:rsid w:val="5A2460CD"/>
    <w:rsid w:val="5A3F0212"/>
    <w:rsid w:val="5BE865CF"/>
    <w:rsid w:val="5BFB31A0"/>
    <w:rsid w:val="5C7B3A60"/>
    <w:rsid w:val="5DCA6687"/>
    <w:rsid w:val="5DF651F9"/>
    <w:rsid w:val="5E17467C"/>
    <w:rsid w:val="5E986537"/>
    <w:rsid w:val="5F132CFD"/>
    <w:rsid w:val="6084409E"/>
    <w:rsid w:val="61743059"/>
    <w:rsid w:val="61EE5B9F"/>
    <w:rsid w:val="62BF59A2"/>
    <w:rsid w:val="64FF5905"/>
    <w:rsid w:val="67412C27"/>
    <w:rsid w:val="6A1B7A2C"/>
    <w:rsid w:val="6AC972F4"/>
    <w:rsid w:val="6AD9112E"/>
    <w:rsid w:val="6B650868"/>
    <w:rsid w:val="6B8F3746"/>
    <w:rsid w:val="6D513FF0"/>
    <w:rsid w:val="6DE908A6"/>
    <w:rsid w:val="6E551F60"/>
    <w:rsid w:val="6ECD7B5F"/>
    <w:rsid w:val="6EF94B31"/>
    <w:rsid w:val="71086699"/>
    <w:rsid w:val="712671DB"/>
    <w:rsid w:val="7174417A"/>
    <w:rsid w:val="718B1A12"/>
    <w:rsid w:val="72BD6CC0"/>
    <w:rsid w:val="73F677A6"/>
    <w:rsid w:val="74822D73"/>
    <w:rsid w:val="752651F8"/>
    <w:rsid w:val="75CE679D"/>
    <w:rsid w:val="75FF5209"/>
    <w:rsid w:val="761510C5"/>
    <w:rsid w:val="776D3E05"/>
    <w:rsid w:val="7811311E"/>
    <w:rsid w:val="78307A37"/>
    <w:rsid w:val="786C29C8"/>
    <w:rsid w:val="788B1CCA"/>
    <w:rsid w:val="78EB5C9E"/>
    <w:rsid w:val="79AF3125"/>
    <w:rsid w:val="7A6123FB"/>
    <w:rsid w:val="7C331616"/>
    <w:rsid w:val="7C5F6F5E"/>
    <w:rsid w:val="7D6C1FA9"/>
    <w:rsid w:val="7EF50549"/>
    <w:rsid w:val="7F0851DD"/>
    <w:rsid w:val="7F782F15"/>
    <w:rsid w:val="7F934156"/>
    <w:rsid w:val="7FA11EEF"/>
    <w:rsid w:val="7FD21E9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qFormat/>
    <w:uiPriority w:val="0"/>
    <w:pPr>
      <w:spacing w:line="240" w:lineRule="atLeast"/>
      <w:jc w:val="center"/>
      <w:outlineLvl w:val="1"/>
    </w:pPr>
    <w:rPr>
      <w:sz w:val="28"/>
      <w:szCs w:val="28"/>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spacing w:beforeAutospacing="1" w:afterAutospacing="1"/>
      <w:jc w:val="left"/>
    </w:pPr>
    <w:rPr>
      <w:kern w:val="0"/>
      <w:sz w:val="24"/>
    </w:rPr>
  </w:style>
  <w:style w:type="character" w:styleId="10">
    <w:name w:val="Strong"/>
    <w:basedOn w:val="9"/>
    <w:qFormat/>
    <w:uiPriority w:val="0"/>
    <w:rPr>
      <w:b/>
      <w:bCs/>
    </w:rPr>
  </w:style>
  <w:style w:type="character" w:customStyle="1" w:styleId="11">
    <w:name w:val="页眉 字符"/>
    <w:basedOn w:val="9"/>
    <w:link w:val="6"/>
    <w:qFormat/>
    <w:uiPriority w:val="99"/>
    <w:rPr>
      <w:rFonts w:ascii="Times New Roman" w:hAnsi="Times New Roman" w:eastAsia="宋体" w:cs="Times New Roman"/>
      <w:sz w:val="18"/>
      <w:szCs w:val="18"/>
    </w:rPr>
  </w:style>
  <w:style w:type="character" w:customStyle="1" w:styleId="12">
    <w:name w:val="页脚 字符"/>
    <w:basedOn w:val="9"/>
    <w:link w:val="5"/>
    <w:qFormat/>
    <w:uiPriority w:val="99"/>
    <w:rPr>
      <w:rFonts w:ascii="Times New Roman" w:hAnsi="Times New Roman" w:eastAsia="宋体" w:cs="Times New Roman"/>
      <w:sz w:val="18"/>
      <w:szCs w:val="18"/>
    </w:rPr>
  </w:style>
  <w:style w:type="paragraph" w:styleId="13">
    <w:name w:val="List Paragraph"/>
    <w:basedOn w:val="1"/>
    <w:qFormat/>
    <w:uiPriority w:val="34"/>
    <w:pPr>
      <w:ind w:firstLine="420" w:firstLineChars="200"/>
    </w:pPr>
  </w:style>
  <w:style w:type="paragraph" w:customStyle="1" w:styleId="14">
    <w:name w:val="Heading3"/>
    <w:basedOn w:val="1"/>
    <w:next w:val="1"/>
    <w:qFormat/>
    <w:uiPriority w:val="0"/>
    <w:pPr>
      <w:keepNext/>
      <w:keepLines/>
      <w:spacing w:before="260" w:after="260" w:line="416" w:lineRule="auto"/>
    </w:pPr>
    <w:rPr>
      <w:b/>
      <w:bCs/>
      <w:szCs w:val="32"/>
    </w:rPr>
  </w:style>
  <w:style w:type="character" w:customStyle="1" w:styleId="15">
    <w:name w:val="NormalCharacter"/>
    <w:semiHidden/>
    <w:qFormat/>
    <w:uiPriority w:val="0"/>
    <w:rPr>
      <w:rFonts w:ascii="Times New Roman" w:hAnsi="Times New Roman" w:eastAsia="宋体" w:cs="Times New Roman"/>
      <w:kern w:val="2"/>
      <w:sz w:val="21"/>
      <w:szCs w:val="24"/>
      <w:lang w:val="en-US" w:eastAsia="zh-CN" w:bidi="ar-SA"/>
    </w:rPr>
  </w:style>
  <w:style w:type="paragraph" w:customStyle="1" w:styleId="16">
    <w:name w:val="UserStyle_0"/>
    <w:basedOn w:val="1"/>
    <w:next w:val="1"/>
    <w:qFormat/>
    <w:uiPriority w:val="0"/>
    <w:pPr>
      <w:keepNext/>
      <w:keepLines/>
      <w:spacing w:before="260" w:after="260" w:line="413" w:lineRule="auto"/>
      <w:textAlignment w:val="baseline"/>
    </w:pPr>
    <w:rPr>
      <w:rFonts w:ascii="Arial" w:hAnsi="Arial" w:eastAsia="黑体"/>
      <w:b/>
      <w:sz w:val="3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34</Pages>
  <Words>2574</Words>
  <Characters>14672</Characters>
  <Lines>122</Lines>
  <Paragraphs>34</Paragraphs>
  <TotalTime>3</TotalTime>
  <ScaleCrop>false</ScaleCrop>
  <LinksUpToDate>false</LinksUpToDate>
  <CharactersWithSpaces>17212</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2023-02-16T07:56:00Z</dcterms:created>
  <dc:creator>马玥</dc:creator>
  <cp:lastModifiedBy>Administrator</cp:lastModifiedBy>
  <cp:lastPrinted>2022-03-10T11:13:00Z</cp:lastPrinted>
  <dcterms:modified xsi:type="dcterms:W3CDTF">2023-02-17T05:03:06Z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y fmtid="{D5CDD505-2E9C-101B-9397-08002B2CF9AE}" pid="3" name="ICV">
    <vt:lpwstr>65D65172E76547AAA1D9275DF942298D</vt:lpwstr>
  </property>
</Properties>
</file>