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312" w:rsidRDefault="00D02152">
      <w:pPr>
        <w:spacing w:line="540" w:lineRule="exact"/>
        <w:ind w:firstLine="560"/>
        <w:rPr>
          <w:rFonts w:ascii="华文中宋" w:eastAsia="华文中宋" w:hAnsi="华文中宋" w:cs="宋体"/>
          <w:b/>
          <w:kern w:val="0"/>
          <w:sz w:val="52"/>
          <w:szCs w:val="52"/>
        </w:rPr>
      </w:pPr>
      <w:r>
        <w:rPr>
          <w:rFonts w:hint="eastAsia"/>
        </w:rPr>
        <w:br/>
      </w:r>
    </w:p>
    <w:p w:rsidR="00073312" w:rsidRDefault="00073312">
      <w:pPr>
        <w:ind w:firstLine="1041"/>
        <w:rPr>
          <w:rFonts w:ascii="华文中宋" w:eastAsia="华文中宋" w:hAnsi="华文中宋" w:cs="宋体"/>
          <w:b/>
          <w:kern w:val="0"/>
          <w:sz w:val="52"/>
          <w:szCs w:val="52"/>
        </w:rPr>
      </w:pPr>
    </w:p>
    <w:p w:rsidR="00073312" w:rsidRDefault="00073312">
      <w:pPr>
        <w:ind w:firstLineChars="0" w:firstLine="0"/>
        <w:jc w:val="center"/>
        <w:rPr>
          <w:rFonts w:ascii="华文中宋" w:eastAsia="华文中宋" w:hAnsi="华文中宋" w:cs="宋体"/>
          <w:b/>
          <w:kern w:val="0"/>
          <w:sz w:val="52"/>
          <w:szCs w:val="52"/>
        </w:rPr>
      </w:pPr>
    </w:p>
    <w:p w:rsidR="00073312" w:rsidRDefault="00D02152">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昌吉市自然资源局整体支出绩效</w:t>
      </w:r>
    </w:p>
    <w:p w:rsidR="00073312" w:rsidRDefault="00D02152">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073312" w:rsidRDefault="00073312">
      <w:pPr>
        <w:ind w:firstLineChars="0" w:firstLine="0"/>
        <w:jc w:val="center"/>
        <w:rPr>
          <w:rFonts w:ascii="华文中宋" w:eastAsia="华文中宋" w:hAnsi="华文中宋" w:cs="宋体"/>
          <w:b/>
          <w:kern w:val="0"/>
          <w:sz w:val="52"/>
          <w:szCs w:val="52"/>
        </w:rPr>
      </w:pPr>
    </w:p>
    <w:p w:rsidR="00073312" w:rsidRDefault="00D02152">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（2022年度</w:t>
      </w:r>
      <w:r>
        <w:rPr>
          <w:rFonts w:ascii="仿宋_GB2312" w:eastAsia="仿宋_GB2312" w:hAnsi="Malgun Gothic Semilight" w:cs="Malgun Gothic Semilight" w:hint="eastAsia"/>
          <w:kern w:val="0"/>
          <w:sz w:val="36"/>
          <w:szCs w:val="36"/>
        </w:rPr>
        <w:t>）</w:t>
      </w:r>
    </w:p>
    <w:p w:rsidR="00073312" w:rsidRDefault="00073312">
      <w:pPr>
        <w:ind w:firstLine="600"/>
        <w:jc w:val="center"/>
        <w:rPr>
          <w:rFonts w:eastAsia="仿宋_GB2312" w:hAnsi="宋体" w:cs="宋体"/>
          <w:kern w:val="0"/>
          <w:sz w:val="30"/>
          <w:szCs w:val="30"/>
        </w:rPr>
      </w:pPr>
    </w:p>
    <w:p w:rsidR="00073312" w:rsidRDefault="00073312">
      <w:pPr>
        <w:spacing w:line="540" w:lineRule="exact"/>
        <w:ind w:firstLine="600"/>
        <w:jc w:val="center"/>
        <w:rPr>
          <w:rFonts w:eastAsia="仿宋_GB2312" w:hAnsi="宋体" w:cs="宋体"/>
          <w:kern w:val="0"/>
          <w:sz w:val="30"/>
          <w:szCs w:val="30"/>
        </w:rPr>
      </w:pPr>
    </w:p>
    <w:p w:rsidR="00073312" w:rsidRDefault="00073312">
      <w:pPr>
        <w:spacing w:line="540" w:lineRule="exact"/>
        <w:ind w:firstLine="720"/>
        <w:jc w:val="center"/>
        <w:rPr>
          <w:rFonts w:ascii="方正小标宋_GBK" w:eastAsia="方正小标宋_GBK" w:hAnsi="宋体" w:cs="宋体"/>
          <w:kern w:val="0"/>
          <w:sz w:val="36"/>
          <w:szCs w:val="36"/>
        </w:rPr>
      </w:pPr>
    </w:p>
    <w:p w:rsidR="00073312" w:rsidRDefault="00073312">
      <w:pPr>
        <w:spacing w:line="540" w:lineRule="exact"/>
        <w:ind w:firstLine="720"/>
        <w:jc w:val="center"/>
        <w:rPr>
          <w:rFonts w:ascii="方正小标宋_GBK" w:eastAsia="方正小标宋_GBK" w:hAnsi="宋体" w:cs="宋体"/>
          <w:kern w:val="0"/>
          <w:sz w:val="36"/>
          <w:szCs w:val="36"/>
        </w:rPr>
      </w:pPr>
    </w:p>
    <w:p w:rsidR="00073312" w:rsidRDefault="00073312">
      <w:pPr>
        <w:spacing w:line="540" w:lineRule="exact"/>
        <w:ind w:firstLine="600"/>
        <w:jc w:val="center"/>
        <w:rPr>
          <w:rFonts w:eastAsia="仿宋_GB2312" w:hAnsi="宋体" w:cs="宋体"/>
          <w:kern w:val="0"/>
          <w:sz w:val="30"/>
          <w:szCs w:val="30"/>
        </w:rPr>
      </w:pPr>
    </w:p>
    <w:p w:rsidR="00073312" w:rsidRDefault="00073312">
      <w:pPr>
        <w:spacing w:line="540" w:lineRule="exact"/>
        <w:ind w:firstLine="600"/>
        <w:jc w:val="center"/>
        <w:rPr>
          <w:rFonts w:eastAsia="仿宋_GB2312" w:hAnsi="宋体" w:cs="宋体"/>
          <w:kern w:val="0"/>
          <w:sz w:val="30"/>
          <w:szCs w:val="30"/>
        </w:rPr>
      </w:pPr>
    </w:p>
    <w:p w:rsidR="00073312" w:rsidRDefault="00073312">
      <w:pPr>
        <w:spacing w:line="540" w:lineRule="exact"/>
        <w:ind w:firstLine="600"/>
        <w:rPr>
          <w:rFonts w:eastAsia="仿宋_GB2312" w:hAnsi="宋体" w:cs="宋体"/>
          <w:kern w:val="0"/>
          <w:sz w:val="30"/>
          <w:szCs w:val="30"/>
        </w:rPr>
      </w:pPr>
    </w:p>
    <w:p w:rsidR="00073312" w:rsidRDefault="00073312">
      <w:pPr>
        <w:spacing w:line="700" w:lineRule="exact"/>
        <w:ind w:firstLine="720"/>
        <w:jc w:val="left"/>
        <w:rPr>
          <w:rFonts w:eastAsia="仿宋_GB2312" w:hAnsi="宋体" w:cs="宋体"/>
          <w:kern w:val="0"/>
          <w:sz w:val="36"/>
          <w:szCs w:val="36"/>
        </w:rPr>
      </w:pPr>
    </w:p>
    <w:p w:rsidR="00073312" w:rsidRDefault="00D02152">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部门单位名称（公章）：昌吉市自然资源局</w:t>
      </w:r>
    </w:p>
    <w:p w:rsidR="00073312" w:rsidRDefault="00D02152">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 xml:space="preserve">填报时间： 2023 年 2 月 </w:t>
      </w:r>
      <w:r w:rsidR="002714F9">
        <w:rPr>
          <w:rFonts w:ascii="黑体" w:eastAsia="黑体" w:hAnsi="黑体" w:cs="黑体"/>
          <w:bCs/>
          <w:sz w:val="36"/>
          <w:szCs w:val="36"/>
        </w:rPr>
        <w:t>17</w:t>
      </w:r>
      <w:r>
        <w:rPr>
          <w:rFonts w:ascii="黑体" w:eastAsia="黑体" w:hAnsi="黑体" w:cs="黑体" w:hint="eastAsia"/>
          <w:bCs/>
          <w:sz w:val="36"/>
          <w:szCs w:val="36"/>
        </w:rPr>
        <w:t xml:space="preserve"> 日</w:t>
      </w:r>
    </w:p>
    <w:p w:rsidR="00073312" w:rsidRDefault="00073312">
      <w:pPr>
        <w:spacing w:line="700" w:lineRule="exact"/>
        <w:ind w:firstLineChars="236" w:firstLine="850"/>
        <w:jc w:val="left"/>
        <w:rPr>
          <w:rFonts w:eastAsia="仿宋_GB2312" w:hAnsi="宋体" w:cs="宋体"/>
          <w:kern w:val="0"/>
          <w:sz w:val="36"/>
          <w:szCs w:val="36"/>
        </w:rPr>
      </w:pPr>
    </w:p>
    <w:p w:rsidR="00073312" w:rsidRDefault="00073312">
      <w:pPr>
        <w:ind w:firstLine="560"/>
      </w:pPr>
    </w:p>
    <w:p w:rsidR="00073312" w:rsidRDefault="00D02152">
      <w:pPr>
        <w:ind w:firstLine="560"/>
        <w:rPr>
          <w:rFonts w:ascii="仿宋_GB2312" w:eastAsia="仿宋_GB2312"/>
          <w:b/>
          <w:bCs/>
          <w:color w:val="FF0000"/>
          <w:sz w:val="32"/>
          <w:szCs w:val="32"/>
        </w:rPr>
      </w:pPr>
      <w:r>
        <w:rPr>
          <w:rFonts w:hint="eastAsia"/>
        </w:rPr>
        <w:br w:type="page"/>
      </w:r>
    </w:p>
    <w:p w:rsidR="00073312" w:rsidRDefault="00D02152">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lastRenderedPageBreak/>
        <w:t>一、基本概况</w:t>
      </w:r>
    </w:p>
    <w:p w:rsidR="00073312" w:rsidRDefault="00D02152">
      <w:pPr>
        <w:pStyle w:val="20"/>
        <w:ind w:firstLine="643"/>
        <w:rPr>
          <w:rFonts w:ascii="楷体_GB2312" w:eastAsia="楷体_GB2312"/>
          <w:color w:val="000000" w:themeColor="text1"/>
          <w:szCs w:val="32"/>
        </w:rPr>
      </w:pPr>
      <w:r>
        <w:rPr>
          <w:rFonts w:ascii="楷体_GB2312" w:eastAsia="楷体_GB2312" w:hint="eastAsia"/>
          <w:color w:val="000000" w:themeColor="text1"/>
          <w:szCs w:val="32"/>
        </w:rPr>
        <w:t>（一）单位基本情况</w:t>
      </w:r>
    </w:p>
    <w:p w:rsidR="00073312" w:rsidRDefault="00D02152">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1.机构设置及人员情况</w:t>
      </w:r>
    </w:p>
    <w:p w:rsidR="00073312" w:rsidRDefault="00D02152">
      <w:pPr>
        <w:ind w:firstLine="624"/>
        <w:rPr>
          <w:rStyle w:val="a8"/>
          <w:b w:val="0"/>
          <w:color w:val="000000" w:themeColor="text1"/>
          <w:spacing w:val="-4"/>
          <w:sz w:val="32"/>
          <w:szCs w:val="32"/>
        </w:rPr>
      </w:pPr>
      <w:r>
        <w:rPr>
          <w:rStyle w:val="a8"/>
          <w:rFonts w:hint="eastAsia"/>
          <w:b w:val="0"/>
          <w:color w:val="000000" w:themeColor="text1"/>
          <w:spacing w:val="-4"/>
          <w:sz w:val="32"/>
          <w:szCs w:val="32"/>
        </w:rPr>
        <w:t>昌吉市自然资源局下属13个事业单位分别是：昌吉市土地储备中心、昌吉市农用地管理中心、昌吉市不动产登记中心、昌吉市国土资源勘测信息中心、昌吉市矿产资源监测中心、昌吉市林业技术推广中心、昌吉市北部荒漠生态保护管理站、昌吉市林业有害生物防治检疫局、昌吉市城乡规划地理信息中心、昌吉市项目规划技术服务中心、昌吉市规划设计研究院、昌吉市草原站、昌吉市草原监理所；下设8个股室，分别为：党政办公室（法规科、财务科）、国土空间规划科、土地资源管理科（耕地保护科、建设用地科、土地利用科、确权登记科、测绘地理信息科）、矿产资源管理科、国土空间生态修复科、城乡规划管理科、林业管理科（野生动植物保护管理科、自然保护地管理科）、草原管理科。</w:t>
      </w:r>
    </w:p>
    <w:p w:rsidR="00073312" w:rsidRDefault="00D02152">
      <w:pPr>
        <w:widowControl/>
        <w:ind w:firstLine="640"/>
        <w:jc w:val="left"/>
        <w:rPr>
          <w:rFonts w:ascii="仿宋_GB2312" w:eastAsia="仿宋_GB2312"/>
          <w:color w:val="000000" w:themeColor="text1"/>
          <w:sz w:val="32"/>
          <w:szCs w:val="32"/>
        </w:rPr>
      </w:pPr>
      <w:r>
        <w:rPr>
          <w:rFonts w:cs="仿宋" w:hint="eastAsia"/>
          <w:color w:val="000000" w:themeColor="text1"/>
          <w:sz w:val="32"/>
          <w:szCs w:val="32"/>
        </w:rPr>
        <w:t>昌吉市自然资源局单位编制数210人，实有在职人数190人，其中：行政在职人数74人、事业在职人数116人；退休人数85人。</w:t>
      </w:r>
    </w:p>
    <w:p w:rsidR="00073312" w:rsidRDefault="00D02152">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2.主要职能</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（1）履行全民所有土地、矿产、森林、草原、湿地、荒漠、水、陆生野生动植物等自然资源资产所有者职责和所有国土空间用途管制职责。贯彻执行自然资源、国土空间规划、城乡规划和测绘等法律法规。</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lastRenderedPageBreak/>
        <w:t>（2）负责自然资源调查监测评价。贯彻执行自然资源调查监测评价的指标体系和统计标准，按照统一规范的自然资源调查监测评价制度，实施自然资源基础调查、专项调查和监测。负责自然资源调查监测评价成果的监督管理和信息发布。负责森林、草原、湿地、荒漠和陆生野生动植物资源动态监测与评价。</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3）负责自然资源统一确权登记工作。贯彻执行各类自然资源和不动产统一确权登记、权籍调查、不动产测绘、争议调处、成果应用的制度、标准、规范。建立健全自然资源和不动产登记信息管理基础平台。负责昌吉市自然资源和不动产登记资料收集、整理、共享、汇交管理等。提出处理土地、草场等纠纷的配套政策。组织有关部门调查、裁定市域内土地、草场、矿山、林地、水域等权属纠纷。</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4）负责自然资源资产有偿使用工作。贯彻执行全民所有自然资源资产统计制度，负责全民所有自然资源资产核算。编制全民所有自然资源资产负债表，贯彻执行全民所有自然资源资产划拨、出让、租赁、作价出资和土地储备政策，合理配置全民所有自然资源资产。负责自然资源资产价值评估管理，依法收缴相关资产收益。</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5）负责自然资源的合理开发利用。研究拟订昌吉市自然资源发展规划，按照自然资源开发利用标准组织实施，建立政府公示自然资源价格体系，组织开展自然资源分等定级价格评估，指导节约集约利用。负责自然资源市场监管。</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lastRenderedPageBreak/>
        <w:t>（6）负责建立空间规划体系并监督实施。推进主体功能区战略和制度，组织编制并监督实施国土空间规划。开展国土空间开发适宜性评价，建立国土空间规划实施监测、评估和预警体系。组织划定生态保护红线、永久基本农田、城镇开发边界等控制线，构建节约资源和保护环境的生产、生活、生态空间布局。建立健全国土空间用途管制制度，研究拟订城乡规划政策并监督实施。负责土地等国土空间用途转用工作。负责土地征收征用管理。拟订林业和草原资源优化配置及木材利用规划，拟订相关林业产业地方规划发展体系建设并监督实施，组织、指导林产品质量监督，指导生态扶贫相关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（7）组织编制城乡体系总体规划。参与风景名胜区规划编制工作。负责权限内选址意见书审批、上报工作；负责规划编制、实施、规划许可、行政执法等工作。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8）负责统筹国土空间生态修复。牵头组织编制国土空间生态修复规划并实施有关生态修复重大工程。负责国土空间综合整治、土地整理复垦、矿山地质环境恢复治理等工作。牵头拟订和实施生态保护补偿制度，拟订合理利用社会资金进行生态修复的政策措施。</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9）组织林业和草原生态保护修复及造林绿化工作；组织实施林业和草原生态保护修复工程，指导公益林和商品林的培育，指导、监督全民义务植树、城乡绿化工作；指导林业和草原有害生物防治、检疫工作；承担林业和草原应对气候变化相关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lastRenderedPageBreak/>
        <w:t>（10）负责森林、草原、湿地资源的监督管理；组织编制并监督执行森林采伐限额；负责林地管理，拟订林地保护利用规划并组织实施，管理国有林区的国有森林资源；负责草原禁牧、草畜平衡和草原生态修复治理工作，监督管理草原的开发利用；负责湿地生态保护修复工作，拟订湿地保护规划，监督管理湿地的开发利用。</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（11）贯彻落实最严格的耕地保护制度。贯彻落实国家耕地保护政策并牵头拟订和实施有关政策，负责耕地数量、质量、生态保护。组织实施耕地保护责任目标考核。落实占用耕地补偿制度执行情况。</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（12）负责管理地质勘查工作。负责对市域内实施的地质勘查工作进行监督检查。负责地质灾害预防和治理，监督管理地下水过量开采引发的地面沉降等地质问题。负责古生物化石的监督管理。</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13）负责落实综合防灾减灾规划相关要求，负责行业安全生产相关工作，组织编制地质灾害防治规划。组织指导协调和监督地质灾害调查评价及隐患的普查、详查、排查。指导开展群测群防、专业监测和预报预警等工作，指导开展地质灾害工程治理工作。承担地质灾害应急救援的技术支撑工作。组织编制森林和草原火灾防治规划并监督实施，组织开展林业和草原防火巡护、火源管理、防火设施建设等工作；组织国有林场林区和草原开展宣传教育、监测预警、督促检查等防火工作；必要时，可以提请市应急管理局，以市应急指挥机构名义，部署相关防治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lastRenderedPageBreak/>
        <w:t>（14）负责监督管理荒漠化防治工作；组织开展荒漠调查，研究制定防沙治沙及沙化土地封禁保护区建设规划、相关地方标准和技术规程并监督实施，监督管理沙化土地的开发利用，组织沙尘暴灾害预防预报和应急处置。</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（15）负责矿产资源管理工作。负责矿产资源储量管理及压覆矿产资源审核。负责矿业权管理。监督指导全市矿产资源合理利用和保护。</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16）负责野生动植物资源监督管理；组织开展野生动植物资源调查，监督管理野生动植物救护繁育、栖息地恢复发展及野生动物疫源疫病监测、防控、应急处置。监督管理野生动植物猎捕或采集、驯养繁殖或培植、经营利用。</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17）指导国有林场基本建设和发展，组织林木种子、草种种质资源普查，组织建立种质资源库,负责良种选育推广，管理林木种苗、草种生产经营行为，监管林木种苗、草种质量；监督管理林业和草原生物种质资源、转基因生物安全、植物新品种保护。</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18）负责监督管理各类自然保护地。拟订各类自然保护地规划；负责自然保护区、风景名胜区、地质公园、森林公园等管理工作；负责直接行使所有权的自然保护地的自然资源资产管理和国土空间用途管制；提出新建、调整各类自治区级自然保护地的审核建议，组织审核世界自然遗产的申报，会同有关部门审核世界自然与文化双重遗产的申报；负责生物多样性保护相关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lastRenderedPageBreak/>
        <w:t>（19）负责推进林业和草原改革相关工作；贯彻落实农村林业发展、维护林业经营者合法权益的政策措施，指导农村林地承包经营工作；开展退耕（牧）还林还草，负责天然林保护工作。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（20）负责测绘地理信息管理工作。负责基础测绘和测绘行业管理。负责测绘资质资格与信用管理，监督管理地理信息安全和市场秩序。负责地理信息公共服务管理。负责测量标志保护。</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21）推动自然资源领域科技发展。制定并实施自然资源领域科技创新发展和人才培养规划和计划。组织实施重大科技工程及创新能力建设，推进自然资源信息化和信息资料的公共服务。组织参与自然资源领域对外交流合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Chars="300" w:firstLine="964"/>
        <w:textAlignment w:val="center"/>
        <w:rPr>
          <w:color w:val="000000" w:themeColor="text1"/>
          <w:sz w:val="32"/>
          <w:szCs w:val="32"/>
        </w:rPr>
      </w:pPr>
      <w:r>
        <w:rPr>
          <w:rFonts w:ascii="仿宋_GB2312" w:eastAsia="仿宋_GB2312" w:hint="eastAsia"/>
          <w:b/>
          <w:bCs/>
          <w:color w:val="000000" w:themeColor="text1"/>
          <w:sz w:val="32"/>
          <w:szCs w:val="32"/>
        </w:rPr>
        <w:t>3、年度重点工作计划</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Style w:val="NormalCharacter"/>
          <w:rFonts w:cs="仿宋"/>
          <w:b/>
          <w:bCs/>
          <w:color w:val="000000" w:themeColor="text1"/>
          <w:sz w:val="32"/>
          <w:szCs w:val="32"/>
        </w:rPr>
      </w:pPr>
      <w:r>
        <w:rPr>
          <w:rStyle w:val="NormalCharacter"/>
          <w:rFonts w:cs="仿宋" w:hint="eastAsia"/>
          <w:b/>
          <w:bCs/>
          <w:color w:val="000000" w:themeColor="text1"/>
          <w:sz w:val="32"/>
          <w:szCs w:val="32"/>
        </w:rPr>
        <w:t>（1）加强党的主体责任建设，落实全面从严治党。</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cs="仿宋"/>
          <w:b/>
          <w:bCs/>
          <w:color w:val="000000" w:themeColor="text1"/>
          <w:sz w:val="32"/>
          <w:szCs w:val="32"/>
        </w:rPr>
      </w:pPr>
      <w:r>
        <w:rPr>
          <w:rStyle w:val="NormalCharacter"/>
          <w:rFonts w:cs="仿宋" w:hint="eastAsia"/>
          <w:color w:val="000000" w:themeColor="text1"/>
          <w:sz w:val="32"/>
          <w:szCs w:val="32"/>
        </w:rPr>
        <w:t>一是加强政治建设。以提升政治功能和组织力为重点，在强基础、补短板上下功夫。持续抓好政治理论学习，坚持专人领学和个人自学相结合，严格落实党组中心组理论学习及党员集中学习制度，抓好支部党员教育管理常规工作。二是做好党风廉政及反腐败工作。进一步落实好党风廉政建设责任制，强化廉政警示教育。深入贯彻落实中央八项规定，聚焦隐形变异“四风”问题，加强监督检查，推进廉政教育常态化。三是严格落实意识形态工作责任制。把意识形态工作作为民主生活会、组织生活会、述职报告、履行党建责任制的重要组成部分，及时了解、掌握，定期分析单位内意识</w:t>
      </w:r>
      <w:r>
        <w:rPr>
          <w:rStyle w:val="NormalCharacter"/>
          <w:rFonts w:cs="仿宋" w:hint="eastAsia"/>
          <w:color w:val="000000" w:themeColor="text1"/>
          <w:sz w:val="32"/>
          <w:szCs w:val="32"/>
        </w:rPr>
        <w:lastRenderedPageBreak/>
        <w:t>形态领域新情况新动向，教育引导党员明辨是非、澄清模糊认识。</w:t>
      </w:r>
      <w:r>
        <w:rPr>
          <w:rStyle w:val="NormalCharacter"/>
          <w:rFonts w:cs="仿宋" w:hint="eastAsia"/>
          <w:color w:val="000000" w:themeColor="text1"/>
          <w:sz w:val="32"/>
          <w:szCs w:val="32"/>
        </w:rPr>
        <w:br/>
        <w:t xml:space="preserve">   </w:t>
      </w:r>
      <w:r>
        <w:rPr>
          <w:rStyle w:val="NormalCharacter"/>
          <w:rFonts w:cs="仿宋" w:hint="eastAsia"/>
          <w:b/>
          <w:bCs/>
          <w:color w:val="000000" w:themeColor="text1"/>
          <w:sz w:val="32"/>
          <w:szCs w:val="32"/>
        </w:rPr>
        <w:t>（2）深入开展重点领域改革，进一步优化营商环境。</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kern w:val="0"/>
          <w:sz w:val="32"/>
          <w:szCs w:val="32"/>
        </w:rPr>
      </w:pPr>
      <w:r>
        <w:rPr>
          <w:rStyle w:val="NormalCharacter"/>
          <w:rFonts w:ascii="仿宋_GB2312" w:eastAsia="仿宋_GB2312" w:hAnsi="仿宋_GB2312"/>
          <w:color w:val="000000" w:themeColor="text1"/>
          <w:kern w:val="0"/>
          <w:sz w:val="32"/>
          <w:szCs w:val="32"/>
        </w:rPr>
        <w:t>聚焦人民群众需求，全面落实</w:t>
      </w:r>
      <w:r>
        <w:rPr>
          <w:rStyle w:val="NormalCharacter"/>
          <w:rFonts w:ascii="仿宋_GB2312" w:eastAsia="仿宋_GB2312" w:hAnsi="仿宋_GB2312" w:hint="eastAsia"/>
          <w:color w:val="000000" w:themeColor="text1"/>
          <w:kern w:val="0"/>
          <w:sz w:val="32"/>
          <w:szCs w:val="32"/>
        </w:rPr>
        <w:t>区、州、市</w:t>
      </w:r>
      <w:r>
        <w:rPr>
          <w:rStyle w:val="NormalCharacter"/>
          <w:rFonts w:ascii="仿宋_GB2312" w:eastAsia="仿宋_GB2312" w:hAnsi="仿宋_GB2312"/>
          <w:color w:val="000000" w:themeColor="text1"/>
          <w:kern w:val="0"/>
          <w:sz w:val="32"/>
          <w:szCs w:val="32"/>
        </w:rPr>
        <w:t>优化营商环境</w:t>
      </w:r>
      <w:r>
        <w:rPr>
          <w:rStyle w:val="NormalCharacter"/>
          <w:rFonts w:ascii="仿宋_GB2312" w:eastAsia="仿宋_GB2312" w:hAnsi="仿宋_GB2312" w:hint="eastAsia"/>
          <w:color w:val="000000" w:themeColor="text1"/>
          <w:kern w:val="0"/>
          <w:sz w:val="32"/>
          <w:szCs w:val="32"/>
        </w:rPr>
        <w:t>会议精神</w:t>
      </w:r>
      <w:r>
        <w:rPr>
          <w:rStyle w:val="NormalCharacter"/>
          <w:rFonts w:ascii="仿宋_GB2312" w:eastAsia="仿宋_GB2312" w:hAnsi="仿宋_GB2312"/>
          <w:color w:val="000000" w:themeColor="text1"/>
          <w:kern w:val="0"/>
          <w:sz w:val="32"/>
          <w:szCs w:val="32"/>
        </w:rPr>
        <w:t>，稳步推进“放管服”各项改革工作，不断提升行政效能。创新工作方式，建设昌吉市不动产登记与交易系统平台</w:t>
      </w:r>
      <w:r>
        <w:rPr>
          <w:rStyle w:val="NormalCharacter"/>
          <w:rFonts w:ascii="仿宋_GB2312" w:eastAsia="仿宋_GB2312" w:hAnsi="仿宋_GB2312" w:hint="eastAsia"/>
          <w:color w:val="000000" w:themeColor="text1"/>
          <w:kern w:val="0"/>
          <w:sz w:val="32"/>
          <w:szCs w:val="32"/>
        </w:rPr>
        <w:t>，完成</w:t>
      </w:r>
      <w:r>
        <w:rPr>
          <w:rStyle w:val="NormalCharacter"/>
          <w:rFonts w:ascii="仿宋_GB2312" w:eastAsia="仿宋_GB2312" w:hAnsi="仿宋_GB2312"/>
          <w:color w:val="000000" w:themeColor="text1"/>
          <w:kern w:val="0"/>
          <w:sz w:val="32"/>
          <w:szCs w:val="32"/>
        </w:rPr>
        <w:t>上线运行。逐步推进“互联网+不动产”的各项不动产登记服务模式，所有不动产登记在5个工作日内，实现不动产登记服务质量和效率增速提档。</w:t>
      </w:r>
      <w:r>
        <w:rPr>
          <w:rFonts w:ascii="仿宋_GB2312" w:eastAsia="仿宋_GB2312" w:hAnsi="仿宋_GB2312" w:cs="仿宋_GB2312" w:hint="eastAsia"/>
          <w:color w:val="000000" w:themeColor="text1"/>
          <w:sz w:val="32"/>
          <w:szCs w:val="32"/>
        </w:rPr>
        <w:t>2022年完成经济目标任务400万元，发放不动产权证书及证明3万本。</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Style w:val="NormalCharacter"/>
          <w:rFonts w:cs="仿宋"/>
          <w:b/>
          <w:bCs/>
          <w:color w:val="000000" w:themeColor="text1"/>
          <w:sz w:val="32"/>
          <w:szCs w:val="32"/>
        </w:rPr>
      </w:pPr>
      <w:r>
        <w:rPr>
          <w:rStyle w:val="NormalCharacter"/>
          <w:rFonts w:cs="仿宋" w:hint="eastAsia"/>
          <w:b/>
          <w:bCs/>
          <w:color w:val="000000" w:themeColor="text1"/>
          <w:sz w:val="32"/>
          <w:szCs w:val="32"/>
        </w:rPr>
        <w:t>（3）推进规划体系建设。</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cs="仿宋"/>
          <w:color w:val="000000" w:themeColor="text1"/>
          <w:sz w:val="32"/>
          <w:szCs w:val="32"/>
        </w:rPr>
      </w:pPr>
      <w:r>
        <w:rPr>
          <w:rFonts w:cs="仿宋" w:hint="eastAsia"/>
          <w:color w:val="000000" w:themeColor="text1"/>
          <w:sz w:val="32"/>
          <w:szCs w:val="32"/>
        </w:rPr>
        <w:t>根据中共中央国务院、区、州关于全面开展国土空间（总体）规划编制的相关要求和工作安排，高质量、高标准完成昌吉一市两区国土空间总体规划的编制和报批，建设完成国土空间规划规划成果数据库，实现“多规合一”，区域、兵地、一市两区产业融合、资源要素优化配置；做好与乌鲁木齐都市圈规划、周边兵团总体规划、我市“十四五”规划和各类专项规划的衔接，为构建全市统一、责权清晰、科学高效的国土空间规划体系和我市“十四五”重点项目落地迈好第一步。按照区、州相关部署要求，协助农业园区和高新区做好农业园区和高新区国土空间专项规划的编制工作；协助各乡镇做好乡镇国土空间规划和实用性村庄规划编制工作；协助各部门做好各类专项规划的指导和国土空间总体规划衔接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Style w:val="NormalCharacter"/>
          <w:rFonts w:cs="仿宋"/>
          <w:b/>
          <w:bCs/>
          <w:color w:val="000000" w:themeColor="text1"/>
          <w:sz w:val="32"/>
          <w:szCs w:val="32"/>
        </w:rPr>
      </w:pPr>
      <w:r>
        <w:rPr>
          <w:rStyle w:val="NormalCharacter"/>
          <w:rFonts w:cs="仿宋" w:hint="eastAsia"/>
          <w:b/>
          <w:bCs/>
          <w:color w:val="000000" w:themeColor="text1"/>
          <w:sz w:val="32"/>
          <w:szCs w:val="32"/>
        </w:rPr>
        <w:lastRenderedPageBreak/>
        <w:t>（4）扎实推进耕地保护，农村乱占耕地建房整治工作。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一是切实加强我市耕地保护，严厉打击各类非法占用耕地建房行为，按时完成昌吉市农村乱占耕地建房问题专项清查整治工作，确保我市耕地总量平衡。二是做好耕地保护工作，按照国家统一部署，进一步做好基本农田调整补足工作，确保“三条红线”尽快划定。</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Style w:val="NormalCharacter"/>
          <w:rFonts w:cs="仿宋"/>
          <w:b/>
          <w:bCs/>
          <w:color w:val="000000" w:themeColor="text1"/>
          <w:sz w:val="32"/>
          <w:szCs w:val="32"/>
        </w:rPr>
      </w:pPr>
      <w:r>
        <w:rPr>
          <w:rStyle w:val="NormalCharacter"/>
          <w:rFonts w:cs="仿宋" w:hint="eastAsia"/>
          <w:b/>
          <w:bCs/>
          <w:color w:val="000000" w:themeColor="text1"/>
          <w:sz w:val="32"/>
          <w:szCs w:val="32"/>
        </w:rPr>
        <w:t>（5）盘活存量土地，加大土地供应力度。</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sz w:val="32"/>
          <w:szCs w:val="32"/>
        </w:rPr>
      </w:pPr>
      <w:r>
        <w:rPr>
          <w:rStyle w:val="NormalCharacter"/>
          <w:rFonts w:ascii="仿宋_GB2312" w:eastAsia="仿宋_GB2312" w:hAnsi="仿宋_GB2312" w:hint="eastAsia"/>
          <w:color w:val="000000" w:themeColor="text1"/>
          <w:sz w:val="32"/>
          <w:szCs w:val="32"/>
        </w:rPr>
        <w:t>根据上级下达的任务指标，持续围绕存量土地做好招商引资项目土地供应服务，加大力度去库存，增加土地出让收入。做好2022年经营性、非经营性项目用地供应工作，完成上级下达批而未供土地、闲置土地消化任务及2022年经济指标。完成2022年供地计划、</w:t>
      </w:r>
      <w:r w:rsidR="002714F9">
        <w:rPr>
          <w:rStyle w:val="NormalCharacter"/>
          <w:rFonts w:ascii="仿宋_GB2312" w:eastAsia="仿宋_GB2312" w:hAnsi="仿宋_GB2312" w:hint="eastAsia"/>
          <w:color w:val="000000" w:themeColor="text1"/>
          <w:sz w:val="32"/>
          <w:szCs w:val="32"/>
        </w:rPr>
        <w:t>2022</w:t>
      </w:r>
      <w:r>
        <w:rPr>
          <w:rStyle w:val="NormalCharacter"/>
          <w:rFonts w:ascii="仿宋_GB2312" w:eastAsia="仿宋_GB2312" w:hAnsi="仿宋_GB2312" w:hint="eastAsia"/>
          <w:color w:val="000000" w:themeColor="text1"/>
          <w:sz w:val="32"/>
          <w:szCs w:val="32"/>
        </w:rPr>
        <w:t>年地价动态监测、2022年土地储备计划编制工作。跟踪推进土地市场动态监测监管系统各项预警信息，做好出让金巡查、交地巡查、公示巡查、开竣工巡查、闲置土地巡查工作，及时上传项目信息，提高预警信息处置率。</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Style w:val="NormalCharacter"/>
          <w:rFonts w:cs="仿宋"/>
          <w:b/>
          <w:bCs/>
          <w:color w:val="000000" w:themeColor="text1"/>
          <w:sz w:val="32"/>
          <w:szCs w:val="32"/>
        </w:rPr>
      </w:pPr>
      <w:r>
        <w:rPr>
          <w:rStyle w:val="NormalCharacter"/>
          <w:rFonts w:cs="仿宋" w:hint="eastAsia"/>
          <w:b/>
          <w:bCs/>
          <w:color w:val="000000" w:themeColor="text1"/>
          <w:sz w:val="32"/>
          <w:szCs w:val="32"/>
        </w:rPr>
        <w:t>（6）加快重点项目建设用地报批跟进工作。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kern w:val="0"/>
          <w:sz w:val="32"/>
          <w:szCs w:val="32"/>
        </w:rPr>
      </w:pPr>
      <w:r>
        <w:rPr>
          <w:rStyle w:val="NormalCharacter"/>
          <w:rFonts w:ascii="仿宋_GB2312" w:eastAsia="仿宋_GB2312" w:hAnsi="仿宋_GB2312" w:hint="eastAsia"/>
          <w:color w:val="000000" w:themeColor="text1"/>
          <w:kern w:val="0"/>
          <w:sz w:val="32"/>
          <w:szCs w:val="32"/>
        </w:rPr>
        <w:t>一是</w:t>
      </w:r>
      <w:r>
        <w:rPr>
          <w:rStyle w:val="NormalCharacter"/>
          <w:rFonts w:ascii="仿宋_GB2312" w:eastAsia="仿宋_GB2312" w:hAnsi="仿宋_GB2312"/>
          <w:color w:val="000000" w:themeColor="text1"/>
          <w:kern w:val="0"/>
          <w:sz w:val="32"/>
          <w:szCs w:val="32"/>
        </w:rPr>
        <w:t>推进用地规划“多审合一、多证合一”改革，落实合并用地预审和规划选址，做好我市重点项目及其他建设用地的上报审批工作。完成项目用地的征收工作。</w:t>
      </w:r>
      <w:r>
        <w:rPr>
          <w:rStyle w:val="NormalCharacter"/>
          <w:rFonts w:ascii="仿宋_GB2312" w:eastAsia="仿宋_GB2312" w:hAnsi="仿宋_GB2312" w:hint="eastAsia"/>
          <w:color w:val="000000" w:themeColor="text1"/>
          <w:kern w:val="0"/>
          <w:sz w:val="32"/>
          <w:szCs w:val="32"/>
        </w:rPr>
        <w:t>二是</w:t>
      </w:r>
      <w:r>
        <w:rPr>
          <w:rStyle w:val="NormalCharacter"/>
          <w:rFonts w:ascii="仿宋_GB2312" w:eastAsia="仿宋_GB2312" w:hAnsi="仿宋_GB2312"/>
          <w:color w:val="000000" w:themeColor="text1"/>
          <w:kern w:val="0"/>
          <w:sz w:val="32"/>
          <w:szCs w:val="32"/>
        </w:rPr>
        <w:t>积极争取建设用地指标，全力保障项目落地。对重点项目、重大工程等基础设施建设用地需求，提前介入、主动服务，全力做好各类用地的指标申请、规划预审等前期工作，提高报批速度及质量，优化营商服务环境。</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Style w:val="NormalCharacter"/>
          <w:rFonts w:cs="仿宋"/>
          <w:b/>
          <w:bCs/>
          <w:color w:val="000000" w:themeColor="text1"/>
          <w:sz w:val="32"/>
          <w:szCs w:val="32"/>
        </w:rPr>
      </w:pPr>
      <w:r>
        <w:rPr>
          <w:rStyle w:val="NormalCharacter"/>
          <w:rFonts w:cs="仿宋" w:hint="eastAsia"/>
          <w:b/>
          <w:bCs/>
          <w:color w:val="000000" w:themeColor="text1"/>
          <w:sz w:val="32"/>
          <w:szCs w:val="32"/>
        </w:rPr>
        <w:lastRenderedPageBreak/>
        <w:t>（7）加矿产资源管理工作。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Style w:val="NormalCharacter"/>
          <w:rFonts w:ascii="仿宋_GB2312" w:eastAsia="仿宋_GB2312" w:hAnsi="仿宋_GB2312"/>
          <w:color w:val="000000" w:themeColor="text1"/>
          <w:kern w:val="0"/>
          <w:sz w:val="32"/>
          <w:szCs w:val="32"/>
        </w:rPr>
      </w:pPr>
      <w:r>
        <w:rPr>
          <w:rStyle w:val="NormalCharacter"/>
          <w:rFonts w:ascii="仿宋_GB2312" w:eastAsia="仿宋_GB2312" w:hAnsi="仿宋_GB2312" w:hint="eastAsia"/>
          <w:color w:val="000000" w:themeColor="text1"/>
          <w:kern w:val="0"/>
          <w:sz w:val="32"/>
          <w:szCs w:val="32"/>
        </w:rPr>
        <w:t>继续加快推进矿产资源领域无证开采等违法行为专项整治工作,严厉打击无证开采矿产资源违法行为。坚决制止私挖乱采矿产资源违法行为和全面清查超层越界开采矿产资源行为，构成犯罪的，坚绝依法移送司法机关。按照《探矿权采矿权管理办法》等有关规定，继续做好矿政管理工作。做好20号建筑用砂矿采矿权的拍卖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Style w:val="NormalCharacter"/>
          <w:rFonts w:cs="仿宋"/>
          <w:b/>
          <w:bCs/>
          <w:color w:val="000000" w:themeColor="text1"/>
          <w:sz w:val="32"/>
          <w:szCs w:val="32"/>
        </w:rPr>
      </w:pPr>
      <w:r>
        <w:rPr>
          <w:rStyle w:val="NormalCharacter"/>
          <w:rFonts w:cs="仿宋" w:hint="eastAsia"/>
          <w:b/>
          <w:bCs/>
          <w:color w:val="000000" w:themeColor="text1"/>
          <w:sz w:val="32"/>
          <w:szCs w:val="32"/>
        </w:rPr>
        <w:t>（8）夯实自然资源基础工作。</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jc w:val="left"/>
        <w:textAlignment w:val="center"/>
        <w:rPr>
          <w:rFonts w:ascii="仿宋_GB2312" w:eastAsia="仿宋_GB2312" w:hAnsi="仿宋_GB2312" w:cs="仿宋_GB2312"/>
          <w:color w:val="000000" w:themeColor="text1"/>
          <w:sz w:val="32"/>
          <w:szCs w:val="32"/>
        </w:rPr>
      </w:pPr>
      <w:r>
        <w:rPr>
          <w:rFonts w:cs="仿宋" w:hint="eastAsia"/>
          <w:color w:val="000000" w:themeColor="text1"/>
          <w:sz w:val="32"/>
          <w:szCs w:val="32"/>
        </w:rPr>
        <w:t>一是根据国家、自治区三调办核查情况，完成好三调数据库调查成果的验收工作。二是继续做好农村宅基地及住房确权登记发证工作。按照上级要求完成</w:t>
      </w:r>
      <w:r>
        <w:rPr>
          <w:rFonts w:ascii="仿宋_GB2312" w:eastAsia="仿宋_GB2312" w:hAnsi="仿宋_GB2312" w:cs="仿宋_GB2312" w:hint="eastAsia"/>
          <w:color w:val="000000" w:themeColor="text1"/>
          <w:sz w:val="32"/>
          <w:szCs w:val="32"/>
        </w:rPr>
        <w:t xml:space="preserve">宅基地及集体建设用地确权登记工作。三是组织好各测绘资质单位做好测绘成果目录的汇交工作及各类报表的上报工作。继续做好测量标志点的巡查、维护及宣传保护工作，为提供利用提供有力保障。         </w:t>
      </w:r>
    </w:p>
    <w:p w:rsidR="00073312" w:rsidRDefault="00D02152">
      <w:pPr>
        <w:widowControl/>
        <w:numPr>
          <w:ilvl w:val="0"/>
          <w:numId w:val="1"/>
        </w:numPr>
        <w:pBdr>
          <w:top w:val="none" w:sz="0" w:space="0" w:color="000000"/>
          <w:left w:val="none" w:sz="0" w:space="0" w:color="000000"/>
          <w:bottom w:val="none" w:sz="0" w:space="31" w:color="000000"/>
          <w:right w:val="none" w:sz="0" w:space="11" w:color="000000"/>
        </w:pBdr>
        <w:suppressAutoHyphens/>
        <w:ind w:firstLine="643"/>
        <w:jc w:val="left"/>
        <w:textAlignment w:val="center"/>
        <w:rPr>
          <w:rFonts w:ascii="楷体" w:eastAsia="楷体" w:hAnsi="楷体" w:cs="楷体"/>
          <w:b/>
          <w:sz w:val="32"/>
          <w:szCs w:val="32"/>
        </w:rPr>
      </w:pPr>
      <w:r>
        <w:rPr>
          <w:rFonts w:ascii="楷体" w:eastAsia="楷体" w:hAnsi="楷体" w:cs="楷体" w:hint="eastAsia"/>
          <w:b/>
          <w:sz w:val="32"/>
          <w:szCs w:val="32"/>
        </w:rPr>
        <w:t>坚持生态优先，统筹城乡绿化</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jc w:val="left"/>
        <w:textAlignment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一是完成市级林长巡林11次，乡镇级林长巡林489次，村级林长巡林2066人次，全面自查森林资源保护发展中的情况，及时收集整理巡林工作中的相关信息，主要存在枯死木清理未完成、主干道树枝影响行人及交通安全、林地内有易燃物、枯枝杂草等火灾隐患。各乡镇实时总结巡林工作开展情况并上报市林长制办，市级林长发现问题4个，乡镇级林长发现问题5个，村级林长发现问题17个。对在巡林中发现的问题，开展立查立改，认真建立好巡林问题清单台账和整改台账，落实整改措施，目前均在限期内完成巡林问题</w:t>
      </w:r>
      <w:r>
        <w:rPr>
          <w:rFonts w:ascii="仿宋_GB2312" w:eastAsia="仿宋_GB2312" w:hAnsi="仿宋_GB2312" w:cs="仿宋_GB2312" w:hint="eastAsia"/>
          <w:sz w:val="32"/>
          <w:szCs w:val="32"/>
        </w:rPr>
        <w:lastRenderedPageBreak/>
        <w:t>的整改；二是完成造林面积28500亩。</w:t>
      </w:r>
      <w:r>
        <w:rPr>
          <w:rFonts w:cs="仿宋" w:hint="eastAsia"/>
          <w:kern w:val="1"/>
          <w:sz w:val="32"/>
        </w:rPr>
        <w:t>完成人工造灌木林3500亩，退化林修复2000亩；</w:t>
      </w:r>
      <w:r>
        <w:rPr>
          <w:rFonts w:ascii="仿宋_GB2312" w:eastAsia="仿宋_GB2312" w:hAnsi="仿宋_GB2312" w:cs="仿宋_GB2312" w:hint="eastAsia"/>
          <w:sz w:val="32"/>
          <w:szCs w:val="32"/>
        </w:rPr>
        <w:t>完成6个乡镇</w:t>
      </w:r>
      <w:r>
        <w:rPr>
          <w:rFonts w:cs="仿宋" w:hint="eastAsia"/>
          <w:kern w:val="1"/>
          <w:sz w:val="32"/>
        </w:rPr>
        <w:t>10个村庄绿化</w:t>
      </w:r>
      <w:r>
        <w:rPr>
          <w:rFonts w:ascii="仿宋_GB2312" w:eastAsia="仿宋_GB2312" w:hAnsi="仿宋_GB2312" w:cs="仿宋_GB2312" w:hint="eastAsia"/>
          <w:sz w:val="32"/>
          <w:szCs w:val="32"/>
        </w:rPr>
        <w:t>美化</w:t>
      </w:r>
      <w:r>
        <w:rPr>
          <w:rFonts w:cs="仿宋" w:hint="eastAsia"/>
          <w:kern w:val="1"/>
          <w:sz w:val="32"/>
        </w:rPr>
        <w:t>，</w:t>
      </w:r>
      <w:r>
        <w:rPr>
          <w:rFonts w:ascii="仿宋_GB2312" w:eastAsia="仿宋_GB2312" w:hAnsi="仿宋_GB2312" w:cs="仿宋_GB2312" w:hint="eastAsia"/>
          <w:sz w:val="32"/>
          <w:szCs w:val="32"/>
        </w:rPr>
        <w:t>新增绿化面积800亩</w:t>
      </w:r>
      <w:r>
        <w:rPr>
          <w:rFonts w:cs="仿宋" w:hint="eastAsia"/>
          <w:kern w:val="1"/>
          <w:sz w:val="32"/>
        </w:rPr>
        <w:t>；新一轮退耕还林补植补造18100亩；道路、农田防护林枯死木清理及更新造林3844.5亩</w:t>
      </w:r>
      <w:r>
        <w:rPr>
          <w:rFonts w:ascii="仿宋_GB2312" w:eastAsia="仿宋_GB2312" w:hAnsi="仿宋_GB2312" w:cs="仿宋_GB2312" w:hint="eastAsia"/>
          <w:kern w:val="1"/>
          <w:sz w:val="32"/>
          <w:szCs w:val="32"/>
        </w:rPr>
        <w:t>；</w:t>
      </w:r>
      <w:r>
        <w:rPr>
          <w:rFonts w:ascii="仿宋_GB2312" w:eastAsia="仿宋_GB2312" w:hAnsi="仿宋_GB2312" w:cs="仿宋_GB2312" w:hint="eastAsia"/>
          <w:sz w:val="32"/>
          <w:szCs w:val="32"/>
        </w:rPr>
        <w:t>深入开展2022年自治区级乡村绿化美化项目</w:t>
      </w:r>
      <w:r>
        <w:rPr>
          <w:rFonts w:ascii="仿宋_GB2312" w:eastAsia="仿宋_GB2312" w:hAnsi="仿宋_GB2312" w:cs="仿宋_GB2312" w:hint="eastAsia"/>
          <w:kern w:val="1"/>
          <w:sz w:val="32"/>
          <w:szCs w:val="32"/>
        </w:rPr>
        <w:t>，助力乡村振兴</w:t>
      </w:r>
      <w:r>
        <w:rPr>
          <w:rFonts w:ascii="仿宋_GB2312" w:eastAsia="仿宋_GB2312" w:hAnsi="仿宋_GB2312" w:cs="仿宋_GB2312" w:hint="eastAsia"/>
          <w:sz w:val="32"/>
          <w:szCs w:val="32"/>
        </w:rPr>
        <w:t>。完成昌吉市1个乡镇2个村庄绿化美化（六工镇西五工村、下六工村），目前已完成实施，待竣工验收；持续做好三工滩义务植树基地、三屯河、大沙河义务植树基地、三工路、南山伴行公路共计31500亩生态林林地林木管护。春季，全市上下组织机关干部、群众等6万余人开展义务植树，</w:t>
      </w:r>
      <w:r>
        <w:rPr>
          <w:rStyle w:val="NormalCharacter"/>
          <w:rFonts w:ascii="仿宋_GB2312" w:eastAsia="仿宋_GB2312" w:hAnsi="仿宋_GB2312" w:cs="仿宋_GB2312" w:hint="eastAsia"/>
          <w:sz w:val="32"/>
          <w:szCs w:val="32"/>
        </w:rPr>
        <w:t>完成三工滩、大沙河、三屯河两岸、城区公园景区内17500亩的杂草清理、林地平整、树木修枝、涂白等工作；三是</w:t>
      </w:r>
      <w:r>
        <w:rPr>
          <w:rFonts w:ascii="仿宋_GB2312" w:eastAsia="仿宋_GB2312" w:hAnsi="仿宋_GB2312" w:cs="仿宋_GB2312" w:hint="eastAsia"/>
          <w:sz w:val="32"/>
          <w:szCs w:val="32"/>
        </w:rPr>
        <w:t>不断加强退耕还林管理。昌吉市2015-2018年新一轮退耕还林面积15万亩，验收合格面积14.25万亩、合格率95%；到位资金23900万元，兑付资金20619万元、兑付率86.27%。2022年委托第三方完成新一轮退耕还林验收，并兑付2018年退耕还林资金3777万元，资金兑付率达94.45％（乡村振兴考核指标85％以上）。同时，积极做好退耕还林补植补造，确保切实做好国家林草局对2017-2018年度退耕还林进行国家核查迎检工作；四是加强宣传。采取多种形式开展森林草原宣传工作。利用“6.17荒漠化日”、“爱鸟周”、巡护等发放宣传单12424多份；联合昌吉市融媒体中心，对北部荒漠区生态保护、项目建设进展情况、林业技术培训、植被恢复长势情况开展宣传报道。</w:t>
      </w:r>
      <w:r>
        <w:rPr>
          <w:rFonts w:ascii="仿宋_GB2312" w:eastAsia="仿宋_GB2312" w:hAnsi="仿宋_GB2312" w:cs="仿宋_GB2312" w:hint="eastAsia"/>
          <w:bCs/>
          <w:sz w:val="32"/>
          <w:szCs w:val="32"/>
        </w:rPr>
        <w:t>组织干部职工、群众学习《森林法》、</w:t>
      </w:r>
      <w:r>
        <w:rPr>
          <w:rFonts w:ascii="仿宋_GB2312" w:eastAsia="仿宋_GB2312" w:hAnsi="仿宋_GB2312" w:cs="仿宋_GB2312" w:hint="eastAsia"/>
          <w:bCs/>
          <w:sz w:val="32"/>
          <w:szCs w:val="32"/>
        </w:rPr>
        <w:lastRenderedPageBreak/>
        <w:t>《草原法》、《野生动植物保护法》等相关法律法规，提高全社会生态保护意识。</w:t>
      </w:r>
      <w:r>
        <w:rPr>
          <w:rFonts w:ascii="仿宋_GB2312" w:eastAsia="仿宋_GB2312" w:hAnsi="仿宋_GB2312" w:cs="仿宋_GB2312" w:hint="eastAsia"/>
          <w:sz w:val="32"/>
          <w:szCs w:val="32"/>
        </w:rPr>
        <w:t>昌吉市居民对昌吉市创建国家森林城市的知晓率为97%，满意率为98%，支持率为100%。</w:t>
      </w:r>
    </w:p>
    <w:p w:rsidR="00073312" w:rsidRDefault="00D02152">
      <w:pPr>
        <w:widowControl/>
        <w:numPr>
          <w:ilvl w:val="0"/>
          <w:numId w:val="1"/>
        </w:numPr>
        <w:pBdr>
          <w:top w:val="none" w:sz="0" w:space="0" w:color="000000"/>
          <w:left w:val="none" w:sz="0" w:space="0" w:color="000000"/>
          <w:bottom w:val="none" w:sz="0" w:space="31" w:color="000000"/>
          <w:right w:val="none" w:sz="0" w:space="11" w:color="000000"/>
        </w:pBdr>
        <w:suppressAutoHyphens/>
        <w:ind w:firstLine="643"/>
        <w:jc w:val="left"/>
        <w:textAlignment w:val="center"/>
        <w:rPr>
          <w:rFonts w:ascii="Times New Roman" w:eastAsia="仿宋_GB2312" w:hAnsi="Times New Roman"/>
          <w:sz w:val="32"/>
          <w:szCs w:val="32"/>
        </w:rPr>
      </w:pPr>
      <w:r>
        <w:rPr>
          <w:rFonts w:ascii="楷体" w:eastAsia="楷体" w:hAnsi="楷体" w:cs="楷体" w:hint="eastAsia"/>
          <w:b/>
          <w:bCs/>
          <w:sz w:val="32"/>
          <w:szCs w:val="32"/>
        </w:rPr>
        <w:t>强化依法治林，维护生态安全</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jc w:val="left"/>
        <w:textAlignment w:val="center"/>
        <w:rPr>
          <w:rFonts w:ascii="仿宋_GB2312" w:eastAsia="仿宋_GB2312" w:hAnsi="仿宋_GB2312" w:cs="仿宋_GB2312"/>
          <w:bCs/>
          <w:sz w:val="32"/>
          <w:szCs w:val="32"/>
        </w:rPr>
      </w:pPr>
      <w:r>
        <w:rPr>
          <w:rFonts w:ascii="仿宋_GB2312" w:eastAsia="仿宋_GB2312" w:hAnsi="仿宋_GB2312" w:cs="仿宋_GB2312" w:hint="eastAsia"/>
          <w:color w:val="000000"/>
          <w:sz w:val="32"/>
          <w:szCs w:val="32"/>
        </w:rPr>
        <w:t>一是对涉及昌吉市61个图斑通过核对森林资源管理“一张图”、卫片查验及现场勘察，集中技术力量对疑似问题图斑及其他发现的违法违规占用林地、灾害木清理及偷砍盗伐地块进行全面核查，建立案件台账管理和查处销号制度，实行案件查处情况动态管理；二是受理征占用林地事项共51宗，使用林地面积共96.72公顷，已收到自治区及昌吉州批复6宗。办理林权抵押数量4 宗，抵押面积合计2120.45亩，抵押金额共计570万元。配合行政审批局做好林木采伐前期审核工作，完成全市预采伐点现场调查303处，审核林木采伐事项240宗，采伐蓄积1171.3立方米；三是</w:t>
      </w:r>
      <w:r>
        <w:rPr>
          <w:rFonts w:ascii="仿宋_GB2312" w:eastAsia="仿宋_GB2312" w:hAnsi="仿宋_GB2312" w:cs="仿宋_GB2312" w:hint="eastAsia"/>
          <w:bCs/>
          <w:sz w:val="32"/>
          <w:szCs w:val="32"/>
        </w:rPr>
        <w:t>开展防火设备培训2次，熟悉现有的防火设备并进行维护，有计划地开展小范围扑火演练18次。其中管护站联合演练1次，与乡镇联合演练1次。更新禁火令宣传牌4个。进入防火期以来，管护站常态化开展林区巡查检查3487次2308人次，排查林区火灾隐患，巡查贯穿林区龙一线、沙南线、红北线3条输配电线，其中制止野外用火33次，宣传11716次4340人次，发放宣传单3000余份，推广防火码515人次；四是切实抓好森林病虫害防治和苗木检疫工作，</w:t>
      </w:r>
      <w:r>
        <w:rPr>
          <w:rFonts w:ascii="仿宋_GB2312" w:eastAsia="仿宋_GB2312" w:hAnsi="仿宋_GB2312" w:cs="仿宋_GB2312" w:hint="eastAsia"/>
          <w:sz w:val="32"/>
          <w:szCs w:val="32"/>
        </w:rPr>
        <w:t>春季根据监测预报结果，督促各乡镇进行病虫害防治工作，下发食叶害虫防治药剂1400公斤，各类食叶害虫防治面积2.1万亩，林业有害</w:t>
      </w:r>
      <w:r>
        <w:rPr>
          <w:rFonts w:ascii="仿宋_GB2312" w:eastAsia="仿宋_GB2312" w:hAnsi="仿宋_GB2312" w:cs="仿宋_GB2312" w:hint="eastAsia"/>
          <w:sz w:val="32"/>
          <w:szCs w:val="32"/>
        </w:rPr>
        <w:lastRenderedPageBreak/>
        <w:t>生物成灾率为０，食叶害虫无公害防治率达到了100%，完成苗木产地检疫5.26万亩，产地检疫率达100%；复检苗木48.65万株，均未发现检疫性、危险性林业有害生物；五是</w:t>
      </w:r>
      <w:r>
        <w:rPr>
          <w:rFonts w:ascii="仿宋_GB2312" w:eastAsia="仿宋_GB2312" w:hAnsi="仿宋_GB2312" w:cs="仿宋_GB2312" w:hint="eastAsia"/>
          <w:bCs/>
          <w:sz w:val="32"/>
          <w:szCs w:val="32"/>
        </w:rPr>
        <w:t>做好野生动植物保护工作。开展昌吉市“2022清风行动”、“野生动植物日”“第2022年新疆第41届野生动物保护宣传月暨“爱鸟周”活动”宣传活动，发放宣传单2800余份。各管护站开展野生动物疫源疫病监测114次，共救助野生动物18只，治愈后放飞2只，因救护无效无害化处理2起。组成联合检查组对北部荒漠、野生动物疫源疫病监测点、野生动物室内展馆、花鸟鱼市场、药店等场所进行巡查，共出动执法车辆22辆，人员32人次，发放宣传单册300余份。北部荒漠区出动巡查管护员1848人次、宣传4644人次。</w:t>
      </w:r>
    </w:p>
    <w:p w:rsidR="00073312" w:rsidRDefault="00D02152">
      <w:pPr>
        <w:widowControl/>
        <w:numPr>
          <w:ilvl w:val="0"/>
          <w:numId w:val="1"/>
        </w:numPr>
        <w:pBdr>
          <w:top w:val="none" w:sz="0" w:space="0" w:color="000000"/>
          <w:left w:val="none" w:sz="0" w:space="0" w:color="000000"/>
          <w:bottom w:val="none" w:sz="0" w:space="31" w:color="000000"/>
          <w:right w:val="none" w:sz="0" w:space="11" w:color="000000"/>
        </w:pBdr>
        <w:suppressAutoHyphens/>
        <w:ind w:firstLine="643"/>
        <w:jc w:val="left"/>
        <w:textAlignment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坚持统筹推进，扎实开展林草项目建设</w:t>
      </w:r>
    </w:p>
    <w:p w:rsidR="00073312" w:rsidRDefault="00D02152">
      <w:pPr>
        <w:widowControl/>
        <w:pBdr>
          <w:top w:val="none" w:sz="0" w:space="0" w:color="000000"/>
          <w:left w:val="none" w:sz="0" w:space="0" w:color="000000"/>
          <w:bottom w:val="none" w:sz="0" w:space="31" w:color="000000"/>
          <w:right w:val="none" w:sz="0" w:space="11" w:color="000000"/>
        </w:pBdr>
        <w:suppressAutoHyphens/>
        <w:ind w:leftChars="200" w:left="560" w:firstLineChars="100" w:firstLine="321"/>
        <w:jc w:val="left"/>
        <w:textAlignment w:val="center"/>
        <w:rPr>
          <w:rFonts w:ascii="仿宋_GB2312" w:eastAsia="仿宋_GB2312" w:hAnsi="仿宋_GB2312" w:cs="仿宋_GB2312"/>
          <w:sz w:val="32"/>
          <w:szCs w:val="32"/>
        </w:rPr>
      </w:pP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统筹推进中央财政项目建设。昌吉市2022年新</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Chars="0" w:firstLine="0"/>
        <w:jc w:val="left"/>
        <w:textAlignment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建、在建项目19个，其中中央财政投资主要为村庄绿化项目、造林补助项目、退耕还林项目、天山和阿尔泰山森林草原保护项目、森林生态效益管护项目、草原生态修复治理补助项目、森林防火补助项目、林业有害生物防治补助项目、林木良种培育补助项目、林果提质增效项目，共涉及中央项目资金6049.44 万元，到位资金6049.44 万元，目前已完成投资5495.78 万元，完成率90.85%。同时加强国家级公益林巡护工作，在重点路口、区域对进入林区人员进行检查。</w:t>
      </w:r>
      <w:r>
        <w:rPr>
          <w:rFonts w:ascii="仿宋_GB2312" w:eastAsia="仿宋_GB2312" w:hAnsi="仿宋_GB2312" w:cs="仿宋_GB2312" w:hint="eastAsia"/>
          <w:sz w:val="32"/>
          <w:szCs w:val="32"/>
        </w:rPr>
        <w:lastRenderedPageBreak/>
        <w:t>截止10月30日，4个管护站设卡检查天数506天，林区巡护1348次，巡护小班数4410个，劝返进入林区车辆1772辆，人员4917人(主要在9林班)。累积宣传11716次14340人；二是完成退化草原改良5万亩；退化林修复1000亩完成80%，剩余部分计划秋季完成；完成2020年退牧还草项目的毒害草治理工作（阿什里乡阿什里村1.8万亩）。</w:t>
      </w:r>
      <w:r w:rsidR="002714F9">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毒害草治理2万亩正在施工之中，已完成60%。1月完成《昌吉市2020年度草原生态修复工程》的子项目5万亩退化草原改良飞播工作。《昌吉市2022年度草原生态修复工程已完成阿魏滩、三工滩5万亩虫害治理任务已完成（新建鸟巢5座，其中阿魏滩2座，三工滩3座），北沙窝5万亩鼠害治理（架设鹰架129根）已完工，资金支付95200元。昌吉市第二批草原生态修复项目已完成招投标，目前正在组织实施；</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扎实推进本级财政项目实施。市财政投资项目1个为昌吉市葡萄酒庄基础设施建设项目，项目预算资金8000万元，目前该项目已完成项目招投标，相关工作已准备就绪待开工，目前已支付抵债资金1600万元，预计下周可支付2900万元，待疫情形势好转后尽快组织实施。</w:t>
      </w:r>
      <w:r>
        <w:rPr>
          <w:rFonts w:ascii="仿宋_GB2312" w:eastAsia="仿宋_GB2312" w:hAnsi="仿宋_GB2312" w:cs="仿宋_GB2312" w:hint="eastAsia"/>
          <w:bCs/>
          <w:sz w:val="32"/>
          <w:szCs w:val="32"/>
        </w:rPr>
        <w:t>现已完成项目区14.55公里道路建设及3.5公里主干路亮化工程、8.8公里供水管网铺设工程、3.18公里灌溉灌水管网工程及滴灌改造工程、修建沉砂池1座，已推进落实酿酒葡萄种植面积2300亩；四</w:t>
      </w:r>
      <w:r>
        <w:rPr>
          <w:rFonts w:ascii="仿宋_GB2312" w:eastAsia="仿宋_GB2312" w:hAnsi="仿宋_GB2312" w:cs="仿宋_GB2312" w:hint="eastAsia"/>
          <w:b/>
          <w:bCs/>
          <w:sz w:val="32"/>
          <w:szCs w:val="32"/>
        </w:rPr>
        <w:t>是</w:t>
      </w:r>
      <w:r>
        <w:rPr>
          <w:rFonts w:ascii="仿宋_GB2312" w:eastAsia="仿宋_GB2312" w:hAnsi="仿宋_GB2312" w:cs="仿宋_GB2312" w:hint="eastAsia"/>
          <w:sz w:val="32"/>
          <w:szCs w:val="32"/>
        </w:rPr>
        <w:t>葡萄产业集群项目工作。2022年争取葡萄产业集群项目2个，分别为新疆华兴庄园酒业有限公司葡萄酒加工生产能力提升及品牌提升项目、新疆葡城酒业有限责任公司葡</w:t>
      </w:r>
      <w:r>
        <w:rPr>
          <w:rFonts w:ascii="仿宋_GB2312" w:eastAsia="仿宋_GB2312" w:hAnsi="仿宋_GB2312" w:cs="仿宋_GB2312" w:hint="eastAsia"/>
          <w:sz w:val="32"/>
          <w:szCs w:val="32"/>
        </w:rPr>
        <w:lastRenderedPageBreak/>
        <w:t>萄酒加工生产能力提升及车间改造扩建项目，共争取项目资金455</w:t>
      </w:r>
      <w:r w:rsidR="00C32D7A">
        <w:rPr>
          <w:rFonts w:ascii="仿宋_GB2312" w:eastAsia="仿宋_GB2312" w:hAnsi="仿宋_GB2312" w:cs="仿宋_GB2312" w:hint="eastAsia"/>
          <w:sz w:val="32"/>
          <w:szCs w:val="32"/>
        </w:rPr>
        <w:t>万元，截至</w:t>
      </w:r>
      <w:r>
        <w:rPr>
          <w:rFonts w:ascii="仿宋_GB2312" w:eastAsia="仿宋_GB2312" w:hAnsi="仿宋_GB2312" w:cs="仿宋_GB2312" w:hint="eastAsia"/>
          <w:sz w:val="32"/>
          <w:szCs w:val="32"/>
        </w:rPr>
        <w:t>目前已完成项目实施计划的80%。</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Fonts w:ascii="楷体_GB2312" w:eastAsia="楷体_GB2312"/>
          <w:b/>
          <w:bCs/>
          <w:color w:val="000000" w:themeColor="text1"/>
          <w:sz w:val="32"/>
          <w:szCs w:val="32"/>
        </w:rPr>
      </w:pPr>
      <w:r>
        <w:rPr>
          <w:rFonts w:ascii="楷体_GB2312" w:eastAsia="楷体_GB2312" w:hint="eastAsia"/>
          <w:b/>
          <w:bCs/>
          <w:color w:val="000000" w:themeColor="text1"/>
          <w:sz w:val="32"/>
          <w:szCs w:val="32"/>
        </w:rPr>
        <w:t>（二）单位决策机制</w:t>
      </w:r>
      <w:r>
        <w:rPr>
          <w:rFonts w:ascii="楷体_GB2312" w:eastAsia="楷体_GB2312"/>
          <w:b/>
          <w:bCs/>
          <w:color w:val="000000" w:themeColor="text1"/>
          <w:sz w:val="32"/>
          <w:szCs w:val="32"/>
        </w:rPr>
        <w:tab/>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ascii="仿宋_GB2312" w:eastAsia="仿宋_GB2312" w:hAnsi="仿宋_GB2312" w:cs="仿宋_GB2312"/>
          <w:color w:val="000000" w:themeColor="text1"/>
          <w:sz w:val="32"/>
          <w:szCs w:val="32"/>
        </w:rPr>
      </w:pPr>
      <w:r>
        <w:rPr>
          <w:rFonts w:ascii="仿宋_GB2312" w:eastAsia="仿宋_GB2312" w:hint="eastAsia"/>
          <w:color w:val="000000" w:themeColor="text1"/>
          <w:sz w:val="32"/>
          <w:szCs w:val="32"/>
        </w:rPr>
        <w:t>我单位决策机制根据行政事业单位内部控制体系建设相关要求，逐步完善《昌吉市自然资源局党组工作规则(试行)》。局党组</w:t>
      </w:r>
      <w:r>
        <w:rPr>
          <w:rFonts w:ascii="仿宋_GB2312" w:eastAsia="仿宋_GB2312" w:hAnsi="仿宋_GB2312" w:cs="仿宋_GB2312" w:hint="eastAsia"/>
          <w:color w:val="000000" w:themeColor="text1"/>
          <w:sz w:val="32"/>
          <w:szCs w:val="32"/>
        </w:rPr>
        <w:t>坚持民主集中制，实行集体领导和分工负责相结合的制度，凡属党组职责范围内的重大事项，按照“集体领导、民主集中、个别酝酿、会议决定”的原则处理。一是传达学习中央、自治区、州、市各类重要会议，文件精神和领导同志的重要指示。根据全市自然资源保护和管理工作实际，研究提出贯彻落实的意见。二是学习研究党的路线、方针、政策和国家法律、法规的执行情况。三是讨论研究新常态下全市自然资源保护、发展和利用的中长期规划和年度计划等重大事项，并作出决策。四是听取局党组班子成员、局机关党委和各党支部的工作汇报，研究分析自然资源系统党的组织建设、思想建设和党风廉政建设、业务工作，处理和解决工作中存在的问题。五是听取局党组副书记、党组成员的思想、工作情况汇报及其提出的工作建议，对局党组副书记、党组成员的工作进行监督和评议。六是对局管理范围内的干部提拔、任用、人员调配、奖惩事项作出决定。七是研究决定大额度经费支出、重大建设项目的相关事宜，重大突发性事件和紧急情况的处置办法。八是研究决定上级规定应由党组集体决定的事项；党组书记和党组副书记、党组成员认为需要提交党组会议讨论、决定的其他重要事项。九是</w:t>
      </w:r>
      <w:r>
        <w:rPr>
          <w:rFonts w:ascii="仿宋_GB2312" w:eastAsia="仿宋_GB2312" w:hAnsi="仿宋_GB2312" w:cs="仿宋_GB2312" w:hint="eastAsia"/>
          <w:color w:val="000000" w:themeColor="text1"/>
          <w:sz w:val="32"/>
          <w:szCs w:val="32"/>
        </w:rPr>
        <w:lastRenderedPageBreak/>
        <w:t>研究、审定上报州局党组、市委</w:t>
      </w:r>
      <w:r w:rsidR="00441718">
        <w:rPr>
          <w:rFonts w:ascii="仿宋_GB2312" w:eastAsia="仿宋_GB2312" w:hAnsi="仿宋_GB2312" w:cs="仿宋_GB2312" w:hint="eastAsia"/>
          <w:color w:val="000000" w:themeColor="text1"/>
          <w:sz w:val="32"/>
          <w:szCs w:val="32"/>
        </w:rPr>
        <w:t>市</w:t>
      </w:r>
      <w:r>
        <w:rPr>
          <w:rFonts w:ascii="仿宋_GB2312" w:eastAsia="仿宋_GB2312" w:hAnsi="仿宋_GB2312" w:cs="仿宋_GB2312" w:hint="eastAsia"/>
          <w:color w:val="000000" w:themeColor="text1"/>
          <w:sz w:val="32"/>
          <w:szCs w:val="32"/>
        </w:rPr>
        <w:t>政府的重要请示、报告及重大事项。十是研究自然资源系统党建工作、党风廉政建设以及精神文明建设方面的重大问题及重要事项的处理意见。</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ascii="仿宋_GB2312" w:eastAsia="仿宋_GB2312" w:hAnsi="宋体" w:cs="宋体"/>
          <w:color w:val="000000" w:themeColor="text1"/>
          <w:sz w:val="32"/>
          <w:szCs w:val="32"/>
        </w:rPr>
      </w:pPr>
      <w:r>
        <w:rPr>
          <w:rFonts w:ascii="仿宋_GB2312" w:eastAsia="仿宋_GB2312" w:hAnsi="仿宋_GB2312" w:cs="仿宋_GB2312" w:hint="eastAsia"/>
          <w:color w:val="000000" w:themeColor="text1"/>
          <w:sz w:val="32"/>
          <w:szCs w:val="32"/>
        </w:rPr>
        <w:t>完善了</w:t>
      </w:r>
      <w:r>
        <w:rPr>
          <w:rFonts w:ascii="仿宋_GB2312" w:eastAsia="仿宋_GB2312" w:hint="eastAsia"/>
          <w:color w:val="000000" w:themeColor="text1"/>
          <w:sz w:val="32"/>
          <w:szCs w:val="32"/>
        </w:rPr>
        <w:t>《昌吉市自然资源局“三重一大”集体决策制度（试行）》，</w:t>
      </w:r>
      <w:r>
        <w:rPr>
          <w:rFonts w:ascii="仿宋_GB2312" w:eastAsia="仿宋_GB2312" w:hAnsi="仿宋_GB2312" w:cs="仿宋_GB2312" w:hint="eastAsia"/>
          <w:color w:val="000000" w:themeColor="text1"/>
          <w:sz w:val="32"/>
          <w:szCs w:val="32"/>
        </w:rPr>
        <w:t>“三重一大”集体决策范围：重大事项决策涉及我局改革、发展和稳定，关系工作人员的切身利益的重大问题，均属于重大事项决策的范围。</w:t>
      </w:r>
      <w:r>
        <w:rPr>
          <w:rFonts w:ascii="仿宋_GB2312" w:eastAsia="仿宋_GB2312" w:hAnsi="宋体" w:hint="eastAsia"/>
          <w:color w:val="000000" w:themeColor="text1"/>
          <w:kern w:val="0"/>
          <w:sz w:val="32"/>
          <w:szCs w:val="32"/>
        </w:rPr>
        <w:t>主要内容：一是</w:t>
      </w:r>
      <w:r>
        <w:rPr>
          <w:rFonts w:ascii="仿宋_GB2312" w:eastAsia="仿宋_GB2312" w:hAnsi="宋体" w:cs="宋体" w:hint="eastAsia"/>
          <w:color w:val="000000" w:themeColor="text1"/>
          <w:sz w:val="32"/>
          <w:szCs w:val="32"/>
        </w:rPr>
        <w:t>贯彻落实党的路线方针政策、党内重要法规和国家重要法律法规以及上级重大决策、重要部署、重要会议、重要指示精神等方面的重大事项。并结合实际研究提出贯彻落实的意见、建议和措施。二是涉及全局性的机制、体制、制度改革方面的重大事项，包括</w:t>
      </w:r>
      <w:r>
        <w:rPr>
          <w:rFonts w:ascii="仿宋_GB2312" w:eastAsia="仿宋_GB2312" w:hAnsi="宋体" w:hint="eastAsia"/>
          <w:color w:val="000000" w:themeColor="text1"/>
          <w:kern w:val="0"/>
          <w:sz w:val="32"/>
          <w:szCs w:val="32"/>
        </w:rPr>
        <w:t>全局工作规则、各项工作制度的制定和调整。三是党建工作、党风廉政工作、纠风工作、精神文明建设和思想政治工作的重大问题。四是围绕中心工作的重要工作思路和重要举措。五是全局年度总体工作计划和工作目标任务的确定。六是全局财务年度决算、预算的申报和调整。七是</w:t>
      </w:r>
      <w:r>
        <w:rPr>
          <w:rFonts w:ascii="仿宋_GB2312" w:eastAsia="仿宋_GB2312" w:hAnsi="宋体" w:cs="宋体" w:hint="eastAsia"/>
          <w:color w:val="000000" w:themeColor="text1"/>
          <w:sz w:val="32"/>
          <w:szCs w:val="32"/>
        </w:rPr>
        <w:t>年度工作报告。八是需要下发或颁布的有关全局性的重要文件、重要规章制度。九是</w:t>
      </w:r>
      <w:r>
        <w:rPr>
          <w:rFonts w:ascii="仿宋_GB2312" w:eastAsia="仿宋_GB2312" w:hAnsi="宋体" w:hint="eastAsia"/>
          <w:color w:val="000000" w:themeColor="text1"/>
          <w:kern w:val="0"/>
          <w:sz w:val="32"/>
          <w:szCs w:val="32"/>
        </w:rPr>
        <w:t>领导班子建设的重大事项和领导班子成员工作分工，党组织机构的设置、调整。十是内设机构设置、调整、职能职责确定以及人员编制、招录聘用、人员调整、绩效奖惩、问责问效、评先评优等人事管理事项。十一是</w:t>
      </w:r>
      <w:r>
        <w:rPr>
          <w:rFonts w:ascii="仿宋_GB2312" w:eastAsia="仿宋_GB2312" w:hAnsi="宋体" w:cs="宋体" w:hint="eastAsia"/>
          <w:color w:val="000000" w:themeColor="text1"/>
          <w:sz w:val="32"/>
          <w:szCs w:val="32"/>
        </w:rPr>
        <w:t>涉及全局性稳定的重大事件处理、重要信访矛盾化解、重大事故处理和重要突发事件应急处置等方面的重大事项。</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Fonts w:ascii="仿宋_GB2312" w:eastAsia="仿宋_GB2312"/>
          <w:color w:val="000000" w:themeColor="text1"/>
          <w:sz w:val="32"/>
          <w:szCs w:val="32"/>
        </w:rPr>
      </w:pPr>
      <w:r>
        <w:rPr>
          <w:rFonts w:cs="仿宋" w:hint="eastAsia"/>
          <w:b/>
          <w:bCs/>
          <w:color w:val="000000" w:themeColor="text1"/>
          <w:kern w:val="0"/>
          <w:sz w:val="32"/>
          <w:szCs w:val="32"/>
        </w:rPr>
        <w:lastRenderedPageBreak/>
        <w:t>重要人事任免。</w:t>
      </w:r>
      <w:r>
        <w:rPr>
          <w:rFonts w:ascii="仿宋_GB2312" w:eastAsia="仿宋_GB2312" w:hint="eastAsia"/>
          <w:color w:val="000000" w:themeColor="text1"/>
          <w:sz w:val="32"/>
          <w:szCs w:val="32"/>
        </w:rPr>
        <w:t>由局党组管理的干部推荐、提名、录用、任免、调动、交流、考核、解聘、表彰、奖励、处分和后备干部人选、职工待遇等事项。</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Fonts w:ascii="仿宋_GB2312" w:eastAsia="仿宋_GB2312" w:hAnsi="宋体" w:cs="宋体"/>
          <w:color w:val="000000" w:themeColor="text1"/>
          <w:sz w:val="32"/>
          <w:szCs w:val="32"/>
        </w:rPr>
      </w:pPr>
      <w:r>
        <w:rPr>
          <w:rFonts w:cs="仿宋" w:hint="eastAsia"/>
          <w:b/>
          <w:bCs/>
          <w:color w:val="000000" w:themeColor="text1"/>
          <w:kern w:val="0"/>
          <w:sz w:val="32"/>
          <w:szCs w:val="32"/>
        </w:rPr>
        <w:t>重要项目安排。</w:t>
      </w:r>
      <w:r>
        <w:rPr>
          <w:rFonts w:cs="仿宋" w:hint="eastAsia"/>
          <w:color w:val="000000" w:themeColor="text1"/>
          <w:kern w:val="0"/>
          <w:sz w:val="32"/>
          <w:szCs w:val="32"/>
        </w:rPr>
        <w:t>一是</w:t>
      </w:r>
      <w:r>
        <w:rPr>
          <w:rFonts w:ascii="仿宋_GB2312" w:eastAsia="仿宋_GB2312" w:hint="eastAsia"/>
          <w:color w:val="000000" w:themeColor="text1"/>
          <w:sz w:val="32"/>
          <w:szCs w:val="32"/>
        </w:rPr>
        <w:t>土地出让、土地供应、土地收储、矿产资源配置、矿业权审批、地质灾害防治项目申报、评审，测绘资质审核上报、规划编制、调整、林业技术推广、北部荒漠生态保护管理、林业有害生物防治检疫、草原建设保护项目，临时占用草场的审核等工作。二是</w:t>
      </w:r>
      <w:r>
        <w:rPr>
          <w:rFonts w:ascii="仿宋_GB2312" w:eastAsia="仿宋_GB2312" w:hAnsi="宋体" w:cs="宋体" w:hint="eastAsia"/>
          <w:color w:val="000000" w:themeColor="text1"/>
          <w:sz w:val="32"/>
          <w:szCs w:val="32"/>
        </w:rPr>
        <w:t>其它需要领导班子集体研究决定的重大项目和重大事项。</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Fonts w:ascii="仿宋_GB2312" w:eastAsia="仿宋_GB2312" w:hAnsi="新宋体"/>
          <w:color w:val="000000" w:themeColor="text1"/>
          <w:sz w:val="32"/>
          <w:szCs w:val="32"/>
        </w:rPr>
      </w:pPr>
      <w:r>
        <w:rPr>
          <w:rFonts w:cs="仿宋" w:hint="eastAsia"/>
          <w:b/>
          <w:bCs/>
          <w:color w:val="000000" w:themeColor="text1"/>
          <w:kern w:val="0"/>
          <w:sz w:val="32"/>
          <w:szCs w:val="32"/>
        </w:rPr>
        <w:t>大额度资金的使用。</w:t>
      </w:r>
      <w:r>
        <w:rPr>
          <w:rFonts w:ascii="仿宋_GB2312" w:eastAsia="仿宋_GB2312" w:hAnsi="宋体" w:cs="宋体" w:hint="eastAsia"/>
          <w:color w:val="000000" w:themeColor="text1"/>
          <w:sz w:val="32"/>
          <w:szCs w:val="32"/>
        </w:rPr>
        <w:t>一是单位购买大宗办公用品计划与使用。二是大型活动预算与开支。三是需纳入政府采购和招投标的方案与支出。四是其他需要领导班子集体研究决定的大额资金的使用。五是</w:t>
      </w:r>
      <w:r>
        <w:rPr>
          <w:rFonts w:ascii="仿宋_GB2312" w:eastAsia="仿宋_GB2312" w:hAnsi="新宋体" w:hint="eastAsia"/>
          <w:color w:val="000000" w:themeColor="text1"/>
          <w:sz w:val="32"/>
          <w:szCs w:val="32"/>
        </w:rPr>
        <w:t>全系统大额资金的安排使用，必须经局党组会议集体研究，凡购置、处置1万元以上的固定资产、支出在5000元以上，由局党组会议决定。</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b/>
          <w:bCs/>
          <w:color w:val="000000" w:themeColor="text1"/>
          <w:sz w:val="32"/>
          <w:szCs w:val="32"/>
        </w:rPr>
      </w:pPr>
      <w:r>
        <w:rPr>
          <w:rFonts w:ascii="楷体_GB2312" w:eastAsia="楷体_GB2312" w:hint="eastAsia"/>
          <w:b/>
          <w:bCs/>
          <w:color w:val="000000" w:themeColor="text1"/>
          <w:sz w:val="32"/>
          <w:szCs w:val="32"/>
        </w:rPr>
        <w:t>（三）单位资金分配情况</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Fonts w:ascii="仿宋_GB2312" w:eastAsia="仿宋_GB2312" w:cs="仿宋"/>
          <w:color w:val="000000" w:themeColor="text1"/>
          <w:sz w:val="32"/>
          <w:szCs w:val="32"/>
        </w:rPr>
      </w:pPr>
      <w:r>
        <w:rPr>
          <w:rFonts w:ascii="仿宋_GB2312" w:eastAsia="仿宋_GB2312" w:cs="仿宋" w:hint="eastAsia"/>
          <w:b/>
          <w:color w:val="000000" w:themeColor="text1"/>
          <w:sz w:val="32"/>
          <w:szCs w:val="32"/>
        </w:rPr>
        <w:t>1.分配依据及结果。</w:t>
      </w:r>
      <w:r>
        <w:rPr>
          <w:rFonts w:ascii="仿宋_GB2312" w:eastAsia="仿宋_GB2312" w:cs="仿宋" w:hint="eastAsia"/>
          <w:color w:val="000000" w:themeColor="text1"/>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Fonts w:ascii="仿宋_GB2312" w:eastAsia="仿宋_GB2312" w:cs="仿宋"/>
          <w:color w:val="000000" w:themeColor="text1"/>
          <w:sz w:val="32"/>
          <w:szCs w:val="32"/>
        </w:rPr>
      </w:pPr>
      <w:r>
        <w:rPr>
          <w:rFonts w:ascii="仿宋_GB2312" w:eastAsia="仿宋_GB2312" w:hint="eastAsia"/>
          <w:b/>
          <w:color w:val="000000" w:themeColor="text1"/>
          <w:sz w:val="32"/>
          <w:szCs w:val="32"/>
        </w:rPr>
        <w:t>2.重点支出保障情况。</w:t>
      </w:r>
      <w:r>
        <w:rPr>
          <w:rFonts w:ascii="仿宋_GB2312" w:eastAsia="仿宋_GB2312" w:cs="仿宋" w:hint="eastAsia"/>
          <w:color w:val="000000" w:themeColor="text1"/>
          <w:sz w:val="32"/>
          <w:szCs w:val="32"/>
        </w:rPr>
        <w:t>本年度本单位预算安排的重点项目0个，预算安排的重点项目支出金额为0万元，部门项目总支出金额为0万元，则重点项目支出占项目总支出的比率为0.00%。</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lastRenderedPageBreak/>
        <w:t>（四）部门单位整体支出规模、使用方法和主要内容、涉及范围</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ascii="仿宋_GB2312" w:eastAsia="仿宋_GB2312"/>
          <w:b/>
          <w:bCs/>
          <w:sz w:val="32"/>
          <w:szCs w:val="32"/>
        </w:rPr>
      </w:pPr>
      <w:r>
        <w:rPr>
          <w:rFonts w:ascii="楷体_GB2312" w:eastAsia="楷体_GB2312" w:hint="eastAsia"/>
          <w:sz w:val="32"/>
          <w:szCs w:val="32"/>
        </w:rPr>
        <w:t>1.</w:t>
      </w:r>
      <w:r>
        <w:rPr>
          <w:rFonts w:ascii="仿宋_GB2312" w:eastAsia="仿宋_GB2312" w:hint="eastAsia"/>
          <w:b/>
          <w:bCs/>
          <w:sz w:val="32"/>
          <w:szCs w:val="32"/>
        </w:rPr>
        <w:t>部门单位整体支出规模</w:t>
      </w:r>
    </w:p>
    <w:p w:rsidR="00073312" w:rsidRPr="002714F9"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ascii="仿宋_GB2312" w:eastAsia="仿宋_GB2312"/>
          <w:sz w:val="32"/>
          <w:szCs w:val="32"/>
        </w:rPr>
      </w:pPr>
      <w:r w:rsidRPr="002714F9">
        <w:rPr>
          <w:rFonts w:ascii="仿宋_GB2312" w:eastAsia="仿宋_GB2312" w:hint="eastAsia"/>
          <w:sz w:val="32"/>
          <w:szCs w:val="32"/>
        </w:rPr>
        <w:t>2022年度，昌吉市自然资源局部门单位</w:t>
      </w:r>
      <w:r w:rsidRPr="002714F9">
        <w:rPr>
          <w:rFonts w:ascii="仿宋_GB2312" w:eastAsia="仿宋_GB2312" w:hint="eastAsia"/>
          <w:bCs/>
          <w:sz w:val="32"/>
          <w:szCs w:val="32"/>
        </w:rPr>
        <w:t>整体支出年初预算金额为2878.29</w:t>
      </w:r>
      <w:r w:rsidRPr="002714F9">
        <w:rPr>
          <w:rFonts w:ascii="仿宋_GB2312" w:eastAsia="仿宋_GB2312" w:hint="eastAsia"/>
          <w:sz w:val="32"/>
          <w:szCs w:val="32"/>
        </w:rPr>
        <w:t>万元，支出金额为</w:t>
      </w:r>
      <w:r w:rsidR="002714F9" w:rsidRPr="002714F9">
        <w:rPr>
          <w:rFonts w:ascii="仿宋_GB2312" w:eastAsia="仿宋_GB2312"/>
          <w:sz w:val="32"/>
          <w:szCs w:val="32"/>
        </w:rPr>
        <w:t>2878.29</w:t>
      </w:r>
      <w:r w:rsidRPr="002714F9">
        <w:rPr>
          <w:rFonts w:ascii="仿宋_GB2312" w:eastAsia="仿宋_GB2312" w:hint="eastAsia"/>
          <w:sz w:val="32"/>
          <w:szCs w:val="32"/>
        </w:rPr>
        <w:t>万元，执行率为</w:t>
      </w:r>
      <w:r w:rsidR="002714F9" w:rsidRPr="002714F9">
        <w:rPr>
          <w:rFonts w:ascii="仿宋_GB2312" w:eastAsia="仿宋_GB2312"/>
          <w:sz w:val="32"/>
          <w:szCs w:val="32"/>
        </w:rPr>
        <w:t>100.0</w:t>
      </w:r>
      <w:r w:rsidRPr="002714F9">
        <w:rPr>
          <w:rFonts w:ascii="仿宋_GB2312" w:eastAsia="仿宋_GB2312" w:hint="eastAsia"/>
          <w:sz w:val="32"/>
          <w:szCs w:val="32"/>
        </w:rPr>
        <w:t>%，其中：政府采购年初预算金额为79.00万元，支出金额为25.40万元，执行率为32.15%。年中调整预算金额为</w:t>
      </w:r>
      <w:r w:rsidR="002714F9" w:rsidRPr="002714F9">
        <w:rPr>
          <w:rFonts w:ascii="仿宋_GB2312" w:eastAsia="仿宋_GB2312"/>
          <w:sz w:val="32"/>
          <w:szCs w:val="32"/>
        </w:rPr>
        <w:t>51,563.14</w:t>
      </w:r>
      <w:r w:rsidRPr="002714F9">
        <w:rPr>
          <w:rFonts w:ascii="仿宋_GB2312" w:eastAsia="仿宋_GB2312" w:hint="eastAsia"/>
          <w:sz w:val="32"/>
          <w:szCs w:val="32"/>
        </w:rPr>
        <w:t>万元，预算调整率为</w:t>
      </w:r>
      <w:r w:rsidR="002714F9" w:rsidRPr="002714F9">
        <w:rPr>
          <w:rFonts w:ascii="仿宋_GB2312" w:eastAsia="仿宋_GB2312"/>
          <w:sz w:val="32"/>
          <w:szCs w:val="32"/>
        </w:rPr>
        <w:t>1791.00</w:t>
      </w:r>
      <w:r w:rsidRPr="002714F9">
        <w:rPr>
          <w:rFonts w:ascii="仿宋_GB2312" w:eastAsia="仿宋_GB2312" w:hint="eastAsia"/>
          <w:sz w:val="32"/>
          <w:szCs w:val="32"/>
        </w:rPr>
        <w:t>%。综上，我单位部门单位整体预算总额为</w:t>
      </w:r>
      <w:r w:rsidR="002714F9" w:rsidRPr="002714F9">
        <w:rPr>
          <w:rFonts w:ascii="仿宋_GB2312" w:eastAsia="仿宋_GB2312"/>
          <w:sz w:val="32"/>
          <w:szCs w:val="32"/>
        </w:rPr>
        <w:t>54441.43</w:t>
      </w:r>
      <w:r w:rsidRPr="002714F9">
        <w:rPr>
          <w:rFonts w:ascii="仿宋_GB2312" w:eastAsia="仿宋_GB2312" w:hint="eastAsia"/>
          <w:sz w:val="32"/>
          <w:szCs w:val="32"/>
        </w:rPr>
        <w:t>万元，支出总额为</w:t>
      </w:r>
      <w:r w:rsidR="002714F9" w:rsidRPr="002714F9">
        <w:rPr>
          <w:rFonts w:ascii="仿宋_GB2312" w:eastAsia="仿宋_GB2312"/>
          <w:sz w:val="32"/>
          <w:szCs w:val="32"/>
        </w:rPr>
        <w:t>54441.43</w:t>
      </w:r>
      <w:r w:rsidRPr="002714F9">
        <w:rPr>
          <w:rFonts w:ascii="仿宋_GB2312" w:eastAsia="仿宋_GB2312" w:hint="eastAsia"/>
          <w:sz w:val="32"/>
          <w:szCs w:val="32"/>
        </w:rPr>
        <w:t>万元，预算总执行率为</w:t>
      </w:r>
      <w:r w:rsidR="002714F9" w:rsidRPr="002714F9">
        <w:rPr>
          <w:rFonts w:ascii="仿宋_GB2312" w:eastAsia="仿宋_GB2312"/>
          <w:sz w:val="32"/>
          <w:szCs w:val="32"/>
        </w:rPr>
        <w:t>100.0</w:t>
      </w:r>
      <w:r w:rsidRPr="002714F9">
        <w:rPr>
          <w:rFonts w:ascii="仿宋_GB2312" w:eastAsia="仿宋_GB2312" w:hint="eastAsia"/>
          <w:sz w:val="32"/>
          <w:szCs w:val="32"/>
        </w:rPr>
        <w:t>%。</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b/>
          <w:bCs/>
          <w:color w:val="000000" w:themeColor="text1"/>
          <w:sz w:val="32"/>
          <w:szCs w:val="32"/>
        </w:rPr>
      </w:pPr>
      <w:r>
        <w:rPr>
          <w:rFonts w:hint="eastAsia"/>
          <w:b/>
          <w:bCs/>
          <w:color w:val="000000" w:themeColor="text1"/>
          <w:sz w:val="32"/>
          <w:szCs w:val="32"/>
        </w:rPr>
        <w:t>2.部门单位整体支出自评使用方法、主要内容、涉及范围</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（1）自评使用方法</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ascii="仿宋_GB2312" w:eastAsia="仿宋_GB2312"/>
          <w:color w:val="000000" w:themeColor="text1"/>
          <w:sz w:val="32"/>
          <w:szCs w:val="32"/>
        </w:rPr>
      </w:pPr>
      <w:r>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3"/>
        <w:textAlignment w:val="center"/>
        <w:rPr>
          <w:b/>
          <w:bCs/>
          <w:color w:val="000000" w:themeColor="text1"/>
          <w:sz w:val="32"/>
          <w:szCs w:val="32"/>
        </w:rPr>
      </w:pPr>
      <w:r>
        <w:rPr>
          <w:rFonts w:hint="eastAsia"/>
          <w:b/>
          <w:bCs/>
          <w:color w:val="000000" w:themeColor="text1"/>
          <w:sz w:val="32"/>
          <w:szCs w:val="32"/>
        </w:rPr>
        <w:t>（2）评价的主要内容和涉及范围</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ascii="仿宋_GB2312" w:eastAsia="仿宋_GB2312"/>
          <w:color w:val="000000" w:themeColor="text1"/>
          <w:sz w:val="32"/>
          <w:szCs w:val="32"/>
        </w:rPr>
      </w:pPr>
      <w:r>
        <w:rPr>
          <w:rFonts w:ascii="仿宋_GB2312" w:eastAsia="仿宋_GB2312" w:hint="eastAsia"/>
          <w:color w:val="000000" w:themeColor="text1"/>
          <w:sz w:val="32"/>
          <w:szCs w:val="32"/>
        </w:rPr>
        <w:t>此次我单位根据</w:t>
      </w:r>
      <w:r>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color w:val="000000" w:themeColor="text1"/>
          <w:sz w:val="32"/>
          <w:szCs w:val="32"/>
        </w:rPr>
        <w:t>等文件要求，对</w:t>
      </w:r>
      <w:r w:rsidR="002714F9">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二、部门单位整体支出管理及使用情况</w:t>
      </w:r>
    </w:p>
    <w:p w:rsidR="00073312" w:rsidRDefault="00D02152">
      <w:pPr>
        <w:pStyle w:val="20"/>
        <w:ind w:left="420" w:firstLineChars="0" w:firstLine="0"/>
        <w:rPr>
          <w:rFonts w:ascii="楷体_GB2312" w:eastAsia="楷体_GB2312"/>
          <w:color w:val="000000" w:themeColor="text1"/>
          <w:szCs w:val="32"/>
        </w:rPr>
      </w:pPr>
      <w:r>
        <w:rPr>
          <w:rFonts w:ascii="楷体_GB2312" w:eastAsia="楷体_GB2312" w:hint="eastAsia"/>
          <w:bCs/>
          <w:color w:val="000000" w:themeColor="text1"/>
          <w:szCs w:val="32"/>
        </w:rPr>
        <w:t>（一）预算管理情况</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为加强预算管理、规范财务行为、加强内部控制体系建设，制定了昌吉市自然资源局预算绩效管理工作操作细则和昌吉市自然资源局预算绩效管理制度，并严格按照此管理办法（制度）管理使用预算资金，严格按照政府信息公开有关规定及财政部门要求公开相关预决算信息。</w:t>
      </w:r>
    </w:p>
    <w:p w:rsidR="00073312" w:rsidRDefault="00D02152">
      <w:pPr>
        <w:pStyle w:val="20"/>
        <w:numPr>
          <w:ilvl w:val="0"/>
          <w:numId w:val="2"/>
        </w:numPr>
        <w:ind w:firstLineChars="0"/>
        <w:rPr>
          <w:rFonts w:ascii="楷体_GB2312" w:eastAsia="楷体_GB2312"/>
          <w:bCs/>
          <w:color w:val="000000" w:themeColor="text1"/>
          <w:szCs w:val="32"/>
        </w:rPr>
      </w:pPr>
      <w:r>
        <w:rPr>
          <w:rFonts w:ascii="楷体_GB2312" w:eastAsia="楷体_GB2312" w:hint="eastAsia"/>
          <w:bCs/>
          <w:color w:val="000000" w:themeColor="text1"/>
          <w:szCs w:val="32"/>
        </w:rPr>
        <w:t>基本支出预算安排及支出情况</w:t>
      </w:r>
    </w:p>
    <w:p w:rsidR="00073312" w:rsidRPr="002714F9" w:rsidRDefault="00D02152">
      <w:pPr>
        <w:ind w:firstLine="643"/>
        <w:rPr>
          <w:rFonts w:ascii="仿宋_GB2312" w:eastAsia="仿宋_GB2312"/>
          <w:b/>
          <w:bCs/>
          <w:sz w:val="32"/>
          <w:szCs w:val="32"/>
        </w:rPr>
      </w:pPr>
      <w:r w:rsidRPr="002714F9">
        <w:rPr>
          <w:rFonts w:ascii="仿宋_GB2312" w:eastAsia="仿宋_GB2312" w:hint="eastAsia"/>
          <w:b/>
          <w:bCs/>
          <w:sz w:val="32"/>
          <w:szCs w:val="32"/>
        </w:rPr>
        <w:t>1.基本支出情况</w:t>
      </w:r>
    </w:p>
    <w:p w:rsidR="00073312" w:rsidRPr="002714F9" w:rsidRDefault="00D02152">
      <w:pPr>
        <w:ind w:firstLine="640"/>
        <w:rPr>
          <w:rFonts w:ascii="仿宋_GB2312" w:eastAsia="仿宋_GB2312"/>
          <w:sz w:val="32"/>
          <w:szCs w:val="32"/>
        </w:rPr>
      </w:pPr>
      <w:r w:rsidRPr="002714F9">
        <w:rPr>
          <w:rFonts w:ascii="仿宋_GB2312" w:eastAsia="仿宋_GB2312" w:hint="eastAsia"/>
          <w:sz w:val="32"/>
          <w:szCs w:val="32"/>
        </w:rPr>
        <w:t>2022年，昌吉市自然资源局基本支出年初预算金额为</w:t>
      </w:r>
      <w:r w:rsidRPr="002714F9">
        <w:rPr>
          <w:rFonts w:ascii="仿宋_GB2312" w:eastAsia="仿宋_GB2312" w:hint="eastAsia"/>
          <w:sz w:val="32"/>
          <w:szCs w:val="32"/>
        </w:rPr>
        <w:lastRenderedPageBreak/>
        <w:t>2</w:t>
      </w:r>
      <w:r w:rsidR="002714F9" w:rsidRPr="002714F9">
        <w:rPr>
          <w:rFonts w:ascii="仿宋_GB2312" w:eastAsia="仿宋_GB2312"/>
          <w:sz w:val="32"/>
          <w:szCs w:val="32"/>
        </w:rPr>
        <w:t>7</w:t>
      </w:r>
      <w:r w:rsidRPr="002714F9">
        <w:rPr>
          <w:rFonts w:ascii="仿宋_GB2312" w:eastAsia="仿宋_GB2312" w:hint="eastAsia"/>
          <w:sz w:val="32"/>
          <w:szCs w:val="32"/>
        </w:rPr>
        <w:t>78.29万元，支出金额为</w:t>
      </w:r>
      <w:r w:rsidR="002714F9" w:rsidRPr="002714F9">
        <w:rPr>
          <w:rFonts w:ascii="仿宋_GB2312" w:eastAsia="仿宋_GB2312"/>
          <w:sz w:val="32"/>
          <w:szCs w:val="32"/>
        </w:rPr>
        <w:t>2778.29</w:t>
      </w:r>
      <w:r w:rsidRPr="002714F9">
        <w:rPr>
          <w:rFonts w:ascii="仿宋_GB2312" w:eastAsia="仿宋_GB2312" w:hint="eastAsia"/>
          <w:sz w:val="32"/>
          <w:szCs w:val="32"/>
        </w:rPr>
        <w:t>万元，执行率为</w:t>
      </w:r>
      <w:r w:rsidR="002714F9" w:rsidRPr="002714F9">
        <w:rPr>
          <w:rFonts w:ascii="仿宋_GB2312" w:eastAsia="仿宋_GB2312"/>
          <w:sz w:val="32"/>
          <w:szCs w:val="32"/>
        </w:rPr>
        <w:t>100.0</w:t>
      </w:r>
      <w:r w:rsidRPr="002714F9">
        <w:rPr>
          <w:rFonts w:ascii="仿宋_GB2312" w:eastAsia="仿宋_GB2312" w:hint="eastAsia"/>
          <w:sz w:val="32"/>
          <w:szCs w:val="32"/>
        </w:rPr>
        <w:t>%，年中调整预算金额为</w:t>
      </w:r>
      <w:r w:rsidR="002714F9" w:rsidRPr="002714F9">
        <w:rPr>
          <w:rFonts w:ascii="仿宋_GB2312" w:eastAsia="仿宋_GB2312"/>
          <w:sz w:val="32"/>
          <w:szCs w:val="32"/>
        </w:rPr>
        <w:t>636.14</w:t>
      </w:r>
      <w:r w:rsidRPr="002714F9">
        <w:rPr>
          <w:rFonts w:ascii="仿宋_GB2312" w:eastAsia="仿宋_GB2312" w:hint="eastAsia"/>
          <w:sz w:val="32"/>
          <w:szCs w:val="32"/>
        </w:rPr>
        <w:t>万元。综上，我单位基本支出预算总额为</w:t>
      </w:r>
      <w:r w:rsidR="002714F9" w:rsidRPr="002714F9">
        <w:rPr>
          <w:rFonts w:ascii="仿宋_GB2312" w:eastAsia="仿宋_GB2312"/>
          <w:sz w:val="32"/>
          <w:szCs w:val="32"/>
        </w:rPr>
        <w:t>3414.43</w:t>
      </w:r>
      <w:r w:rsidRPr="002714F9">
        <w:rPr>
          <w:rFonts w:ascii="仿宋_GB2312" w:eastAsia="仿宋_GB2312" w:hint="eastAsia"/>
          <w:sz w:val="32"/>
          <w:szCs w:val="32"/>
        </w:rPr>
        <w:t>万元，支出总额为</w:t>
      </w:r>
      <w:r w:rsidR="002714F9" w:rsidRPr="002714F9">
        <w:rPr>
          <w:rFonts w:ascii="仿宋_GB2312" w:eastAsia="仿宋_GB2312"/>
          <w:sz w:val="32"/>
          <w:szCs w:val="32"/>
        </w:rPr>
        <w:t>3414.43</w:t>
      </w:r>
      <w:r w:rsidRPr="002714F9">
        <w:rPr>
          <w:rFonts w:ascii="仿宋_GB2312" w:eastAsia="仿宋_GB2312" w:hint="eastAsia"/>
          <w:sz w:val="32"/>
          <w:szCs w:val="32"/>
        </w:rPr>
        <w:t>万元，预算总执行率为</w:t>
      </w:r>
      <w:r w:rsidR="002714F9" w:rsidRPr="002714F9">
        <w:rPr>
          <w:rFonts w:ascii="仿宋_GB2312" w:eastAsia="仿宋_GB2312"/>
          <w:sz w:val="32"/>
          <w:szCs w:val="32"/>
        </w:rPr>
        <w:t>100.0</w:t>
      </w:r>
      <w:r w:rsidRPr="002714F9">
        <w:rPr>
          <w:rFonts w:ascii="仿宋_GB2312" w:eastAsia="仿宋_GB2312" w:hint="eastAsia"/>
          <w:sz w:val="32"/>
          <w:szCs w:val="32"/>
        </w:rPr>
        <w:t>%，其中人员经费</w:t>
      </w:r>
      <w:r w:rsidR="002714F9" w:rsidRPr="002714F9">
        <w:rPr>
          <w:rFonts w:ascii="仿宋_GB2312" w:eastAsia="仿宋_GB2312"/>
          <w:sz w:val="32"/>
          <w:szCs w:val="32"/>
        </w:rPr>
        <w:t>3262.69</w:t>
      </w:r>
      <w:r w:rsidRPr="002714F9">
        <w:rPr>
          <w:rFonts w:ascii="仿宋_GB2312" w:eastAsia="仿宋_GB2312" w:hint="eastAsia"/>
          <w:sz w:val="32"/>
          <w:szCs w:val="32"/>
        </w:rPr>
        <w:t>万元，公用经费151.74万元。</w:t>
      </w:r>
    </w:p>
    <w:p w:rsidR="00073312" w:rsidRDefault="00D02152">
      <w:pPr>
        <w:ind w:firstLine="643"/>
        <w:rPr>
          <w:rFonts w:ascii="仿宋_GB2312" w:eastAsia="仿宋_GB2312" w:cs="宋体"/>
          <w:color w:val="000000" w:themeColor="text1"/>
          <w:sz w:val="32"/>
          <w:szCs w:val="32"/>
        </w:rPr>
      </w:pPr>
      <w:r>
        <w:rPr>
          <w:rFonts w:ascii="仿宋_GB2312" w:eastAsia="仿宋_GB2312" w:hint="eastAsia"/>
          <w:b/>
          <w:bCs/>
          <w:color w:val="000000" w:themeColor="text1"/>
          <w:sz w:val="32"/>
          <w:szCs w:val="32"/>
        </w:rPr>
        <w:t>2.“三公”经费情况</w:t>
      </w:r>
    </w:p>
    <w:p w:rsidR="00073312" w:rsidRDefault="00D02152">
      <w:pPr>
        <w:ind w:firstLine="640"/>
        <w:jc w:val="left"/>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我单位认真贯彻落实中央关于厉行节约的有关规定，严格执行《党政机关厉行节约反对浪费条例》，2022年“三公”经费预算数为39万元，其中：因公出国（境）费0万元，公务用车购置及运行费39万元（其中公务用车购置为0万元），公务接待费0万元。</w:t>
      </w:r>
    </w:p>
    <w:p w:rsidR="00073312" w:rsidRDefault="00D02152">
      <w:pPr>
        <w:ind w:firstLineChars="213" w:firstLine="682"/>
        <w:jc w:val="left"/>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2022年，全年“三公”经费决算支出29.68万元，其中：因公出国（境）费用0万元、公务用车购置及运行费0万元（其中公务用车购置为0万元）、公务接待费0万元。较上年“三公”经费决算支出29.68万元，减少9.32万元，下降23.90%。</w:t>
      </w:r>
    </w:p>
    <w:p w:rsidR="00073312" w:rsidRDefault="00D02152">
      <w:pPr>
        <w:pStyle w:val="20"/>
        <w:ind w:firstLine="643"/>
        <w:rPr>
          <w:rFonts w:ascii="楷体_GB2312" w:eastAsia="楷体_GB2312"/>
          <w:color w:val="000000" w:themeColor="text1"/>
          <w:szCs w:val="32"/>
        </w:rPr>
      </w:pPr>
      <w:r>
        <w:rPr>
          <w:rFonts w:ascii="楷体_GB2312" w:eastAsia="楷体_GB2312" w:hint="eastAsia"/>
          <w:color w:val="000000" w:themeColor="text1"/>
          <w:szCs w:val="32"/>
        </w:rPr>
        <w:t>（三）项目支出</w:t>
      </w:r>
      <w:r>
        <w:rPr>
          <w:rFonts w:ascii="楷体_GB2312" w:eastAsia="楷体_GB2312" w:hAnsi="Cambria" w:hint="eastAsia"/>
          <w:color w:val="000000" w:themeColor="text1"/>
          <w:szCs w:val="32"/>
        </w:rPr>
        <w:t>预算安排及支出情况</w:t>
      </w:r>
    </w:p>
    <w:p w:rsidR="00073312" w:rsidRDefault="00D02152">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1.项目支出情况</w:t>
      </w:r>
    </w:p>
    <w:p w:rsidR="00073312" w:rsidRDefault="00D02152">
      <w:pPr>
        <w:pStyle w:val="3"/>
        <w:ind w:firstLine="640"/>
        <w:rPr>
          <w:color w:val="FF0000"/>
          <w:sz w:val="32"/>
        </w:rPr>
      </w:pPr>
      <w:r>
        <w:rPr>
          <w:rFonts w:hint="eastAsia"/>
          <w:b w:val="0"/>
          <w:bCs w:val="0"/>
          <w:sz w:val="32"/>
        </w:rPr>
        <w:t>2022年，昌吉市自然资源局项目支出年初预算金额为</w:t>
      </w:r>
      <w:r w:rsidR="002714F9">
        <w:rPr>
          <w:b w:val="0"/>
          <w:bCs w:val="0"/>
          <w:sz w:val="32"/>
        </w:rPr>
        <w:t>100.0</w:t>
      </w:r>
      <w:r>
        <w:rPr>
          <w:rFonts w:hint="eastAsia"/>
          <w:b w:val="0"/>
          <w:bCs w:val="0"/>
          <w:sz w:val="32"/>
        </w:rPr>
        <w:t>万元，支出金额为</w:t>
      </w:r>
      <w:r w:rsidR="002714F9">
        <w:rPr>
          <w:b w:val="0"/>
          <w:bCs w:val="0"/>
          <w:sz w:val="32"/>
        </w:rPr>
        <w:t>51027</w:t>
      </w:r>
      <w:r>
        <w:rPr>
          <w:rFonts w:hint="eastAsia"/>
          <w:b w:val="0"/>
          <w:bCs w:val="0"/>
          <w:sz w:val="32"/>
        </w:rPr>
        <w:t>万元，执行率为100.0%，年中调整预算金额为</w:t>
      </w:r>
      <w:r w:rsidR="002714F9" w:rsidRPr="002714F9">
        <w:rPr>
          <w:b w:val="0"/>
          <w:bCs w:val="0"/>
          <w:sz w:val="32"/>
        </w:rPr>
        <w:t>50,927</w:t>
      </w:r>
      <w:r>
        <w:rPr>
          <w:rFonts w:hint="eastAsia"/>
          <w:b w:val="0"/>
          <w:bCs w:val="0"/>
          <w:sz w:val="32"/>
        </w:rPr>
        <w:t>万元。综上，我单位项目支出预算总额为</w:t>
      </w:r>
      <w:r w:rsidR="002714F9" w:rsidRPr="002714F9">
        <w:rPr>
          <w:b w:val="0"/>
          <w:bCs w:val="0"/>
          <w:sz w:val="32"/>
        </w:rPr>
        <w:t>50,927</w:t>
      </w:r>
      <w:r>
        <w:rPr>
          <w:rFonts w:hint="eastAsia"/>
          <w:b w:val="0"/>
          <w:bCs w:val="0"/>
          <w:sz w:val="32"/>
        </w:rPr>
        <w:t>万元，支出总额为</w:t>
      </w:r>
      <w:r w:rsidR="002714F9" w:rsidRPr="002714F9">
        <w:rPr>
          <w:b w:val="0"/>
          <w:bCs w:val="0"/>
          <w:sz w:val="32"/>
        </w:rPr>
        <w:t>50,927</w:t>
      </w:r>
      <w:r>
        <w:rPr>
          <w:rFonts w:hint="eastAsia"/>
          <w:b w:val="0"/>
          <w:bCs w:val="0"/>
          <w:sz w:val="32"/>
        </w:rPr>
        <w:t>万元，预算总执行率为</w:t>
      </w:r>
      <w:r w:rsidR="002714F9">
        <w:rPr>
          <w:b w:val="0"/>
          <w:bCs w:val="0"/>
          <w:sz w:val="32"/>
        </w:rPr>
        <w:t>100.0</w:t>
      </w:r>
      <w:r>
        <w:rPr>
          <w:rFonts w:hint="eastAsia"/>
          <w:b w:val="0"/>
          <w:bCs w:val="0"/>
          <w:sz w:val="32"/>
        </w:rPr>
        <w:t>%。</w:t>
      </w:r>
    </w:p>
    <w:p w:rsidR="00073312" w:rsidRDefault="00D02152">
      <w:pPr>
        <w:ind w:firstLine="640"/>
        <w:rPr>
          <w:rFonts w:ascii="仿宋_GB2312" w:eastAsia="仿宋_GB2312"/>
          <w:sz w:val="32"/>
          <w:szCs w:val="32"/>
        </w:rPr>
      </w:pPr>
      <w:r>
        <w:rPr>
          <w:rFonts w:ascii="仿宋_GB2312" w:eastAsia="仿宋_GB2312" w:hint="eastAsia"/>
          <w:sz w:val="32"/>
          <w:szCs w:val="32"/>
        </w:rPr>
        <w:t>2022年，昌吉市自然资源局共有80个中央、自治区、</w:t>
      </w:r>
      <w:r>
        <w:rPr>
          <w:rFonts w:ascii="仿宋_GB2312" w:eastAsia="仿宋_GB2312" w:hint="eastAsia"/>
          <w:sz w:val="32"/>
          <w:szCs w:val="32"/>
        </w:rPr>
        <w:lastRenderedPageBreak/>
        <w:t>地区、</w:t>
      </w:r>
      <w:r>
        <w:rPr>
          <w:rFonts w:ascii="仿宋_GB2312" w:eastAsia="仿宋_GB2312"/>
          <w:sz w:val="32"/>
          <w:szCs w:val="32"/>
        </w:rPr>
        <w:t>县</w:t>
      </w:r>
      <w:r>
        <w:rPr>
          <w:rFonts w:ascii="仿宋_GB2312" w:eastAsia="仿宋_GB2312" w:hint="eastAsia"/>
          <w:sz w:val="32"/>
          <w:szCs w:val="32"/>
        </w:rPr>
        <w:t>本级财力安排项目，已完成项目数量76个、未完成项目数量4个。2022年度中央、自治区、地区、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073312" w:rsidRDefault="00D02152">
      <w:pPr>
        <w:pStyle w:val="3"/>
        <w:ind w:firstLine="562"/>
        <w:rPr>
          <w:sz w:val="24"/>
          <w:szCs w:val="24"/>
        </w:rPr>
      </w:pPr>
      <w:r>
        <w:rPr>
          <w:rFonts w:hint="eastAsia"/>
        </w:rPr>
        <w:t xml:space="preserve">                                               </w:t>
      </w:r>
      <w:r>
        <w:rPr>
          <w:rFonts w:hint="eastAsia"/>
          <w:sz w:val="24"/>
          <w:szCs w:val="24"/>
        </w:rPr>
        <w:t>单位：万元</w:t>
      </w:r>
    </w:p>
    <w:tbl>
      <w:tblPr>
        <w:tblpPr w:leftFromText="180" w:rightFromText="180" w:vertAnchor="text" w:horzAnchor="page" w:tblpX="852" w:tblpY="199"/>
        <w:tblOverlap w:val="never"/>
        <w:tblW w:w="10237" w:type="dxa"/>
        <w:tblLayout w:type="fixed"/>
        <w:tblCellMar>
          <w:left w:w="0" w:type="dxa"/>
          <w:right w:w="0" w:type="dxa"/>
        </w:tblCellMar>
        <w:tblLook w:val="04A0"/>
      </w:tblPr>
      <w:tblGrid>
        <w:gridCol w:w="4122"/>
        <w:gridCol w:w="1470"/>
        <w:gridCol w:w="1110"/>
        <w:gridCol w:w="1515"/>
        <w:gridCol w:w="930"/>
        <w:gridCol w:w="1090"/>
      </w:tblGrid>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项目名称</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预算金额</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rPr>
              <w:t>执行金额</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执行率</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rPr>
              <w:t>项目是否完成</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4"/>
              </w:rPr>
            </w:pPr>
            <w:r>
              <w:rPr>
                <w:rFonts w:ascii="宋体" w:eastAsia="宋体" w:hAnsi="宋体" w:cs="宋体" w:hint="eastAsia"/>
                <w:color w:val="000000"/>
                <w:kern w:val="0"/>
                <w:sz w:val="24"/>
              </w:rPr>
              <w:t>是否上级专项资金</w:t>
            </w:r>
          </w:p>
        </w:tc>
      </w:tr>
      <w:tr w:rsidR="00073312">
        <w:trPr>
          <w:trHeight w:val="72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自然资源局中山路街道办事处小渠子三村昌吉市第六中学及北一路征收补偿费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165.77</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165.77</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自然资源局牧民安置补助费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108.98</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55.25</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50.70%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三工镇常胜村昌吉州人民医院项目苗木及地上附着物补偿费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633.23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633.23</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591"/>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2015-2017年退耕还林补助资金项目</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202.05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202.05</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2015-2017年退耕还林补助资金项目</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621.09</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621.09</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85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2015-2017年退耕还林补助资金项目</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105.63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105.63</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北部荒漠农场补偿</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110.17</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110.17</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昌吉市全域旅游开发项目-南部游客集散中心征收补偿费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12.47</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12.47</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第七批、第八批丹霞气泉谷康养旅游建设等项目耕地开垦费、征拨未利用地管理费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61.26</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61.26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新疆雷鸟连锁经营有限公司土地补偿费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中山路街道办事处北沟二村北二路项目征收补偿费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171.16</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171.16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昌吉市8家三类矿山企业地质环境恢复治理保证金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106.72</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106.72</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607"/>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宁边路街道办事处北园村建设路项目征收补偿费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16.24</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16.24</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昌吉市2019年村庄绿化美化项目资金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32</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32</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72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昌吉市2019年草原生态修复治理补助项目资金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125.58</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125.58</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591"/>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昌吉市2020年退牧还草项目资金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111.62</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111.62</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昌吉市国土空间总体规划（2020-2035年）及中心城区城市设计编制经费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292.8</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292.8</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六工镇辖区内乌鲁木齐绕城高速西线项目征收补偿费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4358.13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4358.13</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97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耕地“非农化”和农村乱占耕地建房摸排工作资金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31.50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31.50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2714F9">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2022年度国土变更调查工作剩余经费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S21阿勒泰至乌鲁木齐公路建设项目占用草地安置补偿费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2520.21</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2520.21</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牧民安置补助费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66.27</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66.27</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昌吉市2019年三北防护林五期工程款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34.65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color w:val="000000"/>
                <w:sz w:val="22"/>
                <w:szCs w:val="22"/>
              </w:rPr>
              <w:t>34.65</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72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2020年三北防护林工程款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117.45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117.45</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2020年国土绿化-森林抚育项目工程款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10.66</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10.66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昌吉市2020年森林生态效益补偿补助-营造林-退化林修复项目</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19.43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19.43</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自然资源局三工镇常胜村昌吉州人民医院项目征收补偿费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sz w:val="20"/>
                <w:szCs w:val="20"/>
              </w:rPr>
              <w:t>2020年退牧还草项目工程款</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75.57</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75.57</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自然资源局三工镇二工村昌吉市南部游客集散中心地上附着物及苗木补偿费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20.81</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20.81</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昌吉市2020年第二批林业生态保护恢复资金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162.67</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88.17</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54.20%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自然资源局乌鲁木齐绕城高速西线项目牧民征收补偿费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91.03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4.10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4.50%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自然资源局六工镇辖区内乌鲁木齐绕城高速西线项目青苗及苗木补偿费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Chars="100" w:firstLine="24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397"/>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18"/>
                <w:szCs w:val="18"/>
              </w:rPr>
              <w:lastRenderedPageBreak/>
              <w:t>2022年中央林业改革发展资金（森林资源管护支出）</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767.44</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424.44</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55.31%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2022年中央林业改革发展资金（国土绿化支出）</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2022年中央林业改革发展资金（湿地等生态环保支出）</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33.33%</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第二笔国土变更调查工作经费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634"/>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昌吉市少儿职业体验馆及科普基地建设项目城市市政公用基础设施配套费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37.78</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37.78</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674"/>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昌吉市少儿职业体验馆及科普基地建设项目易地建设费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15.48</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15.48</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中盛华资产评估有限公司对21条拟建道路及世纪大道北延供排水管网项目树木征收评估费用</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752"/>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2714F9">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2022年中央林业改革发展资金（森林生态效益补偿补助）</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196.06</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196.06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2714F9">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2022年中央农业生产发展资金（第二批）优势特色产业集群-葡萄产业集群</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537.08</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537.08</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Pr="002714F9" w:rsidRDefault="00D02152">
            <w:pPr>
              <w:widowControl/>
              <w:ind w:firstLine="480"/>
              <w:jc w:val="center"/>
              <w:textAlignment w:val="center"/>
              <w:rPr>
                <w:rFonts w:ascii="宋体" w:eastAsia="宋体" w:hAnsi="宋体" w:cs="宋体"/>
                <w:sz w:val="24"/>
              </w:rPr>
            </w:pPr>
            <w:r w:rsidRPr="002714F9">
              <w:rPr>
                <w:rFonts w:ascii="宋体" w:eastAsia="宋体" w:hAnsi="宋体" w:cs="宋体" w:hint="eastAsia"/>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Pr="002714F9" w:rsidRDefault="00D02152">
            <w:pPr>
              <w:ind w:firstLine="480"/>
              <w:jc w:val="center"/>
              <w:rPr>
                <w:rFonts w:ascii="宋体" w:eastAsia="宋体" w:hAnsi="宋体" w:cs="宋体"/>
                <w:sz w:val="24"/>
              </w:rPr>
            </w:pPr>
            <w:r w:rsidRPr="002714F9">
              <w:rPr>
                <w:rFonts w:ascii="宋体" w:eastAsia="宋体" w:hAnsi="宋体" w:cs="宋体" w:hint="eastAsia"/>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Pr="002714F9" w:rsidRDefault="00D02152">
            <w:pPr>
              <w:ind w:firstLine="480"/>
              <w:jc w:val="center"/>
              <w:rPr>
                <w:rFonts w:ascii="宋体" w:eastAsia="宋体" w:hAnsi="宋体" w:cs="宋体"/>
                <w:sz w:val="24"/>
              </w:rPr>
            </w:pPr>
            <w:r w:rsidRPr="002714F9">
              <w:rPr>
                <w:rFonts w:ascii="宋体" w:eastAsia="宋体" w:hAnsi="宋体" w:cs="宋体" w:hint="eastAsia"/>
                <w:sz w:val="24"/>
              </w:rPr>
              <w:t>否</w:t>
            </w:r>
          </w:p>
        </w:tc>
      </w:tr>
      <w:tr w:rsidR="00073312">
        <w:trPr>
          <w:trHeight w:val="647"/>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三工镇辖区内乌鲁木齐绕城高速西线项目征收补偿费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2765.63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2765.63</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中山路街道办事处小渠子三村土地荒芜费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150.34</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150.34</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昌吉市实施城市规划</w:t>
            </w:r>
            <w:r w:rsidR="002714F9">
              <w:rPr>
                <w:rFonts w:ascii="宋体" w:eastAsia="宋体" w:hAnsi="宋体" w:cs="宋体" w:hint="eastAsia"/>
                <w:color w:val="000000"/>
                <w:kern w:val="0"/>
                <w:sz w:val="20"/>
                <w:szCs w:val="20"/>
              </w:rPr>
              <w:t>2022</w:t>
            </w:r>
            <w:r>
              <w:rPr>
                <w:rFonts w:ascii="宋体" w:eastAsia="宋体" w:hAnsi="宋体" w:cs="宋体" w:hint="eastAsia"/>
                <w:color w:val="000000"/>
                <w:kern w:val="0"/>
                <w:sz w:val="20"/>
                <w:szCs w:val="20"/>
              </w:rPr>
              <w:t>年第四批次建设用地等六个批次耕地占用税</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1263.79</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1263.79</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昌吉市南部矿区环境综合整治（一期）项目治理资金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处置自治区、兵团</w:t>
            </w:r>
            <w:r w:rsidR="002714F9">
              <w:rPr>
                <w:rFonts w:ascii="宋体" w:eastAsia="宋体" w:hAnsi="宋体" w:cs="宋体" w:hint="eastAsia"/>
                <w:color w:val="000000"/>
                <w:kern w:val="0"/>
                <w:sz w:val="20"/>
                <w:szCs w:val="20"/>
              </w:rPr>
              <w:t>2022</w:t>
            </w:r>
            <w:r>
              <w:rPr>
                <w:rFonts w:ascii="宋体" w:eastAsia="宋体" w:hAnsi="宋体" w:cs="宋体" w:hint="eastAsia"/>
                <w:color w:val="000000"/>
                <w:kern w:val="0"/>
                <w:sz w:val="20"/>
                <w:szCs w:val="20"/>
              </w:rPr>
              <w:t>年“乌—昌—石”区域联合生态环境保护督查整改（信访受理）督办组反馈整改项目资金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509"/>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国土变更调查工作经费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638"/>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2022年自治区“访惠聚”驻村工作专项经费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60.66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86.66%</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781"/>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2022年“访惠聚”驻村（社区）工作经费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22.63</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22.63</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633"/>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2022年中央财政支持小微企业留抵退税有关专项资金（在职人员工资）</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840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840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70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lastRenderedPageBreak/>
              <w:t>南五工一村土地征收补偿费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250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250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2022年三工滩生态林水电费及病虫害防治飞防</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20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昌吉市葡萄酒庄基础设施建设项目草原植被恢复费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28.75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28.75</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687"/>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昌吉市葡萄酒庄基础设施建设项目电力工程线路架设占用林地、草场相关补偿费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16.84</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16.84</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0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不动产登记数据库升级改造经费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25.26</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25.26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自然资源局三工镇长丰村城管系统城南停车场项目征收补偿费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191.49</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191.49</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昌吉市征收农用地区片综合地价项目</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12.6</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12.6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2022年自治区第四批地方政府债券（专项债）（昌吉市葡萄酒庄基础设施建设项目）</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8000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8000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中小企业欠款化解资金（第二批）（昌吉市生态防护林项目B区）</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中小企业欠款化解资金（第二批）（昌吉市生态防护林项目B区）</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583"/>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2022年三工滩生态林水电费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63.46</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63.46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中小企业欠款化解资金（第三批）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8"/>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中小企业欠款化解资金（第三批）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106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关于调整2022年提前下达、拨付2022年第二批中央林业改革发展资金（森林资源管护支出）</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58</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2022年第二批中央林业草原生态保护恢复资金（新一轮退还林还草补助）</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1829.48</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1606.48</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87.81%</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调整下达2022年中央林业改革发展资金（森林生态效益补偿补助—公益林资源培育）</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20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2022年第二批中央林业草原生态保护恢复资金（草原生态修复治理补助）</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175.20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29.20%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大西渠镇玉堂村生态停车场项目征收补偿</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38.56</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38.56</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332"/>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昌吉市实施城市规划</w:t>
            </w:r>
            <w:r w:rsidR="002714F9">
              <w:rPr>
                <w:rFonts w:ascii="宋体" w:eastAsia="宋体" w:hAnsi="宋体" w:cs="宋体" w:hint="eastAsia"/>
                <w:color w:val="000000"/>
                <w:kern w:val="0"/>
                <w:sz w:val="20"/>
                <w:szCs w:val="20"/>
              </w:rPr>
              <w:t>2022</w:t>
            </w:r>
            <w:r>
              <w:rPr>
                <w:rFonts w:ascii="宋体" w:eastAsia="宋体" w:hAnsi="宋体" w:cs="宋体" w:hint="eastAsia"/>
                <w:color w:val="000000"/>
                <w:kern w:val="0"/>
                <w:sz w:val="20"/>
                <w:szCs w:val="20"/>
              </w:rPr>
              <w:t>年第八批建设用地耕地占用税</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302.25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302.25</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lastRenderedPageBreak/>
              <w:t>2022年中央农业生产发展资金（优势特色产业集群—葡萄）</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320"/>
              <w:jc w:val="center"/>
              <w:textAlignment w:val="center"/>
              <w:rPr>
                <w:rFonts w:ascii="宋体" w:eastAsia="宋体" w:hAnsi="宋体" w:cs="宋体"/>
                <w:color w:val="000000"/>
                <w:sz w:val="16"/>
                <w:szCs w:val="16"/>
              </w:rPr>
            </w:pPr>
            <w:r>
              <w:rPr>
                <w:rFonts w:ascii="宋体" w:eastAsia="宋体" w:hAnsi="宋体" w:cs="宋体" w:hint="eastAsia"/>
                <w:color w:val="000000"/>
                <w:kern w:val="0"/>
                <w:sz w:val="16"/>
                <w:szCs w:val="16"/>
              </w:rPr>
              <w:t>455</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333.5</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73.30%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72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昌吉市乡镇国土空间总体规划、镇区及村庄规划编制项目经费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101</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101</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48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w:t>
            </w:r>
            <w:r w:rsidR="00441718">
              <w:rPr>
                <w:rFonts w:ascii="宋体" w:eastAsia="宋体" w:hAnsi="宋体" w:cs="宋体" w:hint="eastAsia"/>
                <w:color w:val="000000"/>
                <w:kern w:val="0"/>
                <w:sz w:val="20"/>
                <w:szCs w:val="20"/>
              </w:rPr>
              <w:t>年自治区财政林草专项资金（森林植被恢复费—林果提</w:t>
            </w:r>
            <w:r>
              <w:rPr>
                <w:rFonts w:ascii="宋体" w:eastAsia="宋体" w:hAnsi="宋体" w:cs="宋体" w:hint="eastAsia"/>
                <w:color w:val="000000"/>
                <w:kern w:val="0"/>
                <w:sz w:val="20"/>
                <w:szCs w:val="20"/>
              </w:rPr>
              <w:t>质增效）</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24</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24</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596"/>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2022年林业和草原生态修复保护及重点项目</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423.50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720"/>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2022年昌吉州葡萄酒产业高质量发展（第二批）专项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196.59</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99.91</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50.82%</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674"/>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中小企业欠款化解资金（第四批）（北部荒漠退地农场乐宝公司）</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691"/>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三工镇辖区内乌鲁木齐绕城高速西线项目青苗及苗木补偿</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spacing w:line="240" w:lineRule="auto"/>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rPr>
              <w:t>2022年中央林业草原生态保护恢复资金（中央参照直达资金）</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2210.52</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2193.64</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sz w:val="24"/>
              </w:rPr>
            </w:pPr>
            <w:r>
              <w:rPr>
                <w:rFonts w:ascii="宋体" w:eastAsia="宋体" w:hAnsi="宋体" w:cs="宋体" w:hint="eastAsia"/>
                <w:color w:val="000000"/>
                <w:kern w:val="0"/>
                <w:sz w:val="24"/>
              </w:rPr>
              <w:t>99.24%</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关于调整2022年提前下达、拨付2022年第二批中央林业改革发展资金（森林资源管护支出）</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301.41</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林业用水电费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100" w:firstLine="22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不动产产权证本费</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50</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50</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80"/>
              <w:jc w:val="center"/>
              <w:textAlignment w:val="center"/>
              <w:rPr>
                <w:rFonts w:ascii="宋体" w:eastAsia="宋体" w:hAnsi="宋体" w:cs="宋体"/>
                <w:color w:val="000000"/>
                <w:kern w:val="0"/>
                <w:sz w:val="24"/>
              </w:rPr>
            </w:pPr>
            <w:r>
              <w:rPr>
                <w:rFonts w:ascii="宋体" w:eastAsia="宋体" w:hAnsi="宋体" w:cs="宋体" w:hint="eastAsia"/>
                <w:color w:val="000000"/>
                <w:kern w:val="0"/>
                <w:sz w:val="24"/>
              </w:rPr>
              <w:t>100.00%</w:t>
            </w: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是</w:t>
            </w: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ind w:firstLine="480"/>
              <w:jc w:val="center"/>
              <w:rPr>
                <w:rFonts w:ascii="宋体" w:eastAsia="宋体" w:hAnsi="宋体" w:cs="宋体"/>
                <w:color w:val="000000"/>
                <w:sz w:val="24"/>
              </w:rPr>
            </w:pPr>
            <w:r>
              <w:rPr>
                <w:rFonts w:ascii="宋体" w:eastAsia="宋体" w:hAnsi="宋体" w:cs="宋体" w:hint="eastAsia"/>
                <w:color w:val="000000"/>
                <w:sz w:val="24"/>
              </w:rPr>
              <w:t>否</w:t>
            </w:r>
          </w:p>
        </w:tc>
      </w:tr>
      <w:tr w:rsidR="00073312">
        <w:trPr>
          <w:trHeight w:val="285"/>
        </w:trPr>
        <w:tc>
          <w:tcPr>
            <w:tcW w:w="412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合计</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44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34983.09</w:t>
            </w:r>
          </w:p>
        </w:tc>
        <w:tc>
          <w:tcPr>
            <w:tcW w:w="11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D02152">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32747.82</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073312">
            <w:pPr>
              <w:widowControl/>
              <w:ind w:firstLine="480"/>
              <w:jc w:val="center"/>
              <w:textAlignment w:val="center"/>
              <w:rPr>
                <w:rFonts w:ascii="宋体" w:eastAsia="宋体" w:hAnsi="宋体" w:cs="宋体"/>
                <w:color w:val="000000"/>
                <w:kern w:val="0"/>
                <w:sz w:val="24"/>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073312">
            <w:pPr>
              <w:ind w:firstLine="480"/>
              <w:jc w:val="center"/>
              <w:rPr>
                <w:rFonts w:ascii="宋体" w:eastAsia="宋体" w:hAnsi="宋体" w:cs="宋体"/>
                <w:color w:val="000000"/>
                <w:sz w:val="24"/>
              </w:rPr>
            </w:pPr>
          </w:p>
        </w:tc>
        <w:tc>
          <w:tcPr>
            <w:tcW w:w="10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073312" w:rsidRDefault="00073312">
            <w:pPr>
              <w:ind w:firstLine="480"/>
              <w:jc w:val="center"/>
              <w:rPr>
                <w:rFonts w:ascii="宋体" w:eastAsia="宋体" w:hAnsi="宋体" w:cs="宋体"/>
                <w:color w:val="000000"/>
                <w:sz w:val="24"/>
              </w:rPr>
            </w:pPr>
          </w:p>
        </w:tc>
      </w:tr>
    </w:tbl>
    <w:p w:rsidR="00073312" w:rsidRDefault="00073312">
      <w:pPr>
        <w:pStyle w:val="3"/>
        <w:ind w:firstLineChars="0" w:firstLine="0"/>
        <w:rPr>
          <w:color w:val="FF0000"/>
          <w:sz w:val="32"/>
        </w:rPr>
      </w:pPr>
    </w:p>
    <w:p w:rsidR="00073312" w:rsidRDefault="00D02152">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2.专项资金总投入及实际使用情况分析</w:t>
      </w:r>
    </w:p>
    <w:p w:rsidR="00073312" w:rsidRDefault="00D02152">
      <w:pPr>
        <w:pStyle w:val="3"/>
        <w:ind w:firstLine="640"/>
        <w:rPr>
          <w:b w:val="0"/>
          <w:bCs w:val="0"/>
          <w:sz w:val="32"/>
        </w:rPr>
      </w:pPr>
      <w:r>
        <w:rPr>
          <w:rFonts w:cs="仿宋" w:hint="eastAsia"/>
          <w:b w:val="0"/>
          <w:bCs w:val="0"/>
          <w:sz w:val="32"/>
        </w:rPr>
        <w:t>注：本段专项资金指中央和自治区的专项资金</w:t>
      </w:r>
    </w:p>
    <w:p w:rsidR="00073312" w:rsidRDefault="00D02152">
      <w:pPr>
        <w:pStyle w:val="a7"/>
        <w:widowControl/>
        <w:spacing w:before="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2022年，预算安排专项资金22153.48万元，实际使用19992.3万元,结转0万元。</w:t>
      </w:r>
    </w:p>
    <w:p w:rsidR="00073312" w:rsidRDefault="00D02152">
      <w:pPr>
        <w:pStyle w:val="a7"/>
        <w:widowControl/>
        <w:spacing w:before="0" w:beforeAutospacing="0" w:after="0" w:afterAutospacing="0"/>
        <w:ind w:firstLine="640"/>
        <w:jc w:val="both"/>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三、部门单位专项组织实施情况</w:t>
      </w:r>
    </w:p>
    <w:p w:rsidR="00073312" w:rsidRDefault="00D02152">
      <w:pPr>
        <w:pStyle w:val="a7"/>
        <w:widowControl/>
        <w:spacing w:before="0" w:beforeAutospacing="0" w:after="0" w:afterAutospacing="0"/>
        <w:ind w:firstLine="643"/>
        <w:jc w:val="both"/>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（一）专项组织情况分析</w:t>
      </w:r>
    </w:p>
    <w:p w:rsidR="00073312" w:rsidRDefault="00D02152">
      <w:pPr>
        <w:ind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1.前期准备</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073312" w:rsidRDefault="00D02152">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2.组织实施</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073312" w:rsidRDefault="00D02152">
      <w:pPr>
        <w:ind w:firstLine="640"/>
        <w:rPr>
          <w:rFonts w:ascii="仿宋_GB2312" w:eastAsia="仿宋_GB2312"/>
          <w:color w:val="000000" w:themeColor="text1"/>
          <w:sz w:val="32"/>
          <w:szCs w:val="32"/>
          <w:lang w:val="zh-TW" w:eastAsia="zh-TW"/>
        </w:rPr>
      </w:pPr>
      <w:r>
        <w:rPr>
          <w:rFonts w:ascii="仿宋_GB2312" w:eastAsia="仿宋_GB2312" w:hint="eastAsia"/>
          <w:color w:val="000000" w:themeColor="text1"/>
          <w:sz w:val="32"/>
          <w:szCs w:val="32"/>
          <w:lang w:val="zh-TW" w:eastAsia="zh-TW"/>
        </w:rPr>
        <w:t>对</w:t>
      </w:r>
      <w:r>
        <w:rPr>
          <w:rFonts w:ascii="仿宋_GB2312" w:eastAsia="仿宋_GB2312" w:hint="eastAsia"/>
          <w:color w:val="000000" w:themeColor="text1"/>
          <w:sz w:val="32"/>
          <w:szCs w:val="32"/>
        </w:rPr>
        <w:t>专项</w:t>
      </w:r>
      <w:r>
        <w:rPr>
          <w:rFonts w:ascii="仿宋_GB2312" w:eastAsia="仿宋_GB2312" w:hint="eastAsia"/>
          <w:color w:val="000000" w:themeColor="text1"/>
          <w:sz w:val="32"/>
          <w:szCs w:val="32"/>
          <w:lang w:val="zh-TW"/>
        </w:rPr>
        <w:t>项目预算执行情况进行分析，</w:t>
      </w:r>
      <w:r>
        <w:rPr>
          <w:rFonts w:ascii="仿宋_GB2312" w:eastAsia="仿宋_GB2312" w:hint="eastAsia"/>
          <w:color w:val="000000" w:themeColor="text1"/>
          <w:sz w:val="32"/>
          <w:szCs w:val="32"/>
        </w:rPr>
        <w:t>分析</w:t>
      </w:r>
      <w:r>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Pr>
          <w:rFonts w:ascii="仿宋_GB2312" w:eastAsia="仿宋_GB2312" w:hint="eastAsia"/>
          <w:color w:val="000000" w:themeColor="text1"/>
          <w:sz w:val="32"/>
          <w:szCs w:val="32"/>
          <w:lang w:val="zh-TW" w:eastAsia="zh-TW"/>
        </w:rPr>
        <w:t>。</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lang w:val="zh-TW"/>
        </w:rPr>
        <w:t>对财政资金使用合规性进行评价，</w:t>
      </w:r>
      <w:r>
        <w:rPr>
          <w:rFonts w:ascii="仿宋_GB2312" w:eastAsia="仿宋_GB2312" w:hint="eastAsia"/>
          <w:color w:val="000000" w:themeColor="text1"/>
          <w:sz w:val="32"/>
          <w:szCs w:val="32"/>
        </w:rPr>
        <w:t>主要评价：①</w:t>
      </w:r>
      <w:r>
        <w:rPr>
          <w:rFonts w:ascii="仿宋_GB2312" w:eastAsia="仿宋_GB2312" w:hint="eastAsia"/>
          <w:color w:val="000000" w:themeColor="text1"/>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color w:val="000000" w:themeColor="text1"/>
          <w:sz w:val="32"/>
          <w:szCs w:val="32"/>
        </w:rPr>
        <w:t>通过评价</w:t>
      </w:r>
      <w:r>
        <w:rPr>
          <w:rFonts w:ascii="仿宋_GB2312" w:eastAsia="仿宋_GB2312" w:hint="eastAsia"/>
          <w:color w:val="000000" w:themeColor="text1"/>
          <w:sz w:val="32"/>
          <w:szCs w:val="32"/>
          <w:lang w:val="zh-TW"/>
        </w:rPr>
        <w:t>发现财政资金使用中存在的合规性问题，总结财务内控中存在的不足之处。</w:t>
      </w:r>
    </w:p>
    <w:p w:rsidR="00073312" w:rsidRDefault="00D02152">
      <w:pPr>
        <w:pStyle w:val="20"/>
        <w:ind w:firstLine="643"/>
        <w:rPr>
          <w:rFonts w:ascii="楷体_GB2312" w:eastAsia="楷体_GB2312"/>
          <w:color w:val="000000" w:themeColor="text1"/>
          <w:szCs w:val="32"/>
        </w:rPr>
      </w:pPr>
      <w:r>
        <w:rPr>
          <w:rFonts w:ascii="楷体_GB2312" w:eastAsia="楷体_GB2312" w:hint="eastAsia"/>
          <w:color w:val="000000" w:themeColor="text1"/>
          <w:szCs w:val="32"/>
        </w:rPr>
        <w:lastRenderedPageBreak/>
        <w:t>（二）专项管理情况分析</w:t>
      </w:r>
    </w:p>
    <w:p w:rsidR="00073312" w:rsidRDefault="00D02152">
      <w:pPr>
        <w:ind w:firstLine="640"/>
        <w:rPr>
          <w:rFonts w:ascii="仿宋_GB2312" w:eastAsia="仿宋_GB2312" w:cs="仿宋"/>
          <w:b/>
          <w:bCs/>
          <w:color w:val="000000" w:themeColor="text1"/>
          <w:sz w:val="32"/>
          <w:szCs w:val="32"/>
        </w:rPr>
      </w:pPr>
      <w:r>
        <w:rPr>
          <w:rFonts w:ascii="仿宋_GB2312" w:eastAsia="仿宋_GB2312" w:hint="eastAsia"/>
          <w:color w:val="000000" w:themeColor="text1"/>
          <w:sz w:val="32"/>
          <w:szCs w:val="32"/>
        </w:rPr>
        <w:t>2022年本单位全年未安排中央及自治区专项资金支出项目。</w:t>
      </w:r>
    </w:p>
    <w:p w:rsidR="00073312" w:rsidRDefault="00D02152">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t>四、资产管理情况</w:t>
      </w:r>
    </w:p>
    <w:p w:rsidR="00073312" w:rsidRDefault="00D02152">
      <w:pPr>
        <w:pStyle w:val="20"/>
        <w:ind w:leftChars="200" w:left="560" w:firstLineChars="0" w:firstLine="0"/>
        <w:rPr>
          <w:rFonts w:ascii="楷体_GB2312" w:eastAsia="楷体_GB2312"/>
          <w:color w:val="000000" w:themeColor="text1"/>
          <w:szCs w:val="32"/>
        </w:rPr>
      </w:pPr>
      <w:r>
        <w:rPr>
          <w:rFonts w:ascii="楷体_GB2312" w:eastAsia="楷体_GB2312" w:hint="eastAsia"/>
          <w:color w:val="000000" w:themeColor="text1"/>
          <w:szCs w:val="32"/>
        </w:rPr>
        <w:t>（一）资产情况及固定资产利用情况</w:t>
      </w:r>
    </w:p>
    <w:p w:rsidR="00073312" w:rsidRDefault="00D02152">
      <w:pPr>
        <w:pStyle w:val="a3"/>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注：以下数据需与决算报表数据保持一致</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截</w:t>
      </w:r>
      <w:r w:rsidR="00441718">
        <w:rPr>
          <w:rFonts w:ascii="仿宋_GB2312" w:eastAsia="仿宋_GB2312" w:hint="eastAsia"/>
          <w:color w:val="000000" w:themeColor="text1"/>
          <w:sz w:val="32"/>
          <w:szCs w:val="32"/>
        </w:rPr>
        <w:t>至</w:t>
      </w:r>
      <w:r>
        <w:rPr>
          <w:rFonts w:ascii="仿宋_GB2312" w:eastAsia="仿宋_GB2312" w:hint="eastAsia"/>
          <w:color w:val="000000" w:themeColor="text1"/>
          <w:sz w:val="32"/>
          <w:szCs w:val="32"/>
        </w:rPr>
        <w:t>2022年12月31日，我单位资产账面总额为1378.07万元，较年初资产总额减少180.39万元，下降11.57%，其中：</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2022年初，流动资产总额为3311.14万元，年末总额为4600.29万元，较年初流动资产增加1289.15万元，增长38.93%，主要变动原因是：增加原因财政代管账户收取项目履约保证金。</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2022年初，固定资产总额为1558.46万元，年末总额为1378.07万元，较年初固定资产减少180.39万元，下降11.57%，主要变动原因是：单位固定资产核销的原因。</w:t>
      </w:r>
    </w:p>
    <w:p w:rsidR="00073312" w:rsidRDefault="00D02152">
      <w:pPr>
        <w:pStyle w:val="20"/>
        <w:ind w:leftChars="200" w:left="560" w:firstLineChars="0" w:firstLine="0"/>
        <w:rPr>
          <w:rFonts w:ascii="仿宋_GB2312" w:eastAsia="仿宋_GB2312"/>
          <w:color w:val="000000" w:themeColor="text1"/>
          <w:szCs w:val="32"/>
        </w:rPr>
      </w:pPr>
      <w:r>
        <w:rPr>
          <w:rFonts w:ascii="楷体_GB2312" w:eastAsia="楷体_GB2312" w:hint="eastAsia"/>
          <w:color w:val="000000" w:themeColor="text1"/>
          <w:szCs w:val="32"/>
        </w:rPr>
        <w:t>（二）资产管理规范性分析</w:t>
      </w:r>
    </w:p>
    <w:p w:rsidR="00073312" w:rsidRDefault="00D02152">
      <w:pPr>
        <w:ind w:firstLine="643"/>
        <w:jc w:val="left"/>
        <w:rPr>
          <w:rFonts w:ascii="仿宋_GB2312" w:eastAsia="仿宋_GB2312" w:cs="仿宋_GB2312"/>
          <w:color w:val="000000" w:themeColor="text1"/>
          <w:kern w:val="1"/>
          <w:sz w:val="32"/>
          <w:szCs w:val="32"/>
        </w:rPr>
      </w:pPr>
      <w:r>
        <w:rPr>
          <w:rFonts w:ascii="仿宋_GB2312" w:eastAsia="仿宋_GB2312" w:cs="仿宋_GB2312" w:hint="eastAsia"/>
          <w:b/>
          <w:color w:val="000000" w:themeColor="text1"/>
          <w:kern w:val="1"/>
          <w:sz w:val="32"/>
          <w:szCs w:val="32"/>
        </w:rPr>
        <w:t>1.资产管理体制和制度建设方面</w:t>
      </w:r>
    </w:p>
    <w:p w:rsidR="00073312" w:rsidRDefault="00D02152">
      <w:pPr>
        <w:ind w:firstLineChars="213" w:firstLine="682"/>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w:t>
      </w:r>
      <w:r>
        <w:rPr>
          <w:rFonts w:ascii="仿宋_GB2312" w:eastAsia="仿宋_GB2312" w:cs="仿宋" w:hint="eastAsia"/>
          <w:color w:val="000000" w:themeColor="text1"/>
          <w:kern w:val="1"/>
          <w:sz w:val="32"/>
          <w:szCs w:val="32"/>
        </w:rPr>
        <w:lastRenderedPageBreak/>
        <w:t>护、保管等，并对所管资产的安全完整负有职责。资产管理人员应相对稳定，工作调动时务必办理交接手续。</w:t>
      </w:r>
    </w:p>
    <w:p w:rsidR="00073312" w:rsidRDefault="00D02152">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2.运行机制和管理方式</w:t>
      </w:r>
    </w:p>
    <w:p w:rsidR="00073312" w:rsidRDefault="00D02152">
      <w:pPr>
        <w:ind w:firstLineChars="213" w:firstLine="682"/>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073312" w:rsidRDefault="00D02152">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3.信息化建设方面</w:t>
      </w:r>
    </w:p>
    <w:p w:rsidR="00073312" w:rsidRDefault="00D02152">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073312" w:rsidRDefault="00D02152">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4.流动资产的管理</w:t>
      </w:r>
    </w:p>
    <w:p w:rsidR="00073312" w:rsidRDefault="00D02152">
      <w:pPr>
        <w:ind w:firstLine="640"/>
        <w:jc w:val="left"/>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073312" w:rsidRDefault="00D02152">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5.固定资产的管理</w:t>
      </w:r>
    </w:p>
    <w:p w:rsidR="00073312" w:rsidRDefault="00D02152">
      <w:pPr>
        <w:pStyle w:val="a7"/>
        <w:widowControl/>
        <w:spacing w:before="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本单位的资产管理严格按照《行政单位国有资产管理暂行办法》（财政部令第35号）《财政部关于修改〈事业单位国有资产暂行办法〉的决定》（财政部令第100号）的相</w:t>
      </w:r>
      <w:r>
        <w:rPr>
          <w:rFonts w:ascii="仿宋_GB2312" w:eastAsia="仿宋_GB2312" w:cs="宋体" w:hint="eastAsia"/>
          <w:color w:val="000000" w:themeColor="text1"/>
          <w:sz w:val="32"/>
          <w:szCs w:val="32"/>
        </w:rPr>
        <w:lastRenderedPageBreak/>
        <w:t>关要求执行,符合财政部门要求。每年年末定时对我单位的固定资产进行盘点，对盘点过程中发现的盈亏，进行原因查找，并上报单位党组会研究决策，再上报财政行政事业单位资产管理科进行申报再行处理。</w:t>
      </w:r>
    </w:p>
    <w:p w:rsidR="00073312" w:rsidRDefault="00D02152">
      <w:pPr>
        <w:pStyle w:val="1"/>
        <w:ind w:firstLine="640"/>
        <w:rPr>
          <w:rFonts w:ascii="仿宋_GB2312" w:eastAsia="仿宋_GB2312"/>
          <w:color w:val="000000" w:themeColor="text1"/>
          <w:sz w:val="32"/>
          <w:szCs w:val="32"/>
        </w:rPr>
      </w:pPr>
      <w:r>
        <w:rPr>
          <w:rFonts w:ascii="黑体" w:hAnsi="黑体" w:hint="eastAsia"/>
          <w:b w:val="0"/>
          <w:color w:val="000000" w:themeColor="text1"/>
          <w:sz w:val="32"/>
          <w:szCs w:val="32"/>
        </w:rPr>
        <w:t>五、部门单位整体支出绩效情况</w:t>
      </w:r>
    </w:p>
    <w:p w:rsidR="00073312" w:rsidRDefault="00D02152">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2022年度，昌吉市自然资源局部门单位整体支出绩效目标共设置一级指标3个，二级指标9个，三级指标17个，其中：已完成三级指标17个，指标完成率为100%。</w:t>
      </w:r>
    </w:p>
    <w:p w:rsidR="00073312" w:rsidRDefault="00D02152">
      <w:pPr>
        <w:pStyle w:val="3"/>
        <w:ind w:firstLine="643"/>
        <w:rPr>
          <w:color w:val="000000" w:themeColor="text1"/>
          <w:sz w:val="32"/>
        </w:rPr>
      </w:pPr>
      <w:r>
        <w:rPr>
          <w:rFonts w:hint="eastAsia"/>
          <w:color w:val="000000" w:themeColor="text1"/>
          <w:sz w:val="32"/>
        </w:rPr>
        <w:t>1.项目完成情况分析</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（1）数量指标</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“公务保障用车数量”指标：绩效目标值为“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15辆”，实际完成值为“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15辆”，指标完成值为5分，指标完成率为100%;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“保障办公人员数量”指标：绩效目标值为“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189人”，实际完成值为“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189人”，指标完成值为5分，指标完成率为100%;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“保障退休人员数量”指标：绩效目标值为“</w:t>
      </w:r>
      <w:r>
        <w:rPr>
          <w:rFonts w:ascii="宋体" w:eastAsia="宋体" w:hAnsi="宋体" w:cs="宋体" w:hint="eastAsia"/>
          <w:color w:val="000000" w:themeColor="text1"/>
          <w:sz w:val="32"/>
          <w:szCs w:val="32"/>
        </w:rPr>
        <w:t>=80</w:t>
      </w:r>
      <w:r>
        <w:rPr>
          <w:rFonts w:ascii="仿宋_GB2312" w:eastAsia="仿宋_GB2312" w:hint="eastAsia"/>
          <w:color w:val="000000" w:themeColor="text1"/>
          <w:sz w:val="32"/>
          <w:szCs w:val="32"/>
        </w:rPr>
        <w:t>人”，实际完成值为“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80人”，指标完成值为5分，指标完成率为100%;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“建设用地报批”指标：绩效目标值为“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10批次”，实际完成值为“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10批次”，指标完成值为5分，指标完成率为100%;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bCs/>
          <w:color w:val="000000" w:themeColor="text1"/>
          <w:sz w:val="32"/>
          <w:szCs w:val="32"/>
        </w:rPr>
        <w:t>“受理不动产证”指标：</w:t>
      </w:r>
      <w:r>
        <w:rPr>
          <w:rFonts w:ascii="仿宋_GB2312" w:eastAsia="仿宋_GB2312" w:hint="eastAsia"/>
          <w:color w:val="000000" w:themeColor="text1"/>
          <w:sz w:val="32"/>
          <w:szCs w:val="32"/>
        </w:rPr>
        <w:t>绩效目标值为“</w:t>
      </w:r>
      <w:r>
        <w:rPr>
          <w:rFonts w:ascii="宋体" w:eastAsia="宋体" w:hAnsi="宋体" w:cs="宋体" w:hint="eastAsia"/>
          <w:color w:val="000000" w:themeColor="text1"/>
          <w:sz w:val="32"/>
          <w:szCs w:val="32"/>
        </w:rPr>
        <w:t>≧5万件</w:t>
      </w:r>
      <w:r>
        <w:rPr>
          <w:rFonts w:ascii="仿宋_GB2312" w:eastAsia="仿宋_GB2312" w:hint="eastAsia"/>
          <w:color w:val="000000" w:themeColor="text1"/>
          <w:sz w:val="32"/>
          <w:szCs w:val="32"/>
        </w:rPr>
        <w:t>”，实际完成值为“</w:t>
      </w:r>
      <w:r>
        <w:rPr>
          <w:rFonts w:ascii="宋体" w:eastAsia="宋体" w:hAnsi="宋体" w:cs="宋体" w:hint="eastAsia"/>
          <w:color w:val="000000" w:themeColor="text1"/>
          <w:sz w:val="32"/>
          <w:szCs w:val="32"/>
        </w:rPr>
        <w:t>≧5万件</w:t>
      </w:r>
      <w:r>
        <w:rPr>
          <w:rFonts w:ascii="仿宋_GB2312" w:eastAsia="仿宋_GB2312" w:hint="eastAsia"/>
          <w:color w:val="000000" w:themeColor="text1"/>
          <w:sz w:val="32"/>
          <w:szCs w:val="32"/>
        </w:rPr>
        <w:t>”，指标完成值为5分，指标完成</w:t>
      </w:r>
      <w:r>
        <w:rPr>
          <w:rFonts w:ascii="仿宋_GB2312" w:eastAsia="仿宋_GB2312" w:hint="eastAsia"/>
          <w:color w:val="000000" w:themeColor="text1"/>
          <w:sz w:val="32"/>
          <w:szCs w:val="32"/>
        </w:rPr>
        <w:lastRenderedPageBreak/>
        <w:t>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（2）质量指标</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“在编人员工资发放覆盖率”指标：绩效目标值为“</w:t>
      </w:r>
      <w:r>
        <w:rPr>
          <w:rFonts w:ascii="宋体" w:eastAsia="宋体" w:hAnsi="宋体" w:cs="宋体" w:hint="eastAsia"/>
          <w:color w:val="000000" w:themeColor="text1"/>
          <w:sz w:val="32"/>
          <w:szCs w:val="32"/>
        </w:rPr>
        <w:t>≧95%</w:t>
      </w:r>
      <w:r>
        <w:rPr>
          <w:rFonts w:ascii="仿宋_GB2312" w:eastAsia="仿宋_GB2312" w:hint="eastAsia"/>
          <w:color w:val="000000" w:themeColor="text1"/>
          <w:sz w:val="32"/>
          <w:szCs w:val="32"/>
        </w:rPr>
        <w:t>”，实际完成值为“95%”，指标完成值为5分，指标完成率为95%;</w:t>
      </w:r>
    </w:p>
    <w:p w:rsidR="00073312" w:rsidRDefault="00D02152">
      <w:pPr>
        <w:numPr>
          <w:ilvl w:val="0"/>
          <w:numId w:val="3"/>
        </w:num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时效指标</w:t>
      </w:r>
    </w:p>
    <w:p w:rsidR="00073312" w:rsidRDefault="00D02152">
      <w:pPr>
        <w:ind w:firstLine="560"/>
        <w:rPr>
          <w:rFonts w:ascii="仿宋_GB2312" w:eastAsia="仿宋_GB2312"/>
          <w:color w:val="000000" w:themeColor="text1"/>
          <w:sz w:val="32"/>
          <w:szCs w:val="32"/>
        </w:rPr>
      </w:pPr>
      <w:r>
        <w:rPr>
          <w:rFonts w:hint="eastAsia"/>
        </w:rPr>
        <w:t xml:space="preserve"> “公用经费支付及时率”</w:t>
      </w:r>
      <w:r>
        <w:rPr>
          <w:rFonts w:ascii="仿宋_GB2312" w:eastAsia="仿宋_GB2312" w:hint="eastAsia"/>
          <w:color w:val="000000" w:themeColor="text1"/>
          <w:sz w:val="32"/>
          <w:szCs w:val="32"/>
        </w:rPr>
        <w:t>标：绩效目标值为“</w:t>
      </w:r>
      <w:r>
        <w:rPr>
          <w:rFonts w:ascii="宋体" w:eastAsia="宋体" w:hAnsi="宋体" w:cs="宋体" w:hint="eastAsia"/>
          <w:color w:val="000000" w:themeColor="text1"/>
          <w:sz w:val="32"/>
          <w:szCs w:val="32"/>
        </w:rPr>
        <w:t>≧95%</w:t>
      </w:r>
      <w:r>
        <w:rPr>
          <w:rFonts w:ascii="仿宋_GB2312" w:eastAsia="仿宋_GB2312" w:hint="eastAsia"/>
          <w:color w:val="000000" w:themeColor="text1"/>
          <w:sz w:val="32"/>
          <w:szCs w:val="32"/>
        </w:rPr>
        <w:t>”，实际完成值为“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95%”，指标完成值为5分，指标完成率为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95%;</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“各项工作完成时间”指标：绩效目标值为“2022年12月31日”，实际完成值为“2022年12月31日”，指标完成值为5分，指标完成率为100%;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（4）成本指标</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“人员经费支出”指标：绩效目标值为“=2579.17万元”，实际完成值为</w:t>
      </w:r>
      <w:r>
        <w:rPr>
          <w:rFonts w:ascii="仿宋_GB2312" w:eastAsia="仿宋_GB2312" w:hint="eastAsia"/>
          <w:color w:val="FF0000"/>
          <w:sz w:val="32"/>
          <w:szCs w:val="32"/>
        </w:rPr>
        <w:t>“=</w:t>
      </w:r>
      <w:r w:rsidR="00815D37" w:rsidRPr="00815D37">
        <w:rPr>
          <w:rFonts w:ascii="仿宋_GB2312" w:eastAsia="仿宋_GB2312"/>
          <w:color w:val="FF0000"/>
          <w:sz w:val="32"/>
          <w:szCs w:val="32"/>
        </w:rPr>
        <w:t>2579.17</w:t>
      </w:r>
      <w:r>
        <w:rPr>
          <w:rFonts w:ascii="仿宋_GB2312" w:eastAsia="仿宋_GB2312" w:hint="eastAsia"/>
          <w:color w:val="FF0000"/>
          <w:sz w:val="32"/>
          <w:szCs w:val="32"/>
        </w:rPr>
        <w:t>”</w:t>
      </w:r>
      <w:r>
        <w:rPr>
          <w:rFonts w:ascii="仿宋_GB2312" w:eastAsia="仿宋_GB2312" w:hint="eastAsia"/>
          <w:color w:val="000000" w:themeColor="text1"/>
          <w:sz w:val="32"/>
          <w:szCs w:val="32"/>
        </w:rPr>
        <w:t>，指标完成值为5分，指标完成率为100%;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“办公费支出”指标：绩效目标值为“=56.70万元”，实际完成值为</w:t>
      </w:r>
      <w:r>
        <w:rPr>
          <w:rFonts w:ascii="仿宋_GB2312" w:eastAsia="仿宋_GB2312" w:hint="eastAsia"/>
          <w:color w:val="FF0000"/>
          <w:sz w:val="32"/>
          <w:szCs w:val="32"/>
        </w:rPr>
        <w:t>“=</w:t>
      </w:r>
      <w:r w:rsidR="00815D37" w:rsidRPr="00815D37">
        <w:rPr>
          <w:rFonts w:ascii="仿宋_GB2312" w:eastAsia="仿宋_GB2312"/>
          <w:color w:val="FF0000"/>
          <w:sz w:val="32"/>
          <w:szCs w:val="32"/>
        </w:rPr>
        <w:t>56.70</w:t>
      </w:r>
      <w:r>
        <w:rPr>
          <w:rFonts w:ascii="仿宋_GB2312" w:eastAsia="仿宋_GB2312" w:hint="eastAsia"/>
          <w:color w:val="FF0000"/>
          <w:sz w:val="32"/>
          <w:szCs w:val="32"/>
        </w:rPr>
        <w:t>”，</w:t>
      </w:r>
      <w:r>
        <w:rPr>
          <w:rFonts w:ascii="仿宋_GB2312" w:eastAsia="仿宋_GB2312" w:hint="eastAsia"/>
          <w:color w:val="000000" w:themeColor="text1"/>
          <w:sz w:val="32"/>
          <w:szCs w:val="32"/>
        </w:rPr>
        <w:t>指标完成值为5分，指标完成率为100%;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“公车运行费支出”指标：绩效目标值为“=39.00万元”，实际完成值为“=29.68万元”，指标完成值为4分，指标完成率为100%;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“印刷费、咨询费、手续费等支出”指标：绩效目标值为“=153.42万元”，实际完成值为</w:t>
      </w:r>
      <w:r>
        <w:rPr>
          <w:rFonts w:ascii="仿宋_GB2312" w:eastAsia="仿宋_GB2312" w:hint="eastAsia"/>
          <w:color w:val="FF0000"/>
          <w:sz w:val="32"/>
          <w:szCs w:val="32"/>
        </w:rPr>
        <w:t>“=</w:t>
      </w:r>
      <w:r w:rsidR="00815D37" w:rsidRPr="00815D37">
        <w:rPr>
          <w:rFonts w:ascii="仿宋_GB2312" w:eastAsia="仿宋_GB2312"/>
          <w:color w:val="FF0000"/>
          <w:sz w:val="32"/>
          <w:szCs w:val="32"/>
        </w:rPr>
        <w:t>153.42</w:t>
      </w:r>
      <w:r>
        <w:rPr>
          <w:rFonts w:ascii="仿宋_GB2312" w:eastAsia="仿宋_GB2312" w:hint="eastAsia"/>
          <w:color w:val="FF0000"/>
          <w:sz w:val="32"/>
          <w:szCs w:val="32"/>
        </w:rPr>
        <w:t>万元</w:t>
      </w:r>
      <w:r>
        <w:rPr>
          <w:rFonts w:ascii="仿宋_GB2312" w:eastAsia="仿宋_GB2312" w:hint="eastAsia"/>
          <w:color w:val="000000" w:themeColor="text1"/>
          <w:sz w:val="32"/>
          <w:szCs w:val="32"/>
        </w:rPr>
        <w:t>”，指</w:t>
      </w:r>
      <w:r>
        <w:rPr>
          <w:rFonts w:ascii="仿宋_GB2312" w:eastAsia="仿宋_GB2312" w:hint="eastAsia"/>
          <w:color w:val="000000" w:themeColor="text1"/>
          <w:sz w:val="32"/>
          <w:szCs w:val="32"/>
        </w:rPr>
        <w:lastRenderedPageBreak/>
        <w:t>标完成值为3分，指标完成率为100%;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“不动产证证本费”指标：绩效目标值为“=50万元”，实际完成值为</w:t>
      </w:r>
      <w:r>
        <w:rPr>
          <w:rFonts w:ascii="仿宋_GB2312" w:eastAsia="仿宋_GB2312" w:hint="eastAsia"/>
          <w:sz w:val="32"/>
          <w:szCs w:val="32"/>
        </w:rPr>
        <w:t>“=50万元”，</w:t>
      </w:r>
      <w:r>
        <w:rPr>
          <w:rFonts w:ascii="仿宋_GB2312" w:eastAsia="仿宋_GB2312" w:hint="eastAsia"/>
          <w:color w:val="000000" w:themeColor="text1"/>
          <w:sz w:val="32"/>
          <w:szCs w:val="32"/>
        </w:rPr>
        <w:t>指标完成值为3分，指标完成率为100%;</w:t>
      </w:r>
    </w:p>
    <w:p w:rsidR="00073312" w:rsidRDefault="00D02152">
      <w:pPr>
        <w:pStyle w:val="3"/>
        <w:ind w:firstLineChars="300" w:firstLine="964"/>
        <w:rPr>
          <w:color w:val="000000" w:themeColor="text1"/>
          <w:sz w:val="32"/>
        </w:rPr>
      </w:pPr>
      <w:r>
        <w:rPr>
          <w:rFonts w:hint="eastAsia"/>
          <w:color w:val="000000" w:themeColor="text1"/>
          <w:sz w:val="32"/>
        </w:rPr>
        <w:t>2.项目效益指标完成情况分析</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（1）社会效益指标</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“推动我局各项工作有序开展”指标：绩效目标值为“有效推动”，实际完成值为“100”，指标完成值为15分，指标完成率为100%;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（2）可持续影响指标</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“通过实施自然资源管理各项工作，有效保护自然资源”指标：绩效目标值为“长期”，实际完成值为“100”，指标完成值为15分，指标完成率为100%;</w:t>
      </w:r>
    </w:p>
    <w:p w:rsidR="00073312" w:rsidRDefault="00D02152">
      <w:pPr>
        <w:pStyle w:val="3"/>
        <w:ind w:firstLine="643"/>
        <w:rPr>
          <w:color w:val="000000" w:themeColor="text1"/>
          <w:sz w:val="32"/>
        </w:rPr>
      </w:pPr>
      <w:r>
        <w:rPr>
          <w:rFonts w:hint="eastAsia"/>
          <w:color w:val="000000" w:themeColor="text1"/>
          <w:sz w:val="32"/>
        </w:rPr>
        <w:t>3.满意度指标完成情况分析</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“受益群众满意度”指标：绩效目标值为“</w:t>
      </w:r>
      <w:r>
        <w:rPr>
          <w:rFonts w:ascii="宋体" w:eastAsia="宋体" w:hAnsi="宋体" w:cs="宋体" w:hint="eastAsia"/>
          <w:color w:val="000000" w:themeColor="text1"/>
          <w:sz w:val="32"/>
          <w:szCs w:val="32"/>
        </w:rPr>
        <w:t>≧90%</w:t>
      </w:r>
      <w:r>
        <w:rPr>
          <w:rFonts w:ascii="仿宋_GB2312" w:eastAsia="仿宋_GB2312" w:hint="eastAsia"/>
          <w:color w:val="000000" w:themeColor="text1"/>
          <w:sz w:val="32"/>
          <w:szCs w:val="32"/>
        </w:rPr>
        <w:t>”，实际完成值为“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90%”，指标完成值为5分，指标完成率为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100%;</w:t>
      </w:r>
    </w:p>
    <w:p w:rsidR="00073312" w:rsidRDefault="00D0215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“单位职工满意度”指标：绩效目标值为“</w:t>
      </w:r>
      <w:r>
        <w:rPr>
          <w:rFonts w:ascii="宋体" w:eastAsia="宋体" w:hAnsi="宋体" w:cs="宋体" w:hint="eastAsia"/>
          <w:color w:val="000000" w:themeColor="text1"/>
          <w:sz w:val="32"/>
          <w:szCs w:val="32"/>
        </w:rPr>
        <w:t>≧90%</w:t>
      </w:r>
      <w:r>
        <w:rPr>
          <w:rFonts w:ascii="仿宋_GB2312" w:eastAsia="仿宋_GB2312" w:hint="eastAsia"/>
          <w:color w:val="000000" w:themeColor="text1"/>
          <w:sz w:val="32"/>
          <w:szCs w:val="32"/>
        </w:rPr>
        <w:t>”，实际完成值为“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90%”，指标完成值为5分，指标完成率为</w:t>
      </w:r>
      <w:r>
        <w:rPr>
          <w:rFonts w:ascii="宋体" w:eastAsia="宋体" w:hAnsi="宋体" w:cs="宋体" w:hint="eastAsia"/>
          <w:color w:val="000000" w:themeColor="text1"/>
          <w:sz w:val="32"/>
          <w:szCs w:val="32"/>
        </w:rPr>
        <w:t>≧</w:t>
      </w:r>
      <w:r>
        <w:rPr>
          <w:rFonts w:ascii="仿宋_GB2312" w:eastAsia="仿宋_GB2312" w:hint="eastAsia"/>
          <w:color w:val="000000" w:themeColor="text1"/>
          <w:sz w:val="32"/>
          <w:szCs w:val="32"/>
        </w:rPr>
        <w:t>100%;</w:t>
      </w:r>
    </w:p>
    <w:p w:rsidR="00073312" w:rsidRDefault="00D02152">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t>六、存在的主要问题</w:t>
      </w:r>
    </w:p>
    <w:p w:rsidR="00073312" w:rsidRDefault="00D02152">
      <w:pPr>
        <w:adjustRightInd w:val="0"/>
        <w:snapToGrid w:val="0"/>
        <w:ind w:firstLine="624"/>
        <w:rPr>
          <w:rFonts w:ascii="仿宋_GB2312" w:eastAsia="仿宋_GB2312"/>
          <w:color w:val="000000" w:themeColor="text1"/>
          <w:spacing w:val="-4"/>
          <w:sz w:val="32"/>
          <w:szCs w:val="32"/>
        </w:rPr>
      </w:pPr>
      <w:r>
        <w:rPr>
          <w:rFonts w:ascii="仿宋_GB2312" w:eastAsia="仿宋_GB2312" w:hint="eastAsia"/>
          <w:color w:val="000000" w:themeColor="text1"/>
          <w:spacing w:val="-4"/>
          <w:sz w:val="32"/>
          <w:szCs w:val="32"/>
        </w:rPr>
        <w:t>2022年本单位整体支出绩效目标全部达成，不存在未完成原因分析。</w:t>
      </w:r>
    </w:p>
    <w:p w:rsidR="00073312" w:rsidRDefault="00D02152">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lastRenderedPageBreak/>
        <w:t>七、改进措施和建议</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24"/>
        <w:textAlignment w:val="center"/>
        <w:rPr>
          <w:rStyle w:val="a8"/>
          <w:b w:val="0"/>
          <w:color w:val="000000" w:themeColor="text1"/>
          <w:spacing w:val="-4"/>
          <w:sz w:val="32"/>
          <w:szCs w:val="32"/>
        </w:rPr>
      </w:pPr>
      <w:r>
        <w:rPr>
          <w:rStyle w:val="a8"/>
          <w:rFonts w:cstheme="minorBidi" w:hint="eastAsia"/>
          <w:b w:val="0"/>
          <w:color w:val="000000" w:themeColor="text1"/>
          <w:spacing w:val="-4"/>
          <w:sz w:val="32"/>
          <w:szCs w:val="32"/>
        </w:rPr>
        <w:t>预算绩效管理学习不够深入，预算绩效工作涉及项目业务、财务、效益等方面知识</w:t>
      </w:r>
      <w:r>
        <w:rPr>
          <w:rStyle w:val="a8"/>
          <w:rFonts w:hint="eastAsia"/>
          <w:b w:val="0"/>
          <w:color w:val="000000" w:themeColor="text1"/>
          <w:spacing w:val="-4"/>
          <w:sz w:val="32"/>
          <w:szCs w:val="32"/>
        </w:rPr>
        <w:t>。</w:t>
      </w:r>
      <w:r>
        <w:rPr>
          <w:rStyle w:val="a8"/>
          <w:rFonts w:cstheme="minorBidi" w:hint="eastAsia"/>
          <w:b w:val="0"/>
          <w:color w:val="000000" w:themeColor="text1"/>
          <w:spacing w:val="-4"/>
          <w:sz w:val="32"/>
          <w:szCs w:val="32"/>
        </w:rPr>
        <w:t>能全面掌握这些知识的人员较少，特别是能对效益方面进行较好评价的人才比较缺乏。建议在今后的工作中</w:t>
      </w:r>
      <w:r>
        <w:rPr>
          <w:rStyle w:val="a8"/>
          <w:rFonts w:hint="eastAsia"/>
          <w:b w:val="0"/>
          <w:color w:val="000000" w:themeColor="text1"/>
          <w:spacing w:val="-4"/>
          <w:sz w:val="32"/>
          <w:szCs w:val="32"/>
        </w:rPr>
        <w:t xml:space="preserve">加强预算绩效管理理论和实际操作培训，分批次对从事预算绩效管理人员进行知识和技能的普及，培养专业从事预算绩效管理的队伍，为预算绩效管理提供人才保障和储备。  </w:t>
      </w:r>
    </w:p>
    <w:p w:rsidR="00073312" w:rsidRDefault="00D02152">
      <w:pPr>
        <w:widowControl/>
        <w:pBdr>
          <w:top w:val="none" w:sz="0" w:space="0" w:color="000000"/>
          <w:left w:val="none" w:sz="0" w:space="0" w:color="000000"/>
          <w:bottom w:val="none" w:sz="0" w:space="31" w:color="000000"/>
          <w:right w:val="none" w:sz="0" w:space="11" w:color="000000"/>
        </w:pBdr>
        <w:suppressAutoHyphens/>
        <w:ind w:firstLine="640"/>
        <w:textAlignment w:val="center"/>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八、附表</w:t>
      </w:r>
    </w:p>
    <w:p w:rsidR="00073312" w:rsidRDefault="00D02152">
      <w:pPr>
        <w:widowControl/>
        <w:pBdr>
          <w:top w:val="none" w:sz="0" w:space="0" w:color="000000"/>
          <w:left w:val="none" w:sz="0" w:space="0" w:color="000000"/>
          <w:bottom w:val="none" w:sz="0" w:space="31" w:color="000000"/>
          <w:right w:val="none" w:sz="0" w:space="11" w:color="000000"/>
        </w:pBdr>
        <w:suppressAutoHyphens/>
        <w:spacing w:line="552" w:lineRule="exact"/>
        <w:ind w:firstLine="640"/>
        <w:textAlignment w:val="center"/>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ayout w:type="fixed"/>
        <w:tblLook w:val="04A0"/>
      </w:tblPr>
      <w:tblGrid>
        <w:gridCol w:w="500"/>
        <w:gridCol w:w="496"/>
        <w:gridCol w:w="496"/>
        <w:gridCol w:w="1311"/>
        <w:gridCol w:w="849"/>
        <w:gridCol w:w="1070"/>
        <w:gridCol w:w="637"/>
        <w:gridCol w:w="1336"/>
        <w:gridCol w:w="1196"/>
        <w:gridCol w:w="631"/>
      </w:tblGrid>
      <w:tr w:rsidR="00815D37" w:rsidRPr="00815D37" w:rsidTr="00815D37">
        <w:trPr>
          <w:trHeight w:val="799"/>
        </w:trPr>
        <w:tc>
          <w:tcPr>
            <w:tcW w:w="5000" w:type="pct"/>
            <w:gridSpan w:val="10"/>
            <w:tcBorders>
              <w:top w:val="nil"/>
              <w:left w:val="nil"/>
              <w:bottom w:val="nil"/>
              <w:right w:val="nil"/>
            </w:tcBorders>
            <w:shd w:val="clear" w:color="auto" w:fill="auto"/>
            <w:vAlign w:val="center"/>
            <w:hideMark/>
          </w:tcPr>
          <w:p w:rsidR="00815D37" w:rsidRPr="00815D37" w:rsidRDefault="00815D37" w:rsidP="00815D37">
            <w:pPr>
              <w:widowControl/>
              <w:spacing w:line="240" w:lineRule="auto"/>
              <w:ind w:firstLineChars="0" w:firstLine="0"/>
              <w:jc w:val="center"/>
              <w:rPr>
                <w:rFonts w:ascii="方正小标宋简体" w:eastAsia="方正小标宋简体" w:hAnsi="方正小标宋简体" w:cs="宋体"/>
                <w:kern w:val="0"/>
                <w:sz w:val="24"/>
              </w:rPr>
            </w:pPr>
            <w:r w:rsidRPr="00815D37">
              <w:rPr>
                <w:rFonts w:ascii="方正小标宋简体" w:eastAsia="方正小标宋简体" w:hAnsi="方正小标宋简体" w:cs="宋体" w:hint="eastAsia"/>
                <w:kern w:val="0"/>
                <w:sz w:val="24"/>
              </w:rPr>
              <w:t>部门整体支出绩效目标自评表</w:t>
            </w:r>
          </w:p>
        </w:tc>
      </w:tr>
      <w:tr w:rsidR="00815D37" w:rsidRPr="00815D37" w:rsidTr="00815D37">
        <w:trPr>
          <w:trHeight w:val="679"/>
        </w:trPr>
        <w:tc>
          <w:tcPr>
            <w:tcW w:w="5000" w:type="pct"/>
            <w:gridSpan w:val="10"/>
            <w:tcBorders>
              <w:top w:val="nil"/>
              <w:left w:val="nil"/>
              <w:bottom w:val="single" w:sz="4" w:space="0" w:color="auto"/>
              <w:right w:val="nil"/>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（2022年度）</w:t>
            </w:r>
          </w:p>
        </w:tc>
      </w:tr>
      <w:tr w:rsidR="00815D37" w:rsidRPr="00815D37" w:rsidTr="00815D37">
        <w:trPr>
          <w:trHeight w:val="540"/>
        </w:trPr>
        <w:tc>
          <w:tcPr>
            <w:tcW w:w="87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部门（单位）名称</w:t>
            </w:r>
          </w:p>
        </w:tc>
        <w:tc>
          <w:tcPr>
            <w:tcW w:w="4125" w:type="pct"/>
            <w:gridSpan w:val="7"/>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昌吉市自然资源局</w:t>
            </w:r>
          </w:p>
        </w:tc>
      </w:tr>
      <w:tr w:rsidR="00815D37" w:rsidRPr="00815D37" w:rsidTr="00815D37">
        <w:trPr>
          <w:trHeight w:val="559"/>
        </w:trPr>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年度主要任务</w:t>
            </w:r>
          </w:p>
        </w:tc>
        <w:tc>
          <w:tcPr>
            <w:tcW w:w="58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任务名称</w:t>
            </w:r>
          </w:p>
        </w:tc>
        <w:tc>
          <w:tcPr>
            <w:tcW w:w="769" w:type="pct"/>
            <w:vMerge w:val="restart"/>
            <w:tcBorders>
              <w:top w:val="nil"/>
              <w:left w:val="single" w:sz="4" w:space="0" w:color="auto"/>
              <w:bottom w:val="single" w:sz="4" w:space="0" w:color="000000"/>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主要内容</w:t>
            </w:r>
          </w:p>
        </w:tc>
        <w:tc>
          <w:tcPr>
            <w:tcW w:w="1500" w:type="pct"/>
            <w:gridSpan w:val="3"/>
            <w:tcBorders>
              <w:top w:val="single" w:sz="4" w:space="0" w:color="auto"/>
              <w:left w:val="nil"/>
              <w:bottom w:val="nil"/>
              <w:right w:val="nil"/>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预算金额（万元）</w:t>
            </w:r>
          </w:p>
        </w:tc>
        <w:tc>
          <w:tcPr>
            <w:tcW w:w="185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实际执行（万元）</w:t>
            </w:r>
          </w:p>
        </w:tc>
      </w:tr>
      <w:tr w:rsidR="00815D37" w:rsidRPr="00815D37" w:rsidTr="00815D37">
        <w:trPr>
          <w:trHeight w:val="840"/>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582" w:type="pct"/>
            <w:gridSpan w:val="2"/>
            <w:vMerge/>
            <w:tcBorders>
              <w:top w:val="single" w:sz="4" w:space="0" w:color="auto"/>
              <w:left w:val="single" w:sz="4" w:space="0" w:color="auto"/>
              <w:bottom w:val="single" w:sz="4" w:space="0" w:color="000000"/>
              <w:right w:val="single" w:sz="4" w:space="0" w:color="000000"/>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769" w:type="pct"/>
            <w:vMerge/>
            <w:tcBorders>
              <w:top w:val="nil"/>
              <w:left w:val="single" w:sz="4" w:space="0" w:color="auto"/>
              <w:bottom w:val="single" w:sz="4" w:space="0" w:color="000000"/>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498" w:type="pct"/>
            <w:tcBorders>
              <w:top w:val="single" w:sz="4" w:space="0" w:color="auto"/>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总额</w:t>
            </w:r>
          </w:p>
        </w:tc>
        <w:tc>
          <w:tcPr>
            <w:tcW w:w="628" w:type="pct"/>
            <w:tcBorders>
              <w:top w:val="single" w:sz="4" w:space="0" w:color="auto"/>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财政拨款</w:t>
            </w:r>
          </w:p>
        </w:tc>
        <w:tc>
          <w:tcPr>
            <w:tcW w:w="373" w:type="pct"/>
            <w:tcBorders>
              <w:top w:val="single" w:sz="4" w:space="0" w:color="auto"/>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其他资金</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总额</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财政拨款</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其他资金</w:t>
            </w:r>
          </w:p>
        </w:tc>
      </w:tr>
      <w:tr w:rsidR="00815D37" w:rsidRPr="00815D37" w:rsidTr="00815D37">
        <w:trPr>
          <w:trHeight w:val="960"/>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582" w:type="pct"/>
            <w:gridSpan w:val="2"/>
            <w:tcBorders>
              <w:top w:val="single" w:sz="4" w:space="0" w:color="auto"/>
              <w:left w:val="nil"/>
              <w:bottom w:val="single" w:sz="4" w:space="0" w:color="auto"/>
              <w:right w:val="nil"/>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人员经费支出</w:t>
            </w:r>
          </w:p>
        </w:tc>
        <w:tc>
          <w:tcPr>
            <w:tcW w:w="769" w:type="pc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保障自然资源局人员工资、社保、公积金等的正常发放</w:t>
            </w:r>
          </w:p>
        </w:tc>
        <w:tc>
          <w:tcPr>
            <w:tcW w:w="49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2579.17</w:t>
            </w:r>
          </w:p>
        </w:tc>
        <w:tc>
          <w:tcPr>
            <w:tcW w:w="62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2579.17</w:t>
            </w:r>
          </w:p>
        </w:tc>
        <w:tc>
          <w:tcPr>
            <w:tcW w:w="373"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1658.52</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1658.52</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0</w:t>
            </w:r>
          </w:p>
        </w:tc>
      </w:tr>
      <w:tr w:rsidR="00815D37" w:rsidRPr="00815D37" w:rsidTr="00815D37">
        <w:trPr>
          <w:trHeight w:val="540"/>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582" w:type="pct"/>
            <w:gridSpan w:val="2"/>
            <w:tcBorders>
              <w:top w:val="single" w:sz="4" w:space="0" w:color="auto"/>
              <w:left w:val="nil"/>
              <w:bottom w:val="single" w:sz="4" w:space="0" w:color="auto"/>
              <w:right w:val="nil"/>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办公费支出</w:t>
            </w:r>
          </w:p>
        </w:tc>
        <w:tc>
          <w:tcPr>
            <w:tcW w:w="769" w:type="pc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办公用品耗材等支出</w:t>
            </w:r>
          </w:p>
        </w:tc>
        <w:tc>
          <w:tcPr>
            <w:tcW w:w="49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56.7</w:t>
            </w:r>
          </w:p>
        </w:tc>
        <w:tc>
          <w:tcPr>
            <w:tcW w:w="62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56.7</w:t>
            </w:r>
          </w:p>
        </w:tc>
        <w:tc>
          <w:tcPr>
            <w:tcW w:w="373"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42.08</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42.08</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0</w:t>
            </w:r>
          </w:p>
        </w:tc>
      </w:tr>
      <w:tr w:rsidR="00815D37" w:rsidRPr="00815D37" w:rsidTr="00815D37">
        <w:trPr>
          <w:trHeight w:val="70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582" w:type="pct"/>
            <w:gridSpan w:val="2"/>
            <w:tcBorders>
              <w:top w:val="single" w:sz="4" w:space="0" w:color="auto"/>
              <w:left w:val="nil"/>
              <w:bottom w:val="single" w:sz="4" w:space="0" w:color="auto"/>
              <w:right w:val="nil"/>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公车运行费支出</w:t>
            </w:r>
          </w:p>
        </w:tc>
        <w:tc>
          <w:tcPr>
            <w:tcW w:w="769" w:type="pc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保障15辆公务用车的燃油及维修养护支出</w:t>
            </w:r>
          </w:p>
        </w:tc>
        <w:tc>
          <w:tcPr>
            <w:tcW w:w="49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39</w:t>
            </w:r>
          </w:p>
        </w:tc>
        <w:tc>
          <w:tcPr>
            <w:tcW w:w="62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39</w:t>
            </w:r>
          </w:p>
        </w:tc>
        <w:tc>
          <w:tcPr>
            <w:tcW w:w="373"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29.68</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29.68</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0</w:t>
            </w:r>
          </w:p>
        </w:tc>
      </w:tr>
      <w:tr w:rsidR="00815D37" w:rsidRPr="00815D37" w:rsidTr="00815D37">
        <w:trPr>
          <w:trHeight w:val="70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582" w:type="pct"/>
            <w:gridSpan w:val="2"/>
            <w:tcBorders>
              <w:top w:val="single" w:sz="4" w:space="0" w:color="auto"/>
              <w:left w:val="nil"/>
              <w:bottom w:val="single" w:sz="4" w:space="0" w:color="auto"/>
              <w:right w:val="nil"/>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印刷费、咨询费、手续费等支出</w:t>
            </w:r>
          </w:p>
        </w:tc>
        <w:tc>
          <w:tcPr>
            <w:tcW w:w="769" w:type="pc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水电费、差旅费、印刷费、物业管理费等必要支出</w:t>
            </w:r>
          </w:p>
        </w:tc>
        <w:tc>
          <w:tcPr>
            <w:tcW w:w="49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153.42</w:t>
            </w:r>
          </w:p>
        </w:tc>
        <w:tc>
          <w:tcPr>
            <w:tcW w:w="62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153.42</w:t>
            </w:r>
          </w:p>
        </w:tc>
        <w:tc>
          <w:tcPr>
            <w:tcW w:w="373"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86.81</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86.81</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0</w:t>
            </w:r>
          </w:p>
        </w:tc>
      </w:tr>
      <w:tr w:rsidR="00815D37" w:rsidRPr="00815D37" w:rsidTr="00815D37">
        <w:trPr>
          <w:trHeight w:val="540"/>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582" w:type="pct"/>
            <w:gridSpan w:val="2"/>
            <w:tcBorders>
              <w:top w:val="single" w:sz="4" w:space="0" w:color="auto"/>
              <w:left w:val="nil"/>
              <w:bottom w:val="single" w:sz="4" w:space="0" w:color="auto"/>
              <w:right w:val="nil"/>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项目支出</w:t>
            </w:r>
          </w:p>
        </w:tc>
        <w:tc>
          <w:tcPr>
            <w:tcW w:w="769" w:type="pc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不动产证证本费</w:t>
            </w:r>
          </w:p>
        </w:tc>
        <w:tc>
          <w:tcPr>
            <w:tcW w:w="49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50</w:t>
            </w:r>
          </w:p>
        </w:tc>
        <w:tc>
          <w:tcPr>
            <w:tcW w:w="62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50</w:t>
            </w:r>
          </w:p>
        </w:tc>
        <w:tc>
          <w:tcPr>
            <w:tcW w:w="373"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color w:val="000000"/>
                <w:kern w:val="0"/>
                <w:sz w:val="24"/>
              </w:rPr>
            </w:pPr>
            <w:r w:rsidRPr="00815D37">
              <w:rPr>
                <w:rFonts w:ascii="宋体" w:eastAsia="宋体" w:hAnsi="宋体" w:cs="宋体" w:hint="eastAsia"/>
                <w:color w:val="000000"/>
                <w:kern w:val="0"/>
                <w:sz w:val="24"/>
              </w:rPr>
              <w:t>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50</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50</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0</w:t>
            </w:r>
          </w:p>
        </w:tc>
      </w:tr>
      <w:tr w:rsidR="00815D37" w:rsidRPr="00815D37" w:rsidTr="00815D37">
        <w:trPr>
          <w:trHeight w:val="540"/>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351" w:type="pct"/>
            <w:gridSpan w:val="3"/>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合　计</w:t>
            </w:r>
          </w:p>
        </w:tc>
        <w:tc>
          <w:tcPr>
            <w:tcW w:w="498" w:type="pct"/>
            <w:tcBorders>
              <w:top w:val="nil"/>
              <w:left w:val="nil"/>
              <w:bottom w:val="single" w:sz="4" w:space="0" w:color="auto"/>
              <w:right w:val="single" w:sz="4" w:space="0" w:color="auto"/>
            </w:tcBorders>
            <w:shd w:val="clear" w:color="auto" w:fill="auto"/>
            <w:noWrap/>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2878.29</w:t>
            </w:r>
          </w:p>
        </w:tc>
        <w:tc>
          <w:tcPr>
            <w:tcW w:w="628"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2878.29</w:t>
            </w:r>
          </w:p>
        </w:tc>
        <w:tc>
          <w:tcPr>
            <w:tcW w:w="373"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0.0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1867.09</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1867.09</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0.0</w:t>
            </w:r>
          </w:p>
        </w:tc>
      </w:tr>
      <w:tr w:rsidR="00815D37" w:rsidRPr="00815D37" w:rsidTr="00815D37">
        <w:trPr>
          <w:trHeight w:val="465"/>
        </w:trPr>
        <w:tc>
          <w:tcPr>
            <w:tcW w:w="293" w:type="pct"/>
            <w:vMerge w:val="restart"/>
            <w:tcBorders>
              <w:top w:val="nil"/>
              <w:left w:val="single" w:sz="4" w:space="0" w:color="auto"/>
              <w:bottom w:val="single" w:sz="4" w:space="0" w:color="000000"/>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年度总体目标</w:t>
            </w:r>
          </w:p>
        </w:tc>
        <w:tc>
          <w:tcPr>
            <w:tcW w:w="1849" w:type="pct"/>
            <w:gridSpan w:val="4"/>
            <w:tcBorders>
              <w:top w:val="single" w:sz="4" w:space="0" w:color="auto"/>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预期目标</w:t>
            </w:r>
          </w:p>
        </w:tc>
        <w:tc>
          <w:tcPr>
            <w:tcW w:w="2857" w:type="pct"/>
            <w:gridSpan w:val="5"/>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实际完成目标</w:t>
            </w:r>
          </w:p>
        </w:tc>
      </w:tr>
      <w:tr w:rsidR="00815D37" w:rsidRPr="00815D37" w:rsidTr="00815D37">
        <w:trPr>
          <w:trHeight w:val="2262"/>
        </w:trPr>
        <w:tc>
          <w:tcPr>
            <w:tcW w:w="293" w:type="pct"/>
            <w:vMerge/>
            <w:tcBorders>
              <w:top w:val="nil"/>
              <w:left w:val="single" w:sz="4" w:space="0" w:color="auto"/>
              <w:bottom w:val="single" w:sz="4" w:space="0" w:color="000000"/>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849" w:type="pct"/>
            <w:gridSpan w:val="4"/>
            <w:tcBorders>
              <w:top w:val="single" w:sz="4" w:space="0" w:color="auto"/>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r w:rsidRPr="00815D37">
              <w:rPr>
                <w:rFonts w:ascii="宋体" w:eastAsia="宋体" w:hAnsi="宋体" w:cs="宋体" w:hint="eastAsia"/>
                <w:kern w:val="0"/>
                <w:sz w:val="24"/>
              </w:rPr>
              <w:t>昌吉市自然资源局2022年度预算资金2878.29万元。完成人员经费支出2579.17万元、公用经费支出249.12万元，项目支出50万元。公务保障用车数量达到15辆，在编人员工资发放覆盖率超过95%，单位职工满意度超过90%，年度完成单位189人人员工资支出及社保支出、自然资源局办公费、公务用车运行费支出、水电费、差旅费、印刷费等日常开支、退休人员独生子女费、退休人员取暖费以及遗属补助费的支出。最终保障昌吉市自然资源局各项工作有序正常运转。</w:t>
            </w:r>
          </w:p>
        </w:tc>
        <w:tc>
          <w:tcPr>
            <w:tcW w:w="2857" w:type="pct"/>
            <w:gridSpan w:val="5"/>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r w:rsidRPr="00815D37">
              <w:rPr>
                <w:rFonts w:ascii="宋体" w:eastAsia="宋体" w:hAnsi="宋体" w:cs="宋体" w:hint="eastAsia"/>
                <w:kern w:val="0"/>
                <w:sz w:val="24"/>
              </w:rPr>
              <w:t>年度完成昌吉市自然资源局2022年度预算资金2878.29万元。年末调整预算数1011.20万元，实际支出1867.09万元。本年度完成人员经费支出1658.52万元、公用经费支出158.57万元，项目支出50万元。公务保障用车数量达到15辆，在编人员工资发放覆盖率超过95%，单位职工满意度超过90%，年度完成单位189人人员工资支出及社保支出、自然资源局办公费、公务用车运行费支出、水电费、差旅费、印刷费等日常开支、退休人员独生子女费、退休人员取暖费以及遗属补助费的支出。最终保障昌吉市自然资源局各项工作有序正常运转。</w:t>
            </w:r>
          </w:p>
        </w:tc>
      </w:tr>
      <w:tr w:rsidR="00815D37" w:rsidRPr="00815D37" w:rsidTr="00815D37">
        <w:trPr>
          <w:trHeight w:val="780"/>
        </w:trPr>
        <w:tc>
          <w:tcPr>
            <w:tcW w:w="293"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年度</w:t>
            </w:r>
            <w:r w:rsidRPr="00815D37">
              <w:rPr>
                <w:rFonts w:ascii="宋体" w:eastAsia="宋体" w:hAnsi="宋体" w:cs="宋体" w:hint="eastAsia"/>
                <w:kern w:val="0"/>
                <w:sz w:val="24"/>
              </w:rPr>
              <w:lastRenderedPageBreak/>
              <w:t>绩效指标完成情况</w:t>
            </w:r>
          </w:p>
        </w:tc>
        <w:tc>
          <w:tcPr>
            <w:tcW w:w="291"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lastRenderedPageBreak/>
              <w:t>一级</w:t>
            </w:r>
            <w:r w:rsidRPr="00815D37">
              <w:rPr>
                <w:rFonts w:ascii="宋体" w:eastAsia="宋体" w:hAnsi="宋体" w:cs="宋体" w:hint="eastAsia"/>
                <w:kern w:val="0"/>
                <w:sz w:val="24"/>
              </w:rPr>
              <w:lastRenderedPageBreak/>
              <w:t>指标</w:t>
            </w:r>
          </w:p>
        </w:tc>
        <w:tc>
          <w:tcPr>
            <w:tcW w:w="291"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lastRenderedPageBreak/>
              <w:t>二级</w:t>
            </w:r>
            <w:r w:rsidRPr="00815D37">
              <w:rPr>
                <w:rFonts w:ascii="宋体" w:eastAsia="宋体" w:hAnsi="宋体" w:cs="宋体" w:hint="eastAsia"/>
                <w:kern w:val="0"/>
                <w:sz w:val="24"/>
              </w:rPr>
              <w:lastRenderedPageBreak/>
              <w:t>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lastRenderedPageBreak/>
              <w:t>三级指标</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绩效目标值</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实际完成值</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指标分值</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得分</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项目完成</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数量指标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公务保障用车数量</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=15.00辆</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=15.00辆</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保障办公人员数量</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=189.00人</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=189.00人</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保障退休人员数量</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=80.00人</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=80.00人</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受理不动产证件数</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&gt;=5.00万件</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&gt;=5.00万件</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建设用地报批批次</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&gt;=10.00批次</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&gt;=10.00批次</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质量指标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在编人员工资发放覆盖率</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&gt;=95.00%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&gt;=95.00%</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时效指标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公用经费支付及时率</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&gt;=95.00%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&gt;=95.00%</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各项工作完成时限</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2022年12月31日</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2022年12月31日</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成本指标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人员经费支出</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=2579.17万元</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=2579.17万元</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办公费支出</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=56.70万元</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=56.70万元</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公车运行费支出</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=39.00万元</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=39.00万元</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4</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4</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印刷费、咨询费、手续费等支出</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=153.42万元</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=153.42万元</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3</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3</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不动产证证本费</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=50.00万元</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=50.00万元</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3</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3</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项目效益</w:t>
            </w:r>
          </w:p>
        </w:tc>
        <w:tc>
          <w:tcPr>
            <w:tcW w:w="291"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经济效益指标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社会效益指标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推动我局各项工作有序开展</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有效推动</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100.00</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生态效益指标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可持续影响指标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通过实施自然资源管理各项工作，有效保护自然资源</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长期</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100.00</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15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满意度指标</w:t>
            </w:r>
          </w:p>
        </w:tc>
        <w:tc>
          <w:tcPr>
            <w:tcW w:w="291" w:type="pct"/>
            <w:vMerge w:val="restart"/>
            <w:tcBorders>
              <w:top w:val="nil"/>
              <w:left w:val="single" w:sz="4" w:space="0" w:color="auto"/>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满意度指标</w:t>
            </w: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受益群体满意度</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&gt;=90.00%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&gt;=90.00%</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r w:rsidR="00815D37" w:rsidRPr="00815D37" w:rsidTr="00815D37">
        <w:trPr>
          <w:trHeight w:val="882"/>
        </w:trPr>
        <w:tc>
          <w:tcPr>
            <w:tcW w:w="293"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291" w:type="pct"/>
            <w:vMerge/>
            <w:tcBorders>
              <w:top w:val="nil"/>
              <w:left w:val="single" w:sz="4" w:space="0" w:color="auto"/>
              <w:bottom w:val="single" w:sz="4" w:space="0" w:color="auto"/>
              <w:right w:val="single" w:sz="4" w:space="0" w:color="auto"/>
            </w:tcBorders>
            <w:vAlign w:val="center"/>
            <w:hideMark/>
          </w:tcPr>
          <w:p w:rsidR="00815D37" w:rsidRPr="00815D37" w:rsidRDefault="00815D37" w:rsidP="00815D37">
            <w:pPr>
              <w:widowControl/>
              <w:spacing w:line="240" w:lineRule="auto"/>
              <w:ind w:firstLineChars="0" w:firstLine="0"/>
              <w:jc w:val="left"/>
              <w:rPr>
                <w:rFonts w:ascii="宋体" w:eastAsia="宋体" w:hAnsi="宋体" w:cs="宋体"/>
                <w:kern w:val="0"/>
                <w:sz w:val="24"/>
              </w:rPr>
            </w:pPr>
          </w:p>
        </w:tc>
        <w:tc>
          <w:tcPr>
            <w:tcW w:w="1267"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单位职工满意度</w:t>
            </w:r>
          </w:p>
        </w:tc>
        <w:tc>
          <w:tcPr>
            <w:tcW w:w="1002" w:type="pct"/>
            <w:gridSpan w:val="2"/>
            <w:tcBorders>
              <w:top w:val="single" w:sz="4" w:space="0" w:color="auto"/>
              <w:left w:val="nil"/>
              <w:bottom w:val="single" w:sz="4" w:space="0" w:color="auto"/>
              <w:right w:val="single" w:sz="4" w:space="0" w:color="000000"/>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&gt;=90.00%</w:t>
            </w:r>
          </w:p>
        </w:tc>
        <w:tc>
          <w:tcPr>
            <w:tcW w:w="784"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&gt;=90.00%</w:t>
            </w:r>
          </w:p>
        </w:tc>
        <w:tc>
          <w:tcPr>
            <w:tcW w:w="702"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c>
          <w:tcPr>
            <w:tcW w:w="370" w:type="pct"/>
            <w:tcBorders>
              <w:top w:val="nil"/>
              <w:left w:val="nil"/>
              <w:bottom w:val="single" w:sz="4" w:space="0" w:color="auto"/>
              <w:right w:val="single" w:sz="4" w:space="0" w:color="auto"/>
            </w:tcBorders>
            <w:shd w:val="clear" w:color="auto" w:fill="auto"/>
            <w:vAlign w:val="center"/>
            <w:hideMark/>
          </w:tcPr>
          <w:p w:rsidR="00815D37" w:rsidRPr="00815D37" w:rsidRDefault="00815D37" w:rsidP="00815D37">
            <w:pPr>
              <w:widowControl/>
              <w:spacing w:line="240" w:lineRule="auto"/>
              <w:ind w:firstLineChars="0" w:firstLine="0"/>
              <w:jc w:val="center"/>
              <w:rPr>
                <w:rFonts w:ascii="宋体" w:eastAsia="宋体" w:hAnsi="宋体" w:cs="宋体"/>
                <w:kern w:val="0"/>
                <w:sz w:val="24"/>
              </w:rPr>
            </w:pPr>
            <w:r w:rsidRPr="00815D37">
              <w:rPr>
                <w:rFonts w:ascii="宋体" w:eastAsia="宋体" w:hAnsi="宋体" w:cs="宋体" w:hint="eastAsia"/>
                <w:kern w:val="0"/>
                <w:sz w:val="24"/>
              </w:rPr>
              <w:t>5</w:t>
            </w:r>
          </w:p>
        </w:tc>
      </w:tr>
    </w:tbl>
    <w:p w:rsidR="00815D37" w:rsidRPr="00815D37" w:rsidRDefault="00815D37" w:rsidP="00815D37">
      <w:pPr>
        <w:pStyle w:val="2"/>
        <w:ind w:left="560" w:firstLine="560"/>
      </w:pPr>
    </w:p>
    <w:sectPr w:rsidR="00815D37" w:rsidRPr="00815D37" w:rsidSect="008A4DC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586" w:rsidRDefault="00367586">
      <w:pPr>
        <w:spacing w:line="240" w:lineRule="auto"/>
        <w:ind w:firstLine="560"/>
      </w:pPr>
      <w:r>
        <w:separator/>
      </w:r>
    </w:p>
  </w:endnote>
  <w:endnote w:type="continuationSeparator" w:id="1">
    <w:p w:rsidR="00367586" w:rsidRDefault="00367586">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003E01BD" w:csb1="00000000"/>
  </w:font>
  <w:font w:name="楷体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718" w:rsidRDefault="00441718" w:rsidP="00441718">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312" w:rsidRDefault="00073312">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312" w:rsidRDefault="00073312">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586" w:rsidRDefault="00367586">
      <w:pPr>
        <w:spacing w:line="240" w:lineRule="auto"/>
        <w:ind w:firstLine="560"/>
      </w:pPr>
      <w:r>
        <w:separator/>
      </w:r>
    </w:p>
  </w:footnote>
  <w:footnote w:type="continuationSeparator" w:id="1">
    <w:p w:rsidR="00367586" w:rsidRDefault="00367586">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718" w:rsidRDefault="00441718" w:rsidP="00441718">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3312" w:rsidRDefault="00073312">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718" w:rsidRDefault="00441718" w:rsidP="00441718">
    <w:pPr>
      <w:pStyle w:val="a6"/>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1">
    <w:nsid w:val="3B8ED2E4"/>
    <w:multiLevelType w:val="singleLevel"/>
    <w:tmpl w:val="3B8ED2E4"/>
    <w:lvl w:ilvl="0">
      <w:start w:val="9"/>
      <w:numFmt w:val="decimal"/>
      <w:suff w:val="nothing"/>
      <w:lvlText w:val="（%1）"/>
      <w:lvlJc w:val="left"/>
    </w:lvl>
  </w:abstractNum>
  <w:abstractNum w:abstractNumId="2">
    <w:nsid w:val="5D208582"/>
    <w:multiLevelType w:val="singleLevel"/>
    <w:tmpl w:val="5D208582"/>
    <w:lvl w:ilvl="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073312"/>
    <w:rsid w:val="0018253B"/>
    <w:rsid w:val="00196961"/>
    <w:rsid w:val="00201A4A"/>
    <w:rsid w:val="002153DD"/>
    <w:rsid w:val="002640E4"/>
    <w:rsid w:val="00266868"/>
    <w:rsid w:val="002714F9"/>
    <w:rsid w:val="00367586"/>
    <w:rsid w:val="003B184C"/>
    <w:rsid w:val="003F473D"/>
    <w:rsid w:val="00441718"/>
    <w:rsid w:val="00455E2F"/>
    <w:rsid w:val="00485980"/>
    <w:rsid w:val="004D4927"/>
    <w:rsid w:val="004E4CA7"/>
    <w:rsid w:val="005736CA"/>
    <w:rsid w:val="005A124E"/>
    <w:rsid w:val="005D3F17"/>
    <w:rsid w:val="005E5D6E"/>
    <w:rsid w:val="005F7A93"/>
    <w:rsid w:val="00601640"/>
    <w:rsid w:val="00617C63"/>
    <w:rsid w:val="00696A21"/>
    <w:rsid w:val="00722410"/>
    <w:rsid w:val="00751329"/>
    <w:rsid w:val="0077571A"/>
    <w:rsid w:val="007A1B0F"/>
    <w:rsid w:val="007B6305"/>
    <w:rsid w:val="00815D37"/>
    <w:rsid w:val="008A09A7"/>
    <w:rsid w:val="008A1C5E"/>
    <w:rsid w:val="008A4DC0"/>
    <w:rsid w:val="008B5A4C"/>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43555"/>
    <w:rsid w:val="00BC7E1D"/>
    <w:rsid w:val="00C11C70"/>
    <w:rsid w:val="00C32D7A"/>
    <w:rsid w:val="00C5695F"/>
    <w:rsid w:val="00CA0283"/>
    <w:rsid w:val="00CD147B"/>
    <w:rsid w:val="00D02152"/>
    <w:rsid w:val="00D2747D"/>
    <w:rsid w:val="00D34758"/>
    <w:rsid w:val="00D81057"/>
    <w:rsid w:val="00D816FD"/>
    <w:rsid w:val="00D8792A"/>
    <w:rsid w:val="00DB3723"/>
    <w:rsid w:val="00DC7874"/>
    <w:rsid w:val="00DE5032"/>
    <w:rsid w:val="00E122EB"/>
    <w:rsid w:val="00E65EF1"/>
    <w:rsid w:val="00E76F6F"/>
    <w:rsid w:val="00EA0F2D"/>
    <w:rsid w:val="012D3D63"/>
    <w:rsid w:val="01330A6C"/>
    <w:rsid w:val="01487A18"/>
    <w:rsid w:val="014A47B0"/>
    <w:rsid w:val="016771FF"/>
    <w:rsid w:val="01720865"/>
    <w:rsid w:val="01802AE1"/>
    <w:rsid w:val="0189003F"/>
    <w:rsid w:val="018D45C9"/>
    <w:rsid w:val="01950EEB"/>
    <w:rsid w:val="01A7275D"/>
    <w:rsid w:val="01C42D66"/>
    <w:rsid w:val="01D466E1"/>
    <w:rsid w:val="02271F70"/>
    <w:rsid w:val="0246626A"/>
    <w:rsid w:val="02C15BF6"/>
    <w:rsid w:val="02F845CF"/>
    <w:rsid w:val="030A5A35"/>
    <w:rsid w:val="03355B62"/>
    <w:rsid w:val="036300A6"/>
    <w:rsid w:val="03673532"/>
    <w:rsid w:val="0379691F"/>
    <w:rsid w:val="0384447B"/>
    <w:rsid w:val="03BE7262"/>
    <w:rsid w:val="03DA410F"/>
    <w:rsid w:val="03F56C89"/>
    <w:rsid w:val="04001BC4"/>
    <w:rsid w:val="04021AAD"/>
    <w:rsid w:val="04075456"/>
    <w:rsid w:val="04313FCA"/>
    <w:rsid w:val="046072C6"/>
    <w:rsid w:val="047D1D6B"/>
    <w:rsid w:val="048C34B8"/>
    <w:rsid w:val="04993586"/>
    <w:rsid w:val="049D20FD"/>
    <w:rsid w:val="04B72F35"/>
    <w:rsid w:val="04C42719"/>
    <w:rsid w:val="04D57158"/>
    <w:rsid w:val="04DF6C0B"/>
    <w:rsid w:val="04F05373"/>
    <w:rsid w:val="050D0377"/>
    <w:rsid w:val="05560765"/>
    <w:rsid w:val="057033DA"/>
    <w:rsid w:val="058D51FF"/>
    <w:rsid w:val="059A6C08"/>
    <w:rsid w:val="05B0613F"/>
    <w:rsid w:val="05BA12B9"/>
    <w:rsid w:val="05C21826"/>
    <w:rsid w:val="05CA4E67"/>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5449F4"/>
    <w:rsid w:val="075A0637"/>
    <w:rsid w:val="078D1F9E"/>
    <w:rsid w:val="07CA63EE"/>
    <w:rsid w:val="07D07530"/>
    <w:rsid w:val="08170519"/>
    <w:rsid w:val="08436556"/>
    <w:rsid w:val="0856616F"/>
    <w:rsid w:val="08571EE8"/>
    <w:rsid w:val="08622524"/>
    <w:rsid w:val="086A7EAD"/>
    <w:rsid w:val="08821C77"/>
    <w:rsid w:val="08881A41"/>
    <w:rsid w:val="08B83F76"/>
    <w:rsid w:val="08E604A1"/>
    <w:rsid w:val="08EF03CC"/>
    <w:rsid w:val="09001F4B"/>
    <w:rsid w:val="092D6339"/>
    <w:rsid w:val="09416584"/>
    <w:rsid w:val="094B015D"/>
    <w:rsid w:val="09587EE0"/>
    <w:rsid w:val="097A0CA3"/>
    <w:rsid w:val="099A43DD"/>
    <w:rsid w:val="09AC182A"/>
    <w:rsid w:val="09DA2AA5"/>
    <w:rsid w:val="0A0E097B"/>
    <w:rsid w:val="0A2B4A0E"/>
    <w:rsid w:val="0A4640FB"/>
    <w:rsid w:val="0A5640C0"/>
    <w:rsid w:val="0A570F00"/>
    <w:rsid w:val="0A68509F"/>
    <w:rsid w:val="0AD23979"/>
    <w:rsid w:val="0AE14729"/>
    <w:rsid w:val="0AEA18D6"/>
    <w:rsid w:val="0B4635B9"/>
    <w:rsid w:val="0B6C582B"/>
    <w:rsid w:val="0B735A1E"/>
    <w:rsid w:val="0B927CE4"/>
    <w:rsid w:val="0BB6664C"/>
    <w:rsid w:val="0BCC05A7"/>
    <w:rsid w:val="0C011A1F"/>
    <w:rsid w:val="0C1D3D6A"/>
    <w:rsid w:val="0C3C00AB"/>
    <w:rsid w:val="0C3F256A"/>
    <w:rsid w:val="0C4253F9"/>
    <w:rsid w:val="0C6B1341"/>
    <w:rsid w:val="0C7368E0"/>
    <w:rsid w:val="0C8959A0"/>
    <w:rsid w:val="0C9B591B"/>
    <w:rsid w:val="0CC024A2"/>
    <w:rsid w:val="0CDD02FC"/>
    <w:rsid w:val="0CE67E95"/>
    <w:rsid w:val="0D1B7766"/>
    <w:rsid w:val="0D2C01B6"/>
    <w:rsid w:val="0D5973A7"/>
    <w:rsid w:val="0D5E31EF"/>
    <w:rsid w:val="0D703DA4"/>
    <w:rsid w:val="0D706869"/>
    <w:rsid w:val="0D7C06D5"/>
    <w:rsid w:val="0D7C2CF2"/>
    <w:rsid w:val="0DCF4D07"/>
    <w:rsid w:val="0DD643ED"/>
    <w:rsid w:val="0DF75868"/>
    <w:rsid w:val="0DF80FE6"/>
    <w:rsid w:val="0E1400AD"/>
    <w:rsid w:val="0E343D9E"/>
    <w:rsid w:val="0E7D041B"/>
    <w:rsid w:val="0E92010B"/>
    <w:rsid w:val="0E9E33B0"/>
    <w:rsid w:val="0ECA7F2E"/>
    <w:rsid w:val="0EED6D2C"/>
    <w:rsid w:val="0EF905AA"/>
    <w:rsid w:val="0F140AC0"/>
    <w:rsid w:val="0F14215B"/>
    <w:rsid w:val="0F25719D"/>
    <w:rsid w:val="0F3C74C6"/>
    <w:rsid w:val="0F68204C"/>
    <w:rsid w:val="0F7B0A9B"/>
    <w:rsid w:val="0FE06440"/>
    <w:rsid w:val="102528D8"/>
    <w:rsid w:val="1049193F"/>
    <w:rsid w:val="10566744"/>
    <w:rsid w:val="10625CF9"/>
    <w:rsid w:val="10950DBA"/>
    <w:rsid w:val="10B52A92"/>
    <w:rsid w:val="10D40475"/>
    <w:rsid w:val="10D64BD5"/>
    <w:rsid w:val="11023984"/>
    <w:rsid w:val="11210DEA"/>
    <w:rsid w:val="11211E78"/>
    <w:rsid w:val="113051CE"/>
    <w:rsid w:val="114E5553"/>
    <w:rsid w:val="1193547A"/>
    <w:rsid w:val="1199679A"/>
    <w:rsid w:val="11B513B1"/>
    <w:rsid w:val="11C0608B"/>
    <w:rsid w:val="11C51460"/>
    <w:rsid w:val="11F5270B"/>
    <w:rsid w:val="12160F32"/>
    <w:rsid w:val="126725E4"/>
    <w:rsid w:val="129C5FBF"/>
    <w:rsid w:val="12B94F82"/>
    <w:rsid w:val="12CA53DD"/>
    <w:rsid w:val="12FA5048"/>
    <w:rsid w:val="13165E3E"/>
    <w:rsid w:val="132A631E"/>
    <w:rsid w:val="13332723"/>
    <w:rsid w:val="13336BAF"/>
    <w:rsid w:val="134D7FF4"/>
    <w:rsid w:val="135D328A"/>
    <w:rsid w:val="13A24A0D"/>
    <w:rsid w:val="13A27094"/>
    <w:rsid w:val="13AD28E3"/>
    <w:rsid w:val="13B42D72"/>
    <w:rsid w:val="13CF1174"/>
    <w:rsid w:val="13D06674"/>
    <w:rsid w:val="13D12370"/>
    <w:rsid w:val="13D44D7F"/>
    <w:rsid w:val="13D951F1"/>
    <w:rsid w:val="14120FE1"/>
    <w:rsid w:val="141A243D"/>
    <w:rsid w:val="142C48EB"/>
    <w:rsid w:val="143E5526"/>
    <w:rsid w:val="14546A76"/>
    <w:rsid w:val="145F430B"/>
    <w:rsid w:val="14686413"/>
    <w:rsid w:val="14703A03"/>
    <w:rsid w:val="1493153C"/>
    <w:rsid w:val="14A573F7"/>
    <w:rsid w:val="14B33F8F"/>
    <w:rsid w:val="14EC123F"/>
    <w:rsid w:val="14F81E1D"/>
    <w:rsid w:val="15343BE6"/>
    <w:rsid w:val="15357338"/>
    <w:rsid w:val="153612FD"/>
    <w:rsid w:val="15384D41"/>
    <w:rsid w:val="154136C6"/>
    <w:rsid w:val="15530DDD"/>
    <w:rsid w:val="156F1B1C"/>
    <w:rsid w:val="15B71101"/>
    <w:rsid w:val="15CB30E2"/>
    <w:rsid w:val="15D66613"/>
    <w:rsid w:val="15E15B1A"/>
    <w:rsid w:val="16050D98"/>
    <w:rsid w:val="161F5CD6"/>
    <w:rsid w:val="163B3A5F"/>
    <w:rsid w:val="164D645C"/>
    <w:rsid w:val="167B52F3"/>
    <w:rsid w:val="16811A70"/>
    <w:rsid w:val="169C62CB"/>
    <w:rsid w:val="16D475CE"/>
    <w:rsid w:val="16D97F04"/>
    <w:rsid w:val="16DC79A8"/>
    <w:rsid w:val="16F4505A"/>
    <w:rsid w:val="16F771B9"/>
    <w:rsid w:val="17136C0E"/>
    <w:rsid w:val="172533DC"/>
    <w:rsid w:val="17383D5F"/>
    <w:rsid w:val="17661DE7"/>
    <w:rsid w:val="177266CB"/>
    <w:rsid w:val="177D3D5F"/>
    <w:rsid w:val="17A20C36"/>
    <w:rsid w:val="17C573FD"/>
    <w:rsid w:val="17EB0A59"/>
    <w:rsid w:val="18142FD5"/>
    <w:rsid w:val="183C3AC2"/>
    <w:rsid w:val="183E72B2"/>
    <w:rsid w:val="18647115"/>
    <w:rsid w:val="187B711C"/>
    <w:rsid w:val="18A20802"/>
    <w:rsid w:val="18AA6E61"/>
    <w:rsid w:val="18B06EB1"/>
    <w:rsid w:val="18B44DAA"/>
    <w:rsid w:val="18C44CD5"/>
    <w:rsid w:val="18E0441C"/>
    <w:rsid w:val="191D76ED"/>
    <w:rsid w:val="192F7670"/>
    <w:rsid w:val="1937493E"/>
    <w:rsid w:val="193D3C42"/>
    <w:rsid w:val="195864BB"/>
    <w:rsid w:val="195D27D0"/>
    <w:rsid w:val="196D4FF2"/>
    <w:rsid w:val="19B05D52"/>
    <w:rsid w:val="19B159AF"/>
    <w:rsid w:val="19FC0A98"/>
    <w:rsid w:val="1A002C2B"/>
    <w:rsid w:val="1A0D43A0"/>
    <w:rsid w:val="1A50150C"/>
    <w:rsid w:val="1A5F539B"/>
    <w:rsid w:val="1A6E6F61"/>
    <w:rsid w:val="1AE12836"/>
    <w:rsid w:val="1AE925F4"/>
    <w:rsid w:val="1B085D35"/>
    <w:rsid w:val="1B234950"/>
    <w:rsid w:val="1B2706B9"/>
    <w:rsid w:val="1B421E7E"/>
    <w:rsid w:val="1B557C6F"/>
    <w:rsid w:val="1B64461F"/>
    <w:rsid w:val="1B6B7B31"/>
    <w:rsid w:val="1B8865C8"/>
    <w:rsid w:val="1B9C3AE1"/>
    <w:rsid w:val="1B9E1D1B"/>
    <w:rsid w:val="1C0E12CD"/>
    <w:rsid w:val="1C326810"/>
    <w:rsid w:val="1C3C0819"/>
    <w:rsid w:val="1C4A13E4"/>
    <w:rsid w:val="1C5A6A79"/>
    <w:rsid w:val="1C603202"/>
    <w:rsid w:val="1C9A0200"/>
    <w:rsid w:val="1CAE2938"/>
    <w:rsid w:val="1CB118F4"/>
    <w:rsid w:val="1CB50AAC"/>
    <w:rsid w:val="1CCE21FF"/>
    <w:rsid w:val="1CCE5055"/>
    <w:rsid w:val="1CD529D6"/>
    <w:rsid w:val="1CE70430"/>
    <w:rsid w:val="1D1D3BFF"/>
    <w:rsid w:val="1D510C1B"/>
    <w:rsid w:val="1D6E62DE"/>
    <w:rsid w:val="1D8D1CEA"/>
    <w:rsid w:val="1DEB6607"/>
    <w:rsid w:val="1DED007E"/>
    <w:rsid w:val="1DFB6F14"/>
    <w:rsid w:val="1E3552F3"/>
    <w:rsid w:val="1E3F3948"/>
    <w:rsid w:val="1E47773B"/>
    <w:rsid w:val="1E4B6E86"/>
    <w:rsid w:val="1E76569A"/>
    <w:rsid w:val="1E8261D6"/>
    <w:rsid w:val="1E966865"/>
    <w:rsid w:val="1EA92C08"/>
    <w:rsid w:val="1EC205BD"/>
    <w:rsid w:val="1EF63375"/>
    <w:rsid w:val="1EFD3480"/>
    <w:rsid w:val="1F007FED"/>
    <w:rsid w:val="1F0539AE"/>
    <w:rsid w:val="1F0D272C"/>
    <w:rsid w:val="1F2E0C10"/>
    <w:rsid w:val="1F7D50C8"/>
    <w:rsid w:val="1F893367"/>
    <w:rsid w:val="1F9E77EA"/>
    <w:rsid w:val="1FA42DB9"/>
    <w:rsid w:val="1FCB3375"/>
    <w:rsid w:val="1FD066FD"/>
    <w:rsid w:val="1FE173B4"/>
    <w:rsid w:val="1FE72E58"/>
    <w:rsid w:val="2005366B"/>
    <w:rsid w:val="200667A3"/>
    <w:rsid w:val="200E45D4"/>
    <w:rsid w:val="20173A7C"/>
    <w:rsid w:val="203017D9"/>
    <w:rsid w:val="20327B50"/>
    <w:rsid w:val="203B1607"/>
    <w:rsid w:val="203F535B"/>
    <w:rsid w:val="20613271"/>
    <w:rsid w:val="20783813"/>
    <w:rsid w:val="20AB0DF2"/>
    <w:rsid w:val="20F25F2A"/>
    <w:rsid w:val="20F27184"/>
    <w:rsid w:val="210C2CA2"/>
    <w:rsid w:val="210C3AFE"/>
    <w:rsid w:val="212F5EEF"/>
    <w:rsid w:val="213A4AC2"/>
    <w:rsid w:val="21471C77"/>
    <w:rsid w:val="2172127D"/>
    <w:rsid w:val="218738BE"/>
    <w:rsid w:val="21B21339"/>
    <w:rsid w:val="21BB422E"/>
    <w:rsid w:val="21BE54EE"/>
    <w:rsid w:val="21BF20AD"/>
    <w:rsid w:val="21C43928"/>
    <w:rsid w:val="21F330F9"/>
    <w:rsid w:val="21F8700F"/>
    <w:rsid w:val="22051435"/>
    <w:rsid w:val="22235E02"/>
    <w:rsid w:val="222633FD"/>
    <w:rsid w:val="227E7CA7"/>
    <w:rsid w:val="228C2437"/>
    <w:rsid w:val="228F674E"/>
    <w:rsid w:val="22A36F9B"/>
    <w:rsid w:val="22AA70CA"/>
    <w:rsid w:val="22AC582F"/>
    <w:rsid w:val="22AF405C"/>
    <w:rsid w:val="234A6F4C"/>
    <w:rsid w:val="23585C4E"/>
    <w:rsid w:val="23646DF8"/>
    <w:rsid w:val="236A7EFE"/>
    <w:rsid w:val="23765811"/>
    <w:rsid w:val="23805685"/>
    <w:rsid w:val="23880F1A"/>
    <w:rsid w:val="23A43F46"/>
    <w:rsid w:val="23B90033"/>
    <w:rsid w:val="23BA6588"/>
    <w:rsid w:val="23DC635E"/>
    <w:rsid w:val="23DF7B59"/>
    <w:rsid w:val="241614E8"/>
    <w:rsid w:val="243F5586"/>
    <w:rsid w:val="248879F4"/>
    <w:rsid w:val="24A97FDF"/>
    <w:rsid w:val="24AA1B04"/>
    <w:rsid w:val="24BC01CD"/>
    <w:rsid w:val="24C176D3"/>
    <w:rsid w:val="24C25CD7"/>
    <w:rsid w:val="24D73DEE"/>
    <w:rsid w:val="24D96D65"/>
    <w:rsid w:val="24E04C2E"/>
    <w:rsid w:val="24EF555C"/>
    <w:rsid w:val="2509544E"/>
    <w:rsid w:val="25410B14"/>
    <w:rsid w:val="25452366"/>
    <w:rsid w:val="256E5D87"/>
    <w:rsid w:val="258917A9"/>
    <w:rsid w:val="25A532B4"/>
    <w:rsid w:val="25A82154"/>
    <w:rsid w:val="25FC1269"/>
    <w:rsid w:val="2608337D"/>
    <w:rsid w:val="260C06F0"/>
    <w:rsid w:val="2620433E"/>
    <w:rsid w:val="266D2666"/>
    <w:rsid w:val="26831F25"/>
    <w:rsid w:val="26920980"/>
    <w:rsid w:val="269D5137"/>
    <w:rsid w:val="26B0314E"/>
    <w:rsid w:val="26BD3A0A"/>
    <w:rsid w:val="26BD41B2"/>
    <w:rsid w:val="26BE70D6"/>
    <w:rsid w:val="26C301BC"/>
    <w:rsid w:val="26C63AE6"/>
    <w:rsid w:val="26C81056"/>
    <w:rsid w:val="26D424C1"/>
    <w:rsid w:val="26E81C8F"/>
    <w:rsid w:val="26F02D0C"/>
    <w:rsid w:val="26FD226B"/>
    <w:rsid w:val="27006B49"/>
    <w:rsid w:val="27367DFA"/>
    <w:rsid w:val="273C2CA3"/>
    <w:rsid w:val="277371F3"/>
    <w:rsid w:val="278C79D1"/>
    <w:rsid w:val="278E79B1"/>
    <w:rsid w:val="27C51152"/>
    <w:rsid w:val="27CF25E8"/>
    <w:rsid w:val="27FE3665"/>
    <w:rsid w:val="28004C02"/>
    <w:rsid w:val="284043BC"/>
    <w:rsid w:val="284171EC"/>
    <w:rsid w:val="286B4689"/>
    <w:rsid w:val="289F2164"/>
    <w:rsid w:val="28AC1C93"/>
    <w:rsid w:val="28B60026"/>
    <w:rsid w:val="28E07AE9"/>
    <w:rsid w:val="28F904D4"/>
    <w:rsid w:val="292042A5"/>
    <w:rsid w:val="292E5B75"/>
    <w:rsid w:val="29326F20"/>
    <w:rsid w:val="29350CD3"/>
    <w:rsid w:val="29784CA5"/>
    <w:rsid w:val="29A028A7"/>
    <w:rsid w:val="29B80C93"/>
    <w:rsid w:val="29BB20D2"/>
    <w:rsid w:val="29D44C7C"/>
    <w:rsid w:val="29F33C34"/>
    <w:rsid w:val="29FA0C78"/>
    <w:rsid w:val="2A380298"/>
    <w:rsid w:val="2A7B46E1"/>
    <w:rsid w:val="2A886FA9"/>
    <w:rsid w:val="2ABF5516"/>
    <w:rsid w:val="2AC64A60"/>
    <w:rsid w:val="2B055655"/>
    <w:rsid w:val="2B3F680B"/>
    <w:rsid w:val="2B520BBB"/>
    <w:rsid w:val="2B75020E"/>
    <w:rsid w:val="2BEC29B8"/>
    <w:rsid w:val="2C085CD5"/>
    <w:rsid w:val="2C2A3D01"/>
    <w:rsid w:val="2C5033C5"/>
    <w:rsid w:val="2C5C6A3E"/>
    <w:rsid w:val="2C757BAF"/>
    <w:rsid w:val="2C8606C5"/>
    <w:rsid w:val="2C8C2E69"/>
    <w:rsid w:val="2C9272DF"/>
    <w:rsid w:val="2C974E3D"/>
    <w:rsid w:val="2CFE387F"/>
    <w:rsid w:val="2D07338F"/>
    <w:rsid w:val="2D1515C2"/>
    <w:rsid w:val="2D29321F"/>
    <w:rsid w:val="2D5B02D4"/>
    <w:rsid w:val="2D8907C1"/>
    <w:rsid w:val="2DB93477"/>
    <w:rsid w:val="2DC103A2"/>
    <w:rsid w:val="2DCC2F04"/>
    <w:rsid w:val="2DE940C9"/>
    <w:rsid w:val="2DF65048"/>
    <w:rsid w:val="2DF6792E"/>
    <w:rsid w:val="2E165B2D"/>
    <w:rsid w:val="2E7B2259"/>
    <w:rsid w:val="2E864929"/>
    <w:rsid w:val="2E9C69DA"/>
    <w:rsid w:val="2EE350E5"/>
    <w:rsid w:val="2EE84ED3"/>
    <w:rsid w:val="2EEF18BD"/>
    <w:rsid w:val="2EFA57DA"/>
    <w:rsid w:val="2F047E61"/>
    <w:rsid w:val="2F062134"/>
    <w:rsid w:val="2F0C525F"/>
    <w:rsid w:val="2F100AE7"/>
    <w:rsid w:val="2F190C0D"/>
    <w:rsid w:val="2F21289E"/>
    <w:rsid w:val="2F220FA0"/>
    <w:rsid w:val="2F5E7EEA"/>
    <w:rsid w:val="2F6B179C"/>
    <w:rsid w:val="2F8507EF"/>
    <w:rsid w:val="2F912F13"/>
    <w:rsid w:val="2FBC78B8"/>
    <w:rsid w:val="2FE36FCB"/>
    <w:rsid w:val="302C0530"/>
    <w:rsid w:val="30315A18"/>
    <w:rsid w:val="30451C54"/>
    <w:rsid w:val="308C4C8C"/>
    <w:rsid w:val="30A14448"/>
    <w:rsid w:val="30BB65A2"/>
    <w:rsid w:val="30F17BE1"/>
    <w:rsid w:val="31121DE6"/>
    <w:rsid w:val="311F1F89"/>
    <w:rsid w:val="31497C7E"/>
    <w:rsid w:val="31793EC1"/>
    <w:rsid w:val="317D24FE"/>
    <w:rsid w:val="318E0161"/>
    <w:rsid w:val="31D234AF"/>
    <w:rsid w:val="31F242FB"/>
    <w:rsid w:val="31F82192"/>
    <w:rsid w:val="32025E0E"/>
    <w:rsid w:val="32031EA3"/>
    <w:rsid w:val="320D5C71"/>
    <w:rsid w:val="321C166B"/>
    <w:rsid w:val="326F5128"/>
    <w:rsid w:val="32805979"/>
    <w:rsid w:val="329C2F76"/>
    <w:rsid w:val="32E66065"/>
    <w:rsid w:val="32FC47BF"/>
    <w:rsid w:val="331160AA"/>
    <w:rsid w:val="33206213"/>
    <w:rsid w:val="3339473F"/>
    <w:rsid w:val="33436432"/>
    <w:rsid w:val="33451161"/>
    <w:rsid w:val="335D23DB"/>
    <w:rsid w:val="338D12C5"/>
    <w:rsid w:val="33952FEB"/>
    <w:rsid w:val="33A34B5F"/>
    <w:rsid w:val="33A764C0"/>
    <w:rsid w:val="33AE0918"/>
    <w:rsid w:val="34045048"/>
    <w:rsid w:val="34054358"/>
    <w:rsid w:val="3417608E"/>
    <w:rsid w:val="342E7F12"/>
    <w:rsid w:val="343E7569"/>
    <w:rsid w:val="34496D65"/>
    <w:rsid w:val="345459E1"/>
    <w:rsid w:val="346976B5"/>
    <w:rsid w:val="346B7F37"/>
    <w:rsid w:val="34A94CBA"/>
    <w:rsid w:val="34B21F93"/>
    <w:rsid w:val="34B92F28"/>
    <w:rsid w:val="34D149C0"/>
    <w:rsid w:val="34F058DD"/>
    <w:rsid w:val="35031EB5"/>
    <w:rsid w:val="352D52F4"/>
    <w:rsid w:val="35DE49C0"/>
    <w:rsid w:val="35FA7EA7"/>
    <w:rsid w:val="361C7BF8"/>
    <w:rsid w:val="363B291C"/>
    <w:rsid w:val="363E1F63"/>
    <w:rsid w:val="365C6B96"/>
    <w:rsid w:val="366366D7"/>
    <w:rsid w:val="368919E4"/>
    <w:rsid w:val="371207E7"/>
    <w:rsid w:val="37206D7C"/>
    <w:rsid w:val="375B421F"/>
    <w:rsid w:val="37905AF3"/>
    <w:rsid w:val="37A34800"/>
    <w:rsid w:val="37B033B9"/>
    <w:rsid w:val="37E02280"/>
    <w:rsid w:val="37E61A4C"/>
    <w:rsid w:val="38026202"/>
    <w:rsid w:val="382D133A"/>
    <w:rsid w:val="383B1C65"/>
    <w:rsid w:val="384F4ADD"/>
    <w:rsid w:val="386D0D24"/>
    <w:rsid w:val="38712C06"/>
    <w:rsid w:val="38764896"/>
    <w:rsid w:val="387F0E2B"/>
    <w:rsid w:val="3882340F"/>
    <w:rsid w:val="388D632D"/>
    <w:rsid w:val="38962C73"/>
    <w:rsid w:val="38C05FA5"/>
    <w:rsid w:val="38CD3EED"/>
    <w:rsid w:val="38DF1F43"/>
    <w:rsid w:val="38F33703"/>
    <w:rsid w:val="390339EB"/>
    <w:rsid w:val="390A404C"/>
    <w:rsid w:val="3930607A"/>
    <w:rsid w:val="393C256A"/>
    <w:rsid w:val="397546CE"/>
    <w:rsid w:val="39AC6B6D"/>
    <w:rsid w:val="39B60345"/>
    <w:rsid w:val="39B8352F"/>
    <w:rsid w:val="39D66640"/>
    <w:rsid w:val="39FE5DE3"/>
    <w:rsid w:val="3A3453FF"/>
    <w:rsid w:val="3A3F7351"/>
    <w:rsid w:val="3A4170D4"/>
    <w:rsid w:val="3A5C0A17"/>
    <w:rsid w:val="3A8248E0"/>
    <w:rsid w:val="3A882437"/>
    <w:rsid w:val="3ADD7CD2"/>
    <w:rsid w:val="3AF13A95"/>
    <w:rsid w:val="3AF76DD0"/>
    <w:rsid w:val="3B0971D6"/>
    <w:rsid w:val="3B1B64DD"/>
    <w:rsid w:val="3B1D07BC"/>
    <w:rsid w:val="3B447872"/>
    <w:rsid w:val="3B474B41"/>
    <w:rsid w:val="3B557C58"/>
    <w:rsid w:val="3B810525"/>
    <w:rsid w:val="3B8D4322"/>
    <w:rsid w:val="3B9508B7"/>
    <w:rsid w:val="3BCE13F3"/>
    <w:rsid w:val="3BD2350C"/>
    <w:rsid w:val="3BF91AA3"/>
    <w:rsid w:val="3C071D01"/>
    <w:rsid w:val="3C161331"/>
    <w:rsid w:val="3C463454"/>
    <w:rsid w:val="3CAD6DE2"/>
    <w:rsid w:val="3CDF1FAA"/>
    <w:rsid w:val="3CFC0EF8"/>
    <w:rsid w:val="3D1026F3"/>
    <w:rsid w:val="3D191FD0"/>
    <w:rsid w:val="3D474CA6"/>
    <w:rsid w:val="3D6A4451"/>
    <w:rsid w:val="3D8213B6"/>
    <w:rsid w:val="3DA44E14"/>
    <w:rsid w:val="3DB561A7"/>
    <w:rsid w:val="3E372BBE"/>
    <w:rsid w:val="3E5049D6"/>
    <w:rsid w:val="3E6F122B"/>
    <w:rsid w:val="3E7865FD"/>
    <w:rsid w:val="3E7F0D7D"/>
    <w:rsid w:val="3E880E32"/>
    <w:rsid w:val="3E9422A1"/>
    <w:rsid w:val="3EC65777"/>
    <w:rsid w:val="3F0F06BD"/>
    <w:rsid w:val="3F24659E"/>
    <w:rsid w:val="3F2E2C76"/>
    <w:rsid w:val="3F3B5C85"/>
    <w:rsid w:val="3F3E0088"/>
    <w:rsid w:val="3F6E51CB"/>
    <w:rsid w:val="3F9D3EA0"/>
    <w:rsid w:val="3FA87528"/>
    <w:rsid w:val="3FF20AE3"/>
    <w:rsid w:val="3FF74D83"/>
    <w:rsid w:val="3FFA650F"/>
    <w:rsid w:val="40006CAB"/>
    <w:rsid w:val="40085D42"/>
    <w:rsid w:val="402E562B"/>
    <w:rsid w:val="403F71C7"/>
    <w:rsid w:val="4046343E"/>
    <w:rsid w:val="40463EAA"/>
    <w:rsid w:val="405007A0"/>
    <w:rsid w:val="4061544C"/>
    <w:rsid w:val="40710710"/>
    <w:rsid w:val="40BB3E51"/>
    <w:rsid w:val="40C25F79"/>
    <w:rsid w:val="40D04570"/>
    <w:rsid w:val="40F61FC7"/>
    <w:rsid w:val="410A06F9"/>
    <w:rsid w:val="4125037B"/>
    <w:rsid w:val="413357D7"/>
    <w:rsid w:val="4144125E"/>
    <w:rsid w:val="41447D45"/>
    <w:rsid w:val="418371D2"/>
    <w:rsid w:val="41977304"/>
    <w:rsid w:val="41CD393D"/>
    <w:rsid w:val="41F949FB"/>
    <w:rsid w:val="421630C6"/>
    <w:rsid w:val="422254E7"/>
    <w:rsid w:val="422B5E31"/>
    <w:rsid w:val="4252595A"/>
    <w:rsid w:val="42A72C78"/>
    <w:rsid w:val="42BC5694"/>
    <w:rsid w:val="42F67624"/>
    <w:rsid w:val="432C5999"/>
    <w:rsid w:val="43657334"/>
    <w:rsid w:val="4369225F"/>
    <w:rsid w:val="43826A74"/>
    <w:rsid w:val="4389139C"/>
    <w:rsid w:val="43AF0669"/>
    <w:rsid w:val="43B22635"/>
    <w:rsid w:val="43BF7ACD"/>
    <w:rsid w:val="43DC59FD"/>
    <w:rsid w:val="43E86978"/>
    <w:rsid w:val="44016A8B"/>
    <w:rsid w:val="44141F5D"/>
    <w:rsid w:val="441B763D"/>
    <w:rsid w:val="44346B36"/>
    <w:rsid w:val="443E3D41"/>
    <w:rsid w:val="443F0A8A"/>
    <w:rsid w:val="44483F56"/>
    <w:rsid w:val="444C0E2A"/>
    <w:rsid w:val="445C444F"/>
    <w:rsid w:val="44623F3F"/>
    <w:rsid w:val="44703E7E"/>
    <w:rsid w:val="44867A3B"/>
    <w:rsid w:val="44B8358D"/>
    <w:rsid w:val="44C54C38"/>
    <w:rsid w:val="44FD5F6B"/>
    <w:rsid w:val="450C3B52"/>
    <w:rsid w:val="450F1ADE"/>
    <w:rsid w:val="45103FCB"/>
    <w:rsid w:val="4512666F"/>
    <w:rsid w:val="45682EB7"/>
    <w:rsid w:val="45852FD0"/>
    <w:rsid w:val="458E7F08"/>
    <w:rsid w:val="4594678F"/>
    <w:rsid w:val="45B242B5"/>
    <w:rsid w:val="45E33D03"/>
    <w:rsid w:val="46491829"/>
    <w:rsid w:val="464B2671"/>
    <w:rsid w:val="465F033E"/>
    <w:rsid w:val="46704163"/>
    <w:rsid w:val="46751144"/>
    <w:rsid w:val="467A27D8"/>
    <w:rsid w:val="46816689"/>
    <w:rsid w:val="469733D2"/>
    <w:rsid w:val="46D17A2C"/>
    <w:rsid w:val="470109B9"/>
    <w:rsid w:val="47067546"/>
    <w:rsid w:val="474801E9"/>
    <w:rsid w:val="477232C8"/>
    <w:rsid w:val="478C46CC"/>
    <w:rsid w:val="47AF3B7C"/>
    <w:rsid w:val="47AF67A7"/>
    <w:rsid w:val="47B339B4"/>
    <w:rsid w:val="47BB070B"/>
    <w:rsid w:val="47CB1091"/>
    <w:rsid w:val="47CF4E0D"/>
    <w:rsid w:val="47F97F26"/>
    <w:rsid w:val="48035F02"/>
    <w:rsid w:val="485D7C01"/>
    <w:rsid w:val="4860434A"/>
    <w:rsid w:val="48626041"/>
    <w:rsid w:val="486C4FF7"/>
    <w:rsid w:val="486F3AFD"/>
    <w:rsid w:val="48D908C8"/>
    <w:rsid w:val="48D91ABD"/>
    <w:rsid w:val="490010A1"/>
    <w:rsid w:val="492B43BC"/>
    <w:rsid w:val="493311E5"/>
    <w:rsid w:val="493537CF"/>
    <w:rsid w:val="49460D45"/>
    <w:rsid w:val="494C3A4A"/>
    <w:rsid w:val="49562532"/>
    <w:rsid w:val="495874B1"/>
    <w:rsid w:val="49AC3FFE"/>
    <w:rsid w:val="49DA5E5B"/>
    <w:rsid w:val="49EF42D6"/>
    <w:rsid w:val="49FE6E1B"/>
    <w:rsid w:val="4A105FE5"/>
    <w:rsid w:val="4A20604F"/>
    <w:rsid w:val="4A703B3E"/>
    <w:rsid w:val="4A74195A"/>
    <w:rsid w:val="4A7A3D76"/>
    <w:rsid w:val="4A8B6AB4"/>
    <w:rsid w:val="4A9239EC"/>
    <w:rsid w:val="4A9F3033"/>
    <w:rsid w:val="4AAA5A73"/>
    <w:rsid w:val="4AAE190E"/>
    <w:rsid w:val="4AB8103B"/>
    <w:rsid w:val="4AE70AB8"/>
    <w:rsid w:val="4AF332FA"/>
    <w:rsid w:val="4B7A3E74"/>
    <w:rsid w:val="4B7E595B"/>
    <w:rsid w:val="4BB07602"/>
    <w:rsid w:val="4BF32BD8"/>
    <w:rsid w:val="4C200085"/>
    <w:rsid w:val="4C324AB6"/>
    <w:rsid w:val="4C396AC1"/>
    <w:rsid w:val="4C421049"/>
    <w:rsid w:val="4C5411D7"/>
    <w:rsid w:val="4C546F81"/>
    <w:rsid w:val="4C564361"/>
    <w:rsid w:val="4C5904F7"/>
    <w:rsid w:val="4C99363E"/>
    <w:rsid w:val="4C9C4F4D"/>
    <w:rsid w:val="4CB96723"/>
    <w:rsid w:val="4CE4471C"/>
    <w:rsid w:val="4CF87B9C"/>
    <w:rsid w:val="4D094C34"/>
    <w:rsid w:val="4D205E42"/>
    <w:rsid w:val="4D6B44D4"/>
    <w:rsid w:val="4D746272"/>
    <w:rsid w:val="4D8C30FA"/>
    <w:rsid w:val="4D960495"/>
    <w:rsid w:val="4E1A2AF8"/>
    <w:rsid w:val="4E200E0D"/>
    <w:rsid w:val="4E2D0FB2"/>
    <w:rsid w:val="4E3E44C6"/>
    <w:rsid w:val="4E6C5C96"/>
    <w:rsid w:val="4E8B7033"/>
    <w:rsid w:val="4E901846"/>
    <w:rsid w:val="4E9D6C5F"/>
    <w:rsid w:val="4EAF215B"/>
    <w:rsid w:val="4ECB2420"/>
    <w:rsid w:val="4ED065C7"/>
    <w:rsid w:val="4ED60D0E"/>
    <w:rsid w:val="4F286348"/>
    <w:rsid w:val="4F411F12"/>
    <w:rsid w:val="4F5E0911"/>
    <w:rsid w:val="4F6C7D95"/>
    <w:rsid w:val="4F7B7863"/>
    <w:rsid w:val="4FA41C78"/>
    <w:rsid w:val="4FBC77EB"/>
    <w:rsid w:val="4FBD4AFA"/>
    <w:rsid w:val="4FCD35AE"/>
    <w:rsid w:val="4FDB1E79"/>
    <w:rsid w:val="50206576"/>
    <w:rsid w:val="50284614"/>
    <w:rsid w:val="50303A7C"/>
    <w:rsid w:val="50453781"/>
    <w:rsid w:val="504E2846"/>
    <w:rsid w:val="506F5404"/>
    <w:rsid w:val="50A26FF3"/>
    <w:rsid w:val="51525315"/>
    <w:rsid w:val="515C17D5"/>
    <w:rsid w:val="516E7E4D"/>
    <w:rsid w:val="519223A8"/>
    <w:rsid w:val="51B45CF8"/>
    <w:rsid w:val="51BC051C"/>
    <w:rsid w:val="51CB5559"/>
    <w:rsid w:val="51E11790"/>
    <w:rsid w:val="51F8423A"/>
    <w:rsid w:val="520F3713"/>
    <w:rsid w:val="521342D3"/>
    <w:rsid w:val="52CF7054"/>
    <w:rsid w:val="52D53040"/>
    <w:rsid w:val="52E273EA"/>
    <w:rsid w:val="52EA6EF6"/>
    <w:rsid w:val="52FD6971"/>
    <w:rsid w:val="53223E56"/>
    <w:rsid w:val="53275AB8"/>
    <w:rsid w:val="533701DC"/>
    <w:rsid w:val="53626B5E"/>
    <w:rsid w:val="537D5DC6"/>
    <w:rsid w:val="537E6D3A"/>
    <w:rsid w:val="5388089F"/>
    <w:rsid w:val="539E5A74"/>
    <w:rsid w:val="53B05A8D"/>
    <w:rsid w:val="53BC33A7"/>
    <w:rsid w:val="53D745FA"/>
    <w:rsid w:val="53E40714"/>
    <w:rsid w:val="53F52B98"/>
    <w:rsid w:val="53FD29C3"/>
    <w:rsid w:val="541F5ED8"/>
    <w:rsid w:val="543C4C8B"/>
    <w:rsid w:val="54467244"/>
    <w:rsid w:val="54511C79"/>
    <w:rsid w:val="54520573"/>
    <w:rsid w:val="547D34B8"/>
    <w:rsid w:val="548D7C01"/>
    <w:rsid w:val="54942775"/>
    <w:rsid w:val="5494316A"/>
    <w:rsid w:val="549C23F0"/>
    <w:rsid w:val="54A45706"/>
    <w:rsid w:val="54B67FBB"/>
    <w:rsid w:val="54B8713B"/>
    <w:rsid w:val="54C300AA"/>
    <w:rsid w:val="54CC2DED"/>
    <w:rsid w:val="55132799"/>
    <w:rsid w:val="55A768F4"/>
    <w:rsid w:val="55AD3B2C"/>
    <w:rsid w:val="55B62452"/>
    <w:rsid w:val="55C05451"/>
    <w:rsid w:val="55EC04EF"/>
    <w:rsid w:val="55FE78A0"/>
    <w:rsid w:val="560302A9"/>
    <w:rsid w:val="56173A38"/>
    <w:rsid w:val="56253786"/>
    <w:rsid w:val="562D3283"/>
    <w:rsid w:val="563E2DC9"/>
    <w:rsid w:val="566C0CF7"/>
    <w:rsid w:val="569156EC"/>
    <w:rsid w:val="56C923E8"/>
    <w:rsid w:val="56CE2C6C"/>
    <w:rsid w:val="56D51981"/>
    <w:rsid w:val="56E95104"/>
    <w:rsid w:val="56F42603"/>
    <w:rsid w:val="571924B2"/>
    <w:rsid w:val="571E4C14"/>
    <w:rsid w:val="572109E0"/>
    <w:rsid w:val="5747400E"/>
    <w:rsid w:val="574F5DA7"/>
    <w:rsid w:val="575751FD"/>
    <w:rsid w:val="578A3F51"/>
    <w:rsid w:val="57A42E88"/>
    <w:rsid w:val="57B46807"/>
    <w:rsid w:val="57CC6BA1"/>
    <w:rsid w:val="57CE3E29"/>
    <w:rsid w:val="57D154ED"/>
    <w:rsid w:val="57EE7F50"/>
    <w:rsid w:val="581B6FA6"/>
    <w:rsid w:val="58852E95"/>
    <w:rsid w:val="58B20124"/>
    <w:rsid w:val="58CD148A"/>
    <w:rsid w:val="58F37117"/>
    <w:rsid w:val="59276D3A"/>
    <w:rsid w:val="593A4B64"/>
    <w:rsid w:val="594D3747"/>
    <w:rsid w:val="595A7490"/>
    <w:rsid w:val="596F52DD"/>
    <w:rsid w:val="59777827"/>
    <w:rsid w:val="59781C0C"/>
    <w:rsid w:val="59783883"/>
    <w:rsid w:val="599731C9"/>
    <w:rsid w:val="59BE14BB"/>
    <w:rsid w:val="59E91E58"/>
    <w:rsid w:val="5A0207F8"/>
    <w:rsid w:val="5A0D5878"/>
    <w:rsid w:val="5A0F7C73"/>
    <w:rsid w:val="5A100CE1"/>
    <w:rsid w:val="5A1256F7"/>
    <w:rsid w:val="5A132397"/>
    <w:rsid w:val="5A137188"/>
    <w:rsid w:val="5A2E42CD"/>
    <w:rsid w:val="5A5475F4"/>
    <w:rsid w:val="5A7F37F9"/>
    <w:rsid w:val="5A837878"/>
    <w:rsid w:val="5A9E7D61"/>
    <w:rsid w:val="5AB40666"/>
    <w:rsid w:val="5AB5421F"/>
    <w:rsid w:val="5ABC1A6D"/>
    <w:rsid w:val="5AEC15EB"/>
    <w:rsid w:val="5B0C31BE"/>
    <w:rsid w:val="5B574177"/>
    <w:rsid w:val="5B7314A2"/>
    <w:rsid w:val="5B767297"/>
    <w:rsid w:val="5B887615"/>
    <w:rsid w:val="5B99155A"/>
    <w:rsid w:val="5BBC41DB"/>
    <w:rsid w:val="5BFF2AD9"/>
    <w:rsid w:val="5C016066"/>
    <w:rsid w:val="5C044AD5"/>
    <w:rsid w:val="5C1138CE"/>
    <w:rsid w:val="5C1459ED"/>
    <w:rsid w:val="5C41460B"/>
    <w:rsid w:val="5C57182F"/>
    <w:rsid w:val="5C73505B"/>
    <w:rsid w:val="5C890F37"/>
    <w:rsid w:val="5C917AA1"/>
    <w:rsid w:val="5CA75334"/>
    <w:rsid w:val="5CBE1F4B"/>
    <w:rsid w:val="5CBE38CE"/>
    <w:rsid w:val="5CE65356"/>
    <w:rsid w:val="5CF72BB2"/>
    <w:rsid w:val="5CFE14C4"/>
    <w:rsid w:val="5D27565F"/>
    <w:rsid w:val="5D6A538C"/>
    <w:rsid w:val="5D8627AD"/>
    <w:rsid w:val="5DAA0B93"/>
    <w:rsid w:val="5DCE0E18"/>
    <w:rsid w:val="5DF45A91"/>
    <w:rsid w:val="5E2A4BFC"/>
    <w:rsid w:val="5E465DB6"/>
    <w:rsid w:val="5E760FD8"/>
    <w:rsid w:val="5EAC236D"/>
    <w:rsid w:val="5EAD39D8"/>
    <w:rsid w:val="5EBF6814"/>
    <w:rsid w:val="5EDB0D8B"/>
    <w:rsid w:val="5EDC4E36"/>
    <w:rsid w:val="5F1C3869"/>
    <w:rsid w:val="5F3732A8"/>
    <w:rsid w:val="5F6C514A"/>
    <w:rsid w:val="5FCC33D8"/>
    <w:rsid w:val="5FFF68B9"/>
    <w:rsid w:val="60033350"/>
    <w:rsid w:val="6019172A"/>
    <w:rsid w:val="602266C7"/>
    <w:rsid w:val="603B7C36"/>
    <w:rsid w:val="60513F10"/>
    <w:rsid w:val="60534AA3"/>
    <w:rsid w:val="60680187"/>
    <w:rsid w:val="60832CD9"/>
    <w:rsid w:val="6098192E"/>
    <w:rsid w:val="609C603A"/>
    <w:rsid w:val="60A53E95"/>
    <w:rsid w:val="60B33677"/>
    <w:rsid w:val="60CB1B4D"/>
    <w:rsid w:val="60CE774A"/>
    <w:rsid w:val="60CF1AE4"/>
    <w:rsid w:val="60DC42D6"/>
    <w:rsid w:val="610F707C"/>
    <w:rsid w:val="61217D14"/>
    <w:rsid w:val="613172F2"/>
    <w:rsid w:val="6142313B"/>
    <w:rsid w:val="614D3BC8"/>
    <w:rsid w:val="615D093A"/>
    <w:rsid w:val="61690383"/>
    <w:rsid w:val="618F1CE4"/>
    <w:rsid w:val="61B9511D"/>
    <w:rsid w:val="61BC2F80"/>
    <w:rsid w:val="61CE240F"/>
    <w:rsid w:val="61D23BCD"/>
    <w:rsid w:val="61EC106F"/>
    <w:rsid w:val="622E54F6"/>
    <w:rsid w:val="62302D5E"/>
    <w:rsid w:val="62460EB0"/>
    <w:rsid w:val="62684DF2"/>
    <w:rsid w:val="629B6D6F"/>
    <w:rsid w:val="62A43EEF"/>
    <w:rsid w:val="62AC071E"/>
    <w:rsid w:val="63277530"/>
    <w:rsid w:val="632A50BB"/>
    <w:rsid w:val="6352384A"/>
    <w:rsid w:val="6361107A"/>
    <w:rsid w:val="636828CC"/>
    <w:rsid w:val="639215F6"/>
    <w:rsid w:val="63B16723"/>
    <w:rsid w:val="63D87E09"/>
    <w:rsid w:val="63F6127B"/>
    <w:rsid w:val="64340981"/>
    <w:rsid w:val="64433E26"/>
    <w:rsid w:val="644B1C20"/>
    <w:rsid w:val="645873A4"/>
    <w:rsid w:val="6471055F"/>
    <w:rsid w:val="649F3091"/>
    <w:rsid w:val="64AE7D1C"/>
    <w:rsid w:val="64B3659C"/>
    <w:rsid w:val="64B97E4E"/>
    <w:rsid w:val="64C303D9"/>
    <w:rsid w:val="64F44585"/>
    <w:rsid w:val="652128FF"/>
    <w:rsid w:val="652B7127"/>
    <w:rsid w:val="656B579F"/>
    <w:rsid w:val="656E592B"/>
    <w:rsid w:val="656F5456"/>
    <w:rsid w:val="6585545F"/>
    <w:rsid w:val="658C12AC"/>
    <w:rsid w:val="6594355E"/>
    <w:rsid w:val="65A165E9"/>
    <w:rsid w:val="65C14A06"/>
    <w:rsid w:val="65C15488"/>
    <w:rsid w:val="660D76B4"/>
    <w:rsid w:val="66131C00"/>
    <w:rsid w:val="663C013B"/>
    <w:rsid w:val="665F2283"/>
    <w:rsid w:val="667136F9"/>
    <w:rsid w:val="66841ED9"/>
    <w:rsid w:val="669224E0"/>
    <w:rsid w:val="66B24A2C"/>
    <w:rsid w:val="66DF06B3"/>
    <w:rsid w:val="66F6690D"/>
    <w:rsid w:val="67024FEA"/>
    <w:rsid w:val="671073D1"/>
    <w:rsid w:val="67197223"/>
    <w:rsid w:val="678B49DC"/>
    <w:rsid w:val="678E06CE"/>
    <w:rsid w:val="679A602D"/>
    <w:rsid w:val="67B25014"/>
    <w:rsid w:val="67B36E78"/>
    <w:rsid w:val="67E028BC"/>
    <w:rsid w:val="681628CD"/>
    <w:rsid w:val="68537B47"/>
    <w:rsid w:val="685B2556"/>
    <w:rsid w:val="68620DC9"/>
    <w:rsid w:val="68685E2A"/>
    <w:rsid w:val="68956233"/>
    <w:rsid w:val="68A9552D"/>
    <w:rsid w:val="68C330AE"/>
    <w:rsid w:val="68CB2828"/>
    <w:rsid w:val="68D52CCF"/>
    <w:rsid w:val="68E45DE3"/>
    <w:rsid w:val="6907762E"/>
    <w:rsid w:val="691D1344"/>
    <w:rsid w:val="692B551C"/>
    <w:rsid w:val="6934149F"/>
    <w:rsid w:val="6958671E"/>
    <w:rsid w:val="6965108C"/>
    <w:rsid w:val="69A33226"/>
    <w:rsid w:val="69A369E5"/>
    <w:rsid w:val="69D413F3"/>
    <w:rsid w:val="6A100637"/>
    <w:rsid w:val="6A201C1B"/>
    <w:rsid w:val="6A281A45"/>
    <w:rsid w:val="6A3B618C"/>
    <w:rsid w:val="6A507DA8"/>
    <w:rsid w:val="6A6F7767"/>
    <w:rsid w:val="6A8C30BE"/>
    <w:rsid w:val="6A9D3060"/>
    <w:rsid w:val="6AA103CB"/>
    <w:rsid w:val="6AA75408"/>
    <w:rsid w:val="6AB520E6"/>
    <w:rsid w:val="6AE30A31"/>
    <w:rsid w:val="6AF32568"/>
    <w:rsid w:val="6AF55148"/>
    <w:rsid w:val="6AF60FD6"/>
    <w:rsid w:val="6B182CCA"/>
    <w:rsid w:val="6B2560EF"/>
    <w:rsid w:val="6B4D19C5"/>
    <w:rsid w:val="6B522387"/>
    <w:rsid w:val="6B5F2BF8"/>
    <w:rsid w:val="6B6B672A"/>
    <w:rsid w:val="6B737395"/>
    <w:rsid w:val="6B9E150D"/>
    <w:rsid w:val="6BBB3C13"/>
    <w:rsid w:val="6BC13EFF"/>
    <w:rsid w:val="6BCB09E1"/>
    <w:rsid w:val="6BD55D0B"/>
    <w:rsid w:val="6BD83CC4"/>
    <w:rsid w:val="6BDC47ED"/>
    <w:rsid w:val="6BF1112B"/>
    <w:rsid w:val="6BF76F4D"/>
    <w:rsid w:val="6C0A4626"/>
    <w:rsid w:val="6C0A6DB7"/>
    <w:rsid w:val="6C0B6748"/>
    <w:rsid w:val="6C1B3303"/>
    <w:rsid w:val="6C1B55BA"/>
    <w:rsid w:val="6C3E28BF"/>
    <w:rsid w:val="6C3F33CD"/>
    <w:rsid w:val="6C602A67"/>
    <w:rsid w:val="6C6A2D2D"/>
    <w:rsid w:val="6C7A7040"/>
    <w:rsid w:val="6C8132A9"/>
    <w:rsid w:val="6C9E6020"/>
    <w:rsid w:val="6CAA4D6A"/>
    <w:rsid w:val="6CC70826"/>
    <w:rsid w:val="6CD77821"/>
    <w:rsid w:val="6CE933A4"/>
    <w:rsid w:val="6D0A6DBB"/>
    <w:rsid w:val="6D1C153C"/>
    <w:rsid w:val="6D3B6193"/>
    <w:rsid w:val="6D40311C"/>
    <w:rsid w:val="6DAF162B"/>
    <w:rsid w:val="6DB167DD"/>
    <w:rsid w:val="6DB43590"/>
    <w:rsid w:val="6DB84EBA"/>
    <w:rsid w:val="6DC15BF4"/>
    <w:rsid w:val="6E2D7393"/>
    <w:rsid w:val="6E6A7BA0"/>
    <w:rsid w:val="6E6E6F1D"/>
    <w:rsid w:val="6E9564BF"/>
    <w:rsid w:val="6E985F27"/>
    <w:rsid w:val="6EA63453"/>
    <w:rsid w:val="6F0E0DDB"/>
    <w:rsid w:val="6F1C4DB2"/>
    <w:rsid w:val="6F235BDE"/>
    <w:rsid w:val="6F26783D"/>
    <w:rsid w:val="6F293DA9"/>
    <w:rsid w:val="6F4E23B0"/>
    <w:rsid w:val="6F6A53B1"/>
    <w:rsid w:val="6FB86333"/>
    <w:rsid w:val="6FC83C68"/>
    <w:rsid w:val="6FCE226C"/>
    <w:rsid w:val="6FF67EDB"/>
    <w:rsid w:val="700C0695"/>
    <w:rsid w:val="70321AA9"/>
    <w:rsid w:val="70497008"/>
    <w:rsid w:val="704A57C3"/>
    <w:rsid w:val="706747BD"/>
    <w:rsid w:val="707165D4"/>
    <w:rsid w:val="709F5999"/>
    <w:rsid w:val="70A93F9B"/>
    <w:rsid w:val="70BF5CBB"/>
    <w:rsid w:val="70BF78D7"/>
    <w:rsid w:val="70D555F8"/>
    <w:rsid w:val="70E737C9"/>
    <w:rsid w:val="70E95E6A"/>
    <w:rsid w:val="712F11E7"/>
    <w:rsid w:val="71790E9D"/>
    <w:rsid w:val="717A6C89"/>
    <w:rsid w:val="71AC1A5C"/>
    <w:rsid w:val="71AC516C"/>
    <w:rsid w:val="71CD17F6"/>
    <w:rsid w:val="71D4229F"/>
    <w:rsid w:val="71EC04CC"/>
    <w:rsid w:val="71F72FA5"/>
    <w:rsid w:val="72114F32"/>
    <w:rsid w:val="72117E7E"/>
    <w:rsid w:val="721A0D6B"/>
    <w:rsid w:val="723B41CF"/>
    <w:rsid w:val="728971FB"/>
    <w:rsid w:val="72D06024"/>
    <w:rsid w:val="72EC33D8"/>
    <w:rsid w:val="733850A5"/>
    <w:rsid w:val="733878DA"/>
    <w:rsid w:val="734779C2"/>
    <w:rsid w:val="734E1D49"/>
    <w:rsid w:val="7372294D"/>
    <w:rsid w:val="73BF73C1"/>
    <w:rsid w:val="73C23920"/>
    <w:rsid w:val="73C61512"/>
    <w:rsid w:val="73F201AA"/>
    <w:rsid w:val="73F56F27"/>
    <w:rsid w:val="73F61AED"/>
    <w:rsid w:val="741738B4"/>
    <w:rsid w:val="745E33A9"/>
    <w:rsid w:val="746671F6"/>
    <w:rsid w:val="74802249"/>
    <w:rsid w:val="74E90D4D"/>
    <w:rsid w:val="74EB4810"/>
    <w:rsid w:val="750C248B"/>
    <w:rsid w:val="75155729"/>
    <w:rsid w:val="75266207"/>
    <w:rsid w:val="755A1B46"/>
    <w:rsid w:val="755D1EBF"/>
    <w:rsid w:val="75763149"/>
    <w:rsid w:val="75862B3F"/>
    <w:rsid w:val="75CF032B"/>
    <w:rsid w:val="75F5233E"/>
    <w:rsid w:val="765D19FC"/>
    <w:rsid w:val="76644B84"/>
    <w:rsid w:val="7667215D"/>
    <w:rsid w:val="766B2630"/>
    <w:rsid w:val="769B14BB"/>
    <w:rsid w:val="76AA596C"/>
    <w:rsid w:val="76AD71C2"/>
    <w:rsid w:val="76CC50E6"/>
    <w:rsid w:val="76CF0956"/>
    <w:rsid w:val="76DB4E31"/>
    <w:rsid w:val="76DF2EC8"/>
    <w:rsid w:val="76EB0D54"/>
    <w:rsid w:val="77045F8B"/>
    <w:rsid w:val="771C6744"/>
    <w:rsid w:val="77326C6F"/>
    <w:rsid w:val="77345244"/>
    <w:rsid w:val="77566F04"/>
    <w:rsid w:val="776F0334"/>
    <w:rsid w:val="7771110B"/>
    <w:rsid w:val="77782D28"/>
    <w:rsid w:val="77C20123"/>
    <w:rsid w:val="77DC3121"/>
    <w:rsid w:val="77F538F8"/>
    <w:rsid w:val="78215964"/>
    <w:rsid w:val="788A3DEB"/>
    <w:rsid w:val="78BE5CBD"/>
    <w:rsid w:val="78D6469A"/>
    <w:rsid w:val="78D82626"/>
    <w:rsid w:val="78FC3035"/>
    <w:rsid w:val="79111AC7"/>
    <w:rsid w:val="794E098B"/>
    <w:rsid w:val="795B1639"/>
    <w:rsid w:val="799E36F7"/>
    <w:rsid w:val="79CA5629"/>
    <w:rsid w:val="79D134A4"/>
    <w:rsid w:val="79F3334C"/>
    <w:rsid w:val="79F642DD"/>
    <w:rsid w:val="7A150EF7"/>
    <w:rsid w:val="7A2E1812"/>
    <w:rsid w:val="7A7029D6"/>
    <w:rsid w:val="7A751437"/>
    <w:rsid w:val="7AA50A04"/>
    <w:rsid w:val="7AB2209C"/>
    <w:rsid w:val="7ACB6E73"/>
    <w:rsid w:val="7AF37B9B"/>
    <w:rsid w:val="7AF766CB"/>
    <w:rsid w:val="7B033D7C"/>
    <w:rsid w:val="7B233171"/>
    <w:rsid w:val="7B266C6F"/>
    <w:rsid w:val="7B2E45E7"/>
    <w:rsid w:val="7B371E19"/>
    <w:rsid w:val="7B3943CF"/>
    <w:rsid w:val="7B634CE1"/>
    <w:rsid w:val="7B9C2512"/>
    <w:rsid w:val="7BCE727A"/>
    <w:rsid w:val="7BFB110F"/>
    <w:rsid w:val="7BFC3F80"/>
    <w:rsid w:val="7C09409A"/>
    <w:rsid w:val="7C287D7E"/>
    <w:rsid w:val="7C340592"/>
    <w:rsid w:val="7C3825FA"/>
    <w:rsid w:val="7D432891"/>
    <w:rsid w:val="7D4B33BB"/>
    <w:rsid w:val="7D7C4CEA"/>
    <w:rsid w:val="7D866779"/>
    <w:rsid w:val="7D942627"/>
    <w:rsid w:val="7D9F3F02"/>
    <w:rsid w:val="7DB523CA"/>
    <w:rsid w:val="7DBC4F49"/>
    <w:rsid w:val="7DD3575A"/>
    <w:rsid w:val="7DFD16AD"/>
    <w:rsid w:val="7E25695D"/>
    <w:rsid w:val="7E514E37"/>
    <w:rsid w:val="7E5F0EE8"/>
    <w:rsid w:val="7E7506DB"/>
    <w:rsid w:val="7E851F96"/>
    <w:rsid w:val="7EA1534A"/>
    <w:rsid w:val="7EA20C6D"/>
    <w:rsid w:val="7EAB0E13"/>
    <w:rsid w:val="7EB2667C"/>
    <w:rsid w:val="7EC854AC"/>
    <w:rsid w:val="7EED4816"/>
    <w:rsid w:val="7EF90802"/>
    <w:rsid w:val="7F083148"/>
    <w:rsid w:val="7F191C23"/>
    <w:rsid w:val="7F7502CD"/>
    <w:rsid w:val="7F961180"/>
    <w:rsid w:val="7FD25BD3"/>
    <w:rsid w:val="7FDC028D"/>
    <w:rsid w:val="7FDC49AB"/>
    <w:rsid w:val="7FDF3516"/>
    <w:rsid w:val="7FE06A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link w:val="NormalCharacter"/>
    <w:qFormat/>
    <w:rsid w:val="008A4DC0"/>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8A4DC0"/>
    <w:pPr>
      <w:keepNext/>
      <w:keepLines/>
      <w:jc w:val="left"/>
      <w:outlineLvl w:val="0"/>
    </w:pPr>
    <w:rPr>
      <w:rFonts w:ascii="宋体" w:eastAsia="黑体" w:hAnsi="宋体"/>
      <w:b/>
      <w:bCs/>
      <w:kern w:val="44"/>
      <w:szCs w:val="44"/>
    </w:rPr>
  </w:style>
  <w:style w:type="paragraph" w:styleId="20">
    <w:name w:val="heading 2"/>
    <w:basedOn w:val="a"/>
    <w:next w:val="a"/>
    <w:unhideWhenUsed/>
    <w:qFormat/>
    <w:rsid w:val="008A4DC0"/>
    <w:pPr>
      <w:keepNext/>
      <w:keepLines/>
      <w:outlineLvl w:val="1"/>
    </w:pPr>
    <w:rPr>
      <w:rFonts w:ascii="Arial" w:eastAsia="楷体" w:hAnsi="Arial"/>
      <w:b/>
      <w:sz w:val="32"/>
    </w:rPr>
  </w:style>
  <w:style w:type="paragraph" w:styleId="3">
    <w:name w:val="heading 3"/>
    <w:basedOn w:val="a"/>
    <w:next w:val="a"/>
    <w:qFormat/>
    <w:rsid w:val="008A4DC0"/>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uiPriority w:val="99"/>
    <w:unhideWhenUsed/>
    <w:qFormat/>
    <w:rsid w:val="008A4DC0"/>
    <w:pPr>
      <w:spacing w:after="120" w:line="480" w:lineRule="auto"/>
      <w:ind w:leftChars="200" w:left="420"/>
    </w:pPr>
  </w:style>
  <w:style w:type="paragraph" w:styleId="a3">
    <w:name w:val="annotation text"/>
    <w:basedOn w:val="a"/>
    <w:qFormat/>
    <w:rsid w:val="008A4DC0"/>
    <w:pPr>
      <w:jc w:val="left"/>
    </w:pPr>
  </w:style>
  <w:style w:type="paragraph" w:styleId="a4">
    <w:name w:val="Body Text"/>
    <w:basedOn w:val="a"/>
    <w:uiPriority w:val="99"/>
    <w:qFormat/>
    <w:rsid w:val="008A4DC0"/>
    <w:pPr>
      <w:spacing w:after="120"/>
    </w:pPr>
    <w:rPr>
      <w:rFonts w:ascii="Times New Roman" w:eastAsia="宋体" w:hAnsi="Times New Roman"/>
    </w:rPr>
  </w:style>
  <w:style w:type="paragraph" w:styleId="a5">
    <w:name w:val="footer"/>
    <w:basedOn w:val="a"/>
    <w:link w:val="Char"/>
    <w:uiPriority w:val="99"/>
    <w:qFormat/>
    <w:rsid w:val="008A4DC0"/>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8A4DC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8A4DC0"/>
    <w:pPr>
      <w:spacing w:before="100" w:beforeAutospacing="1" w:after="100" w:afterAutospacing="1"/>
      <w:jc w:val="left"/>
    </w:pPr>
    <w:rPr>
      <w:sz w:val="24"/>
    </w:rPr>
  </w:style>
  <w:style w:type="character" w:styleId="a8">
    <w:name w:val="Strong"/>
    <w:basedOn w:val="a0"/>
    <w:qFormat/>
    <w:rsid w:val="008A4DC0"/>
    <w:rPr>
      <w:b/>
      <w:bCs/>
    </w:rPr>
  </w:style>
  <w:style w:type="paragraph" w:customStyle="1" w:styleId="A9">
    <w:name w:val="正文A"/>
    <w:basedOn w:val="a"/>
    <w:uiPriority w:val="4"/>
    <w:qFormat/>
    <w:rsid w:val="008A4DC0"/>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8A4DC0"/>
    <w:pPr>
      <w:ind w:firstLine="420"/>
    </w:pPr>
  </w:style>
  <w:style w:type="paragraph" w:customStyle="1" w:styleId="10">
    <w:name w:val="样式1"/>
    <w:basedOn w:val="a"/>
    <w:link w:val="1Char"/>
    <w:qFormat/>
    <w:rsid w:val="008A4DC0"/>
    <w:pPr>
      <w:ind w:firstLine="560"/>
    </w:pPr>
  </w:style>
  <w:style w:type="paragraph" w:customStyle="1" w:styleId="21">
    <w:name w:val="样式2"/>
    <w:basedOn w:val="a6"/>
    <w:link w:val="2Char"/>
    <w:qFormat/>
    <w:rsid w:val="008A4DC0"/>
    <w:pPr>
      <w:pBdr>
        <w:bottom w:val="none" w:sz="0" w:space="0" w:color="auto"/>
      </w:pBdr>
      <w:ind w:firstLine="360"/>
    </w:pPr>
  </w:style>
  <w:style w:type="character" w:customStyle="1" w:styleId="1Char">
    <w:name w:val="样式1 Char"/>
    <w:basedOn w:val="a0"/>
    <w:link w:val="10"/>
    <w:qFormat/>
    <w:rsid w:val="008A4DC0"/>
    <w:rPr>
      <w:rFonts w:ascii="仿宋" w:eastAsia="仿宋" w:hAnsi="仿宋"/>
      <w:kern w:val="2"/>
      <w:sz w:val="28"/>
      <w:szCs w:val="24"/>
    </w:rPr>
  </w:style>
  <w:style w:type="character" w:customStyle="1" w:styleId="Char0">
    <w:name w:val="页眉 Char"/>
    <w:basedOn w:val="a0"/>
    <w:link w:val="a6"/>
    <w:uiPriority w:val="99"/>
    <w:qFormat/>
    <w:rsid w:val="008A4DC0"/>
    <w:rPr>
      <w:rFonts w:ascii="仿宋" w:eastAsia="仿宋" w:hAnsi="仿宋"/>
      <w:kern w:val="2"/>
      <w:sz w:val="18"/>
      <w:szCs w:val="18"/>
    </w:rPr>
  </w:style>
  <w:style w:type="character" w:customStyle="1" w:styleId="2Char">
    <w:name w:val="样式2 Char"/>
    <w:basedOn w:val="Char0"/>
    <w:link w:val="21"/>
    <w:qFormat/>
    <w:rsid w:val="008A4DC0"/>
    <w:rPr>
      <w:rFonts w:ascii="仿宋" w:eastAsia="仿宋" w:hAnsi="仿宋"/>
      <w:kern w:val="2"/>
      <w:sz w:val="18"/>
      <w:szCs w:val="18"/>
    </w:rPr>
  </w:style>
  <w:style w:type="character" w:customStyle="1" w:styleId="Char">
    <w:name w:val="页脚 Char"/>
    <w:basedOn w:val="a0"/>
    <w:link w:val="a5"/>
    <w:uiPriority w:val="99"/>
    <w:qFormat/>
    <w:rsid w:val="008A4DC0"/>
    <w:rPr>
      <w:rFonts w:eastAsia="仿宋"/>
      <w:kern w:val="2"/>
      <w:sz w:val="18"/>
      <w:szCs w:val="24"/>
    </w:rPr>
  </w:style>
  <w:style w:type="character" w:customStyle="1" w:styleId="NormalCharacter">
    <w:name w:val="NormalCharacter"/>
    <w:qFormat/>
    <w:rsid w:val="008A4DC0"/>
    <w:rPr>
      <w:rFonts w:ascii="仿宋" w:eastAsia="仿宋" w:hAnsi="仿宋" w:cs="Times New Roman"/>
      <w:kern w:val="2"/>
      <w:sz w:val="28"/>
      <w:szCs w:val="24"/>
      <w:lang w:val="en-US" w:eastAsia="zh-CN" w:bidi="ar-SA"/>
    </w:rPr>
  </w:style>
  <w:style w:type="paragraph" w:customStyle="1" w:styleId="UserStyle0">
    <w:name w:val="UserStyle_0"/>
    <w:basedOn w:val="UserStyle1"/>
    <w:qFormat/>
    <w:rsid w:val="008A4DC0"/>
    <w:pPr>
      <w:ind w:firstLine="420"/>
    </w:pPr>
    <w:rPr>
      <w:szCs w:val="22"/>
    </w:rPr>
  </w:style>
  <w:style w:type="paragraph" w:customStyle="1" w:styleId="UserStyle1">
    <w:name w:val="UserStyle_1"/>
    <w:basedOn w:val="a"/>
    <w:qFormat/>
    <w:rsid w:val="008A4DC0"/>
    <w:pPr>
      <w:spacing w:after="120"/>
      <w:ind w:leftChars="200" w:left="420"/>
      <w:textAlignment w:val="baseline"/>
    </w:pPr>
  </w:style>
</w:styles>
</file>

<file path=word/webSettings.xml><?xml version="1.0" encoding="utf-8"?>
<w:webSettings xmlns:r="http://schemas.openxmlformats.org/officeDocument/2006/relationships" xmlns:w="http://schemas.openxmlformats.org/wordprocessingml/2006/main">
  <w:divs>
    <w:div w:id="520633295">
      <w:bodyDiv w:val="1"/>
      <w:marLeft w:val="0"/>
      <w:marRight w:val="0"/>
      <w:marTop w:val="0"/>
      <w:marBottom w:val="0"/>
      <w:divBdr>
        <w:top w:val="none" w:sz="0" w:space="0" w:color="auto"/>
        <w:left w:val="none" w:sz="0" w:space="0" w:color="auto"/>
        <w:bottom w:val="none" w:sz="0" w:space="0" w:color="auto"/>
        <w:right w:val="none" w:sz="0" w:space="0" w:color="auto"/>
      </w:divBdr>
    </w:div>
    <w:div w:id="2144079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Pages>
  <Words>3007</Words>
  <Characters>17142</Characters>
  <Application>Microsoft Office Word</Application>
  <DocSecurity>0</DocSecurity>
  <Lines>142</Lines>
  <Paragraphs>40</Paragraphs>
  <ScaleCrop>false</ScaleCrop>
  <Company>china</Company>
  <LinksUpToDate>false</LinksUpToDate>
  <CharactersWithSpaces>20109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29</cp:revision>
  <cp:lastPrinted>2023-02-16T05:17:00Z</cp:lastPrinted>
  <dcterms:created xsi:type="dcterms:W3CDTF">2014-10-29T12:08:00Z</dcterms:created>
  <dcterms:modified xsi:type="dcterms:W3CDTF">2024-07-04T10:15:00Z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80C5842AF950464DAD0483104F63F484</vt:lpwstr>
  </property>
</Properties>
</file>