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昌吉市北京南路社区卫生服务中心</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昌吉市北京南路社区卫生服务中心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昌吉市北京南路社区卫生服务中心系全额拨款事业单位，中心于2011年1月正式挂牌并开展各项工作，属公益一类事业机构，隶属于昌吉市卫健委管理，实行财政全额预算管理。是纳入城镇职工、城镇居民基本医疗保险的定点医疗机构，中心是集医疗、保健、康复、预防、健康教育和计划生育技术指导服务等“六位一体”的全程社区卫生服务机构，并形成以中心为主体，16个社区卫生服务站为补充的新型城市社区卫生服务网络。中心位于昌吉市延安南路51号，共三层，建筑面积1999.9㎡，房屋投资569万元，设备投资400万元，共设有25张床位，辖区常住人口68689人，区域面积13.5平方公里。</w:t>
      </w:r>
      <w:r>
        <w:rPr>
          <w:rFonts w:hint="eastAsia" w:ascii="仿宋_GB2312" w:hAnsi="仿宋_GB2312" w:eastAsia="仿宋_GB2312" w:cs="仿宋_GB2312"/>
          <w:i w:val="0"/>
          <w:iCs w:val="0"/>
          <w:color w:val="auto"/>
          <w:kern w:val="2"/>
          <w:sz w:val="32"/>
          <w:szCs w:val="32"/>
          <w:lang w:val="en-US" w:eastAsia="zh-CN" w:bidi="ar-SA"/>
        </w:rPr>
        <w:t>人员核定编制40个，在编人员38人，其中外借8人，访惠聚1人；在岗不在编2人；聘用人员38人。</w:t>
      </w:r>
      <w:r>
        <w:rPr>
          <w:rFonts w:hint="eastAsia" w:ascii="仿宋_GB2312" w:hAnsi="仿宋_GB2312" w:eastAsia="仿宋_GB2312" w:cs="仿宋_GB2312"/>
          <w:b w:val="0"/>
          <w:bCs w:val="0"/>
          <w:color w:val="auto"/>
          <w:sz w:val="32"/>
          <w:szCs w:val="32"/>
          <w:lang w:val="en-US" w:eastAsia="zh-CN"/>
        </w:rPr>
        <w:t>执业医师13人（全科医师5人）,</w:t>
      </w:r>
      <w:r>
        <w:rPr>
          <w:rFonts w:hint="eastAsia" w:ascii="仿宋_GB2312" w:hAnsi="仿宋_GB2312" w:eastAsia="仿宋_GB2312" w:cs="仿宋_GB2312"/>
          <w:b w:val="0"/>
          <w:bCs w:val="0"/>
          <w:i w:val="0"/>
          <w:iCs w:val="0"/>
          <w:color w:val="auto"/>
          <w:kern w:val="2"/>
          <w:sz w:val="32"/>
          <w:szCs w:val="32"/>
          <w:lang w:val="en-US" w:eastAsia="zh-CN" w:bidi="ar-SA"/>
        </w:rPr>
        <w:t>助理医师4</w:t>
      </w:r>
      <w:r>
        <w:rPr>
          <w:rFonts w:hint="eastAsia" w:ascii="仿宋_GB2312" w:hAnsi="仿宋_GB2312" w:eastAsia="仿宋_GB2312" w:cs="仿宋_GB2312"/>
          <w:b w:val="0"/>
          <w:bCs w:val="0"/>
          <w:color w:val="auto"/>
          <w:sz w:val="32"/>
          <w:szCs w:val="32"/>
          <w:lang w:val="en-US" w:eastAsia="zh-CN"/>
        </w:rPr>
        <w:t>人,</w:t>
      </w:r>
      <w:r>
        <w:rPr>
          <w:rFonts w:hint="eastAsia" w:ascii="仿宋_GB2312" w:hAnsi="仿宋_GB2312" w:eastAsia="仿宋_GB2312" w:cs="仿宋_GB2312"/>
          <w:b w:val="0"/>
          <w:bCs w:val="0"/>
          <w:i w:val="0"/>
          <w:iCs w:val="0"/>
          <w:color w:val="auto"/>
          <w:kern w:val="2"/>
          <w:sz w:val="32"/>
          <w:szCs w:val="32"/>
          <w:lang w:val="en-US" w:eastAsia="zh-CN" w:bidi="ar-SA"/>
        </w:rPr>
        <w:t>护理31人。学历情况：研究生2人，本科26人。职称情况：正高4</w:t>
      </w:r>
      <w:r>
        <w:rPr>
          <w:rFonts w:hint="eastAsia" w:ascii="仿宋_GB2312" w:hAnsi="仿宋_GB2312" w:eastAsia="仿宋_GB2312" w:cs="仿宋_GB2312"/>
          <w:i w:val="0"/>
          <w:iCs w:val="0"/>
          <w:color w:val="auto"/>
          <w:kern w:val="2"/>
          <w:sz w:val="32"/>
          <w:szCs w:val="32"/>
          <w:lang w:val="en-US" w:eastAsia="zh-CN" w:bidi="ar-SA"/>
        </w:rPr>
        <w:t>人，副高8人，中级13人，初级11人，工勤2人。</w:t>
      </w:r>
      <w:r>
        <w:rPr>
          <w:rFonts w:hint="eastAsia" w:ascii="仿宋_GB2312" w:hAnsi="仿宋" w:eastAsia="仿宋_GB2312" w:cs="仿宋"/>
          <w:sz w:val="32"/>
          <w:szCs w:val="32"/>
          <w:lang w:val="en-US" w:eastAsia="zh-CN"/>
        </w:rPr>
        <w:t>中心于2012年获得国家级社区卫生服务中心称号，2017年获得州级文明单位称号。</w:t>
      </w:r>
    </w:p>
    <w:p>
      <w:pPr>
        <w:spacing w:line="540" w:lineRule="exact"/>
        <w:ind w:firstLine="640" w:firstLineChars="200"/>
        <w:jc w:val="left"/>
        <w:rPr>
          <w:rFonts w:hint="eastAsia" w:ascii="仿宋_GB2312" w:hAnsi="仿宋" w:eastAsia="仿宋_GB2312" w:cs="仿宋"/>
          <w:sz w:val="32"/>
          <w:szCs w:val="32"/>
        </w:rPr>
      </w:pPr>
      <w:r>
        <w:rPr>
          <w:rFonts w:hint="eastAsia" w:ascii="仿宋_GB2312" w:hAnsi="仿宋" w:eastAsia="仿宋_GB2312" w:cs="仿宋"/>
          <w:sz w:val="32"/>
          <w:szCs w:val="32"/>
        </w:rPr>
        <w:t>财政核定公务用车一辆。中心设置了全科诊室、中医诊室、康复治疗室、抢救室、预检分诊室、预防保健科、社区卫生管理科、妇女与计划生育指导室、儿童保健室、健康教育室、预防接种室、健康信息管理室、检验室、放射科、B超室、心电图室、药房、治疗室、处置室。</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pStyle w:val="11"/>
        <w:ind w:firstLine="640"/>
        <w:rPr>
          <w:rFonts w:hint="eastAsia" w:ascii="仿宋_GB2312" w:hAnsi="宋体" w:eastAsia="仿宋_GB2312"/>
          <w:sz w:val="32"/>
          <w:szCs w:val="32"/>
        </w:rPr>
      </w:pPr>
      <w:r>
        <w:rPr>
          <w:rFonts w:hint="eastAsia" w:ascii="仿宋_GB2312" w:hAnsi="宋体" w:eastAsia="仿宋_GB2312"/>
          <w:sz w:val="32"/>
          <w:szCs w:val="32"/>
        </w:rPr>
        <w:t>主要对本辖区居民提供基本医疗服务，全民健康体检工作，基本公共卫生十四项服务工作。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11"/>
        <w:rPr>
          <w:rFonts w:hint="eastAsia" w:ascii="仿宋_GB2312" w:hAnsi="宋体" w:eastAsia="仿宋_GB2312"/>
          <w:sz w:val="32"/>
          <w:szCs w:val="32"/>
        </w:rPr>
      </w:pPr>
      <w:r>
        <w:rPr>
          <w:rFonts w:hint="eastAsia" w:cs="仿宋"/>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负责社区卫生预防，社区卫生诊断，传染病疫情报告和监测，预防接种，结核病、艾滋病等重大传染病预防，常见传染病防治，地方病、寄生虫病防治，健康档案管理，爱国卫生指导等；</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负责社区卫生保健。孕产妇保健，儿童保健，老年人保健等；</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负责社区医疗社区诊治；一般常见病、多发病的治疗，社区现场救护，慢性病筛查和重点慢性病例管理，精神病患者管理，转诊服务等；</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负责社区疾病康复；残疾康复，疾病恢复期康复，家庭和社区康复训练指导等；</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负责社区健康教育；卫生知识普及，个体和群体的健康管理，宣传健康行为和生活方式等；</w:t>
      </w:r>
    </w:p>
    <w:p>
      <w:pPr>
        <w:pStyle w:val="11"/>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负责社区计划生育；计划生育技术服务与咨询指导，发放避孕药具；</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负责辖区内居民全民健康体检包括辖区学校学生体检工作；</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负责办理辖区区健康证办理工作；</w:t>
      </w:r>
    </w:p>
    <w:p>
      <w:pPr>
        <w:pStyle w:val="11"/>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w:t>
      </w:r>
      <w:r>
        <w:rPr>
          <w:rFonts w:hint="eastAsia" w:ascii="仿宋_GB2312" w:hAnsi="宋体" w:eastAsia="仿宋_GB2312"/>
          <w:sz w:val="32"/>
          <w:szCs w:val="32"/>
        </w:rPr>
        <w:t>负责办理市卫健委交办的其他工作。</w:t>
      </w:r>
    </w:p>
    <w:p>
      <w:pPr>
        <w:pStyle w:val="2"/>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昌吉市北京南路社区卫生服务中心</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2"/>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万元，部门项目总支出金额为</w:t>
      </w:r>
      <w:r>
        <w:rPr>
          <w:rFonts w:hint="eastAsia" w:ascii="仿宋_GB2312" w:eastAsia="仿宋_GB2312"/>
          <w:color w:val="333333"/>
          <w:sz w:val="32"/>
          <w:szCs w:val="32"/>
          <w:lang w:val="en-US" w:eastAsia="zh-CN"/>
        </w:rPr>
        <w:t>992.81</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w:t>
      </w:r>
    </w:p>
    <w:p>
      <w:pPr>
        <w:pStyle w:val="2"/>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hAnsi="宋体" w:eastAsia="仿宋_GB2312"/>
          <w:color w:val="333333"/>
          <w:sz w:val="32"/>
          <w:szCs w:val="32"/>
          <w:lang w:eastAsia="zh-CN"/>
        </w:rPr>
        <w:t>昌吉市北京南路社区卫生服务中心</w:t>
      </w:r>
      <w:r>
        <w:rPr>
          <w:rFonts w:hint="eastAsia" w:ascii="仿宋_GB2312" w:eastAsia="仿宋_GB2312"/>
          <w:bCs/>
          <w:sz w:val="32"/>
          <w:szCs w:val="32"/>
        </w:rPr>
        <w:t>部门单位整体支出年初预算金额为</w:t>
      </w:r>
      <w:r>
        <w:rPr>
          <w:rFonts w:hint="eastAsia" w:ascii="仿宋_GB2312" w:hAnsi="宋体" w:eastAsia="仿宋_GB2312"/>
          <w:color w:val="333333"/>
          <w:sz w:val="32"/>
          <w:szCs w:val="32"/>
          <w:lang w:val="en-US" w:eastAsia="zh-CN"/>
        </w:rPr>
        <w:t>997.57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997.57</w:t>
      </w:r>
      <w:r>
        <w:rPr>
          <w:rFonts w:hint="eastAsia" w:ascii="仿宋_GB2312" w:eastAsia="仿宋_GB2312"/>
          <w:sz w:val="32"/>
          <w:szCs w:val="32"/>
        </w:rPr>
        <w:t>万元，执行率为</w:t>
      </w:r>
      <w:r>
        <w:rPr>
          <w:rFonts w:hint="eastAsia" w:ascii="仿宋_GB2312" w:eastAsia="仿宋_GB2312"/>
          <w:color w:val="333333"/>
          <w:sz w:val="32"/>
          <w:szCs w:val="32"/>
          <w:lang w:val="en-US" w:eastAsia="zh-CN"/>
        </w:rPr>
        <w:t>100.0</w:t>
      </w:r>
      <w:r>
        <w:rPr>
          <w:rFonts w:hint="eastAsia" w:ascii="仿宋_GB2312" w:hAnsi="宋体" w:eastAsia="仿宋_GB2312"/>
          <w:color w:val="333333"/>
          <w:sz w:val="32"/>
          <w:szCs w:val="32"/>
          <w:lang w:val="en-US"/>
        </w:rPr>
        <w:t>%，其中：政府采购年初预算金额为</w:t>
      </w:r>
      <w:r>
        <w:rPr>
          <w:rFonts w:hint="eastAsia" w:ascii="仿宋_GB2312" w:hAnsi="宋体" w:eastAsia="仿宋_GB2312"/>
          <w:color w:val="333333"/>
          <w:sz w:val="32"/>
          <w:szCs w:val="32"/>
          <w:lang w:val="en-US" w:eastAsia="zh-CN"/>
        </w:rPr>
        <w:t>13.20</w:t>
      </w:r>
      <w:r>
        <w:rPr>
          <w:rFonts w:hint="eastAsia" w:ascii="仿宋_GB2312" w:hAnsi="宋体" w:eastAsia="仿宋_GB2312"/>
          <w:color w:val="333333"/>
          <w:sz w:val="32"/>
          <w:szCs w:val="32"/>
          <w:lang w:val="en-US"/>
        </w:rPr>
        <w:t>万元，支出金额为</w:t>
      </w:r>
      <w:r>
        <w:rPr>
          <w:rFonts w:hint="eastAsia" w:ascii="仿宋_GB2312" w:hAnsi="宋体" w:eastAsia="仿宋_GB2312"/>
          <w:color w:val="333333"/>
          <w:sz w:val="32"/>
          <w:szCs w:val="32"/>
          <w:lang w:val="en-US" w:eastAsia="zh-CN"/>
        </w:rPr>
        <w:t>13.20</w:t>
      </w:r>
      <w:r>
        <w:rPr>
          <w:rFonts w:hint="eastAsia" w:ascii="仿宋_GB2312" w:hAnsi="宋体" w:eastAsia="仿宋_GB2312"/>
          <w:color w:val="333333"/>
          <w:sz w:val="32"/>
          <w:szCs w:val="32"/>
          <w:lang w:val="en-US"/>
        </w:rPr>
        <w:t>万</w:t>
      </w:r>
      <w:r>
        <w:rPr>
          <w:rFonts w:hint="eastAsia" w:ascii="仿宋_GB2312" w:eastAsia="仿宋_GB2312"/>
          <w:sz w:val="32"/>
          <w:szCs w:val="32"/>
        </w:rPr>
        <w:t>元，执行率为</w:t>
      </w:r>
      <w:r>
        <w:rPr>
          <w:rFonts w:hint="eastAsia" w:ascii="仿宋_GB2312" w:eastAsia="仿宋_GB2312"/>
          <w:sz w:val="32"/>
          <w:szCs w:val="32"/>
          <w:lang w:val="en-US" w:eastAsia="zh-CN"/>
        </w:rPr>
        <w:t>100.0</w:t>
      </w:r>
      <w:r>
        <w:rPr>
          <w:rFonts w:hint="eastAsia" w:ascii="仿宋_GB2312" w:eastAsia="仿宋_GB2312"/>
          <w:sz w:val="32"/>
          <w:szCs w:val="32"/>
          <w:lang w:val="en-US"/>
        </w:rPr>
        <w:t>%。年中调整预算金</w:t>
      </w:r>
      <w:r>
        <w:rPr>
          <w:rFonts w:hint="eastAsia" w:ascii="仿宋_GB2312" w:eastAsia="仿宋_GB2312"/>
          <w:sz w:val="32"/>
          <w:szCs w:val="32"/>
        </w:rPr>
        <w:t>额为</w:t>
      </w:r>
      <w:r>
        <w:rPr>
          <w:rFonts w:hint="eastAsia" w:ascii="仿宋_GB2312" w:eastAsia="仿宋_GB2312"/>
          <w:color w:val="auto"/>
          <w:sz w:val="32"/>
          <w:szCs w:val="32"/>
          <w:lang w:val="en-US" w:eastAsia="zh-CN"/>
        </w:rPr>
        <w:t>1355.28</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132.6</w:t>
      </w:r>
      <w:r>
        <w:rPr>
          <w:rFonts w:hint="eastAsia" w:ascii="仿宋_GB2312" w:eastAsia="仿宋_GB2312"/>
          <w:color w:val="auto"/>
          <w:sz w:val="32"/>
          <w:szCs w:val="32"/>
        </w:rPr>
        <w:t>%。</w:t>
      </w:r>
      <w:r>
        <w:rPr>
          <w:rFonts w:hint="eastAsia" w:ascii="仿宋_GB2312" w:eastAsia="仿宋_GB2312"/>
          <w:sz w:val="32"/>
          <w:szCs w:val="32"/>
        </w:rPr>
        <w:t>综上，我单位部门单位整体预算总额为</w:t>
      </w:r>
      <w:r>
        <w:rPr>
          <w:rFonts w:hint="eastAsia" w:ascii="仿宋_GB2312" w:eastAsia="仿宋_GB2312"/>
          <w:color w:val="333333"/>
          <w:sz w:val="32"/>
          <w:szCs w:val="32"/>
          <w:lang w:val="en-US" w:eastAsia="zh-CN"/>
        </w:rPr>
        <w:t>2352.85</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2320.24</w:t>
      </w:r>
      <w:r>
        <w:rPr>
          <w:rFonts w:hint="eastAsia" w:ascii="仿宋_GB2312" w:eastAsia="仿宋_GB2312"/>
          <w:sz w:val="32"/>
          <w:szCs w:val="32"/>
        </w:rPr>
        <w:t>万元，预算总执行率为</w:t>
      </w:r>
      <w:r>
        <w:rPr>
          <w:rFonts w:hint="eastAsia" w:ascii="仿宋_GB2312" w:eastAsia="仿宋_GB2312"/>
          <w:sz w:val="32"/>
          <w:szCs w:val="32"/>
          <w:lang w:val="en-US" w:eastAsia="zh-CN"/>
        </w:rPr>
        <w:t>98.6</w:t>
      </w:r>
      <w:r>
        <w:rPr>
          <w:rFonts w:hint="eastAsia" w:ascii="仿宋_GB2312" w:eastAsia="仿宋_GB2312"/>
          <w:sz w:val="32"/>
          <w:szCs w:val="32"/>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昌吉市北京南路社区卫生服务中心预算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昌吉市北京南路社区卫生服务中心</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昌吉市北京南路社区卫生服务中心</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2"/>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昌吉市北京南路社区卫生服务中心</w:t>
      </w:r>
      <w:r>
        <w:rPr>
          <w:rFonts w:hint="eastAsia" w:ascii="仿宋_GB2312" w:eastAsia="仿宋_GB2312"/>
          <w:sz w:val="32"/>
          <w:szCs w:val="32"/>
        </w:rPr>
        <w:t>基本支出年初预算金额为</w:t>
      </w:r>
      <w:r>
        <w:rPr>
          <w:rFonts w:hint="eastAsia" w:ascii="仿宋_GB2312" w:hAnsi="宋体" w:eastAsia="仿宋_GB2312"/>
          <w:color w:val="333333"/>
          <w:sz w:val="32"/>
          <w:szCs w:val="32"/>
          <w:lang w:val="en-US" w:eastAsia="zh-CN"/>
        </w:rPr>
        <w:t>997.57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997.57</w:t>
      </w:r>
      <w:r>
        <w:rPr>
          <w:rFonts w:hint="eastAsia" w:ascii="仿宋_GB2312" w:hAnsi="宋体" w:eastAsia="仿宋_GB2312"/>
          <w:color w:val="333333"/>
          <w:sz w:val="32"/>
          <w:szCs w:val="32"/>
          <w:lang w:val="en-US"/>
        </w:rPr>
        <w:t>万元，执行率为</w:t>
      </w:r>
      <w:r>
        <w:rPr>
          <w:rFonts w:hint="eastAsia" w:ascii="仿宋_GB2312" w:hAnsi="宋体" w:eastAsia="仿宋_GB2312"/>
          <w:color w:val="333333"/>
          <w:sz w:val="32"/>
          <w:szCs w:val="32"/>
          <w:lang w:val="en-US" w:eastAsia="zh-CN"/>
        </w:rPr>
        <w:t>100.0</w:t>
      </w:r>
      <w:r>
        <w:rPr>
          <w:rFonts w:hint="eastAsia" w:ascii="仿宋_GB2312" w:hAnsi="宋体" w:eastAsia="仿宋_GB2312"/>
          <w:color w:val="333333"/>
          <w:sz w:val="32"/>
          <w:szCs w:val="32"/>
          <w:lang w:val="en-US"/>
        </w:rPr>
        <w:t>%，</w:t>
      </w:r>
      <w:r>
        <w:rPr>
          <w:rFonts w:hint="eastAsia" w:ascii="仿宋_GB2312" w:eastAsia="仿宋_GB2312"/>
          <w:sz w:val="32"/>
          <w:szCs w:val="32"/>
        </w:rPr>
        <w:t>年中调整预算金额</w:t>
      </w:r>
      <w:r>
        <w:rPr>
          <w:rFonts w:hint="eastAsia" w:ascii="仿宋_GB2312" w:eastAsia="仿宋_GB2312"/>
          <w:sz w:val="32"/>
          <w:szCs w:val="32"/>
          <w:lang w:val="en-US" w:eastAsia="zh-CN"/>
        </w:rPr>
        <w:t>329.85</w:t>
      </w:r>
      <w:r>
        <w:rPr>
          <w:rFonts w:hint="eastAsia" w:ascii="仿宋_GB2312" w:eastAsia="仿宋_GB2312"/>
          <w:sz w:val="32"/>
          <w:szCs w:val="32"/>
        </w:rPr>
        <w:t>万元。综上，我单位基本支出预算总额为</w:t>
      </w:r>
      <w:r>
        <w:rPr>
          <w:rFonts w:hint="eastAsia" w:ascii="仿宋_GB2312" w:eastAsia="仿宋_GB2312"/>
          <w:color w:val="333333"/>
          <w:sz w:val="32"/>
          <w:szCs w:val="32"/>
          <w:lang w:val="en-US" w:eastAsia="zh-CN"/>
        </w:rPr>
        <w:t>1327.42</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1327.42</w:t>
      </w:r>
      <w:r>
        <w:rPr>
          <w:rFonts w:hint="eastAsia" w:ascii="仿宋_GB2312" w:eastAsia="仿宋_GB2312"/>
          <w:sz w:val="32"/>
          <w:szCs w:val="32"/>
        </w:rPr>
        <w:t>万元，预算总执行率为</w:t>
      </w:r>
      <w:r>
        <w:rPr>
          <w:rFonts w:hint="eastAsia" w:ascii="仿宋_GB2312" w:eastAsia="仿宋_GB2312"/>
          <w:sz w:val="32"/>
          <w:szCs w:val="32"/>
          <w:lang w:val="en-US" w:eastAsia="zh-CN"/>
        </w:rPr>
        <w:t>100.0</w:t>
      </w:r>
      <w:r>
        <w:rPr>
          <w:rFonts w:hint="eastAsia" w:ascii="仿宋_GB2312" w:eastAsia="仿宋_GB2312"/>
          <w:sz w:val="32"/>
          <w:szCs w:val="32"/>
        </w:rPr>
        <w:t>%，其中人员经费</w:t>
      </w:r>
      <w:r>
        <w:rPr>
          <w:rFonts w:hint="eastAsia" w:ascii="仿宋_GB2312" w:eastAsia="仿宋_GB2312"/>
          <w:color w:val="333333"/>
          <w:sz w:val="32"/>
          <w:szCs w:val="32"/>
          <w:lang w:val="en-US" w:eastAsia="zh-CN"/>
        </w:rPr>
        <w:t>617.52</w:t>
      </w:r>
      <w:r>
        <w:rPr>
          <w:rFonts w:hint="eastAsia" w:ascii="仿宋_GB2312" w:eastAsia="仿宋_GB2312"/>
          <w:sz w:val="32"/>
          <w:szCs w:val="32"/>
        </w:rPr>
        <w:t>万元，公用经费</w:t>
      </w:r>
      <w:r>
        <w:rPr>
          <w:rFonts w:hint="eastAsia" w:ascii="仿宋_GB2312" w:eastAsia="仿宋_GB2312"/>
          <w:color w:val="333333"/>
          <w:sz w:val="32"/>
          <w:szCs w:val="32"/>
          <w:lang w:val="en-US" w:eastAsia="zh-CN"/>
        </w:rPr>
        <w:t>709.9</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1.60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1.60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2.28</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减少0.68</w:t>
      </w:r>
      <w:r>
        <w:rPr>
          <w:rFonts w:hint="eastAsia" w:ascii="仿宋_GB2312" w:eastAsia="仿宋_GB2312" w:cs="宋体"/>
          <w:sz w:val="32"/>
          <w:szCs w:val="32"/>
        </w:rPr>
        <w:t>万元，</w:t>
      </w:r>
      <w:r>
        <w:rPr>
          <w:rFonts w:hint="eastAsia" w:ascii="仿宋_GB2312" w:eastAsia="仿宋_GB2312" w:cs="宋体"/>
          <w:sz w:val="32"/>
          <w:szCs w:val="32"/>
          <w:lang w:val="en-US" w:eastAsia="zh-CN"/>
        </w:rPr>
        <w:t>下降29.8</w:t>
      </w:r>
      <w:r>
        <w:rPr>
          <w:rFonts w:hint="eastAsia" w:ascii="仿宋_GB2312" w:eastAsia="仿宋_GB2312" w:cs="宋体"/>
          <w:sz w:val="32"/>
          <w:szCs w:val="32"/>
        </w:rPr>
        <w:t>%。</w:t>
      </w:r>
    </w:p>
    <w:p>
      <w:pPr>
        <w:pStyle w:val="2"/>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ind w:firstLine="640"/>
        <w:rPr>
          <w:rFonts w:hint="eastAsia"/>
          <w:b w:val="0"/>
          <w:bCs w:val="0"/>
          <w:sz w:val="32"/>
          <w:lang w:eastAsia="zh-CN"/>
        </w:rPr>
      </w:pPr>
      <w:r>
        <w:rPr>
          <w:rFonts w:hint="eastAsia"/>
          <w:b w:val="0"/>
          <w:bCs w:val="0"/>
          <w:sz w:val="32"/>
        </w:rPr>
        <w:t>202</w:t>
      </w:r>
      <w:r>
        <w:rPr>
          <w:rFonts w:hint="eastAsia"/>
          <w:b w:val="0"/>
          <w:bCs w:val="0"/>
          <w:sz w:val="32"/>
          <w:lang w:val="en-US" w:eastAsia="zh-CN"/>
        </w:rPr>
        <w:t>2</w:t>
      </w:r>
      <w:r>
        <w:rPr>
          <w:rFonts w:hint="eastAsia"/>
          <w:b w:val="0"/>
          <w:bCs w:val="0"/>
          <w:sz w:val="32"/>
        </w:rPr>
        <w:t>年，</w:t>
      </w:r>
      <w:r>
        <w:rPr>
          <w:rFonts w:hint="eastAsia"/>
          <w:b w:val="0"/>
          <w:bCs w:val="0"/>
          <w:sz w:val="32"/>
          <w:lang w:eastAsia="zh-CN"/>
        </w:rPr>
        <w:t>昌吉市北京南路社区卫生服务中心</w:t>
      </w:r>
      <w:r>
        <w:rPr>
          <w:rFonts w:hint="eastAsia"/>
          <w:b w:val="0"/>
          <w:bCs w:val="0"/>
          <w:sz w:val="32"/>
        </w:rPr>
        <w:t>项目支出年初预算金额为</w:t>
      </w:r>
      <w:r>
        <w:rPr>
          <w:rFonts w:hint="eastAsia"/>
          <w:b w:val="0"/>
          <w:bCs w:val="0"/>
          <w:sz w:val="32"/>
          <w:lang w:val="en-US" w:eastAsia="zh-CN"/>
        </w:rPr>
        <w:t>0.00</w:t>
      </w:r>
      <w:r>
        <w:rPr>
          <w:rFonts w:hint="eastAsia"/>
          <w:b w:val="0"/>
          <w:bCs w:val="0"/>
          <w:sz w:val="32"/>
        </w:rPr>
        <w:t>万元，支出金额</w:t>
      </w:r>
      <w:r>
        <w:rPr>
          <w:rFonts w:hint="eastAsia"/>
          <w:b w:val="0"/>
          <w:bCs w:val="0"/>
          <w:sz w:val="32"/>
          <w:lang w:eastAsia="zh-CN"/>
        </w:rPr>
        <w:t>为</w:t>
      </w:r>
      <w:r>
        <w:rPr>
          <w:rFonts w:hint="eastAsia"/>
          <w:b w:val="0"/>
          <w:bCs w:val="0"/>
          <w:sz w:val="32"/>
          <w:lang w:val="en-US" w:eastAsia="zh-CN"/>
        </w:rPr>
        <w:t>0.00万元，执行率为0.0%，年中调整预算金额</w:t>
      </w:r>
      <w:r>
        <w:rPr>
          <w:rFonts w:hint="eastAsia" w:ascii="仿宋_GB2312" w:hAnsi="仿宋_GB2312" w:eastAsia="仿宋_GB2312" w:cs="Times New Roman"/>
          <w:b w:val="0"/>
          <w:bCs w:val="0"/>
          <w:kern w:val="2"/>
          <w:sz w:val="32"/>
          <w:szCs w:val="32"/>
          <w:lang w:val="en-US" w:eastAsia="zh-CN" w:bidi="ar-SA"/>
        </w:rPr>
        <w:t>为959.28万元。综上，我单位项目支出预算总额为959.28万元，支出总额为959.28万元（其中上年结余资金</w:t>
      </w:r>
      <w:r>
        <w:rPr>
          <w:rFonts w:hint="eastAsia" w:cs="Times New Roman"/>
          <w:b w:val="0"/>
          <w:bCs w:val="0"/>
          <w:kern w:val="2"/>
          <w:sz w:val="32"/>
          <w:szCs w:val="32"/>
          <w:lang w:val="en-US" w:eastAsia="zh-CN" w:bidi="ar-SA"/>
        </w:rPr>
        <w:t>及非同级财政拨款资金</w:t>
      </w:r>
      <w:r>
        <w:rPr>
          <w:rFonts w:hint="eastAsia" w:cs="Times New Roman"/>
          <w:b w:val="0"/>
          <w:bCs w:val="0"/>
          <w:color w:val="FF0000"/>
          <w:kern w:val="2"/>
          <w:sz w:val="32"/>
          <w:szCs w:val="32"/>
          <w:lang w:val="en-US" w:eastAsia="zh-CN" w:bidi="ar-SA"/>
        </w:rPr>
        <w:t>176.91</w:t>
      </w:r>
      <w:r>
        <w:rPr>
          <w:rFonts w:hint="eastAsia" w:ascii="仿宋_GB2312" w:hAnsi="仿宋_GB2312" w:eastAsia="仿宋_GB2312" w:cs="Times New Roman"/>
          <w:b w:val="0"/>
          <w:bCs w:val="0"/>
          <w:kern w:val="2"/>
          <w:sz w:val="32"/>
          <w:szCs w:val="32"/>
          <w:lang w:val="en-US" w:eastAsia="zh-CN" w:bidi="ar-SA"/>
        </w:rPr>
        <w:t>万元），预</w:t>
      </w:r>
      <w:r>
        <w:rPr>
          <w:rFonts w:hint="eastAsia"/>
          <w:b w:val="0"/>
          <w:bCs w:val="0"/>
          <w:sz w:val="32"/>
          <w:lang w:val="en-US" w:eastAsia="zh-CN"/>
        </w:rPr>
        <w:t>算</w:t>
      </w:r>
      <w:r>
        <w:rPr>
          <w:rFonts w:hint="eastAsia"/>
          <w:b w:val="0"/>
          <w:bCs w:val="0"/>
          <w:sz w:val="32"/>
          <w:lang w:eastAsia="zh-CN"/>
        </w:rPr>
        <w:t>总执行率为</w:t>
      </w:r>
      <w:r>
        <w:rPr>
          <w:rFonts w:hint="eastAsia"/>
          <w:b w:val="0"/>
          <w:bCs w:val="0"/>
          <w:sz w:val="32"/>
          <w:lang w:val="en-US" w:eastAsia="zh-CN"/>
        </w:rPr>
        <w:t>100</w:t>
      </w:r>
      <w:r>
        <w:rPr>
          <w:rFonts w:hint="eastAsia"/>
          <w:b w:val="0"/>
          <w:bCs w:val="0"/>
          <w:sz w:val="32"/>
          <w:lang w:eastAsia="zh-CN"/>
        </w:rPr>
        <w:t>%。</w:t>
      </w:r>
    </w:p>
    <w:p>
      <w:pPr>
        <w:pStyle w:val="4"/>
        <w:ind w:firstLine="640"/>
        <w:rPr>
          <w:rFonts w:hint="eastAsia"/>
          <w:b w:val="0"/>
          <w:bCs w:val="0"/>
          <w:sz w:val="32"/>
          <w:lang w:val="en-US" w:eastAsia="zh-CN"/>
        </w:rPr>
      </w:pPr>
      <w:r>
        <w:rPr>
          <w:rFonts w:hint="eastAsia"/>
          <w:b w:val="0"/>
          <w:bCs w:val="0"/>
          <w:sz w:val="32"/>
          <w:lang w:eastAsia="zh-CN"/>
        </w:rPr>
        <w:t>202</w:t>
      </w:r>
      <w:r>
        <w:rPr>
          <w:rFonts w:hint="eastAsia"/>
          <w:b w:val="0"/>
          <w:bCs w:val="0"/>
          <w:sz w:val="32"/>
          <w:lang w:val="en-US" w:eastAsia="zh-CN"/>
        </w:rPr>
        <w:t>2</w:t>
      </w:r>
      <w:r>
        <w:rPr>
          <w:rFonts w:hint="eastAsia"/>
          <w:b w:val="0"/>
          <w:bCs w:val="0"/>
          <w:sz w:val="32"/>
          <w:lang w:eastAsia="zh-CN"/>
        </w:rPr>
        <w:t>年，昌吉市北京南路社区卫生服务中心</w:t>
      </w:r>
      <w:r>
        <w:rPr>
          <w:rFonts w:hint="eastAsia"/>
          <w:b w:val="0"/>
          <w:bCs w:val="0"/>
          <w:sz w:val="32"/>
          <w:lang w:val="en-US" w:eastAsia="zh-CN"/>
        </w:rPr>
        <w:t>共有13个中央、自治区、地区、县本级财力安排项目，已完成</w:t>
      </w:r>
      <w:r>
        <w:rPr>
          <w:rFonts w:hint="eastAsia" w:ascii="仿宋_GB2312" w:hAnsi="仿宋_GB2312" w:eastAsia="仿宋_GB2312" w:cs="Times New Roman"/>
          <w:b w:val="0"/>
          <w:bCs w:val="0"/>
          <w:kern w:val="2"/>
          <w:sz w:val="32"/>
          <w:szCs w:val="32"/>
          <w:lang w:val="en-US" w:eastAsia="zh-CN" w:bidi="ar-SA"/>
        </w:rPr>
        <w:t>项目数量</w:t>
      </w:r>
      <w:r>
        <w:rPr>
          <w:rFonts w:hint="eastAsia" w:cs="Times New Roman"/>
          <w:b w:val="0"/>
          <w:bCs w:val="0"/>
          <w:kern w:val="2"/>
          <w:sz w:val="32"/>
          <w:szCs w:val="32"/>
          <w:lang w:val="en-US" w:eastAsia="zh-CN" w:bidi="ar-SA"/>
        </w:rPr>
        <w:t>13</w:t>
      </w:r>
      <w:r>
        <w:rPr>
          <w:rFonts w:hint="eastAsia" w:ascii="仿宋_GB2312" w:hAnsi="仿宋_GB2312" w:eastAsia="仿宋_GB2312" w:cs="Times New Roman"/>
          <w:b w:val="0"/>
          <w:bCs w:val="0"/>
          <w:kern w:val="2"/>
          <w:sz w:val="32"/>
          <w:szCs w:val="32"/>
          <w:lang w:val="en-US" w:eastAsia="zh-CN" w:bidi="ar-SA"/>
        </w:rPr>
        <w:t>个、未完成项目数量</w:t>
      </w:r>
      <w:r>
        <w:rPr>
          <w:rFonts w:hint="eastAsia" w:cs="Times New Roman"/>
          <w:b w:val="0"/>
          <w:bCs w:val="0"/>
          <w:kern w:val="2"/>
          <w:sz w:val="32"/>
          <w:szCs w:val="32"/>
          <w:lang w:val="en-US" w:eastAsia="zh-CN" w:bidi="ar-SA"/>
        </w:rPr>
        <w:t>0</w:t>
      </w:r>
      <w:r>
        <w:rPr>
          <w:rFonts w:hint="eastAsia" w:ascii="仿宋_GB2312" w:hAnsi="仿宋_GB2312" w:eastAsia="仿宋_GB2312" w:cs="Times New Roman"/>
          <w:b w:val="0"/>
          <w:bCs w:val="0"/>
          <w:kern w:val="2"/>
          <w:sz w:val="32"/>
          <w:szCs w:val="32"/>
          <w:lang w:val="en-US" w:eastAsia="zh-CN" w:bidi="ar-SA"/>
        </w:rPr>
        <w:t>个。20</w:t>
      </w:r>
      <w:r>
        <w:rPr>
          <w:rFonts w:hint="eastAsia" w:cs="Times New Roman"/>
          <w:b w:val="0"/>
          <w:bCs w:val="0"/>
          <w:kern w:val="2"/>
          <w:sz w:val="32"/>
          <w:szCs w:val="32"/>
          <w:lang w:val="en-US" w:eastAsia="zh-CN" w:bidi="ar-SA"/>
        </w:rPr>
        <w:t>22</w:t>
      </w:r>
      <w:r>
        <w:rPr>
          <w:rFonts w:hint="eastAsia" w:ascii="仿宋_GB2312" w:hAnsi="仿宋_GB2312" w:eastAsia="仿宋_GB2312" w:cs="Times New Roman"/>
          <w:b w:val="0"/>
          <w:bCs w:val="0"/>
          <w:kern w:val="2"/>
          <w:sz w:val="32"/>
          <w:szCs w:val="32"/>
          <w:lang w:val="en-US" w:eastAsia="zh-CN" w:bidi="ar-SA"/>
        </w:rPr>
        <w:t>年度中央、</w:t>
      </w:r>
      <w:r>
        <w:rPr>
          <w:rFonts w:hint="eastAsia"/>
          <w:b w:val="0"/>
          <w:bCs w:val="0"/>
          <w:sz w:val="32"/>
          <w:lang w:val="en-US" w:eastAsia="zh-CN"/>
        </w:rPr>
        <w:t>自治区、地区、县本级财力安排项目预算及执行情况见下表：</w:t>
      </w:r>
    </w:p>
    <w:p>
      <w:pPr>
        <w:ind w:firstLine="420"/>
        <w:jc w:val="right"/>
        <w:rPr>
          <w:sz w:val="21"/>
          <w:szCs w:val="21"/>
        </w:rPr>
      </w:pPr>
      <w:r>
        <w:rPr>
          <w:rFonts w:hint="eastAsia"/>
          <w:sz w:val="21"/>
          <w:szCs w:val="21"/>
        </w:rPr>
        <w:t>单位：万元</w:t>
      </w:r>
    </w:p>
    <w:tbl>
      <w:tblPr>
        <w:tblStyle w:val="12"/>
        <w:tblW w:w="8522" w:type="dxa"/>
        <w:tblInd w:w="0" w:type="dxa"/>
        <w:tblLayout w:type="fixed"/>
        <w:tblCellMar>
          <w:top w:w="0" w:type="dxa"/>
          <w:left w:w="108" w:type="dxa"/>
          <w:bottom w:w="0" w:type="dxa"/>
          <w:right w:w="108" w:type="dxa"/>
        </w:tblCellMar>
      </w:tblPr>
      <w:tblGrid>
        <w:gridCol w:w="4061"/>
        <w:gridCol w:w="1009"/>
        <w:gridCol w:w="1104"/>
        <w:gridCol w:w="891"/>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0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91"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2022年中央中医药传承与发展补助资金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15.00</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15.00</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2022年中央医疗卫生机构能力建设补助资金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10.00</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10.00</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79.04</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79.04</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65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2022年中央重大传染病补助资金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1.9</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eastAsia="仿宋_GB2312" w:cs="Calibri"/>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2022年市级基本公共卫生服务配套资金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48.1</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48.1</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2022年州级基本公共卫生服务配套资金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9.62</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9.62</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18.36</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18.36</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213.41</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213.41</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60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403.87</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403.87</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51.68</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51.68</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30.35</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30.35</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65.14</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65.14</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tabs>
                <w:tab w:val="left" w:pos="823"/>
              </w:tabs>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2021年7-12月抽调核酸采样医务人员劳务费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12.81</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12.81</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959.28</w:t>
            </w:r>
          </w:p>
        </w:tc>
        <w:tc>
          <w:tcPr>
            <w:tcW w:w="110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959.28</w:t>
            </w:r>
          </w:p>
        </w:tc>
        <w:tc>
          <w:tcPr>
            <w:tcW w:w="89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w:t>
      </w:r>
      <w:r>
        <w:rPr>
          <w:rFonts w:hint="eastAsia" w:ascii="仿宋_GB2312" w:eastAsia="仿宋_GB2312" w:cs="仿宋"/>
          <w:color w:val="000000" w:themeColor="text1"/>
          <w:sz w:val="32"/>
          <w:szCs w:val="32"/>
          <w:lang w:val="en-US" w:eastAsia="zh-CN"/>
          <w14:textFill>
            <w14:solidFill>
              <w14:schemeClr w14:val="tx1"/>
            </w14:solidFill>
          </w14:textFill>
        </w:rPr>
        <w:t>946.47万元，全年</w:t>
      </w:r>
      <w:r>
        <w:rPr>
          <w:rFonts w:hint="eastAsia" w:ascii="仿宋_GB2312" w:eastAsia="仿宋_GB2312" w:cs="仿宋"/>
          <w:color w:val="000000" w:themeColor="text1"/>
          <w:sz w:val="32"/>
          <w:szCs w:val="32"/>
          <w14:textFill>
            <w14:solidFill>
              <w14:schemeClr w14:val="tx1"/>
            </w14:solidFill>
          </w14:textFill>
        </w:rPr>
        <w:t>实际使用</w:t>
      </w:r>
      <w:r>
        <w:rPr>
          <w:rFonts w:hint="eastAsia" w:ascii="仿宋_GB2312" w:eastAsia="仿宋_GB2312" w:cs="仿宋"/>
          <w:color w:val="000000" w:themeColor="text1"/>
          <w:sz w:val="32"/>
          <w:szCs w:val="32"/>
          <w:lang w:val="en-US" w:eastAsia="zh-CN"/>
        </w:rPr>
        <w:t>946.47</w:t>
      </w:r>
      <w:r>
        <w:rPr>
          <w:rFonts w:hint="eastAsia" w:ascii="仿宋_GB2312" w:eastAsia="仿宋_GB2312" w:cs="仿宋"/>
          <w:color w:val="000000" w:themeColor="text1"/>
          <w:sz w:val="32"/>
          <w:szCs w:val="32"/>
          <w14:textFill>
            <w14:solidFill>
              <w14:schemeClr w14:val="tx1"/>
            </w14:solidFill>
          </w14:textFill>
        </w:rPr>
        <w:t>万元,结转</w:t>
      </w:r>
      <w:r>
        <w:rPr>
          <w:rFonts w:hint="eastAsia" w:ascii="仿宋_GB2312" w:eastAsia="仿宋_GB2312" w:cs="仿宋"/>
          <w:color w:val="000000" w:themeColor="text1"/>
          <w:sz w:val="32"/>
          <w:szCs w:val="32"/>
          <w:lang w:val="en-US" w:eastAsia="zh-CN"/>
          <w14:textFill>
            <w14:solidFill>
              <w14:schemeClr w14:val="tx1"/>
            </w14:solidFill>
          </w14:textFill>
        </w:rPr>
        <w:t>0.00</w:t>
      </w:r>
      <w:r>
        <w:rPr>
          <w:rFonts w:hint="eastAsia" w:ascii="仿宋_GB2312" w:eastAsia="仿宋_GB2312" w:cs="仿宋"/>
          <w:color w:val="000000" w:themeColor="text1"/>
          <w:sz w:val="32"/>
          <w:szCs w:val="32"/>
          <w14:textFill>
            <w14:solidFill>
              <w14:schemeClr w14:val="tx1"/>
            </w14:solidFill>
          </w14:textFill>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color w:val="000000" w:themeColor="text1"/>
          <w:sz w:val="32"/>
          <w:szCs w:val="32"/>
          <w:lang w:val="en-US" w:eastAsia="zh-CN"/>
        </w:rPr>
        <w:t>946.47</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100.0</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昌吉市北京南路社区卫生服务中心</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昌吉市北京南路社区卫生服务中心</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昌吉市北京南路社区卫生服务中心</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12</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昌吉市北京南路社区卫生服务中心</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昌吉市北京南路社区卫生服务中心</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hint="eastAsia" w:ascii="仿宋_GB2312" w:eastAsia="仿宋_GB2312"/>
          <w:b/>
          <w:bCs/>
          <w:sz w:val="32"/>
          <w:szCs w:val="32"/>
        </w:rPr>
      </w:pPr>
      <w:r>
        <w:rPr>
          <w:rFonts w:hint="eastAsia" w:ascii="仿宋_GB2312" w:eastAsia="仿宋_GB2312"/>
          <w:b/>
          <w:bCs/>
          <w:sz w:val="32"/>
          <w:szCs w:val="32"/>
        </w:rPr>
        <w:t>4.项目效率性分析</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w:t>
      </w:r>
      <w:r>
        <w:rPr>
          <w:rFonts w:hint="eastAsia" w:hAnsi="仿宋" w:cs="Times New Roman"/>
          <w:b w:val="0"/>
          <w:bCs w:val="0"/>
          <w:kern w:val="2"/>
          <w:sz w:val="32"/>
          <w:szCs w:val="32"/>
          <w:lang w:val="en-US" w:eastAsia="zh-CN" w:bidi="ar-SA"/>
        </w:rPr>
        <w:t>中央</w:t>
      </w:r>
      <w:r>
        <w:rPr>
          <w:rFonts w:hint="eastAsia" w:ascii="仿宋_GB2312" w:hAnsi="仿宋" w:eastAsia="仿宋_GB2312" w:cs="Times New Roman"/>
          <w:b w:val="0"/>
          <w:bCs w:val="0"/>
          <w:kern w:val="2"/>
          <w:sz w:val="32"/>
          <w:szCs w:val="32"/>
          <w:lang w:val="en-US" w:eastAsia="zh-CN" w:bidi="ar-SA"/>
        </w:rPr>
        <w:t>重大</w:t>
      </w:r>
      <w:r>
        <w:rPr>
          <w:rFonts w:hint="eastAsia" w:hAnsi="仿宋" w:cs="Times New Roman"/>
          <w:b w:val="0"/>
          <w:bCs w:val="0"/>
          <w:kern w:val="2"/>
          <w:sz w:val="32"/>
          <w:szCs w:val="32"/>
          <w:lang w:val="en-US" w:eastAsia="zh-CN" w:bidi="ar-SA"/>
        </w:rPr>
        <w:t>传染病</w:t>
      </w:r>
      <w:r>
        <w:rPr>
          <w:rFonts w:hint="eastAsia" w:ascii="仿宋_GB2312" w:hAnsi="仿宋" w:eastAsia="仿宋_GB2312" w:cs="Times New Roman"/>
          <w:b w:val="0"/>
          <w:bCs w:val="0"/>
          <w:kern w:val="2"/>
          <w:sz w:val="32"/>
          <w:szCs w:val="32"/>
          <w:lang w:val="en-US" w:eastAsia="zh-CN" w:bidi="ar-SA"/>
        </w:rPr>
        <w:t>补助资金项目已完成，实施进度为100%，达到预期完成质量要求；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2022年自治区公共卫生服务（地方公共卫生）补助资金（全民健康体检资金)项目已完成，实施进度为100%，达到预期完成质量要求；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年中央基本公共卫生服务补助资金（第二批）项目已完成，实施进度为100%，达到预期完成质量要求；</w:t>
      </w:r>
    </w:p>
    <w:p>
      <w:pPr>
        <w:pStyle w:val="4"/>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年中央基本药物制度补助资金（第二批）项目已完成，实施进度为100%，达到预期完成质量要求；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年自治区基本公共卫生服务补助资金预算项目已完成，实施进度为100%，达到预期完成质量要求；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年自治区基本公共卫生服务补助资金（第二批）项目已完成，实施进度为100%，达到预期完成质量要求；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w:t>
      </w:r>
      <w:r>
        <w:rPr>
          <w:rFonts w:hint="eastAsia" w:hAnsi="仿宋" w:cs="Times New Roman"/>
          <w:b w:val="0"/>
          <w:bCs w:val="0"/>
          <w:kern w:val="2"/>
          <w:sz w:val="32"/>
          <w:szCs w:val="32"/>
          <w:lang w:val="en-US" w:eastAsia="zh-CN" w:bidi="ar-SA"/>
        </w:rPr>
        <w:t>州级</w:t>
      </w:r>
      <w:r>
        <w:rPr>
          <w:rFonts w:hint="eastAsia" w:ascii="仿宋_GB2312" w:hAnsi="仿宋" w:eastAsia="仿宋_GB2312" w:cs="Times New Roman"/>
          <w:b w:val="0"/>
          <w:bCs w:val="0"/>
          <w:kern w:val="2"/>
          <w:sz w:val="32"/>
          <w:szCs w:val="32"/>
          <w:lang w:val="en-US" w:eastAsia="zh-CN" w:bidi="ar-SA"/>
        </w:rPr>
        <w:t>基本公共卫生服务补助资金项目已完成，实施进度为100%，达到预期完成质量要求；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w:t>
      </w:r>
      <w:r>
        <w:rPr>
          <w:rFonts w:hint="eastAsia" w:hAnsi="仿宋" w:cs="Times New Roman"/>
          <w:b w:val="0"/>
          <w:bCs w:val="0"/>
          <w:kern w:val="2"/>
          <w:sz w:val="32"/>
          <w:szCs w:val="32"/>
          <w:lang w:val="en-US" w:eastAsia="zh-CN" w:bidi="ar-SA"/>
        </w:rPr>
        <w:t>市级</w:t>
      </w:r>
      <w:r>
        <w:rPr>
          <w:rFonts w:hint="eastAsia" w:ascii="仿宋_GB2312" w:hAnsi="仿宋" w:eastAsia="仿宋_GB2312" w:cs="Times New Roman"/>
          <w:b w:val="0"/>
          <w:bCs w:val="0"/>
          <w:kern w:val="2"/>
          <w:sz w:val="32"/>
          <w:szCs w:val="32"/>
          <w:lang w:val="en-US" w:eastAsia="zh-CN" w:bidi="ar-SA"/>
        </w:rPr>
        <w:t>基本公共卫生服务补助资金项目已完成，实施进度为100%，达到预期完成质量要求；</w:t>
      </w:r>
    </w:p>
    <w:p>
      <w:pPr>
        <w:pStyle w:val="4"/>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w:t>
      </w:r>
      <w:r>
        <w:rPr>
          <w:rFonts w:hint="eastAsia" w:hAnsi="仿宋" w:cs="Times New Roman"/>
          <w:b w:val="0"/>
          <w:bCs w:val="0"/>
          <w:kern w:val="2"/>
          <w:sz w:val="32"/>
          <w:szCs w:val="32"/>
          <w:lang w:val="en-US" w:eastAsia="zh-CN" w:bidi="ar-SA"/>
        </w:rPr>
        <w:t>医疗卫生机构能力建设</w:t>
      </w:r>
      <w:r>
        <w:rPr>
          <w:rFonts w:hint="eastAsia" w:ascii="仿宋_GB2312" w:hAnsi="仿宋" w:eastAsia="仿宋_GB2312" w:cs="Times New Roman"/>
          <w:b w:val="0"/>
          <w:bCs w:val="0"/>
          <w:kern w:val="2"/>
          <w:sz w:val="32"/>
          <w:szCs w:val="32"/>
          <w:lang w:val="en-US" w:eastAsia="zh-CN" w:bidi="ar-SA"/>
        </w:rPr>
        <w:t>补助资金项目已完成，实施进度为100%，达到预期完成质量要求；</w:t>
      </w:r>
    </w:p>
    <w:p>
      <w:pPr>
        <w:pStyle w:val="4"/>
        <w:rPr>
          <w:rFonts w:hint="eastAsia"/>
          <w:lang w:val="en-US" w:eastAsia="zh-CN"/>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w:t>
      </w:r>
      <w:r>
        <w:rPr>
          <w:rFonts w:hint="eastAsia" w:hAnsi="仿宋" w:cs="Times New Roman"/>
          <w:b w:val="0"/>
          <w:bCs w:val="0"/>
          <w:kern w:val="2"/>
          <w:sz w:val="32"/>
          <w:szCs w:val="32"/>
          <w:lang w:val="en-US" w:eastAsia="zh-CN" w:bidi="ar-SA"/>
        </w:rPr>
        <w:t>中医药传承与发展</w:t>
      </w:r>
      <w:r>
        <w:rPr>
          <w:rFonts w:hint="eastAsia" w:ascii="仿宋_GB2312" w:hAnsi="仿宋" w:eastAsia="仿宋_GB2312" w:cs="Times New Roman"/>
          <w:b w:val="0"/>
          <w:bCs w:val="0"/>
          <w:kern w:val="2"/>
          <w:sz w:val="32"/>
          <w:szCs w:val="32"/>
          <w:lang w:val="en-US" w:eastAsia="zh-CN" w:bidi="ar-SA"/>
        </w:rPr>
        <w:t>补助资金项目已完成，实施进度为100%，达到预期完成质量要求</w:t>
      </w:r>
      <w:r>
        <w:rPr>
          <w:rFonts w:hint="eastAsia" w:hAnsi="仿宋" w:cs="Times New Roman"/>
          <w:b w:val="0"/>
          <w:bCs w:val="0"/>
          <w:kern w:val="2"/>
          <w:sz w:val="32"/>
          <w:szCs w:val="32"/>
          <w:lang w:val="en-US" w:eastAsia="zh-CN" w:bidi="ar-SA"/>
        </w:rPr>
        <w:t>。</w:t>
      </w:r>
    </w:p>
    <w:p>
      <w:pPr>
        <w:ind w:firstLine="640"/>
        <w:rPr>
          <w:rFonts w:ascii="仿宋_GB2312" w:eastAsia="仿宋_GB2312"/>
          <w:b/>
          <w:bCs/>
          <w:sz w:val="32"/>
          <w:szCs w:val="32"/>
        </w:rPr>
      </w:pPr>
      <w:r>
        <w:rPr>
          <w:rFonts w:hint="eastAsia" w:ascii="仿宋_GB2312" w:eastAsia="仿宋_GB2312"/>
          <w:b/>
          <w:bCs/>
          <w:sz w:val="32"/>
          <w:szCs w:val="32"/>
        </w:rPr>
        <w:t>5.项目效益性分析</w:t>
      </w:r>
    </w:p>
    <w:p>
      <w:pPr>
        <w:spacing w:line="560" w:lineRule="exact"/>
        <w:ind w:firstLine="640"/>
        <w:jc w:val="left"/>
        <w:rPr>
          <w:rFonts w:hint="eastAsia" w:ascii="仿宋_GB2312" w:hAnsi="宋体" w:eastAsia="仿宋_GB2312"/>
          <w:color w:val="333333"/>
          <w:sz w:val="32"/>
          <w:szCs w:val="32"/>
        </w:rPr>
      </w:pP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rPr>
        <w:t>年，我单位积极开展了</w:t>
      </w:r>
      <w:r>
        <w:rPr>
          <w:rFonts w:hint="eastAsia" w:ascii="仿宋_GB2312" w:hAnsi="宋体" w:eastAsia="仿宋_GB2312" w:cs="宋体"/>
          <w:color w:val="333333"/>
          <w:kern w:val="0"/>
          <w:sz w:val="32"/>
          <w:szCs w:val="32"/>
          <w:lang w:val="en-US" w:eastAsia="zh-CN"/>
        </w:rPr>
        <w:t>基本公共卫生服务项目和基本药物</w:t>
      </w:r>
      <w:r>
        <w:rPr>
          <w:rFonts w:hint="eastAsia" w:ascii="仿宋_GB2312" w:hAnsi="宋体" w:eastAsia="仿宋_GB2312" w:cs="宋体"/>
          <w:color w:val="333333"/>
          <w:kern w:val="0"/>
          <w:sz w:val="32"/>
          <w:szCs w:val="32"/>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lang w:eastAsia="zh-CN"/>
        </w:rPr>
        <w:t>，</w:t>
      </w:r>
      <w:r>
        <w:rPr>
          <w:rFonts w:hint="eastAsia" w:ascii="仿宋_GB2312" w:hAnsi="宋体" w:eastAsia="仿宋_GB2312"/>
          <w:color w:val="333333"/>
          <w:sz w:val="32"/>
          <w:szCs w:val="32"/>
        </w:rPr>
        <w:t>引导和帮助</w:t>
      </w:r>
      <w:r>
        <w:rPr>
          <w:rFonts w:hint="eastAsia" w:ascii="仿宋_GB2312" w:hAnsi="宋体" w:eastAsia="仿宋_GB2312"/>
          <w:color w:val="333333"/>
          <w:sz w:val="32"/>
          <w:szCs w:val="32"/>
          <w:lang w:val="en-US" w:eastAsia="zh-CN"/>
        </w:rPr>
        <w:t>辖区</w:t>
      </w:r>
      <w:r>
        <w:rPr>
          <w:rFonts w:hint="eastAsia" w:ascii="仿宋_GB2312" w:hAnsi="宋体" w:eastAsia="仿宋_GB2312"/>
          <w:color w:val="333333"/>
          <w:sz w:val="32"/>
          <w:szCs w:val="32"/>
        </w:rPr>
        <w:t>农民建立</w:t>
      </w:r>
      <w:r>
        <w:rPr>
          <w:rFonts w:hint="eastAsia" w:ascii="仿宋_GB2312" w:hAnsi="宋体" w:eastAsia="仿宋_GB2312"/>
          <w:color w:val="333333"/>
          <w:sz w:val="32"/>
          <w:szCs w:val="32"/>
          <w:lang w:val="en-US" w:eastAsia="zh-CN"/>
        </w:rPr>
        <w:t>了</w:t>
      </w:r>
      <w:r>
        <w:rPr>
          <w:rFonts w:hint="eastAsia" w:ascii="仿宋_GB2312" w:hAnsi="宋体" w:eastAsia="仿宋_GB2312"/>
          <w:color w:val="333333"/>
          <w:sz w:val="32"/>
          <w:szCs w:val="32"/>
        </w:rPr>
        <w:t>良好的卫生习惯。</w:t>
      </w:r>
    </w:p>
    <w:p>
      <w:pPr>
        <w:pStyle w:val="3"/>
        <w:ind w:firstLine="640"/>
        <w:rPr>
          <w:rFonts w:ascii="黑体" w:hAnsi="黑体"/>
          <w:b w:val="0"/>
          <w:sz w:val="32"/>
          <w:szCs w:val="32"/>
        </w:rPr>
      </w:pPr>
      <w:r>
        <w:rPr>
          <w:rFonts w:hint="eastAsia" w:ascii="黑体" w:hAnsi="黑体"/>
          <w:b w:val="0"/>
          <w:sz w:val="32"/>
          <w:szCs w:val="32"/>
        </w:rPr>
        <w:t>四、资产管理情况</w:t>
      </w:r>
    </w:p>
    <w:p>
      <w:pPr>
        <w:pStyle w:val="2"/>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年12月31日，我单位资产账面总额为</w:t>
      </w:r>
      <w:r>
        <w:rPr>
          <w:rFonts w:hint="eastAsia" w:ascii="仿宋_GB2312" w:eastAsia="仿宋_GB2312" w:cs="Times New Roman"/>
          <w:kern w:val="2"/>
          <w:sz w:val="32"/>
          <w:szCs w:val="32"/>
          <w:highlight w:val="none"/>
          <w:lang w:val="en-US" w:eastAsia="zh-CN" w:bidi="ar-SA"/>
        </w:rPr>
        <w:t>961.02</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增加71.92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w:t>
      </w:r>
      <w:r>
        <w:rPr>
          <w:rFonts w:hint="eastAsia" w:ascii="仿宋_GB2312" w:eastAsia="仿宋_GB2312"/>
          <w:color w:val="FF0000"/>
          <w:sz w:val="32"/>
          <w:szCs w:val="32"/>
          <w:highlight w:val="none"/>
          <w:lang w:val="en-US" w:eastAsia="zh-CN"/>
        </w:rPr>
        <w:t>8.1</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年初，流动资产总额为</w:t>
      </w:r>
      <w:r>
        <w:rPr>
          <w:rFonts w:hint="eastAsia" w:ascii="仿宋_GB2312" w:eastAsia="仿宋_GB2312" w:cs="Times New Roman"/>
          <w:kern w:val="2"/>
          <w:sz w:val="32"/>
          <w:szCs w:val="32"/>
          <w:highlight w:val="none"/>
          <w:lang w:val="en-US" w:eastAsia="zh-CN" w:bidi="ar-SA"/>
        </w:rPr>
        <w:t>101.94</w:t>
      </w:r>
      <w:r>
        <w:rPr>
          <w:rFonts w:hint="eastAsia" w:ascii="仿宋_GB2312" w:eastAsia="仿宋_GB2312"/>
          <w:sz w:val="32"/>
          <w:szCs w:val="32"/>
          <w:highlight w:val="none"/>
        </w:rPr>
        <w:t>万元，年末总额为</w:t>
      </w:r>
      <w:r>
        <w:rPr>
          <w:rFonts w:hint="eastAsia" w:ascii="仿宋_GB2312" w:eastAsia="仿宋_GB2312" w:cs="Times New Roman"/>
          <w:kern w:val="2"/>
          <w:sz w:val="32"/>
          <w:szCs w:val="32"/>
          <w:highlight w:val="none"/>
          <w:lang w:val="en-US" w:eastAsia="zh-CN" w:bidi="ar-SA"/>
        </w:rPr>
        <w:t>270.54</w:t>
      </w:r>
      <w:r>
        <w:rPr>
          <w:rFonts w:hint="eastAsia" w:ascii="仿宋_GB2312" w:eastAsia="仿宋_GB2312"/>
          <w:sz w:val="32"/>
          <w:szCs w:val="32"/>
          <w:highlight w:val="none"/>
        </w:rPr>
        <w:t>万元，较年初流动资产</w:t>
      </w:r>
      <w:r>
        <w:rPr>
          <w:rFonts w:hint="eastAsia" w:ascii="仿宋_GB2312" w:eastAsia="仿宋_GB2312"/>
          <w:sz w:val="32"/>
          <w:szCs w:val="32"/>
          <w:highlight w:val="none"/>
          <w:lang w:val="en-US" w:eastAsia="zh-CN"/>
        </w:rPr>
        <w:t>增加168.6</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w:t>
      </w:r>
      <w:r>
        <w:rPr>
          <w:rFonts w:hint="eastAsia" w:ascii="仿宋_GB2312" w:eastAsia="仿宋_GB2312"/>
          <w:color w:val="auto"/>
          <w:sz w:val="32"/>
          <w:szCs w:val="32"/>
          <w:highlight w:val="none"/>
          <w:lang w:val="en-US" w:eastAsia="zh-CN"/>
        </w:rPr>
        <w:t>长165.4</w:t>
      </w:r>
      <w:r>
        <w:rPr>
          <w:rFonts w:hint="eastAsia" w:ascii="仿宋_GB2312" w:eastAsia="仿宋_GB2312"/>
          <w:color w:val="auto"/>
          <w:sz w:val="32"/>
          <w:szCs w:val="32"/>
          <w:highlight w:val="none"/>
        </w:rPr>
        <w:t>%，</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应收账款增加</w:t>
      </w:r>
      <w:r>
        <w:rPr>
          <w:rFonts w:hint="eastAsia" w:ascii="仿宋_GB2312" w:eastAsia="仿宋_GB2312"/>
          <w:color w:val="000000" w:themeColor="text1"/>
          <w:sz w:val="32"/>
          <w:szCs w:val="32"/>
          <w:highlight w:val="none"/>
          <w:lang w:val="en-US" w:eastAsia="zh-CN"/>
        </w:rPr>
        <w:t>。</w:t>
      </w:r>
    </w:p>
    <w:p>
      <w:pPr>
        <w:ind w:firstLine="640"/>
        <w:rPr>
          <w:rFonts w:hint="eastAsia" w:ascii="仿宋_GB2312" w:eastAsia="仿宋_GB2312"/>
          <w:sz w:val="32"/>
          <w:szCs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年初，固定资产总额为</w:t>
      </w:r>
      <w:r>
        <w:rPr>
          <w:rFonts w:hint="eastAsia" w:ascii="仿宋_GB2312" w:eastAsia="仿宋_GB2312"/>
          <w:sz w:val="32"/>
          <w:szCs w:val="32"/>
          <w:highlight w:val="none"/>
          <w:lang w:val="en-US" w:eastAsia="zh-CN"/>
        </w:rPr>
        <w:t>986.41</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1023.88</w:t>
      </w:r>
      <w:r>
        <w:rPr>
          <w:rFonts w:hint="eastAsia" w:ascii="仿宋_GB2312" w:eastAsia="仿宋_GB2312"/>
          <w:sz w:val="32"/>
          <w:szCs w:val="32"/>
          <w:highlight w:val="none"/>
        </w:rPr>
        <w:t>万元，较年初固定资产</w:t>
      </w:r>
      <w:r>
        <w:rPr>
          <w:rFonts w:hint="eastAsia" w:ascii="仿宋_GB2312" w:eastAsia="仿宋_GB2312"/>
          <w:sz w:val="32"/>
          <w:szCs w:val="32"/>
          <w:highlight w:val="none"/>
          <w:lang w:val="en-US" w:eastAsia="zh-CN"/>
        </w:rPr>
        <w:t>增加37.47</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增长3.8</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本年购置了零星办公设备及家具</w:t>
      </w:r>
      <w:r>
        <w:rPr>
          <w:rFonts w:hint="eastAsia" w:ascii="仿宋_GB2312" w:eastAsia="仿宋_GB2312"/>
          <w:sz w:val="32"/>
          <w:szCs w:val="32"/>
          <w:lang w:val="en-US" w:eastAsia="zh-CN"/>
        </w:rPr>
        <w:t>用具</w:t>
      </w:r>
      <w:r>
        <w:rPr>
          <w:rFonts w:hint="eastAsia" w:ascii="仿宋_GB2312" w:eastAsia="仿宋_GB2312"/>
          <w:sz w:val="32"/>
          <w:szCs w:val="32"/>
        </w:rPr>
        <w:t>。</w:t>
      </w:r>
    </w:p>
    <w:p>
      <w:pPr>
        <w:pStyle w:val="2"/>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昌吉市北京南路社区卫生服务中心</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昌吉市北京南路社区卫生服务中心</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16</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16</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pStyle w:val="4"/>
        <w:ind w:firstLine="640"/>
        <w:rPr>
          <w:sz w:val="32"/>
          <w:highlight w:val="yellow"/>
        </w:rPr>
      </w:pPr>
      <w:r>
        <w:rPr>
          <w:rFonts w:hint="eastAsia"/>
          <w:sz w:val="32"/>
          <w:highlight w:val="yellow"/>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rPr>
        <w:t>“</w:t>
      </w:r>
      <w:r>
        <w:rPr>
          <w:rFonts w:hint="eastAsia" w:ascii="仿宋_GB2312" w:eastAsia="仿宋_GB2312"/>
          <w:bCs/>
          <w:spacing w:val="-4"/>
          <w:sz w:val="32"/>
          <w:szCs w:val="32"/>
          <w:lang w:val="en-US" w:eastAsia="zh-CN"/>
        </w:rPr>
        <w:t>年均门急诊人次数</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&gt;=</w:t>
      </w:r>
      <w:r>
        <w:rPr>
          <w:rFonts w:hint="eastAsia" w:ascii="仿宋_GB2312" w:eastAsia="仿宋_GB2312"/>
          <w:bCs/>
          <w:color w:val="auto"/>
          <w:spacing w:val="-4"/>
          <w:sz w:val="32"/>
          <w:szCs w:val="32"/>
          <w:lang w:val="en-US" w:eastAsia="zh-CN"/>
        </w:rPr>
        <w:t>60000.00人次</w:t>
      </w:r>
      <w:r>
        <w:rPr>
          <w:rFonts w:hint="eastAsia" w:ascii="仿宋_GB2312" w:eastAsia="仿宋_GB2312"/>
          <w:bCs/>
          <w:color w:val="auto"/>
          <w:spacing w:val="-4"/>
          <w:sz w:val="32"/>
          <w:szCs w:val="32"/>
        </w:rPr>
        <w:t>”，实</w:t>
      </w:r>
      <w:r>
        <w:rPr>
          <w:rFonts w:hint="eastAsia" w:ascii="仿宋_GB2312" w:eastAsia="仿宋_GB2312"/>
          <w:bCs/>
          <w:color w:val="auto"/>
          <w:spacing w:val="-4"/>
          <w:sz w:val="32"/>
          <w:szCs w:val="32"/>
          <w:lang w:val="en-US" w:eastAsia="zh-CN"/>
        </w:rPr>
        <w:t>际完成指标值为“60000人次”</w:t>
      </w:r>
      <w:r>
        <w:rPr>
          <w:rFonts w:hint="eastAsia" w:ascii="仿宋_GB2312" w:eastAsia="仿宋_GB2312"/>
          <w:bCs/>
          <w:spacing w:val="-4"/>
          <w:sz w:val="32"/>
          <w:szCs w:val="32"/>
          <w:lang w:val="en-US" w:eastAsia="zh-CN"/>
        </w:rPr>
        <w:t>，指标完成率为100.0%;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“保障办公人员数量”指</w:t>
      </w:r>
      <w:r>
        <w:rPr>
          <w:rFonts w:hint="eastAsia" w:ascii="仿宋_GB2312" w:eastAsia="仿宋_GB2312"/>
          <w:bCs/>
          <w:spacing w:val="-4"/>
          <w:sz w:val="32"/>
          <w:szCs w:val="32"/>
        </w:rPr>
        <w:t>标：预期指标值为“</w:t>
      </w:r>
      <w:r>
        <w:rPr>
          <w:rFonts w:hint="eastAsia" w:ascii="仿宋_GB2312" w:eastAsia="仿宋_GB2312"/>
          <w:bCs/>
          <w:spacing w:val="-4"/>
          <w:sz w:val="32"/>
          <w:szCs w:val="32"/>
          <w:lang w:val="en-US" w:eastAsia="zh-CN"/>
        </w:rPr>
        <w:t>=37人</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37人</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“公务保障用车数量”指</w:t>
      </w:r>
      <w:r>
        <w:rPr>
          <w:rFonts w:hint="eastAsia" w:ascii="仿宋_GB2312" w:eastAsia="仿宋_GB2312"/>
          <w:bCs/>
          <w:spacing w:val="-4"/>
          <w:sz w:val="32"/>
          <w:szCs w:val="32"/>
        </w:rPr>
        <w:t>标：预期指标值为“</w:t>
      </w:r>
      <w:r>
        <w:rPr>
          <w:rFonts w:hint="eastAsia" w:ascii="仿宋_GB2312" w:eastAsia="仿宋_GB2312" w:cs="Times New Roman"/>
          <w:bCs/>
          <w:spacing w:val="-4"/>
          <w:sz w:val="32"/>
          <w:szCs w:val="32"/>
        </w:rPr>
        <w:t>=1.00辆</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1辆</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“房屋建筑物供暖面积”指</w:t>
      </w:r>
      <w:r>
        <w:rPr>
          <w:rFonts w:hint="eastAsia" w:ascii="仿宋_GB2312" w:eastAsia="仿宋_GB2312"/>
          <w:bCs/>
          <w:spacing w:val="-4"/>
          <w:sz w:val="32"/>
          <w:szCs w:val="32"/>
        </w:rPr>
        <w:t>标：预期指标值为“</w:t>
      </w:r>
      <w:r>
        <w:rPr>
          <w:rFonts w:hint="eastAsia" w:ascii="仿宋_GB2312" w:eastAsia="仿宋_GB2312"/>
          <w:bCs/>
          <w:spacing w:val="-4"/>
          <w:sz w:val="32"/>
          <w:szCs w:val="32"/>
          <w:lang w:val="en-US" w:eastAsia="zh-CN"/>
        </w:rPr>
        <w:t>&gt;=2000平方米</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2000平方米</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left="0" w:leftChars="0" w:firstLine="624" w:firstLineChars="20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“基本药物种类配备种类”指标：预期指标值为“&gt;=250.00种”，实际完成指标值为“250.00种”，指标完成率为100.0%;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“辖区服务人口数”指标：预期指标值为“&gt;=68689.00人”，实际完成指标值为“68689.00人”，指标完成率为100.0%;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bCs/>
          <w:color w:val="auto"/>
          <w:spacing w:val="-4"/>
          <w:sz w:val="32"/>
          <w:szCs w:val="32"/>
          <w:highlight w:val="none"/>
          <w:lang w:val="en-US" w:eastAsia="zh-CN"/>
        </w:rPr>
        <w:t>“门诊处方合格率”指标：预期指标值为“=100.0%”，实际完成指标值为“100.0%”，指标完成率为100.0</w:t>
      </w:r>
      <w:r>
        <w:rPr>
          <w:rFonts w:hint="eastAsia" w:ascii="仿宋_GB2312" w:eastAsia="仿宋_GB2312"/>
          <w:color w:val="auto"/>
          <w:sz w:val="32"/>
          <w:szCs w:val="32"/>
          <w:highlight w:val="none"/>
        </w:rPr>
        <w:t>%;</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“资金使用合规率”指标：预期指标值为“=</w:t>
      </w:r>
      <w:r>
        <w:rPr>
          <w:rFonts w:hint="eastAsia" w:ascii="仿宋_GB2312" w:eastAsia="仿宋_GB2312" w:cs="Times New Roman"/>
          <w:b w:val="0"/>
          <w:bCs/>
          <w:color w:val="auto"/>
          <w:spacing w:val="-4"/>
          <w:kern w:val="2"/>
          <w:sz w:val="32"/>
          <w:szCs w:val="32"/>
          <w:highlight w:val="none"/>
          <w:lang w:val="en-US" w:eastAsia="zh-CN" w:bidi="ar-SA"/>
        </w:rPr>
        <w:t>100</w:t>
      </w:r>
      <w:r>
        <w:rPr>
          <w:rFonts w:hint="eastAsia" w:ascii="仿宋_GB2312" w:hAnsi="仿宋" w:eastAsia="仿宋_GB2312" w:cs="Times New Roman"/>
          <w:b w:val="0"/>
          <w:bCs/>
          <w:color w:val="auto"/>
          <w:spacing w:val="-4"/>
          <w:kern w:val="2"/>
          <w:sz w:val="32"/>
          <w:szCs w:val="32"/>
          <w:highlight w:val="none"/>
          <w:lang w:val="en-US" w:eastAsia="zh-CN" w:bidi="ar-SA"/>
        </w:rPr>
        <w:t>.0%”，实际完成指标值为“</w:t>
      </w:r>
      <w:r>
        <w:rPr>
          <w:rFonts w:hint="eastAsia" w:ascii="仿宋_GB2312" w:eastAsia="仿宋_GB2312" w:cs="Times New Roman"/>
          <w:b w:val="0"/>
          <w:bCs/>
          <w:color w:val="auto"/>
          <w:spacing w:val="-4"/>
          <w:kern w:val="2"/>
          <w:sz w:val="32"/>
          <w:szCs w:val="32"/>
          <w:highlight w:val="none"/>
          <w:lang w:val="en-US" w:eastAsia="zh-CN" w:bidi="ar-SA"/>
        </w:rPr>
        <w:t>100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“公用经费支付及时率”指标：</w:t>
      </w:r>
      <w:r>
        <w:rPr>
          <w:rFonts w:hint="eastAsia" w:ascii="仿宋_GB2312" w:eastAsia="仿宋_GB2312"/>
          <w:bCs/>
          <w:color w:val="auto"/>
          <w:spacing w:val="-4"/>
          <w:sz w:val="32"/>
          <w:szCs w:val="32"/>
          <w:highlight w:val="none"/>
          <w:lang w:val="en-US" w:eastAsia="zh-CN"/>
        </w:rPr>
        <w:t>预期指标值为“=100.0%”，实际完成指标值为“100.0%”，指标完成率为100.0</w:t>
      </w:r>
      <w:r>
        <w:rPr>
          <w:rFonts w:hint="eastAsia" w:ascii="仿宋_GB2312" w:eastAsia="仿宋_GB2312"/>
          <w:color w:val="auto"/>
          <w:sz w:val="32"/>
          <w:szCs w:val="32"/>
          <w:highlight w:val="none"/>
        </w:rPr>
        <w:t>%;</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“接诊及时率”指标：</w:t>
      </w:r>
      <w:r>
        <w:rPr>
          <w:rFonts w:hint="eastAsia" w:ascii="仿宋_GB2312" w:eastAsia="仿宋_GB2312"/>
          <w:bCs/>
          <w:color w:val="auto"/>
          <w:spacing w:val="-4"/>
          <w:sz w:val="32"/>
          <w:szCs w:val="32"/>
          <w:highlight w:val="none"/>
          <w:lang w:val="en-US" w:eastAsia="zh-CN"/>
        </w:rPr>
        <w:t>预期指标值为“=100.0%”，实际完成指标值为“100.0%”，指标完成率为100.0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“人员经费”指标：预期指标值为“&lt;=</w:t>
      </w:r>
      <w:r>
        <w:rPr>
          <w:rFonts w:hint="eastAsia" w:ascii="仿宋_GB2312" w:eastAsia="仿宋_GB2312" w:cs="Times New Roman"/>
          <w:b w:val="0"/>
          <w:bCs/>
          <w:color w:val="auto"/>
          <w:spacing w:val="-4"/>
          <w:kern w:val="2"/>
          <w:sz w:val="32"/>
          <w:szCs w:val="32"/>
          <w:highlight w:val="none"/>
          <w:lang w:val="en-US" w:eastAsia="zh-CN" w:bidi="ar-SA"/>
        </w:rPr>
        <w:t>459.57</w:t>
      </w:r>
      <w:r>
        <w:rPr>
          <w:rFonts w:hint="eastAsia" w:ascii="仿宋_GB2312" w:hAnsi="仿宋" w:eastAsia="仿宋_GB2312" w:cs="Times New Roman"/>
          <w:b w:val="0"/>
          <w:bCs/>
          <w:color w:val="auto"/>
          <w:spacing w:val="-4"/>
          <w:kern w:val="2"/>
          <w:sz w:val="32"/>
          <w:szCs w:val="32"/>
          <w:highlight w:val="none"/>
          <w:lang w:val="en-US" w:eastAsia="zh-CN" w:bidi="ar-SA"/>
        </w:rPr>
        <w:t>万元”，实际完成指标值为“</w:t>
      </w:r>
      <w:r>
        <w:rPr>
          <w:rFonts w:hint="eastAsia" w:ascii="仿宋_GB2312" w:eastAsia="仿宋_GB2312" w:cs="Times New Roman"/>
          <w:b w:val="0"/>
          <w:bCs/>
          <w:color w:val="auto"/>
          <w:spacing w:val="-4"/>
          <w:kern w:val="2"/>
          <w:sz w:val="32"/>
          <w:szCs w:val="32"/>
          <w:highlight w:val="none"/>
          <w:lang w:val="en-US" w:eastAsia="zh-CN" w:bidi="ar-SA"/>
        </w:rPr>
        <w:t>=459.57万元</w:t>
      </w:r>
      <w:r>
        <w:rPr>
          <w:rFonts w:hint="eastAsia" w:ascii="仿宋_GB2312" w:hAnsi="仿宋" w:eastAsia="仿宋_GB2312" w:cs="Times New Roman"/>
          <w:b w:val="0"/>
          <w:bCs/>
          <w:color w:val="auto"/>
          <w:spacing w:val="-4"/>
          <w:kern w:val="2"/>
          <w:sz w:val="32"/>
          <w:szCs w:val="32"/>
          <w:highlight w:val="none"/>
          <w:lang w:val="en-US" w:eastAsia="zh-CN" w:bidi="ar-SA"/>
        </w:rPr>
        <w:t>”，指标完成率为</w:t>
      </w:r>
      <w:r>
        <w:rPr>
          <w:rFonts w:hint="eastAsia" w:ascii="仿宋_GB2312" w:eastAsia="仿宋_GB2312" w:cs="Times New Roman"/>
          <w:b w:val="0"/>
          <w:bCs/>
          <w:color w:val="auto"/>
          <w:spacing w:val="-4"/>
          <w:kern w:val="2"/>
          <w:sz w:val="32"/>
          <w:szCs w:val="32"/>
          <w:highlight w:val="none"/>
          <w:lang w:val="en-US" w:eastAsia="zh-CN" w:bidi="ar-SA"/>
        </w:rPr>
        <w:t>100.0</w:t>
      </w:r>
      <w:r>
        <w:rPr>
          <w:rFonts w:hint="eastAsia" w:ascii="仿宋_GB2312" w:hAnsi="仿宋" w:eastAsia="仿宋_GB2312" w:cs="Times New Roman"/>
          <w:b w:val="0"/>
          <w:bCs/>
          <w:color w:val="auto"/>
          <w:spacing w:val="-4"/>
          <w:kern w:val="2"/>
          <w:sz w:val="32"/>
          <w:szCs w:val="32"/>
          <w:highlight w:val="none"/>
          <w:lang w:val="en-US" w:eastAsia="zh-CN" w:bidi="ar-SA"/>
        </w:rPr>
        <w:t>%;</w:t>
      </w:r>
    </w:p>
    <w:p>
      <w:pPr>
        <w:ind w:firstLine="640"/>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“公用经费”指标：预期指标值为“&lt;=</w:t>
      </w:r>
      <w:r>
        <w:rPr>
          <w:rFonts w:hint="eastAsia" w:ascii="仿宋_GB2312" w:eastAsia="仿宋_GB2312" w:cs="Times New Roman"/>
          <w:b w:val="0"/>
          <w:bCs/>
          <w:color w:val="auto"/>
          <w:spacing w:val="-4"/>
          <w:kern w:val="2"/>
          <w:sz w:val="32"/>
          <w:szCs w:val="32"/>
          <w:highlight w:val="none"/>
          <w:lang w:val="en-US" w:eastAsia="zh-CN" w:bidi="ar-SA"/>
        </w:rPr>
        <w:t>38</w:t>
      </w:r>
      <w:r>
        <w:rPr>
          <w:rFonts w:hint="eastAsia" w:ascii="仿宋_GB2312" w:hAnsi="仿宋" w:eastAsia="仿宋_GB2312" w:cs="Times New Roman"/>
          <w:b w:val="0"/>
          <w:bCs/>
          <w:color w:val="auto"/>
          <w:spacing w:val="-4"/>
          <w:kern w:val="2"/>
          <w:sz w:val="32"/>
          <w:szCs w:val="32"/>
          <w:highlight w:val="none"/>
          <w:lang w:val="en-US" w:eastAsia="zh-CN" w:bidi="ar-SA"/>
        </w:rPr>
        <w:t>万元”，实际完成指标值为“</w:t>
      </w:r>
      <w:r>
        <w:rPr>
          <w:rFonts w:hint="eastAsia" w:ascii="仿宋_GB2312" w:eastAsia="仿宋_GB2312" w:cs="Times New Roman"/>
          <w:b w:val="0"/>
          <w:bCs/>
          <w:color w:val="auto"/>
          <w:spacing w:val="-4"/>
          <w:kern w:val="2"/>
          <w:sz w:val="32"/>
          <w:szCs w:val="32"/>
          <w:highlight w:val="none"/>
          <w:lang w:val="en-US" w:eastAsia="zh-CN" w:bidi="ar-SA"/>
        </w:rPr>
        <w:t>=38万元</w:t>
      </w:r>
      <w:r>
        <w:rPr>
          <w:rFonts w:hint="eastAsia" w:ascii="仿宋_GB2312" w:hAnsi="仿宋" w:eastAsia="仿宋_GB2312" w:cs="Times New Roman"/>
          <w:b w:val="0"/>
          <w:bCs/>
          <w:color w:val="auto"/>
          <w:spacing w:val="-4"/>
          <w:kern w:val="2"/>
          <w:sz w:val="32"/>
          <w:szCs w:val="32"/>
          <w:highlight w:val="none"/>
          <w:lang w:val="en-US" w:eastAsia="zh-CN" w:bidi="ar-SA"/>
        </w:rPr>
        <w:t>”，指标完成率为</w:t>
      </w:r>
      <w:r>
        <w:rPr>
          <w:rFonts w:hint="eastAsia" w:ascii="仿宋_GB2312" w:eastAsia="仿宋_GB2312" w:cs="Times New Roman"/>
          <w:b w:val="0"/>
          <w:bCs/>
          <w:color w:val="auto"/>
          <w:spacing w:val="-4"/>
          <w:kern w:val="2"/>
          <w:sz w:val="32"/>
          <w:szCs w:val="32"/>
          <w:highlight w:val="none"/>
          <w:lang w:val="en-US" w:eastAsia="zh-CN" w:bidi="ar-SA"/>
        </w:rPr>
        <w:t>100.0</w:t>
      </w:r>
      <w:r>
        <w:rPr>
          <w:rFonts w:hint="eastAsia" w:ascii="仿宋_GB2312" w:hAnsi="仿宋" w:eastAsia="仿宋_GB2312" w:cs="Times New Roman"/>
          <w:b w:val="0"/>
          <w:bCs/>
          <w:color w:val="auto"/>
          <w:spacing w:val="-4"/>
          <w:kern w:val="2"/>
          <w:sz w:val="32"/>
          <w:szCs w:val="32"/>
          <w:highlight w:val="none"/>
          <w:lang w:val="en-US" w:eastAsia="zh-CN" w:bidi="ar-SA"/>
        </w:rPr>
        <w:t>%;</w:t>
      </w:r>
    </w:p>
    <w:p>
      <w:pPr>
        <w:pStyle w:val="4"/>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“提高公共卫生服务水平”指标：预期指标值为“</w:t>
      </w:r>
      <w:r>
        <w:rPr>
          <w:rFonts w:hint="eastAsia" w:ascii="仿宋_GB2312" w:eastAsia="仿宋_GB2312" w:cs="Times New Roman"/>
          <w:b w:val="0"/>
          <w:bCs/>
          <w:color w:val="auto"/>
          <w:spacing w:val="-4"/>
          <w:kern w:val="2"/>
          <w:sz w:val="32"/>
          <w:szCs w:val="32"/>
          <w:highlight w:val="none"/>
          <w:lang w:val="en-US" w:eastAsia="zh-CN" w:bidi="ar-SA"/>
        </w:rPr>
        <w:t>有效</w:t>
      </w:r>
      <w:r>
        <w:rPr>
          <w:rFonts w:hint="eastAsia" w:ascii="仿宋_GB2312" w:hAnsi="仿宋" w:eastAsia="仿宋_GB2312" w:cs="Times New Roman"/>
          <w:b w:val="0"/>
          <w:bCs/>
          <w:color w:val="auto"/>
          <w:spacing w:val="-4"/>
          <w:kern w:val="2"/>
          <w:sz w:val="32"/>
          <w:szCs w:val="32"/>
          <w:highlight w:val="none"/>
          <w:lang w:val="en-US" w:eastAsia="zh-CN" w:bidi="ar-SA"/>
        </w:rPr>
        <w:t>提高”，实际完成指标值为“</w:t>
      </w:r>
      <w:r>
        <w:rPr>
          <w:rFonts w:hint="eastAsia" w:ascii="仿宋_GB2312" w:eastAsia="仿宋_GB2312" w:cs="Times New Roman"/>
          <w:b w:val="0"/>
          <w:bCs/>
          <w:color w:val="auto"/>
          <w:spacing w:val="-4"/>
          <w:kern w:val="2"/>
          <w:sz w:val="32"/>
          <w:szCs w:val="32"/>
          <w:highlight w:val="none"/>
          <w:lang w:val="en-US" w:eastAsia="zh-CN" w:bidi="ar-SA"/>
        </w:rPr>
        <w:t>有效</w:t>
      </w:r>
      <w:r>
        <w:rPr>
          <w:rFonts w:hint="eastAsia" w:ascii="仿宋_GB2312" w:hAnsi="仿宋" w:eastAsia="仿宋_GB2312" w:cs="Times New Roman"/>
          <w:b w:val="0"/>
          <w:bCs/>
          <w:color w:val="auto"/>
          <w:spacing w:val="-4"/>
          <w:kern w:val="2"/>
          <w:sz w:val="32"/>
          <w:szCs w:val="32"/>
          <w:highlight w:val="none"/>
          <w:lang w:val="en-US" w:eastAsia="zh-CN" w:bidi="ar-SA"/>
        </w:rPr>
        <w:t>提高”，指标完成率为100.0%；</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无此项指标。</w:t>
      </w:r>
    </w:p>
    <w:p>
      <w:pPr>
        <w:numPr>
          <w:ilvl w:val="0"/>
          <w:numId w:val="9"/>
        </w:num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可持续影响</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“居民健康水平提高”指标：预期指标值为“</w:t>
      </w:r>
      <w:r>
        <w:rPr>
          <w:rFonts w:hint="eastAsia" w:ascii="仿宋_GB2312" w:eastAsia="仿宋_GB2312" w:cs="Times New Roman"/>
          <w:b w:val="0"/>
          <w:bCs/>
          <w:color w:val="auto"/>
          <w:spacing w:val="-4"/>
          <w:kern w:val="2"/>
          <w:sz w:val="32"/>
          <w:szCs w:val="32"/>
          <w:highlight w:val="none"/>
          <w:lang w:val="en-US" w:eastAsia="zh-CN" w:bidi="ar-SA"/>
        </w:rPr>
        <w:t>长期</w:t>
      </w:r>
      <w:r>
        <w:rPr>
          <w:rFonts w:hint="eastAsia" w:ascii="仿宋_GB2312" w:hAnsi="仿宋" w:eastAsia="仿宋_GB2312" w:cs="Times New Roman"/>
          <w:b w:val="0"/>
          <w:bCs/>
          <w:color w:val="auto"/>
          <w:spacing w:val="-4"/>
          <w:kern w:val="2"/>
          <w:sz w:val="32"/>
          <w:szCs w:val="32"/>
          <w:highlight w:val="none"/>
          <w:lang w:val="en-US" w:eastAsia="zh-CN" w:bidi="ar-SA"/>
        </w:rPr>
        <w:t>”，实际完成指标值为“</w:t>
      </w:r>
      <w:r>
        <w:rPr>
          <w:rFonts w:hint="eastAsia" w:ascii="仿宋_GB2312" w:eastAsia="仿宋_GB2312" w:cs="Times New Roman"/>
          <w:b w:val="0"/>
          <w:bCs/>
          <w:color w:val="auto"/>
          <w:spacing w:val="-4"/>
          <w:kern w:val="2"/>
          <w:sz w:val="32"/>
          <w:szCs w:val="32"/>
          <w:highlight w:val="none"/>
          <w:lang w:val="en-US" w:eastAsia="zh-CN" w:bidi="ar-SA"/>
        </w:rPr>
        <w:t>长期</w:t>
      </w:r>
      <w:r>
        <w:rPr>
          <w:rFonts w:hint="eastAsia" w:ascii="仿宋_GB2312" w:hAnsi="仿宋" w:eastAsia="仿宋_GB2312" w:cs="Times New Roman"/>
          <w:b w:val="0"/>
          <w:bCs/>
          <w:color w:val="auto"/>
          <w:spacing w:val="-4"/>
          <w:kern w:val="2"/>
          <w:sz w:val="32"/>
          <w:szCs w:val="32"/>
          <w:highlight w:val="none"/>
          <w:lang w:val="en-US" w:eastAsia="zh-CN" w:bidi="ar-SA"/>
        </w:rPr>
        <w:t>”，指标完成率为100.0%；</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w:t>
      </w:r>
      <w:r>
        <w:rPr>
          <w:rFonts w:hint="eastAsia" w:ascii="仿宋_GB2312" w:eastAsia="仿宋_GB2312" w:cs="Times New Roman"/>
          <w:b w:val="0"/>
          <w:bCs/>
          <w:color w:val="auto"/>
          <w:spacing w:val="-4"/>
          <w:kern w:val="2"/>
          <w:sz w:val="32"/>
          <w:szCs w:val="32"/>
          <w:highlight w:val="none"/>
          <w:lang w:val="en-US" w:eastAsia="zh-CN" w:bidi="ar-SA"/>
        </w:rPr>
        <w:t>服务</w:t>
      </w:r>
      <w:r>
        <w:rPr>
          <w:rFonts w:hint="eastAsia" w:ascii="仿宋_GB2312" w:hAnsi="仿宋" w:eastAsia="仿宋_GB2312" w:cs="Times New Roman"/>
          <w:b w:val="0"/>
          <w:bCs/>
          <w:color w:val="auto"/>
          <w:spacing w:val="-4"/>
          <w:kern w:val="2"/>
          <w:sz w:val="32"/>
          <w:szCs w:val="32"/>
          <w:highlight w:val="none"/>
          <w:lang w:val="en-US" w:eastAsia="zh-CN" w:bidi="ar-SA"/>
        </w:rPr>
        <w:t>对象满意度”指标：预期指标值为“&gt;=9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.0%”，实际完成指标值为“9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p>
    <w:p>
      <w:pPr>
        <w:ind w:firstLine="640"/>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w:t>
      </w:r>
      <w:r>
        <w:rPr>
          <w:rFonts w:hint="eastAsia" w:ascii="仿宋_GB2312" w:eastAsia="仿宋_GB2312" w:cs="Times New Roman"/>
          <w:b w:val="0"/>
          <w:bCs/>
          <w:color w:val="auto"/>
          <w:spacing w:val="-4"/>
          <w:kern w:val="2"/>
          <w:sz w:val="32"/>
          <w:szCs w:val="32"/>
          <w:highlight w:val="none"/>
          <w:lang w:val="en-US" w:eastAsia="zh-CN" w:bidi="ar-SA"/>
        </w:rPr>
        <w:t>职工</w:t>
      </w:r>
      <w:r>
        <w:rPr>
          <w:rFonts w:hint="eastAsia" w:ascii="仿宋_GB2312" w:hAnsi="仿宋" w:eastAsia="仿宋_GB2312" w:cs="Times New Roman"/>
          <w:b w:val="0"/>
          <w:bCs/>
          <w:color w:val="auto"/>
          <w:spacing w:val="-4"/>
          <w:kern w:val="2"/>
          <w:sz w:val="32"/>
          <w:szCs w:val="32"/>
          <w:highlight w:val="none"/>
          <w:lang w:val="en-US" w:eastAsia="zh-CN" w:bidi="ar-SA"/>
        </w:rPr>
        <w:t>满意度”指标：预期指标值为“&gt;=9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.0%”，实</w:t>
      </w:r>
      <w:bookmarkStart w:id="0" w:name="_GoBack"/>
      <w:bookmarkEnd w:id="0"/>
      <w:r>
        <w:rPr>
          <w:rFonts w:hint="eastAsia" w:ascii="仿宋_GB2312" w:hAnsi="仿宋" w:eastAsia="仿宋_GB2312" w:cs="Times New Roman"/>
          <w:b w:val="0"/>
          <w:bCs/>
          <w:color w:val="auto"/>
          <w:spacing w:val="-4"/>
          <w:kern w:val="2"/>
          <w:sz w:val="32"/>
          <w:szCs w:val="32"/>
          <w:highlight w:val="none"/>
          <w:lang w:val="en-US" w:eastAsia="zh-CN" w:bidi="ar-SA"/>
        </w:rPr>
        <w:t>际完成指标值为“9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r>
        <w:rPr>
          <w:rFonts w:hint="eastAsia" w:ascii="仿宋_GB2312" w:eastAsia="仿宋_GB2312" w:cs="Times New Roman"/>
          <w:b w:val="0"/>
          <w:bCs/>
          <w:color w:val="auto"/>
          <w:spacing w:val="-4"/>
          <w:kern w:val="2"/>
          <w:sz w:val="32"/>
          <w:szCs w:val="32"/>
          <w:highlight w:val="none"/>
          <w:lang w:val="en-US" w:eastAsia="zh-CN" w:bidi="ar-SA"/>
        </w:rPr>
        <w:t>。</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 w:hAnsi="仿宋" w:eastAsia="仿宋" w:cs="仿宋"/>
          <w:sz w:val="32"/>
          <w:szCs w:val="32"/>
          <w:lang w:val="en-US" w:eastAsia="zh-CN"/>
        </w:rPr>
      </w:pPr>
      <w:r>
        <w:rPr>
          <w:rFonts w:hint="eastAsia" w:cs="仿宋"/>
          <w:sz w:val="32"/>
          <w:szCs w:val="32"/>
          <w:lang w:val="en-US" w:eastAsia="zh-CN"/>
        </w:rPr>
        <w:t>我单位2022年整体绩效目标全部达成，不存在未完成原因分析</w:t>
      </w:r>
      <w:r>
        <w:rPr>
          <w:rFonts w:hint="eastAsia" w:ascii="仿宋" w:hAnsi="仿宋" w:eastAsia="仿宋" w:cs="仿宋"/>
          <w:sz w:val="32"/>
          <w:szCs w:val="32"/>
          <w:lang w:val="en-US" w:eastAsia="zh-CN"/>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left="0" w:leftChars="0" w:firstLine="0" w:firstLineChars="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2"/>
        <w:tblW w:w="9056" w:type="dxa"/>
        <w:tblInd w:w="0" w:type="dxa"/>
        <w:shd w:val="clear" w:color="auto" w:fill="auto"/>
        <w:tblLayout w:type="fixed"/>
        <w:tblCellMar>
          <w:top w:w="0" w:type="dxa"/>
          <w:left w:w="0" w:type="dxa"/>
          <w:bottom w:w="0" w:type="dxa"/>
          <w:right w:w="0" w:type="dxa"/>
        </w:tblCellMar>
      </w:tblPr>
      <w:tblGrid>
        <w:gridCol w:w="726"/>
        <w:gridCol w:w="974"/>
        <w:gridCol w:w="1130"/>
        <w:gridCol w:w="1461"/>
        <w:gridCol w:w="818"/>
        <w:gridCol w:w="798"/>
        <w:gridCol w:w="770"/>
        <w:gridCol w:w="769"/>
        <w:gridCol w:w="797"/>
        <w:gridCol w:w="813"/>
      </w:tblGrid>
      <w:tr>
        <w:tblPrEx>
          <w:shd w:val="clear" w:color="auto" w:fill="auto"/>
          <w:tblCellMar>
            <w:top w:w="0" w:type="dxa"/>
            <w:left w:w="0" w:type="dxa"/>
            <w:bottom w:w="0" w:type="dxa"/>
            <w:right w:w="0" w:type="dxa"/>
          </w:tblCellMar>
        </w:tblPrEx>
        <w:trPr>
          <w:trHeight w:val="800" w:hRule="atLeast"/>
        </w:trPr>
        <w:tc>
          <w:tcPr>
            <w:tcW w:w="9056"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800" w:firstLineChars="200"/>
              <w:jc w:val="center"/>
              <w:textAlignment w:val="center"/>
              <w:rPr>
                <w:rFonts w:ascii="方正小标宋简体" w:hAnsi="方正小标宋简体" w:eastAsia="方正小标宋简体" w:cs="方正小标宋简体"/>
                <w:i w:val="0"/>
                <w:color w:val="000000"/>
                <w:sz w:val="40"/>
                <w:szCs w:val="40"/>
                <w:highlight w:val="yellow"/>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9056"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（2022年度）</w:t>
            </w:r>
          </w:p>
        </w:tc>
      </w:tr>
      <w:tr>
        <w:tblPrEx>
          <w:shd w:val="clear" w:color="auto" w:fill="auto"/>
          <w:tblCellMar>
            <w:top w:w="0" w:type="dxa"/>
            <w:left w:w="0" w:type="dxa"/>
            <w:bottom w:w="0" w:type="dxa"/>
            <w:right w:w="0" w:type="dxa"/>
          </w:tblCellMar>
        </w:tblPrEx>
        <w:trPr>
          <w:trHeight w:val="540" w:hRule="atLeast"/>
        </w:trPr>
        <w:tc>
          <w:tcPr>
            <w:tcW w:w="28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622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昌吉市北京南路社区卫生服务中心</w:t>
            </w:r>
          </w:p>
        </w:tc>
      </w:tr>
      <w:tr>
        <w:tblPrEx>
          <w:shd w:val="clear" w:color="auto" w:fill="auto"/>
          <w:tblCellMar>
            <w:top w:w="0" w:type="dxa"/>
            <w:left w:w="0" w:type="dxa"/>
            <w:bottom w:w="0" w:type="dxa"/>
            <w:right w:w="0" w:type="dxa"/>
          </w:tblCellMar>
        </w:tblPrEx>
        <w:trPr>
          <w:trHeight w:val="56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21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任务名称</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主要内容</w:t>
            </w:r>
          </w:p>
        </w:tc>
        <w:tc>
          <w:tcPr>
            <w:tcW w:w="2386" w:type="dxa"/>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23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总额</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财政拨款</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其他资金</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总额</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财政拨款</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其他资金</w:t>
            </w:r>
          </w:p>
        </w:tc>
      </w:tr>
      <w:tr>
        <w:tblPrEx>
          <w:shd w:val="clear" w:color="auto" w:fill="auto"/>
          <w:tblCellMar>
            <w:top w:w="0" w:type="dxa"/>
            <w:left w:w="0" w:type="dxa"/>
            <w:bottom w:w="0" w:type="dxa"/>
            <w:right w:w="0" w:type="dxa"/>
          </w:tblCellMar>
        </w:tblPrEx>
        <w:trPr>
          <w:trHeight w:val="96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人员保障经费</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保障我单位在职、聘用、退休人员的正常办公，缴纳社会保险，保障退休人员安定生活及日常生活经费。</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289.57</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289.57</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289.57</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lang w:val="en-US" w:eastAsia="zh-CN"/>
              </w:rPr>
            </w:pPr>
            <w:r>
              <w:rPr>
                <w:rFonts w:hint="eastAsia" w:ascii="宋体" w:hAnsi="宋体" w:eastAsia="宋体" w:cs="宋体"/>
                <w:i w:val="0"/>
                <w:iCs w:val="0"/>
                <w:color w:val="000000"/>
                <w:kern w:val="0"/>
                <w:sz w:val="22"/>
                <w:szCs w:val="22"/>
                <w:u w:val="none"/>
                <w:lang w:val="en-US" w:eastAsia="zh-CN" w:bidi="ar"/>
              </w:rPr>
              <w:t>289.57</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做好疫情防控工作</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切实做好疫情防控工作，提高新冠病毒的防治水平和应对能力，及时有效地采取防控措施，保障广大群众的身体健康及生命安全。</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90</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90</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90</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465"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做好健康档案管理工作</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对病人做好健康档案的登记及管理工作</w:t>
            </w:r>
          </w:p>
        </w:tc>
        <w:tc>
          <w:tcPr>
            <w:tcW w:w="8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80</w:t>
            </w:r>
          </w:p>
        </w:tc>
        <w:tc>
          <w:tcPr>
            <w:tcW w:w="7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80</w:t>
            </w:r>
          </w:p>
        </w:tc>
        <w:tc>
          <w:tcPr>
            <w:tcW w:w="7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80</w:t>
            </w:r>
          </w:p>
        </w:tc>
        <w:tc>
          <w:tcPr>
            <w:tcW w:w="79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80</w:t>
            </w:r>
          </w:p>
        </w:tc>
        <w:tc>
          <w:tcPr>
            <w:tcW w:w="8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30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保障单位日常运转经费</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保障公务用车的日常运行，缴纳水电费、取暖费等</w:t>
            </w:r>
          </w:p>
        </w:tc>
        <w:tc>
          <w:tcPr>
            <w:tcW w:w="8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38</w:t>
            </w:r>
          </w:p>
        </w:tc>
        <w:tc>
          <w:tcPr>
            <w:tcW w:w="7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38</w:t>
            </w:r>
          </w:p>
        </w:tc>
        <w:tc>
          <w:tcPr>
            <w:tcW w:w="7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38</w:t>
            </w:r>
          </w:p>
        </w:tc>
        <w:tc>
          <w:tcPr>
            <w:tcW w:w="79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38</w:t>
            </w:r>
          </w:p>
        </w:tc>
        <w:tc>
          <w:tcPr>
            <w:tcW w:w="8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7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35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合　计</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497.57</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497.57</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497.57</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497.57</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0.0</w:t>
            </w:r>
          </w:p>
        </w:tc>
      </w:tr>
      <w:tr>
        <w:tblPrEx>
          <w:shd w:val="clear" w:color="auto" w:fill="auto"/>
          <w:tblCellMar>
            <w:top w:w="0" w:type="dxa"/>
            <w:left w:w="0" w:type="dxa"/>
            <w:bottom w:w="0" w:type="dxa"/>
            <w:right w:w="0" w:type="dxa"/>
          </w:tblCellMar>
        </w:tblPrEx>
        <w:trPr>
          <w:trHeight w:val="88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438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预期目标</w:t>
            </w:r>
          </w:p>
        </w:tc>
        <w:tc>
          <w:tcPr>
            <w:tcW w:w="39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实际完成目标</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438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昌吉市北京南路社区卫生服务中心2022年整体预算金额为497.57万元，其中人员保障经费459.57万元，保障单位运转经费38万元。人员保障经费主要用于保证办公人员37人的工资发放，供暖面积为2000平方米，保障单位1辆公务用车的日常运行，保证基本药物配备种类至少为250种，为中山路社区辖区内68689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39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昌吉市北京南路社区卫生服务中心2022年整体预算金额为497.57万元，其中人员保障经费459.57万元，保障单位运转经费38万元。人员保障经费主要用于保证办公人员37人的工资发放，供暖面积为2000平方米，保障单位1辆公务用车的日常运行，保证基本药物配备种类至少为250种，为北京南路路社区辖区内68689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shd w:val="clear" w:color="auto" w:fill="auto"/>
          <w:tblCellMar>
            <w:top w:w="0" w:type="dxa"/>
            <w:left w:w="0" w:type="dxa"/>
            <w:bottom w:w="0" w:type="dxa"/>
            <w:right w:w="0" w:type="dxa"/>
          </w:tblCellMar>
        </w:tblPrEx>
        <w:trPr>
          <w:trHeight w:val="88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一级指标</w:t>
            </w: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二级指标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三级指标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指标分值</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项目完成</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数量指标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年均门急诊人次数</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&gt;=60000.00人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&gt;=60000.00人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&gt;=37.00人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&gt;=37.00人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=1.00辆</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=1辆</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&gt;=2000.00平方米</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&gt;=2000平方米</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基本药物种类配备种类</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&gt;=250.00z</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&gt;=250z</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辖区服务人口数</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&gt;=68689.00人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&gt;=68689人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质量指标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门诊处方合格率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资金使用合规率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时效指标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接诊及时率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成本指标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人员经费</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&lt;=459.57万元</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&lt;=459.57万元</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公用经费</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&lt;=38.00万元</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&lt;=38万元</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项目效益</w:t>
            </w: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提高公共卫生服务水平</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有效提高</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95</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15</w:t>
            </w:r>
          </w:p>
        </w:tc>
      </w:tr>
    </w:tbl>
    <w:p>
      <w:pPr>
        <w:pStyle w:val="2"/>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TI2ZjljODkxZDdlZDgwYjFlMjg1NzcwZjNjNzg0Mzc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72405E"/>
    <w:rsid w:val="08881A41"/>
    <w:rsid w:val="08E604A1"/>
    <w:rsid w:val="08EF03CC"/>
    <w:rsid w:val="092D6339"/>
    <w:rsid w:val="097A0CA3"/>
    <w:rsid w:val="09DA2AA5"/>
    <w:rsid w:val="0A570F00"/>
    <w:rsid w:val="0A677386"/>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0FEC4D34"/>
    <w:rsid w:val="1049193F"/>
    <w:rsid w:val="10566744"/>
    <w:rsid w:val="10625CF9"/>
    <w:rsid w:val="10950DBA"/>
    <w:rsid w:val="10B52A92"/>
    <w:rsid w:val="10D023F1"/>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DFE4078"/>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8ED2F78"/>
    <w:rsid w:val="29350CD3"/>
    <w:rsid w:val="29784CA5"/>
    <w:rsid w:val="29B80C93"/>
    <w:rsid w:val="29BB20D2"/>
    <w:rsid w:val="29D44C7C"/>
    <w:rsid w:val="29F33C34"/>
    <w:rsid w:val="2A380298"/>
    <w:rsid w:val="2A440C90"/>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821254"/>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4D3F80"/>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611196"/>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99D0663"/>
    <w:rsid w:val="4A74195A"/>
    <w:rsid w:val="4A7A3D76"/>
    <w:rsid w:val="4A8B6AB4"/>
    <w:rsid w:val="4A9F3033"/>
    <w:rsid w:val="4AAE190E"/>
    <w:rsid w:val="4AE70AB8"/>
    <w:rsid w:val="4B223CE2"/>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427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5D276E2"/>
    <w:rsid w:val="660D76B4"/>
    <w:rsid w:val="661B005C"/>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AE81A48"/>
    <w:rsid w:val="6B182CCA"/>
    <w:rsid w:val="6B2560EF"/>
    <w:rsid w:val="6B467F81"/>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1E006C"/>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27B92"/>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8EF6F39"/>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707E4"/>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0"/>
    <w:pPr>
      <w:ind w:firstLine="480" w:firstLineChars="200"/>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Body Text First Indent"/>
    <w:basedOn w:val="7"/>
    <w:qFormat/>
    <w:uiPriority w:val="0"/>
    <w:pPr>
      <w:spacing w:after="0" w:afterLines="0"/>
      <w:ind w:firstLine="200" w:firstLineChars="200"/>
    </w:pPr>
    <w:rPr>
      <w:rFonts w:ascii="Times New Roman" w:hAnsi="Times New Roman" w:eastAsia="宋体" w:cs="Times New Roman"/>
      <w:sz w:val="21"/>
      <w:szCs w:val="22"/>
    </w:rPr>
  </w:style>
  <w:style w:type="character" w:styleId="14">
    <w:name w:val="Strong"/>
    <w:basedOn w:val="13"/>
    <w:qFormat/>
    <w:uiPriority w:val="0"/>
    <w:rPr>
      <w:b/>
      <w:bCs/>
    </w:rPr>
  </w:style>
  <w:style w:type="paragraph" w:customStyle="1" w:styleId="15">
    <w:name w:val="HTML Address1"/>
    <w:basedOn w:val="1"/>
    <w:qFormat/>
    <w:uiPriority w:val="0"/>
    <w:rPr>
      <w:rFonts w:ascii="Calibri" w:hAnsi="Calibri" w:cs="黑体"/>
      <w:i/>
    </w:rPr>
  </w:style>
  <w:style w:type="paragraph" w:customStyle="1" w:styleId="16">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7">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8">
    <w:name w:val="List Paragraph"/>
    <w:basedOn w:val="1"/>
    <w:unhideWhenUsed/>
    <w:qFormat/>
    <w:uiPriority w:val="99"/>
    <w:pPr>
      <w:ind w:firstLine="420"/>
    </w:pPr>
  </w:style>
  <w:style w:type="paragraph" w:customStyle="1" w:styleId="19">
    <w:name w:val="样式1"/>
    <w:basedOn w:val="1"/>
    <w:link w:val="21"/>
    <w:qFormat/>
    <w:uiPriority w:val="0"/>
    <w:pPr>
      <w:ind w:firstLine="560"/>
    </w:pPr>
  </w:style>
  <w:style w:type="paragraph" w:customStyle="1" w:styleId="20">
    <w:name w:val="样式2"/>
    <w:basedOn w:val="9"/>
    <w:link w:val="23"/>
    <w:qFormat/>
    <w:uiPriority w:val="0"/>
    <w:pPr>
      <w:pBdr>
        <w:bottom w:val="none" w:color="auto" w:sz="0" w:space="0"/>
      </w:pBdr>
      <w:ind w:firstLine="360"/>
    </w:pPr>
  </w:style>
  <w:style w:type="character" w:customStyle="1" w:styleId="21">
    <w:name w:val="样式1 Char"/>
    <w:basedOn w:val="13"/>
    <w:link w:val="19"/>
    <w:qFormat/>
    <w:uiPriority w:val="0"/>
    <w:rPr>
      <w:rFonts w:ascii="仿宋" w:hAnsi="仿宋" w:eastAsia="仿宋"/>
      <w:kern w:val="2"/>
      <w:sz w:val="28"/>
      <w:szCs w:val="24"/>
    </w:rPr>
  </w:style>
  <w:style w:type="character" w:customStyle="1" w:styleId="22">
    <w:name w:val="页眉 字符"/>
    <w:basedOn w:val="13"/>
    <w:link w:val="9"/>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字符"/>
    <w:basedOn w:val="13"/>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8296</Words>
  <Characters>9487</Characters>
  <Lines>47</Lines>
  <Paragraphs>13</Paragraphs>
  <TotalTime>128</TotalTime>
  <ScaleCrop>false</ScaleCrop>
  <LinksUpToDate>false</LinksUpToDate>
  <CharactersWithSpaces>9516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pc</cp:lastModifiedBy>
  <dcterms:modified xsi:type="dcterms:W3CDTF">2023-02-17T10:14:27Z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150759AAB5B640BEB796D7070EEF34D3</vt:lpwstr>
  </property>
</Properties>
</file>