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60" w:lineRule="exact"/>
        <w:ind w:firstLine="560"/>
        <w:textAlignment w:val="auto"/>
        <w:rPr>
          <w:rFonts w:ascii="华文中宋" w:hAnsi="华文中宋" w:eastAsia="华文中宋" w:cs="宋体"/>
          <w:b/>
          <w:color w:val="auto"/>
          <w:kern w:val="0"/>
          <w:sz w:val="52"/>
          <w:szCs w:val="52"/>
        </w:rPr>
      </w:pPr>
      <w:r>
        <w:rPr>
          <w:rFonts w:hint="eastAsia"/>
          <w:color w:val="auto"/>
        </w:rPr>
        <w:br w:type="textWrapping"/>
      </w:r>
    </w:p>
    <w:p>
      <w:pPr>
        <w:pageBreakBefore w:val="0"/>
        <w:kinsoku/>
        <w:wordWrap/>
        <w:overflowPunct/>
        <w:topLinePunct w:val="0"/>
        <w:autoSpaceDE/>
        <w:autoSpaceDN/>
        <w:bidi w:val="0"/>
        <w:spacing w:line="560" w:lineRule="exact"/>
        <w:ind w:firstLine="1041"/>
        <w:textAlignment w:val="auto"/>
        <w:rPr>
          <w:rFonts w:ascii="华文中宋" w:hAnsi="华文中宋" w:eastAsia="华文中宋" w:cs="宋体"/>
          <w:b/>
          <w:color w:val="auto"/>
          <w:kern w:val="0"/>
          <w:sz w:val="52"/>
          <w:szCs w:val="52"/>
        </w:rPr>
      </w:pPr>
    </w:p>
    <w:p>
      <w:pPr>
        <w:pageBreakBefore w:val="0"/>
        <w:kinsoku/>
        <w:wordWrap/>
        <w:overflowPunct/>
        <w:topLinePunct w:val="0"/>
        <w:autoSpaceDE/>
        <w:autoSpaceDN/>
        <w:bidi w:val="0"/>
        <w:spacing w:line="560" w:lineRule="exact"/>
        <w:ind w:firstLine="0" w:firstLineChars="0"/>
        <w:jc w:val="center"/>
        <w:textAlignment w:val="auto"/>
        <w:rPr>
          <w:rFonts w:ascii="华文中宋" w:hAnsi="华文中宋" w:eastAsia="华文中宋" w:cs="宋体"/>
          <w:b/>
          <w:color w:val="auto"/>
          <w:kern w:val="0"/>
          <w:sz w:val="52"/>
          <w:szCs w:val="52"/>
        </w:rPr>
      </w:pPr>
    </w:p>
    <w:p>
      <w:pPr>
        <w:pageBreakBefore w:val="0"/>
        <w:kinsoku/>
        <w:wordWrap/>
        <w:overflowPunct/>
        <w:topLinePunct w:val="0"/>
        <w:autoSpaceDE/>
        <w:autoSpaceDN/>
        <w:bidi w:val="0"/>
        <w:spacing w:line="560" w:lineRule="exact"/>
        <w:ind w:firstLine="0" w:firstLineChars="0"/>
        <w:jc w:val="center"/>
        <w:textAlignment w:val="auto"/>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lang w:val="en-US" w:eastAsia="zh-CN"/>
        </w:rPr>
        <w:t>昌吉市统计局</w:t>
      </w:r>
      <w:r>
        <w:rPr>
          <w:rFonts w:hint="eastAsia" w:ascii="方正小标宋_GBK" w:hAnsi="华文中宋" w:eastAsia="方正小标宋_GBK" w:cs="宋体"/>
          <w:color w:val="auto"/>
          <w:kern w:val="0"/>
          <w:sz w:val="48"/>
          <w:szCs w:val="48"/>
        </w:rPr>
        <w:t>整体支出绩效</w:t>
      </w:r>
    </w:p>
    <w:p>
      <w:pPr>
        <w:pageBreakBefore w:val="0"/>
        <w:kinsoku/>
        <w:wordWrap/>
        <w:overflowPunct/>
        <w:topLinePunct w:val="0"/>
        <w:autoSpaceDE/>
        <w:autoSpaceDN/>
        <w:bidi w:val="0"/>
        <w:spacing w:line="560" w:lineRule="exact"/>
        <w:ind w:firstLine="0" w:firstLineChars="0"/>
        <w:jc w:val="center"/>
        <w:textAlignment w:val="auto"/>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pageBreakBefore w:val="0"/>
        <w:kinsoku/>
        <w:wordWrap/>
        <w:overflowPunct/>
        <w:topLinePunct w:val="0"/>
        <w:autoSpaceDE/>
        <w:autoSpaceDN/>
        <w:bidi w:val="0"/>
        <w:spacing w:line="560" w:lineRule="exact"/>
        <w:ind w:firstLine="0" w:firstLineChars="0"/>
        <w:jc w:val="center"/>
        <w:textAlignment w:val="auto"/>
        <w:rPr>
          <w:rFonts w:ascii="华文中宋" w:hAnsi="华文中宋" w:eastAsia="华文中宋" w:cs="宋体"/>
          <w:b/>
          <w:color w:val="auto"/>
          <w:kern w:val="0"/>
          <w:sz w:val="52"/>
          <w:szCs w:val="52"/>
        </w:rPr>
      </w:pPr>
    </w:p>
    <w:p>
      <w:pPr>
        <w:pageBreakBefore w:val="0"/>
        <w:kinsoku/>
        <w:wordWrap/>
        <w:overflowPunct/>
        <w:topLinePunct w:val="0"/>
        <w:autoSpaceDE/>
        <w:autoSpaceDN/>
        <w:bidi w:val="0"/>
        <w:spacing w:line="560" w:lineRule="exact"/>
        <w:ind w:firstLine="0" w:firstLineChars="0"/>
        <w:jc w:val="center"/>
        <w:textAlignment w:val="auto"/>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（202</w:t>
      </w:r>
      <w:r>
        <w:rPr>
          <w:rFonts w:hint="eastAsia" w:ascii="仿宋_GB2312" w:hAnsi="宋体" w:eastAsia="仿宋_GB2312" w:cs="宋体"/>
          <w:color w:val="auto"/>
          <w:kern w:val="0"/>
          <w:sz w:val="36"/>
          <w:szCs w:val="36"/>
          <w:lang w:val="en-US" w:eastAsia="zh-CN"/>
        </w:rPr>
        <w:t>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pageBreakBefore w:val="0"/>
        <w:kinsoku/>
        <w:wordWrap/>
        <w:overflowPunct/>
        <w:topLinePunct w:val="0"/>
        <w:autoSpaceDE/>
        <w:autoSpaceDN/>
        <w:bidi w:val="0"/>
        <w:spacing w:line="560" w:lineRule="exact"/>
        <w:ind w:firstLine="600"/>
        <w:jc w:val="center"/>
        <w:textAlignment w:val="auto"/>
        <w:rPr>
          <w:rFonts w:hAnsi="宋体" w:eastAsia="仿宋_GB2312" w:cs="宋体"/>
          <w:color w:val="auto"/>
          <w:kern w:val="0"/>
          <w:sz w:val="30"/>
          <w:szCs w:val="30"/>
        </w:rPr>
      </w:pPr>
    </w:p>
    <w:p>
      <w:pPr>
        <w:pageBreakBefore w:val="0"/>
        <w:kinsoku/>
        <w:wordWrap/>
        <w:overflowPunct/>
        <w:topLinePunct w:val="0"/>
        <w:autoSpaceDE/>
        <w:autoSpaceDN/>
        <w:bidi w:val="0"/>
        <w:spacing w:line="560" w:lineRule="exact"/>
        <w:ind w:firstLine="600"/>
        <w:jc w:val="center"/>
        <w:textAlignment w:val="auto"/>
        <w:rPr>
          <w:rFonts w:hAnsi="宋体" w:eastAsia="仿宋_GB2312" w:cs="宋体"/>
          <w:color w:val="auto"/>
          <w:kern w:val="0"/>
          <w:sz w:val="30"/>
          <w:szCs w:val="30"/>
        </w:rPr>
      </w:pPr>
    </w:p>
    <w:p>
      <w:pPr>
        <w:pageBreakBefore w:val="0"/>
        <w:kinsoku/>
        <w:wordWrap/>
        <w:overflowPunct/>
        <w:topLinePunct w:val="0"/>
        <w:autoSpaceDE/>
        <w:autoSpaceDN/>
        <w:bidi w:val="0"/>
        <w:spacing w:line="560" w:lineRule="exact"/>
        <w:ind w:firstLine="720"/>
        <w:jc w:val="center"/>
        <w:textAlignment w:val="auto"/>
        <w:rPr>
          <w:rFonts w:ascii="方正小标宋_GBK" w:hAnsi="宋体" w:eastAsia="方正小标宋_GBK" w:cs="宋体"/>
          <w:color w:val="auto"/>
          <w:kern w:val="0"/>
          <w:sz w:val="36"/>
          <w:szCs w:val="36"/>
        </w:rPr>
      </w:pPr>
    </w:p>
    <w:p>
      <w:pPr>
        <w:pageBreakBefore w:val="0"/>
        <w:kinsoku/>
        <w:wordWrap/>
        <w:overflowPunct/>
        <w:topLinePunct w:val="0"/>
        <w:autoSpaceDE/>
        <w:autoSpaceDN/>
        <w:bidi w:val="0"/>
        <w:spacing w:line="560" w:lineRule="exact"/>
        <w:ind w:firstLine="720"/>
        <w:jc w:val="center"/>
        <w:textAlignment w:val="auto"/>
        <w:rPr>
          <w:rFonts w:ascii="方正小标宋_GBK" w:hAnsi="宋体" w:eastAsia="方正小标宋_GBK" w:cs="宋体"/>
          <w:color w:val="auto"/>
          <w:kern w:val="0"/>
          <w:sz w:val="36"/>
          <w:szCs w:val="36"/>
        </w:rPr>
      </w:pPr>
    </w:p>
    <w:p>
      <w:pPr>
        <w:pageBreakBefore w:val="0"/>
        <w:kinsoku/>
        <w:wordWrap/>
        <w:overflowPunct/>
        <w:topLinePunct w:val="0"/>
        <w:autoSpaceDE/>
        <w:autoSpaceDN/>
        <w:bidi w:val="0"/>
        <w:spacing w:line="560" w:lineRule="exact"/>
        <w:ind w:firstLine="600"/>
        <w:jc w:val="center"/>
        <w:textAlignment w:val="auto"/>
        <w:rPr>
          <w:rFonts w:hAnsi="宋体" w:eastAsia="仿宋_GB2312" w:cs="宋体"/>
          <w:color w:val="auto"/>
          <w:kern w:val="0"/>
          <w:sz w:val="30"/>
          <w:szCs w:val="30"/>
        </w:rPr>
      </w:pPr>
    </w:p>
    <w:p>
      <w:pPr>
        <w:pageBreakBefore w:val="0"/>
        <w:kinsoku/>
        <w:wordWrap/>
        <w:overflowPunct/>
        <w:topLinePunct w:val="0"/>
        <w:autoSpaceDE/>
        <w:autoSpaceDN/>
        <w:bidi w:val="0"/>
        <w:spacing w:line="560" w:lineRule="exact"/>
        <w:ind w:firstLine="600"/>
        <w:jc w:val="center"/>
        <w:textAlignment w:val="auto"/>
        <w:rPr>
          <w:rFonts w:hAnsi="宋体" w:eastAsia="仿宋_GB2312" w:cs="宋体"/>
          <w:color w:val="auto"/>
          <w:kern w:val="0"/>
          <w:sz w:val="30"/>
          <w:szCs w:val="30"/>
        </w:rPr>
      </w:pPr>
    </w:p>
    <w:p>
      <w:pPr>
        <w:pageBreakBefore w:val="0"/>
        <w:kinsoku/>
        <w:wordWrap/>
        <w:overflowPunct/>
        <w:topLinePunct w:val="0"/>
        <w:autoSpaceDE/>
        <w:autoSpaceDN/>
        <w:bidi w:val="0"/>
        <w:spacing w:line="560" w:lineRule="exact"/>
        <w:ind w:firstLine="600"/>
        <w:textAlignment w:val="auto"/>
        <w:rPr>
          <w:rFonts w:hAnsi="宋体" w:eastAsia="仿宋_GB2312" w:cs="宋体"/>
          <w:color w:val="auto"/>
          <w:kern w:val="0"/>
          <w:sz w:val="30"/>
          <w:szCs w:val="30"/>
        </w:rPr>
      </w:pPr>
    </w:p>
    <w:p>
      <w:pPr>
        <w:pageBreakBefore w:val="0"/>
        <w:kinsoku/>
        <w:wordWrap/>
        <w:overflowPunct/>
        <w:topLinePunct w:val="0"/>
        <w:autoSpaceDE/>
        <w:autoSpaceDN/>
        <w:bidi w:val="0"/>
        <w:spacing w:line="560" w:lineRule="exact"/>
        <w:ind w:firstLine="720"/>
        <w:jc w:val="left"/>
        <w:textAlignment w:val="auto"/>
        <w:rPr>
          <w:rFonts w:hAnsi="宋体" w:eastAsia="仿宋_GB2312" w:cs="宋体"/>
          <w:color w:val="auto"/>
          <w:kern w:val="0"/>
          <w:sz w:val="36"/>
          <w:szCs w:val="36"/>
        </w:rPr>
      </w:pPr>
    </w:p>
    <w:p>
      <w:pPr>
        <w:pageBreakBefore w:val="0"/>
        <w:kinsoku/>
        <w:wordWrap/>
        <w:overflowPunct/>
        <w:topLinePunct w:val="0"/>
        <w:autoSpaceDE/>
        <w:autoSpaceDN/>
        <w:bidi w:val="0"/>
        <w:spacing w:line="560" w:lineRule="exact"/>
        <w:ind w:firstLine="720"/>
        <w:textAlignment w:val="auto"/>
        <w:rPr>
          <w:rFonts w:hint="eastAsia" w:ascii="黑体" w:hAnsi="黑体" w:eastAsia="黑体" w:cs="黑体"/>
          <w:bCs/>
          <w:color w:val="auto"/>
          <w:sz w:val="36"/>
          <w:szCs w:val="36"/>
          <w:lang w:val="en-US" w:eastAsia="zh-CN"/>
        </w:rPr>
      </w:pPr>
      <w:r>
        <w:rPr>
          <w:rFonts w:hint="eastAsia" w:ascii="黑体" w:hAnsi="黑体" w:eastAsia="黑体" w:cs="黑体"/>
          <w:bCs/>
          <w:color w:val="auto"/>
          <w:sz w:val="36"/>
          <w:szCs w:val="36"/>
        </w:rPr>
        <w:t>部门单位名称（公章）：</w:t>
      </w:r>
      <w:r>
        <w:rPr>
          <w:rFonts w:hint="eastAsia" w:ascii="黑体" w:hAnsi="黑体" w:eastAsia="黑体" w:cs="黑体"/>
          <w:bCs/>
          <w:color w:val="auto"/>
          <w:sz w:val="36"/>
          <w:szCs w:val="36"/>
          <w:lang w:val="en-US" w:eastAsia="zh-CN"/>
        </w:rPr>
        <w:t>昌吉市统计局</w:t>
      </w:r>
    </w:p>
    <w:p>
      <w:pPr>
        <w:pageBreakBefore w:val="0"/>
        <w:kinsoku/>
        <w:wordWrap/>
        <w:overflowPunct/>
        <w:topLinePunct w:val="0"/>
        <w:autoSpaceDE/>
        <w:autoSpaceDN/>
        <w:bidi w:val="0"/>
        <w:spacing w:line="560" w:lineRule="exact"/>
        <w:ind w:firstLine="720"/>
        <w:textAlignment w:val="auto"/>
        <w:rPr>
          <w:rFonts w:ascii="黑体" w:hAnsi="黑体" w:eastAsia="黑体" w:cs="黑体"/>
          <w:bCs/>
          <w:color w:val="auto"/>
          <w:sz w:val="36"/>
          <w:szCs w:val="36"/>
        </w:rPr>
      </w:pPr>
      <w:r>
        <w:rPr>
          <w:rFonts w:hint="eastAsia" w:ascii="黑体" w:hAnsi="黑体" w:eastAsia="黑体" w:cs="黑体"/>
          <w:bCs/>
          <w:color w:val="auto"/>
          <w:sz w:val="36"/>
          <w:szCs w:val="36"/>
        </w:rPr>
        <w:t>填报时间：</w:t>
      </w:r>
      <w:r>
        <w:rPr>
          <w:rFonts w:hint="eastAsia" w:ascii="黑体" w:hAnsi="黑体" w:eastAsia="黑体" w:cs="黑体"/>
          <w:bCs/>
          <w:color w:val="auto"/>
          <w:sz w:val="36"/>
          <w:szCs w:val="36"/>
          <w:lang w:val="en-US" w:eastAsia="zh-CN"/>
        </w:rPr>
        <w:t>2022</w:t>
      </w:r>
      <w:r>
        <w:rPr>
          <w:rFonts w:hint="eastAsia" w:ascii="黑体" w:hAnsi="黑体" w:eastAsia="黑体" w:cs="黑体"/>
          <w:bCs/>
          <w:color w:val="auto"/>
          <w:sz w:val="36"/>
          <w:szCs w:val="36"/>
        </w:rPr>
        <w:t>年</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月</w:t>
      </w:r>
      <w:r>
        <w:rPr>
          <w:rFonts w:hint="eastAsia" w:ascii="黑体" w:hAnsi="黑体" w:eastAsia="黑体" w:cs="黑体"/>
          <w:bCs/>
          <w:color w:val="auto"/>
          <w:sz w:val="36"/>
          <w:szCs w:val="36"/>
          <w:lang w:val="en-US" w:eastAsia="zh-CN"/>
        </w:rPr>
        <w:t>20</w:t>
      </w:r>
      <w:r>
        <w:rPr>
          <w:rFonts w:hint="eastAsia" w:ascii="黑体" w:hAnsi="黑体" w:eastAsia="黑体" w:cs="黑体"/>
          <w:bCs/>
          <w:color w:val="auto"/>
          <w:sz w:val="36"/>
          <w:szCs w:val="36"/>
        </w:rPr>
        <w:t>日</w:t>
      </w:r>
    </w:p>
    <w:p>
      <w:pPr>
        <w:pageBreakBefore w:val="0"/>
        <w:kinsoku/>
        <w:wordWrap/>
        <w:overflowPunct/>
        <w:topLinePunct w:val="0"/>
        <w:autoSpaceDE/>
        <w:autoSpaceDN/>
        <w:bidi w:val="0"/>
        <w:spacing w:line="560" w:lineRule="exact"/>
        <w:ind w:firstLine="849" w:firstLineChars="236"/>
        <w:jc w:val="left"/>
        <w:textAlignment w:val="auto"/>
        <w:rPr>
          <w:rFonts w:hAnsi="宋体" w:eastAsia="仿宋_GB2312" w:cs="宋体"/>
          <w:color w:val="auto"/>
          <w:kern w:val="0"/>
          <w:sz w:val="36"/>
          <w:szCs w:val="36"/>
        </w:rPr>
      </w:pPr>
    </w:p>
    <w:p>
      <w:pPr>
        <w:pageBreakBefore w:val="0"/>
        <w:kinsoku/>
        <w:wordWrap/>
        <w:overflowPunct/>
        <w:topLinePunct w:val="0"/>
        <w:autoSpaceDE/>
        <w:autoSpaceDN/>
        <w:bidi w:val="0"/>
        <w:spacing w:line="560" w:lineRule="exact"/>
        <w:ind w:firstLine="560"/>
        <w:textAlignment w:val="auto"/>
        <w:rPr>
          <w:color w:val="auto"/>
        </w:rPr>
      </w:pPr>
    </w:p>
    <w:p>
      <w:pPr>
        <w:pageBreakBefore w:val="0"/>
        <w:kinsoku/>
        <w:wordWrap/>
        <w:overflowPunct/>
        <w:topLinePunct w:val="0"/>
        <w:autoSpaceDE/>
        <w:autoSpaceDN/>
        <w:bidi w:val="0"/>
        <w:spacing w:line="560" w:lineRule="exact"/>
        <w:ind w:firstLine="560"/>
        <w:textAlignment w:val="auto"/>
        <w:rPr>
          <w:color w:val="auto"/>
        </w:rPr>
      </w:pPr>
      <w:r>
        <w:rPr>
          <w:rFonts w:hint="eastAsia"/>
          <w:color w:val="auto"/>
        </w:rPr>
        <w:br w:type="page"/>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一、基本概况</w:t>
      </w:r>
    </w:p>
    <w:p>
      <w:pPr>
        <w:pStyle w:val="2"/>
        <w:pageBreakBefore w:val="0"/>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（一）单位基本情况</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pageBreakBefore w:val="0"/>
        <w:kinsoku/>
        <w:wordWrap/>
        <w:overflowPunct/>
        <w:topLinePunct w:val="0"/>
        <w:autoSpaceDE/>
        <w:autoSpaceDN/>
        <w:bidi w:val="0"/>
        <w:spacing w:line="560" w:lineRule="exact"/>
        <w:ind w:firstLine="640" w:firstLineChars="200"/>
        <w:textAlignment w:val="auto"/>
        <w:outlineLvl w:val="0"/>
        <w:rPr>
          <w:color w:val="auto"/>
          <w:sz w:val="32"/>
        </w:rPr>
      </w:pPr>
      <w:r>
        <w:rPr>
          <w:rFonts w:hint="eastAsia" w:ascii="仿宋_GB2312" w:hAnsi="仿宋_GB2312" w:eastAsia="仿宋_GB2312" w:cs="仿宋_GB2312"/>
          <w:color w:val="auto"/>
          <w:sz w:val="32"/>
          <w:szCs w:val="32"/>
        </w:rPr>
        <w:t>昌吉市统计局，下设</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个科室，分别是：</w:t>
      </w:r>
      <w:r>
        <w:rPr>
          <w:rFonts w:hint="eastAsia" w:ascii="仿宋_GB2312" w:eastAsia="仿宋_GB2312"/>
          <w:color w:val="auto"/>
          <w:kern w:val="2"/>
          <w:sz w:val="32"/>
          <w:szCs w:val="32"/>
          <w:lang w:val="en-US" w:eastAsia="zh-CN" w:bidi="ar-SA"/>
        </w:rPr>
        <w:t>党政办公室、综合统计科、专业统计科及执法监督科</w:t>
      </w:r>
      <w:r>
        <w:rPr>
          <w:rFonts w:hint="eastAsia" w:ascii="仿宋_GB2312" w:hAnsi="仿宋_GB2312" w:eastAsia="仿宋_GB2312" w:cs="仿宋_GB2312"/>
          <w:color w:val="auto"/>
          <w:sz w:val="32"/>
          <w:szCs w:val="32"/>
        </w:rPr>
        <w:t>；下设一个股级事业单位：</w:t>
      </w:r>
      <w:r>
        <w:rPr>
          <w:rFonts w:hint="eastAsia" w:ascii="仿宋_GB2312" w:hAnsi="仿宋_GB2312" w:eastAsia="仿宋_GB2312" w:cs="仿宋_GB2312"/>
          <w:color w:val="auto"/>
          <w:sz w:val="32"/>
          <w:szCs w:val="32"/>
          <w:lang w:val="en-US" w:eastAsia="zh-CN"/>
        </w:rPr>
        <w:t>昌吉市统计</w:t>
      </w:r>
      <w:r>
        <w:rPr>
          <w:rFonts w:hint="eastAsia" w:ascii="仿宋_GB2312" w:hAnsi="仿宋_GB2312" w:eastAsia="仿宋_GB2312" w:cs="仿宋_GB2312"/>
          <w:color w:val="auto"/>
          <w:sz w:val="32"/>
          <w:szCs w:val="32"/>
        </w:rPr>
        <w:t>普查中心。编制2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人，实有人数</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人，其中：在职</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人（行政10人（含工勤1人），事业</w:t>
      </w: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人）。</w:t>
      </w:r>
    </w:p>
    <w:p>
      <w:pPr>
        <w:pageBreakBefore w:val="0"/>
        <w:numPr>
          <w:ilvl w:val="0"/>
          <w:numId w:val="1"/>
        </w:numPr>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主要职能</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）依照国家、自治区、自治州、市法律、法规、政策和统计调查计划，拟订本市统计工作规章、制度和统计现代化建设规划，监督、检查统计法律、法规的实施。</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）执行国家、自治区统一的国民经济核算体系、统一指标体系和基本统计制度及国家的统计标准，完成本市国民经济核算工作。</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）会同有关部门组织完成国家、自治区、自治州和昌吉市重大国情国力、区情区力和州情州力和市情市力普查及抽样调查任务；拟订本市各项统计计划、调查方案，完成各项统计调查计划和调查方案。</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）组织、协调本市的社会经济调查；汇总、整理全市的基本统计资料；对全市国民经济、社会发展和科技进步等情况进行统计分析、统计预测和统计监督，向市委、人民政府及有关部门提供统计信息和咨询建议。</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）统一核定、管理、公布全市性的基本统计资料，定期向社会公众发布全市国民经济和社会发展情况的统计信息。</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）建立健全和管理市统计信息自动化系统和统计数据库体系，组织领导和管理全市统计数据库网络。</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）积极推进统计制度方法改革，组织指导全市统计业务技术教育、统计干部培训，提高全市统计工作水平。</w:t>
      </w:r>
    </w:p>
    <w:p>
      <w:pPr>
        <w:pageBreakBefore w:val="0"/>
        <w:kinsoku/>
        <w:wordWrap/>
        <w:overflowPunct/>
        <w:topLinePunct w:val="0"/>
        <w:autoSpaceDE/>
        <w:autoSpaceDN/>
        <w:bidi w:val="0"/>
        <w:spacing w:line="560" w:lineRule="exact"/>
        <w:ind w:firstLine="640" w:firstLineChars="200"/>
        <w:textAlignment w:val="auto"/>
        <w:outlineLvl w:val="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）协调、组织完成国家、区、州、市的城市、农村社会经济调查及企业调查任务。</w:t>
      </w:r>
    </w:p>
    <w:p>
      <w:pPr>
        <w:pageBreakBefore w:val="0"/>
        <w:kinsoku/>
        <w:wordWrap/>
        <w:overflowPunct/>
        <w:topLinePunct w:val="0"/>
        <w:autoSpaceDE/>
        <w:autoSpaceDN/>
        <w:bidi w:val="0"/>
        <w:spacing w:line="560" w:lineRule="exact"/>
        <w:ind w:firstLine="640" w:firstLineChars="200"/>
        <w:textAlignment w:val="auto"/>
        <w:outlineLvl w:val="0"/>
        <w:rPr>
          <w:color w:val="auto"/>
          <w:sz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）承办市人民政府交办的其他事项。</w:t>
      </w:r>
    </w:p>
    <w:p>
      <w:pPr>
        <w:pageBreakBefore w:val="0"/>
        <w:numPr>
          <w:ilvl w:val="0"/>
          <w:numId w:val="1"/>
        </w:numPr>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（1）全面落实党的建设新要求，深入学习贯彻党的二十大精神。</w:t>
      </w:r>
      <w:r>
        <w:rPr>
          <w:rFonts w:hint="eastAsia" w:ascii="仿宋_GB2312" w:hAnsi="仿宋_GB2312" w:eastAsia="仿宋_GB2312" w:cs="仿宋_GB2312"/>
          <w:color w:val="auto"/>
          <w:kern w:val="2"/>
          <w:sz w:val="32"/>
          <w:szCs w:val="32"/>
          <w:lang w:val="en-US" w:eastAsia="zh-CN" w:bidi="ar-SA"/>
        </w:rPr>
        <w:t>将学懂、弄通、做实党的二十大精神实质，作为明年的首要任务，做到学习跟进、认识跟进、行动跟进，增强对党的二十大精神的政治认同、思想认同、情感认同。要坚持读原著、学原文、悟原理，深刻领会党的二十大的历史地位和丰富内涵，既要“学进去”“得其门而入”，又要“学出来”“悟其道而出”。切实通过党组理论学习中心组、党支部集体学习及开展研讨等方式，推动党的二十大精神入脑入心，切实把学习成效转化为做好统计工作的生动实践。</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（2）抓好统计调查服务工作和第五次全国经济普查筹备工作。</w:t>
      </w:r>
      <w:r>
        <w:rPr>
          <w:rFonts w:hint="eastAsia" w:ascii="仿宋_GB2312" w:hAnsi="仿宋_GB2312" w:eastAsia="仿宋_GB2312" w:cs="仿宋_GB2312"/>
          <w:color w:val="auto"/>
          <w:kern w:val="2"/>
          <w:sz w:val="32"/>
          <w:szCs w:val="32"/>
          <w:lang w:val="zh-CN" w:eastAsia="zh-CN" w:bidi="ar-SA"/>
        </w:rPr>
        <w:t>严格落实国家统计局、自治区统计局报表制度，持续抓好</w:t>
      </w:r>
      <w:r>
        <w:rPr>
          <w:rFonts w:hint="eastAsia" w:ascii="仿宋_GB2312" w:hAnsi="仿宋_GB2312" w:eastAsia="仿宋_GB2312" w:cs="仿宋_GB2312"/>
          <w:color w:val="auto"/>
          <w:kern w:val="2"/>
          <w:sz w:val="32"/>
          <w:szCs w:val="32"/>
          <w:lang w:val="en-US" w:eastAsia="zh-CN" w:bidi="ar-SA"/>
        </w:rPr>
        <w:t>17项常规统计调查和统计报表的上报工作。严格执行地区生产总值统一核算方法，准确反映经济情况。围绕“十四五”时期昌吉市经济社会发展新情况、新特点、新问题，认真研究、深入思考。步入新发展阶段，五经普工作面临着疫情形势复杂多变、普查对象庞大复杂、首次整合投入产出调查等多重新挑战，工作任务十分艰巨。全市统计系统将凝心聚力、上下联动，迎难而上、担当作为，做实做细各项筹备工作，为2023年即将开展的五经普工作打下坚实的基础。</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（3）持续强化统计服务经济社会发展能力。</w:t>
      </w:r>
      <w:r>
        <w:rPr>
          <w:rFonts w:hint="eastAsia" w:ascii="仿宋_GB2312" w:hAnsi="仿宋_GB2312" w:eastAsia="仿宋_GB2312" w:cs="仿宋_GB2312"/>
          <w:color w:val="auto"/>
          <w:kern w:val="2"/>
          <w:sz w:val="32"/>
          <w:szCs w:val="32"/>
          <w:lang w:val="zh-CN" w:eastAsia="zh-CN" w:bidi="ar-SA"/>
        </w:rPr>
        <w:t>坚持每月召开经济运行分析会议，</w:t>
      </w:r>
      <w:r>
        <w:rPr>
          <w:rFonts w:hint="eastAsia" w:ascii="仿宋_GB2312" w:hAnsi="仿宋_GB2312" w:eastAsia="仿宋_GB2312" w:cs="仿宋_GB2312"/>
          <w:color w:val="auto"/>
          <w:kern w:val="2"/>
          <w:sz w:val="32"/>
          <w:szCs w:val="32"/>
          <w:lang w:val="en-US" w:eastAsia="zh-CN" w:bidi="ar-SA"/>
        </w:rPr>
        <w:t>及时分析研判经济运行中存在的问题，加强月度、季度和年度经济形势预测预判，提升统计监测的前瞻性和有效性，切实做到有的放矢。针对今年经济运行中存在的问题，工业发展后劲不足、建筑业缺乏大企业支撑、第三产业恢复信心不足等问题，深入基层企业，紧贴民生保障和高质量发展，密切关注党委、政府中心工作，积极开展统计调查研究，及时形成统计分析、调研报告，为党委、政府决策提供参考依据。</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（4）强化部门协作，提高固定资产投资项目入库入统力度。</w:t>
      </w:r>
      <w:r>
        <w:rPr>
          <w:rFonts w:hint="eastAsia" w:ascii="仿宋_GB2312" w:hAnsi="仿宋_GB2312" w:eastAsia="仿宋_GB2312" w:cs="仿宋_GB2312"/>
          <w:color w:val="auto"/>
          <w:kern w:val="2"/>
          <w:sz w:val="32"/>
          <w:szCs w:val="32"/>
          <w:lang w:val="en-US" w:eastAsia="zh-CN" w:bidi="ar-SA"/>
        </w:rPr>
        <w:t>坚持每月召开经济运行分析及项目工作推进会，每个季度举办项目单位培训会，加强面对面指导，充分发挥发改、工信、住建、农业农村、交通运输等部门作用，配合统计部门确保项目应入尽入。</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（5）强化统计人员培训，提高统计基层基础工作水平。</w:t>
      </w:r>
      <w:r>
        <w:rPr>
          <w:rFonts w:hint="eastAsia" w:ascii="仿宋_GB2312" w:hAnsi="仿宋_GB2312" w:eastAsia="仿宋_GB2312" w:cs="仿宋_GB2312"/>
          <w:color w:val="auto"/>
          <w:kern w:val="2"/>
          <w:sz w:val="32"/>
          <w:szCs w:val="32"/>
          <w:lang w:val="en-US" w:eastAsia="zh-CN" w:bidi="ar-SA"/>
        </w:rPr>
        <w:t>制定培训计划，扩大统计培训履盖面，提高统计人员业务水平。进一步细化统计工作绩效考核，按“六有”“六化”要求规范基层统计工作。</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（6）加强数据核查，提高统计数据质量。</w:t>
      </w:r>
      <w:r>
        <w:rPr>
          <w:rFonts w:hint="eastAsia" w:ascii="仿宋_GB2312" w:hAnsi="仿宋_GB2312" w:eastAsia="仿宋_GB2312" w:cs="仿宋_GB2312"/>
          <w:color w:val="auto"/>
          <w:kern w:val="2"/>
          <w:sz w:val="32"/>
          <w:szCs w:val="32"/>
          <w:lang w:val="en-US" w:eastAsia="zh-CN" w:bidi="ar-SA"/>
        </w:rPr>
        <w:t>不定期对重点企业开展自查，每个月通过实在电话、调阅资料等方式对数据变化超过规定幅度的企业进行核查，提高数据质量。</w:t>
      </w:r>
    </w:p>
    <w:p>
      <w:pPr>
        <w:pStyle w:val="6"/>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（7）加强部门联动，强化调查单位升规入统。</w:t>
      </w:r>
      <w:r>
        <w:rPr>
          <w:rFonts w:hint="eastAsia" w:ascii="仿宋_GB2312" w:hAnsi="仿宋_GB2312" w:eastAsia="仿宋_GB2312" w:cs="仿宋_GB2312"/>
          <w:color w:val="auto"/>
          <w:kern w:val="2"/>
          <w:sz w:val="32"/>
          <w:szCs w:val="32"/>
          <w:lang w:val="en-US" w:eastAsia="zh-CN" w:bidi="ar-SA"/>
        </w:rPr>
        <w:t>加强统计入库工作指导力度，加强与发改、工信、住建、农业农村、行政审批、税务等部门协调配合，建立信息共享机制，确保达标企业应入尽入。</w:t>
      </w:r>
    </w:p>
    <w:p>
      <w:pPr>
        <w:pStyle w:val="2"/>
        <w:pageBreakBefore w:val="0"/>
        <w:tabs>
          <w:tab w:val="left" w:pos="6195"/>
        </w:tabs>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w:t>
      </w:r>
      <w:r>
        <w:rPr>
          <w:rFonts w:hint="eastAsia" w:ascii="仿宋_GB2312" w:eastAsia="仿宋_GB2312"/>
          <w:color w:val="auto"/>
          <w:sz w:val="32"/>
          <w:szCs w:val="32"/>
          <w:lang w:val="en-US" w:eastAsia="zh-CN"/>
        </w:rPr>
        <w:t>成立内部控制领导小组，研究讨论内部控制工作方案、健全工作机制</w:t>
      </w:r>
      <w:r>
        <w:rPr>
          <w:rFonts w:hint="eastAsia" w:ascii="仿宋_GB2312" w:eastAsia="仿宋_GB2312"/>
          <w:color w:val="auto"/>
          <w:sz w:val="32"/>
          <w:szCs w:val="32"/>
        </w:rPr>
        <w:t>。</w:t>
      </w:r>
    </w:p>
    <w:p>
      <w:pPr>
        <w:pStyle w:val="2"/>
        <w:pageBreakBefore w:val="0"/>
        <w:numPr>
          <w:ilvl w:val="0"/>
          <w:numId w:val="2"/>
        </w:numPr>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单位资金分配情况</w:t>
      </w:r>
    </w:p>
    <w:p>
      <w:pPr>
        <w:pageBreakBefore w:val="0"/>
        <w:widowControl/>
        <w:kinsoku/>
        <w:wordWrap/>
        <w:overflowPunct/>
        <w:topLinePunct w:val="0"/>
        <w:autoSpaceDE/>
        <w:autoSpaceDN/>
        <w:bidi w:val="0"/>
        <w:spacing w:line="560" w:lineRule="exact"/>
        <w:ind w:firstLine="640"/>
        <w:jc w:val="left"/>
        <w:textAlignment w:val="auto"/>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pageBreakBefore w:val="0"/>
        <w:widowControl/>
        <w:kinsoku/>
        <w:wordWrap/>
        <w:overflowPunct/>
        <w:topLinePunct w:val="0"/>
        <w:autoSpaceDE/>
        <w:autoSpaceDN/>
        <w:bidi w:val="0"/>
        <w:spacing w:line="560" w:lineRule="exact"/>
        <w:ind w:firstLine="640"/>
        <w:jc w:val="left"/>
        <w:textAlignment w:val="auto"/>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w:t>
      </w:r>
    </w:p>
    <w:p>
      <w:pPr>
        <w:pStyle w:val="2"/>
        <w:pageBreakBefore w:val="0"/>
        <w:numPr>
          <w:ilvl w:val="0"/>
          <w:numId w:val="2"/>
        </w:numPr>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pageBreakBefore w:val="0"/>
        <w:numPr>
          <w:ilvl w:val="0"/>
          <w:numId w:val="3"/>
        </w:numPr>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pageBreakBefore w:val="0"/>
        <w:kinsoku/>
        <w:wordWrap/>
        <w:overflowPunct/>
        <w:topLinePunct w:val="0"/>
        <w:autoSpaceDE/>
        <w:autoSpaceDN/>
        <w:bidi w:val="0"/>
        <w:spacing w:line="560" w:lineRule="exact"/>
        <w:ind w:firstLine="640"/>
        <w:textAlignment w:val="auto"/>
        <w:rPr>
          <w:rFonts w:hint="default"/>
          <w:color w:val="auto"/>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val="en-US" w:eastAsia="zh-CN"/>
        </w:rPr>
        <w:t>昌吉市统计局</w:t>
      </w:r>
      <w:r>
        <w:rPr>
          <w:rFonts w:hint="eastAsia" w:ascii="仿宋_GB2312" w:eastAsia="仿宋_GB2312"/>
          <w:bCs/>
          <w:color w:val="auto"/>
          <w:sz w:val="32"/>
          <w:szCs w:val="32"/>
        </w:rPr>
        <w:t>整体支出年初预算金额为</w:t>
      </w:r>
      <w:r>
        <w:rPr>
          <w:rFonts w:hint="eastAsia" w:ascii="仿宋_GB2312" w:eastAsia="仿宋_GB2312"/>
          <w:color w:val="auto"/>
          <w:sz w:val="32"/>
          <w:szCs w:val="32"/>
          <w:lang w:val="en-US" w:eastAsia="zh-CN"/>
        </w:rPr>
        <w:t>260.65</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392.56</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150.61</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131.91</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50.61</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392.56</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392.56</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p>
    <w:p>
      <w:pPr>
        <w:pStyle w:val="4"/>
        <w:pageBreakBefore w:val="0"/>
        <w:kinsoku/>
        <w:wordWrap/>
        <w:overflowPunct/>
        <w:topLinePunct w:val="0"/>
        <w:autoSpaceDE/>
        <w:autoSpaceDN/>
        <w:bidi w:val="0"/>
        <w:spacing w:line="560" w:lineRule="exact"/>
        <w:ind w:firstLine="640"/>
        <w:textAlignment w:val="auto"/>
        <w:rPr>
          <w:color w:val="auto"/>
          <w:sz w:val="32"/>
        </w:rPr>
      </w:pPr>
      <w:r>
        <w:rPr>
          <w:rFonts w:hint="eastAsia"/>
          <w:color w:val="auto"/>
          <w:sz w:val="32"/>
        </w:rPr>
        <w:t>2.部门单位整体支出自评使用方法、主要内容、涉及范围</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整体支出实际开展情况，运用定量和定性分析相结合的方法，总结经验做法，反思项目实施和管理中的问题，以切实提升财政资金管理的科学化、规范化和精细化水平。</w:t>
      </w:r>
    </w:p>
    <w:p>
      <w:pPr>
        <w:pStyle w:val="4"/>
        <w:pageBreakBefore w:val="0"/>
        <w:kinsoku/>
        <w:wordWrap/>
        <w:overflowPunct/>
        <w:topLinePunct w:val="0"/>
        <w:autoSpaceDE/>
        <w:autoSpaceDN/>
        <w:bidi w:val="0"/>
        <w:spacing w:line="560" w:lineRule="exact"/>
        <w:ind w:firstLine="640"/>
        <w:textAlignment w:val="auto"/>
        <w:rPr>
          <w:color w:val="auto"/>
          <w:sz w:val="32"/>
        </w:rPr>
      </w:pPr>
      <w:r>
        <w:rPr>
          <w:rFonts w:hint="eastAsia"/>
          <w:color w:val="auto"/>
          <w:sz w:val="32"/>
        </w:rPr>
        <w:t>（2）评价的主要内容和涉及范围</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2"/>
        <w:pageBreakBefore w:val="0"/>
        <w:numPr>
          <w:ilvl w:val="0"/>
          <w:numId w:val="4"/>
        </w:numPr>
        <w:kinsoku/>
        <w:wordWrap/>
        <w:overflowPunct/>
        <w:topLinePunct w:val="0"/>
        <w:autoSpaceDE/>
        <w:autoSpaceDN/>
        <w:bidi w:val="0"/>
        <w:spacing w:line="560" w:lineRule="exact"/>
        <w:ind w:firstLineChars="0"/>
        <w:textAlignment w:val="auto"/>
        <w:rPr>
          <w:rFonts w:ascii="楷体_GB2312" w:eastAsia="楷体_GB2312"/>
          <w:color w:val="auto"/>
          <w:szCs w:val="32"/>
        </w:rPr>
      </w:pPr>
      <w:r>
        <w:rPr>
          <w:rFonts w:hint="eastAsia" w:ascii="楷体_GB2312" w:eastAsia="楷体_GB2312"/>
          <w:bCs/>
          <w:color w:val="auto"/>
          <w:szCs w:val="32"/>
        </w:rPr>
        <w:t>预算管理情况</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w:t>
      </w:r>
      <w:r>
        <w:rPr>
          <w:rFonts w:hint="eastAsia" w:ascii="仿宋_GB2312" w:eastAsia="仿宋_GB2312"/>
          <w:color w:val="auto"/>
          <w:sz w:val="32"/>
          <w:szCs w:val="32"/>
          <w:lang w:val="en-US" w:eastAsia="zh-CN"/>
        </w:rPr>
        <w:t>成立内部控制领导小组，研究讨论内部控制工作方案、健全工作机制</w:t>
      </w:r>
      <w:r>
        <w:rPr>
          <w:rFonts w:hint="eastAsia" w:ascii="仿宋_GB2312" w:eastAsia="仿宋_GB2312"/>
          <w:color w:val="auto"/>
          <w:sz w:val="32"/>
          <w:szCs w:val="32"/>
        </w:rPr>
        <w:t>。并严格按照政府信息公开有关规定及财政部门要求公开相关预决算信息。</w:t>
      </w:r>
    </w:p>
    <w:p>
      <w:pPr>
        <w:pStyle w:val="2"/>
        <w:pageBreakBefore w:val="0"/>
        <w:numPr>
          <w:ilvl w:val="0"/>
          <w:numId w:val="4"/>
        </w:numPr>
        <w:kinsoku/>
        <w:wordWrap/>
        <w:overflowPunct/>
        <w:topLinePunct w:val="0"/>
        <w:autoSpaceDE/>
        <w:autoSpaceDN/>
        <w:bidi w:val="0"/>
        <w:spacing w:line="560" w:lineRule="exact"/>
        <w:ind w:firstLineChars="0"/>
        <w:textAlignment w:val="auto"/>
        <w:rPr>
          <w:rFonts w:ascii="楷体_GB2312" w:eastAsia="楷体_GB2312"/>
          <w:bCs/>
          <w:color w:val="auto"/>
          <w:szCs w:val="32"/>
        </w:rPr>
      </w:pPr>
      <w:r>
        <w:rPr>
          <w:rFonts w:hint="eastAsia" w:ascii="楷体_GB2312" w:eastAsia="楷体_GB2312"/>
          <w:bCs/>
          <w:color w:val="auto"/>
          <w:szCs w:val="32"/>
        </w:rPr>
        <w:t>基本支出预算安排及支出情况</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昌吉市统计局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260.65</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322.30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123.65</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61.65</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322.30</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322.30</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309.56</w:t>
      </w:r>
      <w:r>
        <w:rPr>
          <w:rFonts w:hint="eastAsia" w:ascii="仿宋_GB2312" w:eastAsia="仿宋_GB2312"/>
          <w:color w:val="auto"/>
          <w:sz w:val="32"/>
          <w:szCs w:val="32"/>
        </w:rPr>
        <w:t>元，公用经费</w:t>
      </w:r>
      <w:r>
        <w:rPr>
          <w:rFonts w:hint="eastAsia" w:ascii="仿宋_GB2312" w:eastAsia="仿宋_GB2312"/>
          <w:color w:val="auto"/>
          <w:sz w:val="32"/>
          <w:szCs w:val="32"/>
          <w:lang w:val="en-US" w:eastAsia="zh-CN"/>
        </w:rPr>
        <w:t>12.74</w:t>
      </w:r>
      <w:r>
        <w:rPr>
          <w:rFonts w:hint="eastAsia" w:ascii="仿宋_GB2312" w:eastAsia="仿宋_GB2312"/>
          <w:color w:val="auto"/>
          <w:sz w:val="32"/>
          <w:szCs w:val="32"/>
        </w:rPr>
        <w:t>万元。</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5.20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5.20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pageBreakBefore w:val="0"/>
        <w:kinsoku/>
        <w:wordWrap/>
        <w:overflowPunct/>
        <w:topLinePunct w:val="0"/>
        <w:autoSpaceDE/>
        <w:autoSpaceDN/>
        <w:bidi w:val="0"/>
        <w:spacing w:line="560" w:lineRule="exact"/>
        <w:ind w:firstLine="681" w:firstLineChars="213"/>
        <w:jc w:val="left"/>
        <w:textAlignment w:val="auto"/>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3.40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3.40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2.88</w:t>
      </w:r>
      <w:r>
        <w:rPr>
          <w:rFonts w:hint="eastAsia" w:ascii="仿宋_GB2312" w:eastAsia="仿宋_GB2312" w:cs="宋体"/>
          <w:color w:val="auto"/>
          <w:sz w:val="32"/>
          <w:szCs w:val="32"/>
        </w:rPr>
        <w:t>万元，增加</w:t>
      </w:r>
      <w:r>
        <w:rPr>
          <w:rFonts w:hint="eastAsia" w:ascii="仿宋_GB2312" w:eastAsia="仿宋_GB2312" w:cs="宋体"/>
          <w:color w:val="auto"/>
          <w:sz w:val="32"/>
          <w:szCs w:val="32"/>
          <w:lang w:val="en-US" w:eastAsia="zh-CN"/>
        </w:rPr>
        <w:t>0.52</w:t>
      </w:r>
      <w:r>
        <w:rPr>
          <w:rFonts w:hint="eastAsia" w:ascii="仿宋_GB2312" w:eastAsia="仿宋_GB2312" w:cs="宋体"/>
          <w:color w:val="auto"/>
          <w:sz w:val="32"/>
          <w:szCs w:val="32"/>
        </w:rPr>
        <w:t>万元，增长</w:t>
      </w:r>
      <w:r>
        <w:rPr>
          <w:rFonts w:hint="eastAsia" w:ascii="仿宋_GB2312" w:eastAsia="仿宋_GB2312" w:cs="宋体"/>
          <w:color w:val="auto"/>
          <w:sz w:val="32"/>
          <w:szCs w:val="32"/>
          <w:lang w:val="en-US" w:eastAsia="zh-CN"/>
        </w:rPr>
        <w:t>18.06</w:t>
      </w:r>
      <w:r>
        <w:rPr>
          <w:rFonts w:hint="eastAsia" w:ascii="仿宋_GB2312" w:eastAsia="仿宋_GB2312" w:cs="宋体"/>
          <w:color w:val="auto"/>
          <w:sz w:val="32"/>
          <w:szCs w:val="32"/>
        </w:rPr>
        <w:t>%。</w:t>
      </w:r>
    </w:p>
    <w:p>
      <w:pPr>
        <w:pStyle w:val="2"/>
        <w:pageBreakBefore w:val="0"/>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4"/>
        <w:pageBreakBefore w:val="0"/>
        <w:kinsoku/>
        <w:wordWrap/>
        <w:overflowPunct/>
        <w:topLinePunct w:val="0"/>
        <w:autoSpaceDE/>
        <w:autoSpaceDN/>
        <w:bidi w:val="0"/>
        <w:spacing w:line="560" w:lineRule="exact"/>
        <w:ind w:firstLine="640"/>
        <w:textAlignment w:val="auto"/>
        <w:rPr>
          <w:rFonts w:hint="eastAsia" w:eastAsia="仿宋_GB2312"/>
          <w:b w:val="0"/>
          <w:bCs w:val="0"/>
          <w:color w:val="auto"/>
          <w:sz w:val="32"/>
          <w:lang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昌吉市统计局</w:t>
      </w:r>
      <w:r>
        <w:rPr>
          <w:rFonts w:hint="eastAsia"/>
          <w:b w:val="0"/>
          <w:bCs w:val="0"/>
          <w:color w:val="auto"/>
          <w:sz w:val="32"/>
        </w:rPr>
        <w:t>项目支出年初预算金额为</w:t>
      </w:r>
      <w:r>
        <w:rPr>
          <w:rFonts w:hint="eastAsia"/>
          <w:b w:val="0"/>
          <w:bCs w:val="0"/>
          <w:color w:val="auto"/>
          <w:sz w:val="32"/>
          <w:lang w:val="en-US" w:eastAsia="zh-CN"/>
        </w:rPr>
        <w:t>0.00</w:t>
      </w:r>
      <w:r>
        <w:rPr>
          <w:rFonts w:hint="eastAsia"/>
          <w:b w:val="0"/>
          <w:bCs w:val="0"/>
          <w:color w:val="auto"/>
          <w:sz w:val="32"/>
        </w:rPr>
        <w:t>万元，支出金额为</w:t>
      </w:r>
      <w:r>
        <w:rPr>
          <w:rFonts w:hint="eastAsia"/>
          <w:b w:val="0"/>
          <w:bCs w:val="0"/>
          <w:color w:val="auto"/>
          <w:sz w:val="32"/>
          <w:lang w:val="en-US" w:eastAsia="zh-CN"/>
        </w:rPr>
        <w:t>70.26</w:t>
      </w:r>
      <w:r>
        <w:rPr>
          <w:rFonts w:hint="eastAsia"/>
          <w:b w:val="0"/>
          <w:bCs w:val="0"/>
          <w:color w:val="auto"/>
          <w:sz w:val="32"/>
        </w:rPr>
        <w:t>万元，年中调整预算金额为</w:t>
      </w:r>
      <w:r>
        <w:rPr>
          <w:rFonts w:hint="eastAsia"/>
          <w:b w:val="0"/>
          <w:bCs w:val="0"/>
          <w:color w:val="auto"/>
          <w:sz w:val="32"/>
          <w:lang w:val="en-US" w:eastAsia="zh-CN"/>
        </w:rPr>
        <w:t>70.26</w:t>
      </w:r>
      <w:r>
        <w:rPr>
          <w:rFonts w:hint="eastAsia"/>
          <w:b w:val="0"/>
          <w:bCs w:val="0"/>
          <w:color w:val="auto"/>
          <w:sz w:val="32"/>
        </w:rPr>
        <w:t>万元</w:t>
      </w:r>
      <w:r>
        <w:rPr>
          <w:rFonts w:hint="eastAsia"/>
          <w:b w:val="0"/>
          <w:bCs w:val="0"/>
          <w:color w:val="auto"/>
          <w:sz w:val="32"/>
          <w:lang w:eastAsia="zh-CN"/>
        </w:rPr>
        <w:t>（</w:t>
      </w:r>
      <w:r>
        <w:rPr>
          <w:rFonts w:hint="eastAsia"/>
          <w:b w:val="0"/>
          <w:bCs w:val="0"/>
          <w:color w:val="auto"/>
          <w:sz w:val="32"/>
          <w:lang w:val="en-US" w:eastAsia="zh-CN"/>
        </w:rPr>
        <w:t>含2022年结转0.00万元</w:t>
      </w:r>
      <w:r>
        <w:rPr>
          <w:rFonts w:hint="eastAsia"/>
          <w:b w:val="0"/>
          <w:bCs w:val="0"/>
          <w:color w:val="auto"/>
          <w:sz w:val="32"/>
          <w:lang w:eastAsia="zh-CN"/>
        </w:rPr>
        <w:t>）</w:t>
      </w:r>
      <w:r>
        <w:rPr>
          <w:rFonts w:hint="eastAsia"/>
          <w:b w:val="0"/>
          <w:bCs w:val="0"/>
          <w:color w:val="auto"/>
          <w:sz w:val="32"/>
        </w:rPr>
        <w:t>。综上，我单位项目支出预算总额为</w:t>
      </w:r>
      <w:r>
        <w:rPr>
          <w:rFonts w:hint="eastAsia"/>
          <w:b w:val="0"/>
          <w:bCs w:val="0"/>
          <w:color w:val="auto"/>
          <w:sz w:val="32"/>
          <w:lang w:val="en-US" w:eastAsia="zh-CN"/>
        </w:rPr>
        <w:t>70.26</w:t>
      </w:r>
      <w:r>
        <w:rPr>
          <w:rFonts w:hint="eastAsia"/>
          <w:b w:val="0"/>
          <w:bCs w:val="0"/>
          <w:color w:val="auto"/>
          <w:sz w:val="32"/>
        </w:rPr>
        <w:t>万元，支出总额为</w:t>
      </w:r>
      <w:r>
        <w:rPr>
          <w:rFonts w:hint="eastAsia"/>
          <w:b w:val="0"/>
          <w:bCs w:val="0"/>
          <w:color w:val="auto"/>
          <w:sz w:val="32"/>
          <w:lang w:val="en-US" w:eastAsia="zh-CN"/>
        </w:rPr>
        <w:t>70.26</w:t>
      </w:r>
      <w:r>
        <w:rPr>
          <w:rFonts w:hint="eastAsia"/>
          <w:b w:val="0"/>
          <w:bCs w:val="0"/>
          <w:color w:val="auto"/>
          <w:sz w:val="32"/>
        </w:rPr>
        <w:t>万元</w:t>
      </w:r>
      <w:r>
        <w:rPr>
          <w:rFonts w:hint="eastAsia"/>
          <w:b w:val="0"/>
          <w:bCs w:val="0"/>
          <w:color w:val="auto"/>
          <w:sz w:val="32"/>
          <w:lang w:eastAsia="zh-CN"/>
        </w:rPr>
        <w:t>。</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昌吉市统计局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pageBreakBefore w:val="0"/>
        <w:kinsoku/>
        <w:wordWrap/>
        <w:overflowPunct/>
        <w:topLinePunct w:val="0"/>
        <w:autoSpaceDE/>
        <w:autoSpaceDN/>
        <w:bidi w:val="0"/>
        <w:spacing w:line="560" w:lineRule="exact"/>
        <w:ind w:firstLine="420"/>
        <w:jc w:val="right"/>
        <w:textAlignment w:val="auto"/>
        <w:rPr>
          <w:rFonts w:hint="eastAsia"/>
          <w:color w:val="auto"/>
          <w:sz w:val="21"/>
          <w:szCs w:val="21"/>
        </w:rPr>
      </w:pPr>
    </w:p>
    <w:p>
      <w:pPr>
        <w:pageBreakBefore w:val="0"/>
        <w:kinsoku/>
        <w:wordWrap/>
        <w:overflowPunct/>
        <w:topLinePunct w:val="0"/>
        <w:autoSpaceDE/>
        <w:autoSpaceDN/>
        <w:bidi w:val="0"/>
        <w:spacing w:line="560" w:lineRule="exact"/>
        <w:ind w:firstLine="420"/>
        <w:jc w:val="right"/>
        <w:textAlignment w:val="auto"/>
        <w:rPr>
          <w:rFonts w:hint="eastAsia"/>
          <w:color w:val="auto"/>
          <w:sz w:val="21"/>
          <w:szCs w:val="21"/>
        </w:rPr>
      </w:pPr>
    </w:p>
    <w:p>
      <w:pPr>
        <w:pageBreakBefore w:val="0"/>
        <w:kinsoku/>
        <w:wordWrap/>
        <w:overflowPunct/>
        <w:topLinePunct w:val="0"/>
        <w:autoSpaceDE/>
        <w:autoSpaceDN/>
        <w:bidi w:val="0"/>
        <w:spacing w:line="560" w:lineRule="exact"/>
        <w:ind w:firstLine="420"/>
        <w:jc w:val="right"/>
        <w:textAlignment w:val="auto"/>
        <w:rPr>
          <w:rFonts w:hint="eastAsia"/>
          <w:color w:val="auto"/>
          <w:sz w:val="21"/>
          <w:szCs w:val="21"/>
        </w:rPr>
      </w:pPr>
    </w:p>
    <w:p>
      <w:pPr>
        <w:pageBreakBefore w:val="0"/>
        <w:kinsoku/>
        <w:wordWrap/>
        <w:overflowPunct/>
        <w:topLinePunct w:val="0"/>
        <w:autoSpaceDE/>
        <w:autoSpaceDN/>
        <w:bidi w:val="0"/>
        <w:spacing w:line="560" w:lineRule="exact"/>
        <w:ind w:firstLine="420"/>
        <w:jc w:val="right"/>
        <w:textAlignment w:val="auto"/>
        <w:rPr>
          <w:color w:val="auto"/>
          <w:sz w:val="21"/>
          <w:szCs w:val="21"/>
        </w:rPr>
      </w:pPr>
      <w:r>
        <w:rPr>
          <w:rFonts w:hint="eastAsia"/>
          <w:color w:val="auto"/>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Layout w:type="fixed"/>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是否上级专项资金</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2021年城镇化率调查经费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18.40</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18.40</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自治区2022年度统计专项业务经费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6.72</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6.72</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国家统计局昌吉调查队专项经费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9.60</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9.60</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eastAsia="仿宋_GB2312" w:cs="Calibri"/>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5名聘用人员2022年10-12月工资社保经费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5.54</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5.54</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国家统计局昌吉调查队住户调查月度调查失业率统计工作经费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10.00</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10.00</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工作经费</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20.00</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20.00</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Layout w:type="fixed"/>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left"/>
              <w:textAlignment w:val="auto"/>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70.26</w:t>
            </w:r>
          </w:p>
        </w:tc>
        <w:tc>
          <w:tcPr>
            <w:tcW w:w="1134"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70.26</w:t>
            </w:r>
          </w:p>
        </w:tc>
        <w:tc>
          <w:tcPr>
            <w:tcW w:w="85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right"/>
              <w:textAlignment w:val="auto"/>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pageBreakBefore w:val="0"/>
              <w:widowControl/>
              <w:kinsoku/>
              <w:wordWrap/>
              <w:overflowPunct/>
              <w:topLinePunct w:val="0"/>
              <w:autoSpaceDE/>
              <w:autoSpaceDN/>
              <w:bidi w:val="0"/>
              <w:adjustRightInd w:val="0"/>
              <w:snapToGrid w:val="0"/>
              <w:spacing w:line="560" w:lineRule="exact"/>
              <w:ind w:firstLine="0" w:firstLineChars="0"/>
              <w:jc w:val="center"/>
              <w:textAlignment w:val="auto"/>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r>
    </w:tbl>
    <w:p>
      <w:pPr>
        <w:pageBreakBefore w:val="0"/>
        <w:numPr>
          <w:ilvl w:val="0"/>
          <w:numId w:val="0"/>
        </w:numPr>
        <w:kinsoku/>
        <w:wordWrap/>
        <w:overflowPunct/>
        <w:topLinePunct w:val="0"/>
        <w:autoSpaceDE/>
        <w:autoSpaceDN/>
        <w:bidi w:val="0"/>
        <w:spacing w:line="560" w:lineRule="exact"/>
        <w:textAlignment w:val="auto"/>
        <w:rPr>
          <w:rFonts w:hint="eastAsia" w:ascii="仿宋_GB2312" w:eastAsia="仿宋_GB2312"/>
          <w:b/>
          <w:bCs/>
          <w:color w:val="auto"/>
          <w:sz w:val="32"/>
          <w:szCs w:val="32"/>
          <w:lang w:val="en-US" w:eastAsia="zh-CN"/>
        </w:rPr>
      </w:pPr>
    </w:p>
    <w:p>
      <w:pPr>
        <w:pageBreakBefore w:val="0"/>
        <w:numPr>
          <w:ilvl w:val="0"/>
          <w:numId w:val="0"/>
        </w:numPr>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
          <w:b w:val="0"/>
          <w:bCs w:val="0"/>
          <w:color w:val="auto"/>
          <w:kern w:val="2"/>
          <w:sz w:val="32"/>
          <w:szCs w:val="32"/>
          <w:lang w:val="en-US" w:eastAsia="zh-CN" w:bidi="ar-SA"/>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专项资金总投入及实际使用情况分析</w:t>
      </w:r>
    </w:p>
    <w:p>
      <w:pPr>
        <w:pageBreakBefore w:val="0"/>
        <w:numPr>
          <w:ilvl w:val="0"/>
          <w:numId w:val="0"/>
        </w:numPr>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
          <w:b w:val="0"/>
          <w:bCs w:val="0"/>
          <w:color w:val="auto"/>
          <w:kern w:val="2"/>
          <w:sz w:val="32"/>
          <w:szCs w:val="32"/>
          <w:lang w:val="en-US" w:eastAsia="zh-CN" w:bidi="ar-SA"/>
        </w:rPr>
      </w:pPr>
      <w:r>
        <w:rPr>
          <w:rFonts w:hint="eastAsia" w:ascii="仿宋_GB2312" w:hAnsi="仿宋_GB2312" w:eastAsia="仿宋_GB2312" w:cs="仿宋"/>
          <w:b w:val="0"/>
          <w:bCs w:val="0"/>
          <w:color w:val="auto"/>
          <w:kern w:val="2"/>
          <w:sz w:val="32"/>
          <w:szCs w:val="32"/>
          <w:lang w:val="en-US" w:eastAsia="zh-CN" w:bidi="ar-SA"/>
        </w:rPr>
        <w:t>2022年本单位全年安排自治区的专项资金6.72万元，根据《关于提前下达自治区2022年度统计专项业务经费的通知》（昌州财行[2021]42号）要求，此项工作经费用于开展昌吉市住户调查工作。实际使用情况：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
          <w:b w:val="0"/>
          <w:bCs w:val="0"/>
          <w:color w:val="auto"/>
          <w:kern w:val="2"/>
          <w:sz w:val="32"/>
          <w:szCs w:val="32"/>
          <w:lang w:val="en-US" w:eastAsia="zh-CN" w:bidi="ar-SA"/>
        </w:rPr>
      </w:pPr>
      <w:r>
        <w:rPr>
          <w:rFonts w:hint="eastAsia" w:ascii="仿宋_GB2312" w:hAnsi="仿宋_GB2312" w:eastAsia="仿宋_GB2312" w:cs="仿宋"/>
          <w:b w:val="0"/>
          <w:bCs w:val="0"/>
          <w:color w:val="auto"/>
          <w:kern w:val="2"/>
          <w:sz w:val="32"/>
          <w:szCs w:val="32"/>
          <w:lang w:val="en-US" w:eastAsia="zh-CN" w:bidi="ar-SA"/>
        </w:rPr>
        <w:t>①昌吉市住户调查队负责70个调查户补贴5.88万元（70户×70元/户×12个月=5.88万元）；</w:t>
      </w:r>
      <w:r>
        <w:rPr>
          <w:rFonts w:hint="eastAsia" w:ascii="仿宋_GB2312" w:hAnsi="仿宋_GB2312" w:eastAsia="仿宋_GB2312" w:cs="仿宋"/>
          <w:b w:val="0"/>
          <w:bCs w:val="0"/>
          <w:color w:val="auto"/>
          <w:kern w:val="2"/>
          <w:sz w:val="32"/>
          <w:szCs w:val="32"/>
          <w:lang w:val="en-US" w:eastAsia="zh-CN" w:bidi="ar-SA"/>
        </w:rPr>
        <w:br w:type="textWrapping"/>
      </w:r>
      <w:r>
        <w:rPr>
          <w:rFonts w:hint="eastAsia" w:ascii="仿宋_GB2312" w:hAnsi="仿宋_GB2312" w:eastAsia="仿宋_GB2312" w:cs="仿宋"/>
          <w:b w:val="0"/>
          <w:bCs w:val="0"/>
          <w:color w:val="auto"/>
          <w:kern w:val="2"/>
          <w:sz w:val="32"/>
          <w:szCs w:val="32"/>
          <w:lang w:val="en-US" w:eastAsia="zh-CN" w:bidi="ar-SA"/>
        </w:rPr>
        <w:t xml:space="preserve">    ②昌吉市住户调查队负责7名辅助调查员补贴0.84万元（7人×100元/人×12个月=0.84万元）。</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三、部门单位专项组织实施情况</w:t>
      </w:r>
    </w:p>
    <w:p>
      <w:pPr>
        <w:pStyle w:val="2"/>
        <w:pageBreakBefore w:val="0"/>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（一）专项组织情况分析</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b/>
          <w:bCs/>
          <w:color w:val="auto"/>
          <w:sz w:val="32"/>
          <w:szCs w:val="32"/>
        </w:rPr>
        <w:t>1.前期准备</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梳理202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pageBreakBefore w:val="0"/>
        <w:kinsoku/>
        <w:wordWrap/>
        <w:overflowPunct/>
        <w:topLinePunct w:val="0"/>
        <w:autoSpaceDE/>
        <w:autoSpaceDN/>
        <w:bidi w:val="0"/>
        <w:spacing w:line="560" w:lineRule="exact"/>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2.组织实施</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2"/>
        <w:pageBreakBefore w:val="0"/>
        <w:numPr>
          <w:ilvl w:val="0"/>
          <w:numId w:val="5"/>
        </w:numPr>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专项管理情况分析</w:t>
      </w:r>
    </w:p>
    <w:p>
      <w:pPr>
        <w:pageBreakBefore w:val="0"/>
        <w:kinsoku/>
        <w:wordWrap/>
        <w:overflowPunct/>
        <w:topLinePunct w:val="0"/>
        <w:autoSpaceDE/>
        <w:autoSpaceDN/>
        <w:bidi w:val="0"/>
        <w:spacing w:line="560" w:lineRule="exact"/>
        <w:ind w:firstLine="640"/>
        <w:textAlignment w:val="auto"/>
        <w:rPr>
          <w:rFonts w:hint="default" w:ascii="仿宋_GB2312" w:eastAsia="仿宋_GB2312" w:cs="仿宋"/>
          <w:b/>
          <w:bCs/>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年本单位全年安排自治区专项资金支出项目</w:t>
      </w:r>
      <w:r>
        <w:rPr>
          <w:rFonts w:hint="eastAsia" w:ascii="仿宋_GB2312" w:eastAsia="仿宋_GB2312"/>
          <w:color w:val="auto"/>
          <w:sz w:val="32"/>
          <w:szCs w:val="32"/>
          <w:lang w:val="en-US" w:eastAsia="zh-CN"/>
        </w:rPr>
        <w:t>6.72万元</w:t>
      </w:r>
      <w:r>
        <w:rPr>
          <w:rFonts w:hint="eastAsia" w:ascii="仿宋_GB2312" w:eastAsia="仿宋_GB2312"/>
          <w:color w:val="auto"/>
          <w:sz w:val="32"/>
          <w:szCs w:val="32"/>
          <w:lang w:eastAsia="zh-CN"/>
        </w:rPr>
        <w:t>。</w:t>
      </w:r>
      <w:r>
        <w:rPr>
          <w:rFonts w:hint="eastAsia" w:ascii="仿宋_GB2312" w:eastAsia="仿宋_GB2312"/>
          <w:color w:val="auto"/>
          <w:sz w:val="32"/>
          <w:szCs w:val="32"/>
        </w:rPr>
        <w:t>对于专项资金下达的绩效目标表的专项项目按照下达绩效目标，</w:t>
      </w:r>
      <w:r>
        <w:rPr>
          <w:rFonts w:hint="eastAsia" w:ascii="仿宋_GB2312" w:eastAsia="仿宋_GB2312"/>
          <w:color w:val="auto"/>
          <w:sz w:val="32"/>
          <w:szCs w:val="32"/>
          <w:lang w:val="en-US" w:eastAsia="zh-CN"/>
        </w:rPr>
        <w:t>按季度发放住户经费补贴，</w:t>
      </w:r>
      <w:r>
        <w:rPr>
          <w:rFonts w:hint="eastAsia" w:ascii="仿宋_GB2312" w:eastAsia="仿宋_GB2312"/>
          <w:color w:val="auto"/>
          <w:sz w:val="32"/>
          <w:szCs w:val="32"/>
        </w:rPr>
        <w:t>开展专项项目绩效自评。</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四、资产管理情况</w:t>
      </w:r>
    </w:p>
    <w:p>
      <w:pPr>
        <w:pStyle w:val="2"/>
        <w:pageBreakBefore w:val="0"/>
        <w:numPr>
          <w:ilvl w:val="0"/>
          <w:numId w:val="6"/>
        </w:numPr>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资产情况及固定资产利用情况</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35.07</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15.28</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30.35</w:t>
      </w:r>
      <w:r>
        <w:rPr>
          <w:rFonts w:hint="eastAsia" w:ascii="仿宋_GB2312" w:eastAsia="仿宋_GB2312"/>
          <w:color w:val="auto"/>
          <w:sz w:val="32"/>
          <w:szCs w:val="32"/>
        </w:rPr>
        <w:t>%，其中：</w:t>
      </w:r>
    </w:p>
    <w:p>
      <w:pPr>
        <w:pageBreakBefore w:val="0"/>
        <w:kinsoku/>
        <w:wordWrap/>
        <w:overflowPunct/>
        <w:topLinePunct w:val="0"/>
        <w:autoSpaceDE/>
        <w:autoSpaceDN/>
        <w:bidi w:val="0"/>
        <w:spacing w:line="560" w:lineRule="exact"/>
        <w:ind w:firstLine="640"/>
        <w:textAlignment w:val="auto"/>
        <w:rPr>
          <w:rFonts w:hint="default" w:ascii="仿宋_GB2312" w:eastAsia="仿宋_GB2312"/>
          <w:b w:val="0"/>
          <w:bCs w:val="0"/>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8.58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15.31</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增加6.73</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增长78.43</w:t>
      </w:r>
      <w:r>
        <w:rPr>
          <w:rFonts w:hint="eastAsia" w:ascii="仿宋_GB2312" w:eastAsia="仿宋_GB2312"/>
          <w:color w:val="auto"/>
          <w:sz w:val="32"/>
          <w:szCs w:val="32"/>
        </w:rPr>
        <w:t>%，</w:t>
      </w:r>
      <w:r>
        <w:rPr>
          <w:rFonts w:hint="eastAsia" w:ascii="仿宋_GB2312" w:eastAsia="仿宋_GB2312"/>
          <w:b w:val="0"/>
          <w:bCs w:val="0"/>
          <w:color w:val="auto"/>
          <w:sz w:val="32"/>
          <w:szCs w:val="32"/>
        </w:rPr>
        <w:t>主要变动原因是：</w:t>
      </w:r>
      <w:r>
        <w:rPr>
          <w:rFonts w:hint="eastAsia" w:ascii="仿宋_GB2312" w:eastAsia="仿宋_GB2312"/>
          <w:b w:val="0"/>
          <w:bCs w:val="0"/>
          <w:color w:val="auto"/>
          <w:sz w:val="32"/>
          <w:szCs w:val="32"/>
          <w:lang w:val="en-US" w:eastAsia="zh-CN"/>
        </w:rPr>
        <w:t>2022年新招录1名公务员，引进1名研究生扣回社保、公积金；自治区编制2人2023年人员经费。</w:t>
      </w:r>
    </w:p>
    <w:p>
      <w:pPr>
        <w:pageBreakBefore w:val="0"/>
        <w:kinsoku/>
        <w:wordWrap/>
        <w:overflowPunct/>
        <w:topLinePunct w:val="0"/>
        <w:autoSpaceDE/>
        <w:autoSpaceDN/>
        <w:bidi w:val="0"/>
        <w:spacing w:line="560" w:lineRule="exact"/>
        <w:ind w:firstLine="640"/>
        <w:textAlignment w:val="auto"/>
        <w:rPr>
          <w:color w:val="auto"/>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111.82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95.52</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固定资产</w:t>
      </w:r>
      <w:r>
        <w:rPr>
          <w:rFonts w:hint="eastAsia" w:ascii="仿宋_GB2312" w:eastAsia="仿宋_GB2312"/>
          <w:color w:val="auto"/>
          <w:sz w:val="32"/>
          <w:szCs w:val="32"/>
          <w:highlight w:val="none"/>
          <w:lang w:val="en-US" w:eastAsia="zh-CN"/>
        </w:rPr>
        <w:t>净值为19.76万元，</w:t>
      </w:r>
      <w:r>
        <w:rPr>
          <w:rFonts w:hint="eastAsia" w:ascii="仿宋_GB2312" w:eastAsia="仿宋_GB2312"/>
          <w:color w:val="auto"/>
          <w:sz w:val="32"/>
          <w:szCs w:val="32"/>
        </w:rPr>
        <w:t>较年初固定资产</w:t>
      </w:r>
      <w:r>
        <w:rPr>
          <w:rFonts w:hint="eastAsia" w:ascii="仿宋_GB2312" w:eastAsia="仿宋_GB2312"/>
          <w:color w:val="auto"/>
          <w:sz w:val="32"/>
          <w:szCs w:val="32"/>
          <w:lang w:val="en-US" w:eastAsia="zh-CN"/>
        </w:rPr>
        <w:t>减少16.30</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下降14.58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2022年将自治区配置38台联想商用台式机及19台奔图P2509NW黑白激光打印机调拨至各乡镇街道</w:t>
      </w:r>
      <w:r>
        <w:rPr>
          <w:rFonts w:hint="eastAsia" w:ascii="仿宋_GB2312" w:eastAsia="仿宋_GB2312"/>
          <w:color w:val="auto"/>
          <w:sz w:val="32"/>
          <w:szCs w:val="32"/>
        </w:rPr>
        <w:t>。</w:t>
      </w:r>
    </w:p>
    <w:p>
      <w:pPr>
        <w:pStyle w:val="2"/>
        <w:pageBreakBefore w:val="0"/>
        <w:numPr>
          <w:ilvl w:val="0"/>
          <w:numId w:val="6"/>
        </w:numPr>
        <w:kinsoku/>
        <w:wordWrap/>
        <w:overflowPunct/>
        <w:topLinePunct w:val="0"/>
        <w:autoSpaceDE/>
        <w:autoSpaceDN/>
        <w:bidi w:val="0"/>
        <w:spacing w:line="560" w:lineRule="exact"/>
        <w:ind w:firstLine="640"/>
        <w:textAlignment w:val="auto"/>
        <w:rPr>
          <w:rFonts w:ascii="楷体_GB2312" w:eastAsia="楷体_GB2312"/>
          <w:color w:val="auto"/>
          <w:szCs w:val="32"/>
        </w:rPr>
      </w:pPr>
      <w:r>
        <w:rPr>
          <w:rFonts w:hint="eastAsia" w:ascii="楷体_GB2312" w:eastAsia="楷体_GB2312"/>
          <w:color w:val="auto"/>
          <w:szCs w:val="32"/>
        </w:rPr>
        <w:t>资产管理规范性分析</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pageBreakBefore w:val="0"/>
        <w:kinsoku/>
        <w:wordWrap/>
        <w:overflowPunct/>
        <w:topLinePunct w:val="0"/>
        <w:autoSpaceDE/>
        <w:autoSpaceDN/>
        <w:bidi w:val="0"/>
        <w:spacing w:line="560" w:lineRule="exact"/>
        <w:ind w:firstLine="681" w:firstLineChars="213"/>
        <w:jc w:val="left"/>
        <w:textAlignment w:val="auto"/>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pageBreakBefore w:val="0"/>
        <w:kinsoku/>
        <w:wordWrap/>
        <w:overflowPunct/>
        <w:topLinePunct w:val="0"/>
        <w:autoSpaceDE/>
        <w:autoSpaceDN/>
        <w:bidi w:val="0"/>
        <w:spacing w:line="560" w:lineRule="exact"/>
        <w:ind w:firstLine="681" w:firstLineChars="213"/>
        <w:jc w:val="left"/>
        <w:textAlignment w:val="auto"/>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pageBreakBefore w:val="0"/>
        <w:kinsoku/>
        <w:wordWrap/>
        <w:overflowPunct/>
        <w:topLinePunct w:val="0"/>
        <w:autoSpaceDE/>
        <w:autoSpaceDN/>
        <w:bidi w:val="0"/>
        <w:spacing w:line="560" w:lineRule="exact"/>
        <w:ind w:firstLine="640"/>
        <w:jc w:val="left"/>
        <w:textAlignment w:val="auto"/>
        <w:rPr>
          <w:rFonts w:hint="eastAsia"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pageBreakBefore w:val="0"/>
        <w:kinsoku/>
        <w:wordWrap/>
        <w:overflowPunct/>
        <w:topLinePunct w:val="0"/>
        <w:autoSpaceDE/>
        <w:autoSpaceDN/>
        <w:bidi w:val="0"/>
        <w:spacing w:line="560" w:lineRule="exact"/>
        <w:ind w:firstLine="640"/>
        <w:jc w:val="left"/>
        <w:textAlignment w:val="auto"/>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pageBreakBefore w:val="0"/>
        <w:widowControl/>
        <w:kinsoku/>
        <w:wordWrap/>
        <w:overflowPunct/>
        <w:topLinePunct w:val="0"/>
        <w:autoSpaceDE/>
        <w:autoSpaceDN/>
        <w:bidi w:val="0"/>
        <w:spacing w:before="40" w:beforeAutospacing="0" w:after="0" w:afterAutospacing="0" w:line="560" w:lineRule="exact"/>
        <w:ind w:firstLine="640"/>
        <w:jc w:val="both"/>
        <w:textAlignment w:val="auto"/>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pageBreakBefore w:val="0"/>
        <w:numPr>
          <w:ilvl w:val="0"/>
          <w:numId w:val="7"/>
        </w:numPr>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部门单位整体支出绩效情况</w:t>
      </w:r>
    </w:p>
    <w:p>
      <w:pPr>
        <w:pageBreakBefore w:val="0"/>
        <w:kinsoku/>
        <w:wordWrap/>
        <w:overflowPunct/>
        <w:topLinePunct w:val="0"/>
        <w:autoSpaceDE/>
        <w:autoSpaceDN/>
        <w:bidi w:val="0"/>
        <w:adjustRightInd w:val="0"/>
        <w:snapToGrid w:val="0"/>
        <w:spacing w:line="560" w:lineRule="exact"/>
        <w:ind w:firstLine="624"/>
        <w:textAlignment w:val="auto"/>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昌吉市统计局</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11</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11</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4"/>
        <w:pageBreakBefore w:val="0"/>
        <w:kinsoku/>
        <w:wordWrap/>
        <w:overflowPunct/>
        <w:topLinePunct w:val="0"/>
        <w:autoSpaceDE/>
        <w:autoSpaceDN/>
        <w:bidi w:val="0"/>
        <w:spacing w:line="560" w:lineRule="exact"/>
        <w:ind w:firstLine="640"/>
        <w:textAlignment w:val="auto"/>
        <w:rPr>
          <w:color w:val="auto"/>
          <w:sz w:val="32"/>
        </w:rPr>
      </w:pPr>
      <w:r>
        <w:rPr>
          <w:rFonts w:hint="eastAsia"/>
          <w:color w:val="auto"/>
          <w:sz w:val="32"/>
        </w:rPr>
        <w:t>1.产出指标完成情况分析</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（1）数量指标</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=19人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22人</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115.79</w:t>
      </w:r>
      <w:r>
        <w:rPr>
          <w:rFonts w:hint="eastAsia" w:ascii="仿宋_GB2312" w:eastAsia="仿宋_GB2312"/>
          <w:color w:val="auto"/>
          <w:sz w:val="32"/>
          <w:szCs w:val="32"/>
        </w:rPr>
        <w:t>%;</w:t>
      </w:r>
    </w:p>
    <w:p>
      <w:pPr>
        <w:pageBreakBefore w:val="0"/>
        <w:kinsoku/>
        <w:wordWrap/>
        <w:overflowPunct/>
        <w:topLinePunct w:val="0"/>
        <w:autoSpaceDE/>
        <w:autoSpaceDN/>
        <w:bidi w:val="0"/>
        <w:spacing w:line="560" w:lineRule="exact"/>
        <w:ind w:firstLine="640"/>
        <w:textAlignment w:val="auto"/>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公务保障用车数量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ageBreakBefore w:val="0"/>
        <w:numPr>
          <w:ilvl w:val="0"/>
          <w:numId w:val="8"/>
        </w:numPr>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质量指标</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各专业统计、各项普查工作完成率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ageBreakBefore w:val="0"/>
        <w:numPr>
          <w:ilvl w:val="0"/>
          <w:numId w:val="8"/>
        </w:numPr>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时效指标</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公用经费使用及时率</w:t>
      </w:r>
      <w:r>
        <w:rPr>
          <w:rFonts w:hint="eastAsia" w:ascii="仿宋_GB2312" w:eastAsia="仿宋_GB2312"/>
          <w:color w:val="auto"/>
          <w:sz w:val="32"/>
          <w:szCs w:val="32"/>
        </w:rPr>
        <w:t>”指标：预期指标值为“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90%</w:t>
      </w:r>
      <w:r>
        <w:rPr>
          <w:rFonts w:hint="eastAsia" w:ascii="仿宋_GB2312" w:eastAsia="仿宋_GB2312"/>
          <w:color w:val="auto"/>
          <w:sz w:val="32"/>
          <w:szCs w:val="32"/>
        </w:rPr>
        <w:t>”，实际完成指标值为“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ageBreakBefore w:val="0"/>
        <w:numPr>
          <w:ilvl w:val="0"/>
          <w:numId w:val="8"/>
        </w:numPr>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成本指标</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人员类经费</w:t>
      </w:r>
      <w:r>
        <w:rPr>
          <w:rFonts w:hint="eastAsia" w:ascii="仿宋_GB2312" w:eastAsia="仿宋_GB2312"/>
          <w:color w:val="auto"/>
          <w:sz w:val="32"/>
          <w:szCs w:val="32"/>
        </w:rPr>
        <w:t>”指标：预期指标值为“</w:t>
      </w:r>
      <w:r>
        <w:rPr>
          <w:rFonts w:hint="eastAsia" w:ascii="Arial" w:hAnsi="Arial" w:eastAsia="仿宋_GB2312" w:cs="Arial"/>
          <w:color w:val="auto"/>
          <w:sz w:val="32"/>
          <w:szCs w:val="32"/>
          <w:lang w:val="en-US" w:eastAsia="zh-CN"/>
        </w:rPr>
        <w:t>≤</w:t>
      </w:r>
      <w:r>
        <w:rPr>
          <w:rFonts w:hint="eastAsia" w:ascii="仿宋_GB2312" w:eastAsia="仿宋_GB2312"/>
          <w:color w:val="auto"/>
          <w:sz w:val="32"/>
          <w:szCs w:val="32"/>
          <w:lang w:val="en-US" w:eastAsia="zh-CN"/>
        </w:rPr>
        <w:t>239.52万元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309.56万元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70.76</w:t>
      </w:r>
      <w:r>
        <w:rPr>
          <w:rFonts w:hint="eastAsia" w:ascii="仿宋_GB2312" w:eastAsia="仿宋_GB2312"/>
          <w:color w:val="auto"/>
          <w:sz w:val="32"/>
          <w:szCs w:val="32"/>
        </w:rPr>
        <w:t>%;</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运转类经费</w:t>
      </w:r>
      <w:r>
        <w:rPr>
          <w:rFonts w:hint="eastAsia" w:ascii="仿宋_GB2312" w:eastAsia="仿宋_GB2312"/>
          <w:color w:val="auto"/>
          <w:sz w:val="32"/>
          <w:szCs w:val="32"/>
        </w:rPr>
        <w:t>”指标：预期指标值为“</w:t>
      </w:r>
      <w:r>
        <w:rPr>
          <w:rFonts w:hint="eastAsia" w:ascii="Arial" w:hAnsi="Arial" w:eastAsia="仿宋_GB2312" w:cs="Arial"/>
          <w:color w:val="auto"/>
          <w:sz w:val="32"/>
          <w:szCs w:val="32"/>
          <w:lang w:val="en-US" w:eastAsia="zh-CN"/>
        </w:rPr>
        <w:t>≤</w:t>
      </w:r>
      <w:r>
        <w:rPr>
          <w:rFonts w:hint="eastAsia" w:ascii="仿宋_GB2312" w:eastAsia="仿宋_GB2312"/>
          <w:color w:val="auto"/>
          <w:sz w:val="32"/>
          <w:szCs w:val="32"/>
          <w:lang w:val="en-US" w:eastAsia="zh-CN"/>
        </w:rPr>
        <w:t>21.13万元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12.74万元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ageBreakBefore w:val="0"/>
        <w:kinsoku/>
        <w:wordWrap/>
        <w:overflowPunct/>
        <w:topLinePunct w:val="0"/>
        <w:autoSpaceDE/>
        <w:autoSpaceDN/>
        <w:bidi w:val="0"/>
        <w:spacing w:line="560" w:lineRule="exact"/>
        <w:ind w:firstLine="640"/>
        <w:textAlignment w:val="auto"/>
        <w:rPr>
          <w:rFonts w:hint="eastAsia" w:eastAsia="仿宋_GB2312"/>
          <w:color w:val="0070C0"/>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人均运转经费数</w:t>
      </w:r>
      <w:r>
        <w:rPr>
          <w:rFonts w:hint="eastAsia" w:ascii="仿宋_GB2312" w:eastAsia="仿宋_GB2312"/>
          <w:color w:val="auto"/>
          <w:sz w:val="32"/>
          <w:szCs w:val="32"/>
        </w:rPr>
        <w:t>”指标：预期指标值为“</w:t>
      </w:r>
      <w:r>
        <w:rPr>
          <w:rFonts w:hint="eastAsia" w:ascii="Arial" w:hAnsi="Arial" w:eastAsia="仿宋_GB2312" w:cs="Arial"/>
          <w:color w:val="auto"/>
          <w:sz w:val="32"/>
          <w:szCs w:val="32"/>
          <w:lang w:val="en-US" w:eastAsia="zh-CN"/>
        </w:rPr>
        <w:t>≤</w:t>
      </w:r>
      <w:r>
        <w:rPr>
          <w:rFonts w:hint="eastAsia" w:ascii="仿宋_GB2312" w:eastAsia="仿宋_GB2312"/>
          <w:color w:val="auto"/>
          <w:sz w:val="32"/>
          <w:szCs w:val="32"/>
          <w:lang w:val="en-US" w:eastAsia="zh-CN"/>
        </w:rPr>
        <w:t>12.60万元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14.07万元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88.33</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4"/>
        <w:pageBreakBefore w:val="0"/>
        <w:kinsoku/>
        <w:wordWrap/>
        <w:overflowPunct/>
        <w:topLinePunct w:val="0"/>
        <w:autoSpaceDE/>
        <w:autoSpaceDN/>
        <w:bidi w:val="0"/>
        <w:spacing w:line="560" w:lineRule="exact"/>
        <w:ind w:firstLine="640"/>
        <w:textAlignment w:val="auto"/>
        <w:rPr>
          <w:color w:val="auto"/>
          <w:sz w:val="32"/>
        </w:rPr>
      </w:pPr>
      <w:r>
        <w:rPr>
          <w:rFonts w:hint="eastAsia"/>
          <w:color w:val="auto"/>
          <w:sz w:val="32"/>
        </w:rPr>
        <w:t>2.效益指标完成情况分析</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（1）经济效益</w:t>
      </w:r>
    </w:p>
    <w:p>
      <w:pPr>
        <w:pageBreakBefore w:val="0"/>
        <w:kinsoku/>
        <w:wordWrap/>
        <w:overflowPunct/>
        <w:topLinePunct w:val="0"/>
        <w:autoSpaceDE/>
        <w:autoSpaceDN/>
        <w:bidi w:val="0"/>
        <w:spacing w:line="560" w:lineRule="exact"/>
        <w:ind w:firstLine="640"/>
        <w:textAlignment w:val="auto"/>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无此项指标。</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（2）社会效益</w:t>
      </w:r>
    </w:p>
    <w:p>
      <w:pPr>
        <w:pageBreakBefore w:val="0"/>
        <w:kinsoku/>
        <w:wordWrap/>
        <w:overflowPunct/>
        <w:topLinePunct w:val="0"/>
        <w:autoSpaceDE/>
        <w:autoSpaceDN/>
        <w:bidi w:val="0"/>
        <w:spacing w:line="560" w:lineRule="exact"/>
        <w:ind w:firstLine="640"/>
        <w:textAlignment w:val="auto"/>
        <w:rPr>
          <w:rFonts w:hint="eastAsia" w:eastAsia="仿宋_GB2312"/>
          <w:color w:val="auto"/>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全面真实反映我市经济状况</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有效反映</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有效反映</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（3）生态效益</w:t>
      </w:r>
    </w:p>
    <w:p>
      <w:pPr>
        <w:pageBreakBefore w:val="0"/>
        <w:kinsoku/>
        <w:wordWrap/>
        <w:overflowPunct/>
        <w:topLinePunct w:val="0"/>
        <w:autoSpaceDE/>
        <w:autoSpaceDN/>
        <w:bidi w:val="0"/>
        <w:spacing w:line="560" w:lineRule="exact"/>
        <w:ind w:firstLine="640"/>
        <w:textAlignment w:val="auto"/>
        <w:rPr>
          <w:rFonts w:hint="default" w:ascii="仿宋_GB2312" w:eastAsia="仿宋_GB2312"/>
          <w:color w:val="auto"/>
          <w:sz w:val="32"/>
          <w:szCs w:val="32"/>
          <w:lang w:val="en-US"/>
        </w:rPr>
      </w:pPr>
      <w:r>
        <w:rPr>
          <w:rFonts w:hint="eastAsia" w:ascii="仿宋_GB2312" w:eastAsia="仿宋_GB2312"/>
          <w:color w:val="auto"/>
          <w:sz w:val="32"/>
          <w:szCs w:val="32"/>
          <w:lang w:val="en-US" w:eastAsia="zh-CN"/>
        </w:rPr>
        <w:t>无此项指标。</w:t>
      </w:r>
    </w:p>
    <w:p>
      <w:pPr>
        <w:pageBreakBefore w:val="0"/>
        <w:kinsoku/>
        <w:wordWrap/>
        <w:overflowPunct/>
        <w:topLinePunct w:val="0"/>
        <w:autoSpaceDE/>
        <w:autoSpaceDN/>
        <w:bidi w:val="0"/>
        <w:spacing w:line="560" w:lineRule="exact"/>
        <w:ind w:firstLine="640"/>
        <w:textAlignment w:val="auto"/>
        <w:rPr>
          <w:rFonts w:ascii="仿宋_GB2312" w:eastAsia="仿宋_GB2312"/>
          <w:color w:val="auto"/>
          <w:sz w:val="32"/>
          <w:szCs w:val="32"/>
        </w:rPr>
      </w:pPr>
      <w:r>
        <w:rPr>
          <w:rFonts w:hint="eastAsia" w:ascii="仿宋_GB2312" w:eastAsia="仿宋_GB2312"/>
          <w:color w:val="auto"/>
          <w:sz w:val="32"/>
          <w:szCs w:val="32"/>
        </w:rPr>
        <w:t>（4）可持续影响</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为制定我市经济发展规划提供数据支持</w:t>
      </w:r>
      <w:r>
        <w:rPr>
          <w:rFonts w:hint="eastAsia" w:ascii="仿宋_GB2312" w:eastAsia="仿宋_GB2312"/>
          <w:color w:val="auto"/>
          <w:sz w:val="32"/>
          <w:szCs w:val="32"/>
        </w:rPr>
        <w:t>”指标：预期指标值为“</w:t>
      </w:r>
      <w:r>
        <w:rPr>
          <w:rFonts w:hint="eastAsia" w:ascii="Arial" w:hAnsi="Arial" w:eastAsia="仿宋_GB2312" w:cs="Arial"/>
          <w:color w:val="auto"/>
          <w:sz w:val="32"/>
          <w:szCs w:val="32"/>
          <w:lang w:val="en-US" w:eastAsia="zh-CN"/>
        </w:rPr>
        <w:t>长期提供支持</w:t>
      </w:r>
      <w:r>
        <w:rPr>
          <w:rFonts w:hint="eastAsia" w:ascii="仿宋_GB2312" w:eastAsia="仿宋_GB2312"/>
          <w:color w:val="auto"/>
          <w:sz w:val="32"/>
          <w:szCs w:val="32"/>
        </w:rPr>
        <w:t>”，实际完成指标值为“</w:t>
      </w:r>
      <w:r>
        <w:rPr>
          <w:rFonts w:hint="eastAsia" w:ascii="Arial" w:hAnsi="Arial" w:eastAsia="仿宋_GB2312" w:cs="Arial"/>
          <w:color w:val="auto"/>
          <w:sz w:val="32"/>
          <w:szCs w:val="32"/>
          <w:lang w:val="en-US" w:eastAsia="zh-CN"/>
        </w:rPr>
        <w:t>长期提供支持</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4"/>
        <w:pageBreakBefore w:val="0"/>
        <w:kinsoku/>
        <w:wordWrap/>
        <w:overflowPunct/>
        <w:topLinePunct w:val="0"/>
        <w:autoSpaceDE/>
        <w:autoSpaceDN/>
        <w:bidi w:val="0"/>
        <w:spacing w:line="560" w:lineRule="exact"/>
        <w:ind w:firstLine="640"/>
        <w:textAlignment w:val="auto"/>
        <w:rPr>
          <w:color w:val="auto"/>
          <w:sz w:val="32"/>
        </w:rPr>
      </w:pPr>
      <w:r>
        <w:rPr>
          <w:rFonts w:hint="eastAsia"/>
          <w:color w:val="auto"/>
          <w:sz w:val="32"/>
        </w:rPr>
        <w:t>3.满意度指标完成情况分析</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职工满意度</w:t>
      </w:r>
      <w:r>
        <w:rPr>
          <w:rFonts w:hint="eastAsia" w:ascii="仿宋_GB2312" w:eastAsia="仿宋_GB2312"/>
          <w:color w:val="auto"/>
          <w:sz w:val="32"/>
          <w:szCs w:val="32"/>
        </w:rPr>
        <w:t>”指标：预期指标值为“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96%</w:t>
      </w:r>
      <w:r>
        <w:rPr>
          <w:rFonts w:hint="eastAsia" w:ascii="仿宋_GB2312" w:eastAsia="仿宋_GB2312"/>
          <w:color w:val="auto"/>
          <w:sz w:val="32"/>
          <w:szCs w:val="32"/>
        </w:rPr>
        <w:t>”，实际完成指标值为“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96%</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群众满意度</w:t>
      </w:r>
      <w:r>
        <w:rPr>
          <w:rFonts w:hint="eastAsia" w:ascii="仿宋_GB2312" w:eastAsia="仿宋_GB2312"/>
          <w:color w:val="auto"/>
          <w:sz w:val="32"/>
          <w:szCs w:val="32"/>
        </w:rPr>
        <w:t>”指标：预期指标值为“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96%</w:t>
      </w:r>
      <w:r>
        <w:rPr>
          <w:rFonts w:hint="eastAsia" w:ascii="仿宋_GB2312" w:eastAsia="仿宋_GB2312"/>
          <w:color w:val="auto"/>
          <w:sz w:val="32"/>
          <w:szCs w:val="32"/>
        </w:rPr>
        <w:t>”，实际完成指标值为“</w:t>
      </w:r>
      <w:r>
        <w:rPr>
          <w:rFonts w:hint="default" w:ascii="Arial" w:hAnsi="Arial" w:eastAsia="仿宋_GB2312" w:cs="Arial"/>
          <w:color w:val="auto"/>
          <w:sz w:val="32"/>
          <w:szCs w:val="32"/>
        </w:rPr>
        <w:t>≥</w:t>
      </w:r>
      <w:r>
        <w:rPr>
          <w:rFonts w:hint="eastAsia" w:ascii="仿宋_GB2312" w:eastAsia="仿宋_GB2312"/>
          <w:bCs/>
          <w:color w:val="auto"/>
          <w:spacing w:val="-4"/>
          <w:sz w:val="32"/>
          <w:szCs w:val="32"/>
          <w:lang w:val="en-US" w:eastAsia="zh-CN"/>
        </w:rPr>
        <w:t>96%</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六、存在的主要问题</w:t>
      </w:r>
    </w:p>
    <w:p>
      <w:pPr>
        <w:pStyle w:val="4"/>
        <w:pageBreakBefore w:val="0"/>
        <w:kinsoku/>
        <w:wordWrap/>
        <w:overflowPunct/>
        <w:topLinePunct w:val="0"/>
        <w:autoSpaceDE/>
        <w:autoSpaceDN/>
        <w:bidi w:val="0"/>
        <w:spacing w:line="560" w:lineRule="exact"/>
        <w:ind w:firstLine="640"/>
        <w:textAlignment w:val="auto"/>
        <w:rPr>
          <w:rFonts w:hAnsi="宋体" w:eastAsia="仿宋_GB2312" w:cs="宋体"/>
          <w:b w:val="0"/>
          <w:bCs w:val="0"/>
          <w:color w:val="auto"/>
          <w:sz w:val="32"/>
        </w:rPr>
      </w:pPr>
      <w:r>
        <w:rPr>
          <w:rFonts w:hint="eastAsia" w:hAnsi="宋体" w:eastAsia="仿宋_GB2312" w:cs="宋体"/>
          <w:b w:val="0"/>
          <w:bCs w:val="0"/>
          <w:color w:val="auto"/>
          <w:sz w:val="32"/>
        </w:rPr>
        <w:t>经过自评，我局财政预算方面还存在制度和流程需要进一步规范、预算执行率有待进一步提高的问题，需要整改。由于对预算绩效管理工作没有丰富的工作经验，可能会出现反映不全面的情况，需要在今后的工作中不断探索研究制定日益完善的预算绩效监控制度。</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七、改进措施和建议</w:t>
      </w:r>
    </w:p>
    <w:p>
      <w:pPr>
        <w:pageBreakBefore w:val="0"/>
        <w:kinsoku/>
        <w:wordWrap/>
        <w:overflowPunct/>
        <w:topLinePunct w:val="0"/>
        <w:autoSpaceDE/>
        <w:autoSpaceDN/>
        <w:bidi w:val="0"/>
        <w:snapToGrid w:val="0"/>
        <w:spacing w:line="560" w:lineRule="exact"/>
        <w:ind w:firstLine="560" w:firstLineChars="200"/>
        <w:textAlignment w:val="auto"/>
        <w:rPr>
          <w:rFonts w:ascii="仿宋_GB2312" w:hAnsi="宋体" w:eastAsia="仿宋_GB2312" w:cs="宋体"/>
          <w:color w:val="auto"/>
          <w:kern w:val="0"/>
          <w:sz w:val="32"/>
          <w:szCs w:val="32"/>
        </w:rPr>
      </w:pPr>
      <w:r>
        <w:rPr>
          <w:rFonts w:hint="eastAsia"/>
          <w:color w:val="auto"/>
        </w:rPr>
        <w:t xml:space="preserve">  </w:t>
      </w:r>
      <w:r>
        <w:rPr>
          <w:rFonts w:hint="eastAsia" w:ascii="仿宋_GB2312" w:hAnsi="宋体" w:eastAsia="仿宋_GB2312" w:cs="宋体"/>
          <w:color w:val="auto"/>
          <w:kern w:val="0"/>
          <w:sz w:val="32"/>
          <w:szCs w:val="32"/>
        </w:rPr>
        <w:t>统计局将会在202</w:t>
      </w:r>
      <w:r>
        <w:rPr>
          <w:rFonts w:hint="eastAsia" w:ascii="仿宋_GB2312" w:hAnsi="宋体" w:eastAsia="仿宋_GB2312" w:cs="宋体"/>
          <w:color w:val="auto"/>
          <w:kern w:val="0"/>
          <w:sz w:val="32"/>
          <w:szCs w:val="32"/>
          <w:lang w:val="en-US" w:eastAsia="zh-CN"/>
        </w:rPr>
        <w:t>3</w:t>
      </w:r>
      <w:r>
        <w:rPr>
          <w:rFonts w:hint="eastAsia" w:ascii="仿宋_GB2312" w:hAnsi="宋体" w:eastAsia="仿宋_GB2312" w:cs="宋体"/>
          <w:color w:val="auto"/>
          <w:kern w:val="0"/>
          <w:sz w:val="32"/>
          <w:szCs w:val="32"/>
        </w:rPr>
        <w:t>年预算编制中细化各项预算科目，在合理、规范地编制预算的基础上，明确责任分工，不断提高业务水平，在实际操作中，吸取经验，同时加强对所需资金的预估，增强预算的准确性，并且做好预算资金支出的进度安排，争取每一笔财政拨款都能按时、按计划支出，财尽其用。</w:t>
      </w:r>
    </w:p>
    <w:p>
      <w:pPr>
        <w:pStyle w:val="3"/>
        <w:pageBreakBefore w:val="0"/>
        <w:kinsoku/>
        <w:wordWrap/>
        <w:overflowPunct/>
        <w:topLinePunct w:val="0"/>
        <w:autoSpaceDE/>
        <w:autoSpaceDN/>
        <w:bidi w:val="0"/>
        <w:spacing w:line="560" w:lineRule="exact"/>
        <w:ind w:firstLine="640"/>
        <w:textAlignment w:val="auto"/>
        <w:rPr>
          <w:rFonts w:ascii="黑体" w:hAnsi="黑体"/>
          <w:b w:val="0"/>
          <w:color w:val="auto"/>
          <w:sz w:val="32"/>
          <w:szCs w:val="32"/>
        </w:rPr>
      </w:pPr>
      <w:r>
        <w:rPr>
          <w:rFonts w:hint="eastAsia" w:ascii="黑体" w:hAnsi="黑体"/>
          <w:b w:val="0"/>
          <w:color w:val="auto"/>
          <w:sz w:val="32"/>
          <w:szCs w:val="32"/>
        </w:rPr>
        <w:t>八、附表</w:t>
      </w:r>
    </w:p>
    <w:p>
      <w:pPr>
        <w:pageBreakBefore w:val="0"/>
        <w:kinsoku/>
        <w:wordWrap/>
        <w:overflowPunct/>
        <w:topLinePunct w:val="0"/>
        <w:autoSpaceDE/>
        <w:autoSpaceDN/>
        <w:bidi w:val="0"/>
        <w:spacing w:line="560" w:lineRule="exact"/>
        <w:ind w:firstLine="640"/>
        <w:textAlignment w:val="auto"/>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W w:w="192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1545"/>
        <w:gridCol w:w="2070"/>
        <w:gridCol w:w="2400"/>
        <w:gridCol w:w="3105"/>
        <w:gridCol w:w="1740"/>
        <w:gridCol w:w="1695"/>
        <w:gridCol w:w="1635"/>
        <w:gridCol w:w="1635"/>
        <w:gridCol w:w="1695"/>
        <w:gridCol w:w="17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00" w:hRule="atLeast"/>
        </w:trPr>
        <w:tc>
          <w:tcPr>
            <w:tcW w:w="19245" w:type="dxa"/>
            <w:gridSpan w:val="10"/>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80" w:hRule="atLeast"/>
        </w:trPr>
        <w:tc>
          <w:tcPr>
            <w:tcW w:w="19245" w:type="dxa"/>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trPr>
        <w:tc>
          <w:tcPr>
            <w:tcW w:w="601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13230"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昌吉市统计局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4470"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310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5070" w:type="dxa"/>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p>
        </w:tc>
        <w:tc>
          <w:tcPr>
            <w:tcW w:w="505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4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70"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10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7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70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70"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人员类经费</w:t>
            </w:r>
          </w:p>
        </w:tc>
        <w:tc>
          <w:tcPr>
            <w:tcW w:w="31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保障职工工资、社保、公积金、取暖费等</w:t>
            </w:r>
          </w:p>
        </w:tc>
        <w:tc>
          <w:tcPr>
            <w:tcW w:w="17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239.52</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239.52</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309.56</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309.56</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96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470"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运转类经费</w:t>
            </w:r>
          </w:p>
        </w:tc>
        <w:tc>
          <w:tcPr>
            <w:tcW w:w="31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保障统计、普查工作日常办公费；保障公务用车运行维护费等</w:t>
            </w:r>
          </w:p>
        </w:tc>
        <w:tc>
          <w:tcPr>
            <w:tcW w:w="174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21.13</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21.13</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12.74</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12.74</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575"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174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260.65</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260.65</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322.3</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322.3</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465"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931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8385"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26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9315"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年预算支出数260.65万元，用于发放职工工资、社保、公积金、取暖费和保障公务用车经费，以及完成市域内GDP核算、农业、工业、科技、建筑业、核算、房地产、固定资产投资、能源、劳动工资、批发零售贸易业、基本单位、城市年报、景区景点、城乡一体化等14个专业的统计工作；各类专项统计普查，承担人口普查、经济普查、农业普查、1%人口抽样调查、城乡住户调查、城镇化率调查、人才调查、投入产出调查、四下单位调查等大、小型各类调查，以“四大工程”建设为主线，以实现提高统计能力、提高统计数据质量、提高政府统计公信力的“三个提高”的目标。全面真实反映我市经济状况，得到社会肯定，群众及职工满意度达96%以上。</w:t>
            </w:r>
          </w:p>
        </w:tc>
        <w:tc>
          <w:tcPr>
            <w:tcW w:w="8385"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完成市域内GDP核算及各专业14个专业的统计工作、完成各类专项统计普查调查任务，以实现提高统计能力、提高统计数据质量、提高政府统计公信力的“三个提高”的目标，全年预算支出数322.30万元。全面真实反映我市经济状况，得到社会肯定，群众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780" w:hRule="atLeast"/>
        </w:trPr>
        <w:tc>
          <w:tcPr>
            <w:tcW w:w="15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207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240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保障办公人员数量</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=19.00人</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=2.00辆</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各专业统计、各项普查工作完成率</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公用经费使用及时率</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&gt;=90.00%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90</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人员类经费</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&lt;=239.52万元</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309.56</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运转类经费</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&lt;=21.13万元</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12.74</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人均运转经费数</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&lt;=12.60万元</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14.07</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全面真实反映我市经济状况</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有效反映</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有效反映</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为制定我市经济发展规划提供数据支持</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长期提供支持</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长期提供支持</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240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职工满意度</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&gt;=96.00%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15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40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8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群众满意度</w:t>
            </w:r>
          </w:p>
        </w:tc>
        <w:tc>
          <w:tcPr>
            <w:tcW w:w="333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&gt;=96.00%</w:t>
            </w:r>
          </w:p>
        </w:tc>
        <w:tc>
          <w:tcPr>
            <w:tcW w:w="16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96</w:t>
            </w:r>
          </w:p>
        </w:tc>
        <w:tc>
          <w:tcPr>
            <w:tcW w:w="16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17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6"/>
        <w:ind w:left="0" w:leftChars="0" w:firstLine="0" w:firstLineChars="0"/>
        <w:rPr>
          <w:rFonts w:hint="eastAsia" w:ascii="仿宋_GB2312" w:eastAsia="仿宋_GB2312"/>
          <w:color w:val="auto"/>
          <w:sz w:val="32"/>
          <w:szCs w:val="32"/>
        </w:rPr>
      </w:pPr>
      <w:bookmarkStart w:id="0" w:name="_GoBack"/>
      <w:bookmarkEnd w:id="0"/>
    </w:p>
    <w:p>
      <w:pPr>
        <w:pStyle w:val="6"/>
        <w:rPr>
          <w:rFonts w:hint="eastAsia" w:ascii="仿宋_GB2312" w:eastAsia="仿宋_GB2312"/>
          <w:color w:val="auto"/>
          <w:sz w:val="32"/>
          <w:szCs w:val="32"/>
        </w:rPr>
      </w:pPr>
    </w:p>
    <w:p>
      <w:pPr>
        <w:pStyle w:val="6"/>
        <w:rPr>
          <w:color w:val="auto"/>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550F91"/>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35514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33784"/>
    <w:rsid w:val="10D40475"/>
    <w:rsid w:val="113051CE"/>
    <w:rsid w:val="114E5553"/>
    <w:rsid w:val="1193547A"/>
    <w:rsid w:val="1199679A"/>
    <w:rsid w:val="11B513B1"/>
    <w:rsid w:val="11C51460"/>
    <w:rsid w:val="12160F32"/>
    <w:rsid w:val="129C5FBF"/>
    <w:rsid w:val="13272F40"/>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DD1CB0"/>
    <w:rsid w:val="16050D98"/>
    <w:rsid w:val="164D645C"/>
    <w:rsid w:val="167B52F3"/>
    <w:rsid w:val="16811A70"/>
    <w:rsid w:val="16D97F04"/>
    <w:rsid w:val="16DC79A8"/>
    <w:rsid w:val="16EF79A3"/>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E14173"/>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CF0F76"/>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467B9A"/>
    <w:rsid w:val="2A7B46E1"/>
    <w:rsid w:val="2A886FA9"/>
    <w:rsid w:val="2AC64A60"/>
    <w:rsid w:val="2C085CD5"/>
    <w:rsid w:val="2C5033C5"/>
    <w:rsid w:val="2C5C6A3E"/>
    <w:rsid w:val="2C757BAF"/>
    <w:rsid w:val="2C8606C5"/>
    <w:rsid w:val="2C8C2E69"/>
    <w:rsid w:val="2C974E3D"/>
    <w:rsid w:val="2D07338F"/>
    <w:rsid w:val="2D8D4833"/>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E01574"/>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6D3816"/>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781B3B"/>
    <w:rsid w:val="578A3F51"/>
    <w:rsid w:val="57CC6BA1"/>
    <w:rsid w:val="57CE3E29"/>
    <w:rsid w:val="581B6FA6"/>
    <w:rsid w:val="58B64741"/>
    <w:rsid w:val="58F37117"/>
    <w:rsid w:val="594D3747"/>
    <w:rsid w:val="596F52DD"/>
    <w:rsid w:val="59783883"/>
    <w:rsid w:val="59BE14BB"/>
    <w:rsid w:val="59E91E58"/>
    <w:rsid w:val="5A0207F8"/>
    <w:rsid w:val="5A0F7C73"/>
    <w:rsid w:val="5A100CE1"/>
    <w:rsid w:val="5A1256F7"/>
    <w:rsid w:val="5A132397"/>
    <w:rsid w:val="5A1828BE"/>
    <w:rsid w:val="5A2E42CD"/>
    <w:rsid w:val="5A7F37F9"/>
    <w:rsid w:val="5A837878"/>
    <w:rsid w:val="5A9E7D61"/>
    <w:rsid w:val="5AB5421F"/>
    <w:rsid w:val="5AD520E5"/>
    <w:rsid w:val="5B0C31BE"/>
    <w:rsid w:val="5B1504A9"/>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0605F"/>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695A7C"/>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EB7808"/>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6225C6"/>
    <w:rsid w:val="75763149"/>
    <w:rsid w:val="7582339D"/>
    <w:rsid w:val="75F5233E"/>
    <w:rsid w:val="765D19FC"/>
    <w:rsid w:val="769B14BB"/>
    <w:rsid w:val="76AA596C"/>
    <w:rsid w:val="76B77610"/>
    <w:rsid w:val="76CA6A67"/>
    <w:rsid w:val="76CF0956"/>
    <w:rsid w:val="76DF2EC8"/>
    <w:rsid w:val="76EB0D54"/>
    <w:rsid w:val="77045F8B"/>
    <w:rsid w:val="771C6744"/>
    <w:rsid w:val="7771110B"/>
    <w:rsid w:val="77782D28"/>
    <w:rsid w:val="77C20123"/>
    <w:rsid w:val="77C87AE5"/>
    <w:rsid w:val="77F174C2"/>
    <w:rsid w:val="77F538F8"/>
    <w:rsid w:val="788A3DEB"/>
    <w:rsid w:val="78D6469A"/>
    <w:rsid w:val="78D82626"/>
    <w:rsid w:val="79111AC7"/>
    <w:rsid w:val="79355A35"/>
    <w:rsid w:val="794E098B"/>
    <w:rsid w:val="799E36F7"/>
    <w:rsid w:val="79F3334C"/>
    <w:rsid w:val="7A150EF7"/>
    <w:rsid w:val="7A2E1812"/>
    <w:rsid w:val="7A7029D6"/>
    <w:rsid w:val="7A751437"/>
    <w:rsid w:val="7A974AB0"/>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pczx1</cp:lastModifiedBy>
  <dcterms:modified xsi:type="dcterms:W3CDTF">2023-02-21T05:23:23Z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9D7B21699A354F78BFF5B0C3CB5FFE08</vt:lpwstr>
  </property>
</Properties>
</file>