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9D15D0" w14:textId="77777777" w:rsidR="00243425" w:rsidRDefault="00243425">
      <w:pPr>
        <w:spacing w:after="0" w:line="240" w:lineRule="auto"/>
        <w:rPr>
          <w:rFonts w:ascii="宋体" w:eastAsia="宋体" w:hint="eastAsia"/>
          <w:sz w:val="32"/>
          <w:szCs w:val="32"/>
        </w:rPr>
      </w:pPr>
    </w:p>
    <w:p w14:paraId="7B5ABBE7" w14:textId="77777777" w:rsidR="00243425" w:rsidRDefault="00243425">
      <w:pPr>
        <w:spacing w:after="0" w:line="240" w:lineRule="auto"/>
        <w:rPr>
          <w:rFonts w:ascii="宋体" w:eastAsia="宋体" w:hint="eastAsia"/>
          <w:sz w:val="44"/>
          <w:szCs w:val="44"/>
        </w:rPr>
      </w:pPr>
    </w:p>
    <w:p w14:paraId="62E789F9" w14:textId="77777777" w:rsidR="00243425" w:rsidRDefault="00243425">
      <w:pPr>
        <w:spacing w:after="0" w:line="240" w:lineRule="auto"/>
        <w:rPr>
          <w:rFonts w:ascii="宋体" w:eastAsia="宋体" w:hint="eastAsia"/>
          <w:sz w:val="44"/>
          <w:szCs w:val="44"/>
        </w:rPr>
      </w:pPr>
    </w:p>
    <w:p w14:paraId="67A4F570" w14:textId="77777777" w:rsidR="00243425" w:rsidRDefault="00243425">
      <w:pPr>
        <w:spacing w:after="0" w:line="240" w:lineRule="auto"/>
        <w:rPr>
          <w:rFonts w:ascii="宋体" w:eastAsia="宋体" w:hint="eastAsia"/>
          <w:sz w:val="44"/>
          <w:szCs w:val="44"/>
        </w:rPr>
      </w:pPr>
    </w:p>
    <w:p w14:paraId="3E68BDAD" w14:textId="77777777" w:rsidR="00243425"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昌吉市红十字会</w:t>
      </w:r>
    </w:p>
    <w:p w14:paraId="53417694" w14:textId="77777777" w:rsidR="00243425"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116EF8B7" w14:textId="77777777" w:rsidR="00243425" w:rsidRDefault="00000000">
      <w:pPr>
        <w:rPr>
          <w:rFonts w:hint="eastAsia"/>
          <w:lang w:eastAsia="zh-CN"/>
        </w:rPr>
      </w:pPr>
      <w:r>
        <w:rPr>
          <w:sz w:val="0"/>
          <w:szCs w:val="0"/>
          <w:lang w:eastAsia="zh-CN"/>
        </w:rPr>
        <w:br w:type="page"/>
      </w:r>
    </w:p>
    <w:p w14:paraId="69483C00" w14:textId="77777777" w:rsidR="00243425"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hint="eastAsia"/>
          <w:b/>
          <w:sz w:val="32"/>
          <w:szCs w:val="32"/>
          <w:lang w:eastAsia="zh-CN"/>
        </w:rPr>
        <w:t xml:space="preserve"> </w:t>
      </w:r>
      <w:r>
        <w:rPr>
          <w:rFonts w:ascii="黑体" w:eastAsia="黑体"/>
          <w:b/>
          <w:sz w:val="32"/>
          <w:szCs w:val="32"/>
          <w:lang w:eastAsia="zh-CN"/>
        </w:rPr>
        <w:t xml:space="preserve"> 录</w:t>
      </w:r>
    </w:p>
    <w:p w14:paraId="1332BCB2"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1C7DB356"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1D55A656"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79DAFEA4"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6167CBC4"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66011783"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52EFD95A"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56722697"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743F40F9"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39AC93A8"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2CA96FF8"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7B39520F"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610E08E7"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72785EB5"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0ED628F6"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48EE2BBA"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410478C"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F95C2EB"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1F636AFE"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440C5FE6"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29C7DB4A"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73346C76"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3D31EF1E"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3FAF1C4D"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3BDD9DF9"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400237CB"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30233486"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51A2C0FC"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6BD26840"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01F63DE3"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5EB0F0D3"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4513B3CF"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1FE5DEEC" w14:textId="77777777" w:rsidR="0024342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50A5CB97" w14:textId="77777777" w:rsidR="00243425" w:rsidRDefault="00000000">
      <w:pPr>
        <w:rPr>
          <w:rFonts w:hint="eastAsia"/>
          <w:lang w:eastAsia="zh-CN"/>
        </w:rPr>
      </w:pPr>
      <w:r>
        <w:rPr>
          <w:sz w:val="0"/>
          <w:szCs w:val="0"/>
          <w:lang w:eastAsia="zh-CN"/>
        </w:rPr>
        <w:br w:type="page"/>
      </w:r>
    </w:p>
    <w:p w14:paraId="0380411E" w14:textId="77777777" w:rsidR="0024342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6A4EC688" w14:textId="77777777" w:rsidR="0024342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一、主要职能</w:t>
      </w:r>
    </w:p>
    <w:p w14:paraId="6B2336CE"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宣传贯彻落实《中华人民共和国红十字会法》、《中国红十字会章程》、《中华人民共和国红十字标志使用办法》、《新疆维吾尔自治区实施＜中华人民共和国红十字会法＞办法》和《中华人民共和国献血法》</w:t>
      </w:r>
      <w:r>
        <w:rPr>
          <w:rFonts w:ascii="仿宋_GB2312" w:eastAsia="仿宋_GB2312" w:hint="eastAsia"/>
          <w:sz w:val="32"/>
          <w:szCs w:val="32"/>
          <w:lang w:eastAsia="zh-CN"/>
        </w:rPr>
        <w:t>，</w:t>
      </w:r>
      <w:r>
        <w:rPr>
          <w:rFonts w:ascii="仿宋_GB2312" w:eastAsia="仿宋_GB2312"/>
          <w:sz w:val="32"/>
          <w:szCs w:val="32"/>
          <w:lang w:eastAsia="zh-CN"/>
        </w:rPr>
        <w:t>依法组织开展红十字会各项工作。</w:t>
      </w:r>
    </w:p>
    <w:p w14:paraId="40FA7027"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负责组织培训骨干队伍，对伤病人员和其他受害者进行救助；向有关部门报告，呼吁辖区内提供人道主义援助，依法管理昌吉市红十字会接受国内外组织和个人的捐助款物。</w:t>
      </w:r>
    </w:p>
    <w:p w14:paraId="62AD509F"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开展卫生救护和防病知识宣传普及；在易发生伤害的行业和基层组织开展初级卫生救护培训，组织群众参加意外伤害和现场救护。</w:t>
      </w:r>
    </w:p>
    <w:p w14:paraId="2DFAD667"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协助人民政府开展无偿献血的宣传推动工作。</w:t>
      </w:r>
    </w:p>
    <w:p w14:paraId="0B0003D0"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开展社会服务和社区红十字服务工作；组织会员、志愿工作者在社区开展社会服务、宣传培训、募捐救助活动。</w:t>
      </w:r>
    </w:p>
    <w:p w14:paraId="1A9F069A"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开展预防、宣传和健康教育、关心爱护生病患者及其他救助工作；开展其他人道救助工作。</w:t>
      </w:r>
    </w:p>
    <w:p w14:paraId="61CCF2B9" w14:textId="719C14BF"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开展有益于青少年身心健康的红十字青少年活动。</w:t>
      </w:r>
    </w:p>
    <w:p w14:paraId="0E888691"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8.</w:t>
      </w:r>
      <w:r>
        <w:rPr>
          <w:rFonts w:ascii="仿宋_GB2312" w:eastAsia="仿宋_GB2312"/>
          <w:sz w:val="32"/>
          <w:szCs w:val="32"/>
          <w:lang w:eastAsia="zh-CN"/>
        </w:rPr>
        <w:t>参加国内外人道主义救援工作；开展与区内外红十字会组织的交流与合作。</w:t>
      </w:r>
    </w:p>
    <w:p w14:paraId="269F169C"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9.</w:t>
      </w:r>
      <w:r>
        <w:rPr>
          <w:rFonts w:ascii="仿宋_GB2312" w:eastAsia="仿宋_GB2312"/>
          <w:sz w:val="32"/>
          <w:szCs w:val="32"/>
          <w:lang w:eastAsia="zh-CN"/>
        </w:rPr>
        <w:t>开展捐献造血干细胞的宣传动员、组织工作。</w:t>
      </w:r>
    </w:p>
    <w:p w14:paraId="40331F69"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10.</w:t>
      </w:r>
      <w:r>
        <w:rPr>
          <w:rFonts w:ascii="仿宋_GB2312" w:eastAsia="仿宋_GB2312"/>
          <w:sz w:val="32"/>
          <w:szCs w:val="32"/>
          <w:lang w:eastAsia="zh-CN"/>
        </w:rPr>
        <w:t>依法开展募捐活动；在公共场所设置红十字募捐箱并进行管理；依照法律法规自主处分募捐款物。</w:t>
      </w:r>
    </w:p>
    <w:p w14:paraId="0448D697"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11.</w:t>
      </w:r>
      <w:r>
        <w:rPr>
          <w:rFonts w:ascii="仿宋_GB2312" w:eastAsia="仿宋_GB2312"/>
          <w:sz w:val="32"/>
          <w:szCs w:val="32"/>
          <w:lang w:eastAsia="zh-CN"/>
        </w:rPr>
        <w:t>兴办符合红十字会宗旨的社会福利事业。</w:t>
      </w:r>
    </w:p>
    <w:p w14:paraId="795D115B"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12.</w:t>
      </w:r>
      <w:r>
        <w:rPr>
          <w:rFonts w:ascii="仿宋_GB2312" w:eastAsia="仿宋_GB2312"/>
          <w:sz w:val="32"/>
          <w:szCs w:val="32"/>
          <w:lang w:eastAsia="zh-CN"/>
        </w:rPr>
        <w:t>指导乡镇、街道、企业、事业单位和学校建立基层组织，督促、检查、指导基层红十字会开展工作，保障会员正确行使权利和履行义务。</w:t>
      </w:r>
    </w:p>
    <w:p w14:paraId="026FBA3C"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13.</w:t>
      </w:r>
      <w:r>
        <w:rPr>
          <w:rFonts w:ascii="仿宋_GB2312" w:eastAsia="仿宋_GB2312"/>
          <w:sz w:val="32"/>
          <w:szCs w:val="32"/>
          <w:lang w:eastAsia="zh-CN"/>
        </w:rPr>
        <w:t>昌吉市红十字会机关还具体承担着有关会议的组织、来电处理、机要保密、安全保卫、档案管理、来信来访、机关党建和精神文明工作；负责目标管理的实施、督查；指导基层</w:t>
      </w:r>
      <w:r>
        <w:rPr>
          <w:rFonts w:ascii="仿宋_GB2312" w:eastAsia="仿宋_GB2312"/>
          <w:sz w:val="32"/>
          <w:szCs w:val="32"/>
          <w:lang w:eastAsia="zh-CN"/>
        </w:rPr>
        <w:lastRenderedPageBreak/>
        <w:t>红十字会开展工作；负责各类先进的评选；组织群众参加意外伤害、救助及日常培训；负责统计、分配、登记工作；公共场所60个募捐箱的日常管理；开展对辖区内弱势群体的调查及困难紧迫群众的紧急救助，为政府分忧，为群众解难。</w:t>
      </w:r>
    </w:p>
    <w:p w14:paraId="1348521D"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14.</w:t>
      </w:r>
      <w:r>
        <w:rPr>
          <w:rFonts w:ascii="仿宋_GB2312" w:eastAsia="仿宋_GB2312"/>
          <w:sz w:val="32"/>
          <w:szCs w:val="32"/>
          <w:lang w:eastAsia="zh-CN"/>
        </w:rPr>
        <w:t>完成市人民政府交办和委托的其他工作。</w:t>
      </w:r>
    </w:p>
    <w:p w14:paraId="5882CC7F" w14:textId="77777777" w:rsidR="0024342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2CEC0A31"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昌吉市红十字会2024年度，实有人数9人，其中：在职人员4人，较上年无变化；离休人员0人，较上年无变化；退休人员5人，增加1人。</w:t>
      </w:r>
    </w:p>
    <w:p w14:paraId="764FBC69"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昌吉市红十字会无下属预算单位，下设1个</w:t>
      </w:r>
      <w:r>
        <w:rPr>
          <w:rFonts w:ascii="仿宋_GB2312" w:eastAsia="仿宋_GB2312" w:hint="eastAsia"/>
          <w:sz w:val="32"/>
          <w:szCs w:val="32"/>
          <w:lang w:eastAsia="zh-CN"/>
        </w:rPr>
        <w:t>科室</w:t>
      </w:r>
      <w:r>
        <w:rPr>
          <w:rFonts w:ascii="仿宋_GB2312" w:eastAsia="仿宋_GB2312"/>
          <w:sz w:val="32"/>
          <w:szCs w:val="32"/>
          <w:lang w:eastAsia="zh-CN"/>
        </w:rPr>
        <w:t>，分别是：综合办公室。</w:t>
      </w:r>
    </w:p>
    <w:p w14:paraId="6BFBF457" w14:textId="77777777" w:rsidR="00243425" w:rsidRDefault="00000000">
      <w:pPr>
        <w:rPr>
          <w:rFonts w:hint="eastAsia"/>
          <w:lang w:eastAsia="zh-CN"/>
        </w:rPr>
      </w:pPr>
      <w:r>
        <w:rPr>
          <w:sz w:val="0"/>
          <w:szCs w:val="0"/>
          <w:lang w:eastAsia="zh-CN"/>
        </w:rPr>
        <w:br w:type="page"/>
      </w:r>
    </w:p>
    <w:p w14:paraId="3BD99289" w14:textId="77777777" w:rsidR="0024342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24D75F06" w14:textId="77777777" w:rsidR="0024342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75652711"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2024年度收入总计105.28万元，其中：本年收入合计105.28万元，使用非财政拨款结余（含专用结余）0.00万元，年初结转和结余0.00万元。</w:t>
      </w:r>
    </w:p>
    <w:p w14:paraId="4498B8BA"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2024年度支出总计105.28万元，其中：本年支出合计105.28万元，结余分配0.00万元，年末结转和结余0.00万元。</w:t>
      </w:r>
    </w:p>
    <w:p w14:paraId="31F393A9"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收入支出总体与上年相比，减少4.02万元，下降3.68%，主要原因是：</w:t>
      </w:r>
      <w:r>
        <w:rPr>
          <w:rFonts w:ascii="仿宋_GB2312" w:eastAsia="仿宋_GB2312" w:hint="eastAsia"/>
          <w:sz w:val="32"/>
          <w:szCs w:val="32"/>
          <w:lang w:eastAsia="zh-CN"/>
        </w:rPr>
        <w:t>单位年初在职人员减少，年末新进职工职级低，工资、津贴补贴、奖金等人员经费减少。</w:t>
      </w:r>
    </w:p>
    <w:p w14:paraId="687476EF" w14:textId="77777777" w:rsidR="0024342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5703A609"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本年收入105.28万元，其中：财政拨款收入105.28万元,占100.00%；上级补助收入0.00万元,占0.00%；事业收入0.00万元，占0.00%；经营收入0.00万元,占0.00%；附属单位上缴收入0.00万元，占0.00%；其他收入0.00万元，占0.00%。</w:t>
      </w:r>
    </w:p>
    <w:p w14:paraId="420580BC" w14:textId="77777777" w:rsidR="0024342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6828817D"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本年支出105.28万元，其中：基本支出105.28万元，占100.00%；项目支出0.00万元，占0.00%；上缴上级支出0.00万元，占0.00%；经营支出0.00万元，占0.00%；对附属单位补助支出0.00万元，占0.00%。</w:t>
      </w:r>
    </w:p>
    <w:p w14:paraId="74FC8667" w14:textId="77777777" w:rsidR="0024342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16BD1023"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2024年度财政拨款收入总计105.28万元，其中：年初财政拨款结转和结余0.00万元，本年财政拨款收入105.28万元。财政拨款支出总计105.28万元，其中：年末财政拨款结转和结余0.00万元，本年财政拨款支出105.28万元。</w:t>
      </w:r>
    </w:p>
    <w:p w14:paraId="6E20C5C9"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财政拨款收入支出总体与上年相比，减少4.02万元，下降3.68%，主要原因是：</w:t>
      </w:r>
      <w:r>
        <w:rPr>
          <w:rFonts w:ascii="仿宋_GB2312" w:eastAsia="仿宋_GB2312" w:hint="eastAsia"/>
          <w:sz w:val="32"/>
          <w:szCs w:val="32"/>
          <w:lang w:eastAsia="zh-CN"/>
        </w:rPr>
        <w:t>单位年初在职人员减少，年末新进职工职级低，工资、津贴补贴、奖金等人员经费减少。</w:t>
      </w:r>
      <w:r>
        <w:rPr>
          <w:rFonts w:ascii="仿宋_GB2312" w:eastAsia="仿宋_GB2312"/>
          <w:sz w:val="32"/>
          <w:szCs w:val="32"/>
          <w:lang w:eastAsia="zh-CN"/>
        </w:rPr>
        <w:t>与年初预算相比，年初预算数96.65万元，决算数105.28万元，预决</w:t>
      </w:r>
      <w:r>
        <w:rPr>
          <w:rFonts w:ascii="仿宋_GB2312" w:eastAsia="仿宋_GB2312"/>
          <w:sz w:val="32"/>
          <w:szCs w:val="32"/>
          <w:lang w:eastAsia="zh-CN"/>
        </w:rPr>
        <w:lastRenderedPageBreak/>
        <w:t>算差异率8.93%，主要原因是：</w:t>
      </w:r>
      <w:r>
        <w:rPr>
          <w:rFonts w:ascii="仿宋_GB2312" w:eastAsia="仿宋_GB2312" w:hint="eastAsia"/>
          <w:sz w:val="32"/>
          <w:szCs w:val="32"/>
          <w:lang w:eastAsia="zh-CN"/>
        </w:rPr>
        <w:t>年中追加基本工资、津贴补贴、奖金等人员经费</w:t>
      </w:r>
      <w:r>
        <w:rPr>
          <w:rFonts w:ascii="仿宋_GB2312" w:eastAsia="仿宋_GB2312"/>
          <w:sz w:val="32"/>
          <w:szCs w:val="32"/>
          <w:lang w:eastAsia="zh-CN"/>
        </w:rPr>
        <w:t>。</w:t>
      </w:r>
    </w:p>
    <w:p w14:paraId="7A509D43" w14:textId="77777777" w:rsidR="0024342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01AE0D41" w14:textId="77777777" w:rsidR="00243425"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0D3F181C"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2024年度一般公共预算财政拨款支出105.28万元，占本年支出合计的100.00%。与上年相比，减少4.02万元，下降3.68%，主要原因是：</w:t>
      </w:r>
      <w:r>
        <w:rPr>
          <w:rFonts w:ascii="仿宋_GB2312" w:eastAsia="仿宋_GB2312" w:hint="eastAsia"/>
          <w:sz w:val="32"/>
          <w:szCs w:val="32"/>
          <w:lang w:eastAsia="zh-CN"/>
        </w:rPr>
        <w:t>单位年初在职人员减少，年末新进职工职级低，工资、津贴补贴、奖金等人员经费减少。</w:t>
      </w:r>
      <w:r>
        <w:rPr>
          <w:rFonts w:ascii="仿宋_GB2312" w:eastAsia="仿宋_GB2312"/>
          <w:sz w:val="32"/>
          <w:szCs w:val="32"/>
          <w:lang w:eastAsia="zh-CN"/>
        </w:rPr>
        <w:t>与年初预算相比，年初预算数96.65万元，决算数105.28万元，预决算差异率8.93%，主要原因是：</w:t>
      </w:r>
      <w:r>
        <w:rPr>
          <w:rFonts w:ascii="仿宋_GB2312" w:eastAsia="仿宋_GB2312" w:hint="eastAsia"/>
          <w:sz w:val="32"/>
          <w:szCs w:val="32"/>
          <w:lang w:eastAsia="zh-CN"/>
        </w:rPr>
        <w:t>年中追加基本工资、津贴补贴、奖金等人员经费</w:t>
      </w:r>
      <w:r>
        <w:rPr>
          <w:rFonts w:ascii="仿宋_GB2312" w:eastAsia="仿宋_GB2312"/>
          <w:sz w:val="32"/>
          <w:szCs w:val="32"/>
          <w:lang w:eastAsia="zh-CN"/>
        </w:rPr>
        <w:t>。</w:t>
      </w:r>
    </w:p>
    <w:p w14:paraId="488CA511" w14:textId="77777777" w:rsidR="00243425" w:rsidRDefault="00000000">
      <w:pPr>
        <w:spacing w:after="0" w:line="240" w:lineRule="auto"/>
        <w:ind w:firstLineChars="200" w:firstLine="643"/>
        <w:jc w:val="both"/>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56A5652A"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社会保障和就业支出（类）92.95万元，占88.29%。</w:t>
      </w:r>
    </w:p>
    <w:p w14:paraId="2226F1AC"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卫生健康支出（类）5.69万元，占5.40%。</w:t>
      </w:r>
    </w:p>
    <w:p w14:paraId="4B121F29"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住房保障支出（类）6.64万元，占6.31%。</w:t>
      </w:r>
    </w:p>
    <w:p w14:paraId="11425345" w14:textId="77777777" w:rsidR="00243425"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38813CB5" w14:textId="7D0A1931" w:rsidR="0024342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1、社会保障和就业支出（类）行政事业单位养老支出（款）机关事业单位基本养老保险缴费支出（项）：支出决算数为8.63万元，比上年决算减少0.81万元，下降8.58%，主要原因是：</w:t>
      </w:r>
      <w:r>
        <w:rPr>
          <w:rFonts w:ascii="仿宋_GB2312" w:eastAsia="仿宋_GB2312" w:hint="eastAsia"/>
          <w:sz w:val="32"/>
          <w:szCs w:val="32"/>
          <w:lang w:eastAsia="zh-CN"/>
        </w:rPr>
        <w:t>单位年初在职人员减少，年末新进职工职级低，</w:t>
      </w:r>
      <w:r>
        <w:rPr>
          <w:rFonts w:ascii="仿宋_GB2312" w:eastAsia="仿宋_GB2312"/>
          <w:sz w:val="32"/>
          <w:szCs w:val="32"/>
          <w:lang w:eastAsia="zh-CN"/>
        </w:rPr>
        <w:t>基本养老保险缴费</w:t>
      </w:r>
      <w:r>
        <w:rPr>
          <w:rFonts w:ascii="仿宋_GB2312" w:eastAsia="仿宋_GB2312" w:hint="eastAsia"/>
          <w:sz w:val="32"/>
          <w:szCs w:val="32"/>
          <w:lang w:eastAsia="zh-CN"/>
        </w:rPr>
        <w:t>支出</w:t>
      </w:r>
      <w:r>
        <w:rPr>
          <w:rFonts w:ascii="仿宋_GB2312" w:eastAsia="仿宋_GB2312"/>
          <w:sz w:val="32"/>
          <w:szCs w:val="32"/>
          <w:lang w:eastAsia="zh-CN"/>
        </w:rPr>
        <w:t>减少。</w:t>
      </w:r>
    </w:p>
    <w:p w14:paraId="5102BFE6" w14:textId="77777777" w:rsidR="0024342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2、社会保障和就业支出（类）行政事业单位养老支出（款）机关事业单位职业年金缴费支出（项）：支出决算数为15.64万元，比上年决算增加9.06万元，增长137.69%，主要原因是：本年</w:t>
      </w:r>
      <w:r>
        <w:rPr>
          <w:rFonts w:ascii="仿宋_GB2312" w:eastAsia="仿宋_GB2312" w:hint="eastAsia"/>
          <w:sz w:val="32"/>
          <w:szCs w:val="32"/>
          <w:lang w:eastAsia="zh-CN"/>
        </w:rPr>
        <w:t>单位新增退休人员，一次性发放职业年金增加</w:t>
      </w:r>
      <w:r>
        <w:rPr>
          <w:rFonts w:ascii="仿宋_GB2312" w:eastAsia="仿宋_GB2312"/>
          <w:sz w:val="32"/>
          <w:szCs w:val="32"/>
          <w:lang w:eastAsia="zh-CN"/>
        </w:rPr>
        <w:t>。</w:t>
      </w:r>
    </w:p>
    <w:p w14:paraId="7188B3B7" w14:textId="77777777" w:rsidR="0024342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3、社会保障和就业支出（类）红十字事业（款）行政运行（项）：支出决算数为68.68万元，比上年决算减少4.73万元，下降6.44%，主要原因是：</w:t>
      </w:r>
      <w:r>
        <w:rPr>
          <w:rFonts w:ascii="仿宋_GB2312" w:eastAsia="仿宋_GB2312" w:hint="eastAsia"/>
          <w:sz w:val="32"/>
          <w:szCs w:val="32"/>
          <w:lang w:eastAsia="zh-CN"/>
        </w:rPr>
        <w:t>单位年初在职人员减少，年末新进职工职级低，基本工资、津贴补贴、奖金等人员经费减少</w:t>
      </w:r>
      <w:r>
        <w:rPr>
          <w:rFonts w:ascii="仿宋_GB2312" w:eastAsia="仿宋_GB2312"/>
          <w:sz w:val="32"/>
          <w:szCs w:val="32"/>
          <w:lang w:eastAsia="zh-CN"/>
        </w:rPr>
        <w:t>。</w:t>
      </w:r>
    </w:p>
    <w:p w14:paraId="24637987" w14:textId="77777777" w:rsidR="0024342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4、卫生健康支出（类）行政事业单位医疗（款）行政单位医疗（项）：支出决算数为5.13万元，比上年决算减少0.48万元，下降8.56%，主要原因是：</w:t>
      </w:r>
      <w:r>
        <w:rPr>
          <w:rFonts w:ascii="仿宋_GB2312" w:eastAsia="仿宋_GB2312" w:hint="eastAsia"/>
          <w:sz w:val="32"/>
          <w:szCs w:val="32"/>
          <w:lang w:eastAsia="zh-CN"/>
        </w:rPr>
        <w:t>单位年初在职人员减少，年末新进职工职级低</w:t>
      </w:r>
      <w:r>
        <w:rPr>
          <w:rFonts w:ascii="仿宋_GB2312" w:eastAsia="仿宋_GB2312"/>
          <w:sz w:val="32"/>
          <w:szCs w:val="32"/>
          <w:lang w:eastAsia="zh-CN"/>
        </w:rPr>
        <w:t>，</w:t>
      </w:r>
      <w:r>
        <w:rPr>
          <w:rFonts w:ascii="仿宋_GB2312" w:eastAsia="仿宋_GB2312" w:hint="eastAsia"/>
          <w:sz w:val="32"/>
          <w:szCs w:val="32"/>
          <w:lang w:eastAsia="zh-CN"/>
        </w:rPr>
        <w:t>职工基本医疗保险缴费支出减少</w:t>
      </w:r>
      <w:r>
        <w:rPr>
          <w:rFonts w:ascii="仿宋_GB2312" w:eastAsia="仿宋_GB2312"/>
          <w:sz w:val="32"/>
          <w:szCs w:val="32"/>
          <w:lang w:eastAsia="zh-CN"/>
        </w:rPr>
        <w:t>。</w:t>
      </w:r>
    </w:p>
    <w:p w14:paraId="173A083D" w14:textId="77777777" w:rsidR="0024342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5、卫生健康支出（类）行政事业单位医疗（款）公务员医疗补助（项）：支出决算数为0.54万元，比上年决算减少0.05万元，下降8.47%，主要原因是：</w:t>
      </w:r>
      <w:r>
        <w:rPr>
          <w:rFonts w:ascii="仿宋_GB2312" w:eastAsia="仿宋_GB2312" w:hint="eastAsia"/>
          <w:sz w:val="32"/>
          <w:szCs w:val="32"/>
          <w:lang w:eastAsia="zh-CN"/>
        </w:rPr>
        <w:t>单位年初在职人员减少，年末新进职工职级低，医疗保险缴费支出减少。</w:t>
      </w:r>
    </w:p>
    <w:p w14:paraId="285AB79F" w14:textId="77777777" w:rsidR="0024342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6、卫生健康支出（类）行政事业单位医疗（款）其他行政事业单位医疗支出（项）：支出决算数为0.03万元，与上年相比无变化，主要原因是：</w:t>
      </w:r>
      <w:r>
        <w:rPr>
          <w:rFonts w:ascii="仿宋_GB2312" w:eastAsia="仿宋_GB2312" w:hint="eastAsia"/>
          <w:sz w:val="32"/>
          <w:szCs w:val="32"/>
          <w:lang w:eastAsia="zh-CN"/>
        </w:rPr>
        <w:t>与上年一致无变化。</w:t>
      </w:r>
    </w:p>
    <w:p w14:paraId="3B430FBA" w14:textId="77777777" w:rsidR="0024342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7、住房保障支出（类）住房改革支出（款）住房公积金（项）：支出决算数为6.64万元，比上年决算减少0.50万元，下降7.00%，主要原因是：</w:t>
      </w:r>
      <w:r>
        <w:rPr>
          <w:rFonts w:ascii="仿宋_GB2312" w:eastAsia="仿宋_GB2312" w:hint="eastAsia"/>
          <w:sz w:val="32"/>
          <w:szCs w:val="32"/>
          <w:lang w:eastAsia="zh-CN"/>
        </w:rPr>
        <w:t>单位年初在职人员减少，年末新进职工职级低，</w:t>
      </w:r>
      <w:r>
        <w:rPr>
          <w:rFonts w:ascii="仿宋_GB2312" w:eastAsia="仿宋_GB2312"/>
          <w:sz w:val="32"/>
          <w:szCs w:val="32"/>
          <w:lang w:eastAsia="zh-CN"/>
        </w:rPr>
        <w:t>住房公积金缴费</w:t>
      </w:r>
      <w:r>
        <w:rPr>
          <w:rFonts w:ascii="仿宋_GB2312" w:eastAsia="仿宋_GB2312" w:hint="eastAsia"/>
          <w:sz w:val="32"/>
          <w:szCs w:val="32"/>
          <w:lang w:eastAsia="zh-CN"/>
        </w:rPr>
        <w:t>支出</w:t>
      </w:r>
      <w:r>
        <w:rPr>
          <w:rFonts w:ascii="仿宋_GB2312" w:eastAsia="仿宋_GB2312"/>
          <w:sz w:val="32"/>
          <w:szCs w:val="32"/>
          <w:lang w:eastAsia="zh-CN"/>
        </w:rPr>
        <w:t>减少。</w:t>
      </w:r>
    </w:p>
    <w:p w14:paraId="16BF188E" w14:textId="77777777" w:rsidR="0024342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8、其他支出（类）其他支出（款）其他支出（项）：支出决算数为0.00万元，比上年决算减少6.50万元，下降100.00%，主要原因是：本年度</w:t>
      </w:r>
      <w:r>
        <w:rPr>
          <w:rFonts w:ascii="仿宋_GB2312" w:eastAsia="仿宋_GB2312" w:hint="eastAsia"/>
          <w:sz w:val="32"/>
          <w:szCs w:val="32"/>
          <w:lang w:eastAsia="zh-CN"/>
        </w:rPr>
        <w:t>减少为民办实事工作项目经费</w:t>
      </w:r>
      <w:r>
        <w:rPr>
          <w:rFonts w:ascii="仿宋_GB2312" w:eastAsia="仿宋_GB2312"/>
          <w:sz w:val="32"/>
          <w:szCs w:val="32"/>
          <w:lang w:eastAsia="zh-CN"/>
        </w:rPr>
        <w:t>。</w:t>
      </w:r>
    </w:p>
    <w:p w14:paraId="3C1DCC17" w14:textId="77777777" w:rsidR="0024342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5E2B534A"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105.28万元，其中：人员经费100.96万元，包括：基本工资、津贴补贴、奖金、机关事业单位基本养老保险缴费、职业年金缴费、职工基本医疗保险缴费、公务员医疗补助缴费、其他社会保障缴费、住房公积金、医疗费、退休费和奖励金。</w:t>
      </w:r>
    </w:p>
    <w:p w14:paraId="3F271BEB"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公用经费4.32万元，包括：办公费、印刷费、咨询费、手续费、水费、电费、邮电费、物业管理费、差旅费、公务用车运行维护费和其他交通费用。</w:t>
      </w:r>
    </w:p>
    <w:p w14:paraId="5A66DEA3" w14:textId="77777777" w:rsidR="0024342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3777EC01"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EA5C592" w14:textId="77777777" w:rsidR="0024342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08993867"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79156A08" w14:textId="77777777" w:rsidR="0024342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591B1F6" w14:textId="3D2BC4F9"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经费支出0.87万元，比上年减少0.41万元，下降32.03%，主要原因是：</w:t>
      </w:r>
      <w:r>
        <w:rPr>
          <w:rFonts w:ascii="仿宋_GB2312" w:eastAsia="仿宋_GB2312" w:hint="eastAsia"/>
          <w:sz w:val="32"/>
          <w:szCs w:val="32"/>
          <w:lang w:eastAsia="zh-CN"/>
        </w:rPr>
        <w:t>我单位减少公务用车</w:t>
      </w:r>
      <w:r w:rsidR="005E59E0">
        <w:rPr>
          <w:rFonts w:ascii="仿宋_GB2312" w:eastAsia="仿宋_GB2312" w:hint="eastAsia"/>
          <w:sz w:val="32"/>
          <w:szCs w:val="32"/>
          <w:lang w:eastAsia="zh-CN"/>
        </w:rPr>
        <w:t>出行</w:t>
      </w:r>
      <w:r>
        <w:rPr>
          <w:rFonts w:ascii="仿宋_GB2312" w:eastAsia="仿宋_GB2312" w:hint="eastAsia"/>
          <w:sz w:val="32"/>
          <w:szCs w:val="32"/>
          <w:lang w:eastAsia="zh-CN"/>
        </w:rPr>
        <w:t>次数，</w:t>
      </w:r>
      <w:r>
        <w:rPr>
          <w:rFonts w:ascii="仿宋_GB2312" w:eastAsia="仿宋_GB2312"/>
          <w:sz w:val="32"/>
          <w:szCs w:val="32"/>
          <w:lang w:eastAsia="zh-CN"/>
        </w:rPr>
        <w:t>车辆维修费、保险费及</w:t>
      </w:r>
      <w:r>
        <w:rPr>
          <w:rFonts w:ascii="仿宋_GB2312" w:eastAsia="仿宋_GB2312" w:hint="eastAsia"/>
          <w:sz w:val="32"/>
          <w:szCs w:val="32"/>
          <w:lang w:eastAsia="zh-CN"/>
        </w:rPr>
        <w:t>燃油费减少</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因公出国（境）费；公务用车购置及运行维护费支出0.87万元，占100.00%，比上年减少0.41万元，下降32.03%，主要原因是：</w:t>
      </w:r>
      <w:r>
        <w:rPr>
          <w:rFonts w:ascii="仿宋_GB2312" w:eastAsia="仿宋_GB2312" w:hint="eastAsia"/>
          <w:sz w:val="32"/>
          <w:szCs w:val="32"/>
          <w:lang w:eastAsia="zh-CN"/>
        </w:rPr>
        <w:t>我单位减少公务用车</w:t>
      </w:r>
      <w:r w:rsidR="005E59E0">
        <w:rPr>
          <w:rFonts w:ascii="仿宋_GB2312" w:eastAsia="仿宋_GB2312" w:hint="eastAsia"/>
          <w:sz w:val="32"/>
          <w:szCs w:val="32"/>
          <w:lang w:eastAsia="zh-CN"/>
        </w:rPr>
        <w:t>出行</w:t>
      </w:r>
      <w:r>
        <w:rPr>
          <w:rFonts w:ascii="仿宋_GB2312" w:eastAsia="仿宋_GB2312" w:hint="eastAsia"/>
          <w:sz w:val="32"/>
          <w:szCs w:val="32"/>
          <w:lang w:eastAsia="zh-CN"/>
        </w:rPr>
        <w:t>次数，</w:t>
      </w:r>
      <w:r>
        <w:rPr>
          <w:rFonts w:ascii="仿宋_GB2312" w:eastAsia="仿宋_GB2312"/>
          <w:sz w:val="32"/>
          <w:szCs w:val="32"/>
          <w:lang w:eastAsia="zh-CN"/>
        </w:rPr>
        <w:t>车辆维修费、保险费及</w:t>
      </w:r>
      <w:r>
        <w:rPr>
          <w:rFonts w:ascii="仿宋_GB2312" w:eastAsia="仿宋_GB2312" w:hint="eastAsia"/>
          <w:sz w:val="32"/>
          <w:szCs w:val="32"/>
          <w:lang w:eastAsia="zh-CN"/>
        </w:rPr>
        <w:t>燃油费减少</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我单位上年度与本年度均无公务接待费</w:t>
      </w:r>
      <w:r>
        <w:rPr>
          <w:rFonts w:ascii="仿宋_GB2312" w:eastAsia="仿宋_GB2312"/>
          <w:sz w:val="32"/>
          <w:szCs w:val="32"/>
          <w:lang w:eastAsia="zh-CN"/>
        </w:rPr>
        <w:t>。</w:t>
      </w:r>
    </w:p>
    <w:p w14:paraId="01650A5B" w14:textId="77777777" w:rsidR="0024342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1C4AEC53"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因公出国（境）费。单位全年安排的因公出国（境）团组0个，因公出国（境）0人次。</w:t>
      </w:r>
    </w:p>
    <w:p w14:paraId="0158E687"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公务用车购置及运行维护费0.87万元，其中：公务用车购置费0.00万元，公务用车运行维护费0.87万元。公务用车运行维护费开支内容包括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。公务用车购置数0辆，公务用车保有量1辆。国有资产占用情况中固定资产车辆1辆，与公务用车保有量差异原因是：本单位</w:t>
      </w:r>
      <w:r>
        <w:rPr>
          <w:rFonts w:ascii="仿宋_GB2312" w:eastAsia="仿宋_GB2312" w:hint="eastAsia"/>
          <w:sz w:val="32"/>
          <w:szCs w:val="32"/>
          <w:lang w:eastAsia="zh-CN"/>
        </w:rPr>
        <w:t>固定资产车辆与</w:t>
      </w:r>
      <w:r>
        <w:rPr>
          <w:rFonts w:ascii="仿宋_GB2312" w:eastAsia="仿宋_GB2312"/>
          <w:sz w:val="32"/>
          <w:szCs w:val="32"/>
          <w:lang w:eastAsia="zh-CN"/>
        </w:rPr>
        <w:t>公务用车保有量</w:t>
      </w:r>
      <w:r>
        <w:rPr>
          <w:rFonts w:ascii="仿宋_GB2312" w:eastAsia="仿宋_GB2312" w:hint="eastAsia"/>
          <w:sz w:val="32"/>
          <w:szCs w:val="32"/>
          <w:lang w:eastAsia="zh-CN"/>
        </w:rPr>
        <w:t>一致无差异</w:t>
      </w:r>
      <w:r>
        <w:rPr>
          <w:rFonts w:ascii="仿宋_GB2312" w:eastAsia="仿宋_GB2312"/>
          <w:sz w:val="32"/>
          <w:szCs w:val="32"/>
          <w:lang w:eastAsia="zh-CN"/>
        </w:rPr>
        <w:t>。</w:t>
      </w:r>
    </w:p>
    <w:p w14:paraId="4A9074C3"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我单位无公务接待费</w:t>
      </w:r>
      <w:r>
        <w:rPr>
          <w:rFonts w:ascii="仿宋_GB2312" w:eastAsia="仿宋_GB2312"/>
          <w:sz w:val="32"/>
          <w:szCs w:val="32"/>
          <w:lang w:eastAsia="zh-CN"/>
        </w:rPr>
        <w:t>。单位全年安排的国内公务接待0批次，0人次。</w:t>
      </w:r>
    </w:p>
    <w:p w14:paraId="22DC4960"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经费支出全年预算数2.60万元，决算数0.87万元，预决算差异率-66.54%，主要原因是：</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w:t>
      </w:r>
      <w:r>
        <w:rPr>
          <w:rFonts w:ascii="仿宋_GB2312" w:eastAsia="仿宋_GB2312"/>
          <w:sz w:val="32"/>
          <w:szCs w:val="32"/>
          <w:lang w:eastAsia="zh-CN"/>
        </w:rPr>
        <w:t>车辆维修费、保险费及</w:t>
      </w:r>
      <w:r>
        <w:rPr>
          <w:rFonts w:ascii="仿宋_GB2312" w:eastAsia="仿宋_GB2312" w:hint="eastAsia"/>
          <w:sz w:val="32"/>
          <w:szCs w:val="32"/>
          <w:lang w:eastAsia="zh-CN"/>
        </w:rPr>
        <w:t>燃油费</w:t>
      </w:r>
      <w:r>
        <w:rPr>
          <w:rFonts w:ascii="仿宋_GB2312" w:eastAsia="仿宋_GB2312"/>
          <w:sz w:val="32"/>
          <w:szCs w:val="32"/>
          <w:lang w:eastAsia="zh-CN"/>
        </w:rPr>
        <w:t>。其中：因公出国（境）费全年预算数0.00万元，决算数0.00万元，预</w:t>
      </w:r>
      <w:r>
        <w:rPr>
          <w:rFonts w:ascii="仿宋_GB2312" w:eastAsia="仿宋_GB2312"/>
          <w:sz w:val="32"/>
          <w:szCs w:val="32"/>
          <w:lang w:eastAsia="zh-CN"/>
        </w:rPr>
        <w:lastRenderedPageBreak/>
        <w:t>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；公务用车运行维护费全年预算数2.60万元，决算数0.87万元，预决算差异率-66.54%，主要原因是：</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w:t>
      </w:r>
      <w:r>
        <w:rPr>
          <w:rFonts w:ascii="仿宋_GB2312" w:eastAsia="仿宋_GB2312"/>
          <w:sz w:val="32"/>
          <w:szCs w:val="32"/>
          <w:lang w:eastAsia="zh-CN"/>
        </w:rPr>
        <w:t>车辆维修费、保险费及</w:t>
      </w:r>
      <w:r>
        <w:rPr>
          <w:rFonts w:ascii="仿宋_GB2312" w:eastAsia="仿宋_GB2312" w:hint="eastAsia"/>
          <w:sz w:val="32"/>
          <w:szCs w:val="32"/>
          <w:lang w:eastAsia="zh-CN"/>
        </w:rPr>
        <w:t>燃油费</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77F7BE1D" w14:textId="77777777" w:rsidR="0024342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7645615B" w14:textId="77777777" w:rsidR="00243425"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5EB4E5F4"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2024年度昌吉市红十字会单位（行政单位和参照公务员法管理事业单位）机关运行经费支出4.32万元，比上年增加0.53万元，增长13.98%，主要原因是：本年</w:t>
      </w:r>
      <w:r>
        <w:rPr>
          <w:rFonts w:ascii="仿宋_GB2312" w:eastAsia="仿宋_GB2312" w:hint="eastAsia"/>
          <w:sz w:val="32"/>
          <w:szCs w:val="32"/>
          <w:lang w:eastAsia="zh-CN"/>
        </w:rPr>
        <w:t>单位</w:t>
      </w:r>
      <w:r>
        <w:rPr>
          <w:rFonts w:ascii="仿宋_GB2312" w:eastAsia="仿宋_GB2312"/>
          <w:sz w:val="32"/>
          <w:szCs w:val="32"/>
          <w:lang w:eastAsia="zh-CN"/>
        </w:rPr>
        <w:t>物业管理费、差旅费</w:t>
      </w:r>
      <w:r>
        <w:rPr>
          <w:rFonts w:ascii="仿宋_GB2312" w:eastAsia="仿宋_GB2312" w:hint="eastAsia"/>
          <w:sz w:val="32"/>
          <w:szCs w:val="32"/>
          <w:lang w:eastAsia="zh-CN"/>
        </w:rPr>
        <w:t>等较上年增加。</w:t>
      </w:r>
    </w:p>
    <w:p w14:paraId="5CE6B242" w14:textId="77777777" w:rsidR="00243425"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1951680B"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2024年度政府采购支出总额3.29万元，其中：政府采购货物支出1.78万元、政府采购工程支出0.00万元、政府采购服务支出1.51万元。</w:t>
      </w:r>
    </w:p>
    <w:p w14:paraId="63112E35"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授予中小企业合同金额3.29万元，占政府采购支出总额的100.00%，其中：授予小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合同金额3.09万元，占政府采购支出总额的93.92%。</w:t>
      </w:r>
    </w:p>
    <w:p w14:paraId="25269AA5" w14:textId="77777777" w:rsidR="00243425"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55077B4A"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1辆，价值15.86万元，其中：副部（省）级及以上领导用车0辆、主要负责人用车0辆、机要通信用车0辆、应急保障用车0辆、执法执勤用车0辆、特种专业技术用车0辆、离退休干部服务用车0辆、其他用车1辆，其他用车主要是：</w:t>
      </w:r>
      <w:proofErr w:type="gramStart"/>
      <w:r>
        <w:rPr>
          <w:rFonts w:ascii="仿宋_GB2312" w:eastAsia="仿宋_GB2312" w:hint="eastAsia"/>
          <w:sz w:val="32"/>
          <w:szCs w:val="32"/>
          <w:lang w:eastAsia="zh-CN"/>
        </w:rPr>
        <w:t>单位</w:t>
      </w:r>
      <w:r>
        <w:rPr>
          <w:rFonts w:ascii="仿宋_GB2312" w:eastAsia="仿宋_GB2312"/>
          <w:sz w:val="32"/>
          <w:szCs w:val="32"/>
          <w:lang w:eastAsia="zh-CN"/>
        </w:rPr>
        <w:t>业务</w:t>
      </w:r>
      <w:r>
        <w:rPr>
          <w:rFonts w:ascii="仿宋_GB2312" w:eastAsia="仿宋_GB2312" w:hint="eastAsia"/>
          <w:sz w:val="32"/>
          <w:szCs w:val="32"/>
          <w:lang w:eastAsia="zh-CN"/>
        </w:rPr>
        <w:t>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1B11AD70" w14:textId="77777777" w:rsidR="0024342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10375637"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根据预算绩效管理要求，本单位2024年度预算绩效管理形成整体支出绩效自评表1个，全年预算总额</w:t>
      </w:r>
      <w:r>
        <w:rPr>
          <w:rFonts w:ascii="仿宋_GB2312" w:eastAsia="仿宋_GB2312" w:hint="eastAsia"/>
          <w:sz w:val="32"/>
          <w:szCs w:val="32"/>
          <w:lang w:eastAsia="zh-CN"/>
        </w:rPr>
        <w:t>105.28</w:t>
      </w:r>
      <w:r>
        <w:rPr>
          <w:rFonts w:ascii="仿宋_GB2312" w:eastAsia="仿宋_GB2312"/>
          <w:sz w:val="32"/>
          <w:szCs w:val="32"/>
          <w:lang w:eastAsia="zh-CN"/>
        </w:rPr>
        <w:t>万元，实际执行总额105.28万元；预算绩效评价项目0个，全年预算数0</w:t>
      </w:r>
      <w:r>
        <w:rPr>
          <w:rFonts w:ascii="仿宋_GB2312" w:eastAsia="仿宋_GB2312" w:hint="eastAsia"/>
          <w:sz w:val="32"/>
          <w:szCs w:val="32"/>
          <w:lang w:eastAsia="zh-CN"/>
        </w:rPr>
        <w:t>.00</w:t>
      </w:r>
      <w:r>
        <w:rPr>
          <w:rFonts w:ascii="仿宋_GB2312" w:eastAsia="仿宋_GB2312"/>
          <w:sz w:val="32"/>
          <w:szCs w:val="32"/>
          <w:lang w:eastAsia="zh-CN"/>
        </w:rPr>
        <w:t>万元，全年执行数0</w:t>
      </w:r>
      <w:r>
        <w:rPr>
          <w:rFonts w:ascii="仿宋_GB2312" w:eastAsia="仿宋_GB2312" w:hint="eastAsia"/>
          <w:sz w:val="32"/>
          <w:szCs w:val="32"/>
          <w:lang w:eastAsia="zh-CN"/>
        </w:rPr>
        <w:t>.00</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p>
    <w:p w14:paraId="35F33C1F" w14:textId="77777777" w:rsidR="00243425" w:rsidRDefault="00243425">
      <w:pPr>
        <w:widowControl w:val="0"/>
        <w:spacing w:after="0" w:line="240" w:lineRule="auto"/>
        <w:rPr>
          <w:rFonts w:ascii="宋体" w:eastAsia="宋体" w:hAnsi="宋体" w:cs="Times New Roman" w:hint="eastAsia"/>
          <w:b/>
          <w:bCs/>
          <w:sz w:val="18"/>
          <w:szCs w:val="18"/>
          <w:lang w:eastAsia="zh-CN"/>
        </w:rPr>
      </w:pPr>
    </w:p>
    <w:p w14:paraId="4F563752" w14:textId="77777777" w:rsidR="00243425" w:rsidRDefault="00000000">
      <w:pPr>
        <w:widowControl w:val="0"/>
        <w:spacing w:after="0" w:line="240" w:lineRule="auto"/>
        <w:jc w:val="center"/>
        <w:rPr>
          <w:rFonts w:ascii="宋体" w:eastAsia="宋体" w:hAnsi="宋体" w:cs="Times New Roman" w:hint="eastAsia"/>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部门（单位）整体支出绩效目标自评表</w:t>
      </w:r>
    </w:p>
    <w:p w14:paraId="39951843" w14:textId="77777777" w:rsidR="00243425"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243425" w14:paraId="2B9D94C7"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27D08328"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05444D95"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昌吉市红十字会</w:t>
            </w:r>
          </w:p>
        </w:tc>
        <w:tc>
          <w:tcPr>
            <w:tcW w:w="284" w:type="dxa"/>
            <w:tcBorders>
              <w:top w:val="nil"/>
              <w:left w:val="nil"/>
              <w:bottom w:val="nil"/>
              <w:right w:val="nil"/>
            </w:tcBorders>
            <w:noWrap/>
            <w:vAlign w:val="center"/>
          </w:tcPr>
          <w:p w14:paraId="2860FB83" w14:textId="77777777" w:rsidR="00243425" w:rsidRDefault="00243425">
            <w:pPr>
              <w:spacing w:after="0" w:line="240" w:lineRule="auto"/>
              <w:rPr>
                <w:rFonts w:ascii="宋体" w:eastAsia="宋体" w:hAnsi="宋体" w:cs="Times New Roman" w:hint="eastAsia"/>
                <w:b/>
                <w:bCs/>
                <w:sz w:val="18"/>
                <w:szCs w:val="18"/>
                <w:lang w:eastAsia="zh-CN"/>
              </w:rPr>
            </w:pPr>
          </w:p>
        </w:tc>
      </w:tr>
      <w:tr w:rsidR="00243425" w14:paraId="7B6D2140" w14:textId="77777777">
        <w:trPr>
          <w:cantSplit/>
          <w:trHeight w:val="570"/>
        </w:trPr>
        <w:tc>
          <w:tcPr>
            <w:tcW w:w="993" w:type="dxa"/>
            <w:vMerge w:val="restart"/>
            <w:tcBorders>
              <w:top w:val="nil"/>
              <w:left w:val="single" w:sz="4" w:space="0" w:color="auto"/>
              <w:bottom w:val="single" w:sz="4" w:space="0" w:color="auto"/>
              <w:right w:val="single" w:sz="4" w:space="0" w:color="auto"/>
            </w:tcBorders>
            <w:vAlign w:val="center"/>
          </w:tcPr>
          <w:p w14:paraId="57615502"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4C0708D7"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44EAF526"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04CB92DE"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全年预算数</w:t>
            </w:r>
          </w:p>
        </w:tc>
        <w:tc>
          <w:tcPr>
            <w:tcW w:w="1842" w:type="dxa"/>
            <w:tcBorders>
              <w:top w:val="nil"/>
              <w:left w:val="nil"/>
              <w:bottom w:val="single" w:sz="4" w:space="0" w:color="auto"/>
              <w:right w:val="single" w:sz="4" w:space="0" w:color="auto"/>
            </w:tcBorders>
            <w:vAlign w:val="center"/>
          </w:tcPr>
          <w:p w14:paraId="10CDFCE2"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全年执行数</w:t>
            </w:r>
          </w:p>
        </w:tc>
        <w:tc>
          <w:tcPr>
            <w:tcW w:w="993" w:type="dxa"/>
            <w:tcBorders>
              <w:top w:val="nil"/>
              <w:left w:val="nil"/>
              <w:bottom w:val="single" w:sz="4" w:space="0" w:color="auto"/>
              <w:right w:val="single" w:sz="4" w:space="0" w:color="auto"/>
            </w:tcBorders>
            <w:vAlign w:val="center"/>
          </w:tcPr>
          <w:p w14:paraId="496B2059"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2DC4E3A7"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755E5807"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14:paraId="3F6406FE" w14:textId="77777777" w:rsidR="00243425" w:rsidRDefault="00243425">
            <w:pPr>
              <w:spacing w:after="0" w:line="240" w:lineRule="auto"/>
              <w:jc w:val="center"/>
              <w:rPr>
                <w:rFonts w:ascii="宋体" w:eastAsia="宋体" w:hAnsi="宋体" w:cs="Times New Roman" w:hint="eastAsia"/>
                <w:b/>
                <w:bCs/>
                <w:sz w:val="18"/>
                <w:szCs w:val="18"/>
                <w:lang w:eastAsia="zh-CN"/>
              </w:rPr>
            </w:pPr>
          </w:p>
        </w:tc>
      </w:tr>
      <w:tr w:rsidR="00243425" w14:paraId="642E9EB2" w14:textId="77777777">
        <w:trPr>
          <w:cantSplit/>
          <w:trHeight w:val="489"/>
        </w:trPr>
        <w:tc>
          <w:tcPr>
            <w:tcW w:w="993" w:type="dxa"/>
            <w:vMerge/>
            <w:tcBorders>
              <w:top w:val="nil"/>
              <w:left w:val="single" w:sz="4" w:space="0" w:color="auto"/>
              <w:bottom w:val="single" w:sz="4" w:space="0" w:color="auto"/>
              <w:right w:val="single" w:sz="4" w:space="0" w:color="auto"/>
            </w:tcBorders>
            <w:vAlign w:val="center"/>
          </w:tcPr>
          <w:p w14:paraId="24A1926E" w14:textId="77777777" w:rsidR="00243425" w:rsidRDefault="00243425">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657B5B4D"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486A94E7"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3BDF4C64"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842" w:type="dxa"/>
            <w:tcBorders>
              <w:top w:val="nil"/>
              <w:left w:val="nil"/>
              <w:bottom w:val="single" w:sz="4" w:space="0" w:color="auto"/>
              <w:right w:val="single" w:sz="4" w:space="0" w:color="auto"/>
            </w:tcBorders>
            <w:vAlign w:val="center"/>
          </w:tcPr>
          <w:p w14:paraId="00827671"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993" w:type="dxa"/>
            <w:tcBorders>
              <w:top w:val="nil"/>
              <w:left w:val="nil"/>
              <w:bottom w:val="single" w:sz="4" w:space="0" w:color="auto"/>
              <w:right w:val="single" w:sz="4" w:space="0" w:color="auto"/>
            </w:tcBorders>
            <w:vAlign w:val="center"/>
          </w:tcPr>
          <w:p w14:paraId="280685EC"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1D4C8368"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1B59F580"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14:paraId="652C00FC" w14:textId="77777777" w:rsidR="00243425" w:rsidRDefault="00243425">
            <w:pPr>
              <w:spacing w:after="0" w:line="240" w:lineRule="auto"/>
              <w:jc w:val="center"/>
              <w:rPr>
                <w:rFonts w:ascii="宋体" w:eastAsia="宋体" w:hAnsi="宋体" w:cs="Times New Roman" w:hint="eastAsia"/>
                <w:b/>
                <w:bCs/>
                <w:sz w:val="18"/>
                <w:szCs w:val="18"/>
                <w:lang w:eastAsia="zh-CN"/>
              </w:rPr>
            </w:pPr>
          </w:p>
        </w:tc>
      </w:tr>
      <w:tr w:rsidR="00243425" w14:paraId="35EEFA36" w14:textId="77777777">
        <w:trPr>
          <w:cantSplit/>
          <w:trHeight w:val="425"/>
        </w:trPr>
        <w:tc>
          <w:tcPr>
            <w:tcW w:w="993" w:type="dxa"/>
            <w:vMerge/>
            <w:tcBorders>
              <w:top w:val="nil"/>
              <w:left w:val="single" w:sz="4" w:space="0" w:color="auto"/>
              <w:bottom w:val="single" w:sz="4" w:space="0" w:color="auto"/>
              <w:right w:val="single" w:sz="4" w:space="0" w:color="auto"/>
            </w:tcBorders>
            <w:vAlign w:val="center"/>
          </w:tcPr>
          <w:p w14:paraId="6B8AFE69" w14:textId="77777777" w:rsidR="00243425" w:rsidRDefault="00243425">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4E4EE3A0"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437F571A"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96.65</w:t>
            </w:r>
          </w:p>
        </w:tc>
        <w:tc>
          <w:tcPr>
            <w:tcW w:w="1276" w:type="dxa"/>
            <w:tcBorders>
              <w:top w:val="nil"/>
              <w:left w:val="nil"/>
              <w:bottom w:val="single" w:sz="4" w:space="0" w:color="auto"/>
              <w:right w:val="single" w:sz="4" w:space="0" w:color="auto"/>
            </w:tcBorders>
            <w:vAlign w:val="center"/>
          </w:tcPr>
          <w:p w14:paraId="073D6275"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105.28</w:t>
            </w:r>
          </w:p>
        </w:tc>
        <w:tc>
          <w:tcPr>
            <w:tcW w:w="1842" w:type="dxa"/>
            <w:tcBorders>
              <w:top w:val="nil"/>
              <w:left w:val="nil"/>
              <w:bottom w:val="single" w:sz="4" w:space="0" w:color="auto"/>
              <w:right w:val="single" w:sz="4" w:space="0" w:color="auto"/>
            </w:tcBorders>
            <w:vAlign w:val="center"/>
          </w:tcPr>
          <w:p w14:paraId="58F6C618"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105.28</w:t>
            </w:r>
          </w:p>
        </w:tc>
        <w:tc>
          <w:tcPr>
            <w:tcW w:w="993" w:type="dxa"/>
            <w:tcBorders>
              <w:top w:val="nil"/>
              <w:left w:val="nil"/>
              <w:bottom w:val="single" w:sz="4" w:space="0" w:color="auto"/>
              <w:right w:val="single" w:sz="4" w:space="0" w:color="auto"/>
            </w:tcBorders>
            <w:vAlign w:val="center"/>
          </w:tcPr>
          <w:p w14:paraId="0E1A6B47"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992" w:type="dxa"/>
            <w:tcBorders>
              <w:top w:val="nil"/>
              <w:left w:val="nil"/>
              <w:bottom w:val="single" w:sz="4" w:space="0" w:color="auto"/>
              <w:right w:val="single" w:sz="4" w:space="0" w:color="auto"/>
            </w:tcBorders>
            <w:vAlign w:val="center"/>
          </w:tcPr>
          <w:p w14:paraId="26922D21"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50DA1684"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599EA363" w14:textId="77777777" w:rsidR="00243425" w:rsidRDefault="00243425">
            <w:pPr>
              <w:spacing w:after="0" w:line="240" w:lineRule="auto"/>
              <w:jc w:val="center"/>
              <w:rPr>
                <w:rFonts w:ascii="宋体" w:eastAsia="宋体" w:hAnsi="宋体" w:cs="Times New Roman" w:hint="eastAsia"/>
                <w:sz w:val="18"/>
                <w:szCs w:val="18"/>
                <w:lang w:eastAsia="zh-CN"/>
              </w:rPr>
            </w:pPr>
          </w:p>
        </w:tc>
      </w:tr>
      <w:tr w:rsidR="00243425" w14:paraId="35F88BEC" w14:textId="77777777">
        <w:trPr>
          <w:cantSplit/>
          <w:trHeight w:val="416"/>
        </w:trPr>
        <w:tc>
          <w:tcPr>
            <w:tcW w:w="993" w:type="dxa"/>
            <w:vMerge/>
            <w:tcBorders>
              <w:top w:val="nil"/>
              <w:left w:val="single" w:sz="4" w:space="0" w:color="auto"/>
              <w:bottom w:val="single" w:sz="4" w:space="0" w:color="auto"/>
              <w:right w:val="single" w:sz="4" w:space="0" w:color="auto"/>
            </w:tcBorders>
            <w:vAlign w:val="center"/>
          </w:tcPr>
          <w:p w14:paraId="2C01BD04" w14:textId="77777777" w:rsidR="00243425" w:rsidRDefault="00243425">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59BCFC4C"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4227D224"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0CB58373"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1842" w:type="dxa"/>
            <w:tcBorders>
              <w:top w:val="nil"/>
              <w:left w:val="nil"/>
              <w:bottom w:val="single" w:sz="4" w:space="0" w:color="auto"/>
              <w:right w:val="single" w:sz="4" w:space="0" w:color="auto"/>
            </w:tcBorders>
            <w:vAlign w:val="center"/>
          </w:tcPr>
          <w:p w14:paraId="2A809A7C"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0.00</w:t>
            </w:r>
          </w:p>
        </w:tc>
        <w:tc>
          <w:tcPr>
            <w:tcW w:w="993" w:type="dxa"/>
            <w:tcBorders>
              <w:top w:val="nil"/>
              <w:left w:val="nil"/>
              <w:bottom w:val="single" w:sz="4" w:space="0" w:color="auto"/>
              <w:right w:val="single" w:sz="4" w:space="0" w:color="auto"/>
            </w:tcBorders>
            <w:vAlign w:val="center"/>
          </w:tcPr>
          <w:p w14:paraId="22B35A5F"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992" w:type="dxa"/>
            <w:tcBorders>
              <w:top w:val="nil"/>
              <w:left w:val="nil"/>
              <w:bottom w:val="single" w:sz="4" w:space="0" w:color="auto"/>
              <w:right w:val="single" w:sz="4" w:space="0" w:color="auto"/>
            </w:tcBorders>
            <w:vAlign w:val="center"/>
          </w:tcPr>
          <w:p w14:paraId="559EA163"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41A2399E"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07893666" w14:textId="77777777" w:rsidR="00243425" w:rsidRDefault="00243425">
            <w:pPr>
              <w:spacing w:after="0" w:line="240" w:lineRule="auto"/>
              <w:jc w:val="center"/>
              <w:rPr>
                <w:rFonts w:ascii="宋体" w:eastAsia="宋体" w:hAnsi="宋体" w:cs="Times New Roman" w:hint="eastAsia"/>
                <w:sz w:val="18"/>
                <w:szCs w:val="18"/>
                <w:lang w:eastAsia="zh-CN"/>
              </w:rPr>
            </w:pPr>
          </w:p>
        </w:tc>
      </w:tr>
      <w:tr w:rsidR="00243425" w14:paraId="1D8DCFCB" w14:textId="77777777">
        <w:trPr>
          <w:cantSplit/>
          <w:trHeight w:val="415"/>
        </w:trPr>
        <w:tc>
          <w:tcPr>
            <w:tcW w:w="993" w:type="dxa"/>
            <w:vMerge/>
            <w:tcBorders>
              <w:top w:val="nil"/>
              <w:left w:val="single" w:sz="4" w:space="0" w:color="auto"/>
              <w:bottom w:val="single" w:sz="4" w:space="0" w:color="auto"/>
              <w:right w:val="single" w:sz="4" w:space="0" w:color="auto"/>
            </w:tcBorders>
            <w:vAlign w:val="center"/>
          </w:tcPr>
          <w:p w14:paraId="1B1C9E4D" w14:textId="77777777" w:rsidR="00243425" w:rsidRDefault="00243425">
            <w:pPr>
              <w:spacing w:after="0" w:line="240" w:lineRule="auto"/>
              <w:rPr>
                <w:rFonts w:ascii="宋体" w:eastAsia="宋体" w:hAnsi="宋体" w:cs="Times New Roman"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33F1A0FA"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57B968B7"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96.65</w:t>
            </w:r>
          </w:p>
        </w:tc>
        <w:tc>
          <w:tcPr>
            <w:tcW w:w="1276" w:type="dxa"/>
            <w:tcBorders>
              <w:top w:val="nil"/>
              <w:left w:val="nil"/>
              <w:bottom w:val="single" w:sz="4" w:space="0" w:color="auto"/>
              <w:right w:val="single" w:sz="4" w:space="0" w:color="auto"/>
            </w:tcBorders>
            <w:vAlign w:val="center"/>
          </w:tcPr>
          <w:p w14:paraId="7EF322C5"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105.28</w:t>
            </w:r>
          </w:p>
        </w:tc>
        <w:tc>
          <w:tcPr>
            <w:tcW w:w="1842" w:type="dxa"/>
            <w:tcBorders>
              <w:top w:val="nil"/>
              <w:left w:val="nil"/>
              <w:bottom w:val="single" w:sz="4" w:space="0" w:color="auto"/>
              <w:right w:val="single" w:sz="4" w:space="0" w:color="auto"/>
            </w:tcBorders>
            <w:vAlign w:val="center"/>
          </w:tcPr>
          <w:p w14:paraId="5089EE27"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105.28</w:t>
            </w:r>
          </w:p>
        </w:tc>
        <w:tc>
          <w:tcPr>
            <w:tcW w:w="993" w:type="dxa"/>
            <w:tcBorders>
              <w:top w:val="nil"/>
              <w:left w:val="nil"/>
              <w:bottom w:val="single" w:sz="4" w:space="0" w:color="auto"/>
              <w:right w:val="single" w:sz="4" w:space="0" w:color="auto"/>
            </w:tcBorders>
            <w:vAlign w:val="center"/>
          </w:tcPr>
          <w:p w14:paraId="5682417B"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5E16FA6D"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32921345"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w:t>
            </w:r>
          </w:p>
        </w:tc>
        <w:tc>
          <w:tcPr>
            <w:tcW w:w="284" w:type="dxa"/>
            <w:tcBorders>
              <w:top w:val="nil"/>
              <w:left w:val="nil"/>
              <w:bottom w:val="nil"/>
              <w:right w:val="nil"/>
            </w:tcBorders>
            <w:noWrap/>
            <w:vAlign w:val="center"/>
          </w:tcPr>
          <w:p w14:paraId="28FA1895" w14:textId="77777777" w:rsidR="00243425" w:rsidRDefault="00243425">
            <w:pPr>
              <w:spacing w:after="0" w:line="240" w:lineRule="auto"/>
              <w:jc w:val="center"/>
              <w:rPr>
                <w:rFonts w:ascii="宋体" w:eastAsia="宋体" w:hAnsi="宋体" w:cs="Times New Roman" w:hint="eastAsia"/>
                <w:sz w:val="18"/>
                <w:szCs w:val="18"/>
                <w:lang w:eastAsia="zh-CN"/>
              </w:rPr>
            </w:pPr>
          </w:p>
        </w:tc>
      </w:tr>
      <w:tr w:rsidR="00243425" w14:paraId="7EEE9F4A" w14:textId="77777777">
        <w:trPr>
          <w:cantSplit/>
          <w:trHeight w:val="341"/>
        </w:trPr>
        <w:tc>
          <w:tcPr>
            <w:tcW w:w="993" w:type="dxa"/>
            <w:vMerge w:val="restart"/>
            <w:tcBorders>
              <w:top w:val="nil"/>
              <w:left w:val="single" w:sz="4" w:space="0" w:color="auto"/>
              <w:bottom w:val="single" w:sz="4" w:space="0" w:color="auto"/>
              <w:right w:val="single" w:sz="4" w:space="0" w:color="auto"/>
            </w:tcBorders>
            <w:vAlign w:val="center"/>
          </w:tcPr>
          <w:p w14:paraId="6469530B"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37A3C4F5"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20C7BD6D"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实际完成情况</w:t>
            </w:r>
          </w:p>
        </w:tc>
        <w:tc>
          <w:tcPr>
            <w:tcW w:w="284" w:type="dxa"/>
            <w:tcBorders>
              <w:top w:val="nil"/>
              <w:left w:val="nil"/>
              <w:bottom w:val="nil"/>
              <w:right w:val="nil"/>
            </w:tcBorders>
            <w:noWrap/>
            <w:vAlign w:val="center"/>
          </w:tcPr>
          <w:p w14:paraId="29BAD0F2" w14:textId="77777777" w:rsidR="00243425" w:rsidRDefault="00243425">
            <w:pPr>
              <w:spacing w:after="0" w:line="240" w:lineRule="auto"/>
              <w:rPr>
                <w:rFonts w:ascii="宋体" w:eastAsia="宋体" w:hAnsi="宋体" w:cs="Times New Roman" w:hint="eastAsia"/>
                <w:b/>
                <w:bCs/>
                <w:sz w:val="18"/>
                <w:szCs w:val="18"/>
                <w:lang w:eastAsia="zh-CN"/>
              </w:rPr>
            </w:pPr>
          </w:p>
        </w:tc>
      </w:tr>
      <w:tr w:rsidR="00243425" w14:paraId="304E6BF1" w14:textId="77777777">
        <w:trPr>
          <w:cantSplit/>
          <w:trHeight w:val="705"/>
        </w:trPr>
        <w:tc>
          <w:tcPr>
            <w:tcW w:w="993" w:type="dxa"/>
            <w:vMerge/>
            <w:tcBorders>
              <w:top w:val="nil"/>
              <w:left w:val="single" w:sz="4" w:space="0" w:color="auto"/>
              <w:bottom w:val="single" w:sz="4" w:space="0" w:color="auto"/>
              <w:right w:val="single" w:sz="4" w:space="0" w:color="auto"/>
            </w:tcBorders>
            <w:vAlign w:val="center"/>
          </w:tcPr>
          <w:p w14:paraId="2361CFBF" w14:textId="77777777" w:rsidR="00243425" w:rsidRDefault="00243425">
            <w:pPr>
              <w:spacing w:after="0" w:line="240" w:lineRule="auto"/>
              <w:rPr>
                <w:rFonts w:ascii="宋体" w:eastAsia="宋体" w:hAnsi="宋体" w:cs="Times New Roman" w:hint="eastAsia"/>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7A6BA195" w14:textId="77777777" w:rsidR="00243425"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认真落实自治区、州红十字会工作要求，聚焦“三救三献”主责主业，充分发挥党和政府在人道领域助手和联系群众桥梁纽带作用，经常性开展应急救援演练活动，全年开展防灾避险、应急救护体验、群众性演练等活动大于等于4次；做实“红十字博爱送温暖”活动，慰问辖区大于等于100户的困难人群；加大大病救助工作力度，切实做到“救急、救困”，年内救助困难学生和困难家庭大病患者大于等于200人。开展应急救护培训“五进”工作，深入社区、学校、单位举办群众性现场应急救护讲座，培训各类人员大于等于3000人次。</w:t>
            </w:r>
          </w:p>
        </w:tc>
        <w:tc>
          <w:tcPr>
            <w:tcW w:w="4547" w:type="dxa"/>
            <w:gridSpan w:val="4"/>
            <w:tcBorders>
              <w:top w:val="single" w:sz="4" w:space="0" w:color="auto"/>
              <w:left w:val="nil"/>
              <w:bottom w:val="single" w:sz="4" w:space="0" w:color="auto"/>
              <w:right w:val="single" w:sz="4" w:space="0" w:color="auto"/>
            </w:tcBorders>
          </w:tcPr>
          <w:p w14:paraId="0E22D11C" w14:textId="77777777" w:rsidR="00243425"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认真落实自治区、州红十字会工作要求，聚焦“三救三献”主责主业，充分发挥党和政府在人道领域助手和联系群众桥梁纽带作用，经常性开展应急救援演练活动，全年开展防灾避险、应急救护体验、群众性演练等活动大于等于4次；做实“红十字博爱送温暖”活动，慰问辖区大于等于100户的困难人群；加大大病救助工作力度，切实做到“救急、救困”，年内救助困难学生和困难家庭大病患者大于等于200人。开展应急救护培训“五进”工作，深入社区、学校、单位举办群众性现场应急救护讲座，培训各类人员大于等于3000人次。</w:t>
            </w:r>
          </w:p>
        </w:tc>
        <w:tc>
          <w:tcPr>
            <w:tcW w:w="284" w:type="dxa"/>
            <w:tcBorders>
              <w:top w:val="nil"/>
              <w:left w:val="nil"/>
              <w:bottom w:val="nil"/>
              <w:right w:val="nil"/>
            </w:tcBorders>
            <w:noWrap/>
            <w:vAlign w:val="center"/>
          </w:tcPr>
          <w:p w14:paraId="68BCDBF0" w14:textId="77777777" w:rsidR="00243425" w:rsidRDefault="00243425">
            <w:pPr>
              <w:spacing w:after="0" w:line="240" w:lineRule="auto"/>
              <w:rPr>
                <w:rFonts w:ascii="宋体" w:eastAsia="宋体" w:hAnsi="宋体" w:cs="Times New Roman" w:hint="eastAsia"/>
                <w:sz w:val="18"/>
                <w:szCs w:val="18"/>
                <w:lang w:eastAsia="zh-CN"/>
              </w:rPr>
            </w:pPr>
          </w:p>
        </w:tc>
      </w:tr>
      <w:tr w:rsidR="00243425" w14:paraId="5E420493"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4B8FC9A7"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6637E1FC"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08E563FB"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63394915"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预期指标值</w:t>
            </w:r>
          </w:p>
        </w:tc>
        <w:tc>
          <w:tcPr>
            <w:tcW w:w="1842" w:type="dxa"/>
            <w:tcBorders>
              <w:top w:val="nil"/>
              <w:left w:val="nil"/>
              <w:bottom w:val="single" w:sz="4" w:space="0" w:color="auto"/>
              <w:right w:val="single" w:sz="4" w:space="0" w:color="auto"/>
            </w:tcBorders>
            <w:vAlign w:val="center"/>
          </w:tcPr>
          <w:p w14:paraId="27B58D9C"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指标值设定依据</w:t>
            </w:r>
          </w:p>
        </w:tc>
        <w:tc>
          <w:tcPr>
            <w:tcW w:w="993" w:type="dxa"/>
            <w:tcBorders>
              <w:top w:val="nil"/>
              <w:left w:val="nil"/>
              <w:bottom w:val="single" w:sz="4" w:space="0" w:color="auto"/>
              <w:right w:val="single" w:sz="4" w:space="0" w:color="auto"/>
            </w:tcBorders>
            <w:vAlign w:val="center"/>
          </w:tcPr>
          <w:p w14:paraId="7B06717C"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413C9DC1"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4D7CCAC1" w14:textId="77777777" w:rsidR="00243425" w:rsidRDefault="00000000">
            <w:pPr>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14:paraId="477B3F8E" w14:textId="77777777" w:rsidR="00243425" w:rsidRDefault="00243425">
            <w:pPr>
              <w:spacing w:after="0" w:line="240" w:lineRule="auto"/>
              <w:rPr>
                <w:rFonts w:ascii="宋体" w:eastAsia="宋体" w:hAnsi="宋体" w:cs="Times New Roman" w:hint="eastAsia"/>
                <w:b/>
                <w:bCs/>
                <w:sz w:val="18"/>
                <w:szCs w:val="18"/>
                <w:lang w:eastAsia="zh-CN"/>
              </w:rPr>
            </w:pPr>
          </w:p>
        </w:tc>
      </w:tr>
      <w:tr w:rsidR="00243425" w14:paraId="0A09448F" w14:textId="77777777">
        <w:trPr>
          <w:cantSplit/>
          <w:trHeight w:val="740"/>
        </w:trPr>
        <w:tc>
          <w:tcPr>
            <w:tcW w:w="993" w:type="dxa"/>
            <w:vMerge w:val="restart"/>
            <w:tcBorders>
              <w:top w:val="single" w:sz="4" w:space="0" w:color="auto"/>
              <w:left w:val="single" w:sz="4" w:space="0" w:color="auto"/>
              <w:bottom w:val="nil"/>
              <w:right w:val="single" w:sz="4" w:space="0" w:color="auto"/>
            </w:tcBorders>
            <w:noWrap/>
            <w:vAlign w:val="center"/>
          </w:tcPr>
          <w:p w14:paraId="25B65B03" w14:textId="77777777" w:rsidR="00243425" w:rsidRDefault="00000000">
            <w:pPr>
              <w:spacing w:after="0" w:line="240" w:lineRule="auto"/>
              <w:jc w:val="center"/>
              <w:rPr>
                <w:rFonts w:ascii="宋体" w:eastAsia="宋体" w:hAnsi="宋体" w:cs="Times New Roman" w:hint="eastAsia"/>
                <w:sz w:val="15"/>
                <w:szCs w:val="15"/>
                <w:lang w:eastAsia="zh-CN"/>
              </w:rPr>
            </w:pPr>
            <w:r>
              <w:rPr>
                <w:rFonts w:ascii="宋体" w:eastAsia="宋体" w:hAnsi="宋体" w:cs="Times New Roman" w:hint="eastAsia"/>
                <w:sz w:val="15"/>
                <w:szCs w:val="15"/>
                <w:lang w:eastAsia="zh-CN"/>
              </w:rPr>
              <w:t>履职效能</w:t>
            </w:r>
          </w:p>
        </w:tc>
        <w:tc>
          <w:tcPr>
            <w:tcW w:w="1417" w:type="dxa"/>
            <w:vMerge w:val="restart"/>
            <w:tcBorders>
              <w:top w:val="single" w:sz="4" w:space="0" w:color="auto"/>
              <w:left w:val="nil"/>
              <w:bottom w:val="nil"/>
              <w:right w:val="single" w:sz="4" w:space="0" w:color="auto"/>
            </w:tcBorders>
            <w:noWrap/>
            <w:vAlign w:val="center"/>
          </w:tcPr>
          <w:p w14:paraId="5FCE533C" w14:textId="77777777" w:rsidR="00243425" w:rsidRDefault="00000000">
            <w:pPr>
              <w:spacing w:after="0" w:line="240" w:lineRule="auto"/>
              <w:jc w:val="center"/>
              <w:rPr>
                <w:rFonts w:ascii="宋体" w:eastAsia="宋体" w:hAnsi="宋体" w:cs="Times New Roman" w:hint="eastAsia"/>
                <w:sz w:val="15"/>
                <w:szCs w:val="15"/>
                <w:lang w:eastAsia="zh-CN"/>
              </w:rPr>
            </w:pPr>
            <w:r>
              <w:rPr>
                <w:rFonts w:ascii="宋体" w:eastAsia="宋体" w:hAnsi="宋体" w:cs="Times New Roman" w:hint="eastAsia"/>
                <w:sz w:val="15"/>
                <w:szCs w:val="15"/>
                <w:lang w:eastAsia="zh-CN"/>
              </w:rPr>
              <w:t>数量指标</w:t>
            </w:r>
          </w:p>
        </w:tc>
        <w:tc>
          <w:tcPr>
            <w:tcW w:w="1418" w:type="dxa"/>
            <w:tcBorders>
              <w:top w:val="nil"/>
              <w:left w:val="nil"/>
              <w:bottom w:val="single" w:sz="4" w:space="0" w:color="auto"/>
              <w:right w:val="single" w:sz="4" w:space="0" w:color="auto"/>
            </w:tcBorders>
            <w:noWrap/>
            <w:vAlign w:val="center"/>
          </w:tcPr>
          <w:p w14:paraId="095C1A23"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开展防灾避险、应急救护体验、群众性演练活动次数</w:t>
            </w:r>
          </w:p>
        </w:tc>
        <w:tc>
          <w:tcPr>
            <w:tcW w:w="1276" w:type="dxa"/>
            <w:tcBorders>
              <w:top w:val="nil"/>
              <w:left w:val="nil"/>
              <w:bottom w:val="single" w:sz="4" w:space="0" w:color="auto"/>
              <w:right w:val="single" w:sz="4" w:space="0" w:color="auto"/>
            </w:tcBorders>
            <w:noWrap/>
            <w:vAlign w:val="center"/>
          </w:tcPr>
          <w:p w14:paraId="2D63756D"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&gt;=4场/次</w:t>
            </w:r>
          </w:p>
        </w:tc>
        <w:tc>
          <w:tcPr>
            <w:tcW w:w="1842" w:type="dxa"/>
            <w:tcBorders>
              <w:top w:val="nil"/>
              <w:left w:val="nil"/>
              <w:bottom w:val="single" w:sz="4" w:space="0" w:color="auto"/>
              <w:right w:val="single" w:sz="4" w:space="0" w:color="auto"/>
            </w:tcBorders>
            <w:noWrap/>
            <w:vAlign w:val="center"/>
          </w:tcPr>
          <w:p w14:paraId="5B9C9FBA" w14:textId="77777777" w:rsidR="00243425"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2024年工作计划</w:t>
            </w:r>
          </w:p>
        </w:tc>
        <w:tc>
          <w:tcPr>
            <w:tcW w:w="993" w:type="dxa"/>
            <w:tcBorders>
              <w:top w:val="nil"/>
              <w:left w:val="nil"/>
              <w:bottom w:val="single" w:sz="4" w:space="0" w:color="auto"/>
              <w:right w:val="single" w:sz="4" w:space="0" w:color="auto"/>
            </w:tcBorders>
            <w:noWrap/>
            <w:vAlign w:val="center"/>
          </w:tcPr>
          <w:p w14:paraId="22A88733"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18</w:t>
            </w:r>
          </w:p>
        </w:tc>
        <w:tc>
          <w:tcPr>
            <w:tcW w:w="992" w:type="dxa"/>
            <w:tcBorders>
              <w:top w:val="nil"/>
              <w:left w:val="nil"/>
              <w:bottom w:val="single" w:sz="4" w:space="0" w:color="auto"/>
              <w:right w:val="single" w:sz="4" w:space="0" w:color="auto"/>
            </w:tcBorders>
            <w:noWrap/>
            <w:vAlign w:val="center"/>
          </w:tcPr>
          <w:p w14:paraId="36578732"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=6场次</w:t>
            </w:r>
          </w:p>
        </w:tc>
        <w:tc>
          <w:tcPr>
            <w:tcW w:w="720" w:type="dxa"/>
            <w:tcBorders>
              <w:top w:val="nil"/>
              <w:left w:val="nil"/>
              <w:bottom w:val="single" w:sz="4" w:space="0" w:color="auto"/>
              <w:right w:val="single" w:sz="4" w:space="0" w:color="auto"/>
            </w:tcBorders>
            <w:noWrap/>
            <w:vAlign w:val="center"/>
          </w:tcPr>
          <w:p w14:paraId="56EA5092"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18</w:t>
            </w:r>
          </w:p>
        </w:tc>
        <w:tc>
          <w:tcPr>
            <w:tcW w:w="284" w:type="dxa"/>
            <w:tcBorders>
              <w:top w:val="nil"/>
              <w:left w:val="nil"/>
              <w:bottom w:val="nil"/>
              <w:right w:val="nil"/>
            </w:tcBorders>
            <w:noWrap/>
            <w:vAlign w:val="center"/>
          </w:tcPr>
          <w:p w14:paraId="7621CED9" w14:textId="77777777" w:rsidR="00243425" w:rsidRDefault="00243425">
            <w:pPr>
              <w:spacing w:after="0" w:line="240" w:lineRule="auto"/>
              <w:jc w:val="center"/>
              <w:rPr>
                <w:rFonts w:ascii="宋体" w:eastAsia="宋体" w:hAnsi="宋体" w:cs="Times New Roman" w:hint="eastAsia"/>
                <w:sz w:val="18"/>
                <w:szCs w:val="18"/>
                <w:lang w:eastAsia="zh-CN"/>
              </w:rPr>
            </w:pPr>
          </w:p>
        </w:tc>
      </w:tr>
      <w:tr w:rsidR="00243425" w14:paraId="06FF6B52" w14:textId="77777777">
        <w:trPr>
          <w:cantSplit/>
          <w:trHeight w:val="740"/>
        </w:trPr>
        <w:tc>
          <w:tcPr>
            <w:tcW w:w="993" w:type="dxa"/>
            <w:vMerge/>
            <w:tcBorders>
              <w:top w:val="nil"/>
              <w:left w:val="single" w:sz="4" w:space="0" w:color="auto"/>
              <w:bottom w:val="nil"/>
              <w:right w:val="single" w:sz="4" w:space="0" w:color="auto"/>
            </w:tcBorders>
            <w:vAlign w:val="center"/>
          </w:tcPr>
          <w:p w14:paraId="2097E0D1" w14:textId="77777777" w:rsidR="00243425" w:rsidRDefault="00243425">
            <w:pPr>
              <w:spacing w:after="0" w:line="240" w:lineRule="auto"/>
              <w:rPr>
                <w:rFonts w:ascii="宋体" w:eastAsia="宋体" w:hAnsi="宋体" w:cs="Times New Roman" w:hint="eastAsia"/>
                <w:sz w:val="15"/>
                <w:szCs w:val="15"/>
                <w:lang w:eastAsia="zh-CN"/>
              </w:rPr>
            </w:pPr>
          </w:p>
        </w:tc>
        <w:tc>
          <w:tcPr>
            <w:tcW w:w="8658" w:type="dxa"/>
            <w:vMerge/>
            <w:tcBorders>
              <w:top w:val="nil"/>
              <w:left w:val="nil"/>
              <w:bottom w:val="nil"/>
              <w:right w:val="single" w:sz="4" w:space="0" w:color="auto"/>
            </w:tcBorders>
            <w:vAlign w:val="center"/>
          </w:tcPr>
          <w:p w14:paraId="7D98749C" w14:textId="77777777" w:rsidR="00243425" w:rsidRDefault="00243425">
            <w:pPr>
              <w:spacing w:after="0" w:line="240" w:lineRule="auto"/>
              <w:rPr>
                <w:rFonts w:ascii="宋体" w:eastAsia="宋体" w:hAnsi="宋体" w:cs="Times New Roman" w:hint="eastAsia"/>
                <w:sz w:val="15"/>
                <w:szCs w:val="15"/>
                <w:lang w:eastAsia="zh-CN"/>
              </w:rPr>
            </w:pPr>
          </w:p>
        </w:tc>
        <w:tc>
          <w:tcPr>
            <w:tcW w:w="1418" w:type="dxa"/>
            <w:tcBorders>
              <w:top w:val="nil"/>
              <w:left w:val="nil"/>
              <w:bottom w:val="single" w:sz="4" w:space="0" w:color="auto"/>
              <w:right w:val="single" w:sz="4" w:space="0" w:color="auto"/>
            </w:tcBorders>
            <w:noWrap/>
            <w:vAlign w:val="center"/>
          </w:tcPr>
          <w:p w14:paraId="5CBE77D6"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救助困难学生及困难家庭大病患者人数</w:t>
            </w:r>
          </w:p>
        </w:tc>
        <w:tc>
          <w:tcPr>
            <w:tcW w:w="1276" w:type="dxa"/>
            <w:tcBorders>
              <w:top w:val="nil"/>
              <w:left w:val="nil"/>
              <w:bottom w:val="single" w:sz="4" w:space="0" w:color="auto"/>
              <w:right w:val="single" w:sz="4" w:space="0" w:color="auto"/>
            </w:tcBorders>
            <w:noWrap/>
            <w:vAlign w:val="center"/>
          </w:tcPr>
          <w:p w14:paraId="12082DA1"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&gt;=200人</w:t>
            </w:r>
          </w:p>
        </w:tc>
        <w:tc>
          <w:tcPr>
            <w:tcW w:w="1842" w:type="dxa"/>
            <w:tcBorders>
              <w:top w:val="nil"/>
              <w:left w:val="nil"/>
              <w:bottom w:val="single" w:sz="4" w:space="0" w:color="auto"/>
              <w:right w:val="single" w:sz="4" w:space="0" w:color="auto"/>
            </w:tcBorders>
            <w:noWrap/>
            <w:vAlign w:val="center"/>
          </w:tcPr>
          <w:p w14:paraId="5ECB27A4" w14:textId="77777777" w:rsidR="00243425"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2024年工作计划</w:t>
            </w:r>
          </w:p>
        </w:tc>
        <w:tc>
          <w:tcPr>
            <w:tcW w:w="993" w:type="dxa"/>
            <w:tcBorders>
              <w:top w:val="nil"/>
              <w:left w:val="nil"/>
              <w:bottom w:val="single" w:sz="4" w:space="0" w:color="auto"/>
              <w:right w:val="single" w:sz="4" w:space="0" w:color="auto"/>
            </w:tcBorders>
            <w:noWrap/>
            <w:vAlign w:val="center"/>
          </w:tcPr>
          <w:p w14:paraId="32BCBA96"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18</w:t>
            </w:r>
          </w:p>
        </w:tc>
        <w:tc>
          <w:tcPr>
            <w:tcW w:w="992" w:type="dxa"/>
            <w:tcBorders>
              <w:top w:val="nil"/>
              <w:left w:val="nil"/>
              <w:bottom w:val="single" w:sz="4" w:space="0" w:color="auto"/>
              <w:right w:val="single" w:sz="4" w:space="0" w:color="auto"/>
            </w:tcBorders>
            <w:noWrap/>
            <w:vAlign w:val="center"/>
          </w:tcPr>
          <w:p w14:paraId="0D4ED793"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＝201人</w:t>
            </w:r>
          </w:p>
        </w:tc>
        <w:tc>
          <w:tcPr>
            <w:tcW w:w="720" w:type="dxa"/>
            <w:tcBorders>
              <w:top w:val="nil"/>
              <w:left w:val="nil"/>
              <w:bottom w:val="single" w:sz="4" w:space="0" w:color="auto"/>
              <w:right w:val="single" w:sz="4" w:space="0" w:color="auto"/>
            </w:tcBorders>
            <w:noWrap/>
            <w:vAlign w:val="center"/>
          </w:tcPr>
          <w:p w14:paraId="24B0D608"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18</w:t>
            </w:r>
          </w:p>
        </w:tc>
        <w:tc>
          <w:tcPr>
            <w:tcW w:w="284" w:type="dxa"/>
            <w:tcBorders>
              <w:top w:val="nil"/>
              <w:left w:val="nil"/>
              <w:bottom w:val="nil"/>
              <w:right w:val="nil"/>
            </w:tcBorders>
            <w:noWrap/>
            <w:vAlign w:val="center"/>
          </w:tcPr>
          <w:p w14:paraId="2F0FAA27" w14:textId="77777777" w:rsidR="00243425" w:rsidRDefault="00243425">
            <w:pPr>
              <w:spacing w:after="0" w:line="240" w:lineRule="auto"/>
              <w:jc w:val="center"/>
              <w:rPr>
                <w:rFonts w:ascii="宋体" w:eastAsia="宋体" w:hAnsi="宋体" w:cs="Times New Roman" w:hint="eastAsia"/>
                <w:sz w:val="18"/>
                <w:szCs w:val="18"/>
                <w:lang w:eastAsia="zh-CN"/>
              </w:rPr>
            </w:pPr>
          </w:p>
        </w:tc>
      </w:tr>
      <w:tr w:rsidR="00243425" w14:paraId="4778FD55" w14:textId="77777777">
        <w:trPr>
          <w:cantSplit/>
          <w:trHeight w:val="740"/>
        </w:trPr>
        <w:tc>
          <w:tcPr>
            <w:tcW w:w="993" w:type="dxa"/>
            <w:vMerge/>
            <w:tcBorders>
              <w:top w:val="nil"/>
              <w:left w:val="single" w:sz="4" w:space="0" w:color="auto"/>
              <w:bottom w:val="nil"/>
              <w:right w:val="single" w:sz="4" w:space="0" w:color="auto"/>
            </w:tcBorders>
            <w:vAlign w:val="center"/>
          </w:tcPr>
          <w:p w14:paraId="0FC4D167" w14:textId="77777777" w:rsidR="00243425" w:rsidRDefault="00243425">
            <w:pPr>
              <w:spacing w:after="0" w:line="240" w:lineRule="auto"/>
              <w:rPr>
                <w:rFonts w:ascii="宋体" w:eastAsia="宋体" w:hAnsi="宋体" w:cs="Times New Roman" w:hint="eastAsia"/>
                <w:sz w:val="15"/>
                <w:szCs w:val="15"/>
                <w:lang w:eastAsia="zh-CN"/>
              </w:rPr>
            </w:pPr>
          </w:p>
        </w:tc>
        <w:tc>
          <w:tcPr>
            <w:tcW w:w="8658" w:type="dxa"/>
            <w:vMerge/>
            <w:tcBorders>
              <w:top w:val="nil"/>
              <w:left w:val="nil"/>
              <w:bottom w:val="nil"/>
              <w:right w:val="single" w:sz="4" w:space="0" w:color="auto"/>
            </w:tcBorders>
            <w:vAlign w:val="center"/>
          </w:tcPr>
          <w:p w14:paraId="0CA22121" w14:textId="77777777" w:rsidR="00243425" w:rsidRDefault="00243425">
            <w:pPr>
              <w:spacing w:after="0" w:line="240" w:lineRule="auto"/>
              <w:rPr>
                <w:rFonts w:ascii="宋体" w:eastAsia="宋体" w:hAnsi="宋体" w:cs="Times New Roman" w:hint="eastAsia"/>
                <w:sz w:val="15"/>
                <w:szCs w:val="15"/>
                <w:lang w:eastAsia="zh-CN"/>
              </w:rPr>
            </w:pPr>
          </w:p>
        </w:tc>
        <w:tc>
          <w:tcPr>
            <w:tcW w:w="1418" w:type="dxa"/>
            <w:tcBorders>
              <w:top w:val="nil"/>
              <w:left w:val="nil"/>
              <w:bottom w:val="single" w:sz="4" w:space="0" w:color="auto"/>
              <w:right w:val="single" w:sz="4" w:space="0" w:color="auto"/>
            </w:tcBorders>
            <w:noWrap/>
            <w:vAlign w:val="center"/>
          </w:tcPr>
          <w:p w14:paraId="42DDB81E"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开展“红十字博爱送温暖”活动，慰问困难家庭户数</w:t>
            </w:r>
          </w:p>
        </w:tc>
        <w:tc>
          <w:tcPr>
            <w:tcW w:w="1276" w:type="dxa"/>
            <w:tcBorders>
              <w:top w:val="nil"/>
              <w:left w:val="nil"/>
              <w:bottom w:val="single" w:sz="4" w:space="0" w:color="auto"/>
              <w:right w:val="single" w:sz="4" w:space="0" w:color="auto"/>
            </w:tcBorders>
            <w:noWrap/>
            <w:vAlign w:val="center"/>
          </w:tcPr>
          <w:p w14:paraId="4EED3B87"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&gt;=100户</w:t>
            </w:r>
          </w:p>
        </w:tc>
        <w:tc>
          <w:tcPr>
            <w:tcW w:w="1842" w:type="dxa"/>
            <w:tcBorders>
              <w:top w:val="nil"/>
              <w:left w:val="nil"/>
              <w:bottom w:val="single" w:sz="4" w:space="0" w:color="auto"/>
              <w:right w:val="single" w:sz="4" w:space="0" w:color="auto"/>
            </w:tcBorders>
            <w:noWrap/>
            <w:vAlign w:val="center"/>
          </w:tcPr>
          <w:p w14:paraId="7E1181B5" w14:textId="77777777" w:rsidR="00243425"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2024年工作计划</w:t>
            </w:r>
          </w:p>
        </w:tc>
        <w:tc>
          <w:tcPr>
            <w:tcW w:w="993" w:type="dxa"/>
            <w:tcBorders>
              <w:top w:val="nil"/>
              <w:left w:val="nil"/>
              <w:bottom w:val="single" w:sz="4" w:space="0" w:color="auto"/>
              <w:right w:val="single" w:sz="4" w:space="0" w:color="auto"/>
            </w:tcBorders>
            <w:noWrap/>
            <w:vAlign w:val="center"/>
          </w:tcPr>
          <w:p w14:paraId="00A9EA87"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18</w:t>
            </w:r>
          </w:p>
        </w:tc>
        <w:tc>
          <w:tcPr>
            <w:tcW w:w="992" w:type="dxa"/>
            <w:tcBorders>
              <w:top w:val="nil"/>
              <w:left w:val="nil"/>
              <w:bottom w:val="single" w:sz="4" w:space="0" w:color="auto"/>
              <w:right w:val="single" w:sz="4" w:space="0" w:color="auto"/>
            </w:tcBorders>
            <w:noWrap/>
            <w:vAlign w:val="center"/>
          </w:tcPr>
          <w:p w14:paraId="1196F491"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＝295户</w:t>
            </w:r>
          </w:p>
        </w:tc>
        <w:tc>
          <w:tcPr>
            <w:tcW w:w="720" w:type="dxa"/>
            <w:tcBorders>
              <w:top w:val="nil"/>
              <w:left w:val="nil"/>
              <w:bottom w:val="single" w:sz="4" w:space="0" w:color="auto"/>
              <w:right w:val="single" w:sz="4" w:space="0" w:color="auto"/>
            </w:tcBorders>
            <w:noWrap/>
            <w:vAlign w:val="center"/>
          </w:tcPr>
          <w:p w14:paraId="67312901"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18</w:t>
            </w:r>
          </w:p>
        </w:tc>
        <w:tc>
          <w:tcPr>
            <w:tcW w:w="284" w:type="dxa"/>
            <w:tcBorders>
              <w:top w:val="nil"/>
              <w:left w:val="nil"/>
              <w:bottom w:val="nil"/>
              <w:right w:val="nil"/>
            </w:tcBorders>
            <w:noWrap/>
            <w:vAlign w:val="center"/>
          </w:tcPr>
          <w:p w14:paraId="63FEF7E5" w14:textId="77777777" w:rsidR="00243425" w:rsidRDefault="00243425">
            <w:pPr>
              <w:spacing w:after="0" w:line="240" w:lineRule="auto"/>
              <w:jc w:val="center"/>
              <w:rPr>
                <w:rFonts w:ascii="宋体" w:eastAsia="宋体" w:hAnsi="宋体" w:cs="Times New Roman" w:hint="eastAsia"/>
                <w:sz w:val="18"/>
                <w:szCs w:val="18"/>
                <w:lang w:eastAsia="zh-CN"/>
              </w:rPr>
            </w:pPr>
          </w:p>
        </w:tc>
      </w:tr>
      <w:tr w:rsidR="00243425" w14:paraId="56C91D55" w14:textId="77777777">
        <w:trPr>
          <w:cantSplit/>
          <w:trHeight w:val="740"/>
        </w:trPr>
        <w:tc>
          <w:tcPr>
            <w:tcW w:w="993" w:type="dxa"/>
            <w:vMerge/>
            <w:tcBorders>
              <w:top w:val="nil"/>
              <w:left w:val="single" w:sz="4" w:space="0" w:color="auto"/>
              <w:bottom w:val="nil"/>
              <w:right w:val="single" w:sz="4" w:space="0" w:color="auto"/>
            </w:tcBorders>
            <w:vAlign w:val="center"/>
          </w:tcPr>
          <w:p w14:paraId="079B8A5D" w14:textId="77777777" w:rsidR="00243425" w:rsidRDefault="00243425">
            <w:pPr>
              <w:spacing w:after="0" w:line="240" w:lineRule="auto"/>
              <w:rPr>
                <w:rFonts w:ascii="宋体" w:eastAsia="宋体" w:hAnsi="宋体" w:cs="Times New Roman" w:hint="eastAsia"/>
                <w:sz w:val="15"/>
                <w:szCs w:val="15"/>
                <w:lang w:eastAsia="zh-CN"/>
              </w:rPr>
            </w:pPr>
          </w:p>
        </w:tc>
        <w:tc>
          <w:tcPr>
            <w:tcW w:w="8658" w:type="dxa"/>
            <w:vMerge/>
            <w:tcBorders>
              <w:top w:val="nil"/>
              <w:left w:val="nil"/>
              <w:bottom w:val="nil"/>
              <w:right w:val="single" w:sz="4" w:space="0" w:color="auto"/>
            </w:tcBorders>
            <w:vAlign w:val="center"/>
          </w:tcPr>
          <w:p w14:paraId="7517B526" w14:textId="77777777" w:rsidR="00243425" w:rsidRDefault="00243425">
            <w:pPr>
              <w:spacing w:after="0" w:line="240" w:lineRule="auto"/>
              <w:rPr>
                <w:rFonts w:ascii="宋体" w:eastAsia="宋体" w:hAnsi="宋体" w:cs="Times New Roman" w:hint="eastAsia"/>
                <w:sz w:val="15"/>
                <w:szCs w:val="15"/>
                <w:lang w:eastAsia="zh-CN"/>
              </w:rPr>
            </w:pPr>
          </w:p>
        </w:tc>
        <w:tc>
          <w:tcPr>
            <w:tcW w:w="1418" w:type="dxa"/>
            <w:tcBorders>
              <w:top w:val="nil"/>
              <w:left w:val="nil"/>
              <w:bottom w:val="single" w:sz="4" w:space="0" w:color="auto"/>
              <w:right w:val="single" w:sz="4" w:space="0" w:color="auto"/>
            </w:tcBorders>
            <w:noWrap/>
            <w:vAlign w:val="center"/>
          </w:tcPr>
          <w:p w14:paraId="298D68D2"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开展群众性应急救护培训人次</w:t>
            </w:r>
          </w:p>
        </w:tc>
        <w:tc>
          <w:tcPr>
            <w:tcW w:w="1276" w:type="dxa"/>
            <w:tcBorders>
              <w:top w:val="nil"/>
              <w:left w:val="nil"/>
              <w:bottom w:val="single" w:sz="4" w:space="0" w:color="auto"/>
              <w:right w:val="single" w:sz="4" w:space="0" w:color="auto"/>
            </w:tcBorders>
            <w:noWrap/>
            <w:vAlign w:val="center"/>
          </w:tcPr>
          <w:p w14:paraId="30FAF710"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&gt;=3000</w:t>
            </w:r>
          </w:p>
        </w:tc>
        <w:tc>
          <w:tcPr>
            <w:tcW w:w="1842" w:type="dxa"/>
            <w:tcBorders>
              <w:top w:val="nil"/>
              <w:left w:val="nil"/>
              <w:bottom w:val="single" w:sz="4" w:space="0" w:color="auto"/>
              <w:right w:val="single" w:sz="4" w:space="0" w:color="auto"/>
            </w:tcBorders>
            <w:noWrap/>
            <w:vAlign w:val="center"/>
          </w:tcPr>
          <w:p w14:paraId="26E4F230" w14:textId="77777777" w:rsidR="00243425"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2024年工作计划</w:t>
            </w:r>
          </w:p>
        </w:tc>
        <w:tc>
          <w:tcPr>
            <w:tcW w:w="993" w:type="dxa"/>
            <w:tcBorders>
              <w:top w:val="nil"/>
              <w:left w:val="nil"/>
              <w:bottom w:val="single" w:sz="4" w:space="0" w:color="auto"/>
              <w:right w:val="single" w:sz="4" w:space="0" w:color="auto"/>
            </w:tcBorders>
            <w:noWrap/>
            <w:vAlign w:val="center"/>
          </w:tcPr>
          <w:p w14:paraId="382BD8F4"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18</w:t>
            </w:r>
          </w:p>
        </w:tc>
        <w:tc>
          <w:tcPr>
            <w:tcW w:w="992" w:type="dxa"/>
            <w:tcBorders>
              <w:top w:val="nil"/>
              <w:left w:val="nil"/>
              <w:bottom w:val="single" w:sz="4" w:space="0" w:color="auto"/>
              <w:right w:val="single" w:sz="4" w:space="0" w:color="auto"/>
            </w:tcBorders>
            <w:noWrap/>
            <w:vAlign w:val="center"/>
          </w:tcPr>
          <w:p w14:paraId="052EE75B"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＝9930人</w:t>
            </w:r>
          </w:p>
        </w:tc>
        <w:tc>
          <w:tcPr>
            <w:tcW w:w="720" w:type="dxa"/>
            <w:tcBorders>
              <w:top w:val="nil"/>
              <w:left w:val="nil"/>
              <w:bottom w:val="single" w:sz="4" w:space="0" w:color="auto"/>
              <w:right w:val="single" w:sz="4" w:space="0" w:color="auto"/>
            </w:tcBorders>
            <w:noWrap/>
            <w:vAlign w:val="center"/>
          </w:tcPr>
          <w:p w14:paraId="736E31F2"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18</w:t>
            </w:r>
          </w:p>
        </w:tc>
        <w:tc>
          <w:tcPr>
            <w:tcW w:w="284" w:type="dxa"/>
            <w:tcBorders>
              <w:top w:val="nil"/>
              <w:left w:val="nil"/>
              <w:bottom w:val="nil"/>
              <w:right w:val="nil"/>
            </w:tcBorders>
            <w:noWrap/>
            <w:vAlign w:val="center"/>
          </w:tcPr>
          <w:p w14:paraId="657F1157" w14:textId="77777777" w:rsidR="00243425" w:rsidRDefault="00243425">
            <w:pPr>
              <w:spacing w:after="0" w:line="240" w:lineRule="auto"/>
              <w:jc w:val="center"/>
              <w:rPr>
                <w:rFonts w:ascii="宋体" w:eastAsia="宋体" w:hAnsi="宋体" w:cs="Times New Roman" w:hint="eastAsia"/>
                <w:sz w:val="18"/>
                <w:szCs w:val="18"/>
                <w:lang w:eastAsia="zh-CN"/>
              </w:rPr>
            </w:pPr>
          </w:p>
        </w:tc>
      </w:tr>
      <w:tr w:rsidR="00243425" w14:paraId="7814B642" w14:textId="77777777">
        <w:trPr>
          <w:cantSplit/>
          <w:trHeight w:val="740"/>
        </w:trPr>
        <w:tc>
          <w:tcPr>
            <w:tcW w:w="993" w:type="dxa"/>
            <w:vMerge/>
            <w:tcBorders>
              <w:top w:val="nil"/>
              <w:left w:val="single" w:sz="4" w:space="0" w:color="auto"/>
              <w:bottom w:val="single" w:sz="4" w:space="0" w:color="auto"/>
              <w:right w:val="single" w:sz="4" w:space="0" w:color="auto"/>
            </w:tcBorders>
            <w:vAlign w:val="center"/>
          </w:tcPr>
          <w:p w14:paraId="7C7720D7" w14:textId="77777777" w:rsidR="00243425" w:rsidRDefault="00243425">
            <w:pPr>
              <w:spacing w:after="0" w:line="240" w:lineRule="auto"/>
              <w:rPr>
                <w:rFonts w:ascii="宋体" w:eastAsia="宋体" w:hAnsi="宋体" w:cs="Times New Roman" w:hint="eastAsia"/>
                <w:sz w:val="15"/>
                <w:szCs w:val="15"/>
                <w:lang w:eastAsia="zh-CN"/>
              </w:rPr>
            </w:pPr>
          </w:p>
        </w:tc>
        <w:tc>
          <w:tcPr>
            <w:tcW w:w="1417" w:type="dxa"/>
            <w:tcBorders>
              <w:top w:val="nil"/>
              <w:left w:val="nil"/>
              <w:bottom w:val="single" w:sz="4" w:space="0" w:color="auto"/>
              <w:right w:val="single" w:sz="4" w:space="0" w:color="auto"/>
            </w:tcBorders>
            <w:noWrap/>
            <w:vAlign w:val="center"/>
          </w:tcPr>
          <w:p w14:paraId="0133C594" w14:textId="77777777" w:rsidR="00243425" w:rsidRDefault="00000000">
            <w:pPr>
              <w:spacing w:after="0" w:line="240" w:lineRule="auto"/>
              <w:jc w:val="center"/>
              <w:rPr>
                <w:rFonts w:ascii="宋体" w:eastAsia="宋体" w:hAnsi="宋体" w:cs="Times New Roman" w:hint="eastAsia"/>
                <w:sz w:val="15"/>
                <w:szCs w:val="15"/>
                <w:lang w:eastAsia="zh-CN"/>
              </w:rPr>
            </w:pPr>
            <w:r>
              <w:rPr>
                <w:rFonts w:ascii="宋体" w:eastAsia="宋体" w:hAnsi="宋体" w:cs="Times New Roman" w:hint="eastAsia"/>
                <w:sz w:val="15"/>
                <w:szCs w:val="15"/>
                <w:lang w:eastAsia="zh-CN"/>
              </w:rPr>
              <w:t>质量指标</w:t>
            </w:r>
          </w:p>
        </w:tc>
        <w:tc>
          <w:tcPr>
            <w:tcW w:w="1418" w:type="dxa"/>
            <w:tcBorders>
              <w:top w:val="nil"/>
              <w:left w:val="nil"/>
              <w:bottom w:val="single" w:sz="4" w:space="0" w:color="auto"/>
              <w:right w:val="single" w:sz="4" w:space="0" w:color="auto"/>
            </w:tcBorders>
            <w:noWrap/>
            <w:vAlign w:val="center"/>
          </w:tcPr>
          <w:p w14:paraId="3A2F80C7"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“三公经费”控制率</w:t>
            </w:r>
          </w:p>
        </w:tc>
        <w:tc>
          <w:tcPr>
            <w:tcW w:w="1276" w:type="dxa"/>
            <w:tcBorders>
              <w:top w:val="nil"/>
              <w:left w:val="nil"/>
              <w:bottom w:val="single" w:sz="4" w:space="0" w:color="auto"/>
              <w:right w:val="single" w:sz="4" w:space="0" w:color="auto"/>
            </w:tcBorders>
            <w:noWrap/>
            <w:vAlign w:val="center"/>
          </w:tcPr>
          <w:p w14:paraId="4B6C2D1B"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1842" w:type="dxa"/>
            <w:tcBorders>
              <w:top w:val="nil"/>
              <w:left w:val="nil"/>
              <w:bottom w:val="single" w:sz="4" w:space="0" w:color="auto"/>
              <w:right w:val="single" w:sz="4" w:space="0" w:color="auto"/>
            </w:tcBorders>
            <w:noWrap/>
            <w:vAlign w:val="center"/>
          </w:tcPr>
          <w:p w14:paraId="100B4FCF" w14:textId="77777777" w:rsidR="00243425" w:rsidRDefault="00000000">
            <w:pPr>
              <w:spacing w:after="0" w:line="240" w:lineRule="auto"/>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《党政机关厉行节约反对浪费条例》（中发[2013]3号）</w:t>
            </w:r>
          </w:p>
        </w:tc>
        <w:tc>
          <w:tcPr>
            <w:tcW w:w="993" w:type="dxa"/>
            <w:tcBorders>
              <w:top w:val="nil"/>
              <w:left w:val="nil"/>
              <w:bottom w:val="single" w:sz="4" w:space="0" w:color="auto"/>
              <w:right w:val="single" w:sz="4" w:space="0" w:color="auto"/>
            </w:tcBorders>
            <w:noWrap/>
            <w:vAlign w:val="center"/>
          </w:tcPr>
          <w:p w14:paraId="1D017A5D"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18</w:t>
            </w:r>
          </w:p>
        </w:tc>
        <w:tc>
          <w:tcPr>
            <w:tcW w:w="992" w:type="dxa"/>
            <w:tcBorders>
              <w:top w:val="nil"/>
              <w:left w:val="nil"/>
              <w:bottom w:val="single" w:sz="4" w:space="0" w:color="auto"/>
              <w:right w:val="single" w:sz="4" w:space="0" w:color="auto"/>
            </w:tcBorders>
            <w:noWrap/>
            <w:vAlign w:val="center"/>
          </w:tcPr>
          <w:p w14:paraId="5CC0042C"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4D6CE346" w14:textId="77777777" w:rsidR="00243425" w:rsidRDefault="00000000">
            <w:pPr>
              <w:spacing w:after="0" w:line="240" w:lineRule="auto"/>
              <w:jc w:val="center"/>
              <w:rPr>
                <w:rFonts w:ascii="宋体" w:eastAsia="宋体" w:hAnsi="宋体" w:cs="Times New Roman" w:hint="eastAsia"/>
                <w:sz w:val="18"/>
                <w:szCs w:val="18"/>
                <w:lang w:eastAsia="zh-CN"/>
              </w:rPr>
            </w:pPr>
            <w:r>
              <w:rPr>
                <w:rFonts w:ascii="宋体" w:eastAsia="宋体" w:hAnsi="宋体" w:cs="Times New Roman" w:hint="eastAsia"/>
                <w:sz w:val="18"/>
                <w:szCs w:val="18"/>
                <w:lang w:eastAsia="zh-CN"/>
              </w:rPr>
              <w:t>18</w:t>
            </w:r>
          </w:p>
        </w:tc>
        <w:tc>
          <w:tcPr>
            <w:tcW w:w="284" w:type="dxa"/>
            <w:tcBorders>
              <w:top w:val="nil"/>
              <w:left w:val="nil"/>
              <w:bottom w:val="nil"/>
              <w:right w:val="nil"/>
            </w:tcBorders>
            <w:noWrap/>
            <w:vAlign w:val="center"/>
          </w:tcPr>
          <w:p w14:paraId="6557E5B8" w14:textId="77777777" w:rsidR="00243425" w:rsidRDefault="00243425">
            <w:pPr>
              <w:spacing w:after="0" w:line="240" w:lineRule="auto"/>
              <w:jc w:val="center"/>
              <w:rPr>
                <w:rFonts w:ascii="宋体" w:eastAsia="宋体" w:hAnsi="宋体" w:cs="Times New Roman" w:hint="eastAsia"/>
                <w:sz w:val="18"/>
                <w:szCs w:val="18"/>
                <w:lang w:eastAsia="zh-CN"/>
              </w:rPr>
            </w:pPr>
          </w:p>
        </w:tc>
      </w:tr>
    </w:tbl>
    <w:p w14:paraId="4DA0E9D4" w14:textId="77777777" w:rsidR="00243425" w:rsidRDefault="00000000">
      <w:pPr>
        <w:widowControl w:val="0"/>
        <w:spacing w:after="0" w:line="240" w:lineRule="auto"/>
        <w:jc w:val="center"/>
        <w:rPr>
          <w:rFonts w:ascii="宋体" w:eastAsia="宋体" w:hAnsi="宋体" w:cs="Times New Roman" w:hint="eastAsia"/>
          <w:b/>
          <w:bCs/>
          <w:sz w:val="18"/>
          <w:szCs w:val="18"/>
          <w:lang w:eastAsia="zh-CN"/>
        </w:rPr>
      </w:pPr>
      <w:r>
        <w:rPr>
          <w:rFonts w:ascii="宋体" w:eastAsia="宋体" w:hAnsi="宋体" w:cs="Times New Roman" w:hint="eastAsia"/>
          <w:b/>
          <w:bCs/>
          <w:sz w:val="18"/>
          <w:szCs w:val="18"/>
          <w:lang w:eastAsia="zh-CN"/>
        </w:rPr>
        <w:br w:type="page"/>
      </w:r>
    </w:p>
    <w:p w14:paraId="31373A91" w14:textId="77777777" w:rsidR="0024342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十二、其他需说明的事项</w:t>
      </w:r>
    </w:p>
    <w:p w14:paraId="2ECE8A45" w14:textId="77777777" w:rsidR="0024342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449B3862" w14:textId="77777777" w:rsidR="00243425" w:rsidRDefault="00243425">
      <w:pPr>
        <w:spacing w:after="0" w:line="240" w:lineRule="auto"/>
        <w:ind w:firstLineChars="200" w:firstLine="640"/>
        <w:rPr>
          <w:rFonts w:ascii="仿宋_GB2312" w:eastAsia="仿宋_GB2312" w:hint="eastAsia"/>
          <w:sz w:val="32"/>
          <w:szCs w:val="32"/>
          <w:lang w:eastAsia="zh-CN"/>
        </w:rPr>
      </w:pPr>
    </w:p>
    <w:p w14:paraId="11CECDBD" w14:textId="77777777" w:rsidR="00243425" w:rsidRDefault="00000000">
      <w:pPr>
        <w:rPr>
          <w:rFonts w:hint="eastAsia"/>
          <w:lang w:eastAsia="zh-CN"/>
        </w:rPr>
      </w:pPr>
      <w:r>
        <w:rPr>
          <w:sz w:val="0"/>
          <w:szCs w:val="0"/>
          <w:lang w:eastAsia="zh-CN"/>
        </w:rPr>
        <w:br w:type="page"/>
      </w:r>
    </w:p>
    <w:p w14:paraId="45B77FBC" w14:textId="77777777" w:rsidR="0024342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2BAC325B" w14:textId="77777777" w:rsidR="0024342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814857C" w14:textId="77777777" w:rsidR="0024342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65190E9" w14:textId="77777777" w:rsidR="0024342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230EA39" w14:textId="77777777" w:rsidR="0024342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99673A9" w14:textId="77777777" w:rsidR="0024342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BDFE3E6" w14:textId="77777777" w:rsidR="0024342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736CFAA" w14:textId="77777777" w:rsidR="0024342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CC96FD1" w14:textId="77777777" w:rsidR="0024342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6D39491" w14:textId="77777777" w:rsidR="0024342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DF7713D" w14:textId="77777777" w:rsidR="0024342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8C026F2" w14:textId="77777777" w:rsidR="0024342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EA3006E" w14:textId="77777777" w:rsidR="0024342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E54792A" w14:textId="77777777" w:rsidR="0024342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19B92E2E" w14:textId="77777777" w:rsidR="0024342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02D6018" w14:textId="77777777" w:rsidR="00243425" w:rsidRDefault="00000000">
      <w:pPr>
        <w:rPr>
          <w:rFonts w:hint="eastAsia"/>
          <w:lang w:eastAsia="zh-CN"/>
        </w:rPr>
      </w:pPr>
      <w:r>
        <w:rPr>
          <w:sz w:val="0"/>
          <w:szCs w:val="0"/>
          <w:lang w:eastAsia="zh-CN"/>
        </w:rPr>
        <w:br w:type="page"/>
      </w:r>
    </w:p>
    <w:p w14:paraId="17CC5A34" w14:textId="77777777" w:rsidR="0024342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15AD3C82" w14:textId="77777777" w:rsidR="0024342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31F702DF" w14:textId="77777777" w:rsidR="0024342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6C35EEF7" w14:textId="77777777" w:rsidR="0024342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6C1D5E48" w14:textId="77777777" w:rsidR="0024342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DB6E75E" w14:textId="77777777" w:rsidR="0024342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CD6DAB0" w14:textId="77777777" w:rsidR="0024342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9906E19" w14:textId="77777777" w:rsidR="0024342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44DC9EF5" w14:textId="77777777" w:rsidR="0024342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5ECAE9BB" w14:textId="77777777" w:rsidR="0024342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24342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2D3D8" w14:textId="77777777" w:rsidR="009E6F90" w:rsidRDefault="009E6F90">
      <w:pPr>
        <w:spacing w:line="240" w:lineRule="auto"/>
        <w:rPr>
          <w:rFonts w:hint="eastAsia"/>
        </w:rPr>
      </w:pPr>
      <w:r>
        <w:separator/>
      </w:r>
    </w:p>
  </w:endnote>
  <w:endnote w:type="continuationSeparator" w:id="0">
    <w:p w14:paraId="09143F8D" w14:textId="77777777" w:rsidR="009E6F90" w:rsidRDefault="009E6F90">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5E12F" w14:textId="77777777" w:rsidR="009E6F90" w:rsidRDefault="009E6F90">
      <w:pPr>
        <w:spacing w:after="0"/>
        <w:rPr>
          <w:rFonts w:hint="eastAsia"/>
        </w:rPr>
      </w:pPr>
      <w:r>
        <w:separator/>
      </w:r>
    </w:p>
  </w:footnote>
  <w:footnote w:type="continuationSeparator" w:id="0">
    <w:p w14:paraId="43189DC2" w14:textId="77777777" w:rsidR="009E6F90" w:rsidRDefault="009E6F90">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F207AB"/>
    <w:rsid w:val="000B11C2"/>
    <w:rsid w:val="000E405C"/>
    <w:rsid w:val="00243425"/>
    <w:rsid w:val="004A56B1"/>
    <w:rsid w:val="005E59E0"/>
    <w:rsid w:val="00626EDF"/>
    <w:rsid w:val="006E133F"/>
    <w:rsid w:val="009E6F90"/>
    <w:rsid w:val="00A87065"/>
    <w:rsid w:val="00E6639C"/>
    <w:rsid w:val="00F207AB"/>
    <w:rsid w:val="164E3BC6"/>
    <w:rsid w:val="209C2F4E"/>
    <w:rsid w:val="2B7A6A7B"/>
    <w:rsid w:val="458769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48C436"/>
  <w15:docId w15:val="{31224AA7-17B1-4E7F-8856-66793AAF6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qFormat/>
    <w:pPr>
      <w:tabs>
        <w:tab w:val="center" w:pos="4153"/>
        <w:tab w:val="right" w:pos="8306"/>
      </w:tabs>
      <w:snapToGrid w:val="0"/>
      <w:spacing w:line="240" w:lineRule="auto"/>
    </w:pPr>
    <w:rPr>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rPr>
      <w:color w:val="0563C1" w:themeColor="hyperlink"/>
      <w:u w:val="single"/>
    </w:rPr>
  </w:style>
  <w:style w:type="character" w:customStyle="1" w:styleId="a8">
    <w:name w:val="页眉 字符"/>
    <w:basedOn w:val="a0"/>
    <w:link w:val="a7"/>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qFormat/>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qFormat/>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3825</Words>
  <Characters>4170</Characters>
  <Application>Microsoft Office Word</Application>
  <DocSecurity>0</DocSecurity>
  <Lines>260</Lines>
  <Paragraphs>228</Paragraphs>
  <ScaleCrop>false</ScaleCrop>
  <Company/>
  <LinksUpToDate>false</LinksUpToDate>
  <CharactersWithSpaces>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13199815319@163.com</cp:lastModifiedBy>
  <cp:revision>4</cp:revision>
  <dcterms:created xsi:type="dcterms:W3CDTF">2025-09-03T07:09:00Z</dcterms:created>
  <dcterms:modified xsi:type="dcterms:W3CDTF">2025-09-05T04:21:00Z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28CE79F117E34113BB239505D35930DF_12</vt:lpwstr>
  </property>
</Properties>
</file>