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E4E48" w14:textId="77777777" w:rsidR="006E5784" w:rsidRDefault="006E5784">
      <w:pPr>
        <w:spacing w:after="0" w:line="240" w:lineRule="auto"/>
        <w:rPr>
          <w:rFonts w:ascii="宋体" w:eastAsia="宋体"/>
          <w:sz w:val="32"/>
          <w:szCs w:val="32"/>
        </w:rPr>
      </w:pPr>
    </w:p>
    <w:p w14:paraId="0ECDFCEC" w14:textId="77777777" w:rsidR="006E5784" w:rsidRDefault="006E5784">
      <w:pPr>
        <w:spacing w:after="0" w:line="240" w:lineRule="auto"/>
        <w:rPr>
          <w:rFonts w:ascii="宋体" w:eastAsia="宋体"/>
          <w:sz w:val="44"/>
          <w:szCs w:val="44"/>
        </w:rPr>
      </w:pPr>
    </w:p>
    <w:p w14:paraId="0F6C9845" w14:textId="77777777" w:rsidR="006E5784" w:rsidRDefault="006E5784">
      <w:pPr>
        <w:spacing w:after="0" w:line="240" w:lineRule="auto"/>
        <w:rPr>
          <w:rFonts w:ascii="宋体" w:eastAsia="宋体"/>
          <w:sz w:val="44"/>
          <w:szCs w:val="44"/>
        </w:rPr>
      </w:pPr>
    </w:p>
    <w:p w14:paraId="541A3AD3" w14:textId="77777777" w:rsidR="006E5784" w:rsidRDefault="006E5784">
      <w:pPr>
        <w:spacing w:after="0" w:line="240" w:lineRule="auto"/>
        <w:rPr>
          <w:rFonts w:ascii="宋体" w:eastAsia="宋体"/>
          <w:sz w:val="44"/>
          <w:szCs w:val="44"/>
        </w:rPr>
      </w:pPr>
    </w:p>
    <w:p w14:paraId="0D4F8D7E" w14:textId="77777777" w:rsidR="006E578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昌吉市第二幼儿园</w:t>
      </w:r>
    </w:p>
    <w:p w14:paraId="3FF3D046" w14:textId="77777777" w:rsidR="006E578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789DB6F" w14:textId="77777777" w:rsidR="006E5784" w:rsidRDefault="00000000">
      <w:pPr>
        <w:rPr>
          <w:lang w:eastAsia="zh-CN"/>
        </w:rPr>
      </w:pPr>
      <w:r>
        <w:rPr>
          <w:sz w:val="0"/>
          <w:szCs w:val="0"/>
          <w:lang w:eastAsia="zh-CN"/>
        </w:rPr>
        <w:br w:type="page"/>
      </w:r>
    </w:p>
    <w:p w14:paraId="4EB3E82C" w14:textId="77777777" w:rsidR="006E578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66DEB853" w14:textId="77777777" w:rsidR="006E578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095227EA"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FD1F4BB"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4A670AB" w14:textId="77777777" w:rsidR="006E578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03D1595"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271B737"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F8E9AC3"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CD40640"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D00B62B"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F595F32"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2A5D742"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F3FCD7F"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DBB8F20"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F6EA08F"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21250EF"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3B7C980"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CBA03D3"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73184B4"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1BCB911"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014AC8D"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42C5BDD"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4CD016E"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7BCB221" w14:textId="77777777" w:rsidR="006E578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D0A554E" w14:textId="77777777" w:rsidR="006E578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0778FD1"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5D50FC7"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9CB30BE"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319AEA2"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B4D4CE0"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8B06EA"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3951B2C"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2A402A7F"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AB16DC" w14:textId="77777777" w:rsidR="006E578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098F621" w14:textId="77777777" w:rsidR="006E5784" w:rsidRDefault="00000000">
      <w:pPr>
        <w:rPr>
          <w:lang w:eastAsia="zh-CN"/>
        </w:rPr>
      </w:pPr>
      <w:r>
        <w:rPr>
          <w:sz w:val="0"/>
          <w:szCs w:val="0"/>
          <w:lang w:eastAsia="zh-CN"/>
        </w:rPr>
        <w:br w:type="page"/>
      </w:r>
    </w:p>
    <w:p w14:paraId="5726FB5F" w14:textId="77777777" w:rsidR="006E578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0D864BDF"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7419741D"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0F886F07"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0182801"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昌吉市第二幼儿园2024年度，实有人数132人，其中：在职人员110人，增加35人；离休人员0人，较上年无变化；退休人员22人，增加2人。</w:t>
      </w:r>
    </w:p>
    <w:p w14:paraId="39C35447"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昌吉市第二幼儿园无下属预算单位，下设3个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，分别是：教研室、总务处、保教处。</w:t>
      </w:r>
    </w:p>
    <w:p w14:paraId="1584FE31" w14:textId="77777777" w:rsidR="006E5784" w:rsidRDefault="00000000">
      <w:pPr>
        <w:rPr>
          <w:lang w:eastAsia="zh-CN"/>
        </w:rPr>
      </w:pPr>
      <w:r>
        <w:rPr>
          <w:sz w:val="0"/>
          <w:szCs w:val="0"/>
          <w:lang w:eastAsia="zh-CN"/>
        </w:rPr>
        <w:br w:type="page"/>
      </w:r>
    </w:p>
    <w:p w14:paraId="2A18491C" w14:textId="77777777" w:rsidR="006E578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0B99091"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69EBB289"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2024年度收入总计2,655.06万元，其中：本年收入合计2,655.06万元，使用非财政拨款结余（含专用结余）0.00万元，年初结转和结余0.00万元。</w:t>
      </w:r>
    </w:p>
    <w:p w14:paraId="122D23E4"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2024年度支出总计2,655.06万元，其中：本年支出合计2,655.06万元，结余分配0.00万元，年末结转和结余0.00万元。</w:t>
      </w:r>
    </w:p>
    <w:p w14:paraId="68C692E7"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收入支出总体与上年相比，增加947.07万元，增长55.45%，主要原因是：</w:t>
      </w:r>
      <w:r>
        <w:rPr>
          <w:rFonts w:ascii="仿宋_GB2312" w:eastAsia="仿宋_GB2312" w:hint="eastAsia"/>
          <w:sz w:val="32"/>
          <w:szCs w:val="32"/>
          <w:lang w:eastAsia="zh-CN"/>
        </w:rPr>
        <w:t>一是</w:t>
      </w:r>
      <w:r>
        <w:rPr>
          <w:rFonts w:ascii="仿宋_GB2312" w:eastAsia="仿宋_GB2312"/>
          <w:sz w:val="32"/>
          <w:szCs w:val="32"/>
          <w:lang w:eastAsia="zh-CN"/>
        </w:rPr>
        <w:t>单位本年在职人员增加</w:t>
      </w:r>
      <w:r>
        <w:rPr>
          <w:rFonts w:ascii="仿宋_GB2312" w:eastAsia="仿宋_GB2312" w:hint="eastAsia"/>
          <w:sz w:val="32"/>
          <w:szCs w:val="32"/>
          <w:lang w:eastAsia="zh-CN"/>
        </w:rPr>
        <w:t>，工资社保等人员经费增加；二是本年中央财政支持学前教育发展资金</w:t>
      </w:r>
      <w:r>
        <w:rPr>
          <w:rFonts w:ascii="仿宋_GB2312" w:eastAsia="仿宋_GB2312"/>
          <w:sz w:val="32"/>
          <w:szCs w:val="32"/>
          <w:lang w:eastAsia="zh-CN"/>
        </w:rPr>
        <w:t>、</w:t>
      </w:r>
      <w:r>
        <w:rPr>
          <w:rFonts w:ascii="仿宋_GB2312" w:eastAsia="仿宋_GB2312" w:hint="eastAsia"/>
          <w:sz w:val="32"/>
          <w:szCs w:val="32"/>
          <w:lang w:eastAsia="zh-CN"/>
        </w:rPr>
        <w:t>支持学前教育发展资金以及昌吉州庭州英才人才计划支持资金等</w:t>
      </w:r>
      <w:r>
        <w:rPr>
          <w:rFonts w:ascii="仿宋_GB2312" w:eastAsia="仿宋_GB2312"/>
          <w:sz w:val="32"/>
          <w:szCs w:val="32"/>
          <w:lang w:eastAsia="zh-CN"/>
        </w:rPr>
        <w:t>项目经费增加。</w:t>
      </w:r>
    </w:p>
    <w:p w14:paraId="24FEA726"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85F209D"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本年收入2,655.06万元，其中：财政拨款收入2,655.06万元,占100.00%；上级补助收入0.00万元,占0.00%；事业收入0.00万元，占0.00%；经营收入0.00万元,占0.00%；附属单位上缴收入0.00万元，占0.00%；其他收入0.00万元，占0.00%。</w:t>
      </w:r>
    </w:p>
    <w:p w14:paraId="54730FA2"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D2BA991"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本年支出2,655.06万元，其中：基本支出2,160.12万元，占81.36%；项目支出494.94万元，占18.64%；上缴上级支出0.00万元，占0.00%；经营支出0.00万元，占0.00%；对附属单位补助支出0.00万元，占0.00%。</w:t>
      </w:r>
    </w:p>
    <w:p w14:paraId="6F151935"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774F7EC"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2,655.06万元，其中：年初财政拨款结转和结余0.00万元，本年财政拨款收入2,655.06万元。财政拨款支出总计2,655.06万元，其中：年末财政拨款结转和结余0.00万元，本年财政拨款支出2,655.06万元。</w:t>
      </w:r>
    </w:p>
    <w:p w14:paraId="7D57E156"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财政拨款收入支出总体与上年相比，增加1,073.60万元，增长67.89%，主要原因是：</w:t>
      </w:r>
      <w:r>
        <w:rPr>
          <w:rFonts w:ascii="仿宋_GB2312" w:eastAsia="仿宋_GB2312" w:hint="eastAsia"/>
          <w:sz w:val="32"/>
          <w:szCs w:val="32"/>
          <w:lang w:eastAsia="zh-CN"/>
        </w:rPr>
        <w:t>一是</w:t>
      </w:r>
      <w:r>
        <w:rPr>
          <w:rFonts w:ascii="仿宋_GB2312" w:eastAsia="仿宋_GB2312"/>
          <w:sz w:val="32"/>
          <w:szCs w:val="32"/>
          <w:lang w:eastAsia="zh-CN"/>
        </w:rPr>
        <w:t>单位本年在职人员增加</w:t>
      </w:r>
      <w:r>
        <w:rPr>
          <w:rFonts w:ascii="仿宋_GB2312" w:eastAsia="仿宋_GB2312" w:hint="eastAsia"/>
          <w:sz w:val="32"/>
          <w:szCs w:val="32"/>
          <w:lang w:eastAsia="zh-CN"/>
        </w:rPr>
        <w:t>，工</w:t>
      </w:r>
      <w:r>
        <w:rPr>
          <w:rFonts w:ascii="仿宋_GB2312" w:eastAsia="仿宋_GB2312" w:hint="eastAsia"/>
          <w:sz w:val="32"/>
          <w:szCs w:val="32"/>
          <w:lang w:eastAsia="zh-CN"/>
        </w:rPr>
        <w:lastRenderedPageBreak/>
        <w:t>资社保等人员经费增加；二是本年中央财政支持学前教育发展资金</w:t>
      </w:r>
      <w:r>
        <w:rPr>
          <w:rFonts w:ascii="仿宋_GB2312" w:eastAsia="仿宋_GB2312"/>
          <w:sz w:val="32"/>
          <w:szCs w:val="32"/>
          <w:lang w:eastAsia="zh-CN"/>
        </w:rPr>
        <w:t>、</w:t>
      </w:r>
      <w:r>
        <w:rPr>
          <w:rFonts w:ascii="仿宋_GB2312" w:eastAsia="仿宋_GB2312" w:hint="eastAsia"/>
          <w:sz w:val="32"/>
          <w:szCs w:val="32"/>
          <w:lang w:eastAsia="zh-CN"/>
        </w:rPr>
        <w:t>支持学前教育发展资金以及昌吉州庭州英才人才计划支持资金等</w:t>
      </w:r>
      <w:r>
        <w:rPr>
          <w:rFonts w:ascii="仿宋_GB2312" w:eastAsia="仿宋_GB2312"/>
          <w:sz w:val="32"/>
          <w:szCs w:val="32"/>
          <w:lang w:eastAsia="zh-CN"/>
        </w:rPr>
        <w:t>项目经费增加。与年初预算相比，年初预算数1,657.00万元，决算数2,655.06万元，预决算差异率60.23%，主要原因是：年中追加</w:t>
      </w:r>
      <w:r>
        <w:rPr>
          <w:rFonts w:ascii="仿宋_GB2312" w:eastAsia="仿宋_GB2312" w:hint="eastAsia"/>
          <w:sz w:val="32"/>
          <w:szCs w:val="32"/>
          <w:lang w:eastAsia="zh-CN"/>
        </w:rPr>
        <w:t>中央财政支持学前教育发展资金</w:t>
      </w:r>
      <w:r>
        <w:rPr>
          <w:rFonts w:ascii="仿宋_GB2312" w:eastAsia="仿宋_GB2312"/>
          <w:sz w:val="32"/>
          <w:szCs w:val="32"/>
          <w:lang w:eastAsia="zh-CN"/>
        </w:rPr>
        <w:t>、</w:t>
      </w:r>
      <w:r>
        <w:rPr>
          <w:rFonts w:ascii="仿宋_GB2312" w:eastAsia="仿宋_GB2312" w:hint="eastAsia"/>
          <w:sz w:val="32"/>
          <w:szCs w:val="32"/>
          <w:lang w:eastAsia="zh-CN"/>
        </w:rPr>
        <w:t>支持学前教育发展资金以及昌吉州庭州英才人才计划支持资金等</w:t>
      </w:r>
      <w:r>
        <w:rPr>
          <w:rFonts w:ascii="仿宋_GB2312" w:eastAsia="仿宋_GB2312"/>
          <w:sz w:val="32"/>
          <w:szCs w:val="32"/>
          <w:lang w:eastAsia="zh-CN"/>
        </w:rPr>
        <w:t>项目经费。</w:t>
      </w:r>
    </w:p>
    <w:p w14:paraId="2F6CA0D2"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5626670"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5B00C1D5"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2024年度一般公共预算财政拨款支出2,655.06万元，占本年支出合计的100.00%。与上年相比，增加1,114.41万元，增长72.33%，主要原因是：</w:t>
      </w:r>
      <w:r>
        <w:rPr>
          <w:rFonts w:ascii="仿宋_GB2312" w:eastAsia="仿宋_GB2312" w:hint="eastAsia"/>
          <w:sz w:val="32"/>
          <w:szCs w:val="32"/>
          <w:lang w:eastAsia="zh-CN"/>
        </w:rPr>
        <w:t>一是</w:t>
      </w:r>
      <w:r>
        <w:rPr>
          <w:rFonts w:ascii="仿宋_GB2312" w:eastAsia="仿宋_GB2312"/>
          <w:sz w:val="32"/>
          <w:szCs w:val="32"/>
          <w:lang w:eastAsia="zh-CN"/>
        </w:rPr>
        <w:t>单位本年在职人员增加</w:t>
      </w:r>
      <w:r>
        <w:rPr>
          <w:rFonts w:ascii="仿宋_GB2312" w:eastAsia="仿宋_GB2312" w:hint="eastAsia"/>
          <w:sz w:val="32"/>
          <w:szCs w:val="32"/>
          <w:lang w:eastAsia="zh-CN"/>
        </w:rPr>
        <w:t>，工资社保等人员经费增加；二是本年中央财政支持学前教育发展资金</w:t>
      </w:r>
      <w:r>
        <w:rPr>
          <w:rFonts w:ascii="仿宋_GB2312" w:eastAsia="仿宋_GB2312"/>
          <w:sz w:val="32"/>
          <w:szCs w:val="32"/>
          <w:lang w:eastAsia="zh-CN"/>
        </w:rPr>
        <w:t>、</w:t>
      </w:r>
      <w:r>
        <w:rPr>
          <w:rFonts w:ascii="仿宋_GB2312" w:eastAsia="仿宋_GB2312" w:hint="eastAsia"/>
          <w:sz w:val="32"/>
          <w:szCs w:val="32"/>
          <w:lang w:eastAsia="zh-CN"/>
        </w:rPr>
        <w:t>支持学前教育发展资金以及昌吉州庭州英才人才计划支持资金等</w:t>
      </w:r>
      <w:r>
        <w:rPr>
          <w:rFonts w:ascii="仿宋_GB2312" w:eastAsia="仿宋_GB2312"/>
          <w:sz w:val="32"/>
          <w:szCs w:val="32"/>
          <w:lang w:eastAsia="zh-CN"/>
        </w:rPr>
        <w:t>项目经费增加。与年初预算相比，年初预算数1,657.00万元，决算数2,655.06万元，预决算差异率60.23%，主要原因是：年中追加</w:t>
      </w:r>
      <w:r>
        <w:rPr>
          <w:rFonts w:ascii="仿宋_GB2312" w:eastAsia="仿宋_GB2312" w:hint="eastAsia"/>
          <w:sz w:val="32"/>
          <w:szCs w:val="32"/>
          <w:lang w:eastAsia="zh-CN"/>
        </w:rPr>
        <w:t>中央财政支持学前教育发展资金</w:t>
      </w:r>
      <w:r>
        <w:rPr>
          <w:rFonts w:ascii="仿宋_GB2312" w:eastAsia="仿宋_GB2312"/>
          <w:sz w:val="32"/>
          <w:szCs w:val="32"/>
          <w:lang w:eastAsia="zh-CN"/>
        </w:rPr>
        <w:t>、</w:t>
      </w:r>
      <w:r>
        <w:rPr>
          <w:rFonts w:ascii="仿宋_GB2312" w:eastAsia="仿宋_GB2312" w:hint="eastAsia"/>
          <w:sz w:val="32"/>
          <w:szCs w:val="32"/>
          <w:lang w:eastAsia="zh-CN"/>
        </w:rPr>
        <w:t>支持学前教育发展资金以及昌吉州庭州英才人才计划支持资金等</w:t>
      </w:r>
      <w:r>
        <w:rPr>
          <w:rFonts w:ascii="仿宋_GB2312" w:eastAsia="仿宋_GB2312"/>
          <w:sz w:val="32"/>
          <w:szCs w:val="32"/>
          <w:lang w:eastAsia="zh-CN"/>
        </w:rPr>
        <w:t>项目经费。</w:t>
      </w:r>
    </w:p>
    <w:p w14:paraId="4718FEFE"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24FB1E5B"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教育支出（类）2,637.04万元，占99.32%。</w:t>
      </w:r>
    </w:p>
    <w:p w14:paraId="50C858DB"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社会保障和就业支出（类）18.02万元，占0.68%。</w:t>
      </w:r>
    </w:p>
    <w:p w14:paraId="3105B48F"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2EC941C" w14:textId="77777777" w:rsidR="006E578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1、教育支出（类）教育管理事务（款）一般行政管理事务（项）：支出决算数为0.00万元，比上年决算减少0.50万元，下降100.00%，主要原因是：单位本年购置办公用品经费减少。</w:t>
      </w:r>
    </w:p>
    <w:p w14:paraId="08FADEED" w14:textId="77777777" w:rsidR="006E578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学前教育（项）：支出决算数为2,498.27万元，比上年决算增加958.12万元，增长62.21%，主要原因是：单位本年中央财政支持学前教育发展项目经费、支持学前教育发展项目经费增加。</w:t>
      </w:r>
    </w:p>
    <w:p w14:paraId="1B46DB07" w14:textId="77777777" w:rsidR="006E578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教育支出（类）教育费附加安排的支出（款）其他教育费附加安排的支出（项）：支出决算数为138.77万元，比上年决算增加138.77万元，增长100.00%，主要原因是：单位本年城镇幼儿园项目经费和新增劳务派遣人员工资、社保、公积金及取暖费增加。</w:t>
      </w:r>
    </w:p>
    <w:p w14:paraId="084D667A" w14:textId="4316E746" w:rsidR="006E578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4、社会保障和就业支出（类）行政事业单位养老支出（款）机关事业单位职业年金缴费支出（项）：支出决算数为18.02万元，比上年决算增加18.02万元，增长100.00%，主要原因是：单位本年</w:t>
      </w:r>
      <w:r>
        <w:rPr>
          <w:rFonts w:ascii="仿宋_GB2312" w:eastAsia="仿宋_GB2312" w:hint="eastAsia"/>
          <w:sz w:val="32"/>
          <w:szCs w:val="32"/>
          <w:lang w:eastAsia="zh-CN"/>
        </w:rPr>
        <w:t>人员</w:t>
      </w:r>
      <w:r>
        <w:rPr>
          <w:rFonts w:ascii="仿宋_GB2312" w:eastAsia="仿宋_GB2312"/>
          <w:sz w:val="32"/>
          <w:szCs w:val="32"/>
          <w:lang w:eastAsia="zh-CN"/>
        </w:rPr>
        <w:t>一次性职业年金缴费增加。</w:t>
      </w:r>
    </w:p>
    <w:p w14:paraId="1C60FC03"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FB0C094"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2,160.12万元，其中：人员经费2,013.03万元，包括：基本工资、津贴补贴、奖金、绩效工资、机关事业单位基本养老保险缴费、职业年金缴费、职工基本医疗保险缴费、公务员医疗补助缴费、其他社会保障缴费、住房公积金、医疗费、其他工资福利支出、退休费和奖励金。</w:t>
      </w:r>
    </w:p>
    <w:p w14:paraId="4AD8BE2A"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公用经费147.09万元，包括：办公费、咨询费、水费、电费、邮电费、取暖费、维修（护）费、劳务费、税金及附加费用和办公设备购置。</w:t>
      </w:r>
    </w:p>
    <w:p w14:paraId="78042746"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2639659"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18BC027"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957809D"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CEE0F2E"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3C93333"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三公</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w:t>
      </w:r>
      <w:r>
        <w:rPr>
          <w:rFonts w:ascii="仿宋_GB2312" w:eastAsia="仿宋_GB2312"/>
          <w:sz w:val="32"/>
          <w:szCs w:val="32"/>
          <w:lang w:eastAsia="zh-CN"/>
        </w:rPr>
        <w:lastRenderedPageBreak/>
        <w:t>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18BDFD0D" w14:textId="77777777" w:rsidR="006E578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BA1A72D"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13973FD1"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C77FFEE"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12A2207C"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70C4F269"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E949D48"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3662A5CE"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2024年度昌吉市第二幼儿园单位（事业单位）公用经费支出147.09万元，比上年增加42.30万元，增长40.37%，主要原因是：单位本年</w:t>
      </w:r>
      <w:r>
        <w:rPr>
          <w:rFonts w:ascii="仿宋_GB2312" w:eastAsia="仿宋_GB2312" w:hint="eastAsia"/>
          <w:sz w:val="32"/>
          <w:szCs w:val="32"/>
          <w:lang w:eastAsia="zh-CN"/>
        </w:rPr>
        <w:t>劳务费</w:t>
      </w:r>
      <w:r>
        <w:rPr>
          <w:rFonts w:ascii="仿宋_GB2312" w:eastAsia="仿宋_GB2312"/>
          <w:sz w:val="32"/>
          <w:szCs w:val="32"/>
          <w:lang w:eastAsia="zh-CN"/>
        </w:rPr>
        <w:t>、电费、</w:t>
      </w:r>
      <w:r>
        <w:rPr>
          <w:rFonts w:ascii="仿宋_GB2312" w:eastAsia="仿宋_GB2312" w:hint="eastAsia"/>
          <w:sz w:val="32"/>
          <w:szCs w:val="32"/>
          <w:lang w:eastAsia="zh-CN"/>
        </w:rPr>
        <w:t>维修（护）费等经费</w:t>
      </w:r>
      <w:r>
        <w:rPr>
          <w:rFonts w:ascii="仿宋_GB2312" w:eastAsia="仿宋_GB2312"/>
          <w:sz w:val="32"/>
          <w:szCs w:val="32"/>
          <w:lang w:eastAsia="zh-CN"/>
        </w:rPr>
        <w:t>较上年增加。</w:t>
      </w:r>
    </w:p>
    <w:p w14:paraId="017F90BA"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15DFEE97"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2024年度政府采购支出总额287.54万元，其中：政府采购货物支出233.22万元、政府采购工程支出40.40万元、政府采购服务支出13.92万元。</w:t>
      </w:r>
    </w:p>
    <w:p w14:paraId="4AD0C11E"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授予中小企业合同金额287.54万元，占政府采购支出总额的100.00%，其中：授予小微企业合同金额287.54万元，占政府采购支出总额的100.00%。</w:t>
      </w:r>
    </w:p>
    <w:p w14:paraId="458D6BF6" w14:textId="77777777" w:rsidR="006E5784"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D73863F"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截至2024年12月31日，房屋10,956.52平方米，价值2,338.83万元。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sz w:val="32"/>
          <w:szCs w:val="32"/>
          <w:lang w:eastAsia="zh-CN"/>
        </w:rPr>
        <w:t>本单位</w:t>
      </w:r>
      <w:r>
        <w:rPr>
          <w:rFonts w:ascii="仿宋_GB2312" w:eastAsia="仿宋_GB2312"/>
          <w:sz w:val="32"/>
          <w:szCs w:val="32"/>
          <w:lang w:eastAsia="zh-CN"/>
        </w:rPr>
        <w:t>无其他用车;单价100万元（含）以上设备（不含车辆）0台（套）。</w:t>
      </w:r>
    </w:p>
    <w:p w14:paraId="33F1FC79"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56F82C6"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2,655.06万元，实际执行总额2,655.06万元；预算绩效评价项目0个，全年预算数0万元，全年执行数0万元。预算绩效管理取得的成效：</w:t>
      </w:r>
      <w:r>
        <w:rPr>
          <w:rFonts w:ascii="仿宋_GB2312" w:eastAsia="仿宋_GB2312" w:hint="eastAsia"/>
          <w:sz w:val="32"/>
          <w:szCs w:val="32"/>
          <w:lang w:eastAsia="zh-CN"/>
        </w:rPr>
        <w:t>一是以硬件维护、安全防护、后勤保障为支撑，确保学校教学、行政等各项工作有序推进，高效完成教育教学活动，通过优化服务体验、提升育人成效，切实提高家长及学生满意度；二是在所有项目实施过程中，紧密围绕绩效申报目标，将目标设定细化到项目策划、执行、监督各环节，确保项目推进始终契合绩效要求，实现目标与实施的深度融合。</w:t>
      </w:r>
      <w:r>
        <w:rPr>
          <w:rFonts w:ascii="仿宋_GB2312" w:eastAsia="仿宋_GB2312"/>
          <w:sz w:val="32"/>
          <w:szCs w:val="32"/>
          <w:lang w:eastAsia="zh-CN"/>
        </w:rPr>
        <w:t>发现的问题及原因：</w:t>
      </w:r>
      <w:r>
        <w:rPr>
          <w:rFonts w:ascii="仿宋_GB2312" w:eastAsia="仿宋_GB2312" w:hint="eastAsia"/>
          <w:sz w:val="32"/>
          <w:szCs w:val="32"/>
          <w:lang w:eastAsia="zh-CN"/>
        </w:rPr>
        <w:t>一是工作流程完善在执行层面存在明显短板，尤其当工作流程</w:t>
      </w:r>
      <w:r>
        <w:rPr>
          <w:rFonts w:ascii="仿宋_GB2312" w:eastAsia="仿宋_GB2312" w:hint="eastAsia"/>
          <w:sz w:val="32"/>
          <w:szCs w:val="32"/>
          <w:lang w:eastAsia="zh-CN"/>
        </w:rPr>
        <w:lastRenderedPageBreak/>
        <w:t>延伸至教务处、总务处、德育处等部门之外协同推进时，常因职责界定模糊、沟通衔接不畅出现部门间相互推诿责任的情况，导致工作推进卡顿、运行效率低下；二是工作开展中缺乏目标设定、过程监控、考核激励等关键管理元素，难以形成规范化的推进机制，直接影响学校正常运转与教育教学质量提升相关工作的有序开展。</w:t>
      </w:r>
      <w:r>
        <w:rPr>
          <w:rFonts w:ascii="仿宋_GB2312" w:eastAsia="仿宋_GB2312"/>
          <w:sz w:val="32"/>
          <w:szCs w:val="32"/>
          <w:lang w:eastAsia="zh-CN"/>
        </w:rPr>
        <w:t>下一步改进措施：</w:t>
      </w:r>
      <w:r>
        <w:rPr>
          <w:rFonts w:ascii="仿宋_GB2312" w:eastAsia="仿宋_GB2312" w:hint="eastAsia"/>
          <w:sz w:val="32"/>
          <w:szCs w:val="32"/>
          <w:lang w:eastAsia="zh-CN"/>
        </w:rPr>
        <w:t>一是通过分层分类开展绩效管理专题培训（如针对行政人员的预算绩效培训、针对教师的教学绩效培训），结合工作实例讲解绩效管理与岗位职责的关联，帮助教职工清晰认识到绩效管理是保障学校正常运转、提升教育教学质量的本职工作，而非额外任务；二是围绕绩效管理全流程（目标设定、过程监控、结果评价、应用改进）做出细致规划，明确每个环节的责任部门（如教务处负责教学绩效目标设定、总务处负责后勤绩效过程监控）与责任人，确保权责清晰、执行到位，避免出现流程空转或责任推诿。</w:t>
      </w:r>
      <w:r>
        <w:rPr>
          <w:rFonts w:ascii="仿宋_GB2312" w:eastAsia="仿宋_GB2312"/>
          <w:sz w:val="32"/>
          <w:szCs w:val="32"/>
          <w:lang w:eastAsia="zh-CN"/>
        </w:rPr>
        <w:t>具体附部门整体支出绩效自评表。</w:t>
      </w:r>
    </w:p>
    <w:p w14:paraId="01F8D773" w14:textId="77777777" w:rsidR="006E5784" w:rsidRDefault="00000000">
      <w:pPr>
        <w:jc w:val="center"/>
        <w:rPr>
          <w:rFonts w:ascii="宋体" w:eastAsia="宋体" w:hAnsi="宋体" w:cs="宋体" w:hint="eastAsia"/>
          <w:b/>
          <w:bCs/>
          <w:sz w:val="18"/>
          <w:szCs w:val="18"/>
          <w:lang w:eastAsia="zh-CN"/>
        </w:rPr>
      </w:pPr>
      <w:r>
        <w:rPr>
          <w:rFonts w:ascii="仿宋_GB2312" w:eastAsia="仿宋_GB2312"/>
          <w:sz w:val="32"/>
          <w:szCs w:val="32"/>
          <w:lang w:eastAsia="zh-CN"/>
        </w:rPr>
        <w:br w:type="page"/>
      </w:r>
      <w:bookmarkStart w:id="0" w:name="_Hlk174962300"/>
    </w:p>
    <w:p w14:paraId="426E115F" w14:textId="77777777" w:rsidR="006E5784"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39D4501" w14:textId="77777777" w:rsidR="006E5784"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6E5784" w14:paraId="7868318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36CF987"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6AD726E"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昌吉市第二幼儿园</w:t>
            </w:r>
          </w:p>
        </w:tc>
        <w:tc>
          <w:tcPr>
            <w:tcW w:w="284" w:type="dxa"/>
            <w:tcBorders>
              <w:top w:val="nil"/>
              <w:left w:val="nil"/>
              <w:bottom w:val="nil"/>
              <w:right w:val="nil"/>
            </w:tcBorders>
            <w:noWrap/>
            <w:vAlign w:val="center"/>
          </w:tcPr>
          <w:p w14:paraId="570BBD40" w14:textId="77777777" w:rsidR="006E5784" w:rsidRDefault="006E5784">
            <w:pPr>
              <w:spacing w:after="0" w:line="240" w:lineRule="auto"/>
              <w:rPr>
                <w:rFonts w:ascii="宋体" w:eastAsia="宋体" w:hAnsi="宋体" w:cs="宋体" w:hint="eastAsia"/>
                <w:b/>
                <w:bCs/>
                <w:sz w:val="18"/>
                <w:szCs w:val="18"/>
                <w:lang w:eastAsia="zh-CN"/>
              </w:rPr>
            </w:pPr>
          </w:p>
        </w:tc>
      </w:tr>
      <w:tr w:rsidR="006E5784" w14:paraId="7B100C4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0416D8C"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9147BC8"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1DDA563"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4F1E9903"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842" w:type="dxa"/>
            <w:tcBorders>
              <w:top w:val="nil"/>
              <w:left w:val="nil"/>
              <w:bottom w:val="single" w:sz="4" w:space="0" w:color="auto"/>
              <w:right w:val="single" w:sz="4" w:space="0" w:color="auto"/>
            </w:tcBorders>
            <w:vAlign w:val="center"/>
          </w:tcPr>
          <w:p w14:paraId="63E0DDF5"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993" w:type="dxa"/>
            <w:tcBorders>
              <w:top w:val="nil"/>
              <w:left w:val="nil"/>
              <w:bottom w:val="single" w:sz="4" w:space="0" w:color="auto"/>
              <w:right w:val="single" w:sz="4" w:space="0" w:color="auto"/>
            </w:tcBorders>
            <w:vAlign w:val="center"/>
          </w:tcPr>
          <w:p w14:paraId="44AFDFFD"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A30BA8A"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2A70FA81"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B46ED72" w14:textId="77777777" w:rsidR="006E5784" w:rsidRDefault="006E5784">
            <w:pPr>
              <w:spacing w:after="0" w:line="240" w:lineRule="auto"/>
              <w:jc w:val="center"/>
              <w:rPr>
                <w:rFonts w:ascii="宋体" w:eastAsia="宋体" w:hAnsi="宋体" w:cs="宋体" w:hint="eastAsia"/>
                <w:b/>
                <w:bCs/>
                <w:sz w:val="18"/>
                <w:szCs w:val="18"/>
                <w:lang w:eastAsia="zh-CN"/>
              </w:rPr>
            </w:pPr>
          </w:p>
        </w:tc>
      </w:tr>
      <w:tr w:rsidR="006E5784" w14:paraId="29EEF75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1B4B04D" w14:textId="77777777" w:rsidR="006E5784" w:rsidRDefault="006E57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BDC5B00"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4F9C17D2"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324AA0D7"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396.54</w:t>
            </w:r>
          </w:p>
        </w:tc>
        <w:tc>
          <w:tcPr>
            <w:tcW w:w="1842" w:type="dxa"/>
            <w:tcBorders>
              <w:top w:val="nil"/>
              <w:left w:val="nil"/>
              <w:bottom w:val="single" w:sz="4" w:space="0" w:color="auto"/>
              <w:right w:val="single" w:sz="4" w:space="0" w:color="auto"/>
            </w:tcBorders>
            <w:vAlign w:val="center"/>
          </w:tcPr>
          <w:p w14:paraId="740931DE"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396.54</w:t>
            </w:r>
          </w:p>
        </w:tc>
        <w:tc>
          <w:tcPr>
            <w:tcW w:w="993" w:type="dxa"/>
            <w:tcBorders>
              <w:top w:val="nil"/>
              <w:left w:val="nil"/>
              <w:bottom w:val="single" w:sz="4" w:space="0" w:color="auto"/>
              <w:right w:val="single" w:sz="4" w:space="0" w:color="auto"/>
            </w:tcBorders>
            <w:vAlign w:val="center"/>
          </w:tcPr>
          <w:p w14:paraId="1FCB02B8"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4A340411"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488CD4FF"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5DD405CA" w14:textId="77777777" w:rsidR="006E5784" w:rsidRDefault="006E5784">
            <w:pPr>
              <w:spacing w:after="0" w:line="240" w:lineRule="auto"/>
              <w:jc w:val="center"/>
              <w:rPr>
                <w:rFonts w:ascii="宋体" w:eastAsia="宋体" w:hAnsi="宋体" w:cs="宋体" w:hint="eastAsia"/>
                <w:b/>
                <w:bCs/>
                <w:sz w:val="18"/>
                <w:szCs w:val="18"/>
                <w:lang w:eastAsia="zh-CN"/>
              </w:rPr>
            </w:pPr>
          </w:p>
        </w:tc>
      </w:tr>
      <w:tr w:rsidR="006E5784" w14:paraId="52E663B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F93A018" w14:textId="77777777" w:rsidR="006E5784" w:rsidRDefault="006E57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6D718A3D"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37D137FA"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1,657.00</w:t>
            </w:r>
          </w:p>
        </w:tc>
        <w:tc>
          <w:tcPr>
            <w:tcW w:w="1276" w:type="dxa"/>
            <w:tcBorders>
              <w:top w:val="nil"/>
              <w:left w:val="nil"/>
              <w:bottom w:val="single" w:sz="4" w:space="0" w:color="auto"/>
              <w:right w:val="single" w:sz="4" w:space="0" w:color="auto"/>
            </w:tcBorders>
            <w:vAlign w:val="center"/>
          </w:tcPr>
          <w:p w14:paraId="705D485C"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2,258.52</w:t>
            </w:r>
          </w:p>
        </w:tc>
        <w:tc>
          <w:tcPr>
            <w:tcW w:w="1842" w:type="dxa"/>
            <w:tcBorders>
              <w:top w:val="nil"/>
              <w:left w:val="nil"/>
              <w:bottom w:val="single" w:sz="4" w:space="0" w:color="auto"/>
              <w:right w:val="single" w:sz="4" w:space="0" w:color="auto"/>
            </w:tcBorders>
            <w:vAlign w:val="center"/>
          </w:tcPr>
          <w:p w14:paraId="45ADE9C2"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2,258.52</w:t>
            </w:r>
          </w:p>
        </w:tc>
        <w:tc>
          <w:tcPr>
            <w:tcW w:w="993" w:type="dxa"/>
            <w:tcBorders>
              <w:top w:val="nil"/>
              <w:left w:val="nil"/>
              <w:bottom w:val="single" w:sz="4" w:space="0" w:color="auto"/>
              <w:right w:val="single" w:sz="4" w:space="0" w:color="auto"/>
            </w:tcBorders>
            <w:vAlign w:val="center"/>
          </w:tcPr>
          <w:p w14:paraId="3BED8687"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24EB4B9"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077E237"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22E3CFC" w14:textId="77777777" w:rsidR="006E5784" w:rsidRDefault="006E5784">
            <w:pPr>
              <w:spacing w:after="0" w:line="240" w:lineRule="auto"/>
              <w:jc w:val="center"/>
              <w:rPr>
                <w:rFonts w:ascii="宋体" w:eastAsia="宋体" w:hAnsi="宋体" w:cs="宋体" w:hint="eastAsia"/>
                <w:sz w:val="18"/>
                <w:szCs w:val="18"/>
                <w:lang w:eastAsia="zh-CN"/>
              </w:rPr>
            </w:pPr>
          </w:p>
        </w:tc>
      </w:tr>
      <w:tr w:rsidR="006E5784" w14:paraId="12C6BDE7"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6B8B5677" w14:textId="77777777" w:rsidR="006E5784" w:rsidRDefault="006E57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B80F2EA"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CF3D332"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30FA1D5A"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842" w:type="dxa"/>
            <w:tcBorders>
              <w:top w:val="nil"/>
              <w:left w:val="nil"/>
              <w:bottom w:val="single" w:sz="4" w:space="0" w:color="auto"/>
              <w:right w:val="single" w:sz="4" w:space="0" w:color="auto"/>
            </w:tcBorders>
            <w:vAlign w:val="center"/>
          </w:tcPr>
          <w:p w14:paraId="0644C6A9"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993" w:type="dxa"/>
            <w:tcBorders>
              <w:top w:val="nil"/>
              <w:left w:val="nil"/>
              <w:bottom w:val="single" w:sz="4" w:space="0" w:color="auto"/>
              <w:right w:val="single" w:sz="4" w:space="0" w:color="auto"/>
            </w:tcBorders>
            <w:vAlign w:val="center"/>
          </w:tcPr>
          <w:p w14:paraId="17860761"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BD5E0BE"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71B9DF6"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9879E09" w14:textId="77777777" w:rsidR="006E5784" w:rsidRDefault="006E5784">
            <w:pPr>
              <w:spacing w:after="0" w:line="240" w:lineRule="auto"/>
              <w:jc w:val="center"/>
              <w:rPr>
                <w:rFonts w:ascii="宋体" w:eastAsia="宋体" w:hAnsi="宋体" w:cs="宋体" w:hint="eastAsia"/>
                <w:sz w:val="18"/>
                <w:szCs w:val="18"/>
                <w:lang w:eastAsia="zh-CN"/>
              </w:rPr>
            </w:pPr>
          </w:p>
        </w:tc>
      </w:tr>
      <w:tr w:rsidR="006E5784" w14:paraId="2A9E217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D6FF958" w14:textId="77777777" w:rsidR="006E5784" w:rsidRDefault="006E5784">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BBD882C"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311DECB5"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1,657.00</w:t>
            </w:r>
          </w:p>
        </w:tc>
        <w:tc>
          <w:tcPr>
            <w:tcW w:w="1276" w:type="dxa"/>
            <w:tcBorders>
              <w:top w:val="nil"/>
              <w:left w:val="nil"/>
              <w:bottom w:val="single" w:sz="4" w:space="0" w:color="auto"/>
              <w:right w:val="single" w:sz="4" w:space="0" w:color="auto"/>
            </w:tcBorders>
            <w:vAlign w:val="center"/>
          </w:tcPr>
          <w:p w14:paraId="640EA4CF"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2,655.06</w:t>
            </w:r>
          </w:p>
        </w:tc>
        <w:tc>
          <w:tcPr>
            <w:tcW w:w="1842" w:type="dxa"/>
            <w:tcBorders>
              <w:top w:val="nil"/>
              <w:left w:val="nil"/>
              <w:bottom w:val="single" w:sz="4" w:space="0" w:color="auto"/>
              <w:right w:val="single" w:sz="4" w:space="0" w:color="auto"/>
            </w:tcBorders>
            <w:vAlign w:val="center"/>
          </w:tcPr>
          <w:p w14:paraId="20D576DD"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2,655.06</w:t>
            </w:r>
          </w:p>
        </w:tc>
        <w:tc>
          <w:tcPr>
            <w:tcW w:w="993" w:type="dxa"/>
            <w:tcBorders>
              <w:top w:val="nil"/>
              <w:left w:val="nil"/>
              <w:bottom w:val="single" w:sz="4" w:space="0" w:color="auto"/>
              <w:right w:val="single" w:sz="4" w:space="0" w:color="auto"/>
            </w:tcBorders>
            <w:vAlign w:val="center"/>
          </w:tcPr>
          <w:p w14:paraId="383DB1B6"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1D75A27"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DAA4523"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82B27AD" w14:textId="77777777" w:rsidR="006E5784" w:rsidRDefault="006E5784">
            <w:pPr>
              <w:spacing w:after="0" w:line="240" w:lineRule="auto"/>
              <w:jc w:val="center"/>
              <w:rPr>
                <w:rFonts w:ascii="宋体" w:eastAsia="宋体" w:hAnsi="宋体" w:cs="宋体" w:hint="eastAsia"/>
                <w:sz w:val="18"/>
                <w:szCs w:val="18"/>
                <w:lang w:eastAsia="zh-CN"/>
              </w:rPr>
            </w:pPr>
          </w:p>
        </w:tc>
      </w:tr>
      <w:tr w:rsidR="006E5784" w14:paraId="3A306A7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F77AC2D"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D15062C"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A9ABF4B"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DA97D16" w14:textId="77777777" w:rsidR="006E5784" w:rsidRDefault="006E5784">
            <w:pPr>
              <w:spacing w:after="0" w:line="240" w:lineRule="auto"/>
              <w:rPr>
                <w:rFonts w:ascii="宋体" w:eastAsia="宋体" w:hAnsi="宋体" w:cs="宋体" w:hint="eastAsia"/>
                <w:b/>
                <w:bCs/>
                <w:sz w:val="18"/>
                <w:szCs w:val="18"/>
                <w:lang w:eastAsia="zh-CN"/>
              </w:rPr>
            </w:pPr>
          </w:p>
        </w:tc>
      </w:tr>
      <w:tr w:rsidR="006E5784" w14:paraId="653DDA9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E7231C5" w14:textId="77777777" w:rsidR="006E5784" w:rsidRDefault="006E5784">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DEC5624" w14:textId="77777777" w:rsidR="006E578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目标1:完成在园幼儿教育数量1609人，提高昌吉市教育水平；目标2:完成学年内幼儿入园351人，达成教育教学的目标；目标3：保育完成率100%。</w:t>
            </w:r>
          </w:p>
        </w:tc>
        <w:tc>
          <w:tcPr>
            <w:tcW w:w="4547" w:type="dxa"/>
            <w:gridSpan w:val="4"/>
            <w:tcBorders>
              <w:top w:val="single" w:sz="4" w:space="0" w:color="auto"/>
              <w:left w:val="nil"/>
              <w:bottom w:val="single" w:sz="4" w:space="0" w:color="auto"/>
              <w:right w:val="single" w:sz="4" w:space="0" w:color="auto"/>
            </w:tcBorders>
          </w:tcPr>
          <w:p w14:paraId="5EB17B6B" w14:textId="77777777" w:rsidR="006E578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本单位年预算数2655.06万元，全年执行数2655.06万元，总预算执行率为100%，完成在园幼儿教育数量1609人，完成学年内幼儿园入园数量351人，保育完成率达到100%，整体绩效的完成达到了提高昌吉市教育水平，达到2024年教育教学的目标。</w:t>
            </w:r>
          </w:p>
        </w:tc>
        <w:tc>
          <w:tcPr>
            <w:tcW w:w="284" w:type="dxa"/>
            <w:tcBorders>
              <w:top w:val="nil"/>
              <w:left w:val="nil"/>
              <w:bottom w:val="nil"/>
              <w:right w:val="nil"/>
            </w:tcBorders>
            <w:noWrap/>
            <w:vAlign w:val="center"/>
          </w:tcPr>
          <w:p w14:paraId="59D897A1" w14:textId="77777777" w:rsidR="006E5784" w:rsidRDefault="006E5784">
            <w:pPr>
              <w:spacing w:after="0" w:line="240" w:lineRule="auto"/>
              <w:rPr>
                <w:rFonts w:ascii="宋体" w:eastAsia="宋体" w:hAnsi="宋体" w:cs="宋体" w:hint="eastAsia"/>
                <w:sz w:val="18"/>
                <w:szCs w:val="18"/>
                <w:lang w:eastAsia="zh-CN"/>
              </w:rPr>
            </w:pPr>
          </w:p>
        </w:tc>
      </w:tr>
      <w:tr w:rsidR="006E5784" w14:paraId="78925D0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0F70023"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ECD042C"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A25F46F"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2D1F2842"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842" w:type="dxa"/>
            <w:tcBorders>
              <w:top w:val="nil"/>
              <w:left w:val="nil"/>
              <w:bottom w:val="single" w:sz="4" w:space="0" w:color="auto"/>
              <w:right w:val="single" w:sz="4" w:space="0" w:color="auto"/>
            </w:tcBorders>
            <w:vAlign w:val="center"/>
          </w:tcPr>
          <w:p w14:paraId="1F582EF7"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993" w:type="dxa"/>
            <w:tcBorders>
              <w:top w:val="nil"/>
              <w:left w:val="nil"/>
              <w:bottom w:val="single" w:sz="4" w:space="0" w:color="auto"/>
              <w:right w:val="single" w:sz="4" w:space="0" w:color="auto"/>
            </w:tcBorders>
            <w:vAlign w:val="center"/>
          </w:tcPr>
          <w:p w14:paraId="150E7C0C"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7B98251"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52C952D6" w14:textId="77777777" w:rsidR="006E5784"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07BCDC9" w14:textId="77777777" w:rsidR="006E5784" w:rsidRDefault="006E5784">
            <w:pPr>
              <w:spacing w:after="0" w:line="240" w:lineRule="auto"/>
              <w:rPr>
                <w:rFonts w:ascii="宋体" w:eastAsia="宋体" w:hAnsi="宋体" w:cs="宋体" w:hint="eastAsia"/>
                <w:b/>
                <w:bCs/>
                <w:sz w:val="18"/>
                <w:szCs w:val="18"/>
                <w:lang w:eastAsia="zh-CN"/>
              </w:rPr>
            </w:pPr>
          </w:p>
        </w:tc>
      </w:tr>
      <w:tr w:rsidR="006E5784" w14:paraId="1FA52A5E"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207BA8C"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D8C6102"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D723C88"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完成在园幼儿保育人数</w:t>
            </w:r>
          </w:p>
        </w:tc>
        <w:tc>
          <w:tcPr>
            <w:tcW w:w="1276" w:type="dxa"/>
            <w:tcBorders>
              <w:top w:val="nil"/>
              <w:left w:val="nil"/>
              <w:bottom w:val="single" w:sz="4" w:space="0" w:color="auto"/>
              <w:right w:val="single" w:sz="4" w:space="0" w:color="auto"/>
            </w:tcBorders>
            <w:noWrap/>
            <w:vAlign w:val="center"/>
          </w:tcPr>
          <w:p w14:paraId="1288E6BB"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=1609人</w:t>
            </w:r>
          </w:p>
        </w:tc>
        <w:tc>
          <w:tcPr>
            <w:tcW w:w="1842" w:type="dxa"/>
            <w:tcBorders>
              <w:top w:val="nil"/>
              <w:left w:val="nil"/>
              <w:bottom w:val="single" w:sz="4" w:space="0" w:color="auto"/>
              <w:right w:val="single" w:sz="4" w:space="0" w:color="auto"/>
            </w:tcBorders>
            <w:noWrap/>
            <w:vAlign w:val="center"/>
          </w:tcPr>
          <w:p w14:paraId="290845B0" w14:textId="77777777" w:rsidR="006E578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993" w:type="dxa"/>
            <w:tcBorders>
              <w:top w:val="nil"/>
              <w:left w:val="nil"/>
              <w:bottom w:val="single" w:sz="4" w:space="0" w:color="auto"/>
              <w:right w:val="single" w:sz="4" w:space="0" w:color="auto"/>
            </w:tcBorders>
            <w:noWrap/>
            <w:vAlign w:val="center"/>
          </w:tcPr>
          <w:p w14:paraId="3D663BCB"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16109FD5"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1609人</w:t>
            </w:r>
          </w:p>
        </w:tc>
        <w:tc>
          <w:tcPr>
            <w:tcW w:w="720" w:type="dxa"/>
            <w:tcBorders>
              <w:top w:val="nil"/>
              <w:left w:val="nil"/>
              <w:bottom w:val="single" w:sz="4" w:space="0" w:color="auto"/>
              <w:right w:val="single" w:sz="4" w:space="0" w:color="auto"/>
            </w:tcBorders>
            <w:noWrap/>
            <w:vAlign w:val="center"/>
          </w:tcPr>
          <w:p w14:paraId="16D073FD"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5FE80EF" w14:textId="77777777" w:rsidR="006E5784" w:rsidRDefault="006E5784">
            <w:pPr>
              <w:spacing w:after="0" w:line="240" w:lineRule="auto"/>
              <w:jc w:val="center"/>
              <w:rPr>
                <w:rFonts w:ascii="宋体" w:eastAsia="宋体" w:hAnsi="宋体" w:cs="宋体" w:hint="eastAsia"/>
                <w:sz w:val="18"/>
                <w:szCs w:val="18"/>
                <w:lang w:eastAsia="zh-CN"/>
              </w:rPr>
            </w:pPr>
          </w:p>
        </w:tc>
      </w:tr>
      <w:tr w:rsidR="006E5784" w14:paraId="605014BD" w14:textId="77777777">
        <w:trPr>
          <w:cantSplit/>
          <w:trHeight w:val="740"/>
        </w:trPr>
        <w:tc>
          <w:tcPr>
            <w:tcW w:w="993" w:type="dxa"/>
            <w:vMerge/>
            <w:tcBorders>
              <w:left w:val="single" w:sz="4" w:space="0" w:color="auto"/>
              <w:right w:val="single" w:sz="4" w:space="0" w:color="auto"/>
            </w:tcBorders>
            <w:noWrap/>
            <w:vAlign w:val="center"/>
          </w:tcPr>
          <w:p w14:paraId="1E570DF3" w14:textId="77777777" w:rsidR="006E5784" w:rsidRDefault="006E5784">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CBEE6CB" w14:textId="77777777" w:rsidR="006E5784" w:rsidRDefault="006E5784">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12A8A01D"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完成幼儿新入园人数</w:t>
            </w:r>
          </w:p>
        </w:tc>
        <w:tc>
          <w:tcPr>
            <w:tcW w:w="1276" w:type="dxa"/>
            <w:tcBorders>
              <w:top w:val="nil"/>
              <w:left w:val="nil"/>
              <w:bottom w:val="single" w:sz="4" w:space="0" w:color="auto"/>
              <w:right w:val="single" w:sz="4" w:space="0" w:color="auto"/>
            </w:tcBorders>
            <w:noWrap/>
            <w:vAlign w:val="center"/>
          </w:tcPr>
          <w:p w14:paraId="6A132C02"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=351人</w:t>
            </w:r>
          </w:p>
        </w:tc>
        <w:tc>
          <w:tcPr>
            <w:tcW w:w="1842" w:type="dxa"/>
            <w:tcBorders>
              <w:top w:val="nil"/>
              <w:left w:val="nil"/>
              <w:bottom w:val="single" w:sz="4" w:space="0" w:color="auto"/>
              <w:right w:val="single" w:sz="4" w:space="0" w:color="auto"/>
            </w:tcBorders>
            <w:noWrap/>
            <w:vAlign w:val="center"/>
          </w:tcPr>
          <w:p w14:paraId="7C8C40C2" w14:textId="77777777" w:rsidR="006E578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993" w:type="dxa"/>
            <w:tcBorders>
              <w:top w:val="nil"/>
              <w:left w:val="nil"/>
              <w:bottom w:val="single" w:sz="4" w:space="0" w:color="auto"/>
              <w:right w:val="single" w:sz="4" w:space="0" w:color="auto"/>
            </w:tcBorders>
            <w:noWrap/>
            <w:vAlign w:val="center"/>
          </w:tcPr>
          <w:p w14:paraId="2B9D523B"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4D686FBC"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351人</w:t>
            </w:r>
          </w:p>
        </w:tc>
        <w:tc>
          <w:tcPr>
            <w:tcW w:w="720" w:type="dxa"/>
            <w:tcBorders>
              <w:top w:val="nil"/>
              <w:left w:val="nil"/>
              <w:bottom w:val="single" w:sz="4" w:space="0" w:color="auto"/>
              <w:right w:val="single" w:sz="4" w:space="0" w:color="auto"/>
            </w:tcBorders>
            <w:noWrap/>
            <w:vAlign w:val="center"/>
          </w:tcPr>
          <w:p w14:paraId="3A935205"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0BE51AC" w14:textId="77777777" w:rsidR="006E5784" w:rsidRDefault="006E5784">
            <w:pPr>
              <w:spacing w:after="0" w:line="240" w:lineRule="auto"/>
              <w:jc w:val="center"/>
              <w:rPr>
                <w:rFonts w:ascii="宋体" w:eastAsia="宋体" w:hAnsi="宋体" w:cs="宋体" w:hint="eastAsia"/>
                <w:sz w:val="18"/>
                <w:szCs w:val="18"/>
                <w:lang w:eastAsia="zh-CN"/>
              </w:rPr>
            </w:pPr>
          </w:p>
        </w:tc>
      </w:tr>
      <w:tr w:rsidR="006E5784" w14:paraId="4147B63B"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B388E05" w14:textId="77777777" w:rsidR="006E5784" w:rsidRDefault="006E5784">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43AD3D38"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8125A4B"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保育完成率</w:t>
            </w:r>
          </w:p>
        </w:tc>
        <w:tc>
          <w:tcPr>
            <w:tcW w:w="1276" w:type="dxa"/>
            <w:tcBorders>
              <w:top w:val="nil"/>
              <w:left w:val="nil"/>
              <w:bottom w:val="single" w:sz="4" w:space="0" w:color="auto"/>
              <w:right w:val="single" w:sz="4" w:space="0" w:color="auto"/>
            </w:tcBorders>
            <w:noWrap/>
            <w:vAlign w:val="center"/>
          </w:tcPr>
          <w:p w14:paraId="231EDDFE"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842" w:type="dxa"/>
            <w:tcBorders>
              <w:top w:val="nil"/>
              <w:left w:val="nil"/>
              <w:bottom w:val="single" w:sz="4" w:space="0" w:color="auto"/>
              <w:right w:val="single" w:sz="4" w:space="0" w:color="auto"/>
            </w:tcBorders>
            <w:noWrap/>
            <w:vAlign w:val="center"/>
          </w:tcPr>
          <w:p w14:paraId="72371E94" w14:textId="77777777" w:rsidR="006E5784"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993" w:type="dxa"/>
            <w:tcBorders>
              <w:top w:val="nil"/>
              <w:left w:val="nil"/>
              <w:bottom w:val="single" w:sz="4" w:space="0" w:color="auto"/>
              <w:right w:val="single" w:sz="4" w:space="0" w:color="auto"/>
            </w:tcBorders>
            <w:noWrap/>
            <w:vAlign w:val="center"/>
          </w:tcPr>
          <w:p w14:paraId="479D14A4"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992" w:type="dxa"/>
            <w:tcBorders>
              <w:top w:val="nil"/>
              <w:left w:val="nil"/>
              <w:bottom w:val="single" w:sz="4" w:space="0" w:color="auto"/>
              <w:right w:val="single" w:sz="4" w:space="0" w:color="auto"/>
            </w:tcBorders>
            <w:noWrap/>
            <w:vAlign w:val="center"/>
          </w:tcPr>
          <w:p w14:paraId="702DC199"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26690B9C" w14:textId="77777777" w:rsidR="006E5784"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6EF316C" w14:textId="77777777" w:rsidR="006E5784" w:rsidRDefault="006E5784">
            <w:pPr>
              <w:spacing w:after="0" w:line="240" w:lineRule="auto"/>
              <w:jc w:val="center"/>
              <w:rPr>
                <w:rFonts w:ascii="宋体" w:eastAsia="宋体" w:hAnsi="宋体" w:cs="宋体" w:hint="eastAsia"/>
                <w:sz w:val="18"/>
                <w:szCs w:val="18"/>
                <w:lang w:eastAsia="zh-CN"/>
              </w:rPr>
            </w:pPr>
          </w:p>
        </w:tc>
      </w:tr>
    </w:tbl>
    <w:p w14:paraId="7726BF89" w14:textId="77777777" w:rsidR="006E578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br w:type="page"/>
      </w:r>
      <w:bookmarkEnd w:id="0"/>
    </w:p>
    <w:p w14:paraId="248EDD43" w14:textId="77777777" w:rsidR="006E578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7CB1BCC" w14:textId="77777777" w:rsidR="006E578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5F62D62" w14:textId="77777777" w:rsidR="006E5784" w:rsidRDefault="006E5784">
      <w:pPr>
        <w:spacing w:after="0" w:line="240" w:lineRule="auto"/>
        <w:ind w:firstLineChars="200" w:firstLine="640"/>
        <w:rPr>
          <w:rFonts w:ascii="仿宋_GB2312" w:eastAsia="仿宋_GB2312"/>
          <w:sz w:val="32"/>
          <w:szCs w:val="32"/>
          <w:lang w:eastAsia="zh-CN"/>
        </w:rPr>
      </w:pPr>
    </w:p>
    <w:p w14:paraId="3038055C" w14:textId="77777777" w:rsidR="006E5784" w:rsidRDefault="00000000">
      <w:pPr>
        <w:rPr>
          <w:lang w:eastAsia="zh-CN"/>
        </w:rPr>
      </w:pPr>
      <w:r>
        <w:rPr>
          <w:sz w:val="0"/>
          <w:szCs w:val="0"/>
          <w:lang w:eastAsia="zh-CN"/>
        </w:rPr>
        <w:br w:type="page"/>
      </w:r>
    </w:p>
    <w:p w14:paraId="70325E74" w14:textId="77777777" w:rsidR="006E578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75E85A5"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39EE5F"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97A8DC7"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D9DC7E9"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90B0D77"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8103D37"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209162F"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1A4F38C"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20200C"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B7A2C33"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FE7113"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444C9DC"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E00BC3C"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42364C" w14:textId="77777777" w:rsidR="006E578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029B5AF" w14:textId="77777777" w:rsidR="006E5784" w:rsidRDefault="00000000">
      <w:pPr>
        <w:rPr>
          <w:lang w:eastAsia="zh-CN"/>
        </w:rPr>
      </w:pPr>
      <w:r>
        <w:rPr>
          <w:sz w:val="0"/>
          <w:szCs w:val="0"/>
          <w:lang w:eastAsia="zh-CN"/>
        </w:rPr>
        <w:br w:type="page"/>
      </w:r>
    </w:p>
    <w:p w14:paraId="1B2BDDA2" w14:textId="77777777" w:rsidR="006E578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CE24845"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FFB76A8"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D03BA9C"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1AD99F"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81B98A1"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5BB3998"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A9D65A4"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3513438"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4D3AE9" w14:textId="77777777" w:rsidR="006E578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6E578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4C166" w14:textId="77777777" w:rsidR="00D30DB1" w:rsidRDefault="00D30DB1">
      <w:pPr>
        <w:spacing w:line="240" w:lineRule="auto"/>
      </w:pPr>
      <w:r>
        <w:separator/>
      </w:r>
    </w:p>
  </w:endnote>
  <w:endnote w:type="continuationSeparator" w:id="0">
    <w:p w14:paraId="3F1877F4" w14:textId="77777777" w:rsidR="00D30DB1" w:rsidRDefault="00D30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25F5" w14:textId="77777777" w:rsidR="00D30DB1" w:rsidRDefault="00D30DB1">
      <w:pPr>
        <w:spacing w:after="0"/>
      </w:pPr>
      <w:r>
        <w:separator/>
      </w:r>
    </w:p>
  </w:footnote>
  <w:footnote w:type="continuationSeparator" w:id="0">
    <w:p w14:paraId="50942CE2" w14:textId="77777777" w:rsidR="00D30DB1" w:rsidRDefault="00D30DB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E5784"/>
    <w:rsid w:val="006E5784"/>
    <w:rsid w:val="007F6713"/>
    <w:rsid w:val="009949DA"/>
    <w:rsid w:val="00D30DB1"/>
    <w:rsid w:val="07AD73AB"/>
    <w:rsid w:val="18212D0F"/>
    <w:rsid w:val="2424304F"/>
    <w:rsid w:val="2FE203C6"/>
    <w:rsid w:val="500342D0"/>
    <w:rsid w:val="5B7E1290"/>
    <w:rsid w:val="60FF065F"/>
    <w:rsid w:val="70F01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ED52D4"/>
  <w15:docId w15:val="{1575826D-5D82-41A5-B795-059B8E931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3219</Words>
  <Characters>3607</Characters>
  <Application>Microsoft Office Word</Application>
  <DocSecurity>0</DocSecurity>
  <Lines>225</Lines>
  <Paragraphs>195</Paragraphs>
  <ScaleCrop>false</ScaleCrop>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慧 吉</cp:lastModifiedBy>
  <cp:revision>2</cp:revision>
  <dcterms:created xsi:type="dcterms:W3CDTF">2025-09-01T08:06:00Z</dcterms:created>
  <dcterms:modified xsi:type="dcterms:W3CDTF">2025-09-26T11:10:00Z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FFA1346D50F14300BDB3945EA8620E03_12</vt:lpwstr>
  </property>
</Properties>
</file>