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BFEC5A">
      <w:pPr>
        <w:spacing w:after="0" w:line="240" w:lineRule="auto"/>
        <w:rPr>
          <w:rFonts w:hint="eastAsia" w:ascii="宋体" w:eastAsia="宋体"/>
          <w:sz w:val="32"/>
          <w:szCs w:val="32"/>
        </w:rPr>
      </w:pPr>
    </w:p>
    <w:p w14:paraId="75DB2AE2">
      <w:pPr>
        <w:spacing w:after="0" w:line="240" w:lineRule="auto"/>
        <w:rPr>
          <w:rFonts w:hint="eastAsia" w:ascii="宋体" w:eastAsia="宋体"/>
          <w:sz w:val="44"/>
          <w:szCs w:val="44"/>
        </w:rPr>
      </w:pPr>
    </w:p>
    <w:p w14:paraId="74091968">
      <w:pPr>
        <w:spacing w:after="0" w:line="240" w:lineRule="auto"/>
        <w:rPr>
          <w:rFonts w:hint="eastAsia" w:ascii="宋体" w:eastAsia="宋体"/>
          <w:sz w:val="44"/>
          <w:szCs w:val="44"/>
        </w:rPr>
      </w:pPr>
    </w:p>
    <w:p w14:paraId="1C20ADFC">
      <w:pPr>
        <w:spacing w:after="0" w:line="240" w:lineRule="auto"/>
        <w:rPr>
          <w:rFonts w:hint="eastAsia" w:ascii="宋体" w:eastAsia="宋体"/>
          <w:sz w:val="44"/>
          <w:szCs w:val="44"/>
        </w:rPr>
      </w:pPr>
    </w:p>
    <w:p w14:paraId="2CBF521F">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昌吉市阿什里哈萨克民族乡中心幼儿园</w:t>
      </w:r>
    </w:p>
    <w:p w14:paraId="42BE443B">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184C6487">
      <w:pPr>
        <w:rPr>
          <w:rFonts w:hint="eastAsia"/>
          <w:lang w:eastAsia="zh-CN"/>
        </w:rPr>
      </w:pPr>
      <w:r>
        <w:rPr>
          <w:sz w:val="0"/>
          <w:szCs w:val="0"/>
          <w:lang w:eastAsia="zh-CN"/>
        </w:rPr>
        <w:br w:type="page"/>
      </w:r>
    </w:p>
    <w:p w14:paraId="45B94165">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6F0E9BED">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1E80C3F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4CE9BD4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3E10417D">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10AD1E5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5C70F55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74803A3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7645E0E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71D24CF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BDEB4F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9D0FB2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13F494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3EB014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199D14D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A35D19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DB5E13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058D317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14AFE7E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3B5FF61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6B7179A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7B558BB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1BDE737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3FFFFFFC">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5B0C2E07">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7D4EA75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4D75DA6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3D4813D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112E971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43683C9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10E8DC1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04F845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595DE3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17ADC8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516B7DF0">
      <w:pPr>
        <w:rPr>
          <w:rFonts w:hint="eastAsia"/>
          <w:lang w:eastAsia="zh-CN"/>
        </w:rPr>
      </w:pPr>
      <w:r>
        <w:rPr>
          <w:sz w:val="0"/>
          <w:szCs w:val="0"/>
          <w:lang w:eastAsia="zh-CN"/>
        </w:rPr>
        <w:br w:type="page"/>
      </w:r>
    </w:p>
    <w:p w14:paraId="23CB37EE">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w:t>
      </w:r>
      <w:r>
        <w:rPr>
          <w:rFonts w:hint="eastAsia" w:ascii="黑体" w:eastAsia="黑体"/>
          <w:sz w:val="32"/>
          <w:szCs w:val="32"/>
          <w:lang w:val="en-US" w:eastAsia="zh-CN"/>
        </w:rPr>
        <w:t xml:space="preserve"> </w:t>
      </w:r>
      <w:r>
        <w:rPr>
          <w:rFonts w:ascii="黑体" w:eastAsia="黑体"/>
          <w:sz w:val="32"/>
          <w:szCs w:val="32"/>
          <w:lang w:eastAsia="zh-CN"/>
        </w:rPr>
        <w:t>单位概况</w:t>
      </w:r>
    </w:p>
    <w:p w14:paraId="462D73D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一、主要职能</w:t>
      </w:r>
    </w:p>
    <w:p w14:paraId="58C1B26E">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负责贯彻执行国家对幼儿保育和教育的路线、方针、政策；负责为学龄前儿童提供保育和教育服务；本着保育和教育结合的原则，对幼儿实施德、智、体、美全面发展的教育，促进其身心和谐健康发展。认真贯彻执行幼儿教育《纲要》和《幼儿园工作规程》精神,执行上级主管部门的指示,从严治园,以促进幼儿体、智、德、美全</w:t>
      </w:r>
      <w:bookmarkStart w:id="5" w:name="_GoBack"/>
      <w:bookmarkEnd w:id="5"/>
      <w:r>
        <w:rPr>
          <w:rFonts w:hint="eastAsia" w:ascii="仿宋_GB2312" w:eastAsia="仿宋_GB2312"/>
          <w:sz w:val="32"/>
          <w:szCs w:val="32"/>
          <w:lang w:eastAsia="zh-CN"/>
        </w:rPr>
        <w:t>面发展为各项工作的目标,坚持改革,不断提高教育质量</w:t>
      </w:r>
      <w:r>
        <w:rPr>
          <w:rFonts w:ascii="仿宋_GB2312" w:eastAsia="仿宋_GB2312"/>
          <w:sz w:val="32"/>
          <w:szCs w:val="32"/>
          <w:lang w:eastAsia="zh-CN"/>
        </w:rPr>
        <w:t>。</w:t>
      </w:r>
    </w:p>
    <w:p w14:paraId="19E7101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505FF11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昌吉市阿什里哈萨克民族乡中心幼儿园2024年度，实有人数15人，其中：在职人员15人，较上年无变化；离休人员0人，较上年无变化；退休人员0人，较上年无变化</w:t>
      </w:r>
      <w:r>
        <w:rPr>
          <w:rFonts w:hint="eastAsia" w:ascii="仿宋_GB2312" w:eastAsia="仿宋_GB2312"/>
          <w:sz w:val="32"/>
          <w:szCs w:val="32"/>
          <w:lang w:eastAsia="zh-CN"/>
        </w:rPr>
        <w:t>。</w:t>
      </w:r>
    </w:p>
    <w:p w14:paraId="0BB0801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昌吉市阿什里哈萨克民族乡中心幼儿园无下属预算单位，下设4个</w:t>
      </w:r>
      <w:r>
        <w:rPr>
          <w:rFonts w:hint="eastAsia" w:ascii="仿宋_GB2312" w:eastAsia="仿宋_GB2312"/>
          <w:sz w:val="32"/>
          <w:szCs w:val="32"/>
          <w:lang w:eastAsia="zh-CN"/>
        </w:rPr>
        <w:t>科室</w:t>
      </w:r>
      <w:r>
        <w:rPr>
          <w:rFonts w:ascii="仿宋_GB2312" w:eastAsia="仿宋_GB2312"/>
          <w:sz w:val="32"/>
          <w:szCs w:val="32"/>
          <w:lang w:eastAsia="zh-CN"/>
        </w:rPr>
        <w:t>，分别是：办公室，教务处，保健室，活动室。</w:t>
      </w:r>
    </w:p>
    <w:p w14:paraId="0D2F5E9C">
      <w:pPr>
        <w:rPr>
          <w:rFonts w:hint="eastAsia"/>
          <w:lang w:eastAsia="zh-CN"/>
        </w:rPr>
      </w:pPr>
      <w:r>
        <w:rPr>
          <w:sz w:val="0"/>
          <w:szCs w:val="0"/>
          <w:lang w:eastAsia="zh-CN"/>
        </w:rPr>
        <w:br w:type="page"/>
      </w:r>
    </w:p>
    <w:p w14:paraId="6D4D2F21">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4516087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795074D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2024年度收入总计499.52万元，其中：本年收入合计499.52万元，使用非财政拨款结余（含专用结余）0.00万元，年初结转和结余0.00万元。</w:t>
      </w:r>
    </w:p>
    <w:p w14:paraId="1E9FE06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2024年度支出总计499.52万元，其中：本年支出合计499.52万元，结余分配0.00万元，年末结转和结余0.00万元。</w:t>
      </w:r>
    </w:p>
    <w:p w14:paraId="7670D08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收入支出总体与上年相比，增加91.49万元，增长22.42%，主要原因是：单位本年</w:t>
      </w:r>
      <w:r>
        <w:rPr>
          <w:rFonts w:hint="eastAsia" w:ascii="仿宋_GB2312" w:eastAsia="仿宋_GB2312"/>
          <w:sz w:val="32"/>
          <w:szCs w:val="32"/>
          <w:lang w:eastAsia="zh-CN"/>
        </w:rPr>
        <w:t>增加</w:t>
      </w:r>
      <w:r>
        <w:rPr>
          <w:rFonts w:ascii="仿宋_GB2312" w:eastAsia="仿宋_GB2312"/>
          <w:sz w:val="32"/>
          <w:szCs w:val="32"/>
          <w:lang w:eastAsia="zh-CN"/>
        </w:rPr>
        <w:t>中央财政支持学前教育发展资金项目经费、农区幼儿园项目经费、中央大气污染防治资金（第二批）项目经费</w:t>
      </w:r>
      <w:r>
        <w:rPr>
          <w:rFonts w:hint="eastAsia" w:ascii="仿宋_GB2312" w:eastAsia="仿宋_GB2312"/>
          <w:sz w:val="32"/>
          <w:szCs w:val="32"/>
          <w:lang w:eastAsia="zh-CN"/>
        </w:rPr>
        <w:t>等</w:t>
      </w:r>
      <w:r>
        <w:rPr>
          <w:rFonts w:ascii="仿宋_GB2312" w:eastAsia="仿宋_GB2312"/>
          <w:sz w:val="32"/>
          <w:szCs w:val="32"/>
          <w:lang w:eastAsia="zh-CN"/>
        </w:rPr>
        <w:t>。</w:t>
      </w:r>
    </w:p>
    <w:p w14:paraId="60FC56E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4B9DEA8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本年收入499.52万元，其中：财政拨款收入499.52万元,占100.00%；上级补助收入0.00万元,占0.00%；事业收入0.00万元，占0.00%；经营收入0.00万元,占0.00%；附属单位上缴收入0.00万元，占0.00%；其他收入0.00万元，占0.00%。</w:t>
      </w:r>
    </w:p>
    <w:p w14:paraId="043C03E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0D6DB4B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本年支出499.52万元，其中：基本支出401.17万元，占80.31%；项目支出98.35万元，占19.69%；上缴上级支出0.00万元，占0.00%；经营支出0.00万元，占0.00%；对附属单位补助支出0.00万元，占0.00%。</w:t>
      </w:r>
    </w:p>
    <w:p w14:paraId="44BAB27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495E2F5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2024年度财政拨款收入总计499.52万元，其中：年初财政拨款结转和结余0.00万元，本年财政拨款收入499.52万元。财政拨款支出总计499.52万元，其中：年末财政拨款结转和结余0.00万元，本年财政拨款支出499.52万元。</w:t>
      </w:r>
    </w:p>
    <w:p w14:paraId="3D4BE75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财政拨款收入支出总体与上年相比，增加91.49万元，增长22.42%，主要原因是：单位本年</w:t>
      </w:r>
      <w:r>
        <w:rPr>
          <w:rFonts w:hint="eastAsia" w:ascii="仿宋_GB2312" w:eastAsia="仿宋_GB2312"/>
          <w:sz w:val="32"/>
          <w:szCs w:val="32"/>
          <w:lang w:eastAsia="zh-CN"/>
        </w:rPr>
        <w:t>增加</w:t>
      </w:r>
      <w:r>
        <w:rPr>
          <w:rFonts w:ascii="仿宋_GB2312" w:eastAsia="仿宋_GB2312"/>
          <w:sz w:val="32"/>
          <w:szCs w:val="32"/>
          <w:lang w:eastAsia="zh-CN"/>
        </w:rPr>
        <w:t>中央财政支持学前教育发展资金项目经费、农区幼儿园项目经费、中央大气污染防治资金（第二批）项目经费</w:t>
      </w:r>
      <w:r>
        <w:rPr>
          <w:rFonts w:hint="eastAsia" w:ascii="仿宋_GB2312" w:eastAsia="仿宋_GB2312"/>
          <w:sz w:val="32"/>
          <w:szCs w:val="32"/>
          <w:lang w:eastAsia="zh-CN"/>
        </w:rPr>
        <w:t>等</w:t>
      </w:r>
      <w:r>
        <w:rPr>
          <w:rFonts w:ascii="仿宋_GB2312" w:eastAsia="仿宋_GB2312"/>
          <w:sz w:val="32"/>
          <w:szCs w:val="32"/>
          <w:lang w:eastAsia="zh-CN"/>
        </w:rPr>
        <w:t>。与年初预算相比，年初预算数394.87万元，决算数499.52万元，预决算差异率26.50%，主要原因是：年中追加中央财政支持学前教育发展资金项目经费、农区幼儿园项目经费</w:t>
      </w:r>
      <w:r>
        <w:rPr>
          <w:rFonts w:hint="eastAsia" w:ascii="仿宋_GB2312" w:eastAsia="仿宋_GB2312"/>
          <w:sz w:val="32"/>
          <w:szCs w:val="32"/>
          <w:lang w:eastAsia="zh-CN"/>
        </w:rPr>
        <w:t>及</w:t>
      </w:r>
      <w:r>
        <w:rPr>
          <w:rFonts w:ascii="仿宋_GB2312" w:eastAsia="仿宋_GB2312"/>
          <w:sz w:val="32"/>
          <w:szCs w:val="32"/>
          <w:lang w:eastAsia="zh-CN"/>
        </w:rPr>
        <w:t>中央大气污染防治资金（第二批）项目经费</w:t>
      </w:r>
      <w:r>
        <w:rPr>
          <w:rFonts w:hint="eastAsia" w:ascii="仿宋_GB2312" w:eastAsia="仿宋_GB2312"/>
          <w:sz w:val="32"/>
          <w:szCs w:val="32"/>
          <w:lang w:eastAsia="zh-CN"/>
        </w:rPr>
        <w:t>等</w:t>
      </w:r>
      <w:r>
        <w:rPr>
          <w:rFonts w:ascii="仿宋_GB2312" w:eastAsia="仿宋_GB2312"/>
          <w:sz w:val="32"/>
          <w:szCs w:val="32"/>
          <w:lang w:eastAsia="zh-CN"/>
        </w:rPr>
        <w:t>。</w:t>
      </w:r>
    </w:p>
    <w:p w14:paraId="23F6C54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4CFC0CDD">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（一）一般公共预算财政拨款支出决算总体情况</w:t>
      </w:r>
    </w:p>
    <w:p w14:paraId="7C8657B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2024年度一般公共预算财政拨款支出499.52万元，占本年支出合计的100.00%。与上年相比，增加103.61万元，增长26.17%，主要原因是：单位本年</w:t>
      </w:r>
      <w:r>
        <w:rPr>
          <w:rFonts w:hint="eastAsia" w:ascii="仿宋_GB2312" w:eastAsia="仿宋_GB2312"/>
          <w:sz w:val="32"/>
          <w:szCs w:val="32"/>
          <w:lang w:eastAsia="zh-CN"/>
        </w:rPr>
        <w:t>增加</w:t>
      </w:r>
      <w:r>
        <w:rPr>
          <w:rFonts w:ascii="仿宋_GB2312" w:eastAsia="仿宋_GB2312"/>
          <w:sz w:val="32"/>
          <w:szCs w:val="32"/>
          <w:lang w:eastAsia="zh-CN"/>
        </w:rPr>
        <w:t>中央财政支持学前教育发展资金项目经费、农区幼儿园项目经费、中央大气污染防治资金（第二批）项目经费</w:t>
      </w:r>
      <w:r>
        <w:rPr>
          <w:rFonts w:hint="eastAsia" w:ascii="仿宋_GB2312" w:eastAsia="仿宋_GB2312"/>
          <w:sz w:val="32"/>
          <w:szCs w:val="32"/>
          <w:lang w:eastAsia="zh-CN"/>
        </w:rPr>
        <w:t>等</w:t>
      </w:r>
      <w:r>
        <w:rPr>
          <w:rFonts w:ascii="仿宋_GB2312" w:eastAsia="仿宋_GB2312"/>
          <w:sz w:val="32"/>
          <w:szCs w:val="32"/>
          <w:lang w:eastAsia="zh-CN"/>
        </w:rPr>
        <w:t>。与年初预算相比，年初预算数394.87万元，决算数499.52万元，预决算差异率26.50%，主要原因是：年中追加中央财政支持学前教育发展资金项目经费、农区幼儿园项目经费</w:t>
      </w:r>
      <w:r>
        <w:rPr>
          <w:rFonts w:hint="eastAsia" w:ascii="仿宋_GB2312" w:eastAsia="仿宋_GB2312"/>
          <w:sz w:val="32"/>
          <w:szCs w:val="32"/>
          <w:lang w:eastAsia="zh-CN"/>
        </w:rPr>
        <w:t>及</w:t>
      </w:r>
      <w:r>
        <w:rPr>
          <w:rFonts w:ascii="仿宋_GB2312" w:eastAsia="仿宋_GB2312"/>
          <w:sz w:val="32"/>
          <w:szCs w:val="32"/>
          <w:lang w:eastAsia="zh-CN"/>
        </w:rPr>
        <w:t>中央大气污染防治资金（第二批）项目经费</w:t>
      </w:r>
      <w:r>
        <w:rPr>
          <w:rFonts w:hint="eastAsia" w:ascii="仿宋_GB2312" w:eastAsia="仿宋_GB2312"/>
          <w:sz w:val="32"/>
          <w:szCs w:val="32"/>
          <w:lang w:eastAsia="zh-CN"/>
        </w:rPr>
        <w:t>等</w:t>
      </w:r>
      <w:r>
        <w:rPr>
          <w:rFonts w:ascii="仿宋_GB2312" w:eastAsia="仿宋_GB2312"/>
          <w:sz w:val="32"/>
          <w:szCs w:val="32"/>
          <w:lang w:eastAsia="zh-CN"/>
        </w:rPr>
        <w:t>。</w:t>
      </w:r>
    </w:p>
    <w:p w14:paraId="48E01B17">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（二）一般公共预算财政拨款支出决算结构情况</w:t>
      </w:r>
    </w:p>
    <w:p w14:paraId="587C14E6">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教育支出（类）486.02万元，占97.30%。</w:t>
      </w:r>
    </w:p>
    <w:p w14:paraId="2B3AA9B3">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节能环保支出（类）13.50万元，占2.70%。</w:t>
      </w:r>
    </w:p>
    <w:p w14:paraId="048D1252">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（三）一般公共预算财政拨款支出决算具体情况</w:t>
      </w:r>
    </w:p>
    <w:p w14:paraId="3304828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1、教育支出（类）普通教育（款）学前教育（项）：支出决算数为475.52万元，比上年决算增加79.61万元，增长20.11%，主要原因是：单位本年增加中央财政支持学前教育发展资金项目经费。</w:t>
      </w:r>
    </w:p>
    <w:p w14:paraId="4F10F58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2、教育支出（类）教育费附加安排的支出（款）其他教育费附加安排的支出（项）：支出决算数为10.50万元，比上年决算增加10.50万元，增长100.00%，主要原因是：单位本年增加农区幼儿园项目经费。</w:t>
      </w:r>
    </w:p>
    <w:p w14:paraId="58A7E62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3、节能环保支出（类）污染防治（款）大气（项）：支出决算数为13.50万元，比上年决算增加13.50万元，增长100.00%，主要原因是：单位本年增加中央大气污染防治资金（第二批）项目经费。</w:t>
      </w:r>
    </w:p>
    <w:p w14:paraId="3C35432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625E18F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401.17万元，其中：人员经费378.01万元，包括：基本工资、津贴补贴、奖金、机关事业单位基本养老保险缴费、职工基本医疗保险缴费、公务员医疗补助缴费、其他社会保障缴费、住房公积金、医疗费、其他工资福利支出和生活补助。</w:t>
      </w:r>
    </w:p>
    <w:p w14:paraId="4EF0A7D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公用经费23.16万元，包括：办公费、手续费、水费、电费、邮电费、取暖费、维修（护）费、劳务费、税金及附加费用、其他商品和服务支出和办公设备购置。</w:t>
      </w:r>
    </w:p>
    <w:p w14:paraId="0164342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7C31B3D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19CCA8E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5B797A7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E5C166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0DD51C5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0" w:name="_Hlk207143847"/>
      <w:r>
        <w:rPr>
          <w:rFonts w:hint="eastAsia" w:ascii="仿宋_GB2312" w:eastAsia="仿宋_GB2312"/>
          <w:sz w:val="32"/>
          <w:szCs w:val="32"/>
          <w:lang w:eastAsia="zh-CN"/>
        </w:rPr>
        <w:t>我单位上年度与本年度均无此项经费</w:t>
      </w:r>
      <w:bookmarkEnd w:id="0"/>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43AD90D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749A9AB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因公出国（境）费支出0.00万元，开支内容包括单位本年无因公出国（境）费支出。单位全年安排的因公出国（境）团组0个，因公出国（境）0人次。</w:t>
      </w:r>
    </w:p>
    <w:p w14:paraId="6A2F308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单位本年无公务用车运行维护费支出。公务用车购置数0辆，公务用车保有量0辆。国有资产占用情况中固定资产车辆0辆，与公务用车保有量差异原因是：</w:t>
      </w:r>
      <w:bookmarkStart w:id="1" w:name="_Hlk207143898"/>
      <w:r>
        <w:rPr>
          <w:rFonts w:hint="eastAsia" w:ascii="仿宋_GB2312" w:eastAsia="仿宋_GB2312"/>
          <w:sz w:val="32"/>
          <w:szCs w:val="32"/>
          <w:lang w:eastAsia="zh-CN"/>
        </w:rPr>
        <w:t>本单位固定资产车辆与公务用车保有量一致无差异</w:t>
      </w:r>
      <w:bookmarkEnd w:id="1"/>
      <w:r>
        <w:rPr>
          <w:rFonts w:ascii="仿宋_GB2312" w:eastAsia="仿宋_GB2312"/>
          <w:sz w:val="32"/>
          <w:szCs w:val="32"/>
          <w:lang w:eastAsia="zh-CN"/>
        </w:rPr>
        <w:t>。</w:t>
      </w:r>
    </w:p>
    <w:p w14:paraId="2F66A70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公务接待费0.00万元，开支内容包括单位本年无公务接待费支出。单位全年安排的国内公务接待0批次，0人次。</w:t>
      </w:r>
    </w:p>
    <w:p w14:paraId="1021AF0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严格按照预算执行，预决算对比无差异。其中：因公出国（境）费全年预算数0.00万元，决算数0.00万元，预决算差异率0.00%，主要原因是：</w:t>
      </w:r>
      <w:bookmarkStart w:id="2" w:name="_Hlk207142995"/>
      <w:r>
        <w:rPr>
          <w:rFonts w:hint="eastAsia" w:ascii="仿宋_GB2312" w:eastAsia="仿宋_GB2312"/>
          <w:sz w:val="32"/>
          <w:szCs w:val="32"/>
          <w:lang w:eastAsia="zh-CN"/>
        </w:rPr>
        <w:t>严格按照预算执行，预决算对比无差异</w:t>
      </w:r>
      <w:bookmarkEnd w:id="2"/>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774454F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137C7521">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（一）机关运行经费及公用经费支出情况</w:t>
      </w:r>
    </w:p>
    <w:p w14:paraId="28A62DF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2024年度昌吉市阿什里哈萨克民族乡中心幼儿园单位​（事业单位）公用经费支出23.16万元，比上年减少24.11万元，下降51.00%，主要原因是：单位本年办公费、邮电费、劳务费较上年减少。</w:t>
      </w:r>
    </w:p>
    <w:p w14:paraId="0A3DE7F9">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（二）政府采购情况</w:t>
      </w:r>
    </w:p>
    <w:p w14:paraId="03F8F86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2024年度政府采购支出总额74.70万元，其中：政府采购货物支出2.53万元、政府采购工程支出62.99万元、政府采购服务支出9.18万元。</w:t>
      </w:r>
    </w:p>
    <w:p w14:paraId="015D483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授予中小企业合同金额74.70万元，占政府采购支出总额的100.00%，其中：授予小微企业合同金额74.70万元，占政府采购支出总额的100.00%。</w:t>
      </w:r>
    </w:p>
    <w:p w14:paraId="72A7B7BF">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（三）国有资产占用情况说明</w:t>
      </w:r>
    </w:p>
    <w:p w14:paraId="274117D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截至2024年12月31日，房屋3,742.06平方米，价值1,267.92万元。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单位</w:t>
      </w:r>
      <w:r>
        <w:rPr>
          <w:rFonts w:hint="eastAsia" w:ascii="仿宋_GB2312" w:eastAsia="仿宋_GB2312"/>
          <w:sz w:val="32"/>
          <w:szCs w:val="32"/>
          <w:lang w:eastAsia="zh-CN"/>
        </w:rPr>
        <w:t>无</w:t>
      </w:r>
      <w:r>
        <w:rPr>
          <w:rFonts w:ascii="仿宋_GB2312" w:eastAsia="仿宋_GB2312"/>
          <w:sz w:val="32"/>
          <w:szCs w:val="32"/>
          <w:lang w:eastAsia="zh-CN"/>
        </w:rPr>
        <w:t>其他用车;单价100万元（含）以上设备（不含车辆）0台（套）。</w:t>
      </w:r>
    </w:p>
    <w:p w14:paraId="073B94D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13CA469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499.52万元，实际执行总额499.52万元；预算绩效评价项目1个，全年预算数13.50万元，全年执行数13.50万元。预算绩效管理取得的成效：一是注重绩效目标编制，预算编制环节注重编细编实预算需求，科学选择绩效指标，合理设置绩效目标值，并严格按照财政统一要求，规范编制事前绩效报告，为财政资金发挥效益夯实基础；二是扎实开展自评工作，年度终了，扎实开展预算绩效目标完成情况部门审核和自评工作。发现的问题及原因：一是我单位部分绩效指标设置存在不够精简、指标数据无法统计和指标值设置过低等问题，部分项目绩效指标值设定为定性的指标，指标设置的科学性、合理性有待进一步提高；二是项目实施过程中的上报、跟踪、反馈机制尚未真正形成，对各地区项目资金的使用、实施等监管措施仍然存在改进的空间。下一步改进措施：一是建议以规章规则的形式，出台绩效管理制度，对绩效管理的目的、意义、性质和特点，以及组织实施绩效管理的程序、步骤、方法、原则和要求进行统一的规定。二是合理设置年度任务。提高各</w:t>
      </w:r>
      <w:r>
        <w:rPr>
          <w:rFonts w:hint="eastAsia" w:ascii="仿宋_GB2312" w:eastAsia="仿宋_GB2312"/>
          <w:sz w:val="32"/>
          <w:szCs w:val="32"/>
          <w:lang w:eastAsia="zh-CN"/>
        </w:rPr>
        <w:t>科室</w:t>
      </w:r>
      <w:r>
        <w:rPr>
          <w:rFonts w:ascii="仿宋_GB2312" w:eastAsia="仿宋_GB2312"/>
          <w:sz w:val="32"/>
          <w:szCs w:val="32"/>
          <w:lang w:eastAsia="zh-CN"/>
        </w:rPr>
        <w:t>对部门中长期规划的重视程度，增强相关规划的落地性、导向性。具体附部门整体支出绩效自评表，项目支出绩效自评表和部门评价报告。</w:t>
      </w:r>
    </w:p>
    <w:p w14:paraId="00B79F73">
      <w:pPr>
        <w:rPr>
          <w:rFonts w:hint="eastAsia" w:ascii="宋体" w:hAnsi="宋体" w:eastAsia="宋体" w:cs="宋体"/>
          <w:b/>
          <w:bCs/>
          <w:sz w:val="18"/>
          <w:szCs w:val="18"/>
          <w:lang w:eastAsia="zh-CN"/>
        </w:rPr>
      </w:pPr>
      <w:bookmarkStart w:id="3" w:name="_Hlk201836110"/>
    </w:p>
    <w:p w14:paraId="1F6C9E06">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24F71C3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1"/>
        <w:tblW w:w="9935"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gridCol w:w="284"/>
      </w:tblGrid>
      <w:tr w14:paraId="4F78CDA1">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3701DBEF">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5D5F2445">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昌吉市阿什里乡中心幼儿园</w:t>
            </w:r>
          </w:p>
        </w:tc>
        <w:tc>
          <w:tcPr>
            <w:tcW w:w="284" w:type="dxa"/>
            <w:tcBorders>
              <w:top w:val="nil"/>
              <w:left w:val="nil"/>
              <w:bottom w:val="nil"/>
              <w:right w:val="nil"/>
            </w:tcBorders>
            <w:noWrap/>
            <w:vAlign w:val="center"/>
          </w:tcPr>
          <w:p w14:paraId="25FF5551">
            <w:pPr>
              <w:rPr>
                <w:rFonts w:hint="eastAsia" w:ascii="宋体" w:hAnsi="宋体" w:eastAsia="宋体" w:cs="宋体"/>
                <w:b/>
                <w:bCs/>
                <w:sz w:val="18"/>
                <w:szCs w:val="18"/>
                <w:lang w:eastAsia="zh-CN"/>
              </w:rPr>
            </w:pPr>
          </w:p>
        </w:tc>
      </w:tr>
      <w:tr w14:paraId="3C3351AC">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8758515">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7F7F7089">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570D25EA">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2E745C73">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410B6478">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6D1A2E60">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20721076">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52EE54CF">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1C387027">
            <w:pPr>
              <w:jc w:val="center"/>
              <w:rPr>
                <w:rFonts w:hint="eastAsia" w:ascii="宋体" w:hAnsi="宋体" w:eastAsia="宋体" w:cs="宋体"/>
                <w:b/>
                <w:bCs/>
                <w:sz w:val="18"/>
                <w:szCs w:val="18"/>
              </w:rPr>
            </w:pPr>
          </w:p>
        </w:tc>
      </w:tr>
      <w:tr w14:paraId="6DC16C19">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7D11498">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4B0FCE47">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38696970">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3EFEB9E4">
            <w:pPr>
              <w:jc w:val="center"/>
              <w:rPr>
                <w:rFonts w:hint="eastAsia" w:ascii="宋体" w:hAnsi="宋体" w:eastAsia="宋体" w:cs="宋体"/>
                <w:sz w:val="18"/>
                <w:szCs w:val="18"/>
              </w:rPr>
            </w:pPr>
            <w:r>
              <w:rPr>
                <w:rFonts w:hint="eastAsia" w:ascii="宋体" w:hAnsi="宋体" w:eastAsia="宋体" w:cs="宋体"/>
                <w:sz w:val="18"/>
                <w:szCs w:val="18"/>
              </w:rPr>
              <w:t>24.00</w:t>
            </w:r>
          </w:p>
        </w:tc>
        <w:tc>
          <w:tcPr>
            <w:tcW w:w="1417" w:type="dxa"/>
            <w:tcBorders>
              <w:top w:val="nil"/>
              <w:left w:val="nil"/>
              <w:bottom w:val="single" w:color="auto" w:sz="4" w:space="0"/>
              <w:right w:val="single" w:color="auto" w:sz="4" w:space="0"/>
            </w:tcBorders>
            <w:vAlign w:val="center"/>
          </w:tcPr>
          <w:p w14:paraId="4D2E2F40">
            <w:pPr>
              <w:jc w:val="center"/>
              <w:rPr>
                <w:rFonts w:hint="eastAsia" w:ascii="宋体" w:hAnsi="宋体" w:eastAsia="宋体" w:cs="宋体"/>
                <w:sz w:val="18"/>
                <w:szCs w:val="18"/>
              </w:rPr>
            </w:pPr>
            <w:r>
              <w:rPr>
                <w:rFonts w:hint="eastAsia" w:ascii="宋体" w:hAnsi="宋体" w:eastAsia="宋体" w:cs="宋体"/>
                <w:sz w:val="18"/>
                <w:szCs w:val="18"/>
              </w:rPr>
              <w:t>24.00</w:t>
            </w:r>
          </w:p>
        </w:tc>
        <w:tc>
          <w:tcPr>
            <w:tcW w:w="1134" w:type="dxa"/>
            <w:tcBorders>
              <w:top w:val="nil"/>
              <w:left w:val="nil"/>
              <w:bottom w:val="single" w:color="auto" w:sz="4" w:space="0"/>
              <w:right w:val="single" w:color="auto" w:sz="4" w:space="0"/>
            </w:tcBorders>
            <w:vAlign w:val="center"/>
          </w:tcPr>
          <w:p w14:paraId="7FD798C4">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0D0C9456">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36A367E8">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35D5FFC1">
            <w:pPr>
              <w:jc w:val="center"/>
              <w:rPr>
                <w:rFonts w:hint="eastAsia" w:ascii="宋体" w:hAnsi="宋体" w:eastAsia="宋体" w:cs="宋体"/>
                <w:b/>
                <w:bCs/>
                <w:sz w:val="18"/>
                <w:szCs w:val="18"/>
              </w:rPr>
            </w:pPr>
          </w:p>
        </w:tc>
      </w:tr>
      <w:tr w14:paraId="190FED5B">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05CE4E2">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6C577DB">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109410E3">
            <w:pPr>
              <w:jc w:val="center"/>
              <w:rPr>
                <w:rFonts w:hint="eastAsia" w:ascii="宋体" w:hAnsi="宋体" w:eastAsia="宋体" w:cs="宋体"/>
                <w:sz w:val="18"/>
                <w:szCs w:val="18"/>
              </w:rPr>
            </w:pPr>
            <w:r>
              <w:rPr>
                <w:rFonts w:hint="eastAsia" w:ascii="宋体" w:hAnsi="宋体" w:eastAsia="宋体" w:cs="宋体"/>
                <w:sz w:val="18"/>
                <w:szCs w:val="18"/>
              </w:rPr>
              <w:t>394.87</w:t>
            </w:r>
          </w:p>
        </w:tc>
        <w:tc>
          <w:tcPr>
            <w:tcW w:w="1242" w:type="dxa"/>
            <w:tcBorders>
              <w:top w:val="nil"/>
              <w:left w:val="nil"/>
              <w:bottom w:val="single" w:color="auto" w:sz="4" w:space="0"/>
              <w:right w:val="single" w:color="auto" w:sz="4" w:space="0"/>
            </w:tcBorders>
            <w:vAlign w:val="center"/>
          </w:tcPr>
          <w:p w14:paraId="1B587F8D">
            <w:pPr>
              <w:jc w:val="center"/>
              <w:rPr>
                <w:rFonts w:hint="eastAsia" w:ascii="宋体" w:hAnsi="宋体" w:eastAsia="宋体" w:cs="宋体"/>
                <w:sz w:val="18"/>
                <w:szCs w:val="18"/>
              </w:rPr>
            </w:pPr>
            <w:r>
              <w:rPr>
                <w:rFonts w:hint="eastAsia" w:ascii="宋体" w:hAnsi="宋体" w:eastAsia="宋体" w:cs="宋体"/>
                <w:sz w:val="18"/>
                <w:szCs w:val="18"/>
              </w:rPr>
              <w:t>475.52</w:t>
            </w:r>
          </w:p>
        </w:tc>
        <w:tc>
          <w:tcPr>
            <w:tcW w:w="1417" w:type="dxa"/>
            <w:tcBorders>
              <w:top w:val="nil"/>
              <w:left w:val="nil"/>
              <w:bottom w:val="single" w:color="auto" w:sz="4" w:space="0"/>
              <w:right w:val="single" w:color="auto" w:sz="4" w:space="0"/>
            </w:tcBorders>
            <w:vAlign w:val="center"/>
          </w:tcPr>
          <w:p w14:paraId="2D2208B5">
            <w:pPr>
              <w:jc w:val="center"/>
              <w:rPr>
                <w:rFonts w:hint="eastAsia" w:ascii="宋体" w:hAnsi="宋体" w:eastAsia="宋体" w:cs="宋体"/>
                <w:sz w:val="18"/>
                <w:szCs w:val="18"/>
              </w:rPr>
            </w:pPr>
            <w:r>
              <w:rPr>
                <w:rFonts w:hint="eastAsia" w:ascii="宋体" w:hAnsi="宋体" w:eastAsia="宋体" w:cs="宋体"/>
                <w:sz w:val="18"/>
                <w:szCs w:val="18"/>
              </w:rPr>
              <w:t>475.52</w:t>
            </w:r>
          </w:p>
        </w:tc>
        <w:tc>
          <w:tcPr>
            <w:tcW w:w="1134" w:type="dxa"/>
            <w:tcBorders>
              <w:top w:val="nil"/>
              <w:left w:val="nil"/>
              <w:bottom w:val="single" w:color="auto" w:sz="4" w:space="0"/>
              <w:right w:val="single" w:color="auto" w:sz="4" w:space="0"/>
            </w:tcBorders>
            <w:vAlign w:val="center"/>
          </w:tcPr>
          <w:p w14:paraId="0DB4E258">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6F5C1498">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A8F0820">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1C3785AD">
            <w:pPr>
              <w:jc w:val="center"/>
              <w:rPr>
                <w:rFonts w:hint="eastAsia" w:ascii="宋体" w:hAnsi="宋体" w:eastAsia="宋体" w:cs="宋体"/>
                <w:sz w:val="18"/>
                <w:szCs w:val="18"/>
              </w:rPr>
            </w:pPr>
          </w:p>
        </w:tc>
      </w:tr>
      <w:tr w14:paraId="46E5A18E">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31175A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FDC61D7">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64A22F79">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3D0421E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629578CD">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1B48412B">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3DF8C94A">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0C4EFE58">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4D801D02">
            <w:pPr>
              <w:jc w:val="center"/>
              <w:rPr>
                <w:rFonts w:hint="eastAsia" w:ascii="宋体" w:hAnsi="宋体" w:eastAsia="宋体" w:cs="宋体"/>
                <w:sz w:val="18"/>
                <w:szCs w:val="18"/>
              </w:rPr>
            </w:pPr>
          </w:p>
        </w:tc>
      </w:tr>
      <w:tr w14:paraId="4F344602">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2739787">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789192B">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41975BAA">
            <w:pPr>
              <w:jc w:val="center"/>
              <w:rPr>
                <w:rFonts w:hint="eastAsia" w:ascii="宋体" w:hAnsi="宋体" w:eastAsia="宋体" w:cs="宋体"/>
                <w:sz w:val="18"/>
                <w:szCs w:val="18"/>
              </w:rPr>
            </w:pPr>
            <w:r>
              <w:rPr>
                <w:rFonts w:hint="eastAsia" w:ascii="宋体" w:hAnsi="宋体" w:eastAsia="宋体" w:cs="宋体"/>
                <w:sz w:val="18"/>
                <w:szCs w:val="18"/>
              </w:rPr>
              <w:t>394.87</w:t>
            </w:r>
          </w:p>
        </w:tc>
        <w:tc>
          <w:tcPr>
            <w:tcW w:w="1242" w:type="dxa"/>
            <w:tcBorders>
              <w:top w:val="nil"/>
              <w:left w:val="nil"/>
              <w:bottom w:val="single" w:color="auto" w:sz="4" w:space="0"/>
              <w:right w:val="single" w:color="auto" w:sz="4" w:space="0"/>
            </w:tcBorders>
            <w:vAlign w:val="center"/>
          </w:tcPr>
          <w:p w14:paraId="66A468D0">
            <w:pPr>
              <w:jc w:val="center"/>
              <w:rPr>
                <w:rFonts w:hint="eastAsia" w:ascii="宋体" w:hAnsi="宋体" w:eastAsia="宋体" w:cs="宋体"/>
                <w:sz w:val="18"/>
                <w:szCs w:val="18"/>
              </w:rPr>
            </w:pPr>
            <w:r>
              <w:rPr>
                <w:rFonts w:hint="eastAsia" w:ascii="宋体" w:hAnsi="宋体" w:eastAsia="宋体" w:cs="宋体"/>
                <w:sz w:val="18"/>
                <w:szCs w:val="18"/>
              </w:rPr>
              <w:t>499.52</w:t>
            </w:r>
          </w:p>
        </w:tc>
        <w:tc>
          <w:tcPr>
            <w:tcW w:w="1417" w:type="dxa"/>
            <w:tcBorders>
              <w:top w:val="nil"/>
              <w:left w:val="nil"/>
              <w:bottom w:val="single" w:color="auto" w:sz="4" w:space="0"/>
              <w:right w:val="single" w:color="auto" w:sz="4" w:space="0"/>
            </w:tcBorders>
            <w:vAlign w:val="center"/>
          </w:tcPr>
          <w:p w14:paraId="4C55EE85">
            <w:pPr>
              <w:jc w:val="center"/>
              <w:rPr>
                <w:rFonts w:hint="eastAsia" w:ascii="宋体" w:hAnsi="宋体" w:eastAsia="宋体" w:cs="宋体"/>
                <w:sz w:val="18"/>
                <w:szCs w:val="18"/>
              </w:rPr>
            </w:pPr>
            <w:r>
              <w:rPr>
                <w:rFonts w:hint="eastAsia" w:ascii="宋体" w:hAnsi="宋体" w:eastAsia="宋体" w:cs="宋体"/>
                <w:sz w:val="18"/>
                <w:szCs w:val="18"/>
              </w:rPr>
              <w:t>499.52</w:t>
            </w:r>
          </w:p>
        </w:tc>
        <w:tc>
          <w:tcPr>
            <w:tcW w:w="1134" w:type="dxa"/>
            <w:tcBorders>
              <w:top w:val="nil"/>
              <w:left w:val="nil"/>
              <w:bottom w:val="single" w:color="auto" w:sz="4" w:space="0"/>
              <w:right w:val="single" w:color="auto" w:sz="4" w:space="0"/>
            </w:tcBorders>
            <w:vAlign w:val="center"/>
          </w:tcPr>
          <w:p w14:paraId="17AC40EE">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4643B16B">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2DFA303C">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721949E2">
            <w:pPr>
              <w:jc w:val="center"/>
              <w:rPr>
                <w:rFonts w:hint="eastAsia" w:ascii="宋体" w:hAnsi="宋体" w:eastAsia="宋体" w:cs="宋体"/>
                <w:sz w:val="18"/>
                <w:szCs w:val="18"/>
              </w:rPr>
            </w:pPr>
          </w:p>
        </w:tc>
      </w:tr>
      <w:tr w14:paraId="629CFBCC">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36E8B94">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62ED5FDD">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47839CD7">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1F24D21A">
            <w:pPr>
              <w:rPr>
                <w:rFonts w:hint="eastAsia" w:ascii="宋体" w:hAnsi="宋体" w:eastAsia="宋体" w:cs="宋体"/>
                <w:b/>
                <w:bCs/>
                <w:sz w:val="18"/>
                <w:szCs w:val="18"/>
              </w:rPr>
            </w:pPr>
          </w:p>
        </w:tc>
      </w:tr>
      <w:tr w14:paraId="6C461E6D">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B749E78">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03F047E0">
            <w:pPr>
              <w:rPr>
                <w:rFonts w:hint="eastAsia" w:ascii="宋体" w:hAnsi="宋体" w:eastAsia="宋体" w:cs="宋体"/>
                <w:sz w:val="18"/>
                <w:szCs w:val="18"/>
                <w:lang w:eastAsia="zh-CN"/>
              </w:rPr>
            </w:pPr>
            <w:r>
              <w:rPr>
                <w:rFonts w:hint="eastAsia" w:ascii="宋体" w:hAnsi="宋体" w:eastAsia="宋体" w:cs="宋体"/>
                <w:sz w:val="18"/>
                <w:szCs w:val="18"/>
                <w:lang w:eastAsia="zh-CN"/>
              </w:rPr>
              <w:t>为了贯彻落实中央、自治区党委决策部署的各项重大工作决定和安排，充分发挥教育经费保障教育发展、推动教育改革、推进教育公平、提高教育质量的政策引领作用，预计本年度学前三年毛入园率达到98%，普惠性幼儿园覆盖率达到100%，农村学前免费教育达到100%，青年教师培养考核覆盖率达到100%，教师培训合格率达到98%以上，办学条件达标率达到100%，家长满意度达到95%以上，进一步优化结构、深化改革、强化监管，切实提高教育经费使用效益。</w:t>
            </w:r>
          </w:p>
        </w:tc>
        <w:tc>
          <w:tcPr>
            <w:tcW w:w="4581" w:type="dxa"/>
            <w:gridSpan w:val="4"/>
            <w:tcBorders>
              <w:top w:val="single" w:color="auto" w:sz="4" w:space="0"/>
              <w:left w:val="nil"/>
              <w:bottom w:val="single" w:color="auto" w:sz="4" w:space="0"/>
              <w:right w:val="single" w:color="auto" w:sz="4" w:space="0"/>
            </w:tcBorders>
          </w:tcPr>
          <w:p w14:paraId="34020D87">
            <w:pPr>
              <w:rPr>
                <w:rFonts w:hint="eastAsia" w:ascii="宋体" w:hAnsi="宋体" w:eastAsia="宋体" w:cs="宋体"/>
                <w:sz w:val="18"/>
                <w:szCs w:val="18"/>
                <w:lang w:eastAsia="zh-CN"/>
              </w:rPr>
            </w:pPr>
            <w:r>
              <w:rPr>
                <w:rFonts w:hint="eastAsia" w:ascii="宋体" w:hAnsi="宋体" w:eastAsia="宋体" w:cs="宋体"/>
                <w:sz w:val="18"/>
                <w:szCs w:val="18"/>
                <w:lang w:eastAsia="zh-CN"/>
              </w:rPr>
              <w:t>截止2024年12月25日，我单位为了贯彻落实中央、自治区党委决策部署的各项重大工作决定和安排，充分发挥教育经费保障教育发展、推动教育改革、推进教育公平、提高教育质量的政策引领作用，本年度狠抓教育教学目标，目前我园学前三年毛入园率达到98%，普惠性幼儿园覆盖率达到100%，农村学前免费教育100%全覆盖，确保适龄儿童全部能入园学习；青年教师培养考核覆盖率达到100%，教师培训合格率达到98%以上，进一步夯实了教育教学质量，提高了教师自身专业知识，办学条件达标率达到100%，家长满意度达到95%以上，进一步优化结构、深化改革、强化监管，切实提高教育经费使用效益。</w:t>
            </w:r>
          </w:p>
        </w:tc>
        <w:tc>
          <w:tcPr>
            <w:tcW w:w="284" w:type="dxa"/>
            <w:tcBorders>
              <w:top w:val="nil"/>
              <w:left w:val="nil"/>
              <w:bottom w:val="nil"/>
              <w:right w:val="nil"/>
            </w:tcBorders>
            <w:noWrap/>
            <w:vAlign w:val="center"/>
          </w:tcPr>
          <w:p w14:paraId="4DCDD3E0">
            <w:pPr>
              <w:rPr>
                <w:rFonts w:hint="eastAsia" w:ascii="宋体" w:hAnsi="宋体" w:eastAsia="宋体" w:cs="宋体"/>
                <w:sz w:val="18"/>
                <w:szCs w:val="18"/>
                <w:lang w:eastAsia="zh-CN"/>
              </w:rPr>
            </w:pPr>
          </w:p>
        </w:tc>
      </w:tr>
      <w:tr w14:paraId="78618A31">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590A2492">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7529E14F">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62B57F98">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67ECD9A3">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04661FE1">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5CE1B029">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5930024A">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21D4B238">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77C5BFF1">
            <w:pPr>
              <w:rPr>
                <w:rFonts w:hint="eastAsia" w:ascii="宋体" w:hAnsi="宋体" w:eastAsia="宋体" w:cs="宋体"/>
                <w:b/>
                <w:bCs/>
                <w:sz w:val="18"/>
                <w:szCs w:val="18"/>
              </w:rPr>
            </w:pPr>
          </w:p>
        </w:tc>
      </w:tr>
      <w:tr w14:paraId="3AEECE0B">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50FF6D90">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tcBorders>
              <w:top w:val="nil"/>
              <w:left w:val="nil"/>
              <w:bottom w:val="single" w:color="auto" w:sz="4" w:space="0"/>
              <w:right w:val="single" w:color="auto" w:sz="4" w:space="0"/>
            </w:tcBorders>
            <w:noWrap/>
            <w:vAlign w:val="center"/>
          </w:tcPr>
          <w:p w14:paraId="721B1F93">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15974AAF">
            <w:pPr>
              <w:jc w:val="center"/>
              <w:rPr>
                <w:rFonts w:hint="eastAsia" w:ascii="宋体" w:hAnsi="宋体" w:eastAsia="宋体" w:cs="宋体"/>
                <w:sz w:val="18"/>
                <w:szCs w:val="18"/>
              </w:rPr>
            </w:pPr>
            <w:r>
              <w:rPr>
                <w:rFonts w:hint="eastAsia" w:ascii="宋体" w:hAnsi="宋体" w:eastAsia="宋体" w:cs="宋体"/>
                <w:sz w:val="18"/>
                <w:szCs w:val="18"/>
              </w:rPr>
              <w:t>学前三年毛入园率</w:t>
            </w:r>
          </w:p>
        </w:tc>
        <w:tc>
          <w:tcPr>
            <w:tcW w:w="1242" w:type="dxa"/>
            <w:tcBorders>
              <w:top w:val="nil"/>
              <w:left w:val="nil"/>
              <w:bottom w:val="single" w:color="auto" w:sz="4" w:space="0"/>
              <w:right w:val="single" w:color="auto" w:sz="4" w:space="0"/>
            </w:tcBorders>
            <w:noWrap/>
            <w:vAlign w:val="center"/>
          </w:tcPr>
          <w:p w14:paraId="6818CDD9">
            <w:pPr>
              <w:jc w:val="center"/>
              <w:rPr>
                <w:rFonts w:hint="eastAsia" w:ascii="宋体" w:hAnsi="宋体" w:eastAsia="宋体" w:cs="宋体"/>
                <w:sz w:val="18"/>
                <w:szCs w:val="18"/>
              </w:rPr>
            </w:pPr>
            <w:r>
              <w:rPr>
                <w:rFonts w:hint="eastAsia" w:ascii="宋体" w:hAnsi="宋体" w:eastAsia="宋体" w:cs="宋体"/>
                <w:sz w:val="18"/>
                <w:szCs w:val="18"/>
              </w:rPr>
              <w:t>&gt;=97%</w:t>
            </w:r>
          </w:p>
        </w:tc>
        <w:tc>
          <w:tcPr>
            <w:tcW w:w="1417" w:type="dxa"/>
            <w:tcBorders>
              <w:top w:val="nil"/>
              <w:left w:val="nil"/>
              <w:bottom w:val="single" w:color="auto" w:sz="4" w:space="0"/>
              <w:right w:val="single" w:color="auto" w:sz="4" w:space="0"/>
            </w:tcBorders>
            <w:noWrap/>
            <w:vAlign w:val="center"/>
          </w:tcPr>
          <w:p w14:paraId="1A9DF977">
            <w:pPr>
              <w:rPr>
                <w:rFonts w:hint="eastAsia" w:ascii="宋体" w:hAnsi="宋体" w:eastAsia="宋体" w:cs="宋体"/>
                <w:sz w:val="18"/>
                <w:szCs w:val="18"/>
              </w:rPr>
            </w:pPr>
            <w:r>
              <w:rPr>
                <w:rFonts w:hint="eastAsia" w:ascii="宋体" w:hAnsi="宋体" w:eastAsia="宋体" w:cs="宋体"/>
                <w:sz w:val="18"/>
                <w:szCs w:val="18"/>
              </w:rPr>
              <w:t>年度工作计划</w:t>
            </w:r>
          </w:p>
        </w:tc>
        <w:tc>
          <w:tcPr>
            <w:tcW w:w="1134" w:type="dxa"/>
            <w:tcBorders>
              <w:top w:val="nil"/>
              <w:left w:val="nil"/>
              <w:bottom w:val="single" w:color="auto" w:sz="4" w:space="0"/>
              <w:right w:val="single" w:color="auto" w:sz="4" w:space="0"/>
            </w:tcBorders>
            <w:noWrap/>
            <w:vAlign w:val="center"/>
          </w:tcPr>
          <w:p w14:paraId="397818D5">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4F5D6B9C">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4DF61D68">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75D30189">
            <w:pPr>
              <w:jc w:val="center"/>
              <w:rPr>
                <w:rFonts w:hint="eastAsia" w:ascii="宋体" w:hAnsi="宋体" w:eastAsia="宋体" w:cs="宋体"/>
                <w:sz w:val="18"/>
                <w:szCs w:val="18"/>
              </w:rPr>
            </w:pPr>
          </w:p>
        </w:tc>
      </w:tr>
      <w:tr w14:paraId="7A2D3ED7">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76635DC6">
            <w:pPr>
              <w:jc w:val="center"/>
              <w:rPr>
                <w:rFonts w:hint="eastAsia" w:ascii="宋体" w:hAnsi="宋体" w:eastAsia="宋体" w:cs="宋体"/>
                <w:sz w:val="18"/>
                <w:szCs w:val="18"/>
              </w:rPr>
            </w:pPr>
          </w:p>
        </w:tc>
        <w:tc>
          <w:tcPr>
            <w:tcW w:w="1417" w:type="dxa"/>
            <w:vMerge w:val="restart"/>
            <w:tcBorders>
              <w:top w:val="nil"/>
              <w:left w:val="nil"/>
              <w:right w:val="single" w:color="auto" w:sz="4" w:space="0"/>
            </w:tcBorders>
            <w:noWrap/>
            <w:vAlign w:val="center"/>
          </w:tcPr>
          <w:p w14:paraId="5D1176B4">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0203C850">
            <w:pPr>
              <w:jc w:val="center"/>
              <w:rPr>
                <w:rFonts w:hint="eastAsia" w:ascii="宋体" w:hAnsi="宋体" w:eastAsia="宋体" w:cs="宋体"/>
                <w:sz w:val="18"/>
                <w:szCs w:val="18"/>
              </w:rPr>
            </w:pPr>
            <w:r>
              <w:rPr>
                <w:rFonts w:hint="eastAsia" w:ascii="宋体" w:hAnsi="宋体" w:eastAsia="宋体" w:cs="宋体"/>
                <w:sz w:val="18"/>
                <w:szCs w:val="18"/>
              </w:rPr>
              <w:t>普惠性幼儿园覆盖率</w:t>
            </w:r>
          </w:p>
        </w:tc>
        <w:tc>
          <w:tcPr>
            <w:tcW w:w="1242" w:type="dxa"/>
            <w:tcBorders>
              <w:top w:val="nil"/>
              <w:left w:val="nil"/>
              <w:bottom w:val="single" w:color="auto" w:sz="4" w:space="0"/>
              <w:right w:val="single" w:color="auto" w:sz="4" w:space="0"/>
            </w:tcBorders>
            <w:noWrap/>
            <w:vAlign w:val="center"/>
          </w:tcPr>
          <w:p w14:paraId="66284E45">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14:paraId="334FA987">
            <w:pPr>
              <w:rPr>
                <w:rFonts w:hint="eastAsia" w:ascii="宋体" w:hAnsi="宋体" w:eastAsia="宋体" w:cs="宋体"/>
                <w:sz w:val="18"/>
                <w:szCs w:val="18"/>
              </w:rPr>
            </w:pPr>
            <w:r>
              <w:rPr>
                <w:rFonts w:hint="eastAsia" w:ascii="宋体" w:hAnsi="宋体" w:eastAsia="宋体" w:cs="宋体"/>
                <w:sz w:val="18"/>
                <w:szCs w:val="18"/>
              </w:rPr>
              <w:t>年度工作计划</w:t>
            </w:r>
          </w:p>
        </w:tc>
        <w:tc>
          <w:tcPr>
            <w:tcW w:w="1134" w:type="dxa"/>
            <w:tcBorders>
              <w:top w:val="nil"/>
              <w:left w:val="nil"/>
              <w:bottom w:val="single" w:color="auto" w:sz="4" w:space="0"/>
              <w:right w:val="single" w:color="auto" w:sz="4" w:space="0"/>
            </w:tcBorders>
            <w:noWrap/>
            <w:vAlign w:val="center"/>
          </w:tcPr>
          <w:p w14:paraId="12275F36">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0B7C52D1">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3B81D83E">
            <w:pPr>
              <w:jc w:val="center"/>
              <w:rPr>
                <w:rFonts w:hint="eastAsia" w:ascii="宋体" w:hAnsi="宋体" w:eastAsia="宋体" w:cs="宋体"/>
                <w:sz w:val="18"/>
                <w:szCs w:val="18"/>
              </w:rPr>
            </w:pPr>
            <w:r>
              <w:rPr>
                <w:rFonts w:hint="eastAsia" w:ascii="宋体" w:hAnsi="宋体" w:eastAsia="宋体" w:cs="宋体"/>
                <w:sz w:val="18"/>
                <w:szCs w:val="18"/>
              </w:rPr>
              <w:t>15</w:t>
            </w:r>
          </w:p>
        </w:tc>
        <w:tc>
          <w:tcPr>
            <w:tcW w:w="284" w:type="dxa"/>
            <w:tcBorders>
              <w:top w:val="nil"/>
              <w:left w:val="nil"/>
              <w:bottom w:val="nil"/>
              <w:right w:val="nil"/>
            </w:tcBorders>
            <w:noWrap/>
            <w:vAlign w:val="center"/>
          </w:tcPr>
          <w:p w14:paraId="7F51A4D3">
            <w:pPr>
              <w:jc w:val="center"/>
              <w:rPr>
                <w:rFonts w:hint="eastAsia" w:ascii="宋体" w:hAnsi="宋体" w:eastAsia="宋体" w:cs="宋体"/>
                <w:sz w:val="18"/>
                <w:szCs w:val="18"/>
              </w:rPr>
            </w:pPr>
          </w:p>
        </w:tc>
      </w:tr>
      <w:tr w14:paraId="38583D16">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34D0B89D">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46473846">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546BC15">
            <w:pPr>
              <w:jc w:val="center"/>
              <w:rPr>
                <w:rFonts w:hint="eastAsia" w:ascii="宋体" w:hAnsi="宋体" w:eastAsia="宋体" w:cs="宋体"/>
                <w:sz w:val="18"/>
                <w:szCs w:val="18"/>
              </w:rPr>
            </w:pPr>
            <w:r>
              <w:rPr>
                <w:rFonts w:hint="eastAsia" w:ascii="宋体" w:hAnsi="宋体" w:eastAsia="宋体" w:cs="宋体"/>
                <w:sz w:val="18"/>
                <w:szCs w:val="18"/>
              </w:rPr>
              <w:t>农村学前免费教育</w:t>
            </w:r>
          </w:p>
        </w:tc>
        <w:tc>
          <w:tcPr>
            <w:tcW w:w="1242" w:type="dxa"/>
            <w:tcBorders>
              <w:top w:val="nil"/>
              <w:left w:val="nil"/>
              <w:bottom w:val="single" w:color="auto" w:sz="4" w:space="0"/>
              <w:right w:val="single" w:color="auto" w:sz="4" w:space="0"/>
            </w:tcBorders>
            <w:noWrap/>
            <w:vAlign w:val="center"/>
          </w:tcPr>
          <w:p w14:paraId="75AA459F">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14:paraId="203DD65B">
            <w:pPr>
              <w:rPr>
                <w:rFonts w:hint="eastAsia" w:ascii="宋体" w:hAnsi="宋体" w:eastAsia="宋体" w:cs="宋体"/>
                <w:sz w:val="18"/>
                <w:szCs w:val="18"/>
              </w:rPr>
            </w:pPr>
            <w:r>
              <w:rPr>
                <w:rFonts w:hint="eastAsia" w:ascii="宋体" w:hAnsi="宋体" w:eastAsia="宋体" w:cs="宋体"/>
                <w:sz w:val="18"/>
                <w:szCs w:val="18"/>
              </w:rPr>
              <w:t>年度工作计划</w:t>
            </w:r>
          </w:p>
        </w:tc>
        <w:tc>
          <w:tcPr>
            <w:tcW w:w="1134" w:type="dxa"/>
            <w:tcBorders>
              <w:top w:val="nil"/>
              <w:left w:val="nil"/>
              <w:bottom w:val="single" w:color="auto" w:sz="4" w:space="0"/>
              <w:right w:val="single" w:color="auto" w:sz="4" w:space="0"/>
            </w:tcBorders>
            <w:noWrap/>
            <w:vAlign w:val="center"/>
          </w:tcPr>
          <w:p w14:paraId="7F55229E">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001E0522">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1AB7950A">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0FDD5024">
            <w:pPr>
              <w:jc w:val="center"/>
              <w:rPr>
                <w:rFonts w:hint="eastAsia" w:ascii="宋体" w:hAnsi="宋体" w:eastAsia="宋体" w:cs="宋体"/>
                <w:sz w:val="18"/>
                <w:szCs w:val="18"/>
              </w:rPr>
            </w:pPr>
          </w:p>
        </w:tc>
      </w:tr>
      <w:tr w14:paraId="7AFBFD68">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2C2C3DD3">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384C9069">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6C4CCDEE">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青年教师培养考核覆盖</w:t>
            </w:r>
          </w:p>
        </w:tc>
        <w:tc>
          <w:tcPr>
            <w:tcW w:w="1242" w:type="dxa"/>
            <w:tcBorders>
              <w:top w:val="nil"/>
              <w:left w:val="nil"/>
              <w:bottom w:val="single" w:color="auto" w:sz="4" w:space="0"/>
              <w:right w:val="single" w:color="auto" w:sz="4" w:space="0"/>
            </w:tcBorders>
            <w:noWrap/>
            <w:vAlign w:val="center"/>
          </w:tcPr>
          <w:p w14:paraId="59850FBB">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14:paraId="60B964E7">
            <w:pPr>
              <w:rPr>
                <w:rFonts w:hint="eastAsia" w:ascii="宋体" w:hAnsi="宋体" w:eastAsia="宋体" w:cs="宋体"/>
                <w:sz w:val="18"/>
                <w:szCs w:val="18"/>
              </w:rPr>
            </w:pPr>
            <w:r>
              <w:rPr>
                <w:rFonts w:hint="eastAsia" w:ascii="宋体" w:hAnsi="宋体" w:eastAsia="宋体" w:cs="宋体"/>
                <w:sz w:val="18"/>
                <w:szCs w:val="18"/>
              </w:rPr>
              <w:t>年度工作计划</w:t>
            </w:r>
          </w:p>
        </w:tc>
        <w:tc>
          <w:tcPr>
            <w:tcW w:w="1134" w:type="dxa"/>
            <w:tcBorders>
              <w:top w:val="nil"/>
              <w:left w:val="nil"/>
              <w:bottom w:val="single" w:color="auto" w:sz="4" w:space="0"/>
              <w:right w:val="single" w:color="auto" w:sz="4" w:space="0"/>
            </w:tcBorders>
            <w:noWrap/>
            <w:vAlign w:val="center"/>
          </w:tcPr>
          <w:p w14:paraId="4360E84E">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77BCD1DF">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21CC5A8A">
            <w:pPr>
              <w:jc w:val="center"/>
              <w:rPr>
                <w:rFonts w:hint="eastAsia" w:ascii="宋体" w:hAnsi="宋体" w:eastAsia="宋体" w:cs="宋体"/>
                <w:sz w:val="18"/>
                <w:szCs w:val="18"/>
              </w:rPr>
            </w:pPr>
            <w:r>
              <w:rPr>
                <w:rFonts w:hint="eastAsia" w:ascii="宋体" w:hAnsi="宋体" w:eastAsia="宋体" w:cs="宋体"/>
                <w:sz w:val="18"/>
                <w:szCs w:val="18"/>
              </w:rPr>
              <w:t>15</w:t>
            </w:r>
          </w:p>
        </w:tc>
        <w:tc>
          <w:tcPr>
            <w:tcW w:w="284" w:type="dxa"/>
            <w:tcBorders>
              <w:top w:val="nil"/>
              <w:left w:val="nil"/>
              <w:bottom w:val="nil"/>
              <w:right w:val="nil"/>
            </w:tcBorders>
            <w:noWrap/>
            <w:vAlign w:val="center"/>
          </w:tcPr>
          <w:p w14:paraId="37BA23CB">
            <w:pPr>
              <w:jc w:val="center"/>
              <w:rPr>
                <w:rFonts w:hint="eastAsia" w:ascii="宋体" w:hAnsi="宋体" w:eastAsia="宋体" w:cs="宋体"/>
                <w:sz w:val="18"/>
                <w:szCs w:val="18"/>
              </w:rPr>
            </w:pPr>
          </w:p>
        </w:tc>
      </w:tr>
      <w:tr w14:paraId="30118BE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303576BE">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0E192986">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65AACA1">
            <w:pPr>
              <w:jc w:val="center"/>
              <w:rPr>
                <w:rFonts w:hint="eastAsia" w:ascii="宋体" w:hAnsi="宋体" w:eastAsia="宋体" w:cs="宋体"/>
                <w:sz w:val="18"/>
                <w:szCs w:val="18"/>
              </w:rPr>
            </w:pPr>
            <w:r>
              <w:rPr>
                <w:rFonts w:hint="eastAsia" w:ascii="宋体" w:hAnsi="宋体" w:eastAsia="宋体" w:cs="宋体"/>
                <w:sz w:val="18"/>
                <w:szCs w:val="18"/>
              </w:rPr>
              <w:t>教师培训合格率</w:t>
            </w:r>
          </w:p>
        </w:tc>
        <w:tc>
          <w:tcPr>
            <w:tcW w:w="1242" w:type="dxa"/>
            <w:tcBorders>
              <w:top w:val="nil"/>
              <w:left w:val="nil"/>
              <w:bottom w:val="single" w:color="auto" w:sz="4" w:space="0"/>
              <w:right w:val="single" w:color="auto" w:sz="4" w:space="0"/>
            </w:tcBorders>
            <w:noWrap/>
            <w:vAlign w:val="center"/>
          </w:tcPr>
          <w:p w14:paraId="0F9D8A1D">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14:paraId="29C8241F">
            <w:pPr>
              <w:rPr>
                <w:rFonts w:hint="eastAsia" w:ascii="宋体" w:hAnsi="宋体" w:eastAsia="宋体" w:cs="宋体"/>
                <w:sz w:val="18"/>
                <w:szCs w:val="18"/>
              </w:rPr>
            </w:pPr>
            <w:r>
              <w:rPr>
                <w:rFonts w:hint="eastAsia" w:ascii="宋体" w:hAnsi="宋体" w:eastAsia="宋体" w:cs="宋体"/>
                <w:sz w:val="18"/>
                <w:szCs w:val="18"/>
              </w:rPr>
              <w:t>年度工作计划</w:t>
            </w:r>
          </w:p>
        </w:tc>
        <w:tc>
          <w:tcPr>
            <w:tcW w:w="1134" w:type="dxa"/>
            <w:tcBorders>
              <w:top w:val="nil"/>
              <w:left w:val="nil"/>
              <w:bottom w:val="single" w:color="auto" w:sz="4" w:space="0"/>
              <w:right w:val="single" w:color="auto" w:sz="4" w:space="0"/>
            </w:tcBorders>
            <w:noWrap/>
            <w:vAlign w:val="center"/>
          </w:tcPr>
          <w:p w14:paraId="7E1E8BD4">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74E74AA9">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68281EF7">
            <w:pPr>
              <w:jc w:val="center"/>
              <w:rPr>
                <w:rFonts w:hint="eastAsia" w:ascii="宋体" w:hAnsi="宋体" w:eastAsia="宋体" w:cs="宋体"/>
                <w:sz w:val="18"/>
                <w:szCs w:val="18"/>
              </w:rPr>
            </w:pPr>
            <w:r>
              <w:rPr>
                <w:rFonts w:hint="eastAsia" w:ascii="宋体" w:hAnsi="宋体" w:eastAsia="宋体" w:cs="宋体"/>
                <w:sz w:val="18"/>
                <w:szCs w:val="18"/>
              </w:rPr>
              <w:t>15</w:t>
            </w:r>
          </w:p>
        </w:tc>
        <w:tc>
          <w:tcPr>
            <w:tcW w:w="284" w:type="dxa"/>
            <w:tcBorders>
              <w:top w:val="nil"/>
              <w:left w:val="nil"/>
              <w:bottom w:val="nil"/>
              <w:right w:val="nil"/>
            </w:tcBorders>
            <w:noWrap/>
            <w:vAlign w:val="center"/>
          </w:tcPr>
          <w:p w14:paraId="6638E762">
            <w:pPr>
              <w:jc w:val="center"/>
              <w:rPr>
                <w:rFonts w:hint="eastAsia" w:ascii="宋体" w:hAnsi="宋体" w:eastAsia="宋体" w:cs="宋体"/>
                <w:sz w:val="18"/>
                <w:szCs w:val="18"/>
              </w:rPr>
            </w:pPr>
          </w:p>
        </w:tc>
      </w:tr>
      <w:tr w14:paraId="7D33231A">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2C309C3F">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5FE6DE5F">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6EDD946">
            <w:pPr>
              <w:jc w:val="center"/>
              <w:rPr>
                <w:rFonts w:hint="eastAsia" w:ascii="宋体" w:hAnsi="宋体" w:eastAsia="宋体" w:cs="宋体"/>
                <w:sz w:val="18"/>
                <w:szCs w:val="18"/>
              </w:rPr>
            </w:pPr>
            <w:r>
              <w:rPr>
                <w:rFonts w:hint="eastAsia" w:ascii="宋体" w:hAnsi="宋体" w:eastAsia="宋体" w:cs="宋体"/>
                <w:sz w:val="18"/>
                <w:szCs w:val="18"/>
              </w:rPr>
              <w:t>办学条件达标率</w:t>
            </w:r>
          </w:p>
        </w:tc>
        <w:tc>
          <w:tcPr>
            <w:tcW w:w="1242" w:type="dxa"/>
            <w:tcBorders>
              <w:top w:val="nil"/>
              <w:left w:val="nil"/>
              <w:bottom w:val="single" w:color="auto" w:sz="4" w:space="0"/>
              <w:right w:val="single" w:color="auto" w:sz="4" w:space="0"/>
            </w:tcBorders>
            <w:noWrap/>
            <w:vAlign w:val="center"/>
          </w:tcPr>
          <w:p w14:paraId="5DB52872">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417" w:type="dxa"/>
            <w:tcBorders>
              <w:top w:val="nil"/>
              <w:left w:val="nil"/>
              <w:bottom w:val="single" w:color="auto" w:sz="4" w:space="0"/>
              <w:right w:val="single" w:color="auto" w:sz="4" w:space="0"/>
            </w:tcBorders>
            <w:noWrap/>
            <w:vAlign w:val="center"/>
          </w:tcPr>
          <w:p w14:paraId="09DD8B56">
            <w:pPr>
              <w:rPr>
                <w:rFonts w:hint="eastAsia" w:ascii="宋体" w:hAnsi="宋体" w:eastAsia="宋体" w:cs="宋体"/>
                <w:sz w:val="18"/>
                <w:szCs w:val="18"/>
              </w:rPr>
            </w:pPr>
            <w:r>
              <w:rPr>
                <w:rFonts w:hint="eastAsia" w:ascii="宋体" w:hAnsi="宋体" w:eastAsia="宋体" w:cs="宋体"/>
                <w:sz w:val="18"/>
                <w:szCs w:val="18"/>
              </w:rPr>
              <w:t>年度工作计划</w:t>
            </w:r>
          </w:p>
        </w:tc>
        <w:tc>
          <w:tcPr>
            <w:tcW w:w="1134" w:type="dxa"/>
            <w:tcBorders>
              <w:top w:val="nil"/>
              <w:left w:val="nil"/>
              <w:bottom w:val="single" w:color="auto" w:sz="4" w:space="0"/>
              <w:right w:val="single" w:color="auto" w:sz="4" w:space="0"/>
            </w:tcBorders>
            <w:noWrap/>
            <w:vAlign w:val="center"/>
          </w:tcPr>
          <w:p w14:paraId="133727A1">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noWrap/>
            <w:vAlign w:val="center"/>
          </w:tcPr>
          <w:p w14:paraId="45F8069B">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noWrap/>
            <w:vAlign w:val="center"/>
          </w:tcPr>
          <w:p w14:paraId="57224E36">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5A1F48A7">
            <w:pPr>
              <w:jc w:val="center"/>
              <w:rPr>
                <w:rFonts w:hint="eastAsia" w:ascii="宋体" w:hAnsi="宋体" w:eastAsia="宋体" w:cs="宋体"/>
                <w:sz w:val="18"/>
                <w:szCs w:val="18"/>
              </w:rPr>
            </w:pPr>
          </w:p>
        </w:tc>
      </w:tr>
      <w:tr w14:paraId="27F48014">
        <w:tblPrEx>
          <w:tblCellMar>
            <w:top w:w="0" w:type="dxa"/>
            <w:left w:w="108" w:type="dxa"/>
            <w:bottom w:w="0" w:type="dxa"/>
            <w:right w:w="108" w:type="dxa"/>
          </w:tblCellMar>
        </w:tblPrEx>
        <w:trPr>
          <w:cantSplit/>
          <w:trHeight w:val="74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2DD6A6FD">
            <w:pPr>
              <w:jc w:val="center"/>
              <w:rPr>
                <w:rFonts w:hint="eastAsia" w:ascii="宋体" w:hAnsi="宋体" w:eastAsia="宋体" w:cs="宋体"/>
                <w:sz w:val="18"/>
                <w:szCs w:val="18"/>
              </w:rPr>
            </w:pPr>
            <w:r>
              <w:rPr>
                <w:rFonts w:hint="eastAsia" w:ascii="宋体" w:hAnsi="宋体" w:eastAsia="宋体" w:cs="宋体"/>
                <w:sz w:val="18"/>
                <w:szCs w:val="18"/>
              </w:rPr>
              <w:t>服务对象满意度</w:t>
            </w:r>
          </w:p>
        </w:tc>
        <w:tc>
          <w:tcPr>
            <w:tcW w:w="1417" w:type="dxa"/>
            <w:tcBorders>
              <w:top w:val="nil"/>
              <w:left w:val="nil"/>
              <w:bottom w:val="single" w:color="auto" w:sz="4" w:space="0"/>
              <w:right w:val="single" w:color="auto" w:sz="4" w:space="0"/>
            </w:tcBorders>
            <w:noWrap/>
            <w:vAlign w:val="center"/>
          </w:tcPr>
          <w:p w14:paraId="1ED10C35">
            <w:pPr>
              <w:jc w:val="center"/>
              <w:rPr>
                <w:rFonts w:hint="eastAsia" w:ascii="宋体" w:hAnsi="宋体" w:eastAsia="宋体" w:cs="宋体"/>
                <w:sz w:val="18"/>
                <w:szCs w:val="18"/>
              </w:rPr>
            </w:pPr>
            <w:r>
              <w:rPr>
                <w:rFonts w:hint="eastAsia" w:ascii="宋体" w:hAnsi="宋体" w:eastAsia="宋体" w:cs="宋体"/>
                <w:sz w:val="18"/>
                <w:szCs w:val="18"/>
              </w:rPr>
              <w:t>满意度指标</w:t>
            </w:r>
          </w:p>
        </w:tc>
        <w:tc>
          <w:tcPr>
            <w:tcW w:w="1418" w:type="dxa"/>
            <w:tcBorders>
              <w:top w:val="nil"/>
              <w:left w:val="nil"/>
              <w:bottom w:val="single" w:color="auto" w:sz="4" w:space="0"/>
              <w:right w:val="single" w:color="auto" w:sz="4" w:space="0"/>
            </w:tcBorders>
            <w:noWrap/>
            <w:vAlign w:val="center"/>
          </w:tcPr>
          <w:p w14:paraId="54CE0DFE">
            <w:pPr>
              <w:jc w:val="center"/>
              <w:rPr>
                <w:rFonts w:hint="eastAsia" w:ascii="宋体" w:hAnsi="宋体" w:eastAsia="宋体" w:cs="宋体"/>
                <w:sz w:val="18"/>
                <w:szCs w:val="18"/>
              </w:rPr>
            </w:pPr>
            <w:r>
              <w:rPr>
                <w:rFonts w:hint="eastAsia" w:ascii="宋体" w:hAnsi="宋体" w:eastAsia="宋体" w:cs="宋体"/>
                <w:sz w:val="18"/>
                <w:szCs w:val="18"/>
              </w:rPr>
              <w:t>家长满意度</w:t>
            </w:r>
          </w:p>
        </w:tc>
        <w:tc>
          <w:tcPr>
            <w:tcW w:w="1242" w:type="dxa"/>
            <w:tcBorders>
              <w:top w:val="nil"/>
              <w:left w:val="nil"/>
              <w:bottom w:val="single" w:color="auto" w:sz="4" w:space="0"/>
              <w:right w:val="single" w:color="auto" w:sz="4" w:space="0"/>
            </w:tcBorders>
            <w:noWrap/>
            <w:vAlign w:val="center"/>
          </w:tcPr>
          <w:p w14:paraId="7FFBA0B6">
            <w:pPr>
              <w:jc w:val="center"/>
              <w:rPr>
                <w:rFonts w:hint="eastAsia" w:ascii="宋体" w:hAnsi="宋体" w:eastAsia="宋体" w:cs="宋体"/>
                <w:sz w:val="18"/>
                <w:szCs w:val="18"/>
              </w:rPr>
            </w:pPr>
            <w:r>
              <w:rPr>
                <w:rFonts w:hint="eastAsia" w:ascii="宋体" w:hAnsi="宋体" w:eastAsia="宋体" w:cs="宋体"/>
                <w:sz w:val="18"/>
                <w:szCs w:val="18"/>
              </w:rPr>
              <w:t>&gt;=95%</w:t>
            </w:r>
          </w:p>
        </w:tc>
        <w:tc>
          <w:tcPr>
            <w:tcW w:w="1417" w:type="dxa"/>
            <w:tcBorders>
              <w:top w:val="nil"/>
              <w:left w:val="nil"/>
              <w:bottom w:val="single" w:color="auto" w:sz="4" w:space="0"/>
              <w:right w:val="single" w:color="auto" w:sz="4" w:space="0"/>
            </w:tcBorders>
            <w:noWrap/>
            <w:vAlign w:val="center"/>
          </w:tcPr>
          <w:p w14:paraId="73516558">
            <w:pPr>
              <w:rPr>
                <w:rFonts w:hint="eastAsia" w:ascii="宋体" w:hAnsi="宋体" w:eastAsia="宋体" w:cs="宋体"/>
                <w:sz w:val="18"/>
                <w:szCs w:val="18"/>
              </w:rPr>
            </w:pPr>
            <w:r>
              <w:rPr>
                <w:rFonts w:hint="eastAsia" w:ascii="宋体" w:hAnsi="宋体" w:eastAsia="宋体" w:cs="宋体"/>
                <w:sz w:val="18"/>
                <w:szCs w:val="18"/>
              </w:rPr>
              <w:t>年度工作计划</w:t>
            </w:r>
          </w:p>
        </w:tc>
        <w:tc>
          <w:tcPr>
            <w:tcW w:w="1134" w:type="dxa"/>
            <w:tcBorders>
              <w:top w:val="nil"/>
              <w:left w:val="nil"/>
              <w:bottom w:val="single" w:color="auto" w:sz="4" w:space="0"/>
              <w:right w:val="single" w:color="auto" w:sz="4" w:space="0"/>
            </w:tcBorders>
            <w:noWrap/>
            <w:vAlign w:val="center"/>
          </w:tcPr>
          <w:p w14:paraId="14A9CB4C">
            <w:pPr>
              <w:jc w:val="center"/>
              <w:rPr>
                <w:rFonts w:hint="eastAsia" w:ascii="宋体" w:hAnsi="宋体" w:eastAsia="宋体" w:cs="宋体"/>
                <w:sz w:val="18"/>
                <w:szCs w:val="18"/>
              </w:rPr>
            </w:pPr>
            <w:r>
              <w:rPr>
                <w:rFonts w:hint="eastAsia" w:ascii="宋体" w:hAnsi="宋体" w:eastAsia="宋体" w:cs="宋体"/>
                <w:sz w:val="18"/>
                <w:szCs w:val="18"/>
              </w:rPr>
              <w:t>15</w:t>
            </w:r>
          </w:p>
        </w:tc>
        <w:tc>
          <w:tcPr>
            <w:tcW w:w="1310" w:type="dxa"/>
            <w:tcBorders>
              <w:top w:val="nil"/>
              <w:left w:val="nil"/>
              <w:bottom w:val="single" w:color="auto" w:sz="4" w:space="0"/>
              <w:right w:val="single" w:color="auto" w:sz="4" w:space="0"/>
            </w:tcBorders>
            <w:noWrap/>
            <w:vAlign w:val="center"/>
          </w:tcPr>
          <w:p w14:paraId="50E8CC7E">
            <w:pPr>
              <w:jc w:val="center"/>
              <w:rPr>
                <w:rFonts w:hint="eastAsia" w:ascii="宋体" w:hAnsi="宋体" w:eastAsia="宋体" w:cs="宋体"/>
                <w:sz w:val="18"/>
                <w:szCs w:val="18"/>
              </w:rPr>
            </w:pPr>
            <w:r>
              <w:rPr>
                <w:rFonts w:hint="eastAsia" w:ascii="宋体" w:hAnsi="宋体" w:eastAsia="宋体" w:cs="宋体"/>
                <w:sz w:val="18"/>
                <w:szCs w:val="18"/>
              </w:rPr>
              <w:t>=95%</w:t>
            </w:r>
          </w:p>
        </w:tc>
        <w:tc>
          <w:tcPr>
            <w:tcW w:w="720" w:type="dxa"/>
            <w:tcBorders>
              <w:top w:val="nil"/>
              <w:left w:val="nil"/>
              <w:bottom w:val="single" w:color="auto" w:sz="4" w:space="0"/>
              <w:right w:val="single" w:color="auto" w:sz="4" w:space="0"/>
            </w:tcBorders>
            <w:noWrap/>
            <w:vAlign w:val="center"/>
          </w:tcPr>
          <w:p w14:paraId="0DF9EC39">
            <w:pPr>
              <w:jc w:val="center"/>
              <w:rPr>
                <w:rFonts w:hint="eastAsia" w:ascii="宋体" w:hAnsi="宋体" w:eastAsia="宋体" w:cs="宋体"/>
                <w:sz w:val="18"/>
                <w:szCs w:val="18"/>
              </w:rPr>
            </w:pPr>
            <w:r>
              <w:rPr>
                <w:rFonts w:hint="eastAsia" w:ascii="宋体" w:hAnsi="宋体" w:eastAsia="宋体" w:cs="宋体"/>
                <w:sz w:val="18"/>
                <w:szCs w:val="18"/>
              </w:rPr>
              <w:t>15</w:t>
            </w:r>
          </w:p>
        </w:tc>
        <w:tc>
          <w:tcPr>
            <w:tcW w:w="284" w:type="dxa"/>
            <w:tcBorders>
              <w:top w:val="nil"/>
              <w:left w:val="nil"/>
              <w:bottom w:val="nil"/>
              <w:right w:val="nil"/>
            </w:tcBorders>
            <w:noWrap/>
            <w:vAlign w:val="center"/>
          </w:tcPr>
          <w:p w14:paraId="47E7F024">
            <w:pPr>
              <w:jc w:val="center"/>
              <w:rPr>
                <w:rFonts w:hint="eastAsia" w:ascii="宋体" w:hAnsi="宋体" w:eastAsia="宋体" w:cs="宋体"/>
                <w:sz w:val="18"/>
                <w:szCs w:val="18"/>
              </w:rPr>
            </w:pPr>
          </w:p>
        </w:tc>
      </w:tr>
    </w:tbl>
    <w:p w14:paraId="69E2416D">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7F4DB5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bookmarkEnd w:id="3"/>
    <w:tbl>
      <w:tblPr>
        <w:tblStyle w:val="11"/>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E4F1224">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78FBC9F">
            <w:pPr>
              <w:jc w:val="center"/>
              <w:rPr>
                <w:rFonts w:hint="eastAsia" w:ascii="宋体" w:hAnsi="宋体" w:eastAsia="宋体" w:cs="宋体"/>
                <w:b/>
                <w:bCs/>
                <w:color w:val="000000"/>
                <w:sz w:val="18"/>
                <w:szCs w:val="18"/>
              </w:rPr>
            </w:pPr>
            <w:bookmarkStart w:id="4"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044110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2023年中央大气污染防治资金[第二批]</w:t>
            </w:r>
          </w:p>
        </w:tc>
      </w:tr>
      <w:tr w14:paraId="2EA478A2">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A77B0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CBD7B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昌吉市教育局</w:t>
            </w:r>
          </w:p>
        </w:tc>
        <w:tc>
          <w:tcPr>
            <w:tcW w:w="1428" w:type="dxa"/>
            <w:gridSpan w:val="2"/>
            <w:tcBorders>
              <w:top w:val="single" w:color="auto" w:sz="4" w:space="0"/>
              <w:left w:val="nil"/>
              <w:bottom w:val="single" w:color="auto" w:sz="4" w:space="0"/>
              <w:right w:val="single" w:color="auto" w:sz="4" w:space="0"/>
            </w:tcBorders>
            <w:vAlign w:val="center"/>
          </w:tcPr>
          <w:p w14:paraId="1C275D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D4AEE4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昌吉市阿什里乡中心幼儿园</w:t>
            </w:r>
          </w:p>
        </w:tc>
      </w:tr>
      <w:tr w14:paraId="314C1A94">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6B499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983A500">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A5DA5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5A9AB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93560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FD3C5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A4222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62700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167D50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FA469F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1813C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05E803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13.50</w:t>
            </w:r>
          </w:p>
        </w:tc>
        <w:tc>
          <w:tcPr>
            <w:tcW w:w="1968" w:type="dxa"/>
            <w:gridSpan w:val="3"/>
            <w:tcBorders>
              <w:top w:val="single" w:color="auto" w:sz="4" w:space="0"/>
              <w:left w:val="nil"/>
              <w:bottom w:val="single" w:color="auto" w:sz="4" w:space="0"/>
              <w:right w:val="single" w:color="auto" w:sz="4" w:space="0"/>
            </w:tcBorders>
            <w:vAlign w:val="center"/>
          </w:tcPr>
          <w:p w14:paraId="30D839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13.50</w:t>
            </w:r>
          </w:p>
        </w:tc>
        <w:tc>
          <w:tcPr>
            <w:tcW w:w="1428" w:type="dxa"/>
            <w:gridSpan w:val="2"/>
            <w:tcBorders>
              <w:top w:val="single" w:color="auto" w:sz="4" w:space="0"/>
              <w:left w:val="nil"/>
              <w:bottom w:val="single" w:color="auto" w:sz="4" w:space="0"/>
              <w:right w:val="single" w:color="auto" w:sz="4" w:space="0"/>
            </w:tcBorders>
            <w:vAlign w:val="center"/>
          </w:tcPr>
          <w:p w14:paraId="72191F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13.50</w:t>
            </w:r>
          </w:p>
        </w:tc>
        <w:tc>
          <w:tcPr>
            <w:tcW w:w="1372" w:type="dxa"/>
            <w:gridSpan w:val="2"/>
            <w:tcBorders>
              <w:top w:val="nil"/>
              <w:left w:val="nil"/>
              <w:bottom w:val="single" w:color="auto" w:sz="4" w:space="0"/>
              <w:right w:val="single" w:color="auto" w:sz="4" w:space="0"/>
            </w:tcBorders>
            <w:vAlign w:val="center"/>
          </w:tcPr>
          <w:p w14:paraId="48CBBE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B46F8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CABAF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0CB3A10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7651E4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D4759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53C41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13.50</w:t>
            </w:r>
          </w:p>
        </w:tc>
        <w:tc>
          <w:tcPr>
            <w:tcW w:w="1968" w:type="dxa"/>
            <w:gridSpan w:val="3"/>
            <w:tcBorders>
              <w:top w:val="single" w:color="auto" w:sz="4" w:space="0"/>
              <w:left w:val="nil"/>
              <w:bottom w:val="single" w:color="auto" w:sz="4" w:space="0"/>
              <w:right w:val="single" w:color="auto" w:sz="4" w:space="0"/>
            </w:tcBorders>
            <w:vAlign w:val="center"/>
          </w:tcPr>
          <w:p w14:paraId="139FB6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13.50</w:t>
            </w:r>
          </w:p>
        </w:tc>
        <w:tc>
          <w:tcPr>
            <w:tcW w:w="1428" w:type="dxa"/>
            <w:gridSpan w:val="2"/>
            <w:tcBorders>
              <w:top w:val="single" w:color="auto" w:sz="4" w:space="0"/>
              <w:left w:val="nil"/>
              <w:bottom w:val="single" w:color="auto" w:sz="4" w:space="0"/>
              <w:right w:val="single" w:color="auto" w:sz="4" w:space="0"/>
            </w:tcBorders>
            <w:vAlign w:val="center"/>
          </w:tcPr>
          <w:p w14:paraId="7117D1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13.50</w:t>
            </w:r>
          </w:p>
        </w:tc>
        <w:tc>
          <w:tcPr>
            <w:tcW w:w="1372" w:type="dxa"/>
            <w:gridSpan w:val="2"/>
            <w:tcBorders>
              <w:top w:val="nil"/>
              <w:left w:val="nil"/>
              <w:bottom w:val="single" w:color="auto" w:sz="4" w:space="0"/>
              <w:right w:val="single" w:color="auto" w:sz="4" w:space="0"/>
            </w:tcBorders>
            <w:vAlign w:val="center"/>
          </w:tcPr>
          <w:p w14:paraId="39DF92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1005B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5D44D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9CA7AB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234C36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D396C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EFFD2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731DB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EC2BA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F88F1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3A4D3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5416B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BA06747">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7D1C0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4D3C7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BAC4A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187166E">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3A6D0F4">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1AB096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民族乡中心幼儿园2024年拟投入135000万元采购一批配电变压器，电热水锅炉，锅炉房配套设备对昌吉市阿什里哈萨克民族乡中心幼儿园红沟村分园老旧燃煤锅炉进行改造。该项目完工日期2024年5月30日，验收合格率达100%，项目资金支付及时率达100%。通过该项目实施有效保障学校正常运转，完成教育教学活动，持续改善教育教学环境，使受益学生及教职工满意度达95%以上。</w:t>
            </w:r>
          </w:p>
        </w:tc>
        <w:tc>
          <w:tcPr>
            <w:tcW w:w="5716" w:type="dxa"/>
            <w:gridSpan w:val="8"/>
            <w:tcBorders>
              <w:top w:val="single" w:color="auto" w:sz="4" w:space="0"/>
              <w:left w:val="nil"/>
              <w:bottom w:val="single" w:color="auto" w:sz="4" w:space="0"/>
              <w:right w:val="single" w:color="auto" w:sz="4" w:space="0"/>
            </w:tcBorders>
            <w:vAlign w:val="center"/>
          </w:tcPr>
          <w:p w14:paraId="799418C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至2024年12月31日，该项目实际完成13.5万元,完成购置配套变压器及安装5个、改造燃煤锅炉数及安装1个、改造锅炉房及安装配套设施设备数1个；通过该项目的实施，有效提升了学校教育教学活动质量，保障学校正常运转，，持续促进了教育教学环境的改善。</w:t>
            </w:r>
          </w:p>
        </w:tc>
      </w:tr>
      <w:tr w14:paraId="6D674408">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6746448">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A3814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47EB1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B7CB2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9EA1D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56835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9DD97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51C71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F2C6C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644C9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8045D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A8F31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27945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7162912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898E87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DA9D00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69E96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D0A27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9968A96">
            <w:pPr>
              <w:rPr>
                <w:rFonts w:hint="eastAsia"/>
                <w:color w:val="000000"/>
                <w:sz w:val="18"/>
                <w:szCs w:val="18"/>
                <w:lang w:eastAsia="zh-CN"/>
              </w:rPr>
            </w:pPr>
            <w:r>
              <w:rPr>
                <w:rFonts w:hint="eastAsia"/>
                <w:color w:val="000000"/>
                <w:sz w:val="18"/>
                <w:szCs w:val="18"/>
                <w:lang w:eastAsia="zh-CN"/>
              </w:rPr>
              <w:t>购置配套变压器及安装（个）</w:t>
            </w:r>
          </w:p>
        </w:tc>
        <w:tc>
          <w:tcPr>
            <w:tcW w:w="627" w:type="dxa"/>
            <w:tcBorders>
              <w:top w:val="nil"/>
              <w:left w:val="nil"/>
              <w:bottom w:val="single" w:color="auto" w:sz="4" w:space="0"/>
              <w:right w:val="single" w:color="auto" w:sz="4" w:space="0"/>
            </w:tcBorders>
            <w:vAlign w:val="center"/>
          </w:tcPr>
          <w:p w14:paraId="5F4F73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602B1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=5个</w:t>
            </w:r>
          </w:p>
        </w:tc>
        <w:tc>
          <w:tcPr>
            <w:tcW w:w="728" w:type="dxa"/>
            <w:tcBorders>
              <w:top w:val="nil"/>
              <w:left w:val="nil"/>
              <w:bottom w:val="single" w:color="auto" w:sz="4" w:space="0"/>
              <w:right w:val="single" w:color="auto" w:sz="4" w:space="0"/>
            </w:tcBorders>
            <w:vAlign w:val="center"/>
          </w:tcPr>
          <w:p w14:paraId="3072D7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=5个</w:t>
            </w:r>
          </w:p>
        </w:tc>
        <w:tc>
          <w:tcPr>
            <w:tcW w:w="637" w:type="dxa"/>
            <w:tcBorders>
              <w:top w:val="nil"/>
              <w:left w:val="nil"/>
              <w:bottom w:val="single" w:color="auto" w:sz="4" w:space="0"/>
              <w:right w:val="single" w:color="auto" w:sz="4" w:space="0"/>
            </w:tcBorders>
            <w:vAlign w:val="center"/>
          </w:tcPr>
          <w:p w14:paraId="40B6CA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F8CC7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6D1F3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F7C20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7E6BE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A2B34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46850836">
            <w:pPr>
              <w:jc w:val="center"/>
              <w:rPr>
                <w:rFonts w:hint="eastAsia"/>
                <w:color w:val="000000"/>
                <w:sz w:val="18"/>
                <w:szCs w:val="18"/>
              </w:rPr>
            </w:pPr>
          </w:p>
        </w:tc>
      </w:tr>
      <w:tr w14:paraId="25B62EE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D1A1550">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CB0650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6204B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FF0FFC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改造燃煤锅炉数及安装（个）</w:t>
            </w:r>
          </w:p>
        </w:tc>
        <w:tc>
          <w:tcPr>
            <w:tcW w:w="627" w:type="dxa"/>
            <w:tcBorders>
              <w:top w:val="nil"/>
              <w:left w:val="nil"/>
              <w:bottom w:val="single" w:color="auto" w:sz="4" w:space="0"/>
              <w:right w:val="single" w:color="auto" w:sz="4" w:space="0"/>
            </w:tcBorders>
            <w:vAlign w:val="center"/>
          </w:tcPr>
          <w:p w14:paraId="5B9218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EB022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1620BD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011046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7C13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7B0DDF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E49CC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028EC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CFEF9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6CC6E7C4">
            <w:pPr>
              <w:jc w:val="center"/>
              <w:rPr>
                <w:rFonts w:hint="eastAsia" w:ascii="宋体" w:hAnsi="宋体" w:eastAsia="宋体" w:cs="宋体"/>
                <w:color w:val="000000"/>
                <w:sz w:val="18"/>
                <w:szCs w:val="18"/>
              </w:rPr>
            </w:pPr>
          </w:p>
        </w:tc>
      </w:tr>
      <w:tr w14:paraId="7CFD612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93258E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B89F2A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62EF5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282254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改造锅炉房及安装配套设施设备数（个）</w:t>
            </w:r>
          </w:p>
        </w:tc>
        <w:tc>
          <w:tcPr>
            <w:tcW w:w="627" w:type="dxa"/>
            <w:tcBorders>
              <w:top w:val="nil"/>
              <w:left w:val="nil"/>
              <w:bottom w:val="single" w:color="auto" w:sz="4" w:space="0"/>
              <w:right w:val="single" w:color="auto" w:sz="4" w:space="0"/>
            </w:tcBorders>
            <w:vAlign w:val="center"/>
          </w:tcPr>
          <w:p w14:paraId="55DC2C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7AA69D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64F44A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0AD180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22A1D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44B7F3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FFECC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D002A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A7995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455C322A">
            <w:pPr>
              <w:jc w:val="center"/>
              <w:rPr>
                <w:rFonts w:hint="eastAsia" w:ascii="宋体" w:hAnsi="宋体" w:eastAsia="宋体" w:cs="宋体"/>
                <w:color w:val="000000"/>
                <w:sz w:val="18"/>
                <w:szCs w:val="18"/>
              </w:rPr>
            </w:pPr>
          </w:p>
        </w:tc>
      </w:tr>
      <w:tr w14:paraId="1B44BD4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F850497">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D0DCC3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560AF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9461AEE">
            <w:pPr>
              <w:rPr>
                <w:rFonts w:hint="eastAsia" w:ascii="宋体" w:hAnsi="宋体" w:eastAsia="宋体" w:cs="宋体"/>
                <w:color w:val="000000"/>
                <w:sz w:val="18"/>
                <w:szCs w:val="18"/>
              </w:rPr>
            </w:pPr>
            <w:r>
              <w:rPr>
                <w:rFonts w:hint="eastAsia" w:ascii="宋体" w:hAnsi="宋体" w:eastAsia="宋体" w:cs="宋体"/>
                <w:color w:val="000000"/>
                <w:sz w:val="18"/>
                <w:szCs w:val="18"/>
              </w:rPr>
              <w:t>工程验收合格率（%）</w:t>
            </w:r>
          </w:p>
        </w:tc>
        <w:tc>
          <w:tcPr>
            <w:tcW w:w="627" w:type="dxa"/>
            <w:tcBorders>
              <w:top w:val="nil"/>
              <w:left w:val="nil"/>
              <w:bottom w:val="single" w:color="auto" w:sz="4" w:space="0"/>
              <w:right w:val="single" w:color="auto" w:sz="4" w:space="0"/>
            </w:tcBorders>
            <w:vAlign w:val="center"/>
          </w:tcPr>
          <w:p w14:paraId="6183D7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19FACE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5C86E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550B0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392F7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82927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DD826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85C18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033B5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1AB48AFD">
            <w:pPr>
              <w:jc w:val="center"/>
              <w:rPr>
                <w:rFonts w:hint="eastAsia" w:ascii="宋体" w:hAnsi="宋体" w:eastAsia="宋体" w:cs="宋体"/>
                <w:color w:val="000000"/>
                <w:sz w:val="18"/>
                <w:szCs w:val="18"/>
              </w:rPr>
            </w:pPr>
          </w:p>
        </w:tc>
      </w:tr>
      <w:tr w14:paraId="32A5E44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71E8E42">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A4453A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A4A8A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8BDD53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项目资金支付及时率（%）</w:t>
            </w:r>
          </w:p>
        </w:tc>
        <w:tc>
          <w:tcPr>
            <w:tcW w:w="627" w:type="dxa"/>
            <w:tcBorders>
              <w:top w:val="nil"/>
              <w:left w:val="nil"/>
              <w:bottom w:val="single" w:color="auto" w:sz="4" w:space="0"/>
              <w:right w:val="single" w:color="auto" w:sz="4" w:space="0"/>
            </w:tcBorders>
            <w:vAlign w:val="center"/>
          </w:tcPr>
          <w:p w14:paraId="65A886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0D3424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46C83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20487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2C932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BAB07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B4880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77730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28BA1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01AF06D6">
            <w:pPr>
              <w:jc w:val="center"/>
              <w:rPr>
                <w:rFonts w:hint="eastAsia" w:ascii="宋体" w:hAnsi="宋体" w:eastAsia="宋体" w:cs="宋体"/>
                <w:color w:val="000000"/>
                <w:sz w:val="18"/>
                <w:szCs w:val="18"/>
              </w:rPr>
            </w:pPr>
          </w:p>
        </w:tc>
      </w:tr>
      <w:tr w14:paraId="08987EB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13476C2">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4BCA2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03B6DB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914F96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支付商品货物及安装费</w:t>
            </w:r>
          </w:p>
        </w:tc>
        <w:tc>
          <w:tcPr>
            <w:tcW w:w="627" w:type="dxa"/>
            <w:tcBorders>
              <w:top w:val="nil"/>
              <w:left w:val="nil"/>
              <w:bottom w:val="single" w:color="auto" w:sz="4" w:space="0"/>
              <w:right w:val="single" w:color="auto" w:sz="4" w:space="0"/>
            </w:tcBorders>
            <w:vAlign w:val="center"/>
          </w:tcPr>
          <w:p w14:paraId="54B16B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57E30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=134590元</w:t>
            </w:r>
          </w:p>
        </w:tc>
        <w:tc>
          <w:tcPr>
            <w:tcW w:w="728" w:type="dxa"/>
            <w:tcBorders>
              <w:top w:val="nil"/>
              <w:left w:val="nil"/>
              <w:bottom w:val="single" w:color="auto" w:sz="4" w:space="0"/>
              <w:right w:val="single" w:color="auto" w:sz="4" w:space="0"/>
            </w:tcBorders>
            <w:vAlign w:val="center"/>
          </w:tcPr>
          <w:p w14:paraId="450E39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=134590元</w:t>
            </w:r>
          </w:p>
        </w:tc>
        <w:tc>
          <w:tcPr>
            <w:tcW w:w="637" w:type="dxa"/>
            <w:tcBorders>
              <w:top w:val="nil"/>
              <w:left w:val="nil"/>
              <w:bottom w:val="single" w:color="auto" w:sz="4" w:space="0"/>
              <w:right w:val="single" w:color="auto" w:sz="4" w:space="0"/>
            </w:tcBorders>
            <w:vAlign w:val="center"/>
          </w:tcPr>
          <w:p w14:paraId="4DC3C8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AE7C3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84F98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09AE2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0E9C3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30493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51A6D725">
            <w:pPr>
              <w:jc w:val="center"/>
              <w:rPr>
                <w:rFonts w:hint="eastAsia" w:ascii="宋体" w:hAnsi="宋体" w:eastAsia="宋体" w:cs="宋体"/>
                <w:color w:val="000000"/>
                <w:sz w:val="18"/>
                <w:szCs w:val="18"/>
              </w:rPr>
            </w:pPr>
          </w:p>
        </w:tc>
      </w:tr>
      <w:tr w14:paraId="54A88AC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D41BE8B">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E37BDB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B7568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24056BA">
            <w:pPr>
              <w:rPr>
                <w:rFonts w:hint="eastAsia" w:ascii="宋体" w:hAnsi="宋体" w:eastAsia="宋体" w:cs="宋体"/>
                <w:color w:val="000000"/>
                <w:sz w:val="18"/>
                <w:szCs w:val="18"/>
              </w:rPr>
            </w:pPr>
            <w:r>
              <w:rPr>
                <w:rFonts w:hint="eastAsia" w:ascii="宋体" w:hAnsi="宋体" w:eastAsia="宋体" w:cs="宋体"/>
                <w:color w:val="000000"/>
                <w:sz w:val="18"/>
                <w:szCs w:val="18"/>
              </w:rPr>
              <w:t>支付叉车吊车费</w:t>
            </w:r>
          </w:p>
        </w:tc>
        <w:tc>
          <w:tcPr>
            <w:tcW w:w="627" w:type="dxa"/>
            <w:tcBorders>
              <w:top w:val="nil"/>
              <w:left w:val="nil"/>
              <w:bottom w:val="single" w:color="auto" w:sz="4" w:space="0"/>
              <w:right w:val="single" w:color="auto" w:sz="4" w:space="0"/>
            </w:tcBorders>
            <w:vAlign w:val="center"/>
          </w:tcPr>
          <w:p w14:paraId="594C1A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7AC0B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=410元</w:t>
            </w:r>
          </w:p>
        </w:tc>
        <w:tc>
          <w:tcPr>
            <w:tcW w:w="728" w:type="dxa"/>
            <w:tcBorders>
              <w:top w:val="nil"/>
              <w:left w:val="nil"/>
              <w:bottom w:val="single" w:color="auto" w:sz="4" w:space="0"/>
              <w:right w:val="single" w:color="auto" w:sz="4" w:space="0"/>
            </w:tcBorders>
            <w:vAlign w:val="center"/>
          </w:tcPr>
          <w:p w14:paraId="7E4C8F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=410元</w:t>
            </w:r>
          </w:p>
        </w:tc>
        <w:tc>
          <w:tcPr>
            <w:tcW w:w="637" w:type="dxa"/>
            <w:tcBorders>
              <w:top w:val="nil"/>
              <w:left w:val="nil"/>
              <w:bottom w:val="single" w:color="auto" w:sz="4" w:space="0"/>
              <w:right w:val="single" w:color="auto" w:sz="4" w:space="0"/>
            </w:tcBorders>
            <w:vAlign w:val="center"/>
          </w:tcPr>
          <w:p w14:paraId="5A31F8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A11A0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14A79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631" w:type="dxa"/>
            <w:tcBorders>
              <w:top w:val="nil"/>
              <w:left w:val="nil"/>
              <w:bottom w:val="single" w:color="auto" w:sz="4" w:space="0"/>
              <w:right w:val="single" w:color="auto" w:sz="4" w:space="0"/>
            </w:tcBorders>
            <w:vAlign w:val="center"/>
          </w:tcPr>
          <w:p w14:paraId="4112CA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8EBB3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55AA6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工作资料,原始凭证</w:t>
            </w:r>
          </w:p>
        </w:tc>
        <w:tc>
          <w:tcPr>
            <w:tcW w:w="1552" w:type="dxa"/>
            <w:gridSpan w:val="2"/>
            <w:tcBorders>
              <w:top w:val="nil"/>
              <w:left w:val="nil"/>
              <w:bottom w:val="single" w:color="auto" w:sz="4" w:space="0"/>
              <w:right w:val="single" w:color="auto" w:sz="4" w:space="0"/>
            </w:tcBorders>
            <w:vAlign w:val="center"/>
          </w:tcPr>
          <w:p w14:paraId="11A07B58">
            <w:pPr>
              <w:jc w:val="center"/>
              <w:rPr>
                <w:rFonts w:hint="eastAsia" w:ascii="宋体" w:hAnsi="宋体" w:eastAsia="宋体" w:cs="宋体"/>
                <w:color w:val="000000"/>
                <w:sz w:val="18"/>
                <w:szCs w:val="18"/>
              </w:rPr>
            </w:pPr>
          </w:p>
        </w:tc>
      </w:tr>
      <w:tr w14:paraId="70E3B4E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0E1BE47">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F4D81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B6F33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409EC2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保障学校正常运转，完成教学活动</w:t>
            </w:r>
          </w:p>
        </w:tc>
        <w:tc>
          <w:tcPr>
            <w:tcW w:w="627" w:type="dxa"/>
            <w:tcBorders>
              <w:top w:val="nil"/>
              <w:left w:val="nil"/>
              <w:bottom w:val="single" w:color="auto" w:sz="4" w:space="0"/>
              <w:right w:val="single" w:color="auto" w:sz="4" w:space="0"/>
            </w:tcBorders>
            <w:vAlign w:val="center"/>
          </w:tcPr>
          <w:p w14:paraId="2BB498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A3E45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51FCE2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D89CE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AD4E5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46A5D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FA30D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D4968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44B10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2ED65E12">
            <w:pPr>
              <w:jc w:val="center"/>
              <w:rPr>
                <w:rFonts w:hint="eastAsia" w:ascii="宋体" w:hAnsi="宋体" w:eastAsia="宋体" w:cs="宋体"/>
                <w:color w:val="000000"/>
                <w:sz w:val="18"/>
                <w:szCs w:val="18"/>
              </w:rPr>
            </w:pPr>
          </w:p>
        </w:tc>
      </w:tr>
      <w:tr w14:paraId="72A19A9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AA0C083">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406485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01126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CFA916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持续改善教育教学环境</w:t>
            </w:r>
          </w:p>
        </w:tc>
        <w:tc>
          <w:tcPr>
            <w:tcW w:w="627" w:type="dxa"/>
            <w:tcBorders>
              <w:top w:val="nil"/>
              <w:left w:val="nil"/>
              <w:bottom w:val="single" w:color="auto" w:sz="4" w:space="0"/>
              <w:right w:val="single" w:color="auto" w:sz="4" w:space="0"/>
            </w:tcBorders>
            <w:vAlign w:val="center"/>
          </w:tcPr>
          <w:p w14:paraId="13AA37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427A8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持续改善</w:t>
            </w:r>
          </w:p>
        </w:tc>
        <w:tc>
          <w:tcPr>
            <w:tcW w:w="728" w:type="dxa"/>
            <w:tcBorders>
              <w:top w:val="nil"/>
              <w:left w:val="nil"/>
              <w:bottom w:val="single" w:color="auto" w:sz="4" w:space="0"/>
              <w:right w:val="single" w:color="auto" w:sz="4" w:space="0"/>
            </w:tcBorders>
            <w:vAlign w:val="center"/>
          </w:tcPr>
          <w:p w14:paraId="00851F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E1BA0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4F305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A29A8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B2807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9B19D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DE91E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33522D53">
            <w:pPr>
              <w:jc w:val="center"/>
              <w:rPr>
                <w:rFonts w:hint="eastAsia" w:ascii="宋体" w:hAnsi="宋体" w:eastAsia="宋体" w:cs="宋体"/>
                <w:color w:val="000000"/>
                <w:sz w:val="18"/>
                <w:szCs w:val="18"/>
              </w:rPr>
            </w:pPr>
          </w:p>
        </w:tc>
      </w:tr>
      <w:tr w14:paraId="24ABD24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CB4CA6E">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EC6B8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8A883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3CD2CAB">
            <w:pPr>
              <w:rPr>
                <w:rFonts w:hint="eastAsia" w:ascii="宋体" w:hAnsi="宋体" w:eastAsia="宋体" w:cs="宋体"/>
                <w:color w:val="000000"/>
                <w:sz w:val="18"/>
                <w:szCs w:val="18"/>
              </w:rPr>
            </w:pPr>
            <w:r>
              <w:rPr>
                <w:rFonts w:hint="eastAsia" w:ascii="宋体" w:hAnsi="宋体" w:eastAsia="宋体" w:cs="宋体"/>
                <w:color w:val="000000"/>
                <w:sz w:val="18"/>
                <w:szCs w:val="18"/>
              </w:rPr>
              <w:t>受益学生满意度（%）</w:t>
            </w:r>
          </w:p>
        </w:tc>
        <w:tc>
          <w:tcPr>
            <w:tcW w:w="627" w:type="dxa"/>
            <w:tcBorders>
              <w:top w:val="nil"/>
              <w:left w:val="nil"/>
              <w:bottom w:val="single" w:color="auto" w:sz="4" w:space="0"/>
              <w:right w:val="single" w:color="auto" w:sz="4" w:space="0"/>
            </w:tcBorders>
            <w:vAlign w:val="center"/>
          </w:tcPr>
          <w:p w14:paraId="51377C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8BAC4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10086D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2E4D3B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3FE25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27E29A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B43BB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0763C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2FF33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5370AD0E">
            <w:pPr>
              <w:jc w:val="center"/>
              <w:rPr>
                <w:rFonts w:hint="eastAsia" w:ascii="宋体" w:hAnsi="宋体" w:eastAsia="宋体" w:cs="宋体"/>
                <w:color w:val="000000"/>
                <w:sz w:val="18"/>
                <w:szCs w:val="18"/>
              </w:rPr>
            </w:pPr>
          </w:p>
        </w:tc>
      </w:tr>
      <w:tr w14:paraId="44E5A623">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EAF69C6">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A79CBA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D8700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F2F684C">
            <w:pPr>
              <w:rPr>
                <w:rFonts w:hint="eastAsia" w:ascii="宋体" w:hAnsi="宋体" w:eastAsia="宋体" w:cs="宋体"/>
                <w:color w:val="000000"/>
                <w:sz w:val="18"/>
                <w:szCs w:val="18"/>
              </w:rPr>
            </w:pPr>
            <w:r>
              <w:rPr>
                <w:rFonts w:hint="eastAsia" w:ascii="宋体" w:hAnsi="宋体" w:eastAsia="宋体" w:cs="宋体"/>
                <w:color w:val="000000"/>
                <w:sz w:val="18"/>
                <w:szCs w:val="18"/>
              </w:rPr>
              <w:t>教职工满意度（%）</w:t>
            </w:r>
          </w:p>
        </w:tc>
        <w:tc>
          <w:tcPr>
            <w:tcW w:w="627" w:type="dxa"/>
            <w:tcBorders>
              <w:top w:val="nil"/>
              <w:left w:val="nil"/>
              <w:bottom w:val="single" w:color="auto" w:sz="4" w:space="0"/>
              <w:right w:val="single" w:color="auto" w:sz="4" w:space="0"/>
            </w:tcBorders>
            <w:vAlign w:val="center"/>
          </w:tcPr>
          <w:p w14:paraId="28C0D6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08E7EF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728" w:type="dxa"/>
            <w:tcBorders>
              <w:top w:val="nil"/>
              <w:left w:val="nil"/>
              <w:bottom w:val="single" w:color="auto" w:sz="4" w:space="0"/>
              <w:right w:val="single" w:color="auto" w:sz="4" w:space="0"/>
            </w:tcBorders>
            <w:vAlign w:val="center"/>
          </w:tcPr>
          <w:p w14:paraId="44EC24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37" w:type="dxa"/>
            <w:tcBorders>
              <w:top w:val="nil"/>
              <w:left w:val="nil"/>
              <w:bottom w:val="single" w:color="auto" w:sz="4" w:space="0"/>
              <w:right w:val="single" w:color="auto" w:sz="4" w:space="0"/>
            </w:tcBorders>
            <w:vAlign w:val="center"/>
          </w:tcPr>
          <w:p w14:paraId="322FCF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F2904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138FCD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EC81F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E608F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965B5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说明材料,工作资料</w:t>
            </w:r>
          </w:p>
        </w:tc>
        <w:tc>
          <w:tcPr>
            <w:tcW w:w="1552" w:type="dxa"/>
            <w:gridSpan w:val="2"/>
            <w:tcBorders>
              <w:top w:val="nil"/>
              <w:left w:val="nil"/>
              <w:bottom w:val="single" w:color="auto" w:sz="4" w:space="0"/>
              <w:right w:val="single" w:color="auto" w:sz="4" w:space="0"/>
            </w:tcBorders>
            <w:vAlign w:val="center"/>
          </w:tcPr>
          <w:p w14:paraId="5DE21251">
            <w:pPr>
              <w:jc w:val="center"/>
              <w:rPr>
                <w:rFonts w:hint="eastAsia" w:ascii="宋体" w:hAnsi="宋体" w:eastAsia="宋体" w:cs="宋体"/>
                <w:color w:val="000000"/>
                <w:sz w:val="18"/>
                <w:szCs w:val="18"/>
              </w:rPr>
            </w:pPr>
          </w:p>
        </w:tc>
      </w:tr>
      <w:tr w14:paraId="6DFACBB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92358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BF760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C331377">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E7EB53D">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DFBCC7C">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FE09D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1702F859">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67FE1AEA">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A5B5FC6">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E75DD76">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ABDC9FD">
            <w:pPr>
              <w:rPr>
                <w:rFonts w:hint="eastAsia" w:ascii="宋体" w:hAnsi="宋体" w:eastAsia="宋体" w:cs="宋体"/>
                <w:color w:val="000000"/>
                <w:sz w:val="18"/>
                <w:szCs w:val="18"/>
              </w:rPr>
            </w:pPr>
          </w:p>
        </w:tc>
      </w:tr>
      <w:bookmarkEnd w:id="4"/>
    </w:tbl>
    <w:p w14:paraId="49673A40">
      <w:pPr>
        <w:rPr>
          <w:rFonts w:hint="eastAsia" w:ascii="宋体" w:hAnsi="宋体" w:eastAsia="宋体" w:cs="宋体"/>
          <w:b/>
          <w:bCs/>
          <w:sz w:val="18"/>
          <w:szCs w:val="18"/>
        </w:rPr>
      </w:pPr>
      <w:r>
        <w:rPr>
          <w:rFonts w:hint="eastAsia" w:ascii="宋体" w:hAnsi="宋体" w:eastAsia="宋体" w:cs="宋体"/>
          <w:b/>
          <w:bCs/>
          <w:sz w:val="18"/>
          <w:szCs w:val="18"/>
        </w:rPr>
        <w:br w:type="page"/>
      </w:r>
    </w:p>
    <w:p w14:paraId="5201D43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2B36E38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73C45A15">
      <w:pPr>
        <w:spacing w:after="0" w:line="240" w:lineRule="auto"/>
        <w:ind w:firstLine="640" w:firstLineChars="200"/>
        <w:rPr>
          <w:rFonts w:hint="eastAsia" w:ascii="仿宋_GB2312" w:eastAsia="仿宋_GB2312"/>
          <w:sz w:val="32"/>
          <w:szCs w:val="32"/>
          <w:lang w:eastAsia="zh-CN"/>
        </w:rPr>
      </w:pPr>
    </w:p>
    <w:p w14:paraId="4EC0CADE">
      <w:pPr>
        <w:rPr>
          <w:rFonts w:hint="eastAsia"/>
          <w:lang w:eastAsia="zh-CN"/>
        </w:rPr>
      </w:pPr>
      <w:r>
        <w:rPr>
          <w:sz w:val="0"/>
          <w:szCs w:val="0"/>
          <w:lang w:eastAsia="zh-CN"/>
        </w:rPr>
        <w:br w:type="page"/>
      </w:r>
    </w:p>
    <w:p w14:paraId="55338E93">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35F174C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B197B7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BA24C2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C50A91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D74D73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671215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0D19B21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DD21D3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0B84A7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90D452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3D23545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F687A8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630975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12A640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24B692E">
      <w:pPr>
        <w:rPr>
          <w:rFonts w:hint="eastAsia"/>
          <w:lang w:eastAsia="zh-CN"/>
        </w:rPr>
      </w:pPr>
      <w:r>
        <w:rPr>
          <w:sz w:val="0"/>
          <w:szCs w:val="0"/>
          <w:lang w:eastAsia="zh-CN"/>
        </w:rPr>
        <w:br w:type="page"/>
      </w:r>
    </w:p>
    <w:p w14:paraId="320EFC5B">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03F3EA8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3F7A059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4735D1B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76BC35F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2D6F640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255D40F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59287E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174243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F9D815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CE282B"/>
    <w:rsid w:val="004B6C3F"/>
    <w:rsid w:val="005B33C9"/>
    <w:rsid w:val="005B6BEC"/>
    <w:rsid w:val="00783D5A"/>
    <w:rsid w:val="00CE282B"/>
    <w:rsid w:val="00F03FF1"/>
    <w:rsid w:val="11F50AA8"/>
    <w:rsid w:val="253152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3">
    <w:name w:val="Default Paragraph Font"/>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0">
    <w:name w:val="Title"/>
    <w:basedOn w:val="1"/>
    <w:next w:val="1"/>
    <w:link w:val="22"/>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2">
    <w:name w:val="Table Grid"/>
    <w:basedOn w:val="1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4">
    <w:name w:val="Emphasis"/>
    <w:basedOn w:val="13"/>
    <w:qFormat/>
    <w:uiPriority w:val="20"/>
    <w:rPr>
      <w:i/>
      <w:iCs/>
    </w:rPr>
  </w:style>
  <w:style w:type="character" w:styleId="15">
    <w:name w:val="Hyperlink"/>
    <w:basedOn w:val="13"/>
    <w:unhideWhenUsed/>
    <w:uiPriority w:val="99"/>
    <w:rPr>
      <w:color w:val="0563C1" w:themeColor="hyperlink"/>
      <w:u w:val="single"/>
    </w:rPr>
  </w:style>
  <w:style w:type="character" w:customStyle="1" w:styleId="16">
    <w:name w:val="页眉 字符"/>
    <w:basedOn w:val="13"/>
    <w:link w:val="8"/>
    <w:uiPriority w:val="99"/>
  </w:style>
  <w:style w:type="character" w:customStyle="1" w:styleId="17">
    <w:name w:val="标题 1 字符"/>
    <w:basedOn w:val="13"/>
    <w:link w:val="2"/>
    <w:uiPriority w:val="9"/>
    <w:rPr>
      <w:rFonts w:asciiTheme="majorHAnsi" w:hAnsiTheme="majorHAnsi" w:eastAsiaTheme="majorEastAsia" w:cstheme="majorBidi"/>
      <w:b/>
      <w:bCs/>
      <w:color w:val="2F5496" w:themeColor="accent1" w:themeShade="BF"/>
      <w:sz w:val="28"/>
      <w:szCs w:val="28"/>
    </w:rPr>
  </w:style>
  <w:style w:type="character" w:customStyle="1" w:styleId="18">
    <w:name w:val="标题 2 字符"/>
    <w:basedOn w:val="13"/>
    <w:link w:val="3"/>
    <w:qFormat/>
    <w:uiPriority w:val="9"/>
    <w:rPr>
      <w:rFonts w:asciiTheme="majorHAnsi" w:hAnsiTheme="majorHAnsi" w:eastAsiaTheme="majorEastAsia" w:cstheme="majorBidi"/>
      <w:b/>
      <w:bCs/>
      <w:color w:val="4472C4" w:themeColor="accent1"/>
      <w:sz w:val="26"/>
      <w:szCs w:val="26"/>
    </w:rPr>
  </w:style>
  <w:style w:type="character" w:customStyle="1" w:styleId="19">
    <w:name w:val="标题 3 字符"/>
    <w:basedOn w:val="13"/>
    <w:link w:val="4"/>
    <w:uiPriority w:val="9"/>
    <w:rPr>
      <w:rFonts w:asciiTheme="majorHAnsi" w:hAnsiTheme="majorHAnsi" w:eastAsiaTheme="majorEastAsia" w:cstheme="majorBidi"/>
      <w:b/>
      <w:bCs/>
      <w:color w:val="4472C4" w:themeColor="accent1"/>
    </w:rPr>
  </w:style>
  <w:style w:type="character" w:customStyle="1" w:styleId="20">
    <w:name w:val="标题 4 字符"/>
    <w:basedOn w:val="13"/>
    <w:link w:val="5"/>
    <w:uiPriority w:val="9"/>
    <w:rPr>
      <w:rFonts w:asciiTheme="majorHAnsi" w:hAnsiTheme="majorHAnsi" w:eastAsiaTheme="majorEastAsia" w:cstheme="majorBidi"/>
      <w:b/>
      <w:bCs/>
      <w:i/>
      <w:iCs/>
      <w:color w:val="4472C4" w:themeColor="accent1"/>
    </w:rPr>
  </w:style>
  <w:style w:type="character" w:customStyle="1" w:styleId="21">
    <w:name w:val="副标题 字符"/>
    <w:basedOn w:val="13"/>
    <w:link w:val="9"/>
    <w:uiPriority w:val="11"/>
    <w:rPr>
      <w:rFonts w:asciiTheme="majorHAnsi" w:hAnsiTheme="majorHAnsi" w:eastAsiaTheme="majorEastAsia" w:cstheme="majorBidi"/>
      <w:i/>
      <w:iCs/>
      <w:color w:val="4472C4" w:themeColor="accent1"/>
      <w:spacing w:val="15"/>
      <w:sz w:val="24"/>
      <w:szCs w:val="24"/>
    </w:rPr>
  </w:style>
  <w:style w:type="character" w:customStyle="1" w:styleId="22">
    <w:name w:val="标题 字符"/>
    <w:basedOn w:val="13"/>
    <w:link w:val="10"/>
    <w:uiPriority w:val="10"/>
    <w:rPr>
      <w:rFonts w:asciiTheme="majorHAnsi" w:hAnsiTheme="majorHAnsi" w:eastAsiaTheme="majorEastAsia" w:cstheme="majorBidi"/>
      <w:color w:val="323E4F"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7003</Words>
  <Characters>7852</Characters>
  <Lines>492</Lines>
  <Paragraphs>419</Paragraphs>
  <TotalTime>11</TotalTime>
  <ScaleCrop>false</ScaleCrop>
  <LinksUpToDate>false</LinksUpToDate>
  <CharactersWithSpaces>7864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2025-09-02T02:35:00Z</dcterms:created>
  <dc:creator>华为</dc:creator>
  <cp:lastModifiedBy>OMG</cp:lastModifiedBy>
  <dcterms:modified xsi:type="dcterms:W3CDTF">2025-09-05T03:05:32Z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6BCF1BD88CC849D783A074B2909AA5F8_12</vt:lpwstr>
  </property>
</Properties>
</file>