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拨付市房管局新疆亚中（集团）有限公司拆迁款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昌吉市住房保障综合中心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昌吉市住房保障综合中心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陈俊豪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新疆亚中（集团）有限公司“翠湖雅居”拆迁项目位于昌吉市126号小区（原昌吉市六工庙村），昌吉市六工庙村普遍存在房屋结构简陋,基础设施缺失等问题，居民生活环境恶劣。通过棚户区改造实现从危房到现代化社区的跨越，改善了居民居住环境。当前阶段推进棚改，既是践行“人民城市”理念的核心抓手，也是新型城镇化高质量发展的必然选择。</w:t>
        <w:br/>
        <w:t>2.主要内容</w:t>
        <w:br/>
        <w:t>（1）项目名称：关于拨付市房管局新疆亚中（集团）有限公司拆迁款</w:t>
        <w:br/>
        <w:t>（2）项目主要内容：新疆亚中（集团）有限公司“翠湖雅居”拆迁项目位于昌吉市126号小区（原昌吉市六工庙村），计划占地面积263.81亩，（175874.21㎡），于2012年启动，涉及地上被拆迁居民共计160户，其中已完成拆迁153户，未拆迁7户（住户5户、园林用房1栋、清真寺1座）；“翠湖雅居1#-8#楼”总建筑面积为56823.81㎡，其中高层地下室及地库面积为9385.41㎡，其余总建筑面积为47438.4㎡，安置置换房屋建筑面积为34175.16㎡（其中置换房屋面积31573.74㎡，地下室面积2601.42㎡）。</w:t>
        <w:br/>
        <w:t>3.实施情况</w:t>
        <w:br/>
        <w:t>实施主体：昌吉市住房综合保障中心。</w:t>
        <w:br/>
        <w:t>实施时间：本项目实施周期为2024年1月-2024年12月。</w:t>
        <w:br/>
        <w:t>实施情况：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4.项目实施主体</w:t>
        <w:br/>
        <w:t>（1）主要职能</w:t>
        <w:br/>
        <w:t>昌吉市住房综合保障中心隶属于昌吉市住房和城乡建设局，机构规格相当于副科级，受行政主管部门委托负责昌吉市辖区内的房地产行政管理工作，住房保障管理，物业管理，房地产行业规范与管理，房屋权属登记（产权产籍）管理，房地产档案信息管理等。贯彻执行国家和区州有关国有土地上房屋征收与补偿的法律，法规和政策，拟定区域内房屋征收与补偿的有关具体规定；对拟征范围内的房屋权属等情况组织调查登记，并予以公布；拟定征收补偿方案；组织听证会；建立和管理房屋征收补偿档案；申报和审批征收款发放表，发放征收补偿款：为被征收户办理名契税等事宜。加强昌吉市住房维修资金的管理，促进房地产业的健康发展。负责住房专项维修资金的征收、管理、保值、增值工作，负责住房公用部分设施设备的大修、更新改造的勘察设计及施工预算的监管工作。</w:t>
        <w:br/>
        <w:t>（2）机构设置情况</w:t>
        <w:br/>
        <w:t>单位内设机构：综合科、财务科、房产科、住房保障科、物业管理科、项目管理科、产权科、交易科、维修资金科、征收科等。</w:t>
        <w:br/>
        <w:t>5.资金投入和使用情况</w:t>
        <w:br/>
        <w:t>（1）项目资金安排落实、总投入等情况分析</w:t>
        <w:br/>
        <w:t>根据拨付市房管局新疆亚中（集团）有限公司拆迁款请示，本项目年初预算安排总额为4648.63万元，资金来源为本级部门预算，其中：财政资金4648.63万元，其他资金0万元。</w:t>
        <w:br/>
        <w:t>本项目全年预算安排总额为4648.63万元，预算调整数为4648.63万元，追加0万元，预算调整率为0%。预算调整原因是：无。2024年本项目实际收到预算资金4648.63万元，预算资金到位率为100%。</w:t>
        <w:br/>
        <w:t>（2）项目资金实际使用情况分析</w:t>
        <w:br/>
        <w:t>截至2024年12月31日，本项目实际支付资金4648.63万元，预算执行率100%。本项目资金主要用于支付关于拨付市房管局新疆亚中（集团）有限公司拆迁款费用4648.63万元，平均每户支付30.38万元。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“拆迁户数”指标，预期指标值为“=153户”；</w:t>
        <w:br/>
        <w:t>“改善住房面积”指标，预期指标值为“=34175.16平方米”</w:t>
        <w:br/>
        <w:t>②质量指标</w:t>
        <w:br/>
        <w:t>“资金使用合格率”指标，预期指标值为“=100%”；</w:t>
        <w:br/>
        <w:t>“支付资金及时率”指标，预期指标值为“=100%”；</w:t>
        <w:br/>
        <w:t>③时效指标</w:t>
        <w:br/>
        <w:t>“支付资金及时率”指标，预期指标值为“=100%”；</w:t>
        <w:br/>
        <w:t>（2）项目成本指标</w:t>
        <w:br/>
        <w:t>①经济成本指标</w:t>
        <w:br/>
        <w:t>“每户支付费用”指标，预期指标值为“≤30.38万元/户”；</w:t>
        <w:br/>
        <w:t>②社会成本指标</w:t>
        <w:br/>
        <w:t>无此类指标；</w:t>
        <w:br/>
        <w:t>③生态环境成本指标</w:t>
        <w:br/>
        <w:t>无此类指标；</w:t>
        <w:br/>
        <w:t>（3）项目效益指标</w:t>
        <w:br/>
        <w:t>①经济效益指标</w:t>
        <w:br/>
        <w:t>无此类指标；</w:t>
        <w:br/>
        <w:t>②社会效益指标</w:t>
        <w:br/>
        <w:t>“改善居民居住环境”指标，预期指标值为“显著改善”；</w:t>
        <w:br/>
        <w:t>③生态效益指标</w:t>
        <w:br/>
        <w:t>无此类指标；</w:t>
        <w:br/>
        <w:t>（4）项目满意度指标</w:t>
        <w:br/>
        <w:t>①满意度指标</w:t>
        <w:b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拨付市房管局新疆亚中（集团）有限公司拆迁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拨付市房管局新疆亚中（集团）有限公司拆迁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时慧（评价小组组长）：主要负责项目策划和监督，全面负责项目绩效评价报告的最终质量，对评价人员出具的最终报告质量进行复核，确保评估结果的客观性；</w:t>
        <w:br/>
        <w:t>高萍（评价小组组员）：主要负责资料的收集，取证、数据统计分析；</w:t>
        <w:br/>
        <w:t>郝卫东（评价小组组员）：主要负责项目报告的制定，指标的研判，数据分析及报告撰写。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新疆亚中（集团）有限公司拆迁款项目问题，在实施过程中取得了良好的成效，具体表现在：通过该项目的事实，成立由财务、业务等多部门参与的绩效自评小组，明确责任分工，定期召开专题会议，确保自评工作与项目目标同步推进，制定自评工作方案，明确数据采集、分析、验收等步骤，如通过问卷调查、实地检查等方式验证项目成效。量化目标与细化分解，目标需具体可衡量并与项目背景、计划紧密关联，避免指标笼统化，优先设计客观量化指标。根据项目执行中的突发问题调整阶段性目标，确保指标可实现，定期评估目标合理性，剔除冗余指标，强化关键绩效点（如资金效益、社会影响）。严格执行专款专用制度，确保资金流向透明。强化风险预警机制，监控资金执行进度，对偏离预算的情况及时纠偏，建立资金使用台账，定期审计并公开结果，提升公信力。该项目实际完成4648.63万元，通过该项目的实施，改善了我市居民生活环境，提高生活质量，优化城市空间布局，促进了经济、社会和谐发展，增强人民群众的幸福感和获得感，推动城市可持续发展。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	19	30	20.00	10.00	100.00</w:t>
        <w:br/>
        <w:t>得分	21	19	30	20	10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棚改需符合《国务院关于加快棚户区改造工作的意见》及地方城乡总体规划，纳入国家棚户区改造计划或地方年度改造计划。重点项目需通过发改、财政等部门联合复核，并上报省级住建部门审批。根据《财政资金直接支付申请书》，功能分类为“征地与拆迁补偿支出”经济分类为“政府性基金预算资金”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明确2024年城镇保障性安居工程目标任务的通知》新建保函(2024)1号文件要求实施项目。</w:t>
        <w:br/>
        <w:t>综上所述，本指标满分为3.00分，根据评分标准得3分，本项目立项程序规范。（1）绩效目标合理性</w:t>
        <w:br/>
        <w:t>①该项目已设置年度绩效目标，具体内容为“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②该项目实际工作内容为：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绩效目标与实际工作内容一致，两者具有相关性。</w:t>
        <w:br/>
        <w:t>③该项目按照绩效目标完成数量指标、质量指标、时效指标、成本指标，完成了90%，达到资金专款专用拨付及时，居民生活环境明显改善，社会效益指标完成情况，满意度完成率95%以上，预期产出效益和效果是否符合正常的业绩水平。</w:t>
        <w:br/>
        <w:t>④该项目批复的预算金额为4648.63万元，《项目支出绩效目标表》中预算金额为4648.63万元，预算确定的项目资金与预算确定的项目投资额相匹配。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70.00%以上。</w:t>
        <w:br/>
        <w:t>该《项目绩效目标表》中，数量指标指标值为“153户”“=34175.16平方米”，三级指标的年度指标值与年度绩效目标中任务数一致，已设置时效指标“支付资金及时率”。已设置的绩效目标具备明确性、可衡量性、可实现性、相关性、时限性。</w:t>
        <w:br/>
        <w:t>综上所述，本指标满分为3.00分，根据评分标准得3分，本项目所设置绩效指标明确。3.资金投入情况分析</w:t>
        <w:br/>
        <w:t>（1）预算编制科学性</w:t>
        <w:br/>
        <w:t>本项目预算编制通过以往年度的实际执行情况，综合考虑本年度情况，综合编制预算，即预算编制较科学且经过论证；</w:t>
        <w:br/>
        <w:t>预算申请内容为关于拨付市房管局新疆亚中（集团）有限公司拆迁款，项目实际内容为关于拨付市房管局新疆亚中（集团）有限公司拆迁款，预算申请与《拨付市房管局新疆亚中（集团）有限公司拆迁款项目实施方案》中涉及的项目内容匹配；</w:t>
        <w:br/>
        <w:t>本项目预算申请资金4648.63万元，我单位在预算申请中严格按照项目实施内容及测算标准进行核算，其中：关于拨付市房管局新疆亚中（集团）有限公司拆迁款费用4648.63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拨付市房管局新疆亚中（集团）有限公司拆迁款项目资金的请示》为依据进行资金分配，预算资金分配依据充分。本项目实际到位资金4648.63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（1）绩效目标合理性</w:t>
        <w:br/>
        <w:t>①该项目已设置年度绩效目标，具体内容为“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②该项目实际工作内容为：拨付市房管局新疆亚中（集团）有限公司拆迁款项目，我单位已完成4648.63万元，数量153户“翠湖雅居1#-8#楼”总建筑面积为56823.81㎡，其中高层地下室及地库面积为9385.41㎡，其余总建筑面积为47438.4㎡，安置置换房屋建筑面积为34175.16㎡（其中置换房屋面积31573.74㎡，地下室面积2601.42㎡）。资金专款专用拨付及时，居民生活环境明显改善，社会效益指标完成情况，满意度完成率95%以上。</w:t>
        <w:br/>
        <w:t>绩效目标与实际工作内容一致，两者具有相关性。</w:t>
        <w:br/>
        <w:t>③该项目按照绩效目标完成数量指标、质量指标、时效指标、成本指标，完成了90%，达到资金专款专用拨付及时，居民生活环境明显改善，社会效益指标完成情况，满意度完成率95%以上，预期产出效益和效果是否符合正常的业绩水平。</w:t>
        <w:br/>
        <w:t>④该项目批复的预算金额为4648.63万元，《项目支出绩效目标表》中预算金额为4648.63万元，预算确定的项目资金与预算确定的项目投资额相匹配。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70.00%以上。</w:t>
        <w:br/>
        <w:t>该《项目绩效目标表》中，数量指标指标值为“153户”“=34175.16平方米”，三级指标的年度指标值与年度绩效目标中任务数一致，已设置时效指标“支付资金及时率”。已设置的绩效目标具备明确性、可衡量性、可实现性、相关性、时限性。</w:t>
        <w:br/>
        <w:t>综上所述，本指标满分为3.00分，根据评分标准得3分，本项目所设置绩效指标明确。3.资金投入情况分析</w:t>
        <w:br/>
        <w:t>（1）预算编制科学性</w:t>
        <w:br/>
        <w:t>本项目预算编制通过以往年度的实际执行情况，综合考虑本年度情况，综合编制预算，即预算编制较科学且经过论证；</w:t>
        <w:br/>
        <w:t>预算申请内容为关于拨付市房管局新疆亚中（集团）有限公司拆迁款，项目实际内容为关于拨付市房管局新疆亚中（集团）有限公司拆迁款，预算申请与《拨付市房管局新疆亚中（集团）有限公司拆迁款项目实施方案》中涉及的项目内容匹配；</w:t>
        <w:br/>
        <w:t>本项目预算申请资金4648.63万元，我单位在预算申请中严格按照项目实施内容及测算标准进行核算，其中：关于拨付市房管局新疆亚中（集团）有限公司拆迁款费用4648.63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拨付市房管局新疆亚中（集团）有限公司拆迁款项目资金的请示》为依据进行资金分配，预算资金分配依据充分。本项目实际到位资金4648.63万元，资金分配额度合理，与我单位实际需求相适应。</w:t>
        <w:br/>
        <w:t>综上所述，本指标满分为2.00分，根据评分标准得2分，本项目资金分配合理。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项目产出类指标由4个二级指标和5个三级指标构成，权重分30.00分，实际得分30分。</w:t>
        <w:br/>
        <w:t>1.数量指标完成情况分析</w:t>
        <w:br/>
        <w:t>“拆迁户数”指标：预期指标值为“=153户”，根据“126区六工庙村拆迁情况说明”可证，实际完成指标值为“=153户”，指标完成率为100.00%。</w:t>
        <w:br/>
        <w:t>综上所述，本指标满分为5分，根据评分标准得5分。</w:t>
        <w:br/>
        <w:t>“改善住房面积”指标：预期指标值为“=34175.16平方米”，根据“亚中集团翠湖雅居项目小结”可证，实际完成指标值为“34175.16平方米”，指标完成率为100%。</w:t>
        <w:br/>
        <w:t>综上所述，本指标满分为5分，根据评分标准得5分。</w:t>
        <w:br/>
        <w:t>2.质量指标完成情况分析</w:t>
        <w:br/>
        <w:t>“资金使用合格率”指标：预期指标值为“=100%”，根据“国库集中支付凭证”可证，实际完成指标值为“100%”，指标完成率为100%。</w:t>
        <w:br/>
        <w:t>综上所述，本指标满分为5分，根据评分标准得5分。</w:t>
        <w:br/>
        <w:t>3.时效指标完成情况分析</w:t>
        <w:br/>
        <w:t>“支付资金及时率”指标：预期指标值为“=100%”，根据“国库集中支付凭证”可证，实际完成指标值为“100%”，指标完成率为100%。</w:t>
        <w:br/>
        <w:t>综上所述，本指标满分为5分，根据评分标准得5分。</w:t>
        <w:br/>
        <w:t>4.成本指标完成情况分析</w:t>
        <w:br/>
        <w:t>（1）经济成本指标完成情况分析</w:t>
        <w:br/>
        <w:t>“每户支付费用”指标：预期指标值为“≤30.38万元/户”，根据“国库集中支付凭证”可证，实际完成指标值为“30.38万元/户”，指标完成率为100%。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1.经济效益完成情况分析</w:t>
        <w:br/>
        <w:t>无此类指标。</w:t>
        <w:br/>
        <w:t>2.社会效益完成情况分析</w:t>
        <w:br/>
        <w:t>“改善居民居住环境”指标：预期指标值为“显著改善”，根据“情况说明”可证，实际完成指标值为“基本达成目标”，指标完成率为100.00%。</w:t>
        <w:br/>
        <w:t>综上所述，本指标满分为20分，根据评分标准得20分。</w:t>
        <w:br/>
        <w:t>3.生态效益完成情况分析</w:t>
        <w:br/>
        <w:t>无此类指标</w:t>
        <w:br/>
        <w:t>（五）项目满意度情况</w:t>
        <w:br/>
        <w:t>项目满意度类指标由1个二级指标和1个三级指标构成，权重分10.00分，实际得分10分。</w:t>
        <w:br/>
        <w:t>1.满意度完成情况分析</w:t>
        <w:br/>
        <w:t>“受益群众满意度”指标：预期指标值为“&gt;=95%”，根据“情况说明”可证，实际完成指标值为“=95%”，指标完成率为105.26%。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“受益群众满意度”指标：预期指标值为“&gt;=95%”，根据“情况说明”可证，实际完成指标值为“=95%”，指标完成率为105.26%。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通过该项目的事实，成立由财务、业务等多部门参与的绩效自评小组，明确责任分工，定期召开专题会议，确保自评工作与项目目标同步推进，制定自评工作方案，明确数据采集、分析、验收等步骤，如通过问卷调查、实地检查等方式验证项目成效。量化目标与细化分解，目标需具体可衡量并与项目背景、计划紧密关联，避免指标笼统化，优先设计客观量化指标。根据项目执行中的突发问题调整阶段性目标，确保指标可实现，定期评估目标合理性，剔除冗余指标，强化关键绩效点（如资金效益、社会影响）。严格执行专款专用制度，确保资金流向透明。强化风险预警机制，监控资金执行进度，对偏离预算的情况及时纠偏，建立资金使用台账，定期审计并公开结果，提升公信力。该项目实际完成4648.63万元，通过该项目的实施，改善了我市居民生活环境，提高生活质量，优化城市空间布局，促进了经济、社会和谐发展，增强人民群众的幸福感和获得感，推动城市可持续发展。</w:t>
        <w:br/>
        <w:t>（二）存在的问题及原因分析</w:t>
        <w:br/>
        <w:t>项目绩效自评是项目管理的重要环节，但存在指标设定不合理、数据收集不全面、自评过程缺乏客观性等问题。通过优化指标设定、完善数据收集机制、引入外部评估、建立反馈机制等措施，可以有效提升自评的科学性和有效性，为项目的持续改进提供有力支持。在绩效自评过程中，评估结果容易受到主观因素的影响。团队成员可能出于个人或团队利益的考虑，高估项目进展情况，导致自评结果与实际情况不符;绩效自评往往缺乏明确的客观指标和参考数据，这使得评估结果难以得出准确的结论。数据缺乏可靠性和完整性，也使得有效分析变得困难;部分项目单位对绩效理念的认识不足，重资金申请、轻过程管理、更忽视使用绩效。这种态度导致绩效评价往往应付了事，缺乏主动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立预算安排与支出进度的挂钩机制，科学测算、细化项目内容，明确资金用途，避免因粗放编制导致执行偏差，对预算外资金和其他收入的调整事项进行规范，杜绝随意改变专项资金用途的行为，加大对重大工程和重大项目的财政支持，确保重点领域发展。科学制定预算绩效目标建议：对于资金投入较大的重点项目，应制定详细的绩效目标申报，包括总资金投入、财政资金投入、项目作用和效果等。同时，预算单位应严格按照政策和战略制定项目方案和工程造价，细化执行标准,具体措施：1.列明资金总投入和财政资金的具体用途。评估项目和资金的全过程管理和监督。根据地方特点制定适合的项目和资金配比。2. 加强项目立项和预算管理,建议：项目预算部门应加强项目立项环节的管理，确保项目方案和工程造价的合理性。预算绩效评价结果应与预算绩效申报紧密结合，避免争议 。具体措施：建立健全的项目立项审核机制。定期审查项目方案和工程造价。强化预算执行的标准和规范。3. 建立科学的绩效评价指标建议：现有的绩效评价指标往往缺乏科学性和适用性，建议制定科学的评价指标，重点关注高质量教育的产出效果，并强化各教育领域间的协调和互联互通。具体措施：引入多维度的绩效评价指标,定期更新和优化评价模型,满足不同地区和机构的差异化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