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2C65DB7">
      <w:pPr>
        <w:spacing w:after="0" w:line="240" w:lineRule="auto"/>
        <w:rPr>
          <w:rFonts w:ascii="宋体" w:eastAsia="宋体"/>
          <w:sz w:val="32"/>
          <w:szCs w:val="32"/>
        </w:rPr>
      </w:pPr>
    </w:p>
    <w:p w14:paraId="0F05D9F9">
      <w:pPr>
        <w:spacing w:after="0" w:line="240" w:lineRule="auto"/>
        <w:rPr>
          <w:rFonts w:ascii="宋体" w:eastAsia="宋体"/>
          <w:sz w:val="44"/>
          <w:szCs w:val="44"/>
        </w:rPr>
      </w:pPr>
    </w:p>
    <w:p w14:paraId="6E87EA8A">
      <w:pPr>
        <w:spacing w:after="0" w:line="240" w:lineRule="auto"/>
        <w:rPr>
          <w:rFonts w:ascii="宋体" w:eastAsia="宋体"/>
          <w:sz w:val="44"/>
          <w:szCs w:val="44"/>
        </w:rPr>
      </w:pPr>
    </w:p>
    <w:p w14:paraId="6F3DB31B">
      <w:pPr>
        <w:spacing w:after="0" w:line="240" w:lineRule="auto"/>
        <w:rPr>
          <w:rFonts w:ascii="宋体" w:eastAsia="宋体"/>
          <w:sz w:val="44"/>
          <w:szCs w:val="44"/>
        </w:rPr>
      </w:pPr>
    </w:p>
    <w:p w14:paraId="2D0D0021">
      <w:pPr>
        <w:spacing w:after="0" w:line="240" w:lineRule="auto"/>
        <w:jc w:val="center"/>
        <w:outlineLvl w:val="0"/>
        <w:rPr>
          <w:rFonts w:ascii="宋体" w:eastAsia="黑体"/>
          <w:sz w:val="44"/>
          <w:szCs w:val="44"/>
          <w:lang w:eastAsia="zh-CN"/>
        </w:rPr>
      </w:pPr>
      <w:r>
        <w:rPr>
          <w:rFonts w:ascii="宋体" w:eastAsia="黑体"/>
          <w:sz w:val="44"/>
          <w:szCs w:val="44"/>
          <w:lang w:eastAsia="zh-CN"/>
        </w:rPr>
        <w:t>昌吉市第六幼儿园</w:t>
      </w:r>
    </w:p>
    <w:p w14:paraId="66CACC6D">
      <w:pPr>
        <w:spacing w:after="0" w:line="240" w:lineRule="auto"/>
        <w:jc w:val="center"/>
        <w:outlineLvl w:val="0"/>
        <w:rPr>
          <w:rFonts w:ascii="黑体" w:eastAsia="黑体"/>
          <w:sz w:val="44"/>
          <w:szCs w:val="44"/>
          <w:lang w:eastAsia="zh-CN"/>
        </w:rPr>
      </w:pPr>
      <w:r>
        <w:rPr>
          <w:rFonts w:ascii="黑体" w:eastAsia="黑体"/>
          <w:sz w:val="44"/>
          <w:szCs w:val="44"/>
          <w:lang w:eastAsia="zh-CN"/>
        </w:rPr>
        <w:t>2024年度部门决算公开说明</w:t>
      </w:r>
    </w:p>
    <w:p w14:paraId="0D1154A8">
      <w:pPr>
        <w:rPr>
          <w:lang w:eastAsia="zh-CN"/>
        </w:rPr>
      </w:pPr>
      <w:r>
        <w:rPr>
          <w:sz w:val="0"/>
          <w:szCs w:val="0"/>
          <w:lang w:eastAsia="zh-CN"/>
        </w:rPr>
        <w:br w:type="page"/>
      </w:r>
    </w:p>
    <w:p w14:paraId="6CE96973">
      <w:pPr>
        <w:spacing w:after="0" w:line="240" w:lineRule="auto"/>
        <w:jc w:val="center"/>
        <w:rPr>
          <w:rFonts w:ascii="黑体" w:eastAsia="黑体"/>
          <w:sz w:val="32"/>
          <w:szCs w:val="32"/>
          <w:lang w:eastAsia="zh-CN"/>
        </w:rPr>
      </w:pPr>
      <w:r>
        <w:rPr>
          <w:rFonts w:ascii="黑体" w:eastAsia="黑体"/>
          <w:b/>
          <w:sz w:val="32"/>
          <w:szCs w:val="32"/>
          <w:lang w:eastAsia="zh-CN"/>
        </w:rPr>
        <w:t>目  录</w:t>
      </w:r>
    </w:p>
    <w:p w14:paraId="517F585D">
      <w:pPr>
        <w:spacing w:after="0" w:line="240" w:lineRule="auto"/>
        <w:rPr>
          <w:rFonts w:ascii="仿宋_GB2312" w:eastAsia="仿宋_GB2312"/>
          <w:sz w:val="32"/>
          <w:szCs w:val="32"/>
          <w:lang w:eastAsia="zh-CN"/>
        </w:rPr>
      </w:pPr>
      <w:r>
        <w:rPr>
          <w:rFonts w:ascii="仿宋_GB2312" w:eastAsia="仿宋_GB2312"/>
          <w:b/>
          <w:sz w:val="32"/>
          <w:szCs w:val="32"/>
          <w:lang w:eastAsia="zh-CN"/>
        </w:rPr>
        <w:t>第一部分单位概况</w:t>
      </w:r>
    </w:p>
    <w:p w14:paraId="1D6DBDBB">
      <w:pPr>
        <w:spacing w:after="0" w:line="240" w:lineRule="auto"/>
        <w:rPr>
          <w:rFonts w:ascii="仿宋_GB2312" w:eastAsia="仿宋_GB2312"/>
          <w:sz w:val="32"/>
          <w:szCs w:val="32"/>
          <w:lang w:eastAsia="zh-CN"/>
        </w:rPr>
      </w:pPr>
      <w:r>
        <w:rPr>
          <w:rFonts w:ascii="仿宋_GB2312" w:eastAsia="仿宋_GB2312"/>
          <w:sz w:val="32"/>
          <w:szCs w:val="32"/>
          <w:lang w:eastAsia="zh-CN"/>
        </w:rPr>
        <w:t>一、主要职能</w:t>
      </w:r>
    </w:p>
    <w:p w14:paraId="16146F86">
      <w:pPr>
        <w:spacing w:after="0" w:line="240" w:lineRule="auto"/>
        <w:rPr>
          <w:rFonts w:ascii="仿宋_GB2312" w:eastAsia="仿宋_GB2312"/>
          <w:sz w:val="32"/>
          <w:szCs w:val="32"/>
          <w:lang w:eastAsia="zh-CN"/>
        </w:rPr>
      </w:pPr>
      <w:r>
        <w:rPr>
          <w:rFonts w:ascii="仿宋_GB2312" w:eastAsia="仿宋_GB2312"/>
          <w:sz w:val="32"/>
          <w:szCs w:val="32"/>
          <w:lang w:eastAsia="zh-CN"/>
        </w:rPr>
        <w:t>二、机构设置及人员情况</w:t>
      </w:r>
    </w:p>
    <w:p w14:paraId="29073130">
      <w:pPr>
        <w:spacing w:after="0" w:line="240" w:lineRule="auto"/>
        <w:rPr>
          <w:rFonts w:ascii="仿宋_GB2312" w:eastAsia="仿宋_GB2312"/>
          <w:sz w:val="32"/>
          <w:szCs w:val="32"/>
          <w:lang w:eastAsia="zh-CN"/>
        </w:rPr>
      </w:pPr>
      <w:r>
        <w:rPr>
          <w:rFonts w:ascii="仿宋_GB2312" w:eastAsia="仿宋_GB2312"/>
          <w:b/>
          <w:sz w:val="32"/>
          <w:szCs w:val="32"/>
          <w:lang w:eastAsia="zh-CN"/>
        </w:rPr>
        <w:t>第二部分 部门决算情况说明</w:t>
      </w:r>
    </w:p>
    <w:p w14:paraId="13F6B92F">
      <w:pPr>
        <w:spacing w:after="0" w:line="240" w:lineRule="auto"/>
        <w:rPr>
          <w:rFonts w:ascii="仿宋_GB2312" w:eastAsia="仿宋_GB2312"/>
          <w:sz w:val="32"/>
          <w:szCs w:val="32"/>
          <w:lang w:eastAsia="zh-CN"/>
        </w:rPr>
      </w:pPr>
      <w:r>
        <w:rPr>
          <w:rFonts w:ascii="仿宋_GB2312" w:eastAsia="仿宋_GB2312"/>
          <w:sz w:val="32"/>
          <w:szCs w:val="32"/>
          <w:lang w:eastAsia="zh-CN"/>
        </w:rPr>
        <w:t>一、收入支出决算总体情况说明</w:t>
      </w:r>
    </w:p>
    <w:p w14:paraId="7B2B0322">
      <w:pPr>
        <w:spacing w:after="0" w:line="240" w:lineRule="auto"/>
        <w:rPr>
          <w:rFonts w:ascii="仿宋_GB2312" w:eastAsia="仿宋_GB2312"/>
          <w:sz w:val="32"/>
          <w:szCs w:val="32"/>
          <w:lang w:eastAsia="zh-CN"/>
        </w:rPr>
      </w:pPr>
      <w:r>
        <w:rPr>
          <w:rFonts w:ascii="仿宋_GB2312" w:eastAsia="仿宋_GB2312"/>
          <w:sz w:val="32"/>
          <w:szCs w:val="32"/>
          <w:lang w:eastAsia="zh-CN"/>
        </w:rPr>
        <w:t>二、收入决算情况说明</w:t>
      </w:r>
    </w:p>
    <w:p w14:paraId="3C241EFF">
      <w:pPr>
        <w:spacing w:after="0" w:line="240" w:lineRule="auto"/>
        <w:rPr>
          <w:rFonts w:ascii="仿宋_GB2312" w:eastAsia="仿宋_GB2312"/>
          <w:sz w:val="32"/>
          <w:szCs w:val="32"/>
          <w:lang w:eastAsia="zh-CN"/>
        </w:rPr>
      </w:pPr>
      <w:r>
        <w:rPr>
          <w:rFonts w:ascii="仿宋_GB2312" w:eastAsia="仿宋_GB2312"/>
          <w:sz w:val="32"/>
          <w:szCs w:val="32"/>
          <w:lang w:eastAsia="zh-CN"/>
        </w:rPr>
        <w:t>三、支出决算情况说明</w:t>
      </w:r>
    </w:p>
    <w:p w14:paraId="50C5E8FD">
      <w:pPr>
        <w:spacing w:after="0" w:line="240" w:lineRule="auto"/>
        <w:rPr>
          <w:rFonts w:ascii="仿宋_GB2312" w:eastAsia="仿宋_GB2312"/>
          <w:sz w:val="32"/>
          <w:szCs w:val="32"/>
          <w:lang w:eastAsia="zh-CN"/>
        </w:rPr>
      </w:pPr>
      <w:r>
        <w:rPr>
          <w:rFonts w:ascii="仿宋_GB2312" w:eastAsia="仿宋_GB2312"/>
          <w:sz w:val="32"/>
          <w:szCs w:val="32"/>
          <w:lang w:eastAsia="zh-CN"/>
        </w:rPr>
        <w:t>四、财政拨款收入支出决算总体情况说明</w:t>
      </w:r>
    </w:p>
    <w:p w14:paraId="53880F45">
      <w:pPr>
        <w:spacing w:after="0" w:line="240" w:lineRule="auto"/>
        <w:rPr>
          <w:rFonts w:ascii="仿宋_GB2312" w:eastAsia="仿宋_GB2312"/>
          <w:sz w:val="32"/>
          <w:szCs w:val="32"/>
          <w:lang w:eastAsia="zh-CN"/>
        </w:rPr>
      </w:pPr>
      <w:r>
        <w:rPr>
          <w:rFonts w:ascii="仿宋_GB2312" w:eastAsia="仿宋_GB2312"/>
          <w:sz w:val="32"/>
          <w:szCs w:val="32"/>
          <w:lang w:eastAsia="zh-CN"/>
        </w:rPr>
        <w:t>五、一般公共预算财政拨款支出决算情况说明</w:t>
      </w:r>
    </w:p>
    <w:p w14:paraId="25BEB058">
      <w:pPr>
        <w:spacing w:after="0" w:line="240" w:lineRule="auto"/>
        <w:rPr>
          <w:rFonts w:ascii="仿宋_GB2312" w:eastAsia="仿宋_GB2312"/>
          <w:sz w:val="32"/>
          <w:szCs w:val="32"/>
          <w:lang w:eastAsia="zh-CN"/>
        </w:rPr>
      </w:pPr>
      <w:r>
        <w:rPr>
          <w:rFonts w:ascii="仿宋_GB2312" w:eastAsia="仿宋_GB2312"/>
          <w:sz w:val="32"/>
          <w:szCs w:val="32"/>
          <w:lang w:eastAsia="zh-CN"/>
        </w:rPr>
        <w:t>（一）一般公共预算财政拨款支出决算总体情况</w:t>
      </w:r>
    </w:p>
    <w:p w14:paraId="1F7FF77D">
      <w:pPr>
        <w:spacing w:after="0" w:line="240" w:lineRule="auto"/>
        <w:rPr>
          <w:rFonts w:ascii="仿宋_GB2312" w:eastAsia="仿宋_GB2312"/>
          <w:sz w:val="32"/>
          <w:szCs w:val="32"/>
          <w:lang w:eastAsia="zh-CN"/>
        </w:rPr>
      </w:pPr>
      <w:r>
        <w:rPr>
          <w:rFonts w:ascii="仿宋_GB2312" w:eastAsia="仿宋_GB2312"/>
          <w:sz w:val="32"/>
          <w:szCs w:val="32"/>
          <w:lang w:eastAsia="zh-CN"/>
        </w:rPr>
        <w:t>（二）一般公共预算财政拨款支出决算结构情况</w:t>
      </w:r>
    </w:p>
    <w:p w14:paraId="0B462FE2">
      <w:pPr>
        <w:spacing w:after="0" w:line="240" w:lineRule="auto"/>
        <w:rPr>
          <w:rFonts w:ascii="仿宋_GB2312" w:eastAsia="仿宋_GB2312"/>
          <w:sz w:val="32"/>
          <w:szCs w:val="32"/>
          <w:lang w:eastAsia="zh-CN"/>
        </w:rPr>
      </w:pPr>
      <w:r>
        <w:rPr>
          <w:rFonts w:ascii="仿宋_GB2312" w:eastAsia="仿宋_GB2312"/>
          <w:sz w:val="32"/>
          <w:szCs w:val="32"/>
          <w:lang w:eastAsia="zh-CN"/>
        </w:rPr>
        <w:t>（三）一般公共预算财政拨款支出决算具体情况</w:t>
      </w:r>
    </w:p>
    <w:p w14:paraId="1EA7B0CB">
      <w:pPr>
        <w:spacing w:after="0" w:line="240" w:lineRule="auto"/>
        <w:rPr>
          <w:rFonts w:ascii="仿宋_GB2312" w:eastAsia="仿宋_GB2312"/>
          <w:sz w:val="32"/>
          <w:szCs w:val="32"/>
          <w:lang w:eastAsia="zh-CN"/>
        </w:rPr>
      </w:pPr>
      <w:r>
        <w:rPr>
          <w:rFonts w:ascii="仿宋_GB2312" w:eastAsia="仿宋_GB2312"/>
          <w:sz w:val="32"/>
          <w:szCs w:val="32"/>
          <w:lang w:eastAsia="zh-CN"/>
        </w:rPr>
        <w:t>​六、一般公共预算财政拨款基本支出决算情况说明</w:t>
      </w:r>
    </w:p>
    <w:p w14:paraId="22361E5C">
      <w:pPr>
        <w:spacing w:after="0" w:line="240" w:lineRule="auto"/>
        <w:rPr>
          <w:rFonts w:ascii="仿宋_GB2312" w:eastAsia="仿宋_GB2312"/>
          <w:sz w:val="32"/>
          <w:szCs w:val="32"/>
          <w:lang w:eastAsia="zh-CN"/>
        </w:rPr>
      </w:pPr>
      <w:r>
        <w:rPr>
          <w:rFonts w:ascii="仿宋_GB2312" w:eastAsia="仿宋_GB2312"/>
          <w:sz w:val="32"/>
          <w:szCs w:val="32"/>
          <w:lang w:eastAsia="zh-CN"/>
        </w:rPr>
        <w:t>七、政府性基金预算财政拨款收入支出决算情况说明</w:t>
      </w:r>
    </w:p>
    <w:p w14:paraId="11377542">
      <w:pPr>
        <w:spacing w:after="0" w:line="240" w:lineRule="auto"/>
        <w:rPr>
          <w:rFonts w:ascii="仿宋_GB2312" w:eastAsia="仿宋_GB2312"/>
          <w:sz w:val="32"/>
          <w:szCs w:val="32"/>
          <w:lang w:eastAsia="zh-CN"/>
        </w:rPr>
      </w:pPr>
      <w:r>
        <w:rPr>
          <w:rFonts w:ascii="仿宋_GB2312" w:eastAsia="仿宋_GB2312"/>
          <w:sz w:val="32"/>
          <w:szCs w:val="32"/>
          <w:lang w:eastAsia="zh-CN"/>
        </w:rPr>
        <w:t>八、国有资本经营预算财政拨款收入支出决算情况说明</w:t>
      </w:r>
    </w:p>
    <w:p w14:paraId="179A238B">
      <w:pPr>
        <w:spacing w:after="0" w:line="240" w:lineRule="auto"/>
        <w:rPr>
          <w:rFonts w:ascii="仿宋_GB2312" w:eastAsia="仿宋_GB2312"/>
          <w:sz w:val="32"/>
          <w:szCs w:val="32"/>
          <w:lang w:eastAsia="zh-CN"/>
        </w:rPr>
      </w:pPr>
      <w:r>
        <w:rPr>
          <w:rFonts w:ascii="仿宋_GB2312" w:eastAsia="仿宋_GB2312"/>
          <w:sz w:val="32"/>
          <w:szCs w:val="32"/>
          <w:lang w:eastAsia="zh-CN"/>
        </w:rPr>
        <w:t>九、财政拨款“三公”经费支出决算情况说明</w:t>
      </w:r>
    </w:p>
    <w:p w14:paraId="0F5258AD">
      <w:pPr>
        <w:spacing w:after="0" w:line="240" w:lineRule="auto"/>
        <w:rPr>
          <w:rFonts w:ascii="仿宋_GB2312" w:eastAsia="仿宋_GB2312"/>
          <w:sz w:val="32"/>
          <w:szCs w:val="32"/>
          <w:lang w:eastAsia="zh-CN"/>
        </w:rPr>
      </w:pPr>
      <w:r>
        <w:rPr>
          <w:rFonts w:ascii="仿宋_GB2312" w:eastAsia="仿宋_GB2312"/>
          <w:sz w:val="32"/>
          <w:szCs w:val="32"/>
          <w:lang w:eastAsia="zh-CN"/>
        </w:rPr>
        <w:t>​十、其他重要事项的情况说明</w:t>
      </w:r>
    </w:p>
    <w:p w14:paraId="65209BC5">
      <w:pPr>
        <w:spacing w:after="0" w:line="240" w:lineRule="auto"/>
        <w:rPr>
          <w:rFonts w:ascii="仿宋_GB2312" w:eastAsia="仿宋_GB2312"/>
          <w:sz w:val="32"/>
          <w:szCs w:val="32"/>
          <w:lang w:eastAsia="zh-CN"/>
        </w:rPr>
      </w:pPr>
      <w:r>
        <w:rPr>
          <w:rFonts w:ascii="仿宋_GB2312" w:eastAsia="仿宋_GB2312"/>
          <w:sz w:val="32"/>
          <w:szCs w:val="32"/>
          <w:lang w:eastAsia="zh-CN"/>
        </w:rPr>
        <w:t>（一）机关运行经费及公用经费支出情况</w:t>
      </w:r>
    </w:p>
    <w:p w14:paraId="2F04B3E0">
      <w:pPr>
        <w:spacing w:after="0" w:line="240" w:lineRule="auto"/>
        <w:rPr>
          <w:rFonts w:ascii="仿宋_GB2312" w:eastAsia="仿宋_GB2312"/>
          <w:sz w:val="32"/>
          <w:szCs w:val="32"/>
          <w:lang w:eastAsia="zh-CN"/>
        </w:rPr>
      </w:pPr>
      <w:r>
        <w:rPr>
          <w:rFonts w:ascii="仿宋_GB2312" w:eastAsia="仿宋_GB2312"/>
          <w:sz w:val="32"/>
          <w:szCs w:val="32"/>
          <w:lang w:eastAsia="zh-CN"/>
        </w:rPr>
        <w:t>（二）政府采购情况</w:t>
      </w:r>
    </w:p>
    <w:p w14:paraId="62757403">
      <w:pPr>
        <w:spacing w:after="0" w:line="240" w:lineRule="auto"/>
        <w:rPr>
          <w:rFonts w:ascii="仿宋_GB2312" w:eastAsia="仿宋_GB2312"/>
          <w:sz w:val="32"/>
          <w:szCs w:val="32"/>
          <w:lang w:eastAsia="zh-CN"/>
        </w:rPr>
      </w:pPr>
      <w:r>
        <w:rPr>
          <w:rFonts w:ascii="仿宋_GB2312" w:eastAsia="仿宋_GB2312"/>
          <w:sz w:val="32"/>
          <w:szCs w:val="32"/>
          <w:lang w:eastAsia="zh-CN"/>
        </w:rPr>
        <w:t>（三）国有资产占用情况说明</w:t>
      </w:r>
    </w:p>
    <w:p w14:paraId="4EF0768C">
      <w:pPr>
        <w:spacing w:after="0" w:line="240" w:lineRule="auto"/>
        <w:rPr>
          <w:rFonts w:ascii="仿宋_GB2312" w:eastAsia="仿宋_GB2312"/>
          <w:sz w:val="32"/>
          <w:szCs w:val="32"/>
          <w:lang w:eastAsia="zh-CN"/>
        </w:rPr>
      </w:pPr>
      <w:r>
        <w:rPr>
          <w:rFonts w:ascii="仿宋_GB2312" w:eastAsia="仿宋_GB2312"/>
          <w:sz w:val="32"/>
          <w:szCs w:val="32"/>
          <w:lang w:eastAsia="zh-CN"/>
        </w:rPr>
        <w:t>十一、预算绩效的情况说明</w:t>
      </w:r>
    </w:p>
    <w:p w14:paraId="7A00C26E">
      <w:pPr>
        <w:spacing w:after="0" w:line="240" w:lineRule="auto"/>
        <w:rPr>
          <w:rFonts w:ascii="仿宋_GB2312" w:eastAsia="仿宋_GB2312"/>
          <w:sz w:val="32"/>
          <w:szCs w:val="32"/>
          <w:lang w:eastAsia="zh-CN"/>
        </w:rPr>
      </w:pPr>
      <w:r>
        <w:rPr>
          <w:rFonts w:ascii="仿宋_GB2312" w:eastAsia="仿宋_GB2312"/>
          <w:sz w:val="32"/>
          <w:szCs w:val="32"/>
          <w:lang w:eastAsia="zh-CN"/>
        </w:rPr>
        <w:t>十二、其他需说明的事项</w:t>
      </w:r>
    </w:p>
    <w:p w14:paraId="0A2FF38B">
      <w:pPr>
        <w:spacing w:after="0" w:line="240" w:lineRule="auto"/>
        <w:rPr>
          <w:rFonts w:ascii="仿宋_GB2312" w:eastAsia="仿宋_GB2312"/>
          <w:sz w:val="32"/>
          <w:szCs w:val="32"/>
          <w:lang w:eastAsia="zh-CN"/>
        </w:rPr>
      </w:pPr>
      <w:r>
        <w:rPr>
          <w:rFonts w:ascii="仿宋_GB2312" w:eastAsia="仿宋_GB2312"/>
          <w:b/>
          <w:sz w:val="32"/>
          <w:szCs w:val="32"/>
          <w:lang w:eastAsia="zh-CN"/>
        </w:rPr>
        <w:t>第三部分 专业名词解释</w:t>
      </w:r>
    </w:p>
    <w:p w14:paraId="6C9EDF74">
      <w:pPr>
        <w:spacing w:after="0" w:line="240" w:lineRule="auto"/>
        <w:rPr>
          <w:rFonts w:ascii="仿宋_GB2312" w:eastAsia="仿宋_GB2312"/>
          <w:sz w:val="32"/>
          <w:szCs w:val="32"/>
          <w:lang w:eastAsia="zh-CN"/>
        </w:rPr>
      </w:pPr>
      <w:r>
        <w:rPr>
          <w:rFonts w:ascii="仿宋_GB2312" w:eastAsia="仿宋_GB2312"/>
          <w:b/>
          <w:sz w:val="32"/>
          <w:szCs w:val="32"/>
          <w:lang w:eastAsia="zh-CN"/>
        </w:rPr>
        <w:t>第四部分 部门决算报表（见附表）</w:t>
      </w:r>
    </w:p>
    <w:p w14:paraId="25EF5BAE">
      <w:pPr>
        <w:spacing w:after="0" w:line="240" w:lineRule="auto"/>
        <w:rPr>
          <w:rFonts w:ascii="仿宋_GB2312" w:eastAsia="仿宋_GB2312"/>
          <w:sz w:val="32"/>
          <w:szCs w:val="32"/>
          <w:lang w:eastAsia="zh-CN"/>
        </w:rPr>
      </w:pPr>
      <w:r>
        <w:rPr>
          <w:rFonts w:ascii="仿宋_GB2312" w:eastAsia="仿宋_GB2312"/>
          <w:sz w:val="32"/>
          <w:szCs w:val="32"/>
          <w:lang w:eastAsia="zh-CN"/>
        </w:rPr>
        <w:t>一、《收入支出决算总表》</w:t>
      </w:r>
    </w:p>
    <w:p w14:paraId="6A9CE379">
      <w:pPr>
        <w:spacing w:after="0" w:line="240" w:lineRule="auto"/>
        <w:rPr>
          <w:rFonts w:ascii="仿宋_GB2312" w:eastAsia="仿宋_GB2312"/>
          <w:sz w:val="32"/>
          <w:szCs w:val="32"/>
          <w:lang w:eastAsia="zh-CN"/>
        </w:rPr>
      </w:pPr>
      <w:r>
        <w:rPr>
          <w:rFonts w:ascii="仿宋_GB2312" w:eastAsia="仿宋_GB2312"/>
          <w:sz w:val="32"/>
          <w:szCs w:val="32"/>
          <w:lang w:eastAsia="zh-CN"/>
        </w:rPr>
        <w:t>二、《收入决算表》</w:t>
      </w:r>
    </w:p>
    <w:p w14:paraId="1FCF7AD1">
      <w:pPr>
        <w:spacing w:after="0" w:line="240" w:lineRule="auto"/>
        <w:rPr>
          <w:rFonts w:ascii="仿宋_GB2312" w:eastAsia="仿宋_GB2312"/>
          <w:sz w:val="32"/>
          <w:szCs w:val="32"/>
          <w:lang w:eastAsia="zh-CN"/>
        </w:rPr>
      </w:pPr>
      <w:r>
        <w:rPr>
          <w:rFonts w:ascii="仿宋_GB2312" w:eastAsia="仿宋_GB2312"/>
          <w:sz w:val="32"/>
          <w:szCs w:val="32"/>
          <w:lang w:eastAsia="zh-CN"/>
        </w:rPr>
        <w:t>三、《支出决算表》</w:t>
      </w:r>
    </w:p>
    <w:p w14:paraId="75A75FF1">
      <w:pPr>
        <w:spacing w:after="0" w:line="240" w:lineRule="auto"/>
        <w:rPr>
          <w:rFonts w:ascii="仿宋_GB2312" w:eastAsia="仿宋_GB2312"/>
          <w:sz w:val="32"/>
          <w:szCs w:val="32"/>
          <w:lang w:eastAsia="zh-CN"/>
        </w:rPr>
      </w:pPr>
      <w:r>
        <w:rPr>
          <w:rFonts w:ascii="仿宋_GB2312" w:eastAsia="仿宋_GB2312"/>
          <w:sz w:val="32"/>
          <w:szCs w:val="32"/>
          <w:lang w:eastAsia="zh-CN"/>
        </w:rPr>
        <w:t>四、《财政拨款收入支出决算总表》</w:t>
      </w:r>
    </w:p>
    <w:p w14:paraId="31188D59">
      <w:pPr>
        <w:spacing w:after="0" w:line="240" w:lineRule="auto"/>
        <w:rPr>
          <w:rFonts w:ascii="仿宋_GB2312" w:eastAsia="仿宋_GB2312"/>
          <w:sz w:val="32"/>
          <w:szCs w:val="32"/>
          <w:lang w:eastAsia="zh-CN"/>
        </w:rPr>
      </w:pPr>
      <w:r>
        <w:rPr>
          <w:rFonts w:ascii="仿宋_GB2312" w:eastAsia="仿宋_GB2312"/>
          <w:sz w:val="32"/>
          <w:szCs w:val="32"/>
          <w:lang w:eastAsia="zh-CN"/>
        </w:rPr>
        <w:t>五、《一般公共预算财政拨款支出决算表》</w:t>
      </w:r>
    </w:p>
    <w:p w14:paraId="15F35F49">
      <w:pPr>
        <w:spacing w:after="0" w:line="240" w:lineRule="auto"/>
        <w:rPr>
          <w:rFonts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349B1FBA">
      <w:pPr>
        <w:spacing w:after="0" w:line="240" w:lineRule="auto"/>
        <w:rPr>
          <w:rFonts w:ascii="仿宋_GB2312" w:eastAsia="仿宋_GB2312"/>
          <w:sz w:val="32"/>
          <w:szCs w:val="32"/>
          <w:lang w:eastAsia="zh-CN"/>
        </w:rPr>
      </w:pPr>
      <w:r>
        <w:rPr>
          <w:rFonts w:ascii="仿宋_GB2312" w:eastAsia="仿宋_GB2312"/>
          <w:sz w:val="32"/>
          <w:szCs w:val="32"/>
          <w:lang w:eastAsia="zh-CN"/>
        </w:rPr>
        <w:t>七、《政府性基金预算财政拨款收入支出决算表》</w:t>
      </w:r>
    </w:p>
    <w:p w14:paraId="3E1D02DB">
      <w:pPr>
        <w:spacing w:after="0" w:line="240" w:lineRule="auto"/>
        <w:rPr>
          <w:rFonts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7A034EB1">
      <w:pPr>
        <w:spacing w:after="0" w:line="240" w:lineRule="auto"/>
        <w:rPr>
          <w:rFonts w:ascii="仿宋_GB2312" w:eastAsia="仿宋_GB2312"/>
          <w:sz w:val="32"/>
          <w:szCs w:val="32"/>
          <w:lang w:eastAsia="zh-CN"/>
        </w:rPr>
      </w:pPr>
      <w:r>
        <w:rPr>
          <w:rFonts w:ascii="仿宋_GB2312" w:eastAsia="仿宋_GB2312"/>
          <w:sz w:val="32"/>
          <w:szCs w:val="32"/>
          <w:lang w:eastAsia="zh-CN"/>
        </w:rPr>
        <w:t>九、《财政拨款“三公”经费支出决算表》</w:t>
      </w:r>
    </w:p>
    <w:p w14:paraId="6BEED2E9">
      <w:pPr>
        <w:rPr>
          <w:lang w:eastAsia="zh-CN"/>
        </w:rPr>
      </w:pPr>
      <w:r>
        <w:rPr>
          <w:sz w:val="0"/>
          <w:szCs w:val="0"/>
          <w:lang w:eastAsia="zh-CN"/>
        </w:rPr>
        <w:br w:type="page"/>
      </w:r>
    </w:p>
    <w:p w14:paraId="441E232A">
      <w:pPr>
        <w:spacing w:after="0" w:line="240" w:lineRule="auto"/>
        <w:jc w:val="center"/>
        <w:outlineLvl w:val="0"/>
        <w:rPr>
          <w:rFonts w:ascii="黑体" w:eastAsia="黑体"/>
          <w:sz w:val="32"/>
          <w:szCs w:val="32"/>
          <w:lang w:eastAsia="zh-CN"/>
        </w:rPr>
      </w:pPr>
      <w:r>
        <w:rPr>
          <w:rFonts w:ascii="黑体" w:eastAsia="黑体"/>
          <w:sz w:val="32"/>
          <w:szCs w:val="32"/>
          <w:lang w:eastAsia="zh-CN"/>
        </w:rPr>
        <w:t>第一部分 单位概况</w:t>
      </w:r>
    </w:p>
    <w:p w14:paraId="5337D919">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 一、主要职能</w:t>
      </w:r>
    </w:p>
    <w:p w14:paraId="209081EE">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我单位主要职能是负责贯彻执行国家对幼儿保育和教育的路线、方针、政策，为学龄前儿童提供保育和教育服务。本着保育和教育相结合的原则,对幼儿实施德、智、体、美全面发展的教育,促进其身心和谐健康发展。</w:t>
      </w:r>
    </w:p>
    <w:p w14:paraId="62D545E0">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二、机构设置及人员情况</w:t>
      </w:r>
    </w:p>
    <w:p w14:paraId="2AE687FB">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昌吉市第六幼儿园2024年度，实有人数17人，其中：在职人员17人，减少39人；离休人员0人，较上年无变化；退休人员0人，较上年无变化。</w:t>
      </w:r>
    </w:p>
    <w:p w14:paraId="68FB6759">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昌吉市第六幼儿园无下属预算单位，下设3个科室，分别是：办公室、保教办、安全后勤办。</w:t>
      </w:r>
    </w:p>
    <w:p w14:paraId="0FB89FE5">
      <w:pPr>
        <w:rPr>
          <w:lang w:eastAsia="zh-CN"/>
        </w:rPr>
      </w:pPr>
      <w:r>
        <w:rPr>
          <w:sz w:val="0"/>
          <w:szCs w:val="0"/>
          <w:lang w:eastAsia="zh-CN"/>
        </w:rPr>
        <w:br w:type="page"/>
      </w:r>
    </w:p>
    <w:p w14:paraId="38DAD082">
      <w:pPr>
        <w:spacing w:after="0" w:line="240" w:lineRule="auto"/>
        <w:jc w:val="center"/>
        <w:outlineLvl w:val="0"/>
        <w:rPr>
          <w:rFonts w:ascii="黑体" w:eastAsia="黑体"/>
          <w:sz w:val="32"/>
          <w:szCs w:val="32"/>
          <w:lang w:eastAsia="zh-CN"/>
        </w:rPr>
      </w:pPr>
      <w:r>
        <w:rPr>
          <w:rFonts w:ascii="黑体" w:eastAsia="黑体"/>
          <w:sz w:val="32"/>
          <w:szCs w:val="32"/>
          <w:lang w:eastAsia="zh-CN"/>
        </w:rPr>
        <w:t>第二部分 部门决算情况说明</w:t>
      </w:r>
    </w:p>
    <w:p w14:paraId="3D7DED88">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一、收入支出决算总体情况说明</w:t>
      </w:r>
    </w:p>
    <w:p w14:paraId="230E603C">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2024年度收入总计496.50万元，其中：本年收入合计489.29万元，使用非财政拨款结余（含专用结余）0.00万元，年初结转和结余7.21万元。</w:t>
      </w:r>
    </w:p>
    <w:p w14:paraId="798EB1DD">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2024年度支出总计496.50万元，其中：本年支出合计496.25万元，结余分配0.00万元，年末结转和结余0.25万元。</w:t>
      </w:r>
    </w:p>
    <w:p w14:paraId="724A63D8">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收入支出总体与上年相比，减少889.66万元，下降64.18%，主要原因是：</w:t>
      </w:r>
      <w:r>
        <w:rPr>
          <w:rFonts w:hint="eastAsia" w:ascii="仿宋_GB2312" w:eastAsia="仿宋_GB2312"/>
          <w:sz w:val="32"/>
          <w:szCs w:val="32"/>
          <w:lang w:eastAsia="zh-CN"/>
        </w:rPr>
        <w:t>单位本年人员减少，相应人员工资、津贴补贴、奖金等经费减少</w:t>
      </w:r>
      <w:r>
        <w:rPr>
          <w:rFonts w:ascii="仿宋_GB2312" w:eastAsia="仿宋_GB2312"/>
          <w:sz w:val="32"/>
          <w:szCs w:val="32"/>
          <w:lang w:eastAsia="zh-CN"/>
        </w:rPr>
        <w:t>。</w:t>
      </w:r>
    </w:p>
    <w:p w14:paraId="2AE5395A">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二、收入决算情况说明</w:t>
      </w:r>
    </w:p>
    <w:p w14:paraId="36D5EA1E">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本年收入489.29万元，其中：财政拨款收入489.29万元,占100.00%；上级补助收入0.00万元,占0.00%；事业收入0.00万元，占0.00%；经营收入0.00万元,占0.00%；附属单位上缴收入0.00万元，占0.00%；其他收入0.00万元，占0.00%。</w:t>
      </w:r>
    </w:p>
    <w:p w14:paraId="4783521F">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三、支出决算情况说明</w:t>
      </w:r>
    </w:p>
    <w:p w14:paraId="13F24535">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本年支出496.25万元，其中：基本支出459.96万元，占92.69%；项目支出36.29万元，占7.31%；上缴上级支出0.00万元，占0.00%；经营支出0.00万元，占0.00%；对附属单位补助支出0.00万元，占0.00%。</w:t>
      </w:r>
    </w:p>
    <w:p w14:paraId="5055C2D7">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四、财政拨款收入支出决算总体情况说明</w:t>
      </w:r>
    </w:p>
    <w:p w14:paraId="0520A1FA">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2024年度财政拨款收入总计489.29万元，其中：年初财政拨款结转和结余0.00万元，本年财政拨款收入489.29万元。财政拨款支出总计489.29万元，其中：年末财政拨款结转和结余0.00万元，本年财政拨款支出489.29万元。</w:t>
      </w:r>
    </w:p>
    <w:p w14:paraId="4FF2AE90">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财政拨款收入支出总体与上年相比，减少769.58万元，下降61.13%，主要原因是：</w:t>
      </w:r>
      <w:r>
        <w:rPr>
          <w:rFonts w:hint="eastAsia" w:ascii="仿宋_GB2312" w:eastAsia="仿宋_GB2312"/>
          <w:sz w:val="32"/>
          <w:szCs w:val="32"/>
          <w:lang w:eastAsia="zh-CN"/>
        </w:rPr>
        <w:t>单位本年人员减少，相应人员工资、津贴补贴、奖金等经费减少</w:t>
      </w:r>
      <w:r>
        <w:rPr>
          <w:rFonts w:ascii="仿宋_GB2312" w:eastAsia="仿宋_GB2312"/>
          <w:sz w:val="32"/>
          <w:szCs w:val="32"/>
          <w:lang w:eastAsia="zh-CN"/>
        </w:rPr>
        <w:t>。与年初预算相比，年初预算数413.08万元，决算数489.29万元，预决算差异率18.45%，主要原因是：年中追加自治区教育项目经费自聘教师工资补助项目经费、城镇幼儿园公用经费。</w:t>
      </w:r>
    </w:p>
    <w:p w14:paraId="2C1FB3BD">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五、一般公共预算财政拨款支出决算情况说明</w:t>
      </w:r>
    </w:p>
    <w:p w14:paraId="573F22F0">
      <w:pPr>
        <w:spacing w:after="0" w:line="240" w:lineRule="auto"/>
        <w:ind w:firstLine="643" w:firstLineChars="200"/>
        <w:outlineLvl w:val="2"/>
        <w:rPr>
          <w:rFonts w:ascii="黑体" w:eastAsia="黑体"/>
          <w:sz w:val="32"/>
          <w:szCs w:val="32"/>
          <w:lang w:eastAsia="zh-CN"/>
        </w:rPr>
      </w:pPr>
      <w:r>
        <w:rPr>
          <w:rFonts w:ascii="黑体" w:eastAsia="黑体"/>
          <w:b/>
          <w:sz w:val="32"/>
          <w:szCs w:val="32"/>
          <w:lang w:eastAsia="zh-CN"/>
        </w:rPr>
        <w:t>（一）一般公共预算财政拨款支出决算总体情况</w:t>
      </w:r>
    </w:p>
    <w:p w14:paraId="2C2C43C1">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2024年度一般公共预算财政拨款支出489.29万元，占本年支出合计的98.60%。与上年相比，减少737.13万元，下降60.10%，主要原因是：单位本年下属两个分园独立划分出去</w:t>
      </w:r>
      <w:r>
        <w:rPr>
          <w:rFonts w:hint="eastAsia" w:ascii="仿宋_GB2312" w:eastAsia="仿宋_GB2312"/>
          <w:sz w:val="32"/>
          <w:szCs w:val="32"/>
          <w:lang w:eastAsia="zh-CN"/>
        </w:rPr>
        <w:t>，单位本年人员减少，相应人员工资、津贴补贴、奖金等经费减少</w:t>
      </w:r>
      <w:r>
        <w:rPr>
          <w:rFonts w:ascii="仿宋_GB2312" w:eastAsia="仿宋_GB2312"/>
          <w:sz w:val="32"/>
          <w:szCs w:val="32"/>
          <w:lang w:eastAsia="zh-CN"/>
        </w:rPr>
        <w:t>。与年初预算相比，年初预算数413.08万元，决算数489.29万元，预决算差异率18.45%，主要原因是：年中追加自治区教育项目经费自聘教师工资补助项目经费、城镇幼儿园公用经费。</w:t>
      </w:r>
    </w:p>
    <w:p w14:paraId="3930128A">
      <w:pPr>
        <w:spacing w:after="0" w:line="240" w:lineRule="auto"/>
        <w:ind w:firstLine="643" w:firstLineChars="200"/>
        <w:outlineLvl w:val="2"/>
        <w:rPr>
          <w:rFonts w:ascii="黑体" w:eastAsia="黑体"/>
          <w:sz w:val="32"/>
          <w:szCs w:val="32"/>
          <w:lang w:eastAsia="zh-CN"/>
        </w:rPr>
      </w:pPr>
      <w:r>
        <w:rPr>
          <w:rFonts w:ascii="黑体" w:eastAsia="黑体"/>
          <w:b/>
          <w:sz w:val="32"/>
          <w:szCs w:val="32"/>
          <w:lang w:eastAsia="zh-CN"/>
        </w:rPr>
        <w:t>（二）一般公共预算财政拨款支出决算结构情况</w:t>
      </w:r>
    </w:p>
    <w:p w14:paraId="0444004B">
      <w:pPr>
        <w:spacing w:after="0" w:line="240" w:lineRule="auto"/>
        <w:ind w:firstLine="640" w:firstLineChars="200"/>
        <w:jc w:val="both"/>
        <w:rPr>
          <w:rFonts w:ascii="仿宋_GB2312" w:eastAsia="仿宋_GB2312"/>
          <w:sz w:val="32"/>
          <w:szCs w:val="32"/>
          <w:lang w:eastAsia="zh-CN"/>
        </w:rPr>
      </w:pPr>
      <w:r>
        <w:rPr>
          <w:rFonts w:hint="eastAsia" w:ascii="仿宋_GB2312" w:eastAsia="仿宋_GB2312"/>
          <w:sz w:val="32"/>
          <w:szCs w:val="32"/>
          <w:lang w:eastAsia="zh-CN"/>
        </w:rPr>
        <w:t>1</w:t>
      </w:r>
      <w:r>
        <w:rPr>
          <w:rFonts w:ascii="仿宋_GB2312" w:eastAsia="仿宋_GB2312"/>
          <w:sz w:val="32"/>
          <w:szCs w:val="32"/>
          <w:lang w:eastAsia="zh-CN"/>
        </w:rPr>
        <w:t>.教育支出（类）489.29万元，占100.00%。</w:t>
      </w:r>
    </w:p>
    <w:p w14:paraId="3FCBEDA6">
      <w:pPr>
        <w:spacing w:after="0" w:line="240" w:lineRule="auto"/>
        <w:ind w:firstLine="643" w:firstLineChars="200"/>
        <w:outlineLvl w:val="2"/>
        <w:rPr>
          <w:rFonts w:ascii="黑体" w:eastAsia="黑体"/>
          <w:sz w:val="32"/>
          <w:szCs w:val="32"/>
          <w:lang w:eastAsia="zh-CN"/>
        </w:rPr>
      </w:pPr>
      <w:r>
        <w:rPr>
          <w:rFonts w:ascii="黑体" w:eastAsia="黑体"/>
          <w:b/>
          <w:sz w:val="32"/>
          <w:szCs w:val="32"/>
          <w:lang w:eastAsia="zh-CN"/>
        </w:rPr>
        <w:t>（三）一般公共预算财政拨款支出决算具体情况</w:t>
      </w:r>
    </w:p>
    <w:p w14:paraId="0D68E02F">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1、教育支出（类）普通教育（款）学前教育（项）：支出决算数为467.29万元，比上年决算减少758.59万元，下降61.88%，主要原因是：</w:t>
      </w:r>
      <w:r>
        <w:rPr>
          <w:rFonts w:hint="eastAsia" w:ascii="仿宋_GB2312" w:eastAsia="仿宋_GB2312"/>
          <w:sz w:val="32"/>
          <w:szCs w:val="32"/>
          <w:lang w:eastAsia="zh-CN"/>
        </w:rPr>
        <w:t>单位本年人员减少，相应人员工资、津贴补贴、奖金等经费减少</w:t>
      </w:r>
      <w:r>
        <w:rPr>
          <w:rFonts w:ascii="仿宋_GB2312" w:eastAsia="仿宋_GB2312"/>
          <w:sz w:val="32"/>
          <w:szCs w:val="32"/>
          <w:lang w:eastAsia="zh-CN"/>
        </w:rPr>
        <w:t>。</w:t>
      </w:r>
    </w:p>
    <w:p w14:paraId="0B6D2D9D">
      <w:pPr>
        <w:spacing w:after="0" w:line="240" w:lineRule="auto"/>
        <w:ind w:firstLine="640" w:firstLineChars="200"/>
        <w:rPr>
          <w:rFonts w:ascii="仿宋_GB2312" w:eastAsia="仿宋_GB2312"/>
          <w:sz w:val="32"/>
          <w:szCs w:val="32"/>
          <w:lang w:eastAsia="zh-CN"/>
        </w:rPr>
      </w:pPr>
      <w:r>
        <w:rPr>
          <w:rFonts w:ascii="仿宋_GB2312" w:eastAsia="仿宋_GB2312"/>
          <w:sz w:val="32"/>
          <w:szCs w:val="32"/>
          <w:lang w:eastAsia="zh-CN"/>
        </w:rPr>
        <w:t>2、教育支出（类）教育费附加安排的支出（款）其他教育费附加安排的支出（项）：支</w:t>
      </w:r>
      <w:bookmarkStart w:id="1" w:name="_GoBack"/>
      <w:bookmarkEnd w:id="1"/>
      <w:r>
        <w:rPr>
          <w:rFonts w:ascii="仿宋_GB2312" w:eastAsia="仿宋_GB2312"/>
          <w:sz w:val="32"/>
          <w:szCs w:val="32"/>
          <w:lang w:eastAsia="zh-CN"/>
        </w:rPr>
        <w:t>出决算数为22.00万元，比上年决算增加22.00万元，增长100.00%，主要原因是：单位本年城镇幼儿园公用经费增加。</w:t>
      </w:r>
    </w:p>
    <w:p w14:paraId="767B9EE6">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3、社会保障和就业支出（类）行政事业单位养老支出（款）机关事业单位职业年金缴费支出（项）：支出决算数为0.00万元，比上年决算减少0.54万元，下降100.00%，主要原因是：</w:t>
      </w:r>
      <w:r>
        <w:rPr>
          <w:rFonts w:hint="eastAsia" w:ascii="仿宋_GB2312" w:eastAsia="仿宋_GB2312"/>
          <w:sz w:val="32"/>
          <w:szCs w:val="32"/>
          <w:lang w:eastAsia="zh-CN"/>
        </w:rPr>
        <w:t>单位本年退休人员一次性职业年金缴费减少</w:t>
      </w:r>
      <w:r>
        <w:rPr>
          <w:rFonts w:ascii="仿宋_GB2312" w:eastAsia="仿宋_GB2312"/>
          <w:sz w:val="32"/>
          <w:szCs w:val="32"/>
          <w:lang w:eastAsia="zh-CN"/>
        </w:rPr>
        <w:t>。</w:t>
      </w:r>
    </w:p>
    <w:p w14:paraId="7F8BC69A">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六、一般公共预算财政拨款基本支出决算情况说明</w:t>
      </w:r>
    </w:p>
    <w:p w14:paraId="304EF543">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一般公共预算财政拨款基本支出453.00万元，其中：人员经费419.64万元，包括：基本工资、津贴补贴、奖金、机关事业单位基本养老保险缴费、职工基本医疗保险缴费、公务员医疗补助缴费、其他社会保障缴费、住房公积金、医疗费和其他工资福利支出。</w:t>
      </w:r>
    </w:p>
    <w:p w14:paraId="6023D3CB">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公用经费33.37万元，包括：办公费、手续费、水费、电费、邮电费、取暖费、维修（护）费、专用材料费、劳务费、其他商品和服务支出和专用设备购置。</w:t>
      </w:r>
    </w:p>
    <w:p w14:paraId="59810563">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七、政府性基金预算财政拨款收入支出决算情况说明</w:t>
      </w:r>
    </w:p>
    <w:p w14:paraId="45B87D5B">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本单位本年度无政府性基金预算财政拨款收入、支出及结转和结余，政府性基金预算财政拨款收入支出决算表为空表。</w:t>
      </w:r>
    </w:p>
    <w:p w14:paraId="51ADF675">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八、国有资本经营预算财政拨款收入支出决算情况说明</w:t>
      </w:r>
    </w:p>
    <w:p w14:paraId="19D4BDA6">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本单位本年度无国有资本经营预算财政拨款收入、支出及结转和结余，国有资本经营预算财政拨款收入支出决算表为空表。</w:t>
      </w:r>
    </w:p>
    <w:p w14:paraId="117C464D">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九、财政拨款“三公”经费支出决算情况说明</w:t>
      </w:r>
    </w:p>
    <w:p w14:paraId="67A1A5E7">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2024年度财政拨款“三公”经费支出0.00万元，与上年相比无变化，主要原因是：</w:t>
      </w:r>
      <w:r>
        <w:rPr>
          <w:rFonts w:hint="eastAsia" w:ascii="仿宋_GB2312" w:eastAsia="仿宋_GB2312"/>
          <w:sz w:val="32"/>
          <w:szCs w:val="32"/>
          <w:lang w:eastAsia="zh-CN"/>
        </w:rPr>
        <w:t>我单位上年度与本年度均无此项经费</w:t>
      </w:r>
      <w:r>
        <w:rPr>
          <w:rFonts w:ascii="仿宋_GB2312" w:eastAsia="仿宋_GB2312"/>
          <w:sz w:val="32"/>
          <w:szCs w:val="32"/>
          <w:lang w:eastAsia="zh-CN"/>
        </w:rPr>
        <w:t>。其中：因公出国（境）费支出0.00万元,占0.00%，与上年相比无变化，主要原因是：</w:t>
      </w:r>
      <w:r>
        <w:rPr>
          <w:rFonts w:hint="eastAsia" w:ascii="仿宋_GB2312" w:eastAsia="仿宋_GB2312"/>
          <w:sz w:val="32"/>
          <w:szCs w:val="32"/>
          <w:lang w:eastAsia="zh-CN"/>
        </w:rPr>
        <w:t>我单位上年度与本年度均无此项经费</w:t>
      </w:r>
      <w:r>
        <w:rPr>
          <w:rFonts w:ascii="仿宋_GB2312" w:eastAsia="仿宋_GB2312"/>
          <w:sz w:val="32"/>
          <w:szCs w:val="32"/>
          <w:lang w:eastAsia="zh-CN"/>
        </w:rPr>
        <w:t>；公务用车购置及运行维护费支出0.00万元，占0.00%，与上年相比无变化，主要原因是：</w:t>
      </w:r>
      <w:r>
        <w:rPr>
          <w:rFonts w:hint="eastAsia" w:ascii="仿宋_GB2312" w:eastAsia="仿宋_GB2312"/>
          <w:sz w:val="32"/>
          <w:szCs w:val="32"/>
          <w:lang w:eastAsia="zh-CN"/>
        </w:rPr>
        <w:t>我单位上年度与本年度均无此项经费</w:t>
      </w:r>
      <w:r>
        <w:rPr>
          <w:rFonts w:ascii="仿宋_GB2312" w:eastAsia="仿宋_GB2312"/>
          <w:sz w:val="32"/>
          <w:szCs w:val="32"/>
          <w:lang w:eastAsia="zh-CN"/>
        </w:rPr>
        <w:t>；公务接待费支出0.00万元，占0.00%，与上年相比无变化，主要原因是：</w:t>
      </w:r>
      <w:r>
        <w:rPr>
          <w:rFonts w:hint="eastAsia" w:ascii="仿宋_GB2312" w:eastAsia="仿宋_GB2312"/>
          <w:sz w:val="32"/>
          <w:szCs w:val="32"/>
          <w:lang w:eastAsia="zh-CN"/>
        </w:rPr>
        <w:t>我单位上年度与本年度均无此项经费</w:t>
      </w:r>
      <w:r>
        <w:rPr>
          <w:rFonts w:ascii="仿宋_GB2312" w:eastAsia="仿宋_GB2312"/>
          <w:sz w:val="32"/>
          <w:szCs w:val="32"/>
          <w:lang w:eastAsia="zh-CN"/>
        </w:rPr>
        <w:t>。</w:t>
      </w:r>
    </w:p>
    <w:p w14:paraId="3F667605">
      <w:pPr>
        <w:spacing w:after="0" w:line="240" w:lineRule="auto"/>
        <w:ind w:firstLine="640" w:firstLineChars="200"/>
        <w:rPr>
          <w:rFonts w:ascii="仿宋_GB2312" w:eastAsia="仿宋_GB2312"/>
          <w:sz w:val="32"/>
          <w:szCs w:val="32"/>
          <w:lang w:eastAsia="zh-CN"/>
        </w:rPr>
      </w:pPr>
      <w:r>
        <w:rPr>
          <w:rFonts w:ascii="仿宋_GB2312" w:eastAsia="仿宋_GB2312"/>
          <w:sz w:val="32"/>
          <w:szCs w:val="32"/>
          <w:lang w:eastAsia="zh-CN"/>
        </w:rPr>
        <w:t>具体情况如下：</w:t>
      </w:r>
    </w:p>
    <w:p w14:paraId="58CA7542">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因公出国（境）费支出0.00万元，开支内容包括单位本年无因公出国（境）费支出。单位全年安排的因公出国（境）团组0个，因公出国（境）0人次。</w:t>
      </w:r>
    </w:p>
    <w:p w14:paraId="6A013DD7">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公务用车购置及运行维护费0.00万元，其中：公务用车购置费0.00万元，公务用车运行维护费0.00万元。公务用车运行维护费开支内容包括单位本年无公务用车运行维护费支出。公务用车购置数0辆，公务用车保有量0辆。国有资产占用情况中固定资产车辆0辆，与公务用车保有量差异原因是：</w:t>
      </w:r>
      <w:r>
        <w:rPr>
          <w:rFonts w:hint="eastAsia" w:ascii="仿宋_GB2312" w:eastAsia="仿宋_GB2312"/>
          <w:sz w:val="32"/>
          <w:szCs w:val="32"/>
          <w:lang w:eastAsia="zh-CN"/>
        </w:rPr>
        <w:t>本单位固定资产车辆与公务用车保有量一致无差异</w:t>
      </w:r>
      <w:r>
        <w:rPr>
          <w:rFonts w:ascii="仿宋_GB2312" w:eastAsia="仿宋_GB2312"/>
          <w:sz w:val="32"/>
          <w:szCs w:val="32"/>
          <w:lang w:eastAsia="zh-CN"/>
        </w:rPr>
        <w:t>。</w:t>
      </w:r>
    </w:p>
    <w:p w14:paraId="4CAE4B47">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公务接待费0.00万元，开支内容包括单位本年无公务接待费支出。单位全年安排的国内公务接待0批次，0人次。</w:t>
      </w:r>
    </w:p>
    <w:p w14:paraId="558ACB64">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与全年预算相比，财政拨款“三公”经费支出全年预算数0.00万元，决算数0.00万元，预决算差异率0.00%，主要原因是：严格按照预算执行，预决算对比无差异。其中：因公出国（境）费全年预算数0.00万元，决算数0.00万元，预决算差异率0.00%，主要原因是：严格按照预算执行，预决算对比无差异；公务用车购置费全年预算数0.00万元，决算数0.00万元，预决算差异率0.00%，主要原因是：严格按照预算执行，预决算对比无差异；公务用车运行维护费全年预算数0.00万元，决算数0.00万元，预决算差异率0.00%，主要原因是：严格按照预算执行，预决算对比无差异；公务接待费全年预算数0.00万元，决算数0.00万元，预决算差异率0.00%，主要原因是：严格按照预算执行，预决算对比无差异。</w:t>
      </w:r>
    </w:p>
    <w:p w14:paraId="48A9AB0C">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十、其他重要事项的情况说明</w:t>
      </w:r>
    </w:p>
    <w:p w14:paraId="3013BE88">
      <w:pPr>
        <w:spacing w:after="0" w:line="240" w:lineRule="auto"/>
        <w:ind w:firstLine="643" w:firstLineChars="200"/>
        <w:outlineLvl w:val="2"/>
        <w:rPr>
          <w:rFonts w:ascii="黑体" w:eastAsia="黑体"/>
          <w:sz w:val="32"/>
          <w:szCs w:val="32"/>
          <w:lang w:eastAsia="zh-CN"/>
        </w:rPr>
      </w:pPr>
      <w:r>
        <w:rPr>
          <w:rFonts w:ascii="黑体" w:eastAsia="黑体"/>
          <w:b/>
          <w:sz w:val="32"/>
          <w:szCs w:val="32"/>
          <w:lang w:eastAsia="zh-CN"/>
        </w:rPr>
        <w:t>（一）机关运行经费及公用经费支出情况</w:t>
      </w:r>
    </w:p>
    <w:p w14:paraId="008132B7">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2024年度昌吉市第六幼儿园单位（事业单位）公用经费支出33.37万元，比上年减少44.76万元，下降57.29%，主要原因是：单位本年</w:t>
      </w:r>
      <w:r>
        <w:rPr>
          <w:rFonts w:hint="eastAsia" w:ascii="仿宋_GB2312" w:eastAsia="仿宋_GB2312"/>
          <w:sz w:val="32"/>
          <w:szCs w:val="32"/>
          <w:lang w:eastAsia="zh-CN"/>
        </w:rPr>
        <w:t>办公费、水费、电费、邮电费、取暖费</w:t>
      </w:r>
      <w:r>
        <w:rPr>
          <w:rFonts w:ascii="仿宋_GB2312" w:eastAsia="仿宋_GB2312"/>
          <w:sz w:val="32"/>
          <w:szCs w:val="32"/>
          <w:lang w:eastAsia="zh-CN"/>
        </w:rPr>
        <w:t>减少。</w:t>
      </w:r>
    </w:p>
    <w:p w14:paraId="778338A5">
      <w:pPr>
        <w:spacing w:after="0" w:line="240" w:lineRule="auto"/>
        <w:ind w:firstLine="643" w:firstLineChars="200"/>
        <w:outlineLvl w:val="2"/>
        <w:rPr>
          <w:rFonts w:ascii="黑体" w:eastAsia="黑体"/>
          <w:sz w:val="32"/>
          <w:szCs w:val="32"/>
          <w:lang w:eastAsia="zh-CN"/>
        </w:rPr>
      </w:pPr>
      <w:r>
        <w:rPr>
          <w:rFonts w:ascii="黑体" w:eastAsia="黑体"/>
          <w:b/>
          <w:sz w:val="32"/>
          <w:szCs w:val="32"/>
          <w:lang w:eastAsia="zh-CN"/>
        </w:rPr>
        <w:t>（二）政府采购情况</w:t>
      </w:r>
    </w:p>
    <w:p w14:paraId="00210B8E">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2024年度政府采购支出总额5.61万元，其中：政府采购货物支出5.61万元、政府采购工程支出0.00万元、政府采购服务支出0.00万元。</w:t>
      </w:r>
    </w:p>
    <w:p w14:paraId="0EC4FE1C">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授予中小企业合同金额5.61万元，占政府采购支出总额的100.00%，其中：授予小微企业合同金额5.61万元，占政府采购支出总额的100.00%。</w:t>
      </w:r>
    </w:p>
    <w:p w14:paraId="36554281">
      <w:pPr>
        <w:spacing w:after="0" w:line="240" w:lineRule="auto"/>
        <w:ind w:firstLine="643" w:firstLineChars="200"/>
        <w:outlineLvl w:val="2"/>
        <w:rPr>
          <w:rFonts w:ascii="黑体" w:eastAsia="黑体"/>
          <w:sz w:val="32"/>
          <w:szCs w:val="32"/>
          <w:lang w:eastAsia="zh-CN"/>
        </w:rPr>
      </w:pPr>
      <w:r>
        <w:rPr>
          <w:rFonts w:ascii="黑体" w:eastAsia="黑体"/>
          <w:b/>
          <w:sz w:val="32"/>
          <w:szCs w:val="32"/>
          <w:lang w:eastAsia="zh-CN"/>
        </w:rPr>
        <w:t>（三）国有资产占用情况说明</w:t>
      </w:r>
    </w:p>
    <w:p w14:paraId="7FE517E5">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rPr>
        <w:t>截至2024年12月31日，房屋6,220.00平方米，价值1,007.44万元。</w:t>
      </w:r>
      <w:r>
        <w:rPr>
          <w:rFonts w:ascii="仿宋_GB2312" w:eastAsia="仿宋_GB2312"/>
          <w:sz w:val="32"/>
          <w:szCs w:val="32"/>
          <w:lang w:eastAsia="zh-CN"/>
        </w:rPr>
        <w:t>车辆0辆，价值0.00万元，其中：副部（省）级及以上领导用车0辆、主要负责人用车0辆、机要通信用车0辆、应急保障用车0辆、执法执勤用车0辆、特种专业技术用车0辆、离退休干部服务用车0辆、其他用车0辆，其他用车主要是：本单位无其他用车;单价100万元（含）以上设备（不含车辆）0台（套）。</w:t>
      </w:r>
    </w:p>
    <w:p w14:paraId="12D2B816">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十一、预算绩效的情况说明</w:t>
      </w:r>
    </w:p>
    <w:p w14:paraId="38ECDC44">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根据预算绩效管理要求，本单位2024年度预算绩效管理形成整体支出绩效自评表1个，全年预算总额496.50万元，实际执行总额496.25万元；预算绩效评价项目</w:t>
      </w:r>
      <w:r>
        <w:rPr>
          <w:rFonts w:hint="eastAsia" w:ascii="仿宋_GB2312" w:eastAsia="仿宋_GB2312"/>
          <w:sz w:val="32"/>
          <w:szCs w:val="32"/>
          <w:lang w:eastAsia="zh-CN"/>
        </w:rPr>
        <w:t>1</w:t>
      </w:r>
      <w:r>
        <w:rPr>
          <w:rFonts w:ascii="仿宋_GB2312" w:eastAsia="仿宋_GB2312"/>
          <w:sz w:val="32"/>
          <w:szCs w:val="32"/>
          <w:lang w:eastAsia="zh-CN"/>
        </w:rPr>
        <w:t>个，全年预算数2.00万元，全年执行数2.00万元。预算绩效管理取得的成效：一是通过保教费项目的实施，提高教学质量</w:t>
      </w:r>
      <w:r>
        <w:rPr>
          <w:rFonts w:hint="eastAsia" w:ascii="仿宋_GB2312" w:eastAsia="仿宋_GB2312"/>
          <w:sz w:val="32"/>
          <w:szCs w:val="32"/>
          <w:lang w:eastAsia="zh-CN"/>
        </w:rPr>
        <w:t>，绩效目标编制全覆盖，年初预算、追加预算、重点项目等都进行了绩效目标编制</w:t>
      </w:r>
      <w:r>
        <w:rPr>
          <w:rFonts w:ascii="仿宋_GB2312" w:eastAsia="仿宋_GB2312"/>
          <w:sz w:val="32"/>
          <w:szCs w:val="32"/>
          <w:lang w:eastAsia="zh-CN"/>
        </w:rPr>
        <w:t>；二是通过育才项目，促进教育水平的提升</w:t>
      </w:r>
      <w:r>
        <w:rPr>
          <w:rFonts w:hint="eastAsia" w:ascii="仿宋_GB2312" w:eastAsia="仿宋_GB2312"/>
          <w:sz w:val="32"/>
          <w:szCs w:val="32"/>
          <w:lang w:eastAsia="zh-CN"/>
        </w:rPr>
        <w:t>，通过绩效评价的实施，积极反馈科室整改，补齐短板</w:t>
      </w:r>
      <w:r>
        <w:rPr>
          <w:rFonts w:ascii="仿宋_GB2312" w:eastAsia="仿宋_GB2312"/>
          <w:sz w:val="32"/>
          <w:szCs w:val="32"/>
          <w:lang w:eastAsia="zh-CN"/>
        </w:rPr>
        <w:t>。发现的问题及原因：一是工作机制有待进一步完善，在平时工作中需要加强绩效监控工作的重视</w:t>
      </w:r>
      <w:r>
        <w:rPr>
          <w:rFonts w:hint="eastAsia" w:ascii="仿宋_GB2312" w:eastAsia="仿宋_GB2312"/>
          <w:sz w:val="32"/>
          <w:szCs w:val="32"/>
          <w:lang w:eastAsia="zh-CN"/>
        </w:rPr>
        <w:t>，绩效标准不健全，绩效目标的设置还不科学，预算资金与绩效目标之间的匹配程度还不够高，目标审核基本上还是形式性审核，实质性审核程度不高</w:t>
      </w:r>
      <w:r>
        <w:rPr>
          <w:rFonts w:ascii="仿宋_GB2312" w:eastAsia="仿宋_GB2312"/>
          <w:sz w:val="32"/>
          <w:szCs w:val="32"/>
          <w:lang w:eastAsia="zh-CN"/>
        </w:rPr>
        <w:t>；二是绩效监控工作容易滞后，未形成对绩效目标进行监控的习惯。下一步改进措施：一是在今后的工作一方面要严格预算编制，做到细化精确；二是定期对预算执行情况进行监督，使绩效目标监控与政府工作、财务工作挂钩，做到及时监控，及时控制，避免疏忽。具体附部门整体支出绩效自评表，项目支出绩效自评表和部门评价报告。</w:t>
      </w:r>
    </w:p>
    <w:p w14:paraId="71CADFFC">
      <w:pPr>
        <w:jc w:val="center"/>
        <w:rPr>
          <w:rFonts w:hint="eastAsia" w:ascii="宋体" w:hAnsi="宋体" w:eastAsia="宋体" w:cs="宋体"/>
          <w:b/>
          <w:bCs/>
          <w:sz w:val="28"/>
          <w:szCs w:val="28"/>
          <w:lang w:eastAsia="zh-CN"/>
        </w:rPr>
      </w:pPr>
      <w:r>
        <w:rPr>
          <w:rFonts w:hint="eastAsia" w:ascii="宋体" w:hAnsi="宋体" w:eastAsia="宋体" w:cs="宋体"/>
          <w:b/>
          <w:bCs/>
          <w:sz w:val="28"/>
          <w:szCs w:val="28"/>
          <w:lang w:eastAsia="zh-CN"/>
        </w:rPr>
        <w:t>部门（单位）整体支出绩效目标自评表</w:t>
      </w:r>
    </w:p>
    <w:p w14:paraId="0EFFCB19">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9651" w:type="dxa"/>
        <w:tblInd w:w="0" w:type="dxa"/>
        <w:tblLayout w:type="fixed"/>
        <w:tblCellMar>
          <w:top w:w="0" w:type="dxa"/>
          <w:left w:w="108" w:type="dxa"/>
          <w:bottom w:w="0" w:type="dxa"/>
          <w:right w:w="108" w:type="dxa"/>
        </w:tblCellMar>
      </w:tblPr>
      <w:tblGrid>
        <w:gridCol w:w="993"/>
        <w:gridCol w:w="1417"/>
        <w:gridCol w:w="1418"/>
        <w:gridCol w:w="1242"/>
        <w:gridCol w:w="1417"/>
        <w:gridCol w:w="1134"/>
        <w:gridCol w:w="1310"/>
        <w:gridCol w:w="720"/>
      </w:tblGrid>
      <w:tr w14:paraId="7242B300">
        <w:tblPrEx>
          <w:tblCellMar>
            <w:top w:w="0" w:type="dxa"/>
            <w:left w:w="108" w:type="dxa"/>
            <w:bottom w:w="0" w:type="dxa"/>
            <w:right w:w="108" w:type="dxa"/>
          </w:tblCellMar>
        </w:tblPrEx>
        <w:trPr>
          <w:cantSplit/>
          <w:trHeight w:val="660" w:hRule="atLeast"/>
        </w:trPr>
        <w:tc>
          <w:tcPr>
            <w:tcW w:w="993" w:type="dxa"/>
            <w:tcBorders>
              <w:top w:val="single" w:color="auto" w:sz="4" w:space="0"/>
              <w:left w:val="single" w:color="auto" w:sz="4" w:space="0"/>
              <w:bottom w:val="single" w:color="auto" w:sz="4" w:space="0"/>
              <w:right w:val="single" w:color="auto" w:sz="4" w:space="0"/>
            </w:tcBorders>
            <w:noWrap/>
            <w:vAlign w:val="center"/>
          </w:tcPr>
          <w:p w14:paraId="061F3E00">
            <w:pPr>
              <w:jc w:val="center"/>
              <w:rPr>
                <w:rFonts w:hint="eastAsia" w:ascii="宋体" w:hAnsi="宋体" w:eastAsia="宋体" w:cs="宋体"/>
                <w:b/>
                <w:bCs/>
                <w:sz w:val="18"/>
                <w:szCs w:val="18"/>
              </w:rPr>
            </w:pPr>
            <w:r>
              <w:rPr>
                <w:rFonts w:hint="eastAsia" w:ascii="宋体" w:hAnsi="宋体" w:eastAsia="宋体" w:cs="宋体"/>
                <w:b/>
                <w:bCs/>
                <w:sz w:val="18"/>
                <w:szCs w:val="18"/>
              </w:rPr>
              <w:t>部门（单位）名称</w:t>
            </w:r>
          </w:p>
        </w:tc>
        <w:tc>
          <w:tcPr>
            <w:tcW w:w="8658" w:type="dxa"/>
            <w:gridSpan w:val="7"/>
            <w:tcBorders>
              <w:top w:val="single" w:color="auto" w:sz="4" w:space="0"/>
              <w:left w:val="nil"/>
              <w:bottom w:val="single" w:color="auto" w:sz="4" w:space="0"/>
              <w:right w:val="single" w:color="auto" w:sz="4" w:space="0"/>
            </w:tcBorders>
            <w:noWrap/>
            <w:vAlign w:val="center"/>
          </w:tcPr>
          <w:p w14:paraId="779A3726">
            <w:pPr>
              <w:jc w:val="center"/>
              <w:rPr>
                <w:rFonts w:hint="eastAsia" w:ascii="宋体" w:hAnsi="宋体" w:eastAsia="宋体" w:cs="宋体"/>
                <w:b/>
                <w:bCs/>
                <w:sz w:val="18"/>
                <w:szCs w:val="18"/>
              </w:rPr>
            </w:pPr>
            <w:r>
              <w:rPr>
                <w:rFonts w:hint="eastAsia" w:ascii="宋体" w:hAnsi="宋体" w:eastAsia="宋体" w:cs="宋体"/>
                <w:b/>
                <w:bCs/>
                <w:sz w:val="18"/>
                <w:szCs w:val="18"/>
              </w:rPr>
              <w:t>昌吉市第六幼儿园</w:t>
            </w:r>
          </w:p>
        </w:tc>
      </w:tr>
      <w:tr w14:paraId="4A187768">
        <w:tblPrEx>
          <w:tblCellMar>
            <w:top w:w="0" w:type="dxa"/>
            <w:left w:w="108" w:type="dxa"/>
            <w:bottom w:w="0" w:type="dxa"/>
            <w:right w:w="108" w:type="dxa"/>
          </w:tblCellMar>
        </w:tblPrEx>
        <w:trPr>
          <w:cantSplit/>
          <w:trHeight w:val="570" w:hRule="atLeast"/>
        </w:trPr>
        <w:tc>
          <w:tcPr>
            <w:tcW w:w="993" w:type="dxa"/>
            <w:vMerge w:val="restart"/>
            <w:tcBorders>
              <w:top w:val="single" w:color="auto" w:sz="4" w:space="0"/>
              <w:left w:val="single" w:color="auto" w:sz="4" w:space="0"/>
              <w:bottom w:val="single" w:color="auto" w:sz="4" w:space="0"/>
              <w:right w:val="single" w:color="auto" w:sz="4" w:space="0"/>
            </w:tcBorders>
            <w:vAlign w:val="center"/>
          </w:tcPr>
          <w:p w14:paraId="03D9ED22">
            <w:pPr>
              <w:jc w:val="center"/>
              <w:rPr>
                <w:rFonts w:hint="eastAsia" w:ascii="宋体" w:hAnsi="宋体" w:eastAsia="宋体" w:cs="宋体"/>
                <w:b/>
                <w:bCs/>
                <w:sz w:val="18"/>
                <w:szCs w:val="18"/>
              </w:rPr>
            </w:pPr>
            <w:r>
              <w:rPr>
                <w:rFonts w:hint="eastAsia" w:ascii="宋体" w:hAnsi="宋体" w:eastAsia="宋体" w:cs="宋体"/>
                <w:b/>
                <w:bCs/>
                <w:sz w:val="18"/>
                <w:szCs w:val="18"/>
              </w:rPr>
              <w:t>部门资金（万元）</w:t>
            </w:r>
          </w:p>
        </w:tc>
        <w:tc>
          <w:tcPr>
            <w:tcW w:w="1417" w:type="dxa"/>
            <w:tcBorders>
              <w:top w:val="nil"/>
              <w:left w:val="nil"/>
              <w:bottom w:val="single" w:color="auto" w:sz="4" w:space="0"/>
              <w:right w:val="single" w:color="auto" w:sz="4" w:space="0"/>
            </w:tcBorders>
            <w:vAlign w:val="center"/>
          </w:tcPr>
          <w:p w14:paraId="5A6AD4A4">
            <w:pPr>
              <w:jc w:val="center"/>
              <w:rPr>
                <w:rFonts w:hint="eastAsia" w:ascii="宋体" w:hAnsi="宋体" w:eastAsia="宋体" w:cs="宋体"/>
                <w:b/>
                <w:bCs/>
                <w:sz w:val="18"/>
                <w:szCs w:val="18"/>
              </w:rPr>
            </w:pPr>
            <w:r>
              <w:rPr>
                <w:rFonts w:hint="eastAsia" w:ascii="宋体" w:hAnsi="宋体" w:eastAsia="宋体" w:cs="宋体"/>
                <w:b/>
                <w:bCs/>
                <w:sz w:val="18"/>
                <w:szCs w:val="18"/>
              </w:rPr>
              <w:t>资金来源</w:t>
            </w:r>
          </w:p>
        </w:tc>
        <w:tc>
          <w:tcPr>
            <w:tcW w:w="1418" w:type="dxa"/>
            <w:tcBorders>
              <w:top w:val="nil"/>
              <w:left w:val="nil"/>
              <w:bottom w:val="single" w:color="auto" w:sz="4" w:space="0"/>
              <w:right w:val="single" w:color="auto" w:sz="4" w:space="0"/>
            </w:tcBorders>
            <w:vAlign w:val="center"/>
          </w:tcPr>
          <w:p w14:paraId="4F6C869F">
            <w:pPr>
              <w:jc w:val="center"/>
              <w:rPr>
                <w:rFonts w:hint="eastAsia" w:ascii="宋体" w:hAnsi="宋体" w:eastAsia="宋体" w:cs="宋体"/>
                <w:b/>
                <w:bCs/>
                <w:sz w:val="18"/>
                <w:szCs w:val="18"/>
              </w:rPr>
            </w:pPr>
            <w:r>
              <w:rPr>
                <w:rFonts w:hint="eastAsia" w:ascii="宋体" w:hAnsi="宋体" w:eastAsia="宋体" w:cs="宋体"/>
                <w:b/>
                <w:bCs/>
                <w:sz w:val="18"/>
                <w:szCs w:val="18"/>
              </w:rPr>
              <w:t>年初预算数</w:t>
            </w:r>
          </w:p>
        </w:tc>
        <w:tc>
          <w:tcPr>
            <w:tcW w:w="1242" w:type="dxa"/>
            <w:tcBorders>
              <w:top w:val="nil"/>
              <w:left w:val="nil"/>
              <w:bottom w:val="single" w:color="auto" w:sz="4" w:space="0"/>
              <w:right w:val="single" w:color="auto" w:sz="4" w:space="0"/>
            </w:tcBorders>
            <w:vAlign w:val="center"/>
          </w:tcPr>
          <w:p w14:paraId="117562F2">
            <w:pPr>
              <w:jc w:val="center"/>
              <w:rPr>
                <w:rFonts w:hint="eastAsia" w:ascii="宋体" w:hAnsi="宋体" w:eastAsia="宋体" w:cs="宋体"/>
                <w:b/>
                <w:bCs/>
                <w:sz w:val="18"/>
                <w:szCs w:val="18"/>
              </w:rPr>
            </w:pPr>
            <w:r>
              <w:rPr>
                <w:rFonts w:hint="eastAsia" w:ascii="宋体" w:hAnsi="宋体" w:eastAsia="宋体" w:cs="宋体"/>
                <w:b/>
                <w:bCs/>
                <w:sz w:val="18"/>
                <w:szCs w:val="18"/>
              </w:rPr>
              <w:t>全年预算数</w:t>
            </w:r>
          </w:p>
        </w:tc>
        <w:tc>
          <w:tcPr>
            <w:tcW w:w="1417" w:type="dxa"/>
            <w:tcBorders>
              <w:top w:val="nil"/>
              <w:left w:val="nil"/>
              <w:bottom w:val="single" w:color="auto" w:sz="4" w:space="0"/>
              <w:right w:val="single" w:color="auto" w:sz="4" w:space="0"/>
            </w:tcBorders>
            <w:vAlign w:val="center"/>
          </w:tcPr>
          <w:p w14:paraId="5F61A7F1">
            <w:pPr>
              <w:jc w:val="center"/>
              <w:rPr>
                <w:rFonts w:hint="eastAsia" w:ascii="宋体" w:hAnsi="宋体" w:eastAsia="宋体" w:cs="宋体"/>
                <w:b/>
                <w:bCs/>
                <w:sz w:val="18"/>
                <w:szCs w:val="18"/>
              </w:rPr>
            </w:pPr>
            <w:r>
              <w:rPr>
                <w:rFonts w:hint="eastAsia" w:ascii="宋体" w:hAnsi="宋体" w:eastAsia="宋体" w:cs="宋体"/>
                <w:b/>
                <w:bCs/>
                <w:sz w:val="18"/>
                <w:szCs w:val="18"/>
              </w:rPr>
              <w:t>全年执行数</w:t>
            </w:r>
          </w:p>
        </w:tc>
        <w:tc>
          <w:tcPr>
            <w:tcW w:w="1134" w:type="dxa"/>
            <w:tcBorders>
              <w:top w:val="nil"/>
              <w:left w:val="nil"/>
              <w:bottom w:val="single" w:color="auto" w:sz="4" w:space="0"/>
              <w:right w:val="single" w:color="auto" w:sz="4" w:space="0"/>
            </w:tcBorders>
            <w:vAlign w:val="center"/>
          </w:tcPr>
          <w:p w14:paraId="4074B413">
            <w:pPr>
              <w:jc w:val="center"/>
              <w:rPr>
                <w:rFonts w:hint="eastAsia" w:ascii="宋体" w:hAnsi="宋体" w:eastAsia="宋体" w:cs="宋体"/>
                <w:b/>
                <w:bCs/>
                <w:sz w:val="18"/>
                <w:szCs w:val="18"/>
              </w:rPr>
            </w:pPr>
            <w:r>
              <w:rPr>
                <w:rFonts w:hint="eastAsia" w:ascii="宋体" w:hAnsi="宋体" w:eastAsia="宋体" w:cs="宋体"/>
                <w:b/>
                <w:bCs/>
                <w:sz w:val="18"/>
                <w:szCs w:val="18"/>
              </w:rPr>
              <w:t>分值权重</w:t>
            </w:r>
          </w:p>
        </w:tc>
        <w:tc>
          <w:tcPr>
            <w:tcW w:w="1310" w:type="dxa"/>
            <w:tcBorders>
              <w:top w:val="nil"/>
              <w:left w:val="nil"/>
              <w:bottom w:val="single" w:color="auto" w:sz="4" w:space="0"/>
              <w:right w:val="single" w:color="auto" w:sz="4" w:space="0"/>
            </w:tcBorders>
            <w:vAlign w:val="center"/>
          </w:tcPr>
          <w:p w14:paraId="582D097A">
            <w:pPr>
              <w:jc w:val="center"/>
              <w:rPr>
                <w:rFonts w:hint="eastAsia" w:ascii="宋体" w:hAnsi="宋体" w:eastAsia="宋体" w:cs="宋体"/>
                <w:b/>
                <w:bCs/>
                <w:sz w:val="18"/>
                <w:szCs w:val="18"/>
              </w:rPr>
            </w:pPr>
            <w:r>
              <w:rPr>
                <w:rFonts w:hint="eastAsia" w:ascii="宋体" w:hAnsi="宋体" w:eastAsia="宋体" w:cs="宋体"/>
                <w:b/>
                <w:bCs/>
                <w:sz w:val="18"/>
                <w:szCs w:val="18"/>
              </w:rPr>
              <w:t>执行率</w:t>
            </w:r>
          </w:p>
        </w:tc>
        <w:tc>
          <w:tcPr>
            <w:tcW w:w="720" w:type="dxa"/>
            <w:tcBorders>
              <w:top w:val="nil"/>
              <w:left w:val="nil"/>
              <w:bottom w:val="single" w:color="auto" w:sz="4" w:space="0"/>
              <w:right w:val="single" w:color="auto" w:sz="4" w:space="0"/>
            </w:tcBorders>
            <w:vAlign w:val="center"/>
          </w:tcPr>
          <w:p w14:paraId="52D17F96">
            <w:pPr>
              <w:jc w:val="center"/>
              <w:rPr>
                <w:rFonts w:hint="eastAsia" w:ascii="宋体" w:hAnsi="宋体" w:eastAsia="宋体" w:cs="宋体"/>
                <w:b/>
                <w:bCs/>
                <w:sz w:val="18"/>
                <w:szCs w:val="18"/>
              </w:rPr>
            </w:pPr>
            <w:r>
              <w:rPr>
                <w:rFonts w:hint="eastAsia" w:ascii="宋体" w:hAnsi="宋体" w:eastAsia="宋体" w:cs="宋体"/>
                <w:b/>
                <w:bCs/>
                <w:sz w:val="18"/>
                <w:szCs w:val="18"/>
              </w:rPr>
              <w:t>得分</w:t>
            </w:r>
          </w:p>
        </w:tc>
      </w:tr>
      <w:tr w14:paraId="1430BD87">
        <w:tblPrEx>
          <w:tblCellMar>
            <w:top w:w="0" w:type="dxa"/>
            <w:left w:w="108" w:type="dxa"/>
            <w:bottom w:w="0" w:type="dxa"/>
            <w:right w:w="108" w:type="dxa"/>
          </w:tblCellMar>
        </w:tblPrEx>
        <w:trPr>
          <w:cantSplit/>
          <w:trHeight w:val="489"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27A9A96C">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noWrap/>
            <w:vAlign w:val="center"/>
          </w:tcPr>
          <w:p w14:paraId="32D56981">
            <w:pPr>
              <w:jc w:val="center"/>
              <w:rPr>
                <w:rFonts w:hint="eastAsia" w:ascii="宋体" w:hAnsi="宋体" w:eastAsia="宋体" w:cs="宋体"/>
                <w:b/>
                <w:bCs/>
                <w:sz w:val="18"/>
                <w:szCs w:val="18"/>
              </w:rPr>
            </w:pPr>
            <w:r>
              <w:rPr>
                <w:rFonts w:hint="eastAsia" w:ascii="宋体" w:hAnsi="宋体" w:eastAsia="宋体" w:cs="宋体"/>
                <w:b/>
                <w:bCs/>
                <w:sz w:val="18"/>
                <w:szCs w:val="18"/>
              </w:rPr>
              <w:t>上级资金</w:t>
            </w:r>
          </w:p>
        </w:tc>
        <w:tc>
          <w:tcPr>
            <w:tcW w:w="1418" w:type="dxa"/>
            <w:tcBorders>
              <w:top w:val="nil"/>
              <w:left w:val="nil"/>
              <w:bottom w:val="single" w:color="auto" w:sz="4" w:space="0"/>
              <w:right w:val="single" w:color="auto" w:sz="4" w:space="0"/>
            </w:tcBorders>
            <w:vAlign w:val="center"/>
          </w:tcPr>
          <w:p w14:paraId="403D4877">
            <w:pPr>
              <w:jc w:val="center"/>
              <w:rPr>
                <w:rFonts w:hint="eastAsia" w:ascii="宋体" w:hAnsi="宋体" w:eastAsia="宋体" w:cs="宋体"/>
                <w:sz w:val="18"/>
                <w:szCs w:val="18"/>
              </w:rPr>
            </w:pPr>
            <w:r>
              <w:rPr>
                <w:rFonts w:hint="eastAsia" w:ascii="宋体" w:hAnsi="宋体" w:eastAsia="宋体" w:cs="宋体"/>
                <w:sz w:val="18"/>
                <w:szCs w:val="18"/>
              </w:rPr>
              <w:t>0.00</w:t>
            </w:r>
          </w:p>
        </w:tc>
        <w:tc>
          <w:tcPr>
            <w:tcW w:w="1242" w:type="dxa"/>
            <w:tcBorders>
              <w:top w:val="nil"/>
              <w:left w:val="nil"/>
              <w:bottom w:val="single" w:color="auto" w:sz="4" w:space="0"/>
              <w:right w:val="single" w:color="auto" w:sz="4" w:space="0"/>
            </w:tcBorders>
            <w:vAlign w:val="center"/>
          </w:tcPr>
          <w:p w14:paraId="0A11C577">
            <w:pPr>
              <w:jc w:val="center"/>
              <w:rPr>
                <w:rFonts w:hint="eastAsia" w:ascii="宋体" w:hAnsi="宋体" w:eastAsia="宋体" w:cs="宋体"/>
                <w:sz w:val="18"/>
                <w:szCs w:val="18"/>
              </w:rPr>
            </w:pPr>
            <w:r>
              <w:rPr>
                <w:rFonts w:hint="eastAsia" w:ascii="宋体" w:hAnsi="宋体" w:eastAsia="宋体" w:cs="宋体"/>
                <w:sz w:val="18"/>
                <w:szCs w:val="18"/>
              </w:rPr>
              <w:t>0.00</w:t>
            </w:r>
          </w:p>
        </w:tc>
        <w:tc>
          <w:tcPr>
            <w:tcW w:w="1417" w:type="dxa"/>
            <w:tcBorders>
              <w:top w:val="nil"/>
              <w:left w:val="nil"/>
              <w:bottom w:val="single" w:color="auto" w:sz="4" w:space="0"/>
              <w:right w:val="single" w:color="auto" w:sz="4" w:space="0"/>
            </w:tcBorders>
            <w:vAlign w:val="center"/>
          </w:tcPr>
          <w:p w14:paraId="66D11D9A">
            <w:pPr>
              <w:jc w:val="center"/>
              <w:rPr>
                <w:rFonts w:hint="eastAsia" w:ascii="宋体" w:hAnsi="宋体" w:eastAsia="宋体" w:cs="宋体"/>
                <w:sz w:val="18"/>
                <w:szCs w:val="18"/>
              </w:rPr>
            </w:pPr>
            <w:r>
              <w:rPr>
                <w:rFonts w:hint="eastAsia" w:ascii="宋体" w:hAnsi="宋体" w:eastAsia="宋体" w:cs="宋体"/>
                <w:sz w:val="18"/>
                <w:szCs w:val="18"/>
              </w:rPr>
              <w:t>0.00</w:t>
            </w:r>
          </w:p>
        </w:tc>
        <w:tc>
          <w:tcPr>
            <w:tcW w:w="1134" w:type="dxa"/>
            <w:tcBorders>
              <w:top w:val="nil"/>
              <w:left w:val="nil"/>
              <w:bottom w:val="single" w:color="auto" w:sz="4" w:space="0"/>
              <w:right w:val="single" w:color="auto" w:sz="4" w:space="0"/>
            </w:tcBorders>
            <w:vAlign w:val="center"/>
          </w:tcPr>
          <w:p w14:paraId="7F697FB2">
            <w:pPr>
              <w:jc w:val="center"/>
              <w:rPr>
                <w:rFonts w:hint="eastAsia" w:ascii="宋体" w:hAnsi="宋体" w:eastAsia="宋体" w:cs="宋体"/>
                <w:sz w:val="18"/>
                <w:szCs w:val="18"/>
              </w:rPr>
            </w:pPr>
            <w:r>
              <w:rPr>
                <w:rFonts w:hint="eastAsia" w:ascii="宋体" w:hAnsi="宋体" w:eastAsia="宋体" w:cs="宋体"/>
                <w:sz w:val="18"/>
                <w:szCs w:val="18"/>
              </w:rPr>
              <w:t>10</w:t>
            </w:r>
          </w:p>
        </w:tc>
        <w:tc>
          <w:tcPr>
            <w:tcW w:w="1310" w:type="dxa"/>
            <w:tcBorders>
              <w:top w:val="nil"/>
              <w:left w:val="nil"/>
              <w:bottom w:val="single" w:color="auto" w:sz="4" w:space="0"/>
              <w:right w:val="single" w:color="auto" w:sz="4" w:space="0"/>
            </w:tcBorders>
            <w:vAlign w:val="center"/>
          </w:tcPr>
          <w:p w14:paraId="0D54DF4E">
            <w:pPr>
              <w:jc w:val="center"/>
              <w:rPr>
                <w:rFonts w:hint="eastAsia" w:ascii="宋体" w:hAnsi="宋体" w:eastAsia="宋体" w:cs="宋体"/>
                <w:sz w:val="18"/>
                <w:szCs w:val="18"/>
              </w:rPr>
            </w:pPr>
            <w:r>
              <w:rPr>
                <w:rFonts w:hint="eastAsia" w:ascii="宋体" w:hAnsi="宋体" w:eastAsia="宋体" w:cs="宋体"/>
                <w:sz w:val="18"/>
                <w:szCs w:val="18"/>
              </w:rPr>
              <w:t>99.95%</w:t>
            </w:r>
          </w:p>
        </w:tc>
        <w:tc>
          <w:tcPr>
            <w:tcW w:w="720" w:type="dxa"/>
            <w:tcBorders>
              <w:top w:val="nil"/>
              <w:left w:val="nil"/>
              <w:bottom w:val="single" w:color="auto" w:sz="4" w:space="0"/>
              <w:right w:val="single" w:color="auto" w:sz="4" w:space="0"/>
            </w:tcBorders>
            <w:vAlign w:val="center"/>
          </w:tcPr>
          <w:p w14:paraId="0C076EC2">
            <w:pPr>
              <w:jc w:val="center"/>
              <w:rPr>
                <w:rFonts w:hint="eastAsia" w:ascii="宋体" w:hAnsi="宋体" w:eastAsia="宋体" w:cs="宋体"/>
                <w:sz w:val="18"/>
                <w:szCs w:val="18"/>
              </w:rPr>
            </w:pPr>
            <w:r>
              <w:rPr>
                <w:rFonts w:hint="eastAsia" w:ascii="宋体" w:hAnsi="宋体" w:eastAsia="宋体" w:cs="宋体"/>
                <w:sz w:val="18"/>
                <w:szCs w:val="18"/>
              </w:rPr>
              <w:t>9.95</w:t>
            </w:r>
          </w:p>
        </w:tc>
      </w:tr>
      <w:tr w14:paraId="25967474">
        <w:tblPrEx>
          <w:tblCellMar>
            <w:top w:w="0" w:type="dxa"/>
            <w:left w:w="108" w:type="dxa"/>
            <w:bottom w:w="0" w:type="dxa"/>
            <w:right w:w="108" w:type="dxa"/>
          </w:tblCellMar>
        </w:tblPrEx>
        <w:trPr>
          <w:cantSplit/>
          <w:trHeight w:val="42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2CE3AE99">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vAlign w:val="center"/>
          </w:tcPr>
          <w:p w14:paraId="35ADF328">
            <w:pPr>
              <w:jc w:val="center"/>
              <w:rPr>
                <w:rFonts w:hint="eastAsia" w:ascii="宋体" w:hAnsi="宋体" w:eastAsia="宋体" w:cs="宋体"/>
                <w:b/>
                <w:bCs/>
                <w:sz w:val="18"/>
                <w:szCs w:val="18"/>
              </w:rPr>
            </w:pPr>
            <w:r>
              <w:rPr>
                <w:rFonts w:hint="eastAsia" w:ascii="宋体" w:hAnsi="宋体" w:eastAsia="宋体" w:cs="宋体"/>
                <w:b/>
                <w:bCs/>
                <w:sz w:val="18"/>
                <w:szCs w:val="18"/>
              </w:rPr>
              <w:t>本级资金</w:t>
            </w:r>
          </w:p>
        </w:tc>
        <w:tc>
          <w:tcPr>
            <w:tcW w:w="1418" w:type="dxa"/>
            <w:tcBorders>
              <w:top w:val="nil"/>
              <w:left w:val="nil"/>
              <w:bottom w:val="single" w:color="auto" w:sz="4" w:space="0"/>
              <w:right w:val="single" w:color="auto" w:sz="4" w:space="0"/>
            </w:tcBorders>
            <w:vAlign w:val="center"/>
          </w:tcPr>
          <w:p w14:paraId="6D561B9F">
            <w:pPr>
              <w:jc w:val="center"/>
              <w:rPr>
                <w:rFonts w:hint="eastAsia" w:ascii="宋体" w:hAnsi="宋体" w:eastAsia="宋体" w:cs="宋体"/>
                <w:sz w:val="18"/>
                <w:szCs w:val="18"/>
              </w:rPr>
            </w:pPr>
            <w:r>
              <w:rPr>
                <w:rFonts w:hint="eastAsia" w:ascii="宋体" w:hAnsi="宋体" w:eastAsia="宋体" w:cs="宋体"/>
                <w:sz w:val="18"/>
                <w:szCs w:val="18"/>
              </w:rPr>
              <w:t>413.08</w:t>
            </w:r>
          </w:p>
        </w:tc>
        <w:tc>
          <w:tcPr>
            <w:tcW w:w="1242" w:type="dxa"/>
            <w:tcBorders>
              <w:top w:val="nil"/>
              <w:left w:val="nil"/>
              <w:bottom w:val="single" w:color="auto" w:sz="4" w:space="0"/>
              <w:right w:val="single" w:color="auto" w:sz="4" w:space="0"/>
            </w:tcBorders>
            <w:vAlign w:val="center"/>
          </w:tcPr>
          <w:p w14:paraId="1B6E97A7">
            <w:pPr>
              <w:jc w:val="center"/>
              <w:rPr>
                <w:rFonts w:hint="eastAsia" w:ascii="宋体" w:hAnsi="宋体" w:eastAsia="宋体" w:cs="宋体"/>
                <w:sz w:val="18"/>
                <w:szCs w:val="18"/>
              </w:rPr>
            </w:pPr>
            <w:r>
              <w:rPr>
                <w:rFonts w:hint="eastAsia" w:ascii="宋体" w:hAnsi="宋体" w:eastAsia="宋体" w:cs="宋体"/>
                <w:sz w:val="18"/>
                <w:szCs w:val="18"/>
              </w:rPr>
              <w:t>496.50</w:t>
            </w:r>
          </w:p>
        </w:tc>
        <w:tc>
          <w:tcPr>
            <w:tcW w:w="1417" w:type="dxa"/>
            <w:tcBorders>
              <w:top w:val="nil"/>
              <w:left w:val="nil"/>
              <w:bottom w:val="single" w:color="auto" w:sz="4" w:space="0"/>
              <w:right w:val="single" w:color="auto" w:sz="4" w:space="0"/>
            </w:tcBorders>
            <w:vAlign w:val="center"/>
          </w:tcPr>
          <w:p w14:paraId="7CBCA2ED">
            <w:pPr>
              <w:jc w:val="center"/>
              <w:rPr>
                <w:rFonts w:hint="eastAsia" w:ascii="宋体" w:hAnsi="宋体" w:eastAsia="宋体" w:cs="宋体"/>
                <w:sz w:val="18"/>
                <w:szCs w:val="18"/>
              </w:rPr>
            </w:pPr>
            <w:r>
              <w:rPr>
                <w:rFonts w:hint="eastAsia" w:ascii="宋体" w:hAnsi="宋体" w:eastAsia="宋体" w:cs="宋体"/>
                <w:sz w:val="18"/>
                <w:szCs w:val="18"/>
              </w:rPr>
              <w:t>496.25</w:t>
            </w:r>
          </w:p>
        </w:tc>
        <w:tc>
          <w:tcPr>
            <w:tcW w:w="1134" w:type="dxa"/>
            <w:tcBorders>
              <w:top w:val="nil"/>
              <w:left w:val="nil"/>
              <w:bottom w:val="single" w:color="auto" w:sz="4" w:space="0"/>
              <w:right w:val="single" w:color="auto" w:sz="4" w:space="0"/>
            </w:tcBorders>
            <w:vAlign w:val="center"/>
          </w:tcPr>
          <w:p w14:paraId="6BC36651">
            <w:pPr>
              <w:jc w:val="center"/>
              <w:rPr>
                <w:rFonts w:hint="eastAsia" w:ascii="宋体" w:hAnsi="宋体" w:eastAsia="宋体" w:cs="宋体"/>
                <w:sz w:val="18"/>
                <w:szCs w:val="18"/>
              </w:rPr>
            </w:pPr>
            <w:r>
              <w:rPr>
                <w:rFonts w:hint="eastAsia" w:ascii="宋体" w:hAnsi="宋体" w:eastAsia="宋体"/>
                <w:sz w:val="18"/>
                <w:szCs w:val="18"/>
              </w:rPr>
              <w:t>-</w:t>
            </w:r>
          </w:p>
        </w:tc>
        <w:tc>
          <w:tcPr>
            <w:tcW w:w="1310" w:type="dxa"/>
            <w:tcBorders>
              <w:top w:val="nil"/>
              <w:left w:val="nil"/>
              <w:bottom w:val="single" w:color="auto" w:sz="4" w:space="0"/>
              <w:right w:val="single" w:color="auto" w:sz="4" w:space="0"/>
            </w:tcBorders>
            <w:vAlign w:val="center"/>
          </w:tcPr>
          <w:p w14:paraId="423913F5">
            <w:pPr>
              <w:jc w:val="center"/>
              <w:rPr>
                <w:rFonts w:hint="eastAsia" w:ascii="宋体" w:hAnsi="宋体" w:eastAsia="宋体" w:cs="宋体"/>
                <w:sz w:val="18"/>
                <w:szCs w:val="18"/>
              </w:rPr>
            </w:pPr>
            <w:r>
              <w:rPr>
                <w:rFonts w:hint="eastAsia" w:ascii="宋体" w:hAnsi="宋体" w:eastAsia="宋体"/>
                <w:sz w:val="18"/>
                <w:szCs w:val="18"/>
              </w:rPr>
              <w:t>-</w:t>
            </w:r>
          </w:p>
        </w:tc>
        <w:tc>
          <w:tcPr>
            <w:tcW w:w="720" w:type="dxa"/>
            <w:tcBorders>
              <w:top w:val="nil"/>
              <w:left w:val="nil"/>
              <w:bottom w:val="single" w:color="auto" w:sz="4" w:space="0"/>
              <w:right w:val="single" w:color="auto" w:sz="4" w:space="0"/>
            </w:tcBorders>
            <w:vAlign w:val="center"/>
          </w:tcPr>
          <w:p w14:paraId="22BF7273">
            <w:pPr>
              <w:jc w:val="center"/>
              <w:rPr>
                <w:rFonts w:hint="eastAsia" w:ascii="宋体" w:hAnsi="宋体" w:eastAsia="宋体" w:cs="宋体"/>
                <w:sz w:val="18"/>
                <w:szCs w:val="18"/>
              </w:rPr>
            </w:pPr>
            <w:r>
              <w:rPr>
                <w:rFonts w:hint="eastAsia" w:ascii="宋体" w:hAnsi="宋体" w:eastAsia="宋体"/>
                <w:sz w:val="18"/>
                <w:szCs w:val="18"/>
              </w:rPr>
              <w:t>-</w:t>
            </w:r>
          </w:p>
        </w:tc>
      </w:tr>
      <w:tr w14:paraId="65BC71FC">
        <w:tblPrEx>
          <w:tblCellMar>
            <w:top w:w="0" w:type="dxa"/>
            <w:left w:w="108" w:type="dxa"/>
            <w:bottom w:w="0" w:type="dxa"/>
            <w:right w:w="108" w:type="dxa"/>
          </w:tblCellMar>
        </w:tblPrEx>
        <w:trPr>
          <w:cantSplit/>
          <w:trHeight w:val="416"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17FE5558">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vAlign w:val="center"/>
          </w:tcPr>
          <w:p w14:paraId="131CC439">
            <w:pPr>
              <w:jc w:val="center"/>
              <w:rPr>
                <w:rFonts w:hint="eastAsia" w:ascii="宋体" w:hAnsi="宋体" w:eastAsia="宋体" w:cs="宋体"/>
                <w:b/>
                <w:bCs/>
                <w:sz w:val="18"/>
                <w:szCs w:val="18"/>
              </w:rPr>
            </w:pPr>
            <w:r>
              <w:rPr>
                <w:rFonts w:hint="eastAsia" w:ascii="宋体" w:hAnsi="宋体" w:eastAsia="宋体" w:cs="宋体"/>
                <w:b/>
                <w:bCs/>
                <w:sz w:val="18"/>
                <w:szCs w:val="18"/>
              </w:rPr>
              <w:t>其他资金</w:t>
            </w:r>
          </w:p>
        </w:tc>
        <w:tc>
          <w:tcPr>
            <w:tcW w:w="1418" w:type="dxa"/>
            <w:tcBorders>
              <w:top w:val="nil"/>
              <w:left w:val="nil"/>
              <w:bottom w:val="single" w:color="auto" w:sz="4" w:space="0"/>
              <w:right w:val="single" w:color="auto" w:sz="4" w:space="0"/>
            </w:tcBorders>
            <w:vAlign w:val="center"/>
          </w:tcPr>
          <w:p w14:paraId="51A07B79">
            <w:pPr>
              <w:jc w:val="center"/>
              <w:rPr>
                <w:rFonts w:hint="eastAsia" w:ascii="宋体" w:hAnsi="宋体" w:eastAsia="宋体" w:cs="宋体"/>
                <w:sz w:val="18"/>
                <w:szCs w:val="18"/>
              </w:rPr>
            </w:pPr>
            <w:r>
              <w:rPr>
                <w:rFonts w:hint="eastAsia" w:ascii="宋体" w:hAnsi="宋体" w:eastAsia="宋体" w:cs="宋体"/>
                <w:sz w:val="18"/>
                <w:szCs w:val="18"/>
              </w:rPr>
              <w:t>0.00</w:t>
            </w:r>
          </w:p>
        </w:tc>
        <w:tc>
          <w:tcPr>
            <w:tcW w:w="1242" w:type="dxa"/>
            <w:tcBorders>
              <w:top w:val="nil"/>
              <w:left w:val="nil"/>
              <w:bottom w:val="single" w:color="auto" w:sz="4" w:space="0"/>
              <w:right w:val="single" w:color="auto" w:sz="4" w:space="0"/>
            </w:tcBorders>
            <w:vAlign w:val="center"/>
          </w:tcPr>
          <w:p w14:paraId="14ADB6B6">
            <w:pPr>
              <w:jc w:val="center"/>
              <w:rPr>
                <w:rFonts w:hint="eastAsia" w:ascii="宋体" w:hAnsi="宋体" w:eastAsia="宋体" w:cs="宋体"/>
                <w:sz w:val="18"/>
                <w:szCs w:val="18"/>
              </w:rPr>
            </w:pPr>
            <w:r>
              <w:rPr>
                <w:rFonts w:hint="eastAsia" w:ascii="宋体" w:hAnsi="宋体" w:eastAsia="宋体" w:cs="宋体"/>
                <w:sz w:val="18"/>
                <w:szCs w:val="18"/>
              </w:rPr>
              <w:t>0.00</w:t>
            </w:r>
          </w:p>
        </w:tc>
        <w:tc>
          <w:tcPr>
            <w:tcW w:w="1417" w:type="dxa"/>
            <w:tcBorders>
              <w:top w:val="nil"/>
              <w:left w:val="nil"/>
              <w:bottom w:val="single" w:color="auto" w:sz="4" w:space="0"/>
              <w:right w:val="single" w:color="auto" w:sz="4" w:space="0"/>
            </w:tcBorders>
            <w:vAlign w:val="center"/>
          </w:tcPr>
          <w:p w14:paraId="67473137">
            <w:pPr>
              <w:jc w:val="center"/>
              <w:rPr>
                <w:rFonts w:hint="eastAsia" w:ascii="宋体" w:hAnsi="宋体" w:eastAsia="宋体" w:cs="宋体"/>
                <w:sz w:val="18"/>
                <w:szCs w:val="18"/>
              </w:rPr>
            </w:pPr>
            <w:r>
              <w:rPr>
                <w:rFonts w:hint="eastAsia" w:ascii="宋体" w:hAnsi="宋体" w:eastAsia="宋体" w:cs="宋体"/>
                <w:sz w:val="18"/>
                <w:szCs w:val="18"/>
              </w:rPr>
              <w:t>0.00</w:t>
            </w:r>
          </w:p>
        </w:tc>
        <w:tc>
          <w:tcPr>
            <w:tcW w:w="1134" w:type="dxa"/>
            <w:tcBorders>
              <w:top w:val="nil"/>
              <w:left w:val="nil"/>
              <w:bottom w:val="single" w:color="auto" w:sz="4" w:space="0"/>
              <w:right w:val="single" w:color="auto" w:sz="4" w:space="0"/>
            </w:tcBorders>
            <w:vAlign w:val="center"/>
          </w:tcPr>
          <w:p w14:paraId="313807AA">
            <w:pPr>
              <w:jc w:val="center"/>
              <w:rPr>
                <w:rFonts w:hint="eastAsia" w:ascii="宋体" w:hAnsi="宋体" w:eastAsia="宋体" w:cs="宋体"/>
                <w:sz w:val="18"/>
                <w:szCs w:val="18"/>
              </w:rPr>
            </w:pPr>
            <w:r>
              <w:rPr>
                <w:rFonts w:hint="eastAsia" w:ascii="宋体" w:hAnsi="宋体" w:eastAsia="宋体"/>
                <w:sz w:val="18"/>
                <w:szCs w:val="18"/>
              </w:rPr>
              <w:t>-</w:t>
            </w:r>
          </w:p>
        </w:tc>
        <w:tc>
          <w:tcPr>
            <w:tcW w:w="1310" w:type="dxa"/>
            <w:tcBorders>
              <w:top w:val="nil"/>
              <w:left w:val="nil"/>
              <w:bottom w:val="single" w:color="auto" w:sz="4" w:space="0"/>
              <w:right w:val="single" w:color="auto" w:sz="4" w:space="0"/>
            </w:tcBorders>
            <w:vAlign w:val="center"/>
          </w:tcPr>
          <w:p w14:paraId="4D8AC1D3">
            <w:pPr>
              <w:jc w:val="center"/>
              <w:rPr>
                <w:rFonts w:hint="eastAsia" w:ascii="宋体" w:hAnsi="宋体" w:eastAsia="宋体" w:cs="宋体"/>
                <w:sz w:val="18"/>
                <w:szCs w:val="18"/>
              </w:rPr>
            </w:pPr>
            <w:r>
              <w:rPr>
                <w:rFonts w:hint="eastAsia" w:ascii="宋体" w:hAnsi="宋体" w:eastAsia="宋体"/>
                <w:sz w:val="18"/>
                <w:szCs w:val="18"/>
              </w:rPr>
              <w:t>-</w:t>
            </w:r>
          </w:p>
        </w:tc>
        <w:tc>
          <w:tcPr>
            <w:tcW w:w="720" w:type="dxa"/>
            <w:tcBorders>
              <w:top w:val="nil"/>
              <w:left w:val="nil"/>
              <w:bottom w:val="single" w:color="auto" w:sz="4" w:space="0"/>
              <w:right w:val="single" w:color="auto" w:sz="4" w:space="0"/>
            </w:tcBorders>
            <w:vAlign w:val="center"/>
          </w:tcPr>
          <w:p w14:paraId="5F3A96EA">
            <w:pPr>
              <w:jc w:val="center"/>
              <w:rPr>
                <w:rFonts w:hint="eastAsia" w:ascii="宋体" w:hAnsi="宋体" w:eastAsia="宋体" w:cs="宋体"/>
                <w:sz w:val="18"/>
                <w:szCs w:val="18"/>
              </w:rPr>
            </w:pPr>
            <w:r>
              <w:rPr>
                <w:rFonts w:hint="eastAsia" w:ascii="宋体" w:hAnsi="宋体" w:eastAsia="宋体"/>
                <w:sz w:val="18"/>
                <w:szCs w:val="18"/>
              </w:rPr>
              <w:t>-</w:t>
            </w:r>
          </w:p>
        </w:tc>
      </w:tr>
      <w:tr w14:paraId="4530D0A2">
        <w:tblPrEx>
          <w:tblCellMar>
            <w:top w:w="0" w:type="dxa"/>
            <w:left w:w="108" w:type="dxa"/>
            <w:bottom w:w="0" w:type="dxa"/>
            <w:right w:w="108" w:type="dxa"/>
          </w:tblCellMar>
        </w:tblPrEx>
        <w:trPr>
          <w:cantSplit/>
          <w:trHeight w:val="41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096DCEBB">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vAlign w:val="center"/>
          </w:tcPr>
          <w:p w14:paraId="54A08AEA">
            <w:pPr>
              <w:jc w:val="center"/>
              <w:rPr>
                <w:rFonts w:hint="eastAsia" w:ascii="宋体" w:hAnsi="宋体" w:eastAsia="宋体" w:cs="宋体"/>
                <w:b/>
                <w:bCs/>
                <w:sz w:val="18"/>
                <w:szCs w:val="18"/>
              </w:rPr>
            </w:pPr>
            <w:r>
              <w:rPr>
                <w:rFonts w:hint="eastAsia" w:ascii="宋体" w:hAnsi="宋体" w:eastAsia="宋体" w:cs="宋体"/>
                <w:b/>
                <w:bCs/>
                <w:sz w:val="18"/>
                <w:szCs w:val="18"/>
              </w:rPr>
              <w:t>合计</w:t>
            </w:r>
          </w:p>
        </w:tc>
        <w:tc>
          <w:tcPr>
            <w:tcW w:w="1418" w:type="dxa"/>
            <w:tcBorders>
              <w:top w:val="nil"/>
              <w:left w:val="nil"/>
              <w:bottom w:val="single" w:color="auto" w:sz="4" w:space="0"/>
              <w:right w:val="single" w:color="auto" w:sz="4" w:space="0"/>
            </w:tcBorders>
            <w:vAlign w:val="center"/>
          </w:tcPr>
          <w:p w14:paraId="2DFE0894">
            <w:pPr>
              <w:jc w:val="center"/>
              <w:rPr>
                <w:rFonts w:hint="eastAsia" w:ascii="宋体" w:hAnsi="宋体" w:eastAsia="宋体" w:cs="宋体"/>
                <w:sz w:val="18"/>
                <w:szCs w:val="18"/>
              </w:rPr>
            </w:pPr>
            <w:r>
              <w:rPr>
                <w:rFonts w:hint="eastAsia" w:ascii="宋体" w:hAnsi="宋体" w:eastAsia="宋体" w:cs="宋体"/>
                <w:sz w:val="18"/>
                <w:szCs w:val="18"/>
              </w:rPr>
              <w:t>413.08</w:t>
            </w:r>
          </w:p>
        </w:tc>
        <w:tc>
          <w:tcPr>
            <w:tcW w:w="1242" w:type="dxa"/>
            <w:tcBorders>
              <w:top w:val="nil"/>
              <w:left w:val="nil"/>
              <w:bottom w:val="single" w:color="auto" w:sz="4" w:space="0"/>
              <w:right w:val="single" w:color="auto" w:sz="4" w:space="0"/>
            </w:tcBorders>
            <w:vAlign w:val="center"/>
          </w:tcPr>
          <w:p w14:paraId="059BD9E1">
            <w:pPr>
              <w:jc w:val="center"/>
              <w:rPr>
                <w:rFonts w:hint="eastAsia" w:ascii="宋体" w:hAnsi="宋体" w:eastAsia="宋体" w:cs="宋体"/>
                <w:sz w:val="18"/>
                <w:szCs w:val="18"/>
              </w:rPr>
            </w:pPr>
            <w:r>
              <w:rPr>
                <w:rFonts w:hint="eastAsia" w:ascii="宋体" w:hAnsi="宋体" w:eastAsia="宋体" w:cs="宋体"/>
                <w:sz w:val="18"/>
                <w:szCs w:val="18"/>
              </w:rPr>
              <w:t>496.50</w:t>
            </w:r>
          </w:p>
        </w:tc>
        <w:tc>
          <w:tcPr>
            <w:tcW w:w="1417" w:type="dxa"/>
            <w:tcBorders>
              <w:top w:val="nil"/>
              <w:left w:val="nil"/>
              <w:bottom w:val="single" w:color="auto" w:sz="4" w:space="0"/>
              <w:right w:val="single" w:color="auto" w:sz="4" w:space="0"/>
            </w:tcBorders>
            <w:vAlign w:val="center"/>
          </w:tcPr>
          <w:p w14:paraId="4702447C">
            <w:pPr>
              <w:jc w:val="center"/>
              <w:rPr>
                <w:rFonts w:hint="eastAsia" w:ascii="宋体" w:hAnsi="宋体" w:eastAsia="宋体" w:cs="宋体"/>
                <w:sz w:val="18"/>
                <w:szCs w:val="18"/>
              </w:rPr>
            </w:pPr>
            <w:r>
              <w:rPr>
                <w:rFonts w:hint="eastAsia" w:ascii="宋体" w:hAnsi="宋体" w:eastAsia="宋体" w:cs="宋体"/>
                <w:sz w:val="18"/>
                <w:szCs w:val="18"/>
              </w:rPr>
              <w:t>496.25</w:t>
            </w:r>
          </w:p>
        </w:tc>
        <w:tc>
          <w:tcPr>
            <w:tcW w:w="1134" w:type="dxa"/>
            <w:tcBorders>
              <w:top w:val="nil"/>
              <w:left w:val="nil"/>
              <w:bottom w:val="single" w:color="auto" w:sz="4" w:space="0"/>
              <w:right w:val="single" w:color="auto" w:sz="4" w:space="0"/>
            </w:tcBorders>
            <w:vAlign w:val="center"/>
          </w:tcPr>
          <w:p w14:paraId="3D0A2848">
            <w:pPr>
              <w:jc w:val="center"/>
              <w:rPr>
                <w:rFonts w:hint="eastAsia" w:ascii="宋体" w:hAnsi="宋体" w:eastAsia="宋体" w:cs="宋体"/>
                <w:sz w:val="18"/>
                <w:szCs w:val="18"/>
              </w:rPr>
            </w:pPr>
            <w:r>
              <w:rPr>
                <w:rFonts w:hint="eastAsia" w:ascii="宋体" w:hAnsi="宋体" w:eastAsia="宋体" w:cs="宋体"/>
                <w:sz w:val="18"/>
                <w:szCs w:val="18"/>
              </w:rPr>
              <w:t>-</w:t>
            </w:r>
          </w:p>
        </w:tc>
        <w:tc>
          <w:tcPr>
            <w:tcW w:w="1310" w:type="dxa"/>
            <w:tcBorders>
              <w:top w:val="nil"/>
              <w:left w:val="nil"/>
              <w:bottom w:val="single" w:color="auto" w:sz="4" w:space="0"/>
              <w:right w:val="single" w:color="auto" w:sz="4" w:space="0"/>
            </w:tcBorders>
            <w:vAlign w:val="center"/>
          </w:tcPr>
          <w:p w14:paraId="49B826D3">
            <w:pPr>
              <w:jc w:val="center"/>
              <w:rPr>
                <w:rFonts w:hint="eastAsia" w:ascii="宋体" w:hAnsi="宋体" w:eastAsia="宋体" w:cs="宋体"/>
                <w:sz w:val="18"/>
                <w:szCs w:val="18"/>
              </w:rPr>
            </w:pPr>
            <w:r>
              <w:rPr>
                <w:rFonts w:hint="eastAsia" w:ascii="宋体" w:hAnsi="宋体" w:eastAsia="宋体" w:cs="宋体"/>
                <w:sz w:val="18"/>
                <w:szCs w:val="18"/>
              </w:rPr>
              <w:t>-</w:t>
            </w:r>
          </w:p>
        </w:tc>
        <w:tc>
          <w:tcPr>
            <w:tcW w:w="720" w:type="dxa"/>
            <w:tcBorders>
              <w:top w:val="nil"/>
              <w:left w:val="nil"/>
              <w:bottom w:val="single" w:color="auto" w:sz="4" w:space="0"/>
              <w:right w:val="single" w:color="auto" w:sz="4" w:space="0"/>
            </w:tcBorders>
            <w:vAlign w:val="center"/>
          </w:tcPr>
          <w:p w14:paraId="38B6503C">
            <w:pPr>
              <w:jc w:val="center"/>
              <w:rPr>
                <w:rFonts w:hint="eastAsia" w:ascii="宋体" w:hAnsi="宋体" w:eastAsia="宋体" w:cs="宋体"/>
                <w:sz w:val="18"/>
                <w:szCs w:val="18"/>
              </w:rPr>
            </w:pPr>
            <w:r>
              <w:rPr>
                <w:rFonts w:hint="eastAsia" w:ascii="宋体" w:hAnsi="宋体" w:eastAsia="宋体" w:cs="宋体"/>
                <w:sz w:val="18"/>
                <w:szCs w:val="18"/>
              </w:rPr>
              <w:t>-</w:t>
            </w:r>
          </w:p>
        </w:tc>
      </w:tr>
      <w:tr w14:paraId="6577793B">
        <w:tblPrEx>
          <w:tblCellMar>
            <w:top w:w="0" w:type="dxa"/>
            <w:left w:w="108" w:type="dxa"/>
            <w:bottom w:w="0" w:type="dxa"/>
            <w:right w:w="108" w:type="dxa"/>
          </w:tblCellMar>
        </w:tblPrEx>
        <w:trPr>
          <w:cantSplit/>
          <w:trHeight w:val="341" w:hRule="atLeast"/>
        </w:trPr>
        <w:tc>
          <w:tcPr>
            <w:tcW w:w="993" w:type="dxa"/>
            <w:vMerge w:val="restart"/>
            <w:tcBorders>
              <w:top w:val="single" w:color="auto" w:sz="4" w:space="0"/>
              <w:left w:val="single" w:color="auto" w:sz="4" w:space="0"/>
              <w:bottom w:val="single" w:color="auto" w:sz="4" w:space="0"/>
              <w:right w:val="single" w:color="auto" w:sz="4" w:space="0"/>
            </w:tcBorders>
            <w:vAlign w:val="center"/>
          </w:tcPr>
          <w:p w14:paraId="7CC0B196">
            <w:pPr>
              <w:jc w:val="center"/>
              <w:rPr>
                <w:rFonts w:hint="eastAsia" w:ascii="宋体" w:hAnsi="宋体" w:eastAsia="宋体" w:cs="宋体"/>
                <w:b/>
                <w:bCs/>
                <w:sz w:val="18"/>
                <w:szCs w:val="18"/>
              </w:rPr>
            </w:pPr>
            <w:r>
              <w:rPr>
                <w:rFonts w:hint="eastAsia" w:ascii="宋体" w:hAnsi="宋体" w:eastAsia="宋体" w:cs="宋体"/>
                <w:b/>
                <w:bCs/>
                <w:sz w:val="18"/>
                <w:szCs w:val="18"/>
              </w:rPr>
              <w:t>年度总体目标</w:t>
            </w:r>
          </w:p>
        </w:tc>
        <w:tc>
          <w:tcPr>
            <w:tcW w:w="4077" w:type="dxa"/>
            <w:gridSpan w:val="3"/>
            <w:tcBorders>
              <w:top w:val="single" w:color="auto" w:sz="4" w:space="0"/>
              <w:left w:val="nil"/>
              <w:bottom w:val="single" w:color="auto" w:sz="4" w:space="0"/>
              <w:right w:val="single" w:color="auto" w:sz="4" w:space="0"/>
            </w:tcBorders>
            <w:noWrap/>
            <w:vAlign w:val="center"/>
          </w:tcPr>
          <w:p w14:paraId="0769C66D">
            <w:pPr>
              <w:jc w:val="center"/>
              <w:rPr>
                <w:rFonts w:hint="eastAsia" w:ascii="宋体" w:hAnsi="宋体" w:eastAsia="宋体" w:cs="宋体"/>
                <w:b/>
                <w:bCs/>
                <w:sz w:val="18"/>
                <w:szCs w:val="18"/>
              </w:rPr>
            </w:pPr>
            <w:r>
              <w:rPr>
                <w:rFonts w:hint="eastAsia" w:ascii="宋体" w:hAnsi="宋体" w:eastAsia="宋体" w:cs="宋体"/>
                <w:b/>
                <w:bCs/>
                <w:sz w:val="18"/>
                <w:szCs w:val="18"/>
              </w:rPr>
              <w:t>预期目标</w:t>
            </w:r>
          </w:p>
        </w:tc>
        <w:tc>
          <w:tcPr>
            <w:tcW w:w="4581" w:type="dxa"/>
            <w:gridSpan w:val="4"/>
            <w:tcBorders>
              <w:top w:val="single" w:color="auto" w:sz="4" w:space="0"/>
              <w:left w:val="nil"/>
              <w:bottom w:val="single" w:color="auto" w:sz="4" w:space="0"/>
              <w:right w:val="single" w:color="auto" w:sz="4" w:space="0"/>
            </w:tcBorders>
            <w:noWrap/>
            <w:vAlign w:val="center"/>
          </w:tcPr>
          <w:p w14:paraId="7FEDEBAE">
            <w:pPr>
              <w:jc w:val="center"/>
              <w:rPr>
                <w:rFonts w:hint="eastAsia" w:ascii="宋体" w:hAnsi="宋体" w:eastAsia="宋体" w:cs="宋体"/>
                <w:b/>
                <w:bCs/>
                <w:sz w:val="18"/>
                <w:szCs w:val="18"/>
              </w:rPr>
            </w:pPr>
            <w:r>
              <w:rPr>
                <w:rFonts w:hint="eastAsia" w:ascii="宋体" w:hAnsi="宋体" w:eastAsia="宋体" w:cs="宋体"/>
                <w:b/>
                <w:bCs/>
                <w:sz w:val="18"/>
                <w:szCs w:val="18"/>
              </w:rPr>
              <w:t>实际完成情况</w:t>
            </w:r>
          </w:p>
        </w:tc>
      </w:tr>
      <w:tr w14:paraId="59E68C38">
        <w:tblPrEx>
          <w:tblCellMar>
            <w:top w:w="0" w:type="dxa"/>
            <w:left w:w="108" w:type="dxa"/>
            <w:bottom w:w="0" w:type="dxa"/>
            <w:right w:w="108" w:type="dxa"/>
          </w:tblCellMar>
        </w:tblPrEx>
        <w:trPr>
          <w:cantSplit/>
          <w:trHeight w:val="70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3372B290">
            <w:pPr>
              <w:rPr>
                <w:rFonts w:hint="eastAsia" w:ascii="宋体" w:hAnsi="宋体" w:eastAsia="宋体" w:cs="宋体"/>
                <w:b/>
                <w:bCs/>
                <w:sz w:val="18"/>
                <w:szCs w:val="18"/>
              </w:rPr>
            </w:pPr>
          </w:p>
        </w:tc>
        <w:tc>
          <w:tcPr>
            <w:tcW w:w="4077" w:type="dxa"/>
            <w:gridSpan w:val="3"/>
            <w:tcBorders>
              <w:top w:val="single" w:color="auto" w:sz="4" w:space="0"/>
              <w:left w:val="nil"/>
              <w:bottom w:val="single" w:color="auto" w:sz="4" w:space="0"/>
              <w:right w:val="single" w:color="auto" w:sz="4" w:space="0"/>
            </w:tcBorders>
          </w:tcPr>
          <w:p w14:paraId="523907E4">
            <w:pPr>
              <w:rPr>
                <w:rFonts w:hint="eastAsia" w:ascii="宋体" w:hAnsi="宋体" w:eastAsia="宋体" w:cs="宋体"/>
                <w:sz w:val="18"/>
                <w:szCs w:val="18"/>
                <w:lang w:eastAsia="zh-CN"/>
              </w:rPr>
            </w:pPr>
            <w:r>
              <w:rPr>
                <w:rFonts w:hint="eastAsia" w:ascii="宋体" w:hAnsi="宋体" w:eastAsia="宋体" w:cs="宋体"/>
                <w:sz w:val="18"/>
                <w:szCs w:val="18"/>
                <w:lang w:eastAsia="zh-CN"/>
              </w:rPr>
              <w:t>1.完成在校学生教育379人，提高昌吉市教学水平；2.完成学年内结业人数128人，达成教育教学目标；3.完成学年内新入学生人数119人，解决就学问题。</w:t>
            </w:r>
          </w:p>
        </w:tc>
        <w:tc>
          <w:tcPr>
            <w:tcW w:w="4581" w:type="dxa"/>
            <w:gridSpan w:val="4"/>
            <w:tcBorders>
              <w:top w:val="single" w:color="auto" w:sz="4" w:space="0"/>
              <w:left w:val="nil"/>
              <w:bottom w:val="single" w:color="auto" w:sz="4" w:space="0"/>
              <w:right w:val="single" w:color="auto" w:sz="4" w:space="0"/>
            </w:tcBorders>
          </w:tcPr>
          <w:p w14:paraId="70F09DE7">
            <w:pPr>
              <w:rPr>
                <w:rFonts w:hint="eastAsia" w:ascii="宋体" w:hAnsi="宋体" w:eastAsia="宋体" w:cs="宋体"/>
                <w:sz w:val="18"/>
                <w:szCs w:val="18"/>
                <w:lang w:eastAsia="zh-CN"/>
              </w:rPr>
            </w:pPr>
            <w:r>
              <w:rPr>
                <w:rFonts w:hint="eastAsia" w:ascii="宋体" w:hAnsi="宋体" w:eastAsia="宋体" w:cs="宋体"/>
                <w:sz w:val="18"/>
                <w:szCs w:val="18"/>
                <w:lang w:eastAsia="zh-CN"/>
              </w:rPr>
              <w:t>截止2024年12月31日，我校完成在校人数379人，完成学年内新生入学人数119人，完成毕业生结业人数128人，提高了我校教育教学水平，解决了适龄幼儿入学问题，达成了教育教学目标。</w:t>
            </w:r>
          </w:p>
        </w:tc>
      </w:tr>
      <w:tr w14:paraId="207B1874">
        <w:tblPrEx>
          <w:tblCellMar>
            <w:top w:w="0" w:type="dxa"/>
            <w:left w:w="108" w:type="dxa"/>
            <w:bottom w:w="0" w:type="dxa"/>
            <w:right w:w="108" w:type="dxa"/>
          </w:tblCellMar>
        </w:tblPrEx>
        <w:trPr>
          <w:cantSplit/>
          <w:trHeight w:val="716" w:hRule="atLeast"/>
        </w:trPr>
        <w:tc>
          <w:tcPr>
            <w:tcW w:w="993" w:type="dxa"/>
            <w:tcBorders>
              <w:top w:val="single" w:color="auto" w:sz="4" w:space="0"/>
              <w:left w:val="single" w:color="auto" w:sz="4" w:space="0"/>
              <w:bottom w:val="single" w:color="auto" w:sz="4" w:space="0"/>
              <w:right w:val="single" w:color="auto" w:sz="4" w:space="0"/>
            </w:tcBorders>
            <w:vAlign w:val="center"/>
          </w:tcPr>
          <w:p w14:paraId="7C9E305C">
            <w:pPr>
              <w:jc w:val="center"/>
              <w:rPr>
                <w:rFonts w:hint="eastAsia" w:ascii="宋体" w:hAnsi="宋体" w:eastAsia="宋体" w:cs="宋体"/>
                <w:b/>
                <w:bCs/>
                <w:sz w:val="18"/>
                <w:szCs w:val="18"/>
              </w:rPr>
            </w:pPr>
            <w:r>
              <w:rPr>
                <w:rFonts w:hint="eastAsia" w:ascii="宋体" w:hAnsi="宋体" w:eastAsia="宋体" w:cs="宋体"/>
                <w:b/>
                <w:bCs/>
                <w:sz w:val="18"/>
                <w:szCs w:val="18"/>
              </w:rPr>
              <w:t>一级指标</w:t>
            </w:r>
          </w:p>
        </w:tc>
        <w:tc>
          <w:tcPr>
            <w:tcW w:w="1417" w:type="dxa"/>
            <w:tcBorders>
              <w:top w:val="nil"/>
              <w:left w:val="nil"/>
              <w:bottom w:val="single" w:color="auto" w:sz="4" w:space="0"/>
              <w:right w:val="single" w:color="auto" w:sz="4" w:space="0"/>
            </w:tcBorders>
            <w:vAlign w:val="center"/>
          </w:tcPr>
          <w:p w14:paraId="5BB22877">
            <w:pPr>
              <w:jc w:val="center"/>
              <w:rPr>
                <w:rFonts w:hint="eastAsia" w:ascii="宋体" w:hAnsi="宋体" w:eastAsia="宋体" w:cs="宋体"/>
                <w:b/>
                <w:bCs/>
                <w:sz w:val="18"/>
                <w:szCs w:val="18"/>
              </w:rPr>
            </w:pPr>
            <w:r>
              <w:rPr>
                <w:rFonts w:hint="eastAsia" w:ascii="宋体" w:hAnsi="宋体" w:eastAsia="宋体" w:cs="宋体"/>
                <w:b/>
                <w:bCs/>
                <w:sz w:val="18"/>
                <w:szCs w:val="18"/>
              </w:rPr>
              <w:t>二级指标</w:t>
            </w:r>
          </w:p>
        </w:tc>
        <w:tc>
          <w:tcPr>
            <w:tcW w:w="1418" w:type="dxa"/>
            <w:tcBorders>
              <w:top w:val="nil"/>
              <w:left w:val="nil"/>
              <w:bottom w:val="single" w:color="auto" w:sz="4" w:space="0"/>
              <w:right w:val="single" w:color="auto" w:sz="4" w:space="0"/>
            </w:tcBorders>
            <w:vAlign w:val="center"/>
          </w:tcPr>
          <w:p w14:paraId="5CC73E90">
            <w:pPr>
              <w:jc w:val="center"/>
              <w:rPr>
                <w:rFonts w:hint="eastAsia" w:ascii="宋体" w:hAnsi="宋体" w:eastAsia="宋体" w:cs="宋体"/>
                <w:b/>
                <w:bCs/>
                <w:sz w:val="18"/>
                <w:szCs w:val="18"/>
              </w:rPr>
            </w:pPr>
            <w:r>
              <w:rPr>
                <w:rFonts w:hint="eastAsia" w:ascii="宋体" w:hAnsi="宋体" w:eastAsia="宋体" w:cs="宋体"/>
                <w:b/>
                <w:bCs/>
                <w:sz w:val="18"/>
                <w:szCs w:val="18"/>
              </w:rPr>
              <w:t>三级指标</w:t>
            </w:r>
          </w:p>
        </w:tc>
        <w:tc>
          <w:tcPr>
            <w:tcW w:w="1242" w:type="dxa"/>
            <w:tcBorders>
              <w:top w:val="nil"/>
              <w:left w:val="nil"/>
              <w:bottom w:val="single" w:color="auto" w:sz="4" w:space="0"/>
              <w:right w:val="single" w:color="auto" w:sz="4" w:space="0"/>
            </w:tcBorders>
            <w:vAlign w:val="center"/>
          </w:tcPr>
          <w:p w14:paraId="62B7F247">
            <w:pPr>
              <w:jc w:val="center"/>
              <w:rPr>
                <w:rFonts w:hint="eastAsia" w:ascii="宋体" w:hAnsi="宋体" w:eastAsia="宋体" w:cs="宋体"/>
                <w:b/>
                <w:bCs/>
                <w:sz w:val="18"/>
                <w:szCs w:val="18"/>
              </w:rPr>
            </w:pPr>
            <w:r>
              <w:rPr>
                <w:rFonts w:hint="eastAsia" w:ascii="宋体" w:hAnsi="宋体" w:eastAsia="宋体" w:cs="宋体"/>
                <w:b/>
                <w:bCs/>
                <w:sz w:val="18"/>
                <w:szCs w:val="18"/>
              </w:rPr>
              <w:t>预期指标值</w:t>
            </w:r>
          </w:p>
        </w:tc>
        <w:tc>
          <w:tcPr>
            <w:tcW w:w="1417" w:type="dxa"/>
            <w:tcBorders>
              <w:top w:val="nil"/>
              <w:left w:val="nil"/>
              <w:bottom w:val="single" w:color="auto" w:sz="4" w:space="0"/>
              <w:right w:val="single" w:color="auto" w:sz="4" w:space="0"/>
            </w:tcBorders>
            <w:vAlign w:val="center"/>
          </w:tcPr>
          <w:p w14:paraId="45D67113">
            <w:pPr>
              <w:jc w:val="center"/>
              <w:rPr>
                <w:rFonts w:hint="eastAsia" w:ascii="宋体" w:hAnsi="宋体" w:eastAsia="宋体" w:cs="宋体"/>
                <w:b/>
                <w:bCs/>
                <w:sz w:val="18"/>
                <w:szCs w:val="18"/>
              </w:rPr>
            </w:pPr>
            <w:r>
              <w:rPr>
                <w:rFonts w:hint="eastAsia" w:ascii="宋体" w:hAnsi="宋体" w:eastAsia="宋体" w:cs="宋体"/>
                <w:b/>
                <w:bCs/>
                <w:sz w:val="18"/>
                <w:szCs w:val="18"/>
              </w:rPr>
              <w:t>指标值设定依据</w:t>
            </w:r>
          </w:p>
        </w:tc>
        <w:tc>
          <w:tcPr>
            <w:tcW w:w="1134" w:type="dxa"/>
            <w:tcBorders>
              <w:top w:val="nil"/>
              <w:left w:val="nil"/>
              <w:bottom w:val="single" w:color="auto" w:sz="4" w:space="0"/>
              <w:right w:val="single" w:color="auto" w:sz="4" w:space="0"/>
            </w:tcBorders>
            <w:vAlign w:val="center"/>
          </w:tcPr>
          <w:p w14:paraId="4EBCB33A">
            <w:pPr>
              <w:jc w:val="center"/>
              <w:rPr>
                <w:rFonts w:hint="eastAsia" w:ascii="宋体" w:hAnsi="宋体" w:eastAsia="宋体" w:cs="宋体"/>
                <w:b/>
                <w:bCs/>
                <w:sz w:val="18"/>
                <w:szCs w:val="18"/>
              </w:rPr>
            </w:pPr>
            <w:r>
              <w:rPr>
                <w:rFonts w:hint="eastAsia" w:ascii="宋体" w:hAnsi="宋体" w:eastAsia="宋体" w:cs="宋体"/>
                <w:b/>
                <w:bCs/>
                <w:sz w:val="18"/>
                <w:szCs w:val="18"/>
              </w:rPr>
              <w:t>分值权重</w:t>
            </w:r>
          </w:p>
        </w:tc>
        <w:tc>
          <w:tcPr>
            <w:tcW w:w="1310" w:type="dxa"/>
            <w:tcBorders>
              <w:top w:val="nil"/>
              <w:left w:val="nil"/>
              <w:bottom w:val="single" w:color="auto" w:sz="4" w:space="0"/>
              <w:right w:val="single" w:color="auto" w:sz="4" w:space="0"/>
            </w:tcBorders>
            <w:vAlign w:val="center"/>
          </w:tcPr>
          <w:p w14:paraId="3834A34B">
            <w:pPr>
              <w:jc w:val="center"/>
              <w:rPr>
                <w:rFonts w:hint="eastAsia" w:ascii="宋体" w:hAnsi="宋体" w:eastAsia="宋体" w:cs="宋体"/>
                <w:b/>
                <w:bCs/>
                <w:sz w:val="18"/>
                <w:szCs w:val="18"/>
              </w:rPr>
            </w:pPr>
            <w:r>
              <w:rPr>
                <w:rFonts w:hint="eastAsia" w:ascii="宋体" w:hAnsi="宋体" w:eastAsia="宋体" w:cs="宋体"/>
                <w:b/>
                <w:bCs/>
                <w:sz w:val="18"/>
                <w:szCs w:val="18"/>
              </w:rPr>
              <w:t>实际完成指标值</w:t>
            </w:r>
          </w:p>
        </w:tc>
        <w:tc>
          <w:tcPr>
            <w:tcW w:w="720" w:type="dxa"/>
            <w:tcBorders>
              <w:top w:val="nil"/>
              <w:left w:val="nil"/>
              <w:bottom w:val="single" w:color="auto" w:sz="4" w:space="0"/>
              <w:right w:val="single" w:color="auto" w:sz="4" w:space="0"/>
            </w:tcBorders>
            <w:vAlign w:val="center"/>
          </w:tcPr>
          <w:p w14:paraId="56694B50">
            <w:pPr>
              <w:jc w:val="center"/>
              <w:rPr>
                <w:rFonts w:hint="eastAsia" w:ascii="宋体" w:hAnsi="宋体" w:eastAsia="宋体" w:cs="宋体"/>
                <w:b/>
                <w:bCs/>
                <w:sz w:val="18"/>
                <w:szCs w:val="18"/>
              </w:rPr>
            </w:pPr>
            <w:r>
              <w:rPr>
                <w:rFonts w:hint="eastAsia" w:ascii="宋体" w:hAnsi="宋体" w:eastAsia="宋体" w:cs="宋体"/>
                <w:b/>
                <w:bCs/>
                <w:sz w:val="18"/>
                <w:szCs w:val="18"/>
              </w:rPr>
              <w:t>得分</w:t>
            </w:r>
          </w:p>
        </w:tc>
      </w:tr>
      <w:tr w14:paraId="36382E01">
        <w:tblPrEx>
          <w:tblCellMar>
            <w:top w:w="0" w:type="dxa"/>
            <w:left w:w="108" w:type="dxa"/>
            <w:bottom w:w="0" w:type="dxa"/>
            <w:right w:w="108" w:type="dxa"/>
          </w:tblCellMar>
        </w:tblPrEx>
        <w:trPr>
          <w:cantSplit/>
          <w:trHeight w:val="740" w:hRule="atLeast"/>
        </w:trPr>
        <w:tc>
          <w:tcPr>
            <w:tcW w:w="993" w:type="dxa"/>
            <w:vMerge w:val="restart"/>
            <w:tcBorders>
              <w:top w:val="single" w:color="auto" w:sz="4" w:space="0"/>
              <w:left w:val="single" w:color="auto" w:sz="4" w:space="0"/>
              <w:right w:val="single" w:color="auto" w:sz="4" w:space="0"/>
            </w:tcBorders>
            <w:noWrap/>
            <w:vAlign w:val="center"/>
          </w:tcPr>
          <w:p w14:paraId="2D65CC32">
            <w:pPr>
              <w:jc w:val="center"/>
              <w:rPr>
                <w:rFonts w:hint="eastAsia" w:ascii="宋体" w:hAnsi="宋体" w:eastAsia="宋体" w:cs="宋体"/>
                <w:sz w:val="18"/>
                <w:szCs w:val="18"/>
              </w:rPr>
            </w:pPr>
            <w:r>
              <w:rPr>
                <w:rFonts w:hint="eastAsia" w:ascii="宋体" w:hAnsi="宋体" w:eastAsia="宋体" w:cs="宋体"/>
                <w:sz w:val="18"/>
                <w:szCs w:val="18"/>
              </w:rPr>
              <w:t>履职效能</w:t>
            </w:r>
          </w:p>
        </w:tc>
        <w:tc>
          <w:tcPr>
            <w:tcW w:w="1417" w:type="dxa"/>
            <w:vMerge w:val="restart"/>
            <w:tcBorders>
              <w:top w:val="nil"/>
              <w:left w:val="nil"/>
              <w:right w:val="single" w:color="auto" w:sz="4" w:space="0"/>
            </w:tcBorders>
            <w:noWrap/>
            <w:vAlign w:val="center"/>
          </w:tcPr>
          <w:p w14:paraId="35575A87">
            <w:pPr>
              <w:jc w:val="center"/>
              <w:rPr>
                <w:rFonts w:hint="eastAsia" w:ascii="宋体" w:hAnsi="宋体" w:eastAsia="宋体" w:cs="宋体"/>
                <w:sz w:val="18"/>
                <w:szCs w:val="18"/>
              </w:rPr>
            </w:pPr>
            <w:r>
              <w:rPr>
                <w:rFonts w:hint="eastAsia" w:ascii="宋体" w:hAnsi="宋体" w:eastAsia="宋体" w:cs="宋体"/>
                <w:sz w:val="18"/>
                <w:szCs w:val="18"/>
              </w:rPr>
              <w:t>数量指标</w:t>
            </w:r>
          </w:p>
        </w:tc>
        <w:tc>
          <w:tcPr>
            <w:tcW w:w="1418" w:type="dxa"/>
            <w:tcBorders>
              <w:top w:val="nil"/>
              <w:left w:val="nil"/>
              <w:bottom w:val="single" w:color="auto" w:sz="4" w:space="0"/>
              <w:right w:val="single" w:color="auto" w:sz="4" w:space="0"/>
            </w:tcBorders>
            <w:noWrap/>
            <w:vAlign w:val="center"/>
          </w:tcPr>
          <w:p w14:paraId="7338C801">
            <w:pPr>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完成在校学生教育数量</w:t>
            </w:r>
          </w:p>
        </w:tc>
        <w:tc>
          <w:tcPr>
            <w:tcW w:w="1242" w:type="dxa"/>
            <w:tcBorders>
              <w:top w:val="nil"/>
              <w:left w:val="nil"/>
              <w:bottom w:val="single" w:color="auto" w:sz="4" w:space="0"/>
              <w:right w:val="single" w:color="auto" w:sz="4" w:space="0"/>
            </w:tcBorders>
            <w:noWrap/>
            <w:vAlign w:val="center"/>
          </w:tcPr>
          <w:p w14:paraId="645DBBD5">
            <w:pPr>
              <w:jc w:val="center"/>
              <w:rPr>
                <w:rFonts w:hint="eastAsia" w:ascii="宋体" w:hAnsi="宋体" w:eastAsia="宋体" w:cs="宋体"/>
                <w:sz w:val="18"/>
                <w:szCs w:val="18"/>
              </w:rPr>
            </w:pPr>
            <w:r>
              <w:rPr>
                <w:rFonts w:hint="eastAsia" w:ascii="宋体" w:hAnsi="宋体" w:eastAsia="宋体" w:cs="宋体"/>
                <w:sz w:val="18"/>
                <w:szCs w:val="18"/>
              </w:rPr>
              <w:t>=379人</w:t>
            </w:r>
          </w:p>
        </w:tc>
        <w:tc>
          <w:tcPr>
            <w:tcW w:w="1417" w:type="dxa"/>
            <w:tcBorders>
              <w:top w:val="nil"/>
              <w:left w:val="nil"/>
              <w:bottom w:val="single" w:color="auto" w:sz="4" w:space="0"/>
              <w:right w:val="single" w:color="auto" w:sz="4" w:space="0"/>
            </w:tcBorders>
            <w:noWrap/>
            <w:vAlign w:val="center"/>
          </w:tcPr>
          <w:p w14:paraId="7AFBC2C0">
            <w:pPr>
              <w:rPr>
                <w:rFonts w:hint="eastAsia" w:ascii="宋体" w:hAnsi="宋体" w:eastAsia="宋体" w:cs="宋体"/>
                <w:sz w:val="18"/>
                <w:szCs w:val="18"/>
              </w:rPr>
            </w:pPr>
            <w:r>
              <w:rPr>
                <w:rFonts w:hint="eastAsia" w:ascii="宋体" w:hAnsi="宋体" w:eastAsia="宋体" w:cs="宋体"/>
                <w:sz w:val="18"/>
                <w:szCs w:val="18"/>
              </w:rPr>
              <w:t>学生年报</w:t>
            </w:r>
          </w:p>
        </w:tc>
        <w:tc>
          <w:tcPr>
            <w:tcW w:w="1134" w:type="dxa"/>
            <w:tcBorders>
              <w:top w:val="nil"/>
              <w:left w:val="nil"/>
              <w:bottom w:val="single" w:color="auto" w:sz="4" w:space="0"/>
              <w:right w:val="single" w:color="auto" w:sz="4" w:space="0"/>
            </w:tcBorders>
            <w:noWrap/>
            <w:vAlign w:val="center"/>
          </w:tcPr>
          <w:p w14:paraId="276B40EE">
            <w:pPr>
              <w:jc w:val="center"/>
              <w:rPr>
                <w:rFonts w:hint="eastAsia" w:ascii="宋体" w:hAnsi="宋体" w:eastAsia="宋体" w:cs="宋体"/>
                <w:sz w:val="18"/>
                <w:szCs w:val="18"/>
              </w:rPr>
            </w:pPr>
            <w:r>
              <w:rPr>
                <w:rFonts w:hint="eastAsia" w:ascii="宋体" w:hAnsi="宋体" w:eastAsia="宋体" w:cs="宋体"/>
                <w:sz w:val="18"/>
                <w:szCs w:val="18"/>
              </w:rPr>
              <w:t>23</w:t>
            </w:r>
          </w:p>
        </w:tc>
        <w:tc>
          <w:tcPr>
            <w:tcW w:w="1310" w:type="dxa"/>
            <w:tcBorders>
              <w:top w:val="nil"/>
              <w:left w:val="nil"/>
              <w:bottom w:val="single" w:color="auto" w:sz="4" w:space="0"/>
              <w:right w:val="single" w:color="auto" w:sz="4" w:space="0"/>
            </w:tcBorders>
            <w:noWrap/>
            <w:vAlign w:val="center"/>
          </w:tcPr>
          <w:p w14:paraId="58A6A3A1">
            <w:pPr>
              <w:jc w:val="center"/>
              <w:rPr>
                <w:rFonts w:hint="eastAsia" w:ascii="宋体" w:hAnsi="宋体" w:eastAsia="宋体" w:cs="宋体"/>
                <w:sz w:val="18"/>
                <w:szCs w:val="18"/>
              </w:rPr>
            </w:pPr>
            <w:r>
              <w:rPr>
                <w:rFonts w:hint="eastAsia" w:ascii="宋体" w:hAnsi="宋体" w:eastAsia="宋体" w:cs="宋体"/>
                <w:sz w:val="18"/>
                <w:szCs w:val="18"/>
              </w:rPr>
              <w:t>=379人</w:t>
            </w:r>
          </w:p>
        </w:tc>
        <w:tc>
          <w:tcPr>
            <w:tcW w:w="720" w:type="dxa"/>
            <w:tcBorders>
              <w:top w:val="nil"/>
              <w:left w:val="nil"/>
              <w:bottom w:val="single" w:color="auto" w:sz="4" w:space="0"/>
              <w:right w:val="single" w:color="auto" w:sz="4" w:space="0"/>
            </w:tcBorders>
            <w:noWrap/>
            <w:vAlign w:val="center"/>
          </w:tcPr>
          <w:p w14:paraId="0BE04809">
            <w:pPr>
              <w:jc w:val="center"/>
              <w:rPr>
                <w:rFonts w:hint="eastAsia" w:ascii="宋体" w:hAnsi="宋体" w:eastAsia="宋体" w:cs="宋体"/>
                <w:sz w:val="18"/>
                <w:szCs w:val="18"/>
              </w:rPr>
            </w:pPr>
            <w:r>
              <w:rPr>
                <w:rFonts w:hint="eastAsia" w:ascii="宋体" w:hAnsi="宋体" w:eastAsia="宋体" w:cs="宋体"/>
                <w:sz w:val="18"/>
                <w:szCs w:val="18"/>
              </w:rPr>
              <w:t>23</w:t>
            </w:r>
          </w:p>
        </w:tc>
      </w:tr>
      <w:tr w14:paraId="46165AE4">
        <w:tblPrEx>
          <w:tblCellMar>
            <w:top w:w="0" w:type="dxa"/>
            <w:left w:w="108" w:type="dxa"/>
            <w:bottom w:w="0" w:type="dxa"/>
            <w:right w:w="108" w:type="dxa"/>
          </w:tblCellMar>
        </w:tblPrEx>
        <w:trPr>
          <w:cantSplit/>
          <w:trHeight w:val="740" w:hRule="atLeast"/>
        </w:trPr>
        <w:tc>
          <w:tcPr>
            <w:tcW w:w="993" w:type="dxa"/>
            <w:vMerge w:val="continue"/>
            <w:tcBorders>
              <w:left w:val="single" w:color="auto" w:sz="4" w:space="0"/>
              <w:right w:val="single" w:color="auto" w:sz="4" w:space="0"/>
            </w:tcBorders>
            <w:noWrap/>
            <w:vAlign w:val="center"/>
          </w:tcPr>
          <w:p w14:paraId="2449A0B3">
            <w:pPr>
              <w:jc w:val="center"/>
              <w:rPr>
                <w:rFonts w:hint="eastAsia" w:ascii="宋体" w:hAnsi="宋体" w:eastAsia="宋体" w:cs="宋体"/>
                <w:sz w:val="18"/>
                <w:szCs w:val="18"/>
              </w:rPr>
            </w:pPr>
          </w:p>
        </w:tc>
        <w:tc>
          <w:tcPr>
            <w:tcW w:w="1417" w:type="dxa"/>
            <w:vMerge w:val="continue"/>
            <w:tcBorders>
              <w:left w:val="nil"/>
              <w:right w:val="single" w:color="auto" w:sz="4" w:space="0"/>
            </w:tcBorders>
            <w:noWrap/>
            <w:vAlign w:val="center"/>
          </w:tcPr>
          <w:p w14:paraId="37A6BFAE">
            <w:pPr>
              <w:jc w:val="center"/>
              <w:rPr>
                <w:rFonts w:hint="eastAsia" w:ascii="宋体" w:hAnsi="宋体" w:eastAsia="宋体" w:cs="宋体"/>
                <w:sz w:val="18"/>
                <w:szCs w:val="18"/>
              </w:rPr>
            </w:pPr>
          </w:p>
        </w:tc>
        <w:tc>
          <w:tcPr>
            <w:tcW w:w="1418" w:type="dxa"/>
            <w:tcBorders>
              <w:top w:val="nil"/>
              <w:left w:val="nil"/>
              <w:bottom w:val="single" w:color="auto" w:sz="4" w:space="0"/>
              <w:right w:val="single" w:color="auto" w:sz="4" w:space="0"/>
            </w:tcBorders>
            <w:noWrap/>
            <w:vAlign w:val="center"/>
          </w:tcPr>
          <w:p w14:paraId="13144916">
            <w:pPr>
              <w:jc w:val="center"/>
              <w:rPr>
                <w:rFonts w:hint="eastAsia" w:ascii="宋体" w:hAnsi="宋体" w:eastAsia="宋体" w:cs="宋体"/>
                <w:sz w:val="18"/>
                <w:szCs w:val="18"/>
              </w:rPr>
            </w:pPr>
            <w:r>
              <w:rPr>
                <w:rFonts w:hint="eastAsia" w:ascii="宋体" w:hAnsi="宋体" w:eastAsia="宋体" w:cs="宋体"/>
                <w:sz w:val="18"/>
                <w:szCs w:val="18"/>
              </w:rPr>
              <w:t>完成学年内新生人数</w:t>
            </w:r>
          </w:p>
        </w:tc>
        <w:tc>
          <w:tcPr>
            <w:tcW w:w="1242" w:type="dxa"/>
            <w:tcBorders>
              <w:top w:val="nil"/>
              <w:left w:val="nil"/>
              <w:bottom w:val="single" w:color="auto" w:sz="4" w:space="0"/>
              <w:right w:val="single" w:color="auto" w:sz="4" w:space="0"/>
            </w:tcBorders>
            <w:noWrap/>
            <w:vAlign w:val="center"/>
          </w:tcPr>
          <w:p w14:paraId="0C44806D">
            <w:pPr>
              <w:jc w:val="center"/>
              <w:rPr>
                <w:rFonts w:hint="eastAsia" w:ascii="宋体" w:hAnsi="宋体" w:eastAsia="宋体" w:cs="宋体"/>
                <w:sz w:val="18"/>
                <w:szCs w:val="18"/>
              </w:rPr>
            </w:pPr>
            <w:r>
              <w:rPr>
                <w:rFonts w:hint="eastAsia" w:ascii="宋体" w:hAnsi="宋体" w:eastAsia="宋体" w:cs="宋体"/>
                <w:sz w:val="18"/>
                <w:szCs w:val="18"/>
              </w:rPr>
              <w:t>=119人</w:t>
            </w:r>
          </w:p>
        </w:tc>
        <w:tc>
          <w:tcPr>
            <w:tcW w:w="1417" w:type="dxa"/>
            <w:tcBorders>
              <w:top w:val="nil"/>
              <w:left w:val="nil"/>
              <w:bottom w:val="single" w:color="auto" w:sz="4" w:space="0"/>
              <w:right w:val="single" w:color="auto" w:sz="4" w:space="0"/>
            </w:tcBorders>
            <w:noWrap/>
            <w:vAlign w:val="center"/>
          </w:tcPr>
          <w:p w14:paraId="3AFF8840">
            <w:pPr>
              <w:rPr>
                <w:rFonts w:hint="eastAsia" w:ascii="宋体" w:hAnsi="宋体" w:eastAsia="宋体" w:cs="宋体"/>
                <w:sz w:val="18"/>
                <w:szCs w:val="18"/>
              </w:rPr>
            </w:pPr>
            <w:r>
              <w:rPr>
                <w:rFonts w:hint="eastAsia" w:ascii="宋体" w:hAnsi="宋体" w:eastAsia="宋体" w:cs="宋体"/>
                <w:sz w:val="18"/>
                <w:szCs w:val="18"/>
              </w:rPr>
              <w:t>学生年报</w:t>
            </w:r>
          </w:p>
        </w:tc>
        <w:tc>
          <w:tcPr>
            <w:tcW w:w="1134" w:type="dxa"/>
            <w:tcBorders>
              <w:top w:val="nil"/>
              <w:left w:val="nil"/>
              <w:bottom w:val="single" w:color="auto" w:sz="4" w:space="0"/>
              <w:right w:val="single" w:color="auto" w:sz="4" w:space="0"/>
            </w:tcBorders>
            <w:noWrap/>
            <w:vAlign w:val="center"/>
          </w:tcPr>
          <w:p w14:paraId="781AD0FE">
            <w:pPr>
              <w:jc w:val="center"/>
              <w:rPr>
                <w:rFonts w:hint="eastAsia" w:ascii="宋体" w:hAnsi="宋体" w:eastAsia="宋体" w:cs="宋体"/>
                <w:sz w:val="18"/>
                <w:szCs w:val="18"/>
              </w:rPr>
            </w:pPr>
            <w:r>
              <w:rPr>
                <w:rFonts w:hint="eastAsia" w:ascii="宋体" w:hAnsi="宋体" w:eastAsia="宋体" w:cs="宋体"/>
                <w:sz w:val="18"/>
                <w:szCs w:val="18"/>
              </w:rPr>
              <w:t>23</w:t>
            </w:r>
          </w:p>
        </w:tc>
        <w:tc>
          <w:tcPr>
            <w:tcW w:w="1310" w:type="dxa"/>
            <w:tcBorders>
              <w:top w:val="nil"/>
              <w:left w:val="nil"/>
              <w:bottom w:val="single" w:color="auto" w:sz="4" w:space="0"/>
              <w:right w:val="single" w:color="auto" w:sz="4" w:space="0"/>
            </w:tcBorders>
            <w:noWrap/>
            <w:vAlign w:val="center"/>
          </w:tcPr>
          <w:p w14:paraId="37D0A6FF">
            <w:pPr>
              <w:jc w:val="center"/>
              <w:rPr>
                <w:rFonts w:hint="eastAsia" w:ascii="宋体" w:hAnsi="宋体" w:eastAsia="宋体" w:cs="宋体"/>
                <w:sz w:val="18"/>
                <w:szCs w:val="18"/>
              </w:rPr>
            </w:pPr>
            <w:r>
              <w:rPr>
                <w:rFonts w:hint="eastAsia" w:ascii="宋体" w:hAnsi="宋体" w:eastAsia="宋体" w:cs="宋体"/>
                <w:sz w:val="18"/>
                <w:szCs w:val="18"/>
              </w:rPr>
              <w:t>=119人</w:t>
            </w:r>
          </w:p>
        </w:tc>
        <w:tc>
          <w:tcPr>
            <w:tcW w:w="720" w:type="dxa"/>
            <w:tcBorders>
              <w:top w:val="nil"/>
              <w:left w:val="nil"/>
              <w:bottom w:val="single" w:color="auto" w:sz="4" w:space="0"/>
              <w:right w:val="single" w:color="auto" w:sz="4" w:space="0"/>
            </w:tcBorders>
            <w:noWrap/>
            <w:vAlign w:val="center"/>
          </w:tcPr>
          <w:p w14:paraId="5AA34EE4">
            <w:pPr>
              <w:jc w:val="center"/>
              <w:rPr>
                <w:rFonts w:hint="eastAsia" w:ascii="宋体" w:hAnsi="宋体" w:eastAsia="宋体" w:cs="宋体"/>
                <w:sz w:val="18"/>
                <w:szCs w:val="18"/>
              </w:rPr>
            </w:pPr>
            <w:r>
              <w:rPr>
                <w:rFonts w:hint="eastAsia" w:ascii="宋体" w:hAnsi="宋体" w:eastAsia="宋体" w:cs="宋体"/>
                <w:sz w:val="18"/>
                <w:szCs w:val="18"/>
              </w:rPr>
              <w:t>23</w:t>
            </w:r>
          </w:p>
        </w:tc>
      </w:tr>
      <w:tr w14:paraId="1E4F1649">
        <w:tblPrEx>
          <w:tblCellMar>
            <w:top w:w="0" w:type="dxa"/>
            <w:left w:w="108" w:type="dxa"/>
            <w:bottom w:w="0" w:type="dxa"/>
            <w:right w:w="108" w:type="dxa"/>
          </w:tblCellMar>
        </w:tblPrEx>
        <w:trPr>
          <w:cantSplit/>
          <w:trHeight w:val="740" w:hRule="atLeast"/>
        </w:trPr>
        <w:tc>
          <w:tcPr>
            <w:tcW w:w="993" w:type="dxa"/>
            <w:vMerge w:val="continue"/>
            <w:tcBorders>
              <w:left w:val="single" w:color="auto" w:sz="4" w:space="0"/>
              <w:right w:val="single" w:color="auto" w:sz="4" w:space="0"/>
            </w:tcBorders>
            <w:noWrap/>
            <w:vAlign w:val="center"/>
          </w:tcPr>
          <w:p w14:paraId="62A9C367">
            <w:pPr>
              <w:jc w:val="center"/>
              <w:rPr>
                <w:rFonts w:hint="eastAsia" w:ascii="宋体" w:hAnsi="宋体" w:eastAsia="宋体" w:cs="宋体"/>
                <w:sz w:val="18"/>
                <w:szCs w:val="18"/>
              </w:rPr>
            </w:pPr>
          </w:p>
        </w:tc>
        <w:tc>
          <w:tcPr>
            <w:tcW w:w="1417" w:type="dxa"/>
            <w:vMerge w:val="continue"/>
            <w:tcBorders>
              <w:left w:val="nil"/>
              <w:bottom w:val="single" w:color="auto" w:sz="4" w:space="0"/>
              <w:right w:val="single" w:color="auto" w:sz="4" w:space="0"/>
            </w:tcBorders>
            <w:noWrap/>
            <w:vAlign w:val="center"/>
          </w:tcPr>
          <w:p w14:paraId="25BA39CF">
            <w:pPr>
              <w:jc w:val="center"/>
              <w:rPr>
                <w:rFonts w:hint="eastAsia" w:ascii="宋体" w:hAnsi="宋体" w:eastAsia="宋体" w:cs="宋体"/>
                <w:sz w:val="18"/>
                <w:szCs w:val="18"/>
              </w:rPr>
            </w:pPr>
          </w:p>
        </w:tc>
        <w:tc>
          <w:tcPr>
            <w:tcW w:w="1418" w:type="dxa"/>
            <w:tcBorders>
              <w:top w:val="nil"/>
              <w:left w:val="nil"/>
              <w:bottom w:val="single" w:color="auto" w:sz="4" w:space="0"/>
              <w:right w:val="single" w:color="auto" w:sz="4" w:space="0"/>
            </w:tcBorders>
            <w:noWrap/>
            <w:vAlign w:val="center"/>
          </w:tcPr>
          <w:p w14:paraId="7448898C">
            <w:pPr>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完成学年内结业学生人数</w:t>
            </w:r>
          </w:p>
        </w:tc>
        <w:tc>
          <w:tcPr>
            <w:tcW w:w="1242" w:type="dxa"/>
            <w:tcBorders>
              <w:top w:val="nil"/>
              <w:left w:val="nil"/>
              <w:bottom w:val="single" w:color="auto" w:sz="4" w:space="0"/>
              <w:right w:val="single" w:color="auto" w:sz="4" w:space="0"/>
            </w:tcBorders>
            <w:noWrap/>
            <w:vAlign w:val="center"/>
          </w:tcPr>
          <w:p w14:paraId="1DD1A76A">
            <w:pPr>
              <w:jc w:val="center"/>
              <w:rPr>
                <w:rFonts w:hint="eastAsia" w:ascii="宋体" w:hAnsi="宋体" w:eastAsia="宋体" w:cs="宋体"/>
                <w:sz w:val="18"/>
                <w:szCs w:val="18"/>
              </w:rPr>
            </w:pPr>
            <w:r>
              <w:rPr>
                <w:rFonts w:hint="eastAsia" w:ascii="宋体" w:hAnsi="宋体" w:eastAsia="宋体" w:cs="宋体"/>
                <w:sz w:val="18"/>
                <w:szCs w:val="18"/>
              </w:rPr>
              <w:t>=128人</w:t>
            </w:r>
          </w:p>
        </w:tc>
        <w:tc>
          <w:tcPr>
            <w:tcW w:w="1417" w:type="dxa"/>
            <w:tcBorders>
              <w:top w:val="nil"/>
              <w:left w:val="nil"/>
              <w:bottom w:val="single" w:color="auto" w:sz="4" w:space="0"/>
              <w:right w:val="single" w:color="auto" w:sz="4" w:space="0"/>
            </w:tcBorders>
            <w:noWrap/>
            <w:vAlign w:val="center"/>
          </w:tcPr>
          <w:p w14:paraId="0F104230">
            <w:pPr>
              <w:rPr>
                <w:rFonts w:hint="eastAsia" w:ascii="宋体" w:hAnsi="宋体" w:eastAsia="宋体" w:cs="宋体"/>
                <w:sz w:val="18"/>
                <w:szCs w:val="18"/>
              </w:rPr>
            </w:pPr>
            <w:r>
              <w:rPr>
                <w:rFonts w:hint="eastAsia" w:ascii="宋体" w:hAnsi="宋体" w:eastAsia="宋体" w:cs="宋体"/>
                <w:sz w:val="18"/>
                <w:szCs w:val="18"/>
              </w:rPr>
              <w:t>学生年报</w:t>
            </w:r>
          </w:p>
        </w:tc>
        <w:tc>
          <w:tcPr>
            <w:tcW w:w="1134" w:type="dxa"/>
            <w:tcBorders>
              <w:top w:val="nil"/>
              <w:left w:val="nil"/>
              <w:bottom w:val="single" w:color="auto" w:sz="4" w:space="0"/>
              <w:right w:val="single" w:color="auto" w:sz="4" w:space="0"/>
            </w:tcBorders>
            <w:noWrap/>
            <w:vAlign w:val="center"/>
          </w:tcPr>
          <w:p w14:paraId="7DC7D325">
            <w:pPr>
              <w:jc w:val="center"/>
              <w:rPr>
                <w:rFonts w:hint="eastAsia" w:ascii="宋体" w:hAnsi="宋体" w:eastAsia="宋体" w:cs="宋体"/>
                <w:sz w:val="18"/>
                <w:szCs w:val="18"/>
              </w:rPr>
            </w:pPr>
            <w:r>
              <w:rPr>
                <w:rFonts w:hint="eastAsia" w:ascii="宋体" w:hAnsi="宋体" w:eastAsia="宋体" w:cs="宋体"/>
                <w:sz w:val="18"/>
                <w:szCs w:val="18"/>
              </w:rPr>
              <w:t>22</w:t>
            </w:r>
          </w:p>
        </w:tc>
        <w:tc>
          <w:tcPr>
            <w:tcW w:w="1310" w:type="dxa"/>
            <w:tcBorders>
              <w:top w:val="nil"/>
              <w:left w:val="nil"/>
              <w:bottom w:val="single" w:color="auto" w:sz="4" w:space="0"/>
              <w:right w:val="single" w:color="auto" w:sz="4" w:space="0"/>
            </w:tcBorders>
            <w:noWrap/>
            <w:vAlign w:val="center"/>
          </w:tcPr>
          <w:p w14:paraId="75FC3CFB">
            <w:pPr>
              <w:jc w:val="center"/>
              <w:rPr>
                <w:rFonts w:hint="eastAsia" w:ascii="宋体" w:hAnsi="宋体" w:eastAsia="宋体" w:cs="宋体"/>
                <w:sz w:val="18"/>
                <w:szCs w:val="18"/>
              </w:rPr>
            </w:pPr>
            <w:r>
              <w:rPr>
                <w:rFonts w:hint="eastAsia" w:ascii="宋体" w:hAnsi="宋体" w:eastAsia="宋体" w:cs="宋体"/>
                <w:sz w:val="18"/>
                <w:szCs w:val="18"/>
              </w:rPr>
              <w:t>=128人</w:t>
            </w:r>
          </w:p>
        </w:tc>
        <w:tc>
          <w:tcPr>
            <w:tcW w:w="720" w:type="dxa"/>
            <w:tcBorders>
              <w:top w:val="nil"/>
              <w:left w:val="nil"/>
              <w:bottom w:val="single" w:color="auto" w:sz="4" w:space="0"/>
              <w:right w:val="single" w:color="auto" w:sz="4" w:space="0"/>
            </w:tcBorders>
            <w:noWrap/>
            <w:vAlign w:val="center"/>
          </w:tcPr>
          <w:p w14:paraId="68BC63D7">
            <w:pPr>
              <w:jc w:val="center"/>
              <w:rPr>
                <w:rFonts w:hint="eastAsia" w:ascii="宋体" w:hAnsi="宋体" w:eastAsia="宋体" w:cs="宋体"/>
                <w:sz w:val="18"/>
                <w:szCs w:val="18"/>
              </w:rPr>
            </w:pPr>
            <w:r>
              <w:rPr>
                <w:rFonts w:hint="eastAsia" w:ascii="宋体" w:hAnsi="宋体" w:eastAsia="宋体" w:cs="宋体"/>
                <w:sz w:val="18"/>
                <w:szCs w:val="18"/>
              </w:rPr>
              <w:t>22</w:t>
            </w:r>
          </w:p>
        </w:tc>
      </w:tr>
      <w:tr w14:paraId="50C54F34">
        <w:tblPrEx>
          <w:tblCellMar>
            <w:top w:w="0" w:type="dxa"/>
            <w:left w:w="108" w:type="dxa"/>
            <w:bottom w:w="0" w:type="dxa"/>
            <w:right w:w="108" w:type="dxa"/>
          </w:tblCellMar>
        </w:tblPrEx>
        <w:trPr>
          <w:cantSplit/>
          <w:trHeight w:val="740" w:hRule="atLeast"/>
        </w:trPr>
        <w:tc>
          <w:tcPr>
            <w:tcW w:w="993" w:type="dxa"/>
            <w:vMerge w:val="continue"/>
            <w:tcBorders>
              <w:left w:val="single" w:color="auto" w:sz="4" w:space="0"/>
              <w:bottom w:val="single" w:color="auto" w:sz="4" w:space="0"/>
              <w:right w:val="single" w:color="auto" w:sz="4" w:space="0"/>
            </w:tcBorders>
            <w:noWrap/>
            <w:vAlign w:val="center"/>
          </w:tcPr>
          <w:p w14:paraId="5B16A691">
            <w:pPr>
              <w:jc w:val="center"/>
              <w:rPr>
                <w:rFonts w:hint="eastAsia" w:ascii="宋体" w:hAnsi="宋体" w:eastAsia="宋体" w:cs="宋体"/>
                <w:sz w:val="18"/>
                <w:szCs w:val="18"/>
              </w:rPr>
            </w:pPr>
          </w:p>
        </w:tc>
        <w:tc>
          <w:tcPr>
            <w:tcW w:w="1417" w:type="dxa"/>
            <w:tcBorders>
              <w:top w:val="nil"/>
              <w:left w:val="nil"/>
              <w:bottom w:val="single" w:color="auto" w:sz="4" w:space="0"/>
              <w:right w:val="single" w:color="auto" w:sz="4" w:space="0"/>
            </w:tcBorders>
            <w:noWrap/>
            <w:vAlign w:val="center"/>
          </w:tcPr>
          <w:p w14:paraId="0F00DD6C">
            <w:pPr>
              <w:jc w:val="center"/>
              <w:rPr>
                <w:rFonts w:hint="eastAsia" w:ascii="宋体" w:hAnsi="宋体" w:eastAsia="宋体" w:cs="宋体"/>
                <w:sz w:val="18"/>
                <w:szCs w:val="18"/>
              </w:rPr>
            </w:pPr>
            <w:r>
              <w:rPr>
                <w:rFonts w:hint="eastAsia" w:ascii="宋体" w:hAnsi="宋体" w:eastAsia="宋体" w:cs="宋体"/>
                <w:sz w:val="18"/>
                <w:szCs w:val="18"/>
              </w:rPr>
              <w:t>质量指标</w:t>
            </w:r>
          </w:p>
        </w:tc>
        <w:tc>
          <w:tcPr>
            <w:tcW w:w="1418" w:type="dxa"/>
            <w:tcBorders>
              <w:top w:val="nil"/>
              <w:left w:val="nil"/>
              <w:bottom w:val="single" w:color="auto" w:sz="4" w:space="0"/>
              <w:right w:val="single" w:color="auto" w:sz="4" w:space="0"/>
            </w:tcBorders>
            <w:noWrap/>
            <w:vAlign w:val="center"/>
          </w:tcPr>
          <w:p w14:paraId="2F3B3C6C">
            <w:pPr>
              <w:jc w:val="center"/>
              <w:rPr>
                <w:rFonts w:hint="eastAsia" w:ascii="宋体" w:hAnsi="宋体" w:eastAsia="宋体" w:cs="宋体"/>
                <w:sz w:val="18"/>
                <w:szCs w:val="18"/>
              </w:rPr>
            </w:pPr>
            <w:r>
              <w:rPr>
                <w:rFonts w:hint="eastAsia" w:ascii="宋体" w:hAnsi="宋体" w:eastAsia="宋体" w:cs="宋体"/>
                <w:sz w:val="18"/>
                <w:szCs w:val="18"/>
              </w:rPr>
              <w:t>结业完成率</w:t>
            </w:r>
          </w:p>
        </w:tc>
        <w:tc>
          <w:tcPr>
            <w:tcW w:w="1242" w:type="dxa"/>
            <w:tcBorders>
              <w:top w:val="nil"/>
              <w:left w:val="nil"/>
              <w:bottom w:val="single" w:color="auto" w:sz="4" w:space="0"/>
              <w:right w:val="single" w:color="auto" w:sz="4" w:space="0"/>
            </w:tcBorders>
            <w:noWrap/>
            <w:vAlign w:val="center"/>
          </w:tcPr>
          <w:p w14:paraId="0E89B9F4">
            <w:pPr>
              <w:jc w:val="center"/>
              <w:rPr>
                <w:rFonts w:hint="eastAsia" w:ascii="宋体" w:hAnsi="宋体" w:eastAsia="宋体" w:cs="宋体"/>
                <w:sz w:val="18"/>
                <w:szCs w:val="18"/>
              </w:rPr>
            </w:pPr>
            <w:r>
              <w:rPr>
                <w:rFonts w:hint="eastAsia" w:ascii="宋体" w:hAnsi="宋体" w:eastAsia="宋体" w:cs="宋体"/>
                <w:sz w:val="18"/>
                <w:szCs w:val="18"/>
              </w:rPr>
              <w:t>=100%</w:t>
            </w:r>
          </w:p>
        </w:tc>
        <w:tc>
          <w:tcPr>
            <w:tcW w:w="1417" w:type="dxa"/>
            <w:tcBorders>
              <w:top w:val="nil"/>
              <w:left w:val="nil"/>
              <w:bottom w:val="single" w:color="auto" w:sz="4" w:space="0"/>
              <w:right w:val="single" w:color="auto" w:sz="4" w:space="0"/>
            </w:tcBorders>
            <w:noWrap/>
            <w:vAlign w:val="center"/>
          </w:tcPr>
          <w:p w14:paraId="54AF7A64">
            <w:pPr>
              <w:rPr>
                <w:rFonts w:hint="eastAsia" w:ascii="宋体" w:hAnsi="宋体" w:eastAsia="宋体" w:cs="宋体"/>
                <w:sz w:val="18"/>
                <w:szCs w:val="18"/>
              </w:rPr>
            </w:pPr>
            <w:r>
              <w:rPr>
                <w:rFonts w:hint="eastAsia" w:ascii="宋体" w:hAnsi="宋体" w:eastAsia="宋体" w:cs="宋体"/>
                <w:sz w:val="18"/>
                <w:szCs w:val="18"/>
              </w:rPr>
              <w:t>学生年报</w:t>
            </w:r>
          </w:p>
        </w:tc>
        <w:tc>
          <w:tcPr>
            <w:tcW w:w="1134" w:type="dxa"/>
            <w:tcBorders>
              <w:top w:val="nil"/>
              <w:left w:val="nil"/>
              <w:bottom w:val="single" w:color="auto" w:sz="4" w:space="0"/>
              <w:right w:val="single" w:color="auto" w:sz="4" w:space="0"/>
            </w:tcBorders>
            <w:noWrap/>
            <w:vAlign w:val="center"/>
          </w:tcPr>
          <w:p w14:paraId="6AF7235F">
            <w:pPr>
              <w:jc w:val="center"/>
              <w:rPr>
                <w:rFonts w:hint="eastAsia" w:ascii="宋体" w:hAnsi="宋体" w:eastAsia="宋体" w:cs="宋体"/>
                <w:sz w:val="18"/>
                <w:szCs w:val="18"/>
              </w:rPr>
            </w:pPr>
            <w:r>
              <w:rPr>
                <w:rFonts w:hint="eastAsia" w:ascii="宋体" w:hAnsi="宋体" w:eastAsia="宋体" w:cs="宋体"/>
                <w:sz w:val="18"/>
                <w:szCs w:val="18"/>
              </w:rPr>
              <w:t>22</w:t>
            </w:r>
          </w:p>
        </w:tc>
        <w:tc>
          <w:tcPr>
            <w:tcW w:w="1310" w:type="dxa"/>
            <w:tcBorders>
              <w:top w:val="nil"/>
              <w:left w:val="nil"/>
              <w:bottom w:val="single" w:color="auto" w:sz="4" w:space="0"/>
              <w:right w:val="single" w:color="auto" w:sz="4" w:space="0"/>
            </w:tcBorders>
            <w:noWrap/>
            <w:vAlign w:val="center"/>
          </w:tcPr>
          <w:p w14:paraId="2614D392">
            <w:pPr>
              <w:jc w:val="center"/>
              <w:rPr>
                <w:rFonts w:hint="eastAsia" w:ascii="宋体" w:hAnsi="宋体" w:eastAsia="宋体" w:cs="宋体"/>
                <w:sz w:val="18"/>
                <w:szCs w:val="18"/>
              </w:rPr>
            </w:pPr>
            <w:r>
              <w:rPr>
                <w:rFonts w:hint="eastAsia" w:ascii="宋体" w:hAnsi="宋体" w:eastAsia="宋体" w:cs="宋体"/>
                <w:sz w:val="18"/>
                <w:szCs w:val="18"/>
              </w:rPr>
              <w:t>=100%</w:t>
            </w:r>
          </w:p>
        </w:tc>
        <w:tc>
          <w:tcPr>
            <w:tcW w:w="720" w:type="dxa"/>
            <w:tcBorders>
              <w:top w:val="nil"/>
              <w:left w:val="nil"/>
              <w:bottom w:val="single" w:color="auto" w:sz="4" w:space="0"/>
              <w:right w:val="single" w:color="auto" w:sz="4" w:space="0"/>
            </w:tcBorders>
            <w:noWrap/>
            <w:vAlign w:val="center"/>
          </w:tcPr>
          <w:p w14:paraId="08055CC9">
            <w:pPr>
              <w:jc w:val="center"/>
              <w:rPr>
                <w:rFonts w:hint="eastAsia" w:ascii="宋体" w:hAnsi="宋体" w:eastAsia="宋体" w:cs="宋体"/>
                <w:sz w:val="18"/>
                <w:szCs w:val="18"/>
              </w:rPr>
            </w:pPr>
            <w:r>
              <w:rPr>
                <w:rFonts w:hint="eastAsia" w:ascii="宋体" w:hAnsi="宋体" w:eastAsia="宋体" w:cs="宋体"/>
                <w:sz w:val="18"/>
                <w:szCs w:val="18"/>
              </w:rPr>
              <w:t>22</w:t>
            </w:r>
          </w:p>
        </w:tc>
      </w:tr>
    </w:tbl>
    <w:p w14:paraId="3C7C62F8">
      <w:pPr>
        <w:jc w:val="center"/>
        <w:rPr>
          <w:rFonts w:hint="eastAsia" w:ascii="宋体" w:hAnsi="宋体" w:eastAsia="宋体" w:cs="宋体"/>
          <w:b/>
          <w:bCs/>
          <w:sz w:val="28"/>
          <w:szCs w:val="28"/>
          <w:lang w:eastAsia="zh-CN"/>
        </w:rPr>
      </w:pPr>
      <w:r>
        <w:rPr>
          <w:rFonts w:hint="eastAsia" w:ascii="宋体" w:hAnsi="宋体" w:eastAsia="宋体" w:cs="宋体"/>
          <w:b/>
          <w:bCs/>
          <w:sz w:val="18"/>
          <w:szCs w:val="18"/>
          <w:lang w:eastAsia="zh-CN"/>
        </w:rPr>
        <w:br w:type="page"/>
      </w:r>
      <w:r>
        <w:rPr>
          <w:rFonts w:hint="eastAsia" w:ascii="宋体" w:hAnsi="宋体" w:eastAsia="宋体" w:cs="宋体"/>
          <w:b/>
          <w:bCs/>
          <w:sz w:val="28"/>
          <w:szCs w:val="28"/>
          <w:lang w:eastAsia="zh-CN"/>
        </w:rPr>
        <w:t>项目支出绩效自评表</w:t>
      </w:r>
    </w:p>
    <w:p w14:paraId="0AED9F36">
      <w:pPr>
        <w:jc w:val="center"/>
        <w:rPr>
          <w:rFonts w:hint="eastAsia" w:ascii="宋体" w:hAnsi="宋体" w:eastAsia="宋体" w:cs="宋体"/>
          <w:b/>
          <w:bCs/>
          <w:sz w:val="18"/>
          <w:szCs w:val="18"/>
          <w:lang w:eastAsia="zh-CN"/>
        </w:rPr>
      </w:pPr>
      <w:r>
        <w:rPr>
          <w:rFonts w:hint="eastAsia" w:ascii="宋体" w:hAnsi="宋体" w:eastAsia="宋体" w:cs="宋体"/>
          <w:b/>
          <w:bCs/>
          <w:sz w:val="18"/>
          <w:szCs w:val="18"/>
          <w:lang w:eastAsia="zh-CN"/>
        </w:rPr>
        <w:t>（2024年度）</w:t>
      </w:r>
    </w:p>
    <w:tbl>
      <w:tblPr>
        <w:tblStyle w:val="12"/>
        <w:tblW w:w="11057" w:type="dxa"/>
        <w:jc w:val="center"/>
        <w:tblLayout w:type="fixed"/>
        <w:tblCellMar>
          <w:top w:w="0" w:type="dxa"/>
          <w:left w:w="108" w:type="dxa"/>
          <w:bottom w:w="0" w:type="dxa"/>
          <w:right w:w="108" w:type="dxa"/>
        </w:tblCellMar>
      </w:tblPr>
      <w:tblGrid>
        <w:gridCol w:w="709"/>
        <w:gridCol w:w="709"/>
        <w:gridCol w:w="709"/>
        <w:gridCol w:w="1246"/>
        <w:gridCol w:w="627"/>
        <w:gridCol w:w="613"/>
        <w:gridCol w:w="728"/>
        <w:gridCol w:w="637"/>
        <w:gridCol w:w="791"/>
        <w:gridCol w:w="741"/>
        <w:gridCol w:w="631"/>
        <w:gridCol w:w="644"/>
        <w:gridCol w:w="720"/>
        <w:gridCol w:w="8"/>
        <w:gridCol w:w="1544"/>
      </w:tblGrid>
      <w:tr w14:paraId="48425CB7">
        <w:tblPrEx>
          <w:tblCellMar>
            <w:top w:w="0" w:type="dxa"/>
            <w:left w:w="108" w:type="dxa"/>
            <w:bottom w:w="0" w:type="dxa"/>
            <w:right w:w="108" w:type="dxa"/>
          </w:tblCellMar>
        </w:tblPrEx>
        <w:trPr>
          <w:trHeight w:val="720" w:hRule="atLeast"/>
          <w:jc w:val="center"/>
        </w:trPr>
        <w:tc>
          <w:tcPr>
            <w:tcW w:w="1418" w:type="dxa"/>
            <w:gridSpan w:val="2"/>
            <w:tcBorders>
              <w:top w:val="single" w:color="auto" w:sz="4" w:space="0"/>
              <w:left w:val="single" w:color="auto" w:sz="4" w:space="0"/>
              <w:bottom w:val="single" w:color="auto" w:sz="4" w:space="0"/>
              <w:right w:val="single" w:color="auto" w:sz="4" w:space="0"/>
            </w:tcBorders>
            <w:vAlign w:val="center"/>
          </w:tcPr>
          <w:p w14:paraId="5901894C">
            <w:pPr>
              <w:jc w:val="center"/>
              <w:rPr>
                <w:rFonts w:hint="eastAsia" w:ascii="宋体" w:hAnsi="宋体" w:eastAsia="宋体" w:cs="宋体"/>
                <w:b/>
                <w:bCs/>
                <w:color w:val="000000"/>
                <w:sz w:val="18"/>
                <w:szCs w:val="18"/>
              </w:rPr>
            </w:pPr>
            <w:bookmarkStart w:id="0" w:name="_Hlk201837198"/>
            <w:r>
              <w:rPr>
                <w:rFonts w:hint="eastAsia" w:ascii="宋体" w:hAnsi="宋体" w:eastAsia="宋体" w:cs="宋体"/>
                <w:b/>
                <w:bCs/>
                <w:color w:val="000000"/>
                <w:sz w:val="18"/>
                <w:szCs w:val="18"/>
              </w:rPr>
              <w:t>项目名称</w:t>
            </w:r>
          </w:p>
        </w:tc>
        <w:tc>
          <w:tcPr>
            <w:tcW w:w="9639" w:type="dxa"/>
            <w:gridSpan w:val="13"/>
            <w:tcBorders>
              <w:top w:val="single" w:color="auto" w:sz="4" w:space="0"/>
              <w:left w:val="nil"/>
              <w:bottom w:val="single" w:color="auto" w:sz="4" w:space="0"/>
              <w:right w:val="single" w:color="auto" w:sz="4" w:space="0"/>
            </w:tcBorders>
            <w:vAlign w:val="center"/>
          </w:tcPr>
          <w:p w14:paraId="2AFD08AB">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2023-2024年自治州中小学校长名师名班主任工作室建设经费</w:t>
            </w:r>
          </w:p>
        </w:tc>
      </w:tr>
      <w:tr w14:paraId="41FF025F">
        <w:tblPrEx>
          <w:tblCellMar>
            <w:top w:w="0" w:type="dxa"/>
            <w:left w:w="108" w:type="dxa"/>
            <w:bottom w:w="0" w:type="dxa"/>
            <w:right w:w="108" w:type="dxa"/>
          </w:tblCellMar>
        </w:tblPrEx>
        <w:trPr>
          <w:trHeight w:val="380" w:hRule="atLeast"/>
          <w:jc w:val="center"/>
        </w:trPr>
        <w:tc>
          <w:tcPr>
            <w:tcW w:w="1418" w:type="dxa"/>
            <w:gridSpan w:val="2"/>
            <w:tcBorders>
              <w:top w:val="single" w:color="auto" w:sz="4" w:space="0"/>
              <w:left w:val="single" w:color="auto" w:sz="4" w:space="0"/>
              <w:bottom w:val="single" w:color="auto" w:sz="4" w:space="0"/>
              <w:right w:val="single" w:color="auto" w:sz="4" w:space="0"/>
            </w:tcBorders>
            <w:vAlign w:val="center"/>
          </w:tcPr>
          <w:p w14:paraId="34EBB51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923" w:type="dxa"/>
            <w:gridSpan w:val="5"/>
            <w:tcBorders>
              <w:top w:val="single" w:color="auto" w:sz="4" w:space="0"/>
              <w:left w:val="nil"/>
              <w:bottom w:val="single" w:color="auto" w:sz="4" w:space="0"/>
              <w:right w:val="single" w:color="auto" w:sz="4" w:space="0"/>
            </w:tcBorders>
            <w:vAlign w:val="center"/>
          </w:tcPr>
          <w:p w14:paraId="518F20A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昌吉市教育局</w:t>
            </w:r>
          </w:p>
        </w:tc>
        <w:tc>
          <w:tcPr>
            <w:tcW w:w="1428" w:type="dxa"/>
            <w:gridSpan w:val="2"/>
            <w:tcBorders>
              <w:top w:val="single" w:color="auto" w:sz="4" w:space="0"/>
              <w:left w:val="nil"/>
              <w:bottom w:val="single" w:color="auto" w:sz="4" w:space="0"/>
              <w:right w:val="single" w:color="auto" w:sz="4" w:space="0"/>
            </w:tcBorders>
            <w:vAlign w:val="center"/>
          </w:tcPr>
          <w:p w14:paraId="7AE5673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4288" w:type="dxa"/>
            <w:gridSpan w:val="6"/>
            <w:tcBorders>
              <w:top w:val="single" w:color="auto" w:sz="4" w:space="0"/>
              <w:left w:val="nil"/>
              <w:bottom w:val="single" w:color="auto" w:sz="4" w:space="0"/>
              <w:right w:val="single" w:color="auto" w:sz="4" w:space="0"/>
            </w:tcBorders>
            <w:vAlign w:val="center"/>
          </w:tcPr>
          <w:p w14:paraId="4DB55EB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昌吉市第六幼儿园</w:t>
            </w:r>
          </w:p>
        </w:tc>
      </w:tr>
      <w:tr w14:paraId="22392083">
        <w:tblPrEx>
          <w:tblCellMar>
            <w:top w:w="0" w:type="dxa"/>
            <w:left w:w="108" w:type="dxa"/>
            <w:bottom w:w="0" w:type="dxa"/>
            <w:right w:w="108" w:type="dxa"/>
          </w:tblCellMar>
        </w:tblPrEx>
        <w:trPr>
          <w:trHeight w:val="380" w:hRule="atLeast"/>
          <w:jc w:val="center"/>
        </w:trPr>
        <w:tc>
          <w:tcPr>
            <w:tcW w:w="709" w:type="dxa"/>
            <w:vMerge w:val="restart"/>
            <w:tcBorders>
              <w:top w:val="nil"/>
              <w:left w:val="single" w:color="auto" w:sz="4" w:space="0"/>
              <w:bottom w:val="single" w:color="auto" w:sz="4" w:space="0"/>
              <w:right w:val="single" w:color="auto" w:sz="4" w:space="0"/>
            </w:tcBorders>
            <w:vAlign w:val="center"/>
          </w:tcPr>
          <w:p w14:paraId="6F0ACE5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1418" w:type="dxa"/>
            <w:gridSpan w:val="2"/>
            <w:tcBorders>
              <w:top w:val="single" w:color="auto" w:sz="4" w:space="0"/>
              <w:left w:val="nil"/>
              <w:bottom w:val="single" w:color="auto" w:sz="4" w:space="0"/>
              <w:right w:val="single" w:color="auto" w:sz="4" w:space="0"/>
            </w:tcBorders>
            <w:vAlign w:val="center"/>
          </w:tcPr>
          <w:p w14:paraId="0C9A41DD">
            <w:pPr>
              <w:jc w:val="center"/>
              <w:rPr>
                <w:rFonts w:hint="eastAsia" w:ascii="宋体" w:hAnsi="宋体" w:eastAsia="宋体" w:cs="宋体"/>
                <w:color w:val="000000"/>
                <w:sz w:val="18"/>
                <w:szCs w:val="18"/>
              </w:rPr>
            </w:pPr>
          </w:p>
        </w:tc>
        <w:tc>
          <w:tcPr>
            <w:tcW w:w="1246" w:type="dxa"/>
            <w:tcBorders>
              <w:top w:val="single" w:color="auto" w:sz="4" w:space="0"/>
              <w:left w:val="nil"/>
              <w:bottom w:val="single" w:color="auto" w:sz="4" w:space="0"/>
              <w:right w:val="single" w:color="auto" w:sz="4" w:space="0"/>
            </w:tcBorders>
            <w:vAlign w:val="center"/>
          </w:tcPr>
          <w:p w14:paraId="14DD6A9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968" w:type="dxa"/>
            <w:gridSpan w:val="3"/>
            <w:tcBorders>
              <w:top w:val="single" w:color="auto" w:sz="4" w:space="0"/>
              <w:left w:val="nil"/>
              <w:bottom w:val="single" w:color="auto" w:sz="4" w:space="0"/>
              <w:right w:val="single" w:color="auto" w:sz="4" w:space="0"/>
            </w:tcBorders>
            <w:vAlign w:val="center"/>
          </w:tcPr>
          <w:p w14:paraId="0D4E07C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428" w:type="dxa"/>
            <w:gridSpan w:val="2"/>
            <w:tcBorders>
              <w:top w:val="single" w:color="auto" w:sz="4" w:space="0"/>
              <w:left w:val="nil"/>
              <w:bottom w:val="single" w:color="auto" w:sz="4" w:space="0"/>
              <w:right w:val="single" w:color="auto" w:sz="4" w:space="0"/>
            </w:tcBorders>
            <w:vAlign w:val="center"/>
          </w:tcPr>
          <w:p w14:paraId="058C511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372" w:type="dxa"/>
            <w:gridSpan w:val="2"/>
            <w:tcBorders>
              <w:top w:val="nil"/>
              <w:left w:val="nil"/>
              <w:bottom w:val="single" w:color="auto" w:sz="4" w:space="0"/>
              <w:right w:val="single" w:color="auto" w:sz="4" w:space="0"/>
            </w:tcBorders>
            <w:vAlign w:val="center"/>
          </w:tcPr>
          <w:p w14:paraId="7310320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1364" w:type="dxa"/>
            <w:gridSpan w:val="2"/>
            <w:tcBorders>
              <w:top w:val="single" w:color="auto" w:sz="4" w:space="0"/>
              <w:left w:val="nil"/>
              <w:bottom w:val="single" w:color="auto" w:sz="4" w:space="0"/>
              <w:right w:val="single" w:color="auto" w:sz="4" w:space="0"/>
            </w:tcBorders>
            <w:vAlign w:val="center"/>
          </w:tcPr>
          <w:p w14:paraId="4F5D143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552" w:type="dxa"/>
            <w:gridSpan w:val="2"/>
            <w:tcBorders>
              <w:top w:val="nil"/>
              <w:left w:val="nil"/>
              <w:bottom w:val="single" w:color="auto" w:sz="4" w:space="0"/>
              <w:right w:val="single" w:color="auto" w:sz="4" w:space="0"/>
            </w:tcBorders>
            <w:vAlign w:val="center"/>
          </w:tcPr>
          <w:p w14:paraId="40DE10D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1E7102E7">
        <w:tblPrEx>
          <w:tblCellMar>
            <w:top w:w="0" w:type="dxa"/>
            <w:left w:w="108" w:type="dxa"/>
            <w:bottom w:w="0" w:type="dxa"/>
            <w:right w:w="108" w:type="dxa"/>
          </w:tblCellMar>
        </w:tblPrEx>
        <w:trPr>
          <w:trHeight w:val="380" w:hRule="atLeast"/>
          <w:jc w:val="center"/>
        </w:trPr>
        <w:tc>
          <w:tcPr>
            <w:tcW w:w="709" w:type="dxa"/>
            <w:vMerge w:val="continue"/>
            <w:tcBorders>
              <w:top w:val="nil"/>
              <w:left w:val="single" w:color="auto" w:sz="4" w:space="0"/>
              <w:bottom w:val="single" w:color="auto" w:sz="4" w:space="0"/>
              <w:right w:val="single" w:color="auto" w:sz="4" w:space="0"/>
            </w:tcBorders>
            <w:vAlign w:val="center"/>
          </w:tcPr>
          <w:p w14:paraId="04A1069A">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3087009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46" w:type="dxa"/>
            <w:tcBorders>
              <w:top w:val="single" w:color="auto" w:sz="4" w:space="0"/>
              <w:left w:val="nil"/>
              <w:bottom w:val="single" w:color="auto" w:sz="4" w:space="0"/>
              <w:right w:val="single" w:color="auto" w:sz="4" w:space="0"/>
            </w:tcBorders>
            <w:vAlign w:val="center"/>
          </w:tcPr>
          <w:p w14:paraId="462E4EA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2.00</w:t>
            </w:r>
          </w:p>
        </w:tc>
        <w:tc>
          <w:tcPr>
            <w:tcW w:w="1968" w:type="dxa"/>
            <w:gridSpan w:val="3"/>
            <w:tcBorders>
              <w:top w:val="single" w:color="auto" w:sz="4" w:space="0"/>
              <w:left w:val="nil"/>
              <w:bottom w:val="single" w:color="auto" w:sz="4" w:space="0"/>
              <w:right w:val="single" w:color="auto" w:sz="4" w:space="0"/>
            </w:tcBorders>
            <w:vAlign w:val="center"/>
          </w:tcPr>
          <w:p w14:paraId="798B9C6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2.00</w:t>
            </w:r>
          </w:p>
        </w:tc>
        <w:tc>
          <w:tcPr>
            <w:tcW w:w="1428" w:type="dxa"/>
            <w:gridSpan w:val="2"/>
            <w:tcBorders>
              <w:top w:val="single" w:color="auto" w:sz="4" w:space="0"/>
              <w:left w:val="nil"/>
              <w:bottom w:val="single" w:color="auto" w:sz="4" w:space="0"/>
              <w:right w:val="single" w:color="auto" w:sz="4" w:space="0"/>
            </w:tcBorders>
            <w:vAlign w:val="center"/>
          </w:tcPr>
          <w:p w14:paraId="7BFB14E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2.00</w:t>
            </w:r>
          </w:p>
        </w:tc>
        <w:tc>
          <w:tcPr>
            <w:tcW w:w="1372" w:type="dxa"/>
            <w:gridSpan w:val="2"/>
            <w:tcBorders>
              <w:top w:val="nil"/>
              <w:left w:val="nil"/>
              <w:bottom w:val="single" w:color="auto" w:sz="4" w:space="0"/>
              <w:right w:val="single" w:color="auto" w:sz="4" w:space="0"/>
            </w:tcBorders>
            <w:vAlign w:val="center"/>
          </w:tcPr>
          <w:p w14:paraId="6A5E79E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364" w:type="dxa"/>
            <w:gridSpan w:val="2"/>
            <w:tcBorders>
              <w:top w:val="single" w:color="auto" w:sz="4" w:space="0"/>
              <w:left w:val="nil"/>
              <w:bottom w:val="single" w:color="auto" w:sz="4" w:space="0"/>
              <w:right w:val="single" w:color="auto" w:sz="4" w:space="0"/>
            </w:tcBorders>
            <w:vAlign w:val="center"/>
          </w:tcPr>
          <w:p w14:paraId="45784AF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w:t>
            </w:r>
          </w:p>
        </w:tc>
        <w:tc>
          <w:tcPr>
            <w:tcW w:w="1552" w:type="dxa"/>
            <w:gridSpan w:val="2"/>
            <w:tcBorders>
              <w:top w:val="nil"/>
              <w:left w:val="nil"/>
              <w:bottom w:val="single" w:color="auto" w:sz="4" w:space="0"/>
              <w:right w:val="single" w:color="auto" w:sz="4" w:space="0"/>
            </w:tcBorders>
            <w:vAlign w:val="center"/>
          </w:tcPr>
          <w:p w14:paraId="32E1E09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w:t>
            </w:r>
          </w:p>
        </w:tc>
      </w:tr>
      <w:tr w14:paraId="219DE84B">
        <w:tblPrEx>
          <w:tblCellMar>
            <w:top w:w="0" w:type="dxa"/>
            <w:left w:w="108" w:type="dxa"/>
            <w:bottom w:w="0" w:type="dxa"/>
            <w:right w:w="108" w:type="dxa"/>
          </w:tblCellMar>
        </w:tblPrEx>
        <w:trPr>
          <w:trHeight w:val="380" w:hRule="atLeast"/>
          <w:jc w:val="center"/>
        </w:trPr>
        <w:tc>
          <w:tcPr>
            <w:tcW w:w="709" w:type="dxa"/>
            <w:vMerge w:val="continue"/>
            <w:tcBorders>
              <w:top w:val="nil"/>
              <w:left w:val="single" w:color="auto" w:sz="4" w:space="0"/>
              <w:bottom w:val="single" w:color="auto" w:sz="4" w:space="0"/>
              <w:right w:val="single" w:color="auto" w:sz="4" w:space="0"/>
            </w:tcBorders>
            <w:vAlign w:val="center"/>
          </w:tcPr>
          <w:p w14:paraId="708924CB">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5855678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46" w:type="dxa"/>
            <w:tcBorders>
              <w:top w:val="single" w:color="auto" w:sz="4" w:space="0"/>
              <w:left w:val="nil"/>
              <w:bottom w:val="single" w:color="auto" w:sz="4" w:space="0"/>
              <w:right w:val="single" w:color="auto" w:sz="4" w:space="0"/>
            </w:tcBorders>
            <w:vAlign w:val="center"/>
          </w:tcPr>
          <w:p w14:paraId="5F71492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2.00</w:t>
            </w:r>
          </w:p>
        </w:tc>
        <w:tc>
          <w:tcPr>
            <w:tcW w:w="1968" w:type="dxa"/>
            <w:gridSpan w:val="3"/>
            <w:tcBorders>
              <w:top w:val="single" w:color="auto" w:sz="4" w:space="0"/>
              <w:left w:val="nil"/>
              <w:bottom w:val="single" w:color="auto" w:sz="4" w:space="0"/>
              <w:right w:val="single" w:color="auto" w:sz="4" w:space="0"/>
            </w:tcBorders>
            <w:vAlign w:val="center"/>
          </w:tcPr>
          <w:p w14:paraId="1811712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2.00</w:t>
            </w:r>
          </w:p>
        </w:tc>
        <w:tc>
          <w:tcPr>
            <w:tcW w:w="1428" w:type="dxa"/>
            <w:gridSpan w:val="2"/>
            <w:tcBorders>
              <w:top w:val="single" w:color="auto" w:sz="4" w:space="0"/>
              <w:left w:val="nil"/>
              <w:bottom w:val="single" w:color="auto" w:sz="4" w:space="0"/>
              <w:right w:val="single" w:color="auto" w:sz="4" w:space="0"/>
            </w:tcBorders>
            <w:vAlign w:val="center"/>
          </w:tcPr>
          <w:p w14:paraId="702FDB2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2.00</w:t>
            </w:r>
          </w:p>
        </w:tc>
        <w:tc>
          <w:tcPr>
            <w:tcW w:w="1372" w:type="dxa"/>
            <w:gridSpan w:val="2"/>
            <w:tcBorders>
              <w:top w:val="nil"/>
              <w:left w:val="nil"/>
              <w:bottom w:val="single" w:color="auto" w:sz="4" w:space="0"/>
              <w:right w:val="single" w:color="auto" w:sz="4" w:space="0"/>
            </w:tcBorders>
            <w:vAlign w:val="center"/>
          </w:tcPr>
          <w:p w14:paraId="76F696F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6D0B80F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6D60475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294A9707">
        <w:tblPrEx>
          <w:tblCellMar>
            <w:top w:w="0" w:type="dxa"/>
            <w:left w:w="108" w:type="dxa"/>
            <w:bottom w:w="0" w:type="dxa"/>
            <w:right w:w="108" w:type="dxa"/>
          </w:tblCellMar>
        </w:tblPrEx>
        <w:trPr>
          <w:trHeight w:val="380" w:hRule="atLeast"/>
          <w:jc w:val="center"/>
        </w:trPr>
        <w:tc>
          <w:tcPr>
            <w:tcW w:w="709" w:type="dxa"/>
            <w:vMerge w:val="continue"/>
            <w:tcBorders>
              <w:top w:val="nil"/>
              <w:left w:val="single" w:color="auto" w:sz="4" w:space="0"/>
              <w:bottom w:val="single" w:color="auto" w:sz="4" w:space="0"/>
              <w:right w:val="single" w:color="auto" w:sz="4" w:space="0"/>
            </w:tcBorders>
            <w:vAlign w:val="center"/>
          </w:tcPr>
          <w:p w14:paraId="41E53952">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11D4E1D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1246" w:type="dxa"/>
            <w:tcBorders>
              <w:top w:val="single" w:color="auto" w:sz="4" w:space="0"/>
              <w:left w:val="nil"/>
              <w:bottom w:val="single" w:color="auto" w:sz="4" w:space="0"/>
              <w:right w:val="single" w:color="auto" w:sz="4" w:space="0"/>
            </w:tcBorders>
            <w:vAlign w:val="center"/>
          </w:tcPr>
          <w:p w14:paraId="2EE8FA4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968" w:type="dxa"/>
            <w:gridSpan w:val="3"/>
            <w:tcBorders>
              <w:top w:val="single" w:color="auto" w:sz="4" w:space="0"/>
              <w:left w:val="nil"/>
              <w:bottom w:val="single" w:color="auto" w:sz="4" w:space="0"/>
              <w:right w:val="single" w:color="auto" w:sz="4" w:space="0"/>
            </w:tcBorders>
            <w:vAlign w:val="center"/>
          </w:tcPr>
          <w:p w14:paraId="3AD560D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428" w:type="dxa"/>
            <w:gridSpan w:val="2"/>
            <w:tcBorders>
              <w:top w:val="single" w:color="auto" w:sz="4" w:space="0"/>
              <w:left w:val="nil"/>
              <w:bottom w:val="single" w:color="auto" w:sz="4" w:space="0"/>
              <w:right w:val="single" w:color="auto" w:sz="4" w:space="0"/>
            </w:tcBorders>
            <w:vAlign w:val="center"/>
          </w:tcPr>
          <w:p w14:paraId="26F0C7B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372" w:type="dxa"/>
            <w:gridSpan w:val="2"/>
            <w:tcBorders>
              <w:top w:val="nil"/>
              <w:left w:val="nil"/>
              <w:bottom w:val="single" w:color="auto" w:sz="4" w:space="0"/>
              <w:right w:val="single" w:color="auto" w:sz="4" w:space="0"/>
            </w:tcBorders>
            <w:vAlign w:val="center"/>
          </w:tcPr>
          <w:p w14:paraId="7E296B8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160EE38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543C530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3E951A8D">
        <w:tblPrEx>
          <w:tblCellMar>
            <w:top w:w="0" w:type="dxa"/>
            <w:left w:w="108" w:type="dxa"/>
            <w:bottom w:w="0" w:type="dxa"/>
            <w:right w:w="108" w:type="dxa"/>
          </w:tblCellMar>
        </w:tblPrEx>
        <w:trPr>
          <w:trHeight w:val="360" w:hRule="atLeast"/>
          <w:jc w:val="center"/>
        </w:trPr>
        <w:tc>
          <w:tcPr>
            <w:tcW w:w="709" w:type="dxa"/>
            <w:vMerge w:val="restart"/>
            <w:tcBorders>
              <w:top w:val="nil"/>
              <w:left w:val="single" w:color="auto" w:sz="4" w:space="0"/>
              <w:bottom w:val="single" w:color="auto" w:sz="4" w:space="0"/>
              <w:right w:val="single" w:color="auto" w:sz="4" w:space="0"/>
            </w:tcBorders>
            <w:vAlign w:val="center"/>
          </w:tcPr>
          <w:p w14:paraId="2D90ACB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632" w:type="dxa"/>
            <w:gridSpan w:val="6"/>
            <w:tcBorders>
              <w:top w:val="single" w:color="auto" w:sz="4" w:space="0"/>
              <w:left w:val="nil"/>
              <w:bottom w:val="single" w:color="auto" w:sz="4" w:space="0"/>
              <w:right w:val="single" w:color="auto" w:sz="4" w:space="0"/>
            </w:tcBorders>
            <w:vAlign w:val="center"/>
          </w:tcPr>
          <w:p w14:paraId="223E41F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5716" w:type="dxa"/>
            <w:gridSpan w:val="8"/>
            <w:tcBorders>
              <w:top w:val="single" w:color="auto" w:sz="4" w:space="0"/>
              <w:left w:val="nil"/>
              <w:bottom w:val="single" w:color="auto" w:sz="4" w:space="0"/>
              <w:right w:val="single" w:color="auto" w:sz="4" w:space="0"/>
            </w:tcBorders>
            <w:vAlign w:val="center"/>
          </w:tcPr>
          <w:p w14:paraId="497592F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389C9969">
        <w:tblPrEx>
          <w:tblCellMar>
            <w:top w:w="0" w:type="dxa"/>
            <w:left w:w="108" w:type="dxa"/>
            <w:bottom w:w="0" w:type="dxa"/>
            <w:right w:w="108" w:type="dxa"/>
          </w:tblCellMar>
        </w:tblPrEx>
        <w:trPr>
          <w:trHeight w:val="820" w:hRule="atLeast"/>
          <w:jc w:val="center"/>
        </w:trPr>
        <w:tc>
          <w:tcPr>
            <w:tcW w:w="709" w:type="dxa"/>
            <w:vMerge w:val="continue"/>
            <w:tcBorders>
              <w:top w:val="nil"/>
              <w:left w:val="single" w:color="auto" w:sz="4" w:space="0"/>
              <w:bottom w:val="single" w:color="auto" w:sz="4" w:space="0"/>
              <w:right w:val="single" w:color="auto" w:sz="4" w:space="0"/>
            </w:tcBorders>
            <w:vAlign w:val="center"/>
          </w:tcPr>
          <w:p w14:paraId="79286BDC">
            <w:pPr>
              <w:rPr>
                <w:rFonts w:hint="eastAsia" w:ascii="宋体" w:hAnsi="宋体" w:eastAsia="宋体" w:cs="宋体"/>
                <w:color w:val="000000"/>
                <w:sz w:val="18"/>
                <w:szCs w:val="18"/>
              </w:rPr>
            </w:pPr>
          </w:p>
        </w:tc>
        <w:tc>
          <w:tcPr>
            <w:tcW w:w="4632" w:type="dxa"/>
            <w:gridSpan w:val="6"/>
            <w:tcBorders>
              <w:top w:val="single" w:color="auto" w:sz="4" w:space="0"/>
              <w:left w:val="nil"/>
              <w:bottom w:val="single" w:color="auto" w:sz="4" w:space="0"/>
              <w:right w:val="single" w:color="auto" w:sz="4" w:space="0"/>
            </w:tcBorders>
            <w:vAlign w:val="center"/>
          </w:tcPr>
          <w:p w14:paraId="1EBED28E">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2024年我园计划投入2万元，建设名班主任工作室1个，工作室的建设有助于促进班主任专业发展，加强师生沟通，搭建家校合作桥梁，推动我校教育创新实践，培养出更多全面发展的学生。</w:t>
            </w:r>
          </w:p>
        </w:tc>
        <w:tc>
          <w:tcPr>
            <w:tcW w:w="5716" w:type="dxa"/>
            <w:gridSpan w:val="8"/>
            <w:tcBorders>
              <w:top w:val="single" w:color="auto" w:sz="4" w:space="0"/>
              <w:left w:val="nil"/>
              <w:bottom w:val="single" w:color="auto" w:sz="4" w:space="0"/>
              <w:right w:val="single" w:color="auto" w:sz="4" w:space="0"/>
            </w:tcBorders>
            <w:vAlign w:val="center"/>
          </w:tcPr>
          <w:p w14:paraId="19A06057">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截至2024年12月31日，该项目实际完成2万元，完成名班主任工作室建设数量1个、工作室人数1人；通过该项目的实施，有效提升了班主任专业发展，加强师生沟通，搭建家校合作桥梁，促进了我校教育创新实践，培养出更多全面发展的学生。</w:t>
            </w:r>
          </w:p>
        </w:tc>
      </w:tr>
      <w:tr w14:paraId="09D71612">
        <w:tblPrEx>
          <w:tblCellMar>
            <w:top w:w="0" w:type="dxa"/>
            <w:left w:w="108" w:type="dxa"/>
            <w:bottom w:w="0" w:type="dxa"/>
            <w:right w:w="108" w:type="dxa"/>
          </w:tblCellMar>
        </w:tblPrEx>
        <w:trPr>
          <w:trHeight w:val="820" w:hRule="atLeast"/>
          <w:jc w:val="center"/>
        </w:trPr>
        <w:tc>
          <w:tcPr>
            <w:tcW w:w="709" w:type="dxa"/>
            <w:tcBorders>
              <w:top w:val="nil"/>
              <w:left w:val="single" w:color="auto" w:sz="4" w:space="0"/>
              <w:bottom w:val="single" w:color="auto" w:sz="4" w:space="0"/>
              <w:right w:val="single" w:color="auto" w:sz="4" w:space="0"/>
            </w:tcBorders>
            <w:vAlign w:val="center"/>
          </w:tcPr>
          <w:p w14:paraId="6AB626A3">
            <w:pPr>
              <w:rPr>
                <w:rFonts w:hint="eastAsia"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68F51EB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09" w:type="dxa"/>
            <w:tcBorders>
              <w:top w:val="nil"/>
              <w:left w:val="nil"/>
              <w:bottom w:val="single" w:color="auto" w:sz="4" w:space="0"/>
              <w:right w:val="single" w:color="auto" w:sz="4" w:space="0"/>
            </w:tcBorders>
            <w:vAlign w:val="center"/>
          </w:tcPr>
          <w:p w14:paraId="1EA85B1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246" w:type="dxa"/>
            <w:tcBorders>
              <w:top w:val="single" w:color="auto" w:sz="4" w:space="0"/>
              <w:left w:val="nil"/>
              <w:bottom w:val="single" w:color="auto" w:sz="4" w:space="0"/>
              <w:right w:val="single" w:color="auto" w:sz="4" w:space="0"/>
            </w:tcBorders>
            <w:vAlign w:val="center"/>
          </w:tcPr>
          <w:p w14:paraId="3BBAC6C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627" w:type="dxa"/>
            <w:tcBorders>
              <w:top w:val="nil"/>
              <w:left w:val="nil"/>
              <w:bottom w:val="single" w:color="auto" w:sz="4" w:space="0"/>
              <w:right w:val="single" w:color="auto" w:sz="4" w:space="0"/>
            </w:tcBorders>
            <w:vAlign w:val="center"/>
          </w:tcPr>
          <w:p w14:paraId="0767FF0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613" w:type="dxa"/>
            <w:tcBorders>
              <w:top w:val="nil"/>
              <w:left w:val="nil"/>
              <w:bottom w:val="single" w:color="auto" w:sz="4" w:space="0"/>
              <w:right w:val="single" w:color="auto" w:sz="4" w:space="0"/>
            </w:tcBorders>
            <w:vAlign w:val="center"/>
          </w:tcPr>
          <w:p w14:paraId="3BAFA7B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728" w:type="dxa"/>
            <w:tcBorders>
              <w:top w:val="nil"/>
              <w:left w:val="nil"/>
              <w:bottom w:val="single" w:color="auto" w:sz="4" w:space="0"/>
              <w:right w:val="single" w:color="auto" w:sz="4" w:space="0"/>
            </w:tcBorders>
            <w:vAlign w:val="center"/>
          </w:tcPr>
          <w:p w14:paraId="5CC271E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637" w:type="dxa"/>
            <w:tcBorders>
              <w:top w:val="nil"/>
              <w:left w:val="nil"/>
              <w:bottom w:val="single" w:color="auto" w:sz="4" w:space="0"/>
              <w:right w:val="single" w:color="auto" w:sz="4" w:space="0"/>
            </w:tcBorders>
            <w:vAlign w:val="center"/>
          </w:tcPr>
          <w:p w14:paraId="2A984A8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791" w:type="dxa"/>
            <w:tcBorders>
              <w:top w:val="nil"/>
              <w:left w:val="nil"/>
              <w:bottom w:val="single" w:color="auto" w:sz="4" w:space="0"/>
              <w:right w:val="single" w:color="auto" w:sz="4" w:space="0"/>
            </w:tcBorders>
            <w:vAlign w:val="center"/>
          </w:tcPr>
          <w:p w14:paraId="2F705CA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741" w:type="dxa"/>
            <w:tcBorders>
              <w:top w:val="nil"/>
              <w:left w:val="nil"/>
              <w:bottom w:val="single" w:color="auto" w:sz="4" w:space="0"/>
              <w:right w:val="single" w:color="auto" w:sz="4" w:space="0"/>
            </w:tcBorders>
            <w:vAlign w:val="center"/>
          </w:tcPr>
          <w:p w14:paraId="049E9E2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631" w:type="dxa"/>
            <w:tcBorders>
              <w:top w:val="nil"/>
              <w:left w:val="nil"/>
              <w:bottom w:val="single" w:color="auto" w:sz="4" w:space="0"/>
              <w:right w:val="single" w:color="auto" w:sz="4" w:space="0"/>
            </w:tcBorders>
            <w:vAlign w:val="center"/>
          </w:tcPr>
          <w:p w14:paraId="5425F5D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644" w:type="dxa"/>
            <w:tcBorders>
              <w:top w:val="nil"/>
              <w:left w:val="nil"/>
              <w:bottom w:val="single" w:color="auto" w:sz="4" w:space="0"/>
              <w:right w:val="single" w:color="auto" w:sz="4" w:space="0"/>
            </w:tcBorders>
            <w:vAlign w:val="center"/>
          </w:tcPr>
          <w:p w14:paraId="4F55115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720" w:type="dxa"/>
            <w:tcBorders>
              <w:top w:val="nil"/>
              <w:left w:val="nil"/>
              <w:bottom w:val="single" w:color="auto" w:sz="4" w:space="0"/>
              <w:right w:val="single" w:color="auto" w:sz="4" w:space="0"/>
            </w:tcBorders>
            <w:vAlign w:val="center"/>
          </w:tcPr>
          <w:p w14:paraId="0D88424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1552" w:type="dxa"/>
            <w:gridSpan w:val="2"/>
            <w:tcBorders>
              <w:top w:val="nil"/>
              <w:left w:val="nil"/>
              <w:bottom w:val="single" w:color="auto" w:sz="4" w:space="0"/>
              <w:right w:val="single" w:color="auto" w:sz="4" w:space="0"/>
            </w:tcBorders>
            <w:vAlign w:val="center"/>
          </w:tcPr>
          <w:p w14:paraId="3F64672E">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75FCF7DB">
        <w:tblPrEx>
          <w:tblCellMar>
            <w:top w:w="0" w:type="dxa"/>
            <w:left w:w="108" w:type="dxa"/>
            <w:bottom w:w="0" w:type="dxa"/>
            <w:right w:w="108" w:type="dxa"/>
          </w:tblCellMar>
        </w:tblPrEx>
        <w:trPr>
          <w:trHeight w:val="800" w:hRule="atLeast"/>
          <w:jc w:val="center"/>
        </w:trPr>
        <w:tc>
          <w:tcPr>
            <w:tcW w:w="709" w:type="dxa"/>
            <w:vMerge w:val="restart"/>
            <w:tcBorders>
              <w:top w:val="nil"/>
              <w:left w:val="single" w:color="auto" w:sz="4" w:space="0"/>
              <w:right w:val="single" w:color="auto" w:sz="4" w:space="0"/>
            </w:tcBorders>
            <w:vAlign w:val="center"/>
          </w:tcPr>
          <w:p w14:paraId="1B767986">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9" w:type="dxa"/>
            <w:vMerge w:val="restart"/>
            <w:tcBorders>
              <w:top w:val="nil"/>
              <w:left w:val="nil"/>
              <w:right w:val="single" w:color="auto" w:sz="4" w:space="0"/>
            </w:tcBorders>
            <w:vAlign w:val="center"/>
          </w:tcPr>
          <w:p w14:paraId="2B20BA0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09" w:type="dxa"/>
            <w:tcBorders>
              <w:top w:val="nil"/>
              <w:left w:val="nil"/>
              <w:bottom w:val="single" w:color="auto" w:sz="4" w:space="0"/>
              <w:right w:val="single" w:color="auto" w:sz="4" w:space="0"/>
            </w:tcBorders>
            <w:vAlign w:val="center"/>
          </w:tcPr>
          <w:p w14:paraId="218CBEA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2F7A39E0">
            <w:pPr>
              <w:rPr>
                <w:color w:val="000000"/>
                <w:sz w:val="18"/>
                <w:szCs w:val="18"/>
                <w:lang w:eastAsia="zh-CN"/>
              </w:rPr>
            </w:pPr>
            <w:r>
              <w:rPr>
                <w:rFonts w:hint="eastAsia"/>
                <w:color w:val="000000"/>
                <w:sz w:val="18"/>
                <w:szCs w:val="18"/>
                <w:lang w:eastAsia="zh-CN"/>
              </w:rPr>
              <w:t>名班主任工作室建设数量</w:t>
            </w:r>
          </w:p>
        </w:tc>
        <w:tc>
          <w:tcPr>
            <w:tcW w:w="627" w:type="dxa"/>
            <w:tcBorders>
              <w:top w:val="nil"/>
              <w:left w:val="nil"/>
              <w:bottom w:val="single" w:color="auto" w:sz="4" w:space="0"/>
              <w:right w:val="single" w:color="auto" w:sz="4" w:space="0"/>
            </w:tcBorders>
            <w:vAlign w:val="center"/>
          </w:tcPr>
          <w:p w14:paraId="7F0B04D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w:t>
            </w:r>
          </w:p>
        </w:tc>
        <w:tc>
          <w:tcPr>
            <w:tcW w:w="613" w:type="dxa"/>
            <w:tcBorders>
              <w:top w:val="nil"/>
              <w:left w:val="nil"/>
              <w:bottom w:val="single" w:color="auto" w:sz="4" w:space="0"/>
              <w:right w:val="single" w:color="auto" w:sz="4" w:space="0"/>
            </w:tcBorders>
            <w:vAlign w:val="center"/>
          </w:tcPr>
          <w:p w14:paraId="64C67ED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=1个</w:t>
            </w:r>
          </w:p>
        </w:tc>
        <w:tc>
          <w:tcPr>
            <w:tcW w:w="728" w:type="dxa"/>
            <w:tcBorders>
              <w:top w:val="nil"/>
              <w:left w:val="nil"/>
              <w:bottom w:val="single" w:color="auto" w:sz="4" w:space="0"/>
              <w:right w:val="single" w:color="auto" w:sz="4" w:space="0"/>
            </w:tcBorders>
            <w:vAlign w:val="center"/>
          </w:tcPr>
          <w:p w14:paraId="2DFD790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=1个</w:t>
            </w:r>
          </w:p>
        </w:tc>
        <w:tc>
          <w:tcPr>
            <w:tcW w:w="637" w:type="dxa"/>
            <w:tcBorders>
              <w:top w:val="nil"/>
              <w:left w:val="nil"/>
              <w:bottom w:val="single" w:color="auto" w:sz="4" w:space="0"/>
              <w:right w:val="single" w:color="auto" w:sz="4" w:space="0"/>
            </w:tcBorders>
            <w:vAlign w:val="center"/>
          </w:tcPr>
          <w:p w14:paraId="70195A8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17B314C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w:t>
            </w:r>
          </w:p>
        </w:tc>
        <w:tc>
          <w:tcPr>
            <w:tcW w:w="741" w:type="dxa"/>
            <w:tcBorders>
              <w:top w:val="nil"/>
              <w:left w:val="nil"/>
              <w:bottom w:val="single" w:color="auto" w:sz="4" w:space="0"/>
              <w:right w:val="single" w:color="auto" w:sz="4" w:space="0"/>
            </w:tcBorders>
            <w:vAlign w:val="center"/>
          </w:tcPr>
          <w:p w14:paraId="4C32175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38B69C7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509DEAC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5544DB2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4D98B24C">
            <w:pPr>
              <w:jc w:val="center"/>
              <w:rPr>
                <w:color w:val="000000"/>
                <w:sz w:val="18"/>
                <w:szCs w:val="18"/>
              </w:rPr>
            </w:pPr>
          </w:p>
        </w:tc>
      </w:tr>
      <w:tr w14:paraId="189D61A4">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right w:val="single" w:color="auto" w:sz="4" w:space="0"/>
            </w:tcBorders>
            <w:vAlign w:val="center"/>
          </w:tcPr>
          <w:p w14:paraId="04BD7C21">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744FC34B">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3304152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3EAB3049">
            <w:pPr>
              <w:rPr>
                <w:rFonts w:hint="eastAsia" w:ascii="宋体" w:hAnsi="宋体" w:eastAsia="宋体" w:cs="宋体"/>
                <w:color w:val="000000"/>
                <w:sz w:val="18"/>
                <w:szCs w:val="18"/>
              </w:rPr>
            </w:pPr>
            <w:r>
              <w:rPr>
                <w:rFonts w:hint="eastAsia" w:ascii="宋体" w:hAnsi="宋体" w:eastAsia="宋体" w:cs="宋体"/>
                <w:color w:val="000000"/>
                <w:sz w:val="18"/>
                <w:szCs w:val="18"/>
              </w:rPr>
              <w:t>工作室人数</w:t>
            </w:r>
          </w:p>
        </w:tc>
        <w:tc>
          <w:tcPr>
            <w:tcW w:w="627" w:type="dxa"/>
            <w:tcBorders>
              <w:top w:val="nil"/>
              <w:left w:val="nil"/>
              <w:bottom w:val="single" w:color="auto" w:sz="4" w:space="0"/>
              <w:right w:val="single" w:color="auto" w:sz="4" w:space="0"/>
            </w:tcBorders>
            <w:vAlign w:val="center"/>
          </w:tcPr>
          <w:p w14:paraId="48683B2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w:t>
            </w:r>
          </w:p>
        </w:tc>
        <w:tc>
          <w:tcPr>
            <w:tcW w:w="613" w:type="dxa"/>
            <w:tcBorders>
              <w:top w:val="nil"/>
              <w:left w:val="nil"/>
              <w:bottom w:val="single" w:color="auto" w:sz="4" w:space="0"/>
              <w:right w:val="single" w:color="auto" w:sz="4" w:space="0"/>
            </w:tcBorders>
            <w:vAlign w:val="center"/>
          </w:tcPr>
          <w:p w14:paraId="61B34BA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=1人</w:t>
            </w:r>
          </w:p>
        </w:tc>
        <w:tc>
          <w:tcPr>
            <w:tcW w:w="728" w:type="dxa"/>
            <w:tcBorders>
              <w:top w:val="nil"/>
              <w:left w:val="nil"/>
              <w:bottom w:val="single" w:color="auto" w:sz="4" w:space="0"/>
              <w:right w:val="single" w:color="auto" w:sz="4" w:space="0"/>
            </w:tcBorders>
            <w:vAlign w:val="center"/>
          </w:tcPr>
          <w:p w14:paraId="366AD7E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=1人</w:t>
            </w:r>
          </w:p>
        </w:tc>
        <w:tc>
          <w:tcPr>
            <w:tcW w:w="637" w:type="dxa"/>
            <w:tcBorders>
              <w:top w:val="nil"/>
              <w:left w:val="nil"/>
              <w:bottom w:val="single" w:color="auto" w:sz="4" w:space="0"/>
              <w:right w:val="single" w:color="auto" w:sz="4" w:space="0"/>
            </w:tcBorders>
            <w:vAlign w:val="center"/>
          </w:tcPr>
          <w:p w14:paraId="3BE9B1A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0F5038D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w:t>
            </w:r>
          </w:p>
        </w:tc>
        <w:tc>
          <w:tcPr>
            <w:tcW w:w="741" w:type="dxa"/>
            <w:tcBorders>
              <w:top w:val="nil"/>
              <w:left w:val="nil"/>
              <w:bottom w:val="single" w:color="auto" w:sz="4" w:space="0"/>
              <w:right w:val="single" w:color="auto" w:sz="4" w:space="0"/>
            </w:tcBorders>
            <w:vAlign w:val="center"/>
          </w:tcPr>
          <w:p w14:paraId="13A26C2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591BBCE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182BC91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62CEF80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390F3CD4">
            <w:pPr>
              <w:jc w:val="center"/>
              <w:rPr>
                <w:rFonts w:hint="eastAsia" w:ascii="宋体" w:hAnsi="宋体" w:eastAsia="宋体" w:cs="宋体"/>
                <w:color w:val="000000"/>
                <w:sz w:val="18"/>
                <w:szCs w:val="18"/>
              </w:rPr>
            </w:pPr>
          </w:p>
        </w:tc>
      </w:tr>
      <w:tr w14:paraId="157E89BB">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right w:val="single" w:color="auto" w:sz="4" w:space="0"/>
            </w:tcBorders>
            <w:vAlign w:val="center"/>
          </w:tcPr>
          <w:p w14:paraId="68B79523">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65E14145">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0D91E0F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306F2E1B">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工作室领衔人资格符合率</w:t>
            </w:r>
          </w:p>
        </w:tc>
        <w:tc>
          <w:tcPr>
            <w:tcW w:w="627" w:type="dxa"/>
            <w:tcBorders>
              <w:top w:val="nil"/>
              <w:left w:val="nil"/>
              <w:bottom w:val="single" w:color="auto" w:sz="4" w:space="0"/>
              <w:right w:val="single" w:color="auto" w:sz="4" w:space="0"/>
            </w:tcBorders>
            <w:vAlign w:val="center"/>
          </w:tcPr>
          <w:p w14:paraId="3448904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w:t>
            </w:r>
          </w:p>
        </w:tc>
        <w:tc>
          <w:tcPr>
            <w:tcW w:w="613" w:type="dxa"/>
            <w:tcBorders>
              <w:top w:val="nil"/>
              <w:left w:val="nil"/>
              <w:bottom w:val="single" w:color="auto" w:sz="4" w:space="0"/>
              <w:right w:val="single" w:color="auto" w:sz="4" w:space="0"/>
            </w:tcBorders>
            <w:vAlign w:val="center"/>
          </w:tcPr>
          <w:p w14:paraId="5ED314A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62CB70D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31B4570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6E7B4B2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w:t>
            </w:r>
          </w:p>
        </w:tc>
        <w:tc>
          <w:tcPr>
            <w:tcW w:w="741" w:type="dxa"/>
            <w:tcBorders>
              <w:top w:val="nil"/>
              <w:left w:val="nil"/>
              <w:bottom w:val="single" w:color="auto" w:sz="4" w:space="0"/>
              <w:right w:val="single" w:color="auto" w:sz="4" w:space="0"/>
            </w:tcBorders>
            <w:vAlign w:val="center"/>
          </w:tcPr>
          <w:p w14:paraId="0AFE3BE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564D042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63A43F7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2F231A5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工作资料,说明材料</w:t>
            </w:r>
          </w:p>
        </w:tc>
        <w:tc>
          <w:tcPr>
            <w:tcW w:w="1552" w:type="dxa"/>
            <w:gridSpan w:val="2"/>
            <w:tcBorders>
              <w:top w:val="nil"/>
              <w:left w:val="nil"/>
              <w:bottom w:val="single" w:color="auto" w:sz="4" w:space="0"/>
              <w:right w:val="single" w:color="auto" w:sz="4" w:space="0"/>
            </w:tcBorders>
            <w:vAlign w:val="center"/>
          </w:tcPr>
          <w:p w14:paraId="70B61CDF">
            <w:pPr>
              <w:jc w:val="center"/>
              <w:rPr>
                <w:rFonts w:hint="eastAsia" w:ascii="宋体" w:hAnsi="宋体" w:eastAsia="宋体" w:cs="宋体"/>
                <w:color w:val="000000"/>
                <w:sz w:val="18"/>
                <w:szCs w:val="18"/>
              </w:rPr>
            </w:pPr>
          </w:p>
        </w:tc>
      </w:tr>
      <w:tr w14:paraId="30F1A211">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right w:val="single" w:color="auto" w:sz="4" w:space="0"/>
            </w:tcBorders>
            <w:vAlign w:val="center"/>
          </w:tcPr>
          <w:p w14:paraId="32768202">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07664D9D">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7ABC2D1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2019C563">
            <w:pPr>
              <w:rPr>
                <w:rFonts w:hint="eastAsia" w:ascii="宋体" w:hAnsi="宋体" w:eastAsia="宋体" w:cs="宋体"/>
                <w:color w:val="000000"/>
                <w:sz w:val="18"/>
                <w:szCs w:val="18"/>
              </w:rPr>
            </w:pPr>
            <w:r>
              <w:rPr>
                <w:rFonts w:hint="eastAsia" w:ascii="宋体" w:hAnsi="宋体" w:eastAsia="宋体" w:cs="宋体"/>
                <w:color w:val="000000"/>
                <w:sz w:val="18"/>
                <w:szCs w:val="18"/>
              </w:rPr>
              <w:t>经费使用合规率</w:t>
            </w:r>
          </w:p>
        </w:tc>
        <w:tc>
          <w:tcPr>
            <w:tcW w:w="627" w:type="dxa"/>
            <w:tcBorders>
              <w:top w:val="nil"/>
              <w:left w:val="nil"/>
              <w:bottom w:val="single" w:color="auto" w:sz="4" w:space="0"/>
              <w:right w:val="single" w:color="auto" w:sz="4" w:space="0"/>
            </w:tcBorders>
            <w:vAlign w:val="center"/>
          </w:tcPr>
          <w:p w14:paraId="17B6232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w:t>
            </w:r>
          </w:p>
        </w:tc>
        <w:tc>
          <w:tcPr>
            <w:tcW w:w="613" w:type="dxa"/>
            <w:tcBorders>
              <w:top w:val="nil"/>
              <w:left w:val="nil"/>
              <w:bottom w:val="single" w:color="auto" w:sz="4" w:space="0"/>
              <w:right w:val="single" w:color="auto" w:sz="4" w:space="0"/>
            </w:tcBorders>
            <w:vAlign w:val="center"/>
          </w:tcPr>
          <w:p w14:paraId="416EA3B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4C8BB7E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271B5F5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6024F2C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w:t>
            </w:r>
          </w:p>
        </w:tc>
        <w:tc>
          <w:tcPr>
            <w:tcW w:w="741" w:type="dxa"/>
            <w:tcBorders>
              <w:top w:val="nil"/>
              <w:left w:val="nil"/>
              <w:bottom w:val="single" w:color="auto" w:sz="4" w:space="0"/>
              <w:right w:val="single" w:color="auto" w:sz="4" w:space="0"/>
            </w:tcBorders>
            <w:vAlign w:val="center"/>
          </w:tcPr>
          <w:p w14:paraId="0481BCC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00337F3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52A392C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6841DE0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工作资料,说明材料</w:t>
            </w:r>
          </w:p>
        </w:tc>
        <w:tc>
          <w:tcPr>
            <w:tcW w:w="1552" w:type="dxa"/>
            <w:gridSpan w:val="2"/>
            <w:tcBorders>
              <w:top w:val="nil"/>
              <w:left w:val="nil"/>
              <w:bottom w:val="single" w:color="auto" w:sz="4" w:space="0"/>
              <w:right w:val="single" w:color="auto" w:sz="4" w:space="0"/>
            </w:tcBorders>
            <w:vAlign w:val="center"/>
          </w:tcPr>
          <w:p w14:paraId="41F00B63">
            <w:pPr>
              <w:jc w:val="center"/>
              <w:rPr>
                <w:rFonts w:hint="eastAsia" w:ascii="宋体" w:hAnsi="宋体" w:eastAsia="宋体" w:cs="宋体"/>
                <w:color w:val="000000"/>
                <w:sz w:val="18"/>
                <w:szCs w:val="18"/>
              </w:rPr>
            </w:pPr>
          </w:p>
        </w:tc>
      </w:tr>
      <w:tr w14:paraId="36E23780">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right w:val="single" w:color="auto" w:sz="4" w:space="0"/>
            </w:tcBorders>
            <w:vAlign w:val="center"/>
          </w:tcPr>
          <w:p w14:paraId="40E33C7E">
            <w:pPr>
              <w:rPr>
                <w:rFonts w:hint="eastAsia"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68949133">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2693532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1246" w:type="dxa"/>
            <w:tcBorders>
              <w:top w:val="single" w:color="auto" w:sz="4" w:space="0"/>
              <w:left w:val="nil"/>
              <w:bottom w:val="single" w:color="auto" w:sz="4" w:space="0"/>
              <w:right w:val="single" w:color="auto" w:sz="4" w:space="0"/>
            </w:tcBorders>
            <w:vAlign w:val="center"/>
          </w:tcPr>
          <w:p w14:paraId="7CE9E225">
            <w:pPr>
              <w:rPr>
                <w:rFonts w:hint="eastAsia" w:ascii="宋体" w:hAnsi="宋体" w:eastAsia="宋体" w:cs="宋体"/>
                <w:color w:val="000000"/>
                <w:sz w:val="18"/>
                <w:szCs w:val="18"/>
              </w:rPr>
            </w:pPr>
            <w:r>
              <w:rPr>
                <w:rFonts w:hint="eastAsia" w:ascii="宋体" w:hAnsi="宋体" w:eastAsia="宋体" w:cs="宋体"/>
                <w:color w:val="000000"/>
                <w:sz w:val="18"/>
                <w:szCs w:val="18"/>
              </w:rPr>
              <w:t>经费拨付及时率</w:t>
            </w:r>
          </w:p>
        </w:tc>
        <w:tc>
          <w:tcPr>
            <w:tcW w:w="627" w:type="dxa"/>
            <w:tcBorders>
              <w:top w:val="nil"/>
              <w:left w:val="nil"/>
              <w:bottom w:val="single" w:color="auto" w:sz="4" w:space="0"/>
              <w:right w:val="single" w:color="auto" w:sz="4" w:space="0"/>
            </w:tcBorders>
            <w:vAlign w:val="center"/>
          </w:tcPr>
          <w:p w14:paraId="3395A39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w:t>
            </w:r>
          </w:p>
        </w:tc>
        <w:tc>
          <w:tcPr>
            <w:tcW w:w="613" w:type="dxa"/>
            <w:tcBorders>
              <w:top w:val="nil"/>
              <w:left w:val="nil"/>
              <w:bottom w:val="single" w:color="auto" w:sz="4" w:space="0"/>
              <w:right w:val="single" w:color="auto" w:sz="4" w:space="0"/>
            </w:tcBorders>
            <w:vAlign w:val="center"/>
          </w:tcPr>
          <w:p w14:paraId="0EB2E01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7F4C416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2B74EA5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3F4F368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w:t>
            </w:r>
          </w:p>
        </w:tc>
        <w:tc>
          <w:tcPr>
            <w:tcW w:w="741" w:type="dxa"/>
            <w:tcBorders>
              <w:top w:val="nil"/>
              <w:left w:val="nil"/>
              <w:bottom w:val="single" w:color="auto" w:sz="4" w:space="0"/>
              <w:right w:val="single" w:color="auto" w:sz="4" w:space="0"/>
            </w:tcBorders>
            <w:vAlign w:val="center"/>
          </w:tcPr>
          <w:p w14:paraId="5CEB4C2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49D56B1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1B79C23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291CC40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说明材料,工作资料</w:t>
            </w:r>
          </w:p>
        </w:tc>
        <w:tc>
          <w:tcPr>
            <w:tcW w:w="1552" w:type="dxa"/>
            <w:gridSpan w:val="2"/>
            <w:tcBorders>
              <w:top w:val="nil"/>
              <w:left w:val="nil"/>
              <w:bottom w:val="single" w:color="auto" w:sz="4" w:space="0"/>
              <w:right w:val="single" w:color="auto" w:sz="4" w:space="0"/>
            </w:tcBorders>
            <w:vAlign w:val="center"/>
          </w:tcPr>
          <w:p w14:paraId="4F98E050">
            <w:pPr>
              <w:jc w:val="center"/>
              <w:rPr>
                <w:rFonts w:hint="eastAsia" w:ascii="宋体" w:hAnsi="宋体" w:eastAsia="宋体" w:cs="宋体"/>
                <w:color w:val="000000"/>
                <w:sz w:val="18"/>
                <w:szCs w:val="18"/>
              </w:rPr>
            </w:pPr>
          </w:p>
        </w:tc>
      </w:tr>
      <w:tr w14:paraId="2EF5B211">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right w:val="single" w:color="auto" w:sz="4" w:space="0"/>
            </w:tcBorders>
            <w:vAlign w:val="center"/>
          </w:tcPr>
          <w:p w14:paraId="1F780C8F">
            <w:pP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5B86825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成本指标</w:t>
            </w:r>
          </w:p>
        </w:tc>
        <w:tc>
          <w:tcPr>
            <w:tcW w:w="709" w:type="dxa"/>
            <w:tcBorders>
              <w:top w:val="nil"/>
              <w:left w:val="nil"/>
              <w:bottom w:val="single" w:color="auto" w:sz="4" w:space="0"/>
              <w:right w:val="single" w:color="auto" w:sz="4" w:space="0"/>
            </w:tcBorders>
            <w:vAlign w:val="center"/>
          </w:tcPr>
          <w:p w14:paraId="524447B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2080CD3E">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每名班主任工作室建设经费标准</w:t>
            </w:r>
          </w:p>
        </w:tc>
        <w:tc>
          <w:tcPr>
            <w:tcW w:w="627" w:type="dxa"/>
            <w:tcBorders>
              <w:top w:val="nil"/>
              <w:left w:val="nil"/>
              <w:bottom w:val="single" w:color="auto" w:sz="4" w:space="0"/>
              <w:right w:val="single" w:color="auto" w:sz="4" w:space="0"/>
            </w:tcBorders>
            <w:vAlign w:val="center"/>
          </w:tcPr>
          <w:p w14:paraId="084E841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472F160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=1万元/年</w:t>
            </w:r>
          </w:p>
        </w:tc>
        <w:tc>
          <w:tcPr>
            <w:tcW w:w="728" w:type="dxa"/>
            <w:tcBorders>
              <w:top w:val="nil"/>
              <w:left w:val="nil"/>
              <w:bottom w:val="single" w:color="auto" w:sz="4" w:space="0"/>
              <w:right w:val="single" w:color="auto" w:sz="4" w:space="0"/>
            </w:tcBorders>
            <w:vAlign w:val="center"/>
          </w:tcPr>
          <w:p w14:paraId="746D5EB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=1万元/年</w:t>
            </w:r>
          </w:p>
        </w:tc>
        <w:tc>
          <w:tcPr>
            <w:tcW w:w="637" w:type="dxa"/>
            <w:tcBorders>
              <w:top w:val="nil"/>
              <w:left w:val="nil"/>
              <w:bottom w:val="single" w:color="auto" w:sz="4" w:space="0"/>
              <w:right w:val="single" w:color="auto" w:sz="4" w:space="0"/>
            </w:tcBorders>
            <w:vAlign w:val="center"/>
          </w:tcPr>
          <w:p w14:paraId="22D8621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6237AF5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41" w:type="dxa"/>
            <w:tcBorders>
              <w:top w:val="nil"/>
              <w:left w:val="nil"/>
              <w:bottom w:val="single" w:color="auto" w:sz="4" w:space="0"/>
              <w:right w:val="single" w:color="auto" w:sz="4" w:space="0"/>
            </w:tcBorders>
            <w:vAlign w:val="center"/>
          </w:tcPr>
          <w:p w14:paraId="0D4EBC8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20A26C2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121C762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68ED896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说明材料,原始凭证</w:t>
            </w:r>
          </w:p>
        </w:tc>
        <w:tc>
          <w:tcPr>
            <w:tcW w:w="1552" w:type="dxa"/>
            <w:gridSpan w:val="2"/>
            <w:tcBorders>
              <w:top w:val="nil"/>
              <w:left w:val="nil"/>
              <w:bottom w:val="single" w:color="auto" w:sz="4" w:space="0"/>
              <w:right w:val="single" w:color="auto" w:sz="4" w:space="0"/>
            </w:tcBorders>
            <w:vAlign w:val="center"/>
          </w:tcPr>
          <w:p w14:paraId="7BBD79C7">
            <w:pPr>
              <w:jc w:val="center"/>
              <w:rPr>
                <w:rFonts w:hint="eastAsia" w:ascii="宋体" w:hAnsi="宋体" w:eastAsia="宋体" w:cs="宋体"/>
                <w:color w:val="000000"/>
                <w:sz w:val="18"/>
                <w:szCs w:val="18"/>
              </w:rPr>
            </w:pPr>
          </w:p>
        </w:tc>
      </w:tr>
      <w:tr w14:paraId="0185F4AE">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bottom w:val="single" w:color="auto" w:sz="4" w:space="0"/>
              <w:right w:val="single" w:color="auto" w:sz="4" w:space="0"/>
            </w:tcBorders>
            <w:vAlign w:val="center"/>
          </w:tcPr>
          <w:p w14:paraId="22BD09DF">
            <w:pP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493085B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09" w:type="dxa"/>
            <w:tcBorders>
              <w:top w:val="nil"/>
              <w:left w:val="nil"/>
              <w:bottom w:val="single" w:color="auto" w:sz="4" w:space="0"/>
              <w:right w:val="single" w:color="auto" w:sz="4" w:space="0"/>
            </w:tcBorders>
            <w:vAlign w:val="center"/>
          </w:tcPr>
          <w:p w14:paraId="658728F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246" w:type="dxa"/>
            <w:tcBorders>
              <w:top w:val="single" w:color="auto" w:sz="4" w:space="0"/>
              <w:left w:val="nil"/>
              <w:bottom w:val="single" w:color="auto" w:sz="4" w:space="0"/>
              <w:right w:val="single" w:color="auto" w:sz="4" w:space="0"/>
            </w:tcBorders>
            <w:vAlign w:val="center"/>
          </w:tcPr>
          <w:p w14:paraId="0D3BFB0E">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提高我校教育教学水平</w:t>
            </w:r>
          </w:p>
        </w:tc>
        <w:tc>
          <w:tcPr>
            <w:tcW w:w="627" w:type="dxa"/>
            <w:tcBorders>
              <w:top w:val="nil"/>
              <w:left w:val="nil"/>
              <w:bottom w:val="single" w:color="auto" w:sz="4" w:space="0"/>
              <w:right w:val="single" w:color="auto" w:sz="4" w:space="0"/>
            </w:tcBorders>
            <w:vAlign w:val="center"/>
          </w:tcPr>
          <w:p w14:paraId="511B01B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30</w:t>
            </w:r>
          </w:p>
        </w:tc>
        <w:tc>
          <w:tcPr>
            <w:tcW w:w="613" w:type="dxa"/>
            <w:tcBorders>
              <w:top w:val="nil"/>
              <w:left w:val="nil"/>
              <w:bottom w:val="single" w:color="auto" w:sz="4" w:space="0"/>
              <w:right w:val="single" w:color="auto" w:sz="4" w:space="0"/>
            </w:tcBorders>
            <w:vAlign w:val="center"/>
          </w:tcPr>
          <w:p w14:paraId="141D4A6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有效提高</w:t>
            </w:r>
          </w:p>
        </w:tc>
        <w:tc>
          <w:tcPr>
            <w:tcW w:w="728" w:type="dxa"/>
            <w:tcBorders>
              <w:top w:val="nil"/>
              <w:left w:val="nil"/>
              <w:bottom w:val="single" w:color="auto" w:sz="4" w:space="0"/>
              <w:right w:val="single" w:color="auto" w:sz="4" w:space="0"/>
            </w:tcBorders>
            <w:vAlign w:val="center"/>
          </w:tcPr>
          <w:p w14:paraId="42BB4BF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达到预期指标</w:t>
            </w:r>
          </w:p>
        </w:tc>
        <w:tc>
          <w:tcPr>
            <w:tcW w:w="637" w:type="dxa"/>
            <w:tcBorders>
              <w:top w:val="nil"/>
              <w:left w:val="nil"/>
              <w:bottom w:val="single" w:color="auto" w:sz="4" w:space="0"/>
              <w:right w:val="single" w:color="auto" w:sz="4" w:space="0"/>
            </w:tcBorders>
            <w:vAlign w:val="center"/>
          </w:tcPr>
          <w:p w14:paraId="265E560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0C179B8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30</w:t>
            </w:r>
          </w:p>
        </w:tc>
        <w:tc>
          <w:tcPr>
            <w:tcW w:w="741" w:type="dxa"/>
            <w:tcBorders>
              <w:top w:val="nil"/>
              <w:left w:val="nil"/>
              <w:bottom w:val="single" w:color="auto" w:sz="4" w:space="0"/>
              <w:right w:val="single" w:color="auto" w:sz="4" w:space="0"/>
            </w:tcBorders>
            <w:vAlign w:val="center"/>
          </w:tcPr>
          <w:p w14:paraId="00B607A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其他标准</w:t>
            </w:r>
          </w:p>
        </w:tc>
        <w:tc>
          <w:tcPr>
            <w:tcW w:w="631" w:type="dxa"/>
            <w:tcBorders>
              <w:top w:val="nil"/>
              <w:left w:val="nil"/>
              <w:bottom w:val="single" w:color="auto" w:sz="4" w:space="0"/>
              <w:right w:val="single" w:color="auto" w:sz="4" w:space="0"/>
            </w:tcBorders>
            <w:vAlign w:val="center"/>
          </w:tcPr>
          <w:p w14:paraId="625025F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37CDA3E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按评判等级赋分</w:t>
            </w:r>
          </w:p>
        </w:tc>
        <w:tc>
          <w:tcPr>
            <w:tcW w:w="720" w:type="dxa"/>
            <w:tcBorders>
              <w:top w:val="nil"/>
              <w:left w:val="nil"/>
              <w:bottom w:val="single" w:color="auto" w:sz="4" w:space="0"/>
              <w:right w:val="single" w:color="auto" w:sz="4" w:space="0"/>
            </w:tcBorders>
            <w:vAlign w:val="center"/>
          </w:tcPr>
          <w:p w14:paraId="671620D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说明材料</w:t>
            </w:r>
          </w:p>
        </w:tc>
        <w:tc>
          <w:tcPr>
            <w:tcW w:w="1552" w:type="dxa"/>
            <w:gridSpan w:val="2"/>
            <w:tcBorders>
              <w:top w:val="nil"/>
              <w:left w:val="nil"/>
              <w:bottom w:val="single" w:color="auto" w:sz="4" w:space="0"/>
              <w:right w:val="single" w:color="auto" w:sz="4" w:space="0"/>
            </w:tcBorders>
            <w:vAlign w:val="center"/>
          </w:tcPr>
          <w:p w14:paraId="56F7F52F">
            <w:pPr>
              <w:jc w:val="center"/>
              <w:rPr>
                <w:rFonts w:hint="eastAsia" w:ascii="宋体" w:hAnsi="宋体" w:eastAsia="宋体" w:cs="宋体"/>
                <w:color w:val="000000"/>
                <w:sz w:val="18"/>
                <w:szCs w:val="18"/>
              </w:rPr>
            </w:pPr>
          </w:p>
        </w:tc>
      </w:tr>
      <w:tr w14:paraId="7877BB04">
        <w:tblPrEx>
          <w:tblCellMar>
            <w:top w:w="0" w:type="dxa"/>
            <w:left w:w="108" w:type="dxa"/>
            <w:bottom w:w="0" w:type="dxa"/>
            <w:right w:w="108" w:type="dxa"/>
          </w:tblCellMar>
        </w:tblPrEx>
        <w:trPr>
          <w:trHeight w:val="520" w:hRule="atLeast"/>
          <w:jc w:val="center"/>
        </w:trPr>
        <w:tc>
          <w:tcPr>
            <w:tcW w:w="3373" w:type="dxa"/>
            <w:gridSpan w:val="4"/>
            <w:tcBorders>
              <w:top w:val="single" w:color="auto" w:sz="4" w:space="0"/>
              <w:left w:val="single" w:color="auto" w:sz="4" w:space="0"/>
              <w:bottom w:val="single" w:color="auto" w:sz="4" w:space="0"/>
              <w:right w:val="single" w:color="auto" w:sz="4" w:space="0"/>
            </w:tcBorders>
            <w:vAlign w:val="center"/>
          </w:tcPr>
          <w:p w14:paraId="0B085A3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627" w:type="dxa"/>
            <w:tcBorders>
              <w:top w:val="single" w:color="auto" w:sz="4" w:space="0"/>
              <w:left w:val="single" w:color="auto" w:sz="4" w:space="0"/>
              <w:bottom w:val="single" w:color="auto" w:sz="4" w:space="0"/>
              <w:right w:val="single" w:color="auto" w:sz="4" w:space="0"/>
            </w:tcBorders>
            <w:vAlign w:val="center"/>
          </w:tcPr>
          <w:p w14:paraId="5A79501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613" w:type="dxa"/>
            <w:tcBorders>
              <w:top w:val="single" w:color="auto" w:sz="4" w:space="0"/>
              <w:left w:val="single" w:color="auto" w:sz="4" w:space="0"/>
              <w:bottom w:val="single" w:color="auto" w:sz="4" w:space="0"/>
              <w:right w:val="single" w:color="auto" w:sz="4" w:space="0"/>
            </w:tcBorders>
            <w:vAlign w:val="center"/>
          </w:tcPr>
          <w:p w14:paraId="7B014C9D">
            <w:pPr>
              <w:jc w:val="center"/>
              <w:rPr>
                <w:rFonts w:hint="eastAsia" w:ascii="宋体" w:hAnsi="宋体" w:eastAsia="宋体" w:cs="宋体"/>
                <w:color w:val="000000"/>
                <w:sz w:val="18"/>
                <w:szCs w:val="18"/>
              </w:rPr>
            </w:pPr>
          </w:p>
        </w:tc>
        <w:tc>
          <w:tcPr>
            <w:tcW w:w="728" w:type="dxa"/>
            <w:tcBorders>
              <w:top w:val="single" w:color="auto" w:sz="4" w:space="0"/>
              <w:left w:val="single" w:color="auto" w:sz="4" w:space="0"/>
              <w:bottom w:val="single" w:color="auto" w:sz="4" w:space="0"/>
              <w:right w:val="single" w:color="auto" w:sz="4" w:space="0"/>
            </w:tcBorders>
            <w:vAlign w:val="center"/>
          </w:tcPr>
          <w:p w14:paraId="7BE5209D">
            <w:pPr>
              <w:jc w:val="center"/>
              <w:rPr>
                <w:rFonts w:hint="eastAsia" w:ascii="宋体" w:hAnsi="宋体" w:eastAsia="宋体" w:cs="宋体"/>
                <w:color w:val="000000"/>
                <w:sz w:val="18"/>
                <w:szCs w:val="18"/>
              </w:rPr>
            </w:pPr>
          </w:p>
        </w:tc>
        <w:tc>
          <w:tcPr>
            <w:tcW w:w="637" w:type="dxa"/>
            <w:tcBorders>
              <w:top w:val="single" w:color="auto" w:sz="4" w:space="0"/>
              <w:left w:val="single" w:color="auto" w:sz="4" w:space="0"/>
              <w:bottom w:val="single" w:color="auto" w:sz="4" w:space="0"/>
              <w:right w:val="single" w:color="auto" w:sz="4" w:space="0"/>
            </w:tcBorders>
            <w:vAlign w:val="center"/>
          </w:tcPr>
          <w:p w14:paraId="2021115C">
            <w:pPr>
              <w:jc w:val="center"/>
              <w:rPr>
                <w:rFonts w:hint="eastAsia" w:ascii="宋体" w:hAnsi="宋体" w:eastAsia="宋体" w:cs="宋体"/>
                <w:color w:val="000000"/>
                <w:sz w:val="18"/>
                <w:szCs w:val="18"/>
              </w:rPr>
            </w:pPr>
          </w:p>
        </w:tc>
        <w:tc>
          <w:tcPr>
            <w:tcW w:w="791" w:type="dxa"/>
            <w:tcBorders>
              <w:top w:val="single" w:color="auto" w:sz="4" w:space="0"/>
              <w:left w:val="nil"/>
              <w:bottom w:val="single" w:color="auto" w:sz="4" w:space="0"/>
              <w:right w:val="single" w:color="auto" w:sz="4" w:space="0"/>
            </w:tcBorders>
            <w:vAlign w:val="center"/>
          </w:tcPr>
          <w:p w14:paraId="2FA3C6A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100.00分</w:t>
            </w:r>
          </w:p>
        </w:tc>
        <w:tc>
          <w:tcPr>
            <w:tcW w:w="741" w:type="dxa"/>
            <w:tcBorders>
              <w:top w:val="single" w:color="auto" w:sz="4" w:space="0"/>
              <w:left w:val="nil"/>
              <w:bottom w:val="single" w:color="auto" w:sz="4" w:space="0"/>
              <w:right w:val="single" w:color="auto" w:sz="4" w:space="0"/>
            </w:tcBorders>
            <w:vAlign w:val="center"/>
          </w:tcPr>
          <w:p w14:paraId="39097C91">
            <w:pPr>
              <w:rPr>
                <w:rFonts w:hint="eastAsia" w:ascii="宋体" w:hAnsi="宋体" w:eastAsia="宋体" w:cs="宋体"/>
                <w:color w:val="000000"/>
                <w:sz w:val="18"/>
                <w:szCs w:val="18"/>
              </w:rPr>
            </w:pPr>
          </w:p>
        </w:tc>
        <w:tc>
          <w:tcPr>
            <w:tcW w:w="631" w:type="dxa"/>
            <w:tcBorders>
              <w:top w:val="single" w:color="auto" w:sz="4" w:space="0"/>
              <w:left w:val="nil"/>
              <w:bottom w:val="single" w:color="auto" w:sz="4" w:space="0"/>
              <w:right w:val="single" w:color="auto" w:sz="4" w:space="0"/>
            </w:tcBorders>
            <w:vAlign w:val="center"/>
          </w:tcPr>
          <w:p w14:paraId="3BFC967A">
            <w:pPr>
              <w:rPr>
                <w:rFonts w:hint="eastAsia" w:ascii="宋体" w:hAnsi="宋体" w:eastAsia="宋体" w:cs="宋体"/>
                <w:color w:val="000000"/>
                <w:sz w:val="18"/>
                <w:szCs w:val="18"/>
              </w:rPr>
            </w:pPr>
          </w:p>
        </w:tc>
        <w:tc>
          <w:tcPr>
            <w:tcW w:w="644" w:type="dxa"/>
            <w:tcBorders>
              <w:top w:val="single" w:color="auto" w:sz="4" w:space="0"/>
              <w:left w:val="nil"/>
              <w:bottom w:val="single" w:color="auto" w:sz="4" w:space="0"/>
              <w:right w:val="single" w:color="auto" w:sz="4" w:space="0"/>
            </w:tcBorders>
            <w:vAlign w:val="center"/>
          </w:tcPr>
          <w:p w14:paraId="64258AF4">
            <w:pPr>
              <w:rPr>
                <w:rFonts w:hint="eastAsia" w:ascii="宋体" w:hAnsi="宋体" w:eastAsia="宋体" w:cs="宋体"/>
                <w:color w:val="000000"/>
                <w:sz w:val="18"/>
                <w:szCs w:val="18"/>
              </w:rPr>
            </w:pPr>
          </w:p>
        </w:tc>
        <w:tc>
          <w:tcPr>
            <w:tcW w:w="728" w:type="dxa"/>
            <w:gridSpan w:val="2"/>
            <w:tcBorders>
              <w:top w:val="single" w:color="auto" w:sz="4" w:space="0"/>
              <w:left w:val="nil"/>
              <w:bottom w:val="single" w:color="auto" w:sz="4" w:space="0"/>
              <w:right w:val="single" w:color="auto" w:sz="4" w:space="0"/>
            </w:tcBorders>
            <w:vAlign w:val="center"/>
          </w:tcPr>
          <w:p w14:paraId="0F509B2B">
            <w:pPr>
              <w:rPr>
                <w:rFonts w:hint="eastAsia" w:ascii="宋体" w:hAnsi="宋体" w:eastAsia="宋体" w:cs="宋体"/>
                <w:color w:val="000000"/>
                <w:sz w:val="18"/>
                <w:szCs w:val="18"/>
              </w:rPr>
            </w:pPr>
          </w:p>
        </w:tc>
        <w:tc>
          <w:tcPr>
            <w:tcW w:w="1544" w:type="dxa"/>
            <w:tcBorders>
              <w:top w:val="single" w:color="auto" w:sz="4" w:space="0"/>
              <w:left w:val="nil"/>
              <w:bottom w:val="single" w:color="auto" w:sz="4" w:space="0"/>
              <w:right w:val="single" w:color="auto" w:sz="4" w:space="0"/>
            </w:tcBorders>
            <w:vAlign w:val="center"/>
          </w:tcPr>
          <w:p w14:paraId="225D8302">
            <w:pPr>
              <w:rPr>
                <w:rFonts w:hint="eastAsia" w:ascii="宋体" w:hAnsi="宋体" w:eastAsia="宋体" w:cs="宋体"/>
                <w:color w:val="000000"/>
                <w:sz w:val="18"/>
                <w:szCs w:val="18"/>
              </w:rPr>
            </w:pPr>
          </w:p>
        </w:tc>
      </w:tr>
      <w:bookmarkEnd w:id="0"/>
    </w:tbl>
    <w:p w14:paraId="244E79BF">
      <w:pPr>
        <w:spacing w:after="0" w:line="240" w:lineRule="auto"/>
        <w:ind w:firstLine="640" w:firstLineChars="200"/>
        <w:jc w:val="both"/>
        <w:rPr>
          <w:rFonts w:ascii="仿宋_GB2312" w:eastAsia="仿宋_GB2312"/>
          <w:sz w:val="32"/>
          <w:szCs w:val="32"/>
          <w:lang w:eastAsia="zh-CN"/>
        </w:rPr>
      </w:pPr>
    </w:p>
    <w:p w14:paraId="71A16070">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十二、其他需说明的事项</w:t>
      </w:r>
    </w:p>
    <w:p w14:paraId="56FD9089">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本单位无其他需说明事项。</w:t>
      </w:r>
    </w:p>
    <w:p w14:paraId="589ECEAE">
      <w:pPr>
        <w:spacing w:after="0" w:line="240" w:lineRule="auto"/>
        <w:ind w:firstLine="640" w:firstLineChars="200"/>
        <w:rPr>
          <w:rFonts w:ascii="仿宋_GB2312" w:eastAsia="仿宋_GB2312"/>
          <w:sz w:val="32"/>
          <w:szCs w:val="32"/>
          <w:lang w:eastAsia="zh-CN"/>
        </w:rPr>
      </w:pPr>
    </w:p>
    <w:p w14:paraId="5F6BCD2A">
      <w:pPr>
        <w:rPr>
          <w:lang w:eastAsia="zh-CN"/>
        </w:rPr>
      </w:pPr>
      <w:r>
        <w:rPr>
          <w:sz w:val="0"/>
          <w:szCs w:val="0"/>
          <w:lang w:eastAsia="zh-CN"/>
        </w:rPr>
        <w:br w:type="page"/>
      </w:r>
    </w:p>
    <w:p w14:paraId="45AAA9EF">
      <w:pPr>
        <w:spacing w:after="0" w:line="240" w:lineRule="auto"/>
        <w:jc w:val="center"/>
        <w:outlineLvl w:val="0"/>
        <w:rPr>
          <w:rFonts w:ascii="黑体" w:eastAsia="黑体"/>
          <w:sz w:val="32"/>
          <w:szCs w:val="32"/>
          <w:lang w:eastAsia="zh-CN"/>
        </w:rPr>
      </w:pPr>
      <w:r>
        <w:rPr>
          <w:rFonts w:ascii="黑体" w:eastAsia="黑体"/>
          <w:sz w:val="32"/>
          <w:szCs w:val="32"/>
          <w:lang w:eastAsia="zh-CN"/>
        </w:rPr>
        <w:t>第三部分 专业名词解释</w:t>
      </w:r>
    </w:p>
    <w:p w14:paraId="3F462252">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一、财政拨款收入：</w:t>
      </w:r>
      <w:r>
        <w:rPr>
          <w:rFonts w:ascii="仿宋_GB2312" w:eastAsia="仿宋_GB2312"/>
          <w:sz w:val="32"/>
          <w:szCs w:val="32"/>
          <w:lang w:eastAsia="zh-CN"/>
        </w:rPr>
        <w:t>指同级财政当年拨付的资金。</w:t>
      </w:r>
    </w:p>
    <w:p w14:paraId="009F7E3B">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二、上级补助收入：</w:t>
      </w:r>
      <w:r>
        <w:rPr>
          <w:rFonts w:ascii="仿宋_GB2312" w:eastAsia="仿宋_GB2312"/>
          <w:sz w:val="32"/>
          <w:szCs w:val="32"/>
          <w:lang w:eastAsia="zh-CN"/>
        </w:rPr>
        <w:t>指事业单位从主管部门和上级单位取得的非财政补助收入。</w:t>
      </w:r>
    </w:p>
    <w:p w14:paraId="01BA5A21">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三、事业收入：</w:t>
      </w:r>
      <w:r>
        <w:rPr>
          <w:rFonts w:ascii="仿宋_GB2312" w:eastAsia="仿宋_GB2312"/>
          <w:sz w:val="32"/>
          <w:szCs w:val="32"/>
          <w:lang w:eastAsia="zh-CN"/>
        </w:rPr>
        <w:t>指事业单位开展专业业务活动及其辅助活动所取得的收入。</w:t>
      </w:r>
    </w:p>
    <w:p w14:paraId="65205C69">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四、经营收入：</w:t>
      </w:r>
      <w:r>
        <w:rPr>
          <w:rFonts w:ascii="仿宋_GB2312" w:eastAsia="仿宋_GB2312"/>
          <w:sz w:val="32"/>
          <w:szCs w:val="32"/>
          <w:lang w:eastAsia="zh-CN"/>
        </w:rPr>
        <w:t>指事业单位在专业业务活动及其辅助活动之外开展非独立核算经营活动取得的收入。</w:t>
      </w:r>
    </w:p>
    <w:p w14:paraId="258604DE">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五、附属单位上缴收入：</w:t>
      </w:r>
      <w:r>
        <w:rPr>
          <w:rFonts w:ascii="仿宋_GB2312" w:eastAsia="仿宋_GB2312"/>
          <w:sz w:val="32"/>
          <w:szCs w:val="32"/>
          <w:lang w:eastAsia="zh-CN"/>
        </w:rPr>
        <w:t>指事业单位附属的独立核算单位按有关规定上缴的收入。</w:t>
      </w:r>
    </w:p>
    <w:p w14:paraId="21758647">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六、其他收入：</w:t>
      </w:r>
      <w:r>
        <w:rPr>
          <w:rFonts w:ascii="仿宋_GB2312" w:eastAsia="仿宋_GB2312"/>
          <w:sz w:val="32"/>
          <w:szCs w:val="32"/>
          <w:lang w:eastAsia="zh-CN"/>
        </w:rPr>
        <w:t>指除上述“财政拨款收入”、“事业收入”、“经营收入”、“附属单位上缴收入”等之外取得的收入。</w:t>
      </w:r>
    </w:p>
    <w:p w14:paraId="34AD0C2A">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七、年初结转和结余：</w:t>
      </w:r>
      <w:r>
        <w:rPr>
          <w:rFonts w:ascii="仿宋_GB2312" w:eastAsia="仿宋_GB2312"/>
          <w:sz w:val="32"/>
          <w:szCs w:val="32"/>
          <w:lang w:eastAsia="zh-CN"/>
        </w:rPr>
        <w:t>指以前年度支出预算因客观条件变化未执行完毕、结转到本年度按有关规定继续使用的资金，既包括财政拨款结转和结余，也包括事业收入、经营收入、其他收入的结转和结余。</w:t>
      </w:r>
    </w:p>
    <w:p w14:paraId="6DB86DD6">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八、年末结转和结余：</w:t>
      </w:r>
      <w:r>
        <w:rPr>
          <w:rFonts w:ascii="仿宋_GB2312" w:eastAsia="仿宋_GB2312"/>
          <w:sz w:val="32"/>
          <w:szCs w:val="32"/>
          <w:lang w:eastAsia="zh-CN"/>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575AAEFD">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九、基本支出：</w:t>
      </w:r>
      <w:r>
        <w:rPr>
          <w:rFonts w:ascii="仿宋_GB2312" w:eastAsia="仿宋_GB2312"/>
          <w:sz w:val="32"/>
          <w:szCs w:val="32"/>
          <w:lang w:eastAsia="zh-CN"/>
        </w:rPr>
        <w:t>指为保障机构正常运转、完成日常工作任务而发生的人员支出和公用支出。</w:t>
      </w:r>
    </w:p>
    <w:p w14:paraId="4CF810AD">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十、项目支出：</w:t>
      </w:r>
      <w:r>
        <w:rPr>
          <w:rFonts w:ascii="仿宋_GB2312" w:eastAsia="仿宋_GB2312"/>
          <w:sz w:val="32"/>
          <w:szCs w:val="32"/>
          <w:lang w:eastAsia="zh-CN"/>
        </w:rPr>
        <w:t>指在基本支出之外为完成特定行政任务和事业发展目标所发生的支出。</w:t>
      </w:r>
    </w:p>
    <w:p w14:paraId="63A4A4D9">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十一、经营支出：</w:t>
      </w:r>
      <w:r>
        <w:rPr>
          <w:rFonts w:ascii="仿宋_GB2312" w:eastAsia="仿宋_GB2312"/>
          <w:sz w:val="32"/>
          <w:szCs w:val="32"/>
          <w:lang w:eastAsia="zh-CN"/>
        </w:rPr>
        <w:t>指事业单位在专业业务活动及其辅助活动之外开展非独立核算经营活动发生的支出。</w:t>
      </w:r>
    </w:p>
    <w:p w14:paraId="3E54F72B">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十二、对附属单位补助支出：</w:t>
      </w:r>
      <w:r>
        <w:rPr>
          <w:rFonts w:ascii="仿宋_GB2312" w:eastAsia="仿宋_GB2312"/>
          <w:sz w:val="32"/>
          <w:szCs w:val="32"/>
          <w:lang w:eastAsia="zh-CN"/>
        </w:rPr>
        <w:t>指事业单位发生的用非财政预算资金对附属单位的补助支出。</w:t>
      </w:r>
    </w:p>
    <w:p w14:paraId="5C9AFA65">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十三、“三公”经费：</w:t>
      </w:r>
      <w:r>
        <w:rPr>
          <w:rFonts w:ascii="仿宋_GB2312" w:eastAsia="仿宋_GB2312"/>
          <w:sz w:val="32"/>
          <w:szCs w:val="32"/>
          <w:lang w:eastAsia="zh-CN"/>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4084E35C">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十四、机关运行经费：</w:t>
      </w:r>
      <w:r>
        <w:rPr>
          <w:rFonts w:ascii="仿宋_GB2312" w:eastAsia="仿宋_GB2312"/>
          <w:sz w:val="32"/>
          <w:szCs w:val="32"/>
          <w:lang w:eastAsia="zh-CN"/>
        </w:rPr>
        <w:t>行政单位和参照公务员法管理的事业单位财政拨款基本支出中的公用经费支出。</w:t>
      </w:r>
    </w:p>
    <w:p w14:paraId="45132520">
      <w:pPr>
        <w:rPr>
          <w:lang w:eastAsia="zh-CN"/>
        </w:rPr>
      </w:pPr>
      <w:r>
        <w:rPr>
          <w:sz w:val="0"/>
          <w:szCs w:val="0"/>
          <w:lang w:eastAsia="zh-CN"/>
        </w:rPr>
        <w:br w:type="page"/>
      </w:r>
    </w:p>
    <w:p w14:paraId="0A841B43">
      <w:pPr>
        <w:spacing w:after="0" w:line="240" w:lineRule="auto"/>
        <w:jc w:val="center"/>
        <w:outlineLvl w:val="0"/>
        <w:rPr>
          <w:rFonts w:ascii="黑体" w:eastAsia="黑体"/>
          <w:sz w:val="32"/>
          <w:szCs w:val="32"/>
          <w:lang w:eastAsia="zh-CN"/>
        </w:rPr>
      </w:pPr>
      <w:r>
        <w:rPr>
          <w:rFonts w:ascii="黑体" w:eastAsia="黑体"/>
          <w:sz w:val="32"/>
          <w:szCs w:val="32"/>
          <w:lang w:eastAsia="zh-CN"/>
        </w:rPr>
        <w:t>第四部分 部门决算报表（见附表）</w:t>
      </w:r>
    </w:p>
    <w:p w14:paraId="09169CA1">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一、《收入支出决算总表》</w:t>
      </w:r>
    </w:p>
    <w:p w14:paraId="4383844F">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二、《收入决算表》</w:t>
      </w:r>
    </w:p>
    <w:p w14:paraId="2777B0E7">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三、《支出决算表》</w:t>
      </w:r>
    </w:p>
    <w:p w14:paraId="35CA5E78">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四、《财政拨款收入支出决算总表》</w:t>
      </w:r>
    </w:p>
    <w:p w14:paraId="2F96DF30">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五、《一般公共预算财政拨款支出决算表》</w:t>
      </w:r>
    </w:p>
    <w:p w14:paraId="49FCF3C0">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081FF940">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七、《政府性基金预算财政拨款收入支出决算表》</w:t>
      </w:r>
    </w:p>
    <w:p w14:paraId="4DA9C053">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04441336">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九、《财政拨款“三公”经费支出决算表》</w:t>
      </w:r>
    </w:p>
    <w:sectPr>
      <w:pgSz w:w="12240" w:h="15840"/>
      <w:pgMar w:top="1440" w:right="1800" w:bottom="1440" w:left="1800" w:header="720" w:footer="72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characterSpacingControl w:val="doNotCompress"/>
  <w:footnotePr>
    <w:footnote w:id="0"/>
    <w:footnote w:id="1"/>
  </w:footnotePr>
  <w:endnotePr>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0191"/>
    <w:rsid w:val="0037304B"/>
    <w:rsid w:val="00614F57"/>
    <w:rsid w:val="006F7217"/>
    <w:rsid w:val="00720191"/>
    <w:rsid w:val="00934E09"/>
    <w:rsid w:val="00952E9D"/>
    <w:rsid w:val="009548C1"/>
    <w:rsid w:val="00A85697"/>
    <w:rsid w:val="00AF4324"/>
    <w:rsid w:val="00BB4592"/>
    <w:rsid w:val="00BC7DA2"/>
    <w:rsid w:val="34B73BB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uiPriority="99" w:name="heading 5"/>
    <w:lsdException w:uiPriority="99" w:name="heading 6"/>
    <w:lsdException w:uiPriority="99" w:name="heading 7"/>
    <w:lsdException w:uiPriority="9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99" w:name="toc 1"/>
    <w:lsdException w:uiPriority="99" w:name="toc 2"/>
    <w:lsdException w:uiPriority="99" w:name="toc 3"/>
    <w:lsdException w:uiPriority="99" w:name="toc 4"/>
    <w:lsdException w:uiPriority="99" w:name="toc 5"/>
    <w:lsdException w:uiPriority="99" w:name="toc 6"/>
    <w:lsdException w:uiPriority="99" w:name="toc 7"/>
    <w:lsdException w:uiPriority="99" w:name="toc 8"/>
    <w:lsdException w:uiPriority="99" w:name="toc 9"/>
    <w:lsdException w:uiPriority="99" w:semiHidden="0"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unhideWhenUsed="0" w:uiPriority="99"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Theme="minorHAnsi" w:hAnsiTheme="minorHAnsi" w:eastAsiaTheme="minorEastAsia" w:cstheme="minorBidi"/>
      <w:sz w:val="22"/>
      <w:szCs w:val="22"/>
      <w:lang w:val="en-US" w:eastAsia="en-US" w:bidi="ar-SA"/>
    </w:rPr>
  </w:style>
  <w:style w:type="paragraph" w:styleId="2">
    <w:name w:val="heading 1"/>
    <w:basedOn w:val="1"/>
    <w:next w:val="1"/>
    <w:link w:val="18"/>
    <w:qFormat/>
    <w:uiPriority w:val="9"/>
    <w:pPr>
      <w:keepNext/>
      <w:keepLines/>
      <w:spacing w:before="480"/>
      <w:outlineLvl w:val="0"/>
    </w:pPr>
    <w:rPr>
      <w:rFonts w:asciiTheme="majorHAnsi" w:hAnsiTheme="majorHAnsi" w:eastAsiaTheme="majorEastAsia" w:cstheme="majorBidi"/>
      <w:b/>
      <w:bCs/>
      <w:color w:val="2E75B6" w:themeColor="accent1" w:themeShade="BF"/>
      <w:sz w:val="28"/>
      <w:szCs w:val="28"/>
    </w:rPr>
  </w:style>
  <w:style w:type="paragraph" w:styleId="3">
    <w:name w:val="heading 2"/>
    <w:basedOn w:val="1"/>
    <w:next w:val="1"/>
    <w:link w:val="19"/>
    <w:unhideWhenUsed/>
    <w:qFormat/>
    <w:uiPriority w:val="9"/>
    <w:pPr>
      <w:keepNext/>
      <w:keepLines/>
      <w:spacing w:before="200"/>
      <w:outlineLvl w:val="1"/>
    </w:pPr>
    <w:rPr>
      <w:rFonts w:asciiTheme="majorHAnsi" w:hAnsiTheme="majorHAnsi" w:eastAsiaTheme="majorEastAsia" w:cstheme="majorBidi"/>
      <w:b/>
      <w:bCs/>
      <w:color w:val="5B9BD5" w:themeColor="accent1"/>
      <w:sz w:val="26"/>
      <w:szCs w:val="26"/>
      <w14:textFill>
        <w14:solidFill>
          <w14:schemeClr w14:val="accent1"/>
        </w14:solidFill>
      </w14:textFill>
    </w:rPr>
  </w:style>
  <w:style w:type="paragraph" w:styleId="4">
    <w:name w:val="heading 3"/>
    <w:basedOn w:val="1"/>
    <w:next w:val="1"/>
    <w:link w:val="20"/>
    <w:unhideWhenUsed/>
    <w:qFormat/>
    <w:uiPriority w:val="9"/>
    <w:pPr>
      <w:keepNext/>
      <w:keepLines/>
      <w:spacing w:before="200"/>
      <w:outlineLvl w:val="2"/>
    </w:pPr>
    <w:rPr>
      <w:rFonts w:asciiTheme="majorHAnsi" w:hAnsiTheme="majorHAnsi" w:eastAsiaTheme="majorEastAsia" w:cstheme="majorBidi"/>
      <w:b/>
      <w:bCs/>
      <w:color w:val="5B9BD5" w:themeColor="accent1"/>
      <w14:textFill>
        <w14:solidFill>
          <w14:schemeClr w14:val="accent1"/>
        </w14:solidFill>
      </w14:textFill>
    </w:rPr>
  </w:style>
  <w:style w:type="paragraph" w:styleId="5">
    <w:name w:val="heading 4"/>
    <w:basedOn w:val="1"/>
    <w:next w:val="1"/>
    <w:link w:val="21"/>
    <w:unhideWhenUsed/>
    <w:qFormat/>
    <w:uiPriority w:val="9"/>
    <w:pPr>
      <w:keepNext/>
      <w:keepLines/>
      <w:spacing w:before="200"/>
      <w:outlineLvl w:val="3"/>
    </w:pPr>
    <w:rPr>
      <w:rFonts w:asciiTheme="majorHAnsi" w:hAnsiTheme="majorHAnsi" w:eastAsiaTheme="majorEastAsia" w:cstheme="majorBidi"/>
      <w:b/>
      <w:bCs/>
      <w:i/>
      <w:iCs/>
      <w:color w:val="5B9BD5" w:themeColor="accent1"/>
      <w14:textFill>
        <w14:solidFill>
          <w14:schemeClr w14:val="accent1"/>
        </w14:solidFill>
      </w14:textFill>
    </w:rPr>
  </w:style>
  <w:style w:type="character" w:default="1" w:styleId="14">
    <w:name w:val="Default Paragraph Font"/>
    <w:semiHidden/>
    <w:unhideWhenUsed/>
    <w:uiPriority w:val="1"/>
  </w:style>
  <w:style w:type="table" w:default="1" w:styleId="12">
    <w:name w:val="Normal Table"/>
    <w:semiHidden/>
    <w:unhideWhenUsed/>
    <w:uiPriority w:val="99"/>
    <w:tblPr>
      <w:tblCellMar>
        <w:top w:w="0" w:type="dxa"/>
        <w:left w:w="108" w:type="dxa"/>
        <w:bottom w:w="0" w:type="dxa"/>
        <w:right w:w="108" w:type="dxa"/>
      </w:tblCellMar>
    </w:tblPr>
  </w:style>
  <w:style w:type="paragraph" w:styleId="6">
    <w:name w:val="Normal Indent"/>
    <w:basedOn w:val="1"/>
    <w:unhideWhenUsed/>
    <w:uiPriority w:val="99"/>
    <w:pPr>
      <w:ind w:left="720"/>
    </w:pPr>
  </w:style>
  <w:style w:type="paragraph" w:styleId="7">
    <w:name w:val="caption"/>
    <w:basedOn w:val="1"/>
    <w:next w:val="1"/>
    <w:semiHidden/>
    <w:unhideWhenUsed/>
    <w:qFormat/>
    <w:uiPriority w:val="35"/>
    <w:pPr>
      <w:spacing w:line="240" w:lineRule="auto"/>
    </w:pPr>
    <w:rPr>
      <w:b/>
      <w:bCs/>
      <w:color w:val="5B9BD5" w:themeColor="accent1"/>
      <w:sz w:val="18"/>
      <w:szCs w:val="18"/>
      <w14:textFill>
        <w14:solidFill>
          <w14:schemeClr w14:val="accent1"/>
        </w14:solidFill>
      </w14:textFill>
    </w:rPr>
  </w:style>
  <w:style w:type="paragraph" w:styleId="8">
    <w:name w:val="footer"/>
    <w:basedOn w:val="1"/>
    <w:link w:val="24"/>
    <w:unhideWhenUsed/>
    <w:uiPriority w:val="99"/>
    <w:pPr>
      <w:tabs>
        <w:tab w:val="center" w:pos="4153"/>
        <w:tab w:val="right" w:pos="8306"/>
      </w:tabs>
      <w:snapToGrid w:val="0"/>
      <w:spacing w:line="240" w:lineRule="auto"/>
    </w:pPr>
    <w:rPr>
      <w:sz w:val="18"/>
      <w:szCs w:val="18"/>
    </w:rPr>
  </w:style>
  <w:style w:type="paragraph" w:styleId="9">
    <w:name w:val="header"/>
    <w:basedOn w:val="1"/>
    <w:link w:val="17"/>
    <w:unhideWhenUsed/>
    <w:uiPriority w:val="99"/>
    <w:pPr>
      <w:tabs>
        <w:tab w:val="center" w:pos="4680"/>
        <w:tab w:val="right" w:pos="9360"/>
      </w:tabs>
    </w:pPr>
  </w:style>
  <w:style w:type="paragraph" w:styleId="10">
    <w:name w:val="Subtitle"/>
    <w:basedOn w:val="1"/>
    <w:next w:val="1"/>
    <w:link w:val="22"/>
    <w:qFormat/>
    <w:uiPriority w:val="11"/>
    <w:pPr>
      <w:ind w:left="86"/>
    </w:pPr>
    <w:rPr>
      <w:rFonts w:asciiTheme="majorHAnsi" w:hAnsiTheme="majorHAnsi" w:eastAsiaTheme="majorEastAsia" w:cstheme="majorBidi"/>
      <w:i/>
      <w:iCs/>
      <w:color w:val="5B9BD5" w:themeColor="accent1"/>
      <w:spacing w:val="15"/>
      <w:sz w:val="24"/>
      <w:szCs w:val="24"/>
      <w14:textFill>
        <w14:solidFill>
          <w14:schemeClr w14:val="accent1"/>
        </w14:solidFill>
      </w14:textFill>
    </w:rPr>
  </w:style>
  <w:style w:type="paragraph" w:styleId="11">
    <w:name w:val="Title"/>
    <w:basedOn w:val="1"/>
    <w:next w:val="1"/>
    <w:link w:val="23"/>
    <w:qFormat/>
    <w:uiPriority w:val="10"/>
    <w:pPr>
      <w:pBdr>
        <w:bottom w:val="single" w:color="5B9BD5" w:themeColor="accent1" w:sz="8" w:space="4"/>
      </w:pBdr>
      <w:spacing w:after="300"/>
      <w:contextualSpacing/>
    </w:pPr>
    <w:rPr>
      <w:rFonts w:asciiTheme="majorHAnsi" w:hAnsiTheme="majorHAnsi" w:eastAsiaTheme="majorEastAsia" w:cstheme="majorBidi"/>
      <w:color w:val="333F50" w:themeColor="text2" w:themeShade="BF"/>
      <w:spacing w:val="5"/>
      <w:kern w:val="28"/>
      <w:sz w:val="52"/>
      <w:szCs w:val="52"/>
    </w:rPr>
  </w:style>
  <w:style w:type="table" w:styleId="13">
    <w:name w:val="Table Grid"/>
    <w:basedOn w:val="12"/>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styleId="15">
    <w:name w:val="Emphasis"/>
    <w:basedOn w:val="14"/>
    <w:qFormat/>
    <w:uiPriority w:val="20"/>
    <w:rPr>
      <w:i/>
      <w:iCs/>
    </w:rPr>
  </w:style>
  <w:style w:type="character" w:styleId="16">
    <w:name w:val="Hyperlink"/>
    <w:basedOn w:val="14"/>
    <w:unhideWhenUsed/>
    <w:uiPriority w:val="99"/>
    <w:rPr>
      <w:color w:val="0563C1" w:themeColor="hyperlink"/>
      <w:u w:val="single"/>
      <w14:textFill>
        <w14:solidFill>
          <w14:schemeClr w14:val="hlink"/>
        </w14:solidFill>
      </w14:textFill>
    </w:rPr>
  </w:style>
  <w:style w:type="character" w:customStyle="1" w:styleId="17">
    <w:name w:val="页眉 字符"/>
    <w:basedOn w:val="14"/>
    <w:link w:val="9"/>
    <w:uiPriority w:val="99"/>
  </w:style>
  <w:style w:type="character" w:customStyle="1" w:styleId="18">
    <w:name w:val="标题 1 字符"/>
    <w:basedOn w:val="14"/>
    <w:link w:val="2"/>
    <w:uiPriority w:val="9"/>
    <w:rPr>
      <w:rFonts w:asciiTheme="majorHAnsi" w:hAnsiTheme="majorHAnsi" w:eastAsiaTheme="majorEastAsia" w:cstheme="majorBidi"/>
      <w:b/>
      <w:bCs/>
      <w:color w:val="2E75B6" w:themeColor="accent1" w:themeShade="BF"/>
      <w:sz w:val="28"/>
      <w:szCs w:val="28"/>
    </w:rPr>
  </w:style>
  <w:style w:type="character" w:customStyle="1" w:styleId="19">
    <w:name w:val="标题 2 字符"/>
    <w:basedOn w:val="14"/>
    <w:link w:val="3"/>
    <w:uiPriority w:val="9"/>
    <w:rPr>
      <w:rFonts w:asciiTheme="majorHAnsi" w:hAnsiTheme="majorHAnsi" w:eastAsiaTheme="majorEastAsia" w:cstheme="majorBidi"/>
      <w:b/>
      <w:bCs/>
      <w:color w:val="5B9BD5" w:themeColor="accent1"/>
      <w:sz w:val="26"/>
      <w:szCs w:val="26"/>
      <w14:textFill>
        <w14:solidFill>
          <w14:schemeClr w14:val="accent1"/>
        </w14:solidFill>
      </w14:textFill>
    </w:rPr>
  </w:style>
  <w:style w:type="character" w:customStyle="1" w:styleId="20">
    <w:name w:val="标题 3 字符"/>
    <w:basedOn w:val="14"/>
    <w:link w:val="4"/>
    <w:uiPriority w:val="9"/>
    <w:rPr>
      <w:rFonts w:asciiTheme="majorHAnsi" w:hAnsiTheme="majorHAnsi" w:eastAsiaTheme="majorEastAsia" w:cstheme="majorBidi"/>
      <w:b/>
      <w:bCs/>
      <w:color w:val="5B9BD5" w:themeColor="accent1"/>
      <w14:textFill>
        <w14:solidFill>
          <w14:schemeClr w14:val="accent1"/>
        </w14:solidFill>
      </w14:textFill>
    </w:rPr>
  </w:style>
  <w:style w:type="character" w:customStyle="1" w:styleId="21">
    <w:name w:val="标题 4 字符"/>
    <w:basedOn w:val="14"/>
    <w:link w:val="5"/>
    <w:uiPriority w:val="9"/>
    <w:rPr>
      <w:rFonts w:asciiTheme="majorHAnsi" w:hAnsiTheme="majorHAnsi" w:eastAsiaTheme="majorEastAsia" w:cstheme="majorBidi"/>
      <w:b/>
      <w:bCs/>
      <w:i/>
      <w:iCs/>
      <w:color w:val="5B9BD5" w:themeColor="accent1"/>
      <w14:textFill>
        <w14:solidFill>
          <w14:schemeClr w14:val="accent1"/>
        </w14:solidFill>
      </w14:textFill>
    </w:rPr>
  </w:style>
  <w:style w:type="character" w:customStyle="1" w:styleId="22">
    <w:name w:val="副标题 字符"/>
    <w:basedOn w:val="14"/>
    <w:link w:val="10"/>
    <w:uiPriority w:val="11"/>
    <w:rPr>
      <w:rFonts w:asciiTheme="majorHAnsi" w:hAnsiTheme="majorHAnsi" w:eastAsiaTheme="majorEastAsia" w:cstheme="majorBidi"/>
      <w:i/>
      <w:iCs/>
      <w:color w:val="5B9BD5" w:themeColor="accent1"/>
      <w:spacing w:val="15"/>
      <w:sz w:val="24"/>
      <w:szCs w:val="24"/>
      <w14:textFill>
        <w14:solidFill>
          <w14:schemeClr w14:val="accent1"/>
        </w14:solidFill>
      </w14:textFill>
    </w:rPr>
  </w:style>
  <w:style w:type="character" w:customStyle="1" w:styleId="23">
    <w:name w:val="标题 字符"/>
    <w:basedOn w:val="14"/>
    <w:link w:val="11"/>
    <w:uiPriority w:val="10"/>
    <w:rPr>
      <w:rFonts w:asciiTheme="majorHAnsi" w:hAnsiTheme="majorHAnsi" w:eastAsiaTheme="majorEastAsia" w:cstheme="majorBidi"/>
      <w:color w:val="333F50" w:themeColor="text2" w:themeShade="BF"/>
      <w:spacing w:val="5"/>
      <w:kern w:val="28"/>
      <w:sz w:val="52"/>
      <w:szCs w:val="52"/>
    </w:rPr>
  </w:style>
  <w:style w:type="character" w:customStyle="1" w:styleId="24">
    <w:name w:val="页脚 字符"/>
    <w:basedOn w:val="14"/>
    <w:link w:val="8"/>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15</Pages>
  <Words>6030</Words>
  <Characters>6754</Characters>
  <Lines>379</Lines>
  <Paragraphs>342</Paragraphs>
  <TotalTime>4</TotalTime>
  <ScaleCrop>false</ScaleCrop>
  <LinksUpToDate>false</LinksUpToDate>
  <CharactersWithSpaces>6766</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2025-09-01T09:31:00Z</dcterms:created>
  <dc:creator>JY</dc:creator>
  <cp:lastModifiedBy>一闪一闪亮晶晶</cp:lastModifiedBy>
  <dcterms:modified xsi:type="dcterms:W3CDTF">2025-09-05T04:44:54Z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eyJoZGlkIjoiN2ZkN2U0NTE2ZWZjNGNkOGYwMTY5ODIwZjEyYjUxNGMiLCJ1c2VySWQiOiI1NjU0MTExMzAifQ==</vt:lpwstr>
  </property>
  <property fmtid="{D5CDD505-2E9C-101B-9397-08002B2CF9AE}" pid="3" name="KSOProductBuildVer">
    <vt:lpwstr>2052-12.1.0.22529</vt:lpwstr>
  </property>
  <property fmtid="{D5CDD505-2E9C-101B-9397-08002B2CF9AE}" pid="4" name="ICV">
    <vt:lpwstr>D97717260C474A85BBB5BF11A2285F47_12</vt:lpwstr>
  </property>
</Properties>
</file>