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CE385">
      <w:pPr>
        <w:spacing w:after="0" w:line="240" w:lineRule="auto"/>
        <w:rPr>
          <w:rFonts w:hint="eastAsia" w:ascii="宋体" w:eastAsia="宋体"/>
          <w:sz w:val="32"/>
          <w:szCs w:val="32"/>
        </w:rPr>
      </w:pPr>
    </w:p>
    <w:p w14:paraId="60413663">
      <w:pPr>
        <w:spacing w:after="0" w:line="240" w:lineRule="auto"/>
        <w:rPr>
          <w:rFonts w:hint="eastAsia" w:ascii="宋体" w:eastAsia="宋体"/>
          <w:sz w:val="44"/>
          <w:szCs w:val="44"/>
        </w:rPr>
      </w:pPr>
    </w:p>
    <w:p w14:paraId="40D06256">
      <w:pPr>
        <w:spacing w:after="0" w:line="240" w:lineRule="auto"/>
        <w:rPr>
          <w:rFonts w:hint="eastAsia" w:ascii="宋体" w:eastAsia="宋体"/>
          <w:sz w:val="44"/>
          <w:szCs w:val="44"/>
        </w:rPr>
      </w:pPr>
    </w:p>
    <w:p w14:paraId="15594613">
      <w:pPr>
        <w:spacing w:after="0" w:line="240" w:lineRule="auto"/>
        <w:rPr>
          <w:rFonts w:hint="eastAsia" w:ascii="宋体" w:eastAsia="宋体"/>
          <w:sz w:val="44"/>
          <w:szCs w:val="44"/>
        </w:rPr>
      </w:pPr>
    </w:p>
    <w:p w14:paraId="1CE20FA9">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昌吉市第四小学</w:t>
      </w:r>
    </w:p>
    <w:p w14:paraId="277F882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29838FB">
      <w:pPr>
        <w:rPr>
          <w:rFonts w:hint="eastAsia"/>
          <w:lang w:eastAsia="zh-CN"/>
        </w:rPr>
      </w:pPr>
      <w:r>
        <w:rPr>
          <w:sz w:val="0"/>
          <w:szCs w:val="0"/>
          <w:lang w:eastAsia="zh-CN"/>
        </w:rPr>
        <w:br w:type="page"/>
      </w:r>
    </w:p>
    <w:p w14:paraId="04CEE11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F9DABB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2ED036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4BD77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3A17C8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53302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60E1052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38EAD3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398C65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6FEC9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78088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8F3E1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F2211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910FAC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B7164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83ADB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502B4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3CBFE2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3E14A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4F2E1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4D1C5A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E990E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0BC2B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4DE6BB9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7B85A9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6782F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BB096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083E1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4E64E1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F267E7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2CE27E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9DD4A6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97CB6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76E41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C199A53">
      <w:pPr>
        <w:rPr>
          <w:rFonts w:hint="eastAsia"/>
          <w:lang w:eastAsia="zh-CN"/>
        </w:rPr>
      </w:pPr>
      <w:r>
        <w:rPr>
          <w:sz w:val="0"/>
          <w:szCs w:val="0"/>
          <w:lang w:eastAsia="zh-CN"/>
        </w:rPr>
        <w:br w:type="page"/>
      </w:r>
    </w:p>
    <w:p w14:paraId="7D425D0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5F7F7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4EE97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w:t>
      </w:r>
    </w:p>
    <w:p w14:paraId="1029E0E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1A6C68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昌吉市第四小学2024年度，实有人数98人，其中：在职人员63人，增加4人；离休人员0人，较上年无变化；退休人员35人，增加5人。</w:t>
      </w:r>
    </w:p>
    <w:p w14:paraId="661C02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昌吉市第四小学无下属预算单位，下设4个</w:t>
      </w:r>
      <w:r>
        <w:rPr>
          <w:rFonts w:hint="eastAsia" w:ascii="仿宋_GB2312" w:eastAsia="仿宋_GB2312"/>
          <w:sz w:val="32"/>
          <w:szCs w:val="32"/>
          <w:lang w:eastAsia="zh-CN"/>
        </w:rPr>
        <w:t>科</w:t>
      </w:r>
      <w:r>
        <w:rPr>
          <w:rFonts w:ascii="仿宋_GB2312" w:eastAsia="仿宋_GB2312"/>
          <w:sz w:val="32"/>
          <w:szCs w:val="32"/>
          <w:lang w:eastAsia="zh-CN"/>
        </w:rPr>
        <w:t>室，分别是：办公室、教务处、德育处、总务处。</w:t>
      </w:r>
    </w:p>
    <w:p w14:paraId="5BAB6FBC">
      <w:pPr>
        <w:rPr>
          <w:rFonts w:hint="eastAsia"/>
          <w:lang w:eastAsia="zh-CN"/>
        </w:rPr>
      </w:pPr>
      <w:r>
        <w:rPr>
          <w:sz w:val="0"/>
          <w:szCs w:val="0"/>
          <w:lang w:eastAsia="zh-CN"/>
        </w:rPr>
        <w:br w:type="page"/>
      </w:r>
    </w:p>
    <w:p w14:paraId="5AEA789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021AF1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7461A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2024年度收入总计1,695.77万元，其中：本年收入合计1,669.18万元，使用非财政拨款结余（含专用结余）0.00万元，年初结转和结余26.59万元。</w:t>
      </w:r>
    </w:p>
    <w:p w14:paraId="3770E6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2024年度支出总计1,695.77万元，其中：本年支出合计1,653.26万元，结余分配0.00万元，年末结转和结余42.51万元。</w:t>
      </w:r>
    </w:p>
    <w:p w14:paraId="014860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收入支出总体与上年相比，增加178.43万元，增长11.76%，主要原因是：</w:t>
      </w:r>
      <w:r>
        <w:rPr>
          <w:rFonts w:hint="eastAsia" w:ascii="仿宋_GB2312" w:eastAsia="仿宋_GB2312"/>
          <w:sz w:val="32"/>
          <w:szCs w:val="32"/>
          <w:lang w:eastAsia="zh-CN"/>
        </w:rPr>
        <w:t>在职人员增加，增加人员工资、社保等</w:t>
      </w:r>
      <w:r>
        <w:rPr>
          <w:rFonts w:ascii="仿宋_GB2312" w:eastAsia="仿宋_GB2312"/>
          <w:sz w:val="32"/>
          <w:szCs w:val="32"/>
          <w:lang w:eastAsia="zh-CN"/>
        </w:rPr>
        <w:t>。</w:t>
      </w:r>
    </w:p>
    <w:p w14:paraId="509C5D0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9A8BD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本年收入1,669.18万元，其中：财政拨款收入1,569.11万元,占94.00%；上级补助收入0.00万元,占0.00%；事业收入0.00万元，占0.00%；经营收入0.00万元,占0.00%；附属单位上缴收入0.00万元，占0.00%；其他收入100.07万元，占6.00%。</w:t>
      </w:r>
    </w:p>
    <w:p w14:paraId="7983E0C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3546D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本年支出1,653.26万元，其中：基本支出1,630.26万元，占98.61%；项目支出23.00万元，占1.39%；上缴上级支出0.00万元，占0.00%；经营支出0.00万元，占0.00%；对附属单位补助支出0.00万元，占0.00%。</w:t>
      </w:r>
    </w:p>
    <w:p w14:paraId="68FF23F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F1295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1,569.11万元，其中：年初财政拨款结转和结余0.00万元，本年财政拨款收入1,569.11万元。财政拨款支出总计1,569.11万元，其中：年末财政拨款结转和结余0.00万元，本年财政拨款支出1,569.11万元。</w:t>
      </w:r>
    </w:p>
    <w:p w14:paraId="27018E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财政拨款收入支出总体与上年相比，增加143.10万元，增长10.03%，主要原因是：</w:t>
      </w:r>
      <w:r>
        <w:rPr>
          <w:rFonts w:hint="eastAsia" w:ascii="仿宋_GB2312" w:eastAsia="仿宋_GB2312"/>
          <w:sz w:val="32"/>
          <w:szCs w:val="32"/>
          <w:lang w:eastAsia="zh-CN"/>
        </w:rPr>
        <w:t>在职人员增加，增加人员工资、社保等</w:t>
      </w:r>
      <w:r>
        <w:rPr>
          <w:rFonts w:ascii="仿宋_GB2312" w:eastAsia="仿宋_GB2312"/>
          <w:sz w:val="32"/>
          <w:szCs w:val="32"/>
          <w:lang w:eastAsia="zh-CN"/>
        </w:rPr>
        <w:t>。与年初预算相比，年初预算数1,239.52万元，决算数1,569.11万元，预决算差异率26.59%，主要原因是：年中追加义务教育薄弱环节改善与能力提升补助资金付心理咨询室项目经费、城乡义务教育补助经费预算（中央直达资金）校舍安全保障付屋面防水项目经费、中央义务薄弱环节改善能力提升补助资金付护眼灯项目经费。</w:t>
      </w:r>
    </w:p>
    <w:p w14:paraId="01D0639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289107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4F48733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2024年度一般公共预算财政拨款支出1,569.11万元，占本年支出合计的94.91%。与上年相比，增加143.12万元，增长10.04%，主要原因是：</w:t>
      </w:r>
      <w:r>
        <w:rPr>
          <w:rFonts w:hint="eastAsia" w:ascii="仿宋_GB2312" w:eastAsia="仿宋_GB2312"/>
          <w:sz w:val="32"/>
          <w:szCs w:val="32"/>
          <w:lang w:eastAsia="zh-CN"/>
        </w:rPr>
        <w:t>在职人员增加，增加人员工资、社保等</w:t>
      </w:r>
      <w:r>
        <w:rPr>
          <w:rFonts w:ascii="仿宋_GB2312" w:eastAsia="仿宋_GB2312"/>
          <w:sz w:val="32"/>
          <w:szCs w:val="32"/>
          <w:lang w:eastAsia="zh-CN"/>
        </w:rPr>
        <w:t>。与年初预算相比，年初预算数1,239.52万元，决算数1,569.11万元，预决算差异率26.59%，主要原因是：年中追加义务教育薄弱环节改善与能力提升补助资金付心理咨询室项目经费、城乡义务教育补助经费预算（中央直达资金）校舍安全保障付屋面防水项目经费、中央义务薄弱环节改善能力提升补助资金付护眼灯项目经费。</w:t>
      </w:r>
    </w:p>
    <w:p w14:paraId="29786C8E">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0BE9553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教育支出（类）1,517.10万元，占96.69%。</w:t>
      </w:r>
    </w:p>
    <w:p w14:paraId="1175BE8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社会保障和就业支出（类）52.01万元，占3.31%。</w:t>
      </w:r>
    </w:p>
    <w:p w14:paraId="6D19E07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14C5C06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1、教育支出（类）教育管理事务（款）一般行政管理事务（项）：支出决算数为0.00万元，比上年决算减少0.30万元，下降100.00%，主要原因是：单位本年办公设备购置经费减少。</w:t>
      </w:r>
    </w:p>
    <w:p w14:paraId="0173E54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2、教育支出（类）普通教育（款）小学教育（项）：支出决算数为1,517.10万元，比上年决算增加91.41万元，增长6.41%，主要原因是：</w:t>
      </w:r>
      <w:r>
        <w:rPr>
          <w:rFonts w:hint="eastAsia" w:ascii="仿宋_GB2312" w:eastAsia="仿宋_GB2312"/>
          <w:sz w:val="32"/>
          <w:szCs w:val="32"/>
          <w:lang w:eastAsia="zh-CN"/>
        </w:rPr>
        <w:t>在职人员增加，增加人员工资、社保等</w:t>
      </w:r>
      <w:r>
        <w:rPr>
          <w:rFonts w:ascii="仿宋_GB2312" w:eastAsia="仿宋_GB2312"/>
          <w:sz w:val="32"/>
          <w:szCs w:val="32"/>
          <w:lang w:eastAsia="zh-CN"/>
        </w:rPr>
        <w:t>。</w:t>
      </w:r>
    </w:p>
    <w:p w14:paraId="562E7EF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52.01万元，比上年决算增加52.01万元，增长100.00%，主要原因是：单位本年一次性职业年金缴费较上年增加。</w:t>
      </w:r>
    </w:p>
    <w:p w14:paraId="50C8FAA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945D8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1,546.11万元，其中：人员经费1,391.67万元，包括：基本工资、津贴补贴、奖金、机关事业单位基本养老保险缴费、职业年金缴费、职工基本医疗保险缴费、住房公积金、其他工资福利支出、退休费、助学金、奖励金和其他对个人和家庭的补助。</w:t>
      </w:r>
    </w:p>
    <w:p w14:paraId="17963B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公用经费154.44万元，包括：办公费、印刷费、咨询费、水费、电费、邮电费、取暖费、物业管理费、维修（护）费、专用材料费、劳务费和办公设备购置。</w:t>
      </w:r>
    </w:p>
    <w:p w14:paraId="79689DA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D7644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D233BA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BB481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6E3C9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BAD405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2024年度财政拨款“三公”经费支出0.00万元，与上年相比无变化，主要原因是：本年</w:t>
      </w:r>
      <w:r>
        <w:rPr>
          <w:rFonts w:hint="eastAsia" w:ascii="仿宋_GB2312" w:eastAsia="仿宋_GB2312"/>
          <w:sz w:val="32"/>
          <w:szCs w:val="32"/>
          <w:lang w:eastAsia="zh-CN"/>
        </w:rPr>
        <w:t>与上年均</w:t>
      </w:r>
      <w:r>
        <w:rPr>
          <w:rFonts w:ascii="仿宋_GB2312" w:eastAsia="仿宋_GB2312"/>
          <w:sz w:val="32"/>
          <w:szCs w:val="32"/>
          <w:lang w:eastAsia="zh-CN"/>
        </w:rPr>
        <w:t>无“三公”经费支出。其中：因公出国（境）费支出0.00万元,占0.00%，与上年相比无变化，主要原因是：本年</w:t>
      </w:r>
      <w:r>
        <w:rPr>
          <w:rFonts w:hint="eastAsia" w:ascii="仿宋_GB2312" w:eastAsia="仿宋_GB2312"/>
          <w:sz w:val="32"/>
          <w:szCs w:val="32"/>
          <w:lang w:eastAsia="zh-CN"/>
        </w:rPr>
        <w:t>与上年均</w:t>
      </w:r>
      <w:r>
        <w:rPr>
          <w:rFonts w:ascii="仿宋_GB2312" w:eastAsia="仿宋_GB2312"/>
          <w:sz w:val="32"/>
          <w:szCs w:val="32"/>
          <w:lang w:eastAsia="zh-CN"/>
        </w:rPr>
        <w:t>无因公出国（境）费支出；公务用车购置及运行维护费支出0.00万元，占0.00%，与上年相比无变化，主要原因是：本年</w:t>
      </w:r>
      <w:r>
        <w:rPr>
          <w:rFonts w:hint="eastAsia" w:ascii="仿宋_GB2312" w:eastAsia="仿宋_GB2312"/>
          <w:sz w:val="32"/>
          <w:szCs w:val="32"/>
          <w:lang w:eastAsia="zh-CN"/>
        </w:rPr>
        <w:t>与上年均</w:t>
      </w:r>
      <w:r>
        <w:rPr>
          <w:rFonts w:ascii="仿宋_GB2312" w:eastAsia="仿宋_GB2312"/>
          <w:sz w:val="32"/>
          <w:szCs w:val="32"/>
          <w:lang w:eastAsia="zh-CN"/>
        </w:rPr>
        <w:t>无公务用车购置及运行维护费支出；公务接待费支出0.00万元，占0.00%，与上年相比无变化，主要原因是：本年</w:t>
      </w:r>
      <w:r>
        <w:rPr>
          <w:rFonts w:hint="eastAsia" w:ascii="仿宋_GB2312" w:eastAsia="仿宋_GB2312"/>
          <w:sz w:val="32"/>
          <w:szCs w:val="32"/>
          <w:lang w:eastAsia="zh-CN"/>
        </w:rPr>
        <w:t>与上年均</w:t>
      </w:r>
      <w:r>
        <w:rPr>
          <w:rFonts w:ascii="仿宋_GB2312" w:eastAsia="仿宋_GB2312"/>
          <w:sz w:val="32"/>
          <w:szCs w:val="32"/>
          <w:lang w:eastAsia="zh-CN"/>
        </w:rPr>
        <w:t>无公务接待费支出。</w:t>
      </w:r>
    </w:p>
    <w:p w14:paraId="508964F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1F3A6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3B5415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年单位无公务用车运行维护费支出。公务用车购置数0辆，公务用车保有量0辆。国有资产占用情况中固定资产车辆0辆，与公务用车保有量差异原因是：公务用车保有量无差异。</w:t>
      </w:r>
    </w:p>
    <w:p w14:paraId="23C2996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7B8390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015621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04B15B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3B8E31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2024年度昌吉市第四小学单位（事业单位）公用经费支出154.44万元，比上年增加2.93万元，增长1.93%，主要原因是：单位本年电费、取暖费、劳务费较上年增加。</w:t>
      </w:r>
    </w:p>
    <w:p w14:paraId="5903788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7532BF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2024年度政府采购支出总额44.25万元，其中：政府采购货物支出18.11万元、政府采购工程支出0.00万元、政府采购服务支出26.14万元。</w:t>
      </w:r>
    </w:p>
    <w:p w14:paraId="36D886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授予中小企业合同金额44.25万元，占政府采购支出总额的100.00%，其中：授予小微企业合同金额44.12万元，占政府采购支出总额的99.71%。</w:t>
      </w:r>
    </w:p>
    <w:p w14:paraId="2BA3435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315BC8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截至2024年12月31日，房屋2,992.74平方米，价值621.74万元。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2925240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0E3713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根据预算绩效管理要求，本单位2024年度预算绩效管理形成整体支出绩效自评表1个，全年预算总额1,695.77万元，实际执行总额1,653.26万元；预算绩效评价项目0个，全年预算数0万元，全年执行数0万元。</w:t>
      </w:r>
      <w:r>
        <w:rPr>
          <w:rFonts w:hint="eastAsia" w:ascii="仿宋_GB2312" w:eastAsia="仿宋_GB2312"/>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w:t>
      </w:r>
    </w:p>
    <w:p w14:paraId="5E171CB8">
      <w:pPr>
        <w:rPr>
          <w:rFonts w:hint="eastAsia" w:ascii="宋体" w:hAnsi="宋体" w:eastAsia="宋体" w:cs="宋体"/>
          <w:b/>
          <w:bCs/>
          <w:sz w:val="18"/>
          <w:szCs w:val="18"/>
          <w:lang w:eastAsia="zh-CN"/>
        </w:rPr>
      </w:pPr>
      <w:bookmarkStart w:id="0" w:name="_Hlk174962300"/>
    </w:p>
    <w:p w14:paraId="37B5A80B">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EFC88B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7C7066D5">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9166CD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C5B2895">
            <w:pPr>
              <w:jc w:val="center"/>
              <w:rPr>
                <w:rFonts w:hint="eastAsia" w:ascii="宋体" w:hAnsi="宋体" w:eastAsia="宋体" w:cs="宋体"/>
                <w:b/>
                <w:bCs/>
                <w:sz w:val="18"/>
                <w:szCs w:val="18"/>
              </w:rPr>
            </w:pPr>
            <w:r>
              <w:rPr>
                <w:rFonts w:hint="eastAsia" w:ascii="宋体" w:hAnsi="宋体" w:eastAsia="宋体" w:cs="宋体"/>
                <w:b/>
                <w:bCs/>
                <w:sz w:val="18"/>
                <w:szCs w:val="18"/>
              </w:rPr>
              <w:t>昌吉市第四小学</w:t>
            </w:r>
          </w:p>
        </w:tc>
        <w:tc>
          <w:tcPr>
            <w:tcW w:w="284" w:type="dxa"/>
            <w:tcBorders>
              <w:top w:val="nil"/>
              <w:left w:val="nil"/>
              <w:bottom w:val="nil"/>
              <w:right w:val="nil"/>
            </w:tcBorders>
            <w:noWrap/>
            <w:vAlign w:val="center"/>
          </w:tcPr>
          <w:p w14:paraId="5030D536">
            <w:pPr>
              <w:rPr>
                <w:rFonts w:hint="eastAsia" w:ascii="宋体" w:hAnsi="宋体" w:eastAsia="宋体" w:cs="宋体"/>
                <w:b/>
                <w:bCs/>
                <w:sz w:val="18"/>
                <w:szCs w:val="18"/>
              </w:rPr>
            </w:pPr>
          </w:p>
        </w:tc>
      </w:tr>
      <w:tr w14:paraId="718E82E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F2600F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0012E25">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85436D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1C93B4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2FF5381E">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6D76986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9C0DE5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71F6BE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B7A6557">
            <w:pPr>
              <w:jc w:val="center"/>
              <w:rPr>
                <w:rFonts w:hint="eastAsia" w:ascii="宋体" w:hAnsi="宋体" w:eastAsia="宋体" w:cs="宋体"/>
                <w:b/>
                <w:bCs/>
                <w:sz w:val="18"/>
                <w:szCs w:val="18"/>
              </w:rPr>
            </w:pPr>
          </w:p>
        </w:tc>
      </w:tr>
      <w:tr w14:paraId="28BE433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41095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11079F7">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2023E26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BB0988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60D74A9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3E55E98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0EDF735">
            <w:pPr>
              <w:jc w:val="center"/>
              <w:rPr>
                <w:rFonts w:hint="eastAsia" w:ascii="宋体" w:hAnsi="宋体" w:eastAsia="宋体" w:cs="宋体"/>
                <w:sz w:val="18"/>
                <w:szCs w:val="18"/>
              </w:rPr>
            </w:pPr>
            <w:r>
              <w:rPr>
                <w:rFonts w:hint="eastAsia" w:ascii="宋体" w:hAnsi="宋体" w:eastAsia="宋体" w:cs="宋体"/>
                <w:sz w:val="18"/>
                <w:szCs w:val="18"/>
              </w:rPr>
              <w:t>97.49%</w:t>
            </w:r>
          </w:p>
        </w:tc>
        <w:tc>
          <w:tcPr>
            <w:tcW w:w="720" w:type="dxa"/>
            <w:tcBorders>
              <w:top w:val="nil"/>
              <w:left w:val="nil"/>
              <w:bottom w:val="single" w:color="auto" w:sz="4" w:space="0"/>
              <w:right w:val="single" w:color="auto" w:sz="4" w:space="0"/>
            </w:tcBorders>
            <w:vAlign w:val="center"/>
          </w:tcPr>
          <w:p w14:paraId="44316114">
            <w:pPr>
              <w:jc w:val="center"/>
              <w:rPr>
                <w:rFonts w:hint="eastAsia" w:ascii="宋体" w:hAnsi="宋体" w:eastAsia="宋体" w:cs="宋体"/>
                <w:sz w:val="18"/>
                <w:szCs w:val="18"/>
              </w:rPr>
            </w:pPr>
            <w:r>
              <w:rPr>
                <w:rFonts w:hint="eastAsia" w:ascii="宋体" w:hAnsi="宋体" w:eastAsia="宋体" w:cs="宋体"/>
                <w:sz w:val="18"/>
                <w:szCs w:val="18"/>
              </w:rPr>
              <w:t>9.75</w:t>
            </w:r>
          </w:p>
        </w:tc>
        <w:tc>
          <w:tcPr>
            <w:tcW w:w="284" w:type="dxa"/>
            <w:tcBorders>
              <w:top w:val="nil"/>
              <w:left w:val="nil"/>
              <w:bottom w:val="nil"/>
              <w:right w:val="nil"/>
            </w:tcBorders>
            <w:noWrap/>
            <w:vAlign w:val="center"/>
          </w:tcPr>
          <w:p w14:paraId="35661848">
            <w:pPr>
              <w:jc w:val="center"/>
              <w:rPr>
                <w:rFonts w:hint="eastAsia" w:ascii="宋体" w:hAnsi="宋体" w:eastAsia="宋体" w:cs="宋体"/>
                <w:b/>
                <w:bCs/>
                <w:sz w:val="18"/>
                <w:szCs w:val="18"/>
              </w:rPr>
            </w:pPr>
          </w:p>
        </w:tc>
      </w:tr>
      <w:tr w14:paraId="7D0DFE6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24A21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66C2147">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5D458C77">
            <w:pPr>
              <w:jc w:val="center"/>
              <w:rPr>
                <w:rFonts w:hint="eastAsia" w:ascii="宋体" w:hAnsi="宋体" w:eastAsia="宋体" w:cs="宋体"/>
                <w:sz w:val="18"/>
                <w:szCs w:val="18"/>
              </w:rPr>
            </w:pPr>
            <w:r>
              <w:rPr>
                <w:rFonts w:hint="eastAsia" w:ascii="宋体" w:hAnsi="宋体" w:eastAsia="宋体" w:cs="宋体"/>
                <w:sz w:val="18"/>
                <w:szCs w:val="18"/>
              </w:rPr>
              <w:t>1,239.52</w:t>
            </w:r>
          </w:p>
        </w:tc>
        <w:tc>
          <w:tcPr>
            <w:tcW w:w="1276" w:type="dxa"/>
            <w:tcBorders>
              <w:top w:val="nil"/>
              <w:left w:val="nil"/>
              <w:bottom w:val="single" w:color="auto" w:sz="4" w:space="0"/>
              <w:right w:val="single" w:color="auto" w:sz="4" w:space="0"/>
            </w:tcBorders>
            <w:vAlign w:val="center"/>
          </w:tcPr>
          <w:p w14:paraId="502A8BBE">
            <w:pPr>
              <w:jc w:val="center"/>
              <w:rPr>
                <w:rFonts w:hint="eastAsia" w:ascii="宋体" w:hAnsi="宋体" w:eastAsia="宋体" w:cs="宋体"/>
                <w:sz w:val="18"/>
                <w:szCs w:val="18"/>
              </w:rPr>
            </w:pPr>
            <w:r>
              <w:rPr>
                <w:rFonts w:hint="eastAsia" w:ascii="宋体" w:hAnsi="宋体" w:eastAsia="宋体" w:cs="宋体"/>
                <w:sz w:val="18"/>
                <w:szCs w:val="18"/>
              </w:rPr>
              <w:t>1,695.77</w:t>
            </w:r>
          </w:p>
        </w:tc>
        <w:tc>
          <w:tcPr>
            <w:tcW w:w="1842" w:type="dxa"/>
            <w:tcBorders>
              <w:top w:val="nil"/>
              <w:left w:val="nil"/>
              <w:bottom w:val="single" w:color="auto" w:sz="4" w:space="0"/>
              <w:right w:val="single" w:color="auto" w:sz="4" w:space="0"/>
            </w:tcBorders>
            <w:vAlign w:val="center"/>
          </w:tcPr>
          <w:p w14:paraId="0B3FE20D">
            <w:pPr>
              <w:jc w:val="center"/>
              <w:rPr>
                <w:rFonts w:hint="eastAsia" w:ascii="宋体" w:hAnsi="宋体" w:eastAsia="宋体" w:cs="宋体"/>
                <w:sz w:val="18"/>
                <w:szCs w:val="18"/>
              </w:rPr>
            </w:pPr>
            <w:r>
              <w:rPr>
                <w:rFonts w:hint="eastAsia" w:ascii="宋体" w:hAnsi="宋体" w:eastAsia="宋体" w:cs="宋体"/>
                <w:sz w:val="18"/>
                <w:szCs w:val="18"/>
              </w:rPr>
              <w:t>1,653.26</w:t>
            </w:r>
          </w:p>
        </w:tc>
        <w:tc>
          <w:tcPr>
            <w:tcW w:w="993" w:type="dxa"/>
            <w:tcBorders>
              <w:top w:val="nil"/>
              <w:left w:val="nil"/>
              <w:bottom w:val="single" w:color="auto" w:sz="4" w:space="0"/>
              <w:right w:val="single" w:color="auto" w:sz="4" w:space="0"/>
            </w:tcBorders>
            <w:vAlign w:val="center"/>
          </w:tcPr>
          <w:p w14:paraId="2CCFC10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92CD4C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7EBA8B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6B446D3">
            <w:pPr>
              <w:jc w:val="center"/>
              <w:rPr>
                <w:rFonts w:hint="eastAsia" w:ascii="宋体" w:hAnsi="宋体" w:eastAsia="宋体" w:cs="宋体"/>
                <w:sz w:val="18"/>
                <w:szCs w:val="18"/>
              </w:rPr>
            </w:pPr>
          </w:p>
        </w:tc>
      </w:tr>
      <w:tr w14:paraId="47671921">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E5385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0AF3EBE">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7E06D06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6675969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481E3DD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4B3698E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8939F5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253CD6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3FACBBF">
            <w:pPr>
              <w:jc w:val="center"/>
              <w:rPr>
                <w:rFonts w:hint="eastAsia" w:ascii="宋体" w:hAnsi="宋体" w:eastAsia="宋体" w:cs="宋体"/>
                <w:sz w:val="18"/>
                <w:szCs w:val="18"/>
              </w:rPr>
            </w:pPr>
          </w:p>
        </w:tc>
      </w:tr>
      <w:tr w14:paraId="679FDF3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3BF06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B82DBC9">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1636A096">
            <w:pPr>
              <w:jc w:val="center"/>
              <w:rPr>
                <w:rFonts w:hint="eastAsia" w:ascii="宋体" w:hAnsi="宋体" w:eastAsia="宋体" w:cs="宋体"/>
                <w:sz w:val="18"/>
                <w:szCs w:val="18"/>
              </w:rPr>
            </w:pPr>
            <w:r>
              <w:rPr>
                <w:rFonts w:hint="eastAsia" w:ascii="宋体" w:hAnsi="宋体" w:eastAsia="宋体" w:cs="宋体"/>
                <w:sz w:val="18"/>
                <w:szCs w:val="18"/>
              </w:rPr>
              <w:t>1,239.52</w:t>
            </w:r>
          </w:p>
        </w:tc>
        <w:tc>
          <w:tcPr>
            <w:tcW w:w="1276" w:type="dxa"/>
            <w:tcBorders>
              <w:top w:val="nil"/>
              <w:left w:val="nil"/>
              <w:bottom w:val="single" w:color="auto" w:sz="4" w:space="0"/>
              <w:right w:val="single" w:color="auto" w:sz="4" w:space="0"/>
            </w:tcBorders>
            <w:vAlign w:val="center"/>
          </w:tcPr>
          <w:p w14:paraId="48BB69FE">
            <w:pPr>
              <w:jc w:val="center"/>
              <w:rPr>
                <w:rFonts w:hint="eastAsia" w:ascii="宋体" w:hAnsi="宋体" w:eastAsia="宋体" w:cs="宋体"/>
                <w:sz w:val="18"/>
                <w:szCs w:val="18"/>
              </w:rPr>
            </w:pPr>
            <w:r>
              <w:rPr>
                <w:rFonts w:hint="eastAsia" w:ascii="宋体" w:hAnsi="宋体" w:eastAsia="宋体" w:cs="宋体"/>
                <w:sz w:val="18"/>
                <w:szCs w:val="18"/>
              </w:rPr>
              <w:t>1,695.77</w:t>
            </w:r>
          </w:p>
        </w:tc>
        <w:tc>
          <w:tcPr>
            <w:tcW w:w="1842" w:type="dxa"/>
            <w:tcBorders>
              <w:top w:val="nil"/>
              <w:left w:val="nil"/>
              <w:bottom w:val="single" w:color="auto" w:sz="4" w:space="0"/>
              <w:right w:val="single" w:color="auto" w:sz="4" w:space="0"/>
            </w:tcBorders>
            <w:vAlign w:val="center"/>
          </w:tcPr>
          <w:p w14:paraId="58DE0466">
            <w:pPr>
              <w:jc w:val="center"/>
              <w:rPr>
                <w:rFonts w:hint="eastAsia" w:ascii="宋体" w:hAnsi="宋体" w:eastAsia="宋体" w:cs="宋体"/>
                <w:sz w:val="18"/>
                <w:szCs w:val="18"/>
              </w:rPr>
            </w:pPr>
            <w:r>
              <w:rPr>
                <w:rFonts w:hint="eastAsia" w:ascii="宋体" w:hAnsi="宋体" w:eastAsia="宋体" w:cs="宋体"/>
                <w:sz w:val="18"/>
                <w:szCs w:val="18"/>
              </w:rPr>
              <w:t>1,653.26</w:t>
            </w:r>
          </w:p>
        </w:tc>
        <w:tc>
          <w:tcPr>
            <w:tcW w:w="993" w:type="dxa"/>
            <w:tcBorders>
              <w:top w:val="nil"/>
              <w:left w:val="nil"/>
              <w:bottom w:val="single" w:color="auto" w:sz="4" w:space="0"/>
              <w:right w:val="single" w:color="auto" w:sz="4" w:space="0"/>
            </w:tcBorders>
            <w:vAlign w:val="center"/>
          </w:tcPr>
          <w:p w14:paraId="585B8FB3">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BA4AD4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798622D">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BFB029B">
            <w:pPr>
              <w:jc w:val="center"/>
              <w:rPr>
                <w:rFonts w:hint="eastAsia" w:ascii="宋体" w:hAnsi="宋体" w:eastAsia="宋体" w:cs="宋体"/>
                <w:sz w:val="18"/>
                <w:szCs w:val="18"/>
              </w:rPr>
            </w:pPr>
          </w:p>
        </w:tc>
      </w:tr>
      <w:tr w14:paraId="49C9D7E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B43BC10">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092A5A6">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4E9CA9D">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580EC5DF">
            <w:pPr>
              <w:rPr>
                <w:rFonts w:hint="eastAsia" w:ascii="宋体" w:hAnsi="宋体" w:eastAsia="宋体" w:cs="宋体"/>
                <w:b/>
                <w:bCs/>
                <w:sz w:val="18"/>
                <w:szCs w:val="18"/>
              </w:rPr>
            </w:pPr>
          </w:p>
        </w:tc>
      </w:tr>
      <w:tr w14:paraId="3D38164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6B7A6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9429216">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目标1:完成在校学生教育1651人，提高昌吉市教育水平；目标2:完成学年内学生结业人数199人，达成教育教学的目标；目标3：完成学年内新入学学生345人，解决就学问题。</w:t>
            </w:r>
          </w:p>
        </w:tc>
        <w:tc>
          <w:tcPr>
            <w:tcW w:w="4547" w:type="dxa"/>
            <w:gridSpan w:val="4"/>
            <w:tcBorders>
              <w:top w:val="single" w:color="auto" w:sz="4" w:space="0"/>
              <w:left w:val="nil"/>
              <w:bottom w:val="single" w:color="auto" w:sz="4" w:space="0"/>
              <w:right w:val="single" w:color="auto" w:sz="4" w:space="0"/>
            </w:tcBorders>
          </w:tcPr>
          <w:p w14:paraId="49EB2E55">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25日实际完成在校学生教育1764人，完成学年内学生结业人数212人，结业完成率达到106.53%，完成学年内新入学学生304人，达到了提高了昌吉市教育水平，完成我校教育教学的目标，解决适龄儿童入学的预期目标。</w:t>
            </w:r>
          </w:p>
        </w:tc>
        <w:tc>
          <w:tcPr>
            <w:tcW w:w="284" w:type="dxa"/>
            <w:tcBorders>
              <w:top w:val="nil"/>
              <w:left w:val="nil"/>
              <w:bottom w:val="nil"/>
              <w:right w:val="nil"/>
            </w:tcBorders>
            <w:noWrap/>
            <w:vAlign w:val="center"/>
          </w:tcPr>
          <w:p w14:paraId="5E5D52A3">
            <w:pPr>
              <w:rPr>
                <w:rFonts w:hint="eastAsia" w:ascii="宋体" w:hAnsi="宋体" w:eastAsia="宋体" w:cs="宋体"/>
                <w:sz w:val="18"/>
                <w:szCs w:val="18"/>
                <w:lang w:eastAsia="zh-CN"/>
              </w:rPr>
            </w:pPr>
          </w:p>
        </w:tc>
      </w:tr>
      <w:tr w14:paraId="5060647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BBC4EB5">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2243B36">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3006F1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2B1C11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284A123C">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3CAA512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CF81856">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4CA8CE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98C8F3F">
            <w:pPr>
              <w:rPr>
                <w:rFonts w:hint="eastAsia" w:ascii="宋体" w:hAnsi="宋体" w:eastAsia="宋体" w:cs="宋体"/>
                <w:b/>
                <w:bCs/>
                <w:sz w:val="18"/>
                <w:szCs w:val="18"/>
              </w:rPr>
            </w:pPr>
          </w:p>
        </w:tc>
      </w:tr>
      <w:tr w14:paraId="75D6EA4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CFAF76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2F12F62">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9B3B91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完成在校学生培养数量</w:t>
            </w:r>
          </w:p>
        </w:tc>
        <w:tc>
          <w:tcPr>
            <w:tcW w:w="1276" w:type="dxa"/>
            <w:tcBorders>
              <w:top w:val="nil"/>
              <w:left w:val="nil"/>
              <w:bottom w:val="single" w:color="auto" w:sz="4" w:space="0"/>
              <w:right w:val="single" w:color="auto" w:sz="4" w:space="0"/>
            </w:tcBorders>
            <w:noWrap/>
            <w:vAlign w:val="center"/>
          </w:tcPr>
          <w:p w14:paraId="5ECF7B52">
            <w:pPr>
              <w:jc w:val="center"/>
              <w:rPr>
                <w:rFonts w:hint="eastAsia" w:ascii="宋体" w:hAnsi="宋体" w:eastAsia="宋体" w:cs="宋体"/>
                <w:sz w:val="18"/>
                <w:szCs w:val="18"/>
              </w:rPr>
            </w:pPr>
            <w:r>
              <w:rPr>
                <w:rFonts w:hint="eastAsia" w:ascii="宋体" w:hAnsi="宋体" w:eastAsia="宋体" w:cs="宋体"/>
                <w:sz w:val="18"/>
                <w:szCs w:val="18"/>
              </w:rPr>
              <w:t>=1651人</w:t>
            </w:r>
          </w:p>
        </w:tc>
        <w:tc>
          <w:tcPr>
            <w:tcW w:w="1842" w:type="dxa"/>
            <w:tcBorders>
              <w:top w:val="nil"/>
              <w:left w:val="nil"/>
              <w:bottom w:val="single" w:color="auto" w:sz="4" w:space="0"/>
              <w:right w:val="single" w:color="auto" w:sz="4" w:space="0"/>
            </w:tcBorders>
            <w:noWrap/>
            <w:vAlign w:val="center"/>
          </w:tcPr>
          <w:p w14:paraId="58BAD0D4">
            <w:pPr>
              <w:rPr>
                <w:rFonts w:hint="eastAsia" w:ascii="宋体" w:hAnsi="宋体" w:eastAsia="宋体" w:cs="宋体"/>
                <w:sz w:val="18"/>
                <w:szCs w:val="18"/>
              </w:rPr>
            </w:pPr>
            <w:r>
              <w:rPr>
                <w:rFonts w:hint="eastAsia" w:ascii="宋体" w:hAnsi="宋体" w:eastAsia="宋体" w:cs="宋体"/>
                <w:sz w:val="18"/>
                <w:szCs w:val="18"/>
              </w:rPr>
              <w:t>学生年报</w:t>
            </w:r>
          </w:p>
        </w:tc>
        <w:tc>
          <w:tcPr>
            <w:tcW w:w="993" w:type="dxa"/>
            <w:tcBorders>
              <w:top w:val="nil"/>
              <w:left w:val="nil"/>
              <w:bottom w:val="single" w:color="auto" w:sz="4" w:space="0"/>
              <w:right w:val="single" w:color="auto" w:sz="4" w:space="0"/>
            </w:tcBorders>
            <w:noWrap/>
            <w:vAlign w:val="center"/>
          </w:tcPr>
          <w:p w14:paraId="11EA3F44">
            <w:pPr>
              <w:jc w:val="center"/>
              <w:rPr>
                <w:rFonts w:hint="eastAsia" w:ascii="宋体" w:hAnsi="宋体" w:eastAsia="宋体" w:cs="宋体"/>
                <w:sz w:val="18"/>
                <w:szCs w:val="18"/>
              </w:rPr>
            </w:pPr>
            <w:r>
              <w:rPr>
                <w:rFonts w:hint="eastAsia" w:ascii="宋体" w:hAnsi="宋体" w:eastAsia="宋体" w:cs="宋体"/>
                <w:sz w:val="18"/>
                <w:szCs w:val="18"/>
              </w:rPr>
              <w:t>23</w:t>
            </w:r>
          </w:p>
        </w:tc>
        <w:tc>
          <w:tcPr>
            <w:tcW w:w="992" w:type="dxa"/>
            <w:tcBorders>
              <w:top w:val="nil"/>
              <w:left w:val="nil"/>
              <w:bottom w:val="single" w:color="auto" w:sz="4" w:space="0"/>
              <w:right w:val="single" w:color="auto" w:sz="4" w:space="0"/>
            </w:tcBorders>
            <w:noWrap/>
            <w:vAlign w:val="center"/>
          </w:tcPr>
          <w:p w14:paraId="6289DCE8">
            <w:pPr>
              <w:jc w:val="center"/>
              <w:rPr>
                <w:rFonts w:hint="eastAsia" w:ascii="宋体" w:hAnsi="宋体" w:eastAsia="宋体" w:cs="宋体"/>
                <w:sz w:val="18"/>
                <w:szCs w:val="18"/>
              </w:rPr>
            </w:pPr>
            <w:r>
              <w:rPr>
                <w:rFonts w:hint="eastAsia" w:ascii="宋体" w:hAnsi="宋体" w:eastAsia="宋体" w:cs="宋体"/>
                <w:sz w:val="18"/>
                <w:szCs w:val="18"/>
              </w:rPr>
              <w:t>=1764人</w:t>
            </w:r>
          </w:p>
        </w:tc>
        <w:tc>
          <w:tcPr>
            <w:tcW w:w="720" w:type="dxa"/>
            <w:tcBorders>
              <w:top w:val="nil"/>
              <w:left w:val="nil"/>
              <w:bottom w:val="single" w:color="auto" w:sz="4" w:space="0"/>
              <w:right w:val="single" w:color="auto" w:sz="4" w:space="0"/>
            </w:tcBorders>
            <w:noWrap/>
            <w:vAlign w:val="center"/>
          </w:tcPr>
          <w:p w14:paraId="5DEC9BE0">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5924DA48">
            <w:pPr>
              <w:jc w:val="center"/>
              <w:rPr>
                <w:rFonts w:hint="eastAsia" w:ascii="宋体" w:hAnsi="宋体" w:eastAsia="宋体" w:cs="宋体"/>
                <w:sz w:val="18"/>
                <w:szCs w:val="18"/>
              </w:rPr>
            </w:pPr>
          </w:p>
        </w:tc>
      </w:tr>
      <w:tr w14:paraId="0F023BE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0E7664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84AED8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D87686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完成学年内新入学学生数量</w:t>
            </w:r>
          </w:p>
        </w:tc>
        <w:tc>
          <w:tcPr>
            <w:tcW w:w="1276" w:type="dxa"/>
            <w:tcBorders>
              <w:top w:val="nil"/>
              <w:left w:val="nil"/>
              <w:bottom w:val="single" w:color="auto" w:sz="4" w:space="0"/>
              <w:right w:val="single" w:color="auto" w:sz="4" w:space="0"/>
            </w:tcBorders>
            <w:noWrap/>
            <w:vAlign w:val="center"/>
          </w:tcPr>
          <w:p w14:paraId="5EBD03C5">
            <w:pPr>
              <w:jc w:val="center"/>
              <w:rPr>
                <w:rFonts w:hint="eastAsia" w:ascii="宋体" w:hAnsi="宋体" w:eastAsia="宋体" w:cs="宋体"/>
                <w:sz w:val="18"/>
                <w:szCs w:val="18"/>
              </w:rPr>
            </w:pPr>
            <w:r>
              <w:rPr>
                <w:rFonts w:hint="eastAsia" w:ascii="宋体" w:hAnsi="宋体" w:eastAsia="宋体" w:cs="宋体"/>
                <w:sz w:val="18"/>
                <w:szCs w:val="18"/>
              </w:rPr>
              <w:t>=345人</w:t>
            </w:r>
          </w:p>
        </w:tc>
        <w:tc>
          <w:tcPr>
            <w:tcW w:w="1842" w:type="dxa"/>
            <w:tcBorders>
              <w:top w:val="nil"/>
              <w:left w:val="nil"/>
              <w:bottom w:val="single" w:color="auto" w:sz="4" w:space="0"/>
              <w:right w:val="single" w:color="auto" w:sz="4" w:space="0"/>
            </w:tcBorders>
            <w:noWrap/>
            <w:vAlign w:val="center"/>
          </w:tcPr>
          <w:p w14:paraId="144679EE">
            <w:pPr>
              <w:rPr>
                <w:rFonts w:hint="eastAsia" w:ascii="宋体" w:hAnsi="宋体" w:eastAsia="宋体" w:cs="宋体"/>
                <w:sz w:val="18"/>
                <w:szCs w:val="18"/>
              </w:rPr>
            </w:pPr>
            <w:r>
              <w:rPr>
                <w:rFonts w:hint="eastAsia" w:ascii="宋体" w:hAnsi="宋体" w:eastAsia="宋体" w:cs="宋体"/>
                <w:sz w:val="18"/>
                <w:szCs w:val="18"/>
              </w:rPr>
              <w:t>学生年报</w:t>
            </w:r>
          </w:p>
        </w:tc>
        <w:tc>
          <w:tcPr>
            <w:tcW w:w="993" w:type="dxa"/>
            <w:tcBorders>
              <w:top w:val="nil"/>
              <w:left w:val="nil"/>
              <w:bottom w:val="single" w:color="auto" w:sz="4" w:space="0"/>
              <w:right w:val="single" w:color="auto" w:sz="4" w:space="0"/>
            </w:tcBorders>
            <w:noWrap/>
            <w:vAlign w:val="center"/>
          </w:tcPr>
          <w:p w14:paraId="6EC05F5F">
            <w:pPr>
              <w:jc w:val="center"/>
              <w:rPr>
                <w:rFonts w:hint="eastAsia" w:ascii="宋体" w:hAnsi="宋体" w:eastAsia="宋体" w:cs="宋体"/>
                <w:sz w:val="18"/>
                <w:szCs w:val="18"/>
              </w:rPr>
            </w:pPr>
            <w:r>
              <w:rPr>
                <w:rFonts w:hint="eastAsia" w:ascii="宋体" w:hAnsi="宋体" w:eastAsia="宋体" w:cs="宋体"/>
                <w:sz w:val="18"/>
                <w:szCs w:val="18"/>
              </w:rPr>
              <w:t>23</w:t>
            </w:r>
          </w:p>
        </w:tc>
        <w:tc>
          <w:tcPr>
            <w:tcW w:w="992" w:type="dxa"/>
            <w:tcBorders>
              <w:top w:val="nil"/>
              <w:left w:val="nil"/>
              <w:bottom w:val="single" w:color="auto" w:sz="4" w:space="0"/>
              <w:right w:val="single" w:color="auto" w:sz="4" w:space="0"/>
            </w:tcBorders>
            <w:noWrap/>
            <w:vAlign w:val="center"/>
          </w:tcPr>
          <w:p w14:paraId="6517BD64">
            <w:pPr>
              <w:jc w:val="center"/>
              <w:rPr>
                <w:rFonts w:hint="eastAsia" w:ascii="宋体" w:hAnsi="宋体" w:eastAsia="宋体" w:cs="宋体"/>
                <w:sz w:val="18"/>
                <w:szCs w:val="18"/>
              </w:rPr>
            </w:pPr>
            <w:r>
              <w:rPr>
                <w:rFonts w:hint="eastAsia" w:ascii="宋体" w:hAnsi="宋体" w:eastAsia="宋体" w:cs="宋体"/>
                <w:sz w:val="18"/>
                <w:szCs w:val="18"/>
              </w:rPr>
              <w:t>=304人</w:t>
            </w:r>
          </w:p>
        </w:tc>
        <w:tc>
          <w:tcPr>
            <w:tcW w:w="720" w:type="dxa"/>
            <w:tcBorders>
              <w:top w:val="nil"/>
              <w:left w:val="nil"/>
              <w:bottom w:val="single" w:color="auto" w:sz="4" w:space="0"/>
              <w:right w:val="single" w:color="auto" w:sz="4" w:space="0"/>
            </w:tcBorders>
            <w:noWrap/>
            <w:vAlign w:val="center"/>
          </w:tcPr>
          <w:p w14:paraId="5AC98529">
            <w:pPr>
              <w:jc w:val="center"/>
              <w:rPr>
                <w:rFonts w:hint="eastAsia" w:ascii="宋体" w:hAnsi="宋体" w:eastAsia="宋体" w:cs="宋体"/>
                <w:sz w:val="18"/>
                <w:szCs w:val="18"/>
              </w:rPr>
            </w:pPr>
            <w:r>
              <w:rPr>
                <w:rFonts w:hint="eastAsia" w:ascii="宋体" w:hAnsi="宋体" w:eastAsia="宋体" w:cs="宋体"/>
                <w:sz w:val="18"/>
                <w:szCs w:val="18"/>
              </w:rPr>
              <w:t>20.27</w:t>
            </w:r>
          </w:p>
        </w:tc>
        <w:tc>
          <w:tcPr>
            <w:tcW w:w="284" w:type="dxa"/>
            <w:tcBorders>
              <w:top w:val="nil"/>
              <w:left w:val="nil"/>
              <w:bottom w:val="nil"/>
              <w:right w:val="nil"/>
            </w:tcBorders>
            <w:noWrap/>
            <w:vAlign w:val="center"/>
          </w:tcPr>
          <w:p w14:paraId="00065BF3">
            <w:pPr>
              <w:jc w:val="center"/>
              <w:rPr>
                <w:rFonts w:hint="eastAsia" w:ascii="宋体" w:hAnsi="宋体" w:eastAsia="宋体" w:cs="宋体"/>
                <w:sz w:val="18"/>
                <w:szCs w:val="18"/>
              </w:rPr>
            </w:pPr>
          </w:p>
        </w:tc>
      </w:tr>
      <w:tr w14:paraId="327DC1A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3C05FA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622C8F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F850CB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完成学年内结业学生数量</w:t>
            </w:r>
          </w:p>
        </w:tc>
        <w:tc>
          <w:tcPr>
            <w:tcW w:w="1276" w:type="dxa"/>
            <w:tcBorders>
              <w:top w:val="nil"/>
              <w:left w:val="nil"/>
              <w:bottom w:val="single" w:color="auto" w:sz="4" w:space="0"/>
              <w:right w:val="single" w:color="auto" w:sz="4" w:space="0"/>
            </w:tcBorders>
            <w:noWrap/>
            <w:vAlign w:val="center"/>
          </w:tcPr>
          <w:p w14:paraId="0E469A69">
            <w:pPr>
              <w:jc w:val="center"/>
              <w:rPr>
                <w:rFonts w:hint="eastAsia" w:ascii="宋体" w:hAnsi="宋体" w:eastAsia="宋体" w:cs="宋体"/>
                <w:sz w:val="18"/>
                <w:szCs w:val="18"/>
              </w:rPr>
            </w:pPr>
            <w:r>
              <w:rPr>
                <w:rFonts w:hint="eastAsia" w:ascii="宋体" w:hAnsi="宋体" w:eastAsia="宋体" w:cs="宋体"/>
                <w:sz w:val="18"/>
                <w:szCs w:val="18"/>
              </w:rPr>
              <w:t>=199人</w:t>
            </w:r>
          </w:p>
        </w:tc>
        <w:tc>
          <w:tcPr>
            <w:tcW w:w="1842" w:type="dxa"/>
            <w:tcBorders>
              <w:top w:val="nil"/>
              <w:left w:val="nil"/>
              <w:bottom w:val="single" w:color="auto" w:sz="4" w:space="0"/>
              <w:right w:val="single" w:color="auto" w:sz="4" w:space="0"/>
            </w:tcBorders>
            <w:noWrap/>
            <w:vAlign w:val="center"/>
          </w:tcPr>
          <w:p w14:paraId="459E6943">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6939153D">
            <w:pPr>
              <w:jc w:val="center"/>
              <w:rPr>
                <w:rFonts w:hint="eastAsia" w:ascii="宋体" w:hAnsi="宋体" w:eastAsia="宋体" w:cs="宋体"/>
                <w:sz w:val="18"/>
                <w:szCs w:val="18"/>
              </w:rPr>
            </w:pPr>
            <w:r>
              <w:rPr>
                <w:rFonts w:hint="eastAsia" w:ascii="宋体" w:hAnsi="宋体" w:eastAsia="宋体" w:cs="宋体"/>
                <w:sz w:val="18"/>
                <w:szCs w:val="18"/>
              </w:rPr>
              <w:t>22</w:t>
            </w:r>
          </w:p>
        </w:tc>
        <w:tc>
          <w:tcPr>
            <w:tcW w:w="992" w:type="dxa"/>
            <w:tcBorders>
              <w:top w:val="nil"/>
              <w:left w:val="nil"/>
              <w:bottom w:val="single" w:color="auto" w:sz="4" w:space="0"/>
              <w:right w:val="single" w:color="auto" w:sz="4" w:space="0"/>
            </w:tcBorders>
            <w:noWrap/>
            <w:vAlign w:val="center"/>
          </w:tcPr>
          <w:p w14:paraId="4DF0C690">
            <w:pPr>
              <w:jc w:val="center"/>
              <w:rPr>
                <w:rFonts w:hint="eastAsia" w:ascii="宋体" w:hAnsi="宋体" w:eastAsia="宋体" w:cs="宋体"/>
                <w:sz w:val="18"/>
                <w:szCs w:val="18"/>
              </w:rPr>
            </w:pPr>
            <w:r>
              <w:rPr>
                <w:rFonts w:hint="eastAsia" w:ascii="宋体" w:hAnsi="宋体" w:eastAsia="宋体" w:cs="宋体"/>
                <w:sz w:val="18"/>
                <w:szCs w:val="18"/>
              </w:rPr>
              <w:t>=212人</w:t>
            </w:r>
          </w:p>
        </w:tc>
        <w:tc>
          <w:tcPr>
            <w:tcW w:w="720" w:type="dxa"/>
            <w:tcBorders>
              <w:top w:val="nil"/>
              <w:left w:val="nil"/>
              <w:bottom w:val="single" w:color="auto" w:sz="4" w:space="0"/>
              <w:right w:val="single" w:color="auto" w:sz="4" w:space="0"/>
            </w:tcBorders>
            <w:noWrap/>
            <w:vAlign w:val="center"/>
          </w:tcPr>
          <w:p w14:paraId="28FE5064">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3F5ECA25">
            <w:pPr>
              <w:jc w:val="center"/>
              <w:rPr>
                <w:rFonts w:hint="eastAsia" w:ascii="宋体" w:hAnsi="宋体" w:eastAsia="宋体" w:cs="宋体"/>
                <w:sz w:val="18"/>
                <w:szCs w:val="18"/>
              </w:rPr>
            </w:pPr>
          </w:p>
        </w:tc>
      </w:tr>
      <w:tr w14:paraId="4BB6AC0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D7B5088">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1ECD269C">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F4EE0CD">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76" w:type="dxa"/>
            <w:tcBorders>
              <w:top w:val="nil"/>
              <w:left w:val="nil"/>
              <w:bottom w:val="single" w:color="auto" w:sz="4" w:space="0"/>
              <w:right w:val="single" w:color="auto" w:sz="4" w:space="0"/>
            </w:tcBorders>
            <w:noWrap/>
            <w:vAlign w:val="center"/>
          </w:tcPr>
          <w:p w14:paraId="5012DFC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7F20B8AD">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2559B2B2">
            <w:pPr>
              <w:jc w:val="center"/>
              <w:rPr>
                <w:rFonts w:hint="eastAsia" w:ascii="宋体" w:hAnsi="宋体" w:eastAsia="宋体" w:cs="宋体"/>
                <w:sz w:val="18"/>
                <w:szCs w:val="18"/>
              </w:rPr>
            </w:pPr>
            <w:r>
              <w:rPr>
                <w:rFonts w:hint="eastAsia" w:ascii="宋体" w:hAnsi="宋体" w:eastAsia="宋体" w:cs="宋体"/>
                <w:sz w:val="18"/>
                <w:szCs w:val="18"/>
              </w:rPr>
              <w:t>22</w:t>
            </w:r>
          </w:p>
        </w:tc>
        <w:tc>
          <w:tcPr>
            <w:tcW w:w="992" w:type="dxa"/>
            <w:tcBorders>
              <w:top w:val="nil"/>
              <w:left w:val="nil"/>
              <w:bottom w:val="single" w:color="auto" w:sz="4" w:space="0"/>
              <w:right w:val="single" w:color="auto" w:sz="4" w:space="0"/>
            </w:tcBorders>
            <w:noWrap/>
            <w:vAlign w:val="center"/>
          </w:tcPr>
          <w:p w14:paraId="7D29153A">
            <w:pPr>
              <w:jc w:val="center"/>
              <w:rPr>
                <w:rFonts w:hint="eastAsia" w:ascii="宋体" w:hAnsi="宋体" w:eastAsia="宋体" w:cs="宋体"/>
                <w:sz w:val="18"/>
                <w:szCs w:val="18"/>
              </w:rPr>
            </w:pPr>
            <w:r>
              <w:rPr>
                <w:rFonts w:hint="eastAsia" w:ascii="宋体" w:hAnsi="宋体" w:eastAsia="宋体" w:cs="宋体"/>
                <w:sz w:val="18"/>
                <w:szCs w:val="18"/>
              </w:rPr>
              <w:t>=106.53%</w:t>
            </w:r>
          </w:p>
        </w:tc>
        <w:tc>
          <w:tcPr>
            <w:tcW w:w="720" w:type="dxa"/>
            <w:tcBorders>
              <w:top w:val="nil"/>
              <w:left w:val="nil"/>
              <w:bottom w:val="single" w:color="auto" w:sz="4" w:space="0"/>
              <w:right w:val="single" w:color="auto" w:sz="4" w:space="0"/>
            </w:tcBorders>
            <w:noWrap/>
            <w:vAlign w:val="center"/>
          </w:tcPr>
          <w:p w14:paraId="2C20459C">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6D1B4F1B">
            <w:pPr>
              <w:jc w:val="center"/>
              <w:rPr>
                <w:rFonts w:hint="eastAsia" w:ascii="宋体" w:hAnsi="宋体" w:eastAsia="宋体" w:cs="宋体"/>
                <w:sz w:val="18"/>
                <w:szCs w:val="18"/>
              </w:rPr>
            </w:pPr>
          </w:p>
        </w:tc>
      </w:tr>
    </w:tbl>
    <w:p w14:paraId="39F368A2">
      <w:pPr>
        <w:jc w:val="center"/>
        <w:rPr>
          <w:rFonts w:hint="eastAsia" w:ascii="宋体" w:hAnsi="宋体" w:eastAsia="宋体" w:cs="宋体"/>
          <w:b/>
          <w:bCs/>
          <w:sz w:val="18"/>
          <w:szCs w:val="18"/>
        </w:rPr>
      </w:pPr>
      <w:r>
        <w:rPr>
          <w:rFonts w:hint="eastAsia" w:ascii="宋体" w:hAnsi="宋体" w:eastAsia="宋体" w:cs="宋体"/>
          <w:b/>
          <w:bCs/>
          <w:sz w:val="18"/>
          <w:szCs w:val="18"/>
        </w:rPr>
        <w:br w:type="page"/>
      </w:r>
      <w:bookmarkEnd w:id="0"/>
    </w:p>
    <w:p w14:paraId="007A2013">
      <w:pPr>
        <w:spacing w:after="0" w:line="240" w:lineRule="auto"/>
        <w:ind w:firstLine="640" w:firstLineChars="200"/>
        <w:outlineLvl w:val="1"/>
        <w:rPr>
          <w:rFonts w:hint="eastAsia" w:ascii="黑体" w:eastAsia="黑体"/>
          <w:sz w:val="32"/>
          <w:szCs w:val="32"/>
          <w:lang w:eastAsia="zh-CN"/>
        </w:rPr>
      </w:pPr>
      <w:bookmarkStart w:id="1" w:name="_GoBack"/>
      <w:bookmarkEnd w:id="1"/>
      <w:r>
        <w:rPr>
          <w:rFonts w:ascii="黑体" w:eastAsia="黑体"/>
          <w:sz w:val="32"/>
          <w:szCs w:val="32"/>
          <w:lang w:eastAsia="zh-CN"/>
        </w:rPr>
        <w:t>十二、其他需说明的事项</w:t>
      </w:r>
    </w:p>
    <w:p w14:paraId="682D20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26320C41">
      <w:pPr>
        <w:spacing w:after="0" w:line="240" w:lineRule="auto"/>
        <w:ind w:firstLine="640" w:firstLineChars="200"/>
        <w:rPr>
          <w:rFonts w:hint="eastAsia" w:ascii="仿宋_GB2312" w:eastAsia="仿宋_GB2312"/>
          <w:sz w:val="32"/>
          <w:szCs w:val="32"/>
          <w:lang w:eastAsia="zh-CN"/>
        </w:rPr>
      </w:pPr>
    </w:p>
    <w:p w14:paraId="690CCD89">
      <w:pPr>
        <w:rPr>
          <w:rFonts w:hint="eastAsia"/>
          <w:lang w:eastAsia="zh-CN"/>
        </w:rPr>
      </w:pPr>
      <w:r>
        <w:rPr>
          <w:sz w:val="0"/>
          <w:szCs w:val="0"/>
          <w:lang w:eastAsia="zh-CN"/>
        </w:rPr>
        <w:br w:type="page"/>
      </w:r>
    </w:p>
    <w:p w14:paraId="2B35FC4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11B0A4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566164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8710BB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3DA48B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825406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82526E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4526A8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8CE55A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B8A49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C8EDBD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F93CC2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40BA4E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DC0DB6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ADB07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457D251">
      <w:pPr>
        <w:rPr>
          <w:rFonts w:hint="eastAsia"/>
          <w:lang w:eastAsia="zh-CN"/>
        </w:rPr>
      </w:pPr>
      <w:r>
        <w:rPr>
          <w:sz w:val="0"/>
          <w:szCs w:val="0"/>
          <w:lang w:eastAsia="zh-CN"/>
        </w:rPr>
        <w:br w:type="page"/>
      </w:r>
    </w:p>
    <w:p w14:paraId="682C6ED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BA4892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22EFB6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F6F94E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16AF5C4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072B4E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B93D25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0F9698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B52985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AAC21B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D42EF1"/>
    <w:rsid w:val="007F5A80"/>
    <w:rsid w:val="008003D1"/>
    <w:rsid w:val="00AA7CA6"/>
    <w:rsid w:val="00BE616D"/>
    <w:rsid w:val="00D42EF1"/>
    <w:rsid w:val="00D93B42"/>
    <w:rsid w:val="00DB456B"/>
    <w:rsid w:val="00E53792"/>
    <w:rsid w:val="00E73C04"/>
    <w:rsid w:val="00F41C7A"/>
    <w:rsid w:val="79086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5496</Words>
  <Characters>6186</Characters>
  <Lines>212</Lines>
  <Paragraphs>201</Paragraphs>
  <TotalTime>15</TotalTime>
  <ScaleCrop>false</ScaleCrop>
  <LinksUpToDate>false</LinksUpToDate>
  <CharactersWithSpaces>6196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2025-09-01T08:23:00Z</dcterms:created>
  <dc:creator>ldan</dc:creator>
  <cp:lastModifiedBy>W.w</cp:lastModifiedBy>
  <dcterms:modified xsi:type="dcterms:W3CDTF">2025-09-05T04:18:37Z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B94AFC31BE5E46979FEF668AE19DF499_12</vt:lpwstr>
  </property>
</Properties>
</file>