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1D4" w:rsidRDefault="009C5AA6">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rsidR="00CE01D4" w:rsidRDefault="00CE01D4">
      <w:pPr>
        <w:spacing w:line="540" w:lineRule="exact"/>
        <w:jc w:val="center"/>
        <w:rPr>
          <w:rFonts w:ascii="华文中宋" w:eastAsia="华文中宋" w:hAnsi="华文中宋" w:cs="宋体"/>
          <w:b/>
          <w:kern w:val="0"/>
          <w:sz w:val="52"/>
          <w:szCs w:val="52"/>
        </w:rPr>
      </w:pPr>
    </w:p>
    <w:p w:rsidR="00CE01D4" w:rsidRDefault="00CE01D4">
      <w:pPr>
        <w:spacing w:line="540" w:lineRule="exact"/>
        <w:jc w:val="center"/>
        <w:rPr>
          <w:rFonts w:ascii="华文中宋" w:eastAsia="华文中宋" w:hAnsi="华文中宋" w:cs="宋体"/>
          <w:b/>
          <w:kern w:val="0"/>
          <w:sz w:val="52"/>
          <w:szCs w:val="52"/>
        </w:rPr>
      </w:pPr>
    </w:p>
    <w:p w:rsidR="00CE01D4" w:rsidRDefault="00CE01D4">
      <w:pPr>
        <w:spacing w:line="540" w:lineRule="exact"/>
        <w:jc w:val="center"/>
        <w:rPr>
          <w:rFonts w:ascii="华文中宋" w:eastAsia="华文中宋" w:hAnsi="华文中宋" w:cs="宋体"/>
          <w:b/>
          <w:kern w:val="0"/>
          <w:sz w:val="52"/>
          <w:szCs w:val="52"/>
        </w:rPr>
      </w:pPr>
    </w:p>
    <w:p w:rsidR="00CE01D4" w:rsidRDefault="00CE01D4">
      <w:pPr>
        <w:spacing w:line="540" w:lineRule="exact"/>
        <w:jc w:val="center"/>
        <w:rPr>
          <w:rFonts w:ascii="华文中宋" w:eastAsia="华文中宋" w:hAnsi="华文中宋" w:cs="宋体"/>
          <w:b/>
          <w:kern w:val="0"/>
          <w:sz w:val="52"/>
          <w:szCs w:val="52"/>
        </w:rPr>
      </w:pPr>
    </w:p>
    <w:p w:rsidR="00CE01D4" w:rsidRDefault="00CE01D4">
      <w:pPr>
        <w:spacing w:line="540" w:lineRule="exact"/>
        <w:jc w:val="center"/>
        <w:rPr>
          <w:rFonts w:ascii="华文中宋" w:eastAsia="华文中宋" w:hAnsi="华文中宋" w:cs="宋体"/>
          <w:b/>
          <w:kern w:val="0"/>
          <w:sz w:val="52"/>
          <w:szCs w:val="52"/>
        </w:rPr>
      </w:pPr>
    </w:p>
    <w:p w:rsidR="00CE01D4" w:rsidRDefault="00CE01D4">
      <w:pPr>
        <w:spacing w:line="540" w:lineRule="exact"/>
        <w:jc w:val="center"/>
        <w:rPr>
          <w:rFonts w:ascii="华文中宋" w:eastAsia="华文中宋" w:hAnsi="华文中宋" w:cs="宋体"/>
          <w:b/>
          <w:kern w:val="0"/>
          <w:sz w:val="52"/>
          <w:szCs w:val="52"/>
        </w:rPr>
      </w:pPr>
    </w:p>
    <w:p w:rsidR="00CE01D4" w:rsidRDefault="009C5AA6">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CE01D4" w:rsidRDefault="00CE01D4">
      <w:pPr>
        <w:spacing w:line="540" w:lineRule="exact"/>
        <w:jc w:val="center"/>
        <w:rPr>
          <w:rFonts w:ascii="华文中宋" w:eastAsia="华文中宋" w:hAnsi="华文中宋" w:cs="宋体"/>
          <w:b/>
          <w:kern w:val="0"/>
          <w:sz w:val="52"/>
          <w:szCs w:val="52"/>
        </w:rPr>
      </w:pPr>
    </w:p>
    <w:p w:rsidR="00CE01D4" w:rsidRDefault="009C5AA6">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Style w:val="a8"/>
          <w:rFonts w:ascii="楷体" w:eastAsia="楷体" w:hAnsi="楷体" w:hint="eastAsia"/>
          <w:spacing w:val="-4"/>
          <w:sz w:val="32"/>
          <w:szCs w:val="32"/>
        </w:rPr>
        <w:t>2024</w:t>
      </w:r>
      <w:r>
        <w:rPr>
          <w:rFonts w:eastAsia="仿宋_GB2312" w:hAnsi="宋体" w:cs="宋体" w:hint="eastAsia"/>
          <w:kern w:val="0"/>
          <w:sz w:val="36"/>
          <w:szCs w:val="36"/>
        </w:rPr>
        <w:t>年度）</w:t>
      </w:r>
    </w:p>
    <w:p w:rsidR="00CE01D4" w:rsidRDefault="00CE01D4">
      <w:pPr>
        <w:spacing w:line="540" w:lineRule="exact"/>
        <w:jc w:val="center"/>
        <w:rPr>
          <w:rFonts w:eastAsia="仿宋_GB2312" w:hAnsi="宋体" w:cs="宋体"/>
          <w:kern w:val="0"/>
          <w:sz w:val="30"/>
          <w:szCs w:val="30"/>
        </w:rPr>
      </w:pPr>
    </w:p>
    <w:p w:rsidR="00CE01D4" w:rsidRDefault="00CE01D4">
      <w:pPr>
        <w:spacing w:line="540" w:lineRule="exact"/>
        <w:jc w:val="center"/>
        <w:rPr>
          <w:rFonts w:eastAsia="仿宋_GB2312" w:hAnsi="宋体" w:cs="宋体"/>
          <w:kern w:val="0"/>
          <w:sz w:val="30"/>
          <w:szCs w:val="30"/>
        </w:rPr>
      </w:pPr>
    </w:p>
    <w:p w:rsidR="00CE01D4" w:rsidRDefault="00CE01D4">
      <w:pPr>
        <w:spacing w:line="540" w:lineRule="exact"/>
        <w:jc w:val="center"/>
        <w:rPr>
          <w:rFonts w:eastAsia="仿宋_GB2312" w:hAnsi="宋体" w:cs="宋体"/>
          <w:kern w:val="0"/>
          <w:sz w:val="30"/>
          <w:szCs w:val="30"/>
        </w:rPr>
      </w:pPr>
    </w:p>
    <w:p w:rsidR="00CE01D4" w:rsidRDefault="00CE01D4">
      <w:pPr>
        <w:spacing w:line="540" w:lineRule="exact"/>
        <w:jc w:val="center"/>
        <w:rPr>
          <w:rFonts w:eastAsia="仿宋_GB2312" w:hAnsi="宋体" w:cs="宋体"/>
          <w:kern w:val="0"/>
          <w:sz w:val="30"/>
          <w:szCs w:val="30"/>
        </w:rPr>
      </w:pPr>
    </w:p>
    <w:p w:rsidR="00CE01D4" w:rsidRDefault="00CE01D4">
      <w:pPr>
        <w:spacing w:line="540" w:lineRule="exact"/>
        <w:jc w:val="center"/>
        <w:rPr>
          <w:rFonts w:eastAsia="仿宋_GB2312" w:hAnsi="宋体" w:cs="宋体"/>
          <w:kern w:val="0"/>
          <w:sz w:val="30"/>
          <w:szCs w:val="30"/>
        </w:rPr>
      </w:pPr>
    </w:p>
    <w:p w:rsidR="00CE01D4" w:rsidRDefault="00CE01D4">
      <w:pPr>
        <w:spacing w:line="540" w:lineRule="exact"/>
        <w:jc w:val="center"/>
        <w:rPr>
          <w:rFonts w:eastAsia="仿宋_GB2312" w:hAnsi="宋体" w:cs="宋体"/>
          <w:kern w:val="0"/>
          <w:sz w:val="30"/>
          <w:szCs w:val="30"/>
        </w:rPr>
      </w:pPr>
    </w:p>
    <w:p w:rsidR="00CE01D4" w:rsidRDefault="00CE01D4">
      <w:pPr>
        <w:spacing w:line="540" w:lineRule="exact"/>
        <w:rPr>
          <w:rFonts w:eastAsia="仿宋_GB2312" w:hAnsi="宋体" w:cs="宋体"/>
          <w:kern w:val="0"/>
          <w:sz w:val="30"/>
          <w:szCs w:val="30"/>
        </w:rPr>
      </w:pPr>
    </w:p>
    <w:p w:rsidR="00CE01D4" w:rsidRDefault="00CE01D4">
      <w:pPr>
        <w:spacing w:line="700" w:lineRule="exact"/>
        <w:jc w:val="left"/>
        <w:rPr>
          <w:rFonts w:eastAsia="仿宋_GB2312" w:hAnsi="宋体" w:cs="宋体"/>
          <w:kern w:val="0"/>
          <w:sz w:val="36"/>
          <w:szCs w:val="36"/>
        </w:rPr>
      </w:pPr>
    </w:p>
    <w:p w:rsidR="00CE01D4" w:rsidRDefault="009C5AA6">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提前下达2024年中央财政基本公共卫生服务补助资金预算</w:t>
      </w:r>
    </w:p>
    <w:p w:rsidR="00CE01D4" w:rsidRDefault="009C5AA6">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昌吉市六工镇卫生院</w:t>
      </w:r>
    </w:p>
    <w:p w:rsidR="00CE01D4" w:rsidRDefault="009C5AA6">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昌吉市六工镇卫生院</w:t>
      </w:r>
    </w:p>
    <w:p w:rsidR="00CE01D4" w:rsidRDefault="009C5AA6">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努尔古丽</w:t>
      </w:r>
    </w:p>
    <w:p w:rsidR="00CE01D4" w:rsidRDefault="009C5AA6">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2025年05月22日</w:t>
      </w:r>
    </w:p>
    <w:p w:rsidR="00CE01D4" w:rsidRDefault="00CE01D4">
      <w:pPr>
        <w:spacing w:line="700" w:lineRule="exact"/>
        <w:ind w:firstLineChars="236" w:firstLine="708"/>
        <w:jc w:val="left"/>
        <w:rPr>
          <w:rFonts w:eastAsia="仿宋_GB2312" w:hAnsi="宋体" w:cs="宋体"/>
          <w:kern w:val="0"/>
          <w:sz w:val="30"/>
          <w:szCs w:val="30"/>
        </w:rPr>
      </w:pPr>
    </w:p>
    <w:p w:rsidR="00CE01D4" w:rsidRDefault="00CE01D4">
      <w:pPr>
        <w:spacing w:line="540" w:lineRule="exact"/>
        <w:rPr>
          <w:rStyle w:val="a8"/>
          <w:rFonts w:ascii="黑体" w:eastAsia="黑体" w:hAnsi="黑体"/>
          <w:b w:val="0"/>
          <w:spacing w:val="-4"/>
          <w:sz w:val="32"/>
          <w:szCs w:val="32"/>
        </w:rPr>
      </w:pPr>
    </w:p>
    <w:p w:rsidR="00CE01D4" w:rsidRDefault="009C5AA6">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CE01D4" w:rsidRDefault="009C5AA6">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CE01D4" w:rsidRDefault="009C5AA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（一）项目概况</w:t>
      </w:r>
      <w:r>
        <w:rPr>
          <w:rStyle w:val="a8"/>
          <w:rFonts w:ascii="楷体" w:eastAsia="楷体" w:hAnsi="楷体" w:hint="eastAsia"/>
          <w:b w:val="0"/>
          <w:bCs w:val="0"/>
          <w:spacing w:val="-4"/>
          <w:sz w:val="32"/>
          <w:szCs w:val="32"/>
        </w:rPr>
        <w:br/>
        <w:t>1.项目背景</w:t>
      </w:r>
      <w:r>
        <w:rPr>
          <w:rStyle w:val="a8"/>
          <w:rFonts w:ascii="楷体" w:eastAsia="楷体" w:hAnsi="楷体" w:hint="eastAsia"/>
          <w:b w:val="0"/>
          <w:bCs w:val="0"/>
          <w:spacing w:val="-4"/>
          <w:sz w:val="32"/>
          <w:szCs w:val="32"/>
        </w:rPr>
        <w:br/>
        <w:t>2024年六工镇卫生院辖区摸底人数为12180人。为了深入以深化医改为主线，以提高人民健康水平为目标，突出抓好基本公共卫生和全民体检服务工作，努力完成上级交给的工作任务，使各项工作再上一个新的台阶，落实好党的民生工程，2024年经调研后开展此项目，为居民提供免费健康体检服务。根据昌州财社（2022）51号文件要求，为了解决看病难看病贵解决基本民生问题化解社会矛盾问题，达到减少健康危险因素预防控制传染病效果，我单位申报实施了提前下达2024年中央财政基本公共卫生服务补助资金预算项目。</w:t>
      </w:r>
      <w:r>
        <w:rPr>
          <w:rStyle w:val="a8"/>
          <w:rFonts w:ascii="楷体" w:eastAsia="楷体" w:hAnsi="楷体" w:hint="eastAsia"/>
          <w:b w:val="0"/>
          <w:bCs w:val="0"/>
          <w:spacing w:val="-4"/>
          <w:sz w:val="32"/>
          <w:szCs w:val="32"/>
        </w:rPr>
        <w:br/>
        <w:t>2.主要内容</w:t>
      </w:r>
      <w:r>
        <w:rPr>
          <w:rStyle w:val="a8"/>
          <w:rFonts w:ascii="楷体" w:eastAsia="楷体" w:hAnsi="楷体" w:hint="eastAsia"/>
          <w:b w:val="0"/>
          <w:bCs w:val="0"/>
          <w:spacing w:val="-4"/>
          <w:sz w:val="32"/>
          <w:szCs w:val="32"/>
        </w:rPr>
        <w:br/>
        <w:t>（1）项目名称：提前下达2024年中央财政基本公共卫生服务补助资金预算。</w:t>
      </w:r>
      <w:r>
        <w:rPr>
          <w:rStyle w:val="a8"/>
          <w:rFonts w:ascii="楷体" w:eastAsia="楷体" w:hAnsi="楷体" w:hint="eastAsia"/>
          <w:b w:val="0"/>
          <w:bCs w:val="0"/>
          <w:spacing w:val="-4"/>
          <w:sz w:val="32"/>
          <w:szCs w:val="32"/>
        </w:rPr>
        <w:br/>
        <w:t>（2）项目主要内容：通过项目投入103.58万元，做好基本公共卫生服务的组织实施、人员培训、数据填报、后勤保障，建档立卡、追踪随访、做到体检与“健康咨询、健康教育、重大疾病”相结合，对体检结果的异常及时随访，对需要转院的疑难重症患者，畅通“绿色通道”协助到上级医院进行救治，提高居民对基本公共卫生服务政策的认可度，使居民健康意识不断提高。</w:t>
      </w:r>
      <w:r>
        <w:rPr>
          <w:rStyle w:val="a8"/>
          <w:rFonts w:ascii="楷体" w:eastAsia="楷体" w:hAnsi="楷体" w:hint="eastAsia"/>
          <w:b w:val="0"/>
          <w:bCs w:val="0"/>
          <w:spacing w:val="-4"/>
          <w:sz w:val="32"/>
          <w:szCs w:val="32"/>
        </w:rPr>
        <w:br/>
        <w:t>3.实施情况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实施主体：昌吉市六工镇卫生院，该单位纳入2024年部门决算编制范围的办公室：全科诊疗科、中医康复科、医学检验科、医学影像科、公共卫生科、药剂科、行政办为一体的新型医疗保健单位。</w:t>
      </w:r>
      <w:r>
        <w:rPr>
          <w:rStyle w:val="a8"/>
          <w:rFonts w:ascii="楷体" w:eastAsia="楷体" w:hAnsi="楷体" w:hint="eastAsia"/>
          <w:b w:val="0"/>
          <w:bCs w:val="0"/>
          <w:spacing w:val="-4"/>
          <w:sz w:val="32"/>
          <w:szCs w:val="32"/>
        </w:rPr>
        <w:br/>
        <w:t>编制人数为22人，其中：行政人员编制0人、工勤1人、参公0人、事业编制21人。实有在职人数22人，其中：行政在职0人、工勤1人、参公0人、事业在职21人。离退休人员8人，其中：行政退休人员0人、事业退休8人。</w:t>
      </w:r>
      <w:r>
        <w:rPr>
          <w:rStyle w:val="a8"/>
          <w:rFonts w:ascii="楷体" w:eastAsia="楷体" w:hAnsi="楷体" w:hint="eastAsia"/>
          <w:b w:val="0"/>
          <w:bCs w:val="0"/>
          <w:spacing w:val="-4"/>
          <w:sz w:val="32"/>
          <w:szCs w:val="32"/>
        </w:rPr>
        <w:br/>
        <w:t>实施时间：本项目实施周期为2024年1月-2024年12月。</w:t>
      </w:r>
      <w:r>
        <w:rPr>
          <w:rStyle w:val="a8"/>
          <w:rFonts w:ascii="楷体" w:eastAsia="楷体" w:hAnsi="楷体" w:hint="eastAsia"/>
          <w:b w:val="0"/>
          <w:bCs w:val="0"/>
          <w:spacing w:val="-4"/>
          <w:sz w:val="32"/>
          <w:szCs w:val="32"/>
        </w:rPr>
        <w:br/>
        <w:t>实施情况：</w:t>
      </w:r>
      <w:r>
        <w:rPr>
          <w:rStyle w:val="a8"/>
          <w:rFonts w:ascii="楷体" w:eastAsia="楷体" w:hAnsi="楷体" w:hint="eastAsia"/>
          <w:b w:val="0"/>
          <w:bCs w:val="0"/>
          <w:spacing w:val="-4"/>
          <w:sz w:val="32"/>
          <w:szCs w:val="32"/>
        </w:rPr>
        <w:br/>
        <w:t>（1）建立居民健康档案</w:t>
      </w:r>
      <w:r>
        <w:rPr>
          <w:rStyle w:val="a8"/>
          <w:rFonts w:ascii="楷体" w:eastAsia="楷体" w:hAnsi="楷体" w:hint="eastAsia"/>
          <w:b w:val="0"/>
          <w:bCs w:val="0"/>
          <w:spacing w:val="-4"/>
          <w:sz w:val="32"/>
          <w:szCs w:val="32"/>
        </w:rPr>
        <w:br/>
        <w:t>2024年，根据《国家基本公共卫生服务规范（2023年版）》的要求和国家居民居民健康档案的服务要求，我院2024年我镇总人口数为12180人，</w:t>
      </w:r>
      <w:r w:rsidR="00586DED">
        <w:rPr>
          <w:rStyle w:val="a8"/>
          <w:rFonts w:ascii="楷体" w:eastAsia="楷体" w:hAnsi="楷体" w:hint="eastAsia"/>
          <w:b w:val="0"/>
          <w:bCs w:val="0"/>
          <w:spacing w:val="-4"/>
          <w:sz w:val="32"/>
          <w:szCs w:val="32"/>
        </w:rPr>
        <w:t>截至目前</w:t>
      </w:r>
      <w:r>
        <w:rPr>
          <w:rStyle w:val="a8"/>
          <w:rFonts w:ascii="楷体" w:eastAsia="楷体" w:hAnsi="楷体" w:hint="eastAsia"/>
          <w:b w:val="0"/>
          <w:bCs w:val="0"/>
          <w:spacing w:val="-4"/>
          <w:sz w:val="32"/>
          <w:szCs w:val="32"/>
        </w:rPr>
        <w:t>，我院全年共建档案9635人，已录入电子档案9635人份，其中高血压建档2007人，规范管理1944人；规范管理率为96.86%；糖尿病869人，规范管理831人，规范管理率为95.63%；老年人建档2228人，健康管理2228人，规范管理率为100%；肺结核管理率100%，重型精神病患者45人，管理45人，已完成体检44人，2次随访45人。</w:t>
      </w:r>
      <w:r>
        <w:rPr>
          <w:rStyle w:val="a8"/>
          <w:rFonts w:ascii="楷体" w:eastAsia="楷体" w:hAnsi="楷体" w:hint="eastAsia"/>
          <w:b w:val="0"/>
          <w:bCs w:val="0"/>
          <w:spacing w:val="-4"/>
          <w:sz w:val="32"/>
          <w:szCs w:val="32"/>
        </w:rPr>
        <w:br/>
        <w:t>（2）健康教育</w:t>
      </w:r>
      <w:r>
        <w:rPr>
          <w:rStyle w:val="a8"/>
          <w:rFonts w:ascii="楷体" w:eastAsia="楷体" w:hAnsi="楷体" w:hint="eastAsia"/>
          <w:b w:val="0"/>
          <w:bCs w:val="0"/>
          <w:spacing w:val="-4"/>
          <w:sz w:val="32"/>
          <w:szCs w:val="32"/>
        </w:rPr>
        <w:br/>
        <w:t>在卫生院和各村卫生室进行了传染病防治、碘缺乏病防治、预防新生儿畸形、计划免疫、健康知识66条、中医保健、慢性病防治、三减三健等健康教育等内容的宣传活动，讲座卫生院15次，卫生室讲座49次，咨询活动截止12月已举行了19次；发放宣传版面110期； 个性化宣传390人次；发放各类宣传册（单）</w:t>
      </w:r>
      <w:r>
        <w:rPr>
          <w:rStyle w:val="a8"/>
          <w:rFonts w:ascii="楷体" w:eastAsia="楷体" w:hAnsi="楷体" w:hint="eastAsia"/>
          <w:b w:val="0"/>
          <w:bCs w:val="0"/>
          <w:spacing w:val="-4"/>
          <w:sz w:val="32"/>
          <w:szCs w:val="32"/>
        </w:rPr>
        <w:lastRenderedPageBreak/>
        <w:t>10000余份、使用宣传横幅40余条，各类宣传画64张，受益人数6082余人。利用新媒体加快信息传播速度广度，利用微信、QQ及播放健康讲座等形式，让群众不断掌握卫生科学知识和加深对健康教育的进一步认识。组织“科学控体重，健康常相伴”咨询活动5次，开展“科学控体重，健康常相伴”讲座4次。覆盖人群454人，促进村民养成良好的生活习惯。在镇中 心小学及幼儿园开设了健康教育课，共开展讲座7次，咨询活动3次，授课有专兼职教师，课程有计划，有安排、有教案，通过教育课使学生树立了正确的保健理念。2024年1月-12月顺利完成217人次健康素养调查，并完整上报数据。</w:t>
      </w:r>
      <w:r>
        <w:rPr>
          <w:rStyle w:val="a8"/>
          <w:rFonts w:ascii="楷体" w:eastAsia="楷体" w:hAnsi="楷体" w:hint="eastAsia"/>
          <w:b w:val="0"/>
          <w:bCs w:val="0"/>
          <w:spacing w:val="-4"/>
          <w:sz w:val="32"/>
          <w:szCs w:val="32"/>
        </w:rPr>
        <w:br/>
        <w:t>（3）预防接种</w:t>
      </w:r>
      <w:r>
        <w:rPr>
          <w:rStyle w:val="a8"/>
          <w:rFonts w:ascii="楷体" w:eastAsia="楷体" w:hAnsi="楷体" w:hint="eastAsia"/>
          <w:b w:val="0"/>
          <w:bCs w:val="0"/>
          <w:spacing w:val="-4"/>
          <w:sz w:val="32"/>
          <w:szCs w:val="32"/>
        </w:rPr>
        <w:br/>
        <w:t>预防接种服务规范：我院和村卫生室预防接种人员共13人，均持证上岗，每周2次、每月大于8次为辖区内适龄儿童接种疫苗。2024年脊髓灰质炎疫苗查漏补种免疫接种一次，共接种1人次，接种率为100%；适龄儿童建卡、建证率、一类疫苗接种率均已达标。目前实际管理在卡儿童305人。</w:t>
      </w:r>
      <w:r>
        <w:rPr>
          <w:rStyle w:val="a8"/>
          <w:rFonts w:ascii="楷体" w:eastAsia="楷体" w:hAnsi="楷体" w:hint="eastAsia"/>
          <w:b w:val="0"/>
          <w:bCs w:val="0"/>
          <w:spacing w:val="-4"/>
          <w:sz w:val="32"/>
          <w:szCs w:val="32"/>
        </w:rPr>
        <w:br/>
        <w:t>冷链设备管理：专人负责冷链管理工作，冷链设备建立了档案，每天对冷链温度进行检测。疫苗、一次性注射器按计划领取发放，严格做到帐物相符。</w:t>
      </w:r>
      <w:r>
        <w:rPr>
          <w:rStyle w:val="a8"/>
          <w:rFonts w:ascii="楷体" w:eastAsia="楷体" w:hAnsi="楷体" w:hint="eastAsia"/>
          <w:b w:val="0"/>
          <w:bCs w:val="0"/>
          <w:spacing w:val="-4"/>
          <w:sz w:val="32"/>
          <w:szCs w:val="32"/>
        </w:rPr>
        <w:br/>
        <w:t>（4）传染病和突发公共卫生事件的报告和处理</w:t>
      </w:r>
      <w:r>
        <w:rPr>
          <w:rStyle w:val="a8"/>
          <w:rFonts w:ascii="楷体" w:eastAsia="楷体" w:hAnsi="楷体" w:hint="eastAsia"/>
          <w:b w:val="0"/>
          <w:bCs w:val="0"/>
          <w:spacing w:val="-4"/>
          <w:sz w:val="32"/>
          <w:szCs w:val="32"/>
        </w:rPr>
        <w:br/>
        <w:t>及时发现、登记并报告辖区内发现的传染病病例和疑似病例 ；开展结核病、等传染病防治知识宣传和咨询服务；配合市疾控中心结防科对结核病人进行治疗管理，传染病无漏报、瞒报、迟报。</w:t>
      </w:r>
      <w:r>
        <w:rPr>
          <w:rStyle w:val="a8"/>
          <w:rFonts w:ascii="楷体" w:eastAsia="楷体" w:hAnsi="楷体" w:hint="eastAsia"/>
          <w:b w:val="0"/>
          <w:bCs w:val="0"/>
          <w:spacing w:val="-4"/>
          <w:sz w:val="32"/>
          <w:szCs w:val="32"/>
        </w:rPr>
        <w:br/>
        <w:t>（5）妇幼保健工作</w:t>
      </w:r>
      <w:r>
        <w:rPr>
          <w:rStyle w:val="a8"/>
          <w:rFonts w:ascii="楷体" w:eastAsia="楷体" w:hAnsi="楷体" w:hint="eastAsia"/>
          <w:b w:val="0"/>
          <w:bCs w:val="0"/>
          <w:spacing w:val="-4"/>
          <w:sz w:val="32"/>
          <w:szCs w:val="32"/>
        </w:rPr>
        <w:br/>
        <w:t>2024年我镇常住产妇数20人(非户籍2人），新法接生数22人，</w:t>
      </w:r>
      <w:r>
        <w:rPr>
          <w:rStyle w:val="a8"/>
          <w:rFonts w:ascii="楷体" w:eastAsia="楷体" w:hAnsi="楷体" w:hint="eastAsia"/>
          <w:b w:val="0"/>
          <w:bCs w:val="0"/>
          <w:spacing w:val="-4"/>
          <w:sz w:val="32"/>
          <w:szCs w:val="32"/>
        </w:rPr>
        <w:lastRenderedPageBreak/>
        <w:t>建卡数22人，建卡率为100%，产妇系统管理数22人，系管率约为100%。高危产妇20人，高危产妇管理20人，高危产妇住院分娩20人，高危住院分娩率为100%，非住院分娩数0人，孕产妇、梅毒共检测22人，其中：、乙肝检测阳性0人，梅毒检测阳性0人，管理0人。全年无孕产妇死亡。</w:t>
      </w:r>
      <w:r>
        <w:rPr>
          <w:rStyle w:val="a8"/>
          <w:rFonts w:ascii="楷体" w:eastAsia="楷体" w:hAnsi="楷体" w:hint="eastAsia"/>
          <w:b w:val="0"/>
          <w:bCs w:val="0"/>
          <w:spacing w:val="-4"/>
          <w:sz w:val="32"/>
          <w:szCs w:val="32"/>
        </w:rPr>
        <w:br/>
        <w:t>我镇2024年0-7岁以下儿童数189人，5岁以下儿童数114人，3岁以下儿童数59人，系管率为100%。出生儿童数22人，户籍外2人，出生缺陷0人。托幼机构3所全年为我镇5岁以下常住儿童及流动儿童进行了儿童健康体检，生长发育评估，并根据体检情况，进行指导性治疗和提出治疗意见。</w:t>
      </w:r>
      <w:r>
        <w:rPr>
          <w:rStyle w:val="a8"/>
          <w:rFonts w:ascii="楷体" w:eastAsia="楷体" w:hAnsi="楷体" w:hint="eastAsia"/>
          <w:b w:val="0"/>
          <w:bCs w:val="0"/>
          <w:spacing w:val="-4"/>
          <w:sz w:val="32"/>
          <w:szCs w:val="32"/>
        </w:rPr>
        <w:br/>
        <w:t>（6）老年人健康管理</w:t>
      </w:r>
      <w:r>
        <w:rPr>
          <w:rStyle w:val="a8"/>
          <w:rFonts w:ascii="楷体" w:eastAsia="楷体" w:hAnsi="楷体" w:hint="eastAsia"/>
          <w:b w:val="0"/>
          <w:bCs w:val="0"/>
          <w:spacing w:val="-4"/>
          <w:sz w:val="32"/>
          <w:szCs w:val="32"/>
        </w:rPr>
        <w:br/>
        <w:t>我镇总人口数为12180人，</w:t>
      </w:r>
      <w:r w:rsidR="00586DED">
        <w:rPr>
          <w:rStyle w:val="a8"/>
          <w:rFonts w:ascii="楷体" w:eastAsia="楷体" w:hAnsi="楷体" w:hint="eastAsia"/>
          <w:b w:val="0"/>
          <w:bCs w:val="0"/>
          <w:spacing w:val="-4"/>
          <w:sz w:val="32"/>
          <w:szCs w:val="32"/>
        </w:rPr>
        <w:t>截至目前</w:t>
      </w:r>
      <w:r>
        <w:rPr>
          <w:rStyle w:val="a8"/>
          <w:rFonts w:ascii="楷体" w:eastAsia="楷体" w:hAnsi="楷体" w:hint="eastAsia"/>
          <w:b w:val="0"/>
          <w:bCs w:val="0"/>
          <w:spacing w:val="-4"/>
          <w:sz w:val="32"/>
          <w:szCs w:val="32"/>
        </w:rPr>
        <w:t>共体检8229人，65岁以上老年人共体检2232人次，接受健康管理的老年人2232人，录入电子档案2232人。“老年人中医体质辨识”，建档2232人，完成中医体质辨识2232人。发现A类值78人，B类值512人，按照体检工作要求，及时完成A类、B类及一般阳性结果病人的再次追踪、建档、随访工作。</w:t>
      </w:r>
      <w:r>
        <w:rPr>
          <w:rStyle w:val="a8"/>
          <w:rFonts w:ascii="楷体" w:eastAsia="楷体" w:hAnsi="楷体" w:hint="eastAsia"/>
          <w:b w:val="0"/>
          <w:bCs w:val="0"/>
          <w:spacing w:val="-4"/>
          <w:sz w:val="32"/>
          <w:szCs w:val="32"/>
        </w:rPr>
        <w:br/>
        <w:t>（7）慢性病管理</w:t>
      </w:r>
      <w:r>
        <w:rPr>
          <w:rStyle w:val="a8"/>
          <w:rFonts w:ascii="楷体" w:eastAsia="楷体" w:hAnsi="楷体" w:hint="eastAsia"/>
          <w:b w:val="0"/>
          <w:bCs w:val="0"/>
          <w:spacing w:val="-4"/>
          <w:sz w:val="32"/>
          <w:szCs w:val="32"/>
        </w:rPr>
        <w:br/>
        <w:t>截止2024年12月底，全院累计建立原发性高血压患者健康档案2008份，高血压健康管理率83.86%；完成体检2007人，体检率100 %；1-至今完成随访10154人次。导出12月7日前未规范管理档案158份，存在错误档案32份，4月以后管理47份，待随访待加随档案79份。档案规范管理率95.62%。血压控制达标率85.56%.两卡制认证办理99.66%。截止2024年12月底，全院累计建立糖尿病患者健康档案809份，糖尿病健康管理率88.83%；</w:t>
      </w:r>
      <w:r>
        <w:rPr>
          <w:rStyle w:val="a8"/>
          <w:rFonts w:ascii="楷体" w:eastAsia="楷体" w:hAnsi="楷体" w:hint="eastAsia"/>
          <w:b w:val="0"/>
          <w:bCs w:val="0"/>
          <w:spacing w:val="-4"/>
          <w:sz w:val="32"/>
          <w:szCs w:val="32"/>
        </w:rPr>
        <w:lastRenderedPageBreak/>
        <w:t>完成体检 809人，体检率100%；1-至今完成随访5412人次。导出12月7日前未规范管理档案108份，存在错误档案21份，4月以后管理17份，待随访待加随档案41份。档案规范管理率92.99%。血糖控制达标率65.29%.两卡制认证办理99.52%。</w:t>
      </w:r>
      <w:r>
        <w:rPr>
          <w:rStyle w:val="a8"/>
          <w:rFonts w:ascii="楷体" w:eastAsia="楷体" w:hAnsi="楷体" w:hint="eastAsia"/>
          <w:b w:val="0"/>
          <w:bCs w:val="0"/>
          <w:spacing w:val="-4"/>
          <w:sz w:val="32"/>
          <w:szCs w:val="32"/>
        </w:rPr>
        <w:br/>
        <w:t>（8）严重精神障碍患者管理</w:t>
      </w:r>
      <w:r>
        <w:rPr>
          <w:rStyle w:val="a8"/>
          <w:rFonts w:ascii="楷体" w:eastAsia="楷体" w:hAnsi="楷体" w:hint="eastAsia"/>
          <w:b w:val="0"/>
          <w:bCs w:val="0"/>
          <w:spacing w:val="-4"/>
          <w:sz w:val="32"/>
          <w:szCs w:val="32"/>
        </w:rPr>
        <w:br/>
        <w:t>积极克服重性精神病患者管理中的困难，共管理重性精神病45人，规范管理44人，现住院18人，病情稳定45人。</w:t>
      </w:r>
      <w:r>
        <w:rPr>
          <w:rStyle w:val="a8"/>
          <w:rFonts w:ascii="楷体" w:eastAsia="楷体" w:hAnsi="楷体" w:hint="eastAsia"/>
          <w:b w:val="0"/>
          <w:bCs w:val="0"/>
          <w:spacing w:val="-4"/>
          <w:sz w:val="32"/>
          <w:szCs w:val="32"/>
        </w:rPr>
        <w:br/>
        <w:t>（9）传染病</w:t>
      </w:r>
      <w:r w:rsidR="00B1437F">
        <w:rPr>
          <w:rStyle w:val="a8"/>
          <w:rFonts w:ascii="楷体" w:eastAsia="楷体" w:hAnsi="楷体" w:hint="eastAsia"/>
          <w:b w:val="0"/>
          <w:bCs w:val="0"/>
          <w:spacing w:val="-4"/>
          <w:sz w:val="32"/>
          <w:szCs w:val="32"/>
        </w:rPr>
        <w:t>传染病</w:t>
      </w:r>
      <w:r>
        <w:rPr>
          <w:rStyle w:val="a8"/>
          <w:rFonts w:ascii="楷体" w:eastAsia="楷体" w:hAnsi="楷体" w:hint="eastAsia"/>
          <w:b w:val="0"/>
          <w:bCs w:val="0"/>
          <w:spacing w:val="-4"/>
          <w:sz w:val="32"/>
          <w:szCs w:val="32"/>
        </w:rPr>
        <w:t>和突发公共卫生事件报告和处理工作</w:t>
      </w:r>
      <w:r>
        <w:rPr>
          <w:rStyle w:val="a8"/>
          <w:rFonts w:ascii="楷体" w:eastAsia="楷体" w:hAnsi="楷体" w:hint="eastAsia"/>
          <w:b w:val="0"/>
          <w:bCs w:val="0"/>
          <w:spacing w:val="-4"/>
          <w:sz w:val="32"/>
          <w:szCs w:val="32"/>
        </w:rPr>
        <w:br/>
        <w:t>协助疾控中心开展传染病</w:t>
      </w:r>
      <w:r w:rsidR="00B1437F">
        <w:rPr>
          <w:rStyle w:val="a8"/>
          <w:rFonts w:ascii="楷体" w:eastAsia="楷体" w:hAnsi="楷体" w:hint="eastAsia"/>
          <w:b w:val="0"/>
          <w:bCs w:val="0"/>
          <w:spacing w:val="-4"/>
          <w:sz w:val="32"/>
          <w:szCs w:val="32"/>
        </w:rPr>
        <w:t>传染病</w:t>
      </w:r>
      <w:r>
        <w:rPr>
          <w:rStyle w:val="a8"/>
          <w:rFonts w:ascii="楷体" w:eastAsia="楷体" w:hAnsi="楷体" w:hint="eastAsia"/>
          <w:b w:val="0"/>
          <w:bCs w:val="0"/>
          <w:spacing w:val="-4"/>
          <w:sz w:val="32"/>
          <w:szCs w:val="32"/>
        </w:rPr>
        <w:t>和突发公共卫生事件风险排查、收集和提供风险信息，我们针对全院及村卫生室开展传染病相关知识的培训与学习，季节性针对学校幼儿园进行传染病方面督导和检查，积极指导学校及幼儿园教师如何做好各个方面的消毒工作。发现传染病及时上报。每月对我院和村卫生室的门诊日志进行检查，及时发现传染病病例，及时在大</w:t>
      </w:r>
      <w:r w:rsidR="00B1437F">
        <w:rPr>
          <w:rStyle w:val="a8"/>
          <w:rFonts w:ascii="楷体" w:eastAsia="楷体" w:hAnsi="楷体" w:hint="eastAsia"/>
          <w:b w:val="0"/>
          <w:bCs w:val="0"/>
          <w:spacing w:val="-4"/>
          <w:sz w:val="32"/>
          <w:szCs w:val="32"/>
        </w:rPr>
        <w:t>传染病</w:t>
      </w:r>
      <w:r>
        <w:rPr>
          <w:rStyle w:val="a8"/>
          <w:rFonts w:ascii="楷体" w:eastAsia="楷体" w:hAnsi="楷体" w:hint="eastAsia"/>
          <w:b w:val="0"/>
          <w:bCs w:val="0"/>
          <w:spacing w:val="-4"/>
          <w:sz w:val="32"/>
          <w:szCs w:val="32"/>
        </w:rPr>
        <w:t>网上直报并及时上报市疾控中心，截止现在，共上报各类传染病0例，乙肝携带者登记病例17例，管理结核病人7人，4人管理结束已结案，1人非结核病自然死亡，1人转出塔城管理，目前1人未结案正在治疗管理中；无漏报病例。</w:t>
      </w:r>
      <w:r>
        <w:rPr>
          <w:rStyle w:val="a8"/>
          <w:rFonts w:ascii="楷体" w:eastAsia="楷体" w:hAnsi="楷体" w:hint="eastAsia"/>
          <w:b w:val="0"/>
          <w:bCs w:val="0"/>
          <w:spacing w:val="-4"/>
          <w:sz w:val="32"/>
          <w:szCs w:val="32"/>
        </w:rPr>
        <w:br/>
        <w:t>（10）卫生计生监督协管服务</w:t>
      </w:r>
      <w:r>
        <w:rPr>
          <w:rStyle w:val="a8"/>
          <w:rFonts w:ascii="楷体" w:eastAsia="楷体" w:hAnsi="楷体" w:hint="eastAsia"/>
          <w:b w:val="0"/>
          <w:bCs w:val="0"/>
          <w:spacing w:val="-4"/>
          <w:sz w:val="32"/>
          <w:szCs w:val="32"/>
        </w:rPr>
        <w:br/>
        <w:t>积极配合卫生监督机构对饮用水安全巡查、学校卫生服务，非法行医、非法采供血和食品安全等卫生监督工作进行协管，配合昌吉市卫生监督局对农村饮用水进行督；全年对辖区内8所医疗卫生机构、20处农村集中供水、3家托幼机构，20个企业进行了巡查，共巡查164次。其中医疗卫生机构32次？；农村集中供水80次；学校12次、20个企业40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（11）家庭医生签约服务</w:t>
      </w:r>
      <w:r>
        <w:rPr>
          <w:rStyle w:val="a8"/>
          <w:rFonts w:ascii="楷体" w:eastAsia="楷体" w:hAnsi="楷体" w:hint="eastAsia"/>
          <w:b w:val="0"/>
          <w:bCs w:val="0"/>
          <w:spacing w:val="-4"/>
          <w:sz w:val="32"/>
          <w:szCs w:val="32"/>
        </w:rPr>
        <w:br/>
        <w:t>2024年，我院组建了以全科医生为主的家庭医生签约服务团队共8个，制作了家庭医生签约服务展板、宣传版面和宣传折页，针对低收入人口、</w:t>
      </w:r>
      <w:r w:rsidR="00386433">
        <w:rPr>
          <w:rStyle w:val="a8"/>
          <w:rFonts w:ascii="楷体" w:eastAsia="楷体" w:hAnsi="楷体" w:hint="eastAsia"/>
          <w:b w:val="0"/>
          <w:bCs w:val="0"/>
          <w:spacing w:val="-4"/>
          <w:sz w:val="32"/>
          <w:szCs w:val="32"/>
        </w:rPr>
        <w:t>JHSY</w:t>
      </w:r>
      <w:r>
        <w:rPr>
          <w:rStyle w:val="a8"/>
          <w:rFonts w:ascii="楷体" w:eastAsia="楷体" w:hAnsi="楷体" w:hint="eastAsia"/>
          <w:b w:val="0"/>
          <w:bCs w:val="0"/>
          <w:spacing w:val="-4"/>
          <w:sz w:val="32"/>
          <w:szCs w:val="32"/>
        </w:rPr>
        <w:t>特别扶助家庭，实行百分之百建档、百分之百签约、百分之百体检；年初开始了电子签约，遵循“先签约再服务”的模式，全年共签约8111人，重点人群5851人，签约5829人，重点人群签约率99.62%。</w:t>
      </w:r>
      <w:r>
        <w:rPr>
          <w:rStyle w:val="a8"/>
          <w:rFonts w:ascii="楷体" w:eastAsia="楷体" w:hAnsi="楷体" w:hint="eastAsia"/>
          <w:b w:val="0"/>
          <w:bCs w:val="0"/>
          <w:spacing w:val="-4"/>
          <w:sz w:val="32"/>
          <w:szCs w:val="32"/>
        </w:rPr>
        <w:br/>
        <w:t>4.项目实施主体</w:t>
      </w:r>
      <w:r>
        <w:rPr>
          <w:rStyle w:val="a8"/>
          <w:rFonts w:ascii="楷体" w:eastAsia="楷体" w:hAnsi="楷体" w:hint="eastAsia"/>
          <w:b w:val="0"/>
          <w:bCs w:val="0"/>
          <w:spacing w:val="-4"/>
          <w:sz w:val="32"/>
          <w:szCs w:val="32"/>
        </w:rPr>
        <w:br/>
        <w:t>（1）主要职能</w:t>
      </w:r>
      <w:r>
        <w:rPr>
          <w:rStyle w:val="a8"/>
          <w:rFonts w:ascii="楷体" w:eastAsia="楷体" w:hAnsi="楷体" w:hint="eastAsia"/>
          <w:b w:val="0"/>
          <w:bCs w:val="0"/>
          <w:spacing w:val="-4"/>
          <w:sz w:val="32"/>
          <w:szCs w:val="32"/>
        </w:rPr>
        <w:br/>
        <w:t>①负责卫生预防，卫生诊断，传染病</w:t>
      </w:r>
      <w:r w:rsidR="00B1437F">
        <w:rPr>
          <w:rStyle w:val="a8"/>
          <w:rFonts w:ascii="楷体" w:eastAsia="楷体" w:hAnsi="楷体" w:hint="eastAsia"/>
          <w:b w:val="0"/>
          <w:bCs w:val="0"/>
          <w:spacing w:val="-4"/>
          <w:sz w:val="32"/>
          <w:szCs w:val="32"/>
        </w:rPr>
        <w:t>传染病</w:t>
      </w:r>
      <w:r>
        <w:rPr>
          <w:rStyle w:val="a8"/>
          <w:rFonts w:ascii="楷体" w:eastAsia="楷体" w:hAnsi="楷体" w:hint="eastAsia"/>
          <w:b w:val="0"/>
          <w:bCs w:val="0"/>
          <w:spacing w:val="-4"/>
          <w:sz w:val="32"/>
          <w:szCs w:val="32"/>
        </w:rPr>
        <w:t>报告和检测，0-6岁儿童健康管理服务，预防接种、结核病、等重大传染病预防，常见传染病防治，居民健康档案管理、爱国卫生指导等；</w:t>
      </w:r>
      <w:r>
        <w:rPr>
          <w:rStyle w:val="a8"/>
          <w:rFonts w:ascii="楷体" w:eastAsia="楷体" w:hAnsi="楷体" w:hint="eastAsia"/>
          <w:b w:val="0"/>
          <w:bCs w:val="0"/>
          <w:spacing w:val="-4"/>
          <w:sz w:val="32"/>
          <w:szCs w:val="32"/>
        </w:rPr>
        <w:br/>
        <w:t>②负责卫生保健。孕产妇、妇女保健、儿童保健、老年保健等；</w:t>
      </w:r>
      <w:r>
        <w:rPr>
          <w:rStyle w:val="a8"/>
          <w:rFonts w:ascii="楷体" w:eastAsia="楷体" w:hAnsi="楷体" w:hint="eastAsia"/>
          <w:b w:val="0"/>
          <w:bCs w:val="0"/>
          <w:spacing w:val="-4"/>
          <w:sz w:val="32"/>
          <w:szCs w:val="32"/>
        </w:rPr>
        <w:br/>
        <w:t>③负责医疗诊治。一般常见病、多发病的诊治，社区现场救助。慢性病筛查？（高血压病人管理？？、2型糖尿病病人管理）和重点慢病病历管理，精神病患者管理，转诊服务等；</w:t>
      </w:r>
      <w:r>
        <w:rPr>
          <w:rStyle w:val="a8"/>
          <w:rFonts w:ascii="楷体" w:eastAsia="楷体" w:hAnsi="楷体" w:hint="eastAsia"/>
          <w:b w:val="0"/>
          <w:bCs w:val="0"/>
          <w:spacing w:val="-4"/>
          <w:sz w:val="32"/>
          <w:szCs w:val="32"/>
        </w:rPr>
        <w:br/>
        <w:t>④负责中医药健康管理服务、社区疾病康复；</w:t>
      </w:r>
      <w:r>
        <w:rPr>
          <w:rStyle w:val="a8"/>
          <w:rFonts w:ascii="楷体" w:eastAsia="楷体" w:hAnsi="楷体" w:hint="eastAsia"/>
          <w:b w:val="0"/>
          <w:bCs w:val="0"/>
          <w:spacing w:val="-4"/>
          <w:sz w:val="32"/>
          <w:szCs w:val="32"/>
        </w:rPr>
        <w:br/>
        <w:t>⑤负责健康教育、卫生知识普及，个体和群体的健 康管理，重点人群与重点健康教育，宣传健康行为和生活方式等；</w:t>
      </w:r>
      <w:r>
        <w:rPr>
          <w:rStyle w:val="a8"/>
          <w:rFonts w:ascii="楷体" w:eastAsia="楷体" w:hAnsi="楷体" w:hint="eastAsia"/>
          <w:b w:val="0"/>
          <w:bCs w:val="0"/>
          <w:spacing w:val="-4"/>
          <w:sz w:val="32"/>
          <w:szCs w:val="32"/>
        </w:rPr>
        <w:br/>
        <w:t>⑥负责</w:t>
      </w:r>
      <w:r w:rsidR="00386433">
        <w:rPr>
          <w:rStyle w:val="a8"/>
          <w:rFonts w:ascii="楷体" w:eastAsia="楷体" w:hAnsi="楷体" w:hint="eastAsia"/>
          <w:b w:val="0"/>
          <w:bCs w:val="0"/>
          <w:spacing w:val="-4"/>
          <w:sz w:val="32"/>
          <w:szCs w:val="32"/>
        </w:rPr>
        <w:t>JHSY</w:t>
      </w:r>
      <w:r>
        <w:rPr>
          <w:rStyle w:val="a8"/>
          <w:rFonts w:ascii="楷体" w:eastAsia="楷体" w:hAnsi="楷体" w:hint="eastAsia"/>
          <w:b w:val="0"/>
          <w:bCs w:val="0"/>
          <w:spacing w:val="-4"/>
          <w:sz w:val="32"/>
          <w:szCs w:val="32"/>
        </w:rPr>
        <w:t>服务与咨询指导，发放避孕药具、卫生计生监督协管服务。</w:t>
      </w:r>
      <w:r>
        <w:rPr>
          <w:rStyle w:val="a8"/>
          <w:rFonts w:ascii="楷体" w:eastAsia="楷体" w:hAnsi="楷体" w:hint="eastAsia"/>
          <w:b w:val="0"/>
          <w:bCs w:val="0"/>
          <w:spacing w:val="-4"/>
          <w:sz w:val="32"/>
          <w:szCs w:val="32"/>
        </w:rPr>
        <w:br/>
        <w:t>（2）机构设置情况</w:t>
      </w:r>
      <w:r>
        <w:rPr>
          <w:rStyle w:val="a8"/>
          <w:rFonts w:ascii="楷体" w:eastAsia="楷体" w:hAnsi="楷体" w:hint="eastAsia"/>
          <w:b w:val="0"/>
          <w:bCs w:val="0"/>
          <w:spacing w:val="-4"/>
          <w:sz w:val="32"/>
          <w:szCs w:val="32"/>
        </w:rPr>
        <w:br/>
        <w:t>昌吉市六工镇卫生院无下属预算单位，下设4个处室，分别是：</w:t>
      </w:r>
      <w:r>
        <w:rPr>
          <w:rStyle w:val="a8"/>
          <w:rFonts w:ascii="楷体" w:eastAsia="楷体" w:hAnsi="楷体" w:hint="eastAsia"/>
          <w:b w:val="0"/>
          <w:bCs w:val="0"/>
          <w:spacing w:val="-4"/>
          <w:sz w:val="32"/>
          <w:szCs w:val="32"/>
        </w:rPr>
        <w:br/>
        <w:t>①办公室：负责人员、财务、设备、后勤工作的组织协调和管理。</w:t>
      </w:r>
      <w:r>
        <w:rPr>
          <w:rStyle w:val="a8"/>
          <w:rFonts w:ascii="楷体" w:eastAsia="楷体" w:hAnsi="楷体" w:hint="eastAsia"/>
          <w:b w:val="0"/>
          <w:bCs w:val="0"/>
          <w:spacing w:val="-4"/>
          <w:sz w:val="32"/>
          <w:szCs w:val="32"/>
        </w:rPr>
        <w:br/>
        <w:t>②临床科室：负责一般常见病、多发病的诊治。下设全科诊室、</w:t>
      </w:r>
      <w:r>
        <w:rPr>
          <w:rStyle w:val="a8"/>
          <w:rFonts w:ascii="楷体" w:eastAsia="楷体" w:hAnsi="楷体" w:hint="eastAsia"/>
          <w:b w:val="0"/>
          <w:bCs w:val="0"/>
          <w:spacing w:val="-4"/>
          <w:sz w:val="32"/>
          <w:szCs w:val="32"/>
        </w:rPr>
        <w:lastRenderedPageBreak/>
        <w:t>中医诊室、康复治疗室、抢救室。</w:t>
      </w:r>
      <w:r>
        <w:rPr>
          <w:rStyle w:val="a8"/>
          <w:rFonts w:ascii="楷体" w:eastAsia="楷体" w:hAnsi="楷体" w:hint="eastAsia"/>
          <w:b w:val="0"/>
          <w:bCs w:val="0"/>
          <w:spacing w:val="-4"/>
          <w:sz w:val="32"/>
          <w:szCs w:val="32"/>
        </w:rPr>
        <w:br/>
        <w:t>③公共卫生科室：负责辖区内居民健康教育、预防接种、保健、</w:t>
      </w:r>
      <w:r w:rsidR="00386433">
        <w:rPr>
          <w:rStyle w:val="a8"/>
          <w:rFonts w:ascii="楷体" w:eastAsia="楷体" w:hAnsi="楷体" w:hint="eastAsia"/>
          <w:b w:val="0"/>
          <w:bCs w:val="0"/>
          <w:spacing w:val="-4"/>
          <w:sz w:val="32"/>
          <w:szCs w:val="32"/>
        </w:rPr>
        <w:t>JHSY</w:t>
      </w:r>
      <w:r>
        <w:rPr>
          <w:rStyle w:val="a8"/>
          <w:rFonts w:ascii="楷体" w:eastAsia="楷体" w:hAnsi="楷体" w:hint="eastAsia"/>
          <w:b w:val="0"/>
          <w:bCs w:val="0"/>
          <w:spacing w:val="-4"/>
          <w:sz w:val="32"/>
          <w:szCs w:val="32"/>
        </w:rPr>
        <w:t>、疾病预防与控制等工作。下设计划免疫接种室、儿童保健室、妇幼保健室、健康教育、慢病管理室及信息管理室。</w:t>
      </w:r>
      <w:r>
        <w:rPr>
          <w:rStyle w:val="a8"/>
          <w:rFonts w:ascii="楷体" w:eastAsia="楷体" w:hAnsi="楷体" w:hint="eastAsia"/>
          <w:b w:val="0"/>
          <w:bCs w:val="0"/>
          <w:spacing w:val="-4"/>
          <w:sz w:val="32"/>
          <w:szCs w:val="32"/>
        </w:rPr>
        <w:br/>
        <w:t>④其他科室：检验室、B超室、心电图室、药房、护理部、放射科。</w:t>
      </w:r>
      <w:r>
        <w:rPr>
          <w:rStyle w:val="a8"/>
          <w:rFonts w:ascii="楷体" w:eastAsia="楷体" w:hAnsi="楷体" w:hint="eastAsia"/>
          <w:b w:val="0"/>
          <w:bCs w:val="0"/>
          <w:spacing w:val="-4"/>
          <w:sz w:val="32"/>
          <w:szCs w:val="32"/>
        </w:rPr>
        <w:br/>
        <w:t>昌吉市六工镇卫生院编制数22，实有人数29人，其中：在职21人，增加0人；退休8人，增加0人；离休0人，增加0人。5.资金投入和使用情况.</w:t>
      </w:r>
      <w:r>
        <w:rPr>
          <w:rStyle w:val="a8"/>
          <w:rFonts w:ascii="楷体" w:eastAsia="楷体" w:hAnsi="楷体" w:hint="eastAsia"/>
          <w:b w:val="0"/>
          <w:bCs w:val="0"/>
          <w:spacing w:val="-4"/>
          <w:sz w:val="32"/>
          <w:szCs w:val="32"/>
        </w:rPr>
        <w:br/>
        <w:t>5.资金投入和使用情况</w:t>
      </w:r>
      <w:r>
        <w:rPr>
          <w:rStyle w:val="a8"/>
          <w:rFonts w:ascii="楷体" w:eastAsia="楷体" w:hAnsi="楷体" w:hint="eastAsia"/>
          <w:b w:val="0"/>
          <w:bCs w:val="0"/>
          <w:spacing w:val="-4"/>
          <w:sz w:val="32"/>
          <w:szCs w:val="32"/>
        </w:rPr>
        <w:br/>
        <w:t>（1）项目资金安排落实、总投入等情况分析</w:t>
      </w:r>
      <w:r>
        <w:rPr>
          <w:rStyle w:val="a8"/>
          <w:rFonts w:ascii="楷体" w:eastAsia="楷体" w:hAnsi="楷体" w:hint="eastAsia"/>
          <w:b w:val="0"/>
          <w:bCs w:val="0"/>
          <w:spacing w:val="-4"/>
          <w:sz w:val="32"/>
          <w:szCs w:val="32"/>
        </w:rPr>
        <w:br/>
        <w:t>根据《关于拨付2024年中央财政基本公共卫生服务补助资金预算的通知》（昌州财预〔2023〕104号）文件，本项目年初预算安排总额为103.58万元，资金来源为中央专项资金，其中：财政资金103.58万元，其他资金0万元。</w:t>
      </w:r>
      <w:r>
        <w:rPr>
          <w:rStyle w:val="a8"/>
          <w:rFonts w:ascii="楷体" w:eastAsia="楷体" w:hAnsi="楷体" w:hint="eastAsia"/>
          <w:b w:val="0"/>
          <w:bCs w:val="0"/>
          <w:spacing w:val="-4"/>
          <w:sz w:val="32"/>
          <w:szCs w:val="32"/>
        </w:rPr>
        <w:br/>
        <w:t>本项目全年预算安排总额为103.58万元，预算调整数为0.00万元，追加的/调减0万元，预算调整率为0%。2024年本项目实际收到预算资金103.58万元，预算资金到位率为100%。</w:t>
      </w:r>
      <w:r>
        <w:rPr>
          <w:rStyle w:val="a8"/>
          <w:rFonts w:ascii="楷体" w:eastAsia="楷体" w:hAnsi="楷体" w:hint="eastAsia"/>
          <w:b w:val="0"/>
          <w:bCs w:val="0"/>
          <w:spacing w:val="-4"/>
          <w:sz w:val="32"/>
          <w:szCs w:val="32"/>
        </w:rPr>
        <w:br/>
        <w:t>（2）项目资金实际使用情况分析</w:t>
      </w:r>
      <w:r>
        <w:rPr>
          <w:rStyle w:val="a8"/>
          <w:rFonts w:ascii="楷体" w:eastAsia="楷体" w:hAnsi="楷体" w:hint="eastAsia"/>
          <w:b w:val="0"/>
          <w:bCs w:val="0"/>
          <w:spacing w:val="-4"/>
          <w:sz w:val="32"/>
          <w:szCs w:val="32"/>
        </w:rPr>
        <w:br/>
        <w:t>截至2024年12月31日，本项目实际支付资金103.58万元，预算执行率100%，本项目资金主要用于支付人员经费34.61万元、办公费用26.58万元，村卫生室下拨资金42.39万元。</w:t>
      </w:r>
    </w:p>
    <w:p w:rsidR="00CE01D4" w:rsidRDefault="009C5AA6">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CE01D4" w:rsidRDefault="009C5AA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1.总体目标</w:t>
      </w:r>
      <w:r>
        <w:rPr>
          <w:rStyle w:val="a8"/>
          <w:rFonts w:ascii="楷体" w:eastAsia="楷体" w:hAnsi="楷体" w:hint="eastAsia"/>
          <w:b w:val="0"/>
          <w:bCs w:val="0"/>
          <w:spacing w:val="-4"/>
          <w:sz w:val="32"/>
          <w:szCs w:val="32"/>
        </w:rPr>
        <w:br/>
        <w:t>通过项目投入103.58万元，做好基本公共卫生服务的组织实施、</w:t>
      </w:r>
      <w:r>
        <w:rPr>
          <w:rStyle w:val="a8"/>
          <w:rFonts w:ascii="楷体" w:eastAsia="楷体" w:hAnsi="楷体" w:hint="eastAsia"/>
          <w:b w:val="0"/>
          <w:bCs w:val="0"/>
          <w:spacing w:val="-4"/>
          <w:sz w:val="32"/>
          <w:szCs w:val="32"/>
        </w:rPr>
        <w:lastRenderedPageBreak/>
        <w:t>人员培训、数据填报、后勤保障，建档立卡、追踪随访、做到体检与“健康咨询、健康教育、重大疾病”相结合，对体检结果的异常及时随访，对需要转院的疑难重症患者，畅通“绿色通道”协助到上级医院进行救治，提高居民对基本公共卫生服务政策的认可度，使居民健康意识不断提高。</w:t>
      </w:r>
      <w:r>
        <w:rPr>
          <w:rStyle w:val="a8"/>
          <w:rFonts w:ascii="楷体" w:eastAsia="楷体" w:hAnsi="楷体" w:hint="eastAsia"/>
          <w:b w:val="0"/>
          <w:bCs w:val="0"/>
          <w:spacing w:val="-4"/>
          <w:sz w:val="32"/>
          <w:szCs w:val="32"/>
        </w:rPr>
        <w:br/>
        <w:t>2.阶段性目标</w:t>
      </w:r>
      <w:r>
        <w:rPr>
          <w:rStyle w:val="a8"/>
          <w:rFonts w:ascii="楷体" w:eastAsia="楷体" w:hAnsi="楷体" w:hint="eastAsia"/>
          <w:b w:val="0"/>
          <w:bCs w:val="0"/>
          <w:spacing w:val="-4"/>
          <w:sz w:val="32"/>
          <w:szCs w:val="32"/>
        </w:rPr>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Pr>
          <w:rStyle w:val="a8"/>
          <w:rFonts w:ascii="楷体" w:eastAsia="楷体" w:hAnsi="楷体" w:hint="eastAsia"/>
          <w:b w:val="0"/>
          <w:bCs w:val="0"/>
          <w:spacing w:val="-4"/>
          <w:sz w:val="32"/>
          <w:szCs w:val="32"/>
        </w:rPr>
        <w:br/>
        <w:t>（1）项目产出指标</w:t>
      </w:r>
      <w:r>
        <w:rPr>
          <w:rStyle w:val="a8"/>
          <w:rFonts w:ascii="楷体" w:eastAsia="楷体" w:hAnsi="楷体" w:hint="eastAsia"/>
          <w:b w:val="0"/>
          <w:bCs w:val="0"/>
          <w:spacing w:val="-4"/>
          <w:sz w:val="32"/>
          <w:szCs w:val="32"/>
        </w:rPr>
        <w:br/>
        <w:t>①数量指标</w:t>
      </w:r>
      <w:r>
        <w:rPr>
          <w:rStyle w:val="a8"/>
          <w:rFonts w:ascii="楷体" w:eastAsia="楷体" w:hAnsi="楷体" w:hint="eastAsia"/>
          <w:b w:val="0"/>
          <w:bCs w:val="0"/>
          <w:spacing w:val="-4"/>
          <w:sz w:val="32"/>
          <w:szCs w:val="32"/>
        </w:rPr>
        <w:br/>
        <w:t>“65岁以上老年人健康管理人次”指标，预期指标值为“≥1711人”；</w:t>
      </w:r>
      <w:r>
        <w:rPr>
          <w:rStyle w:val="a8"/>
          <w:rFonts w:ascii="楷体" w:eastAsia="楷体" w:hAnsi="楷体" w:hint="eastAsia"/>
          <w:b w:val="0"/>
          <w:bCs w:val="0"/>
          <w:spacing w:val="-4"/>
          <w:sz w:val="32"/>
          <w:szCs w:val="32"/>
        </w:rPr>
        <w:br/>
        <w:t>②质量指标</w:t>
      </w:r>
      <w:r>
        <w:rPr>
          <w:rStyle w:val="a8"/>
          <w:rFonts w:ascii="楷体" w:eastAsia="楷体" w:hAnsi="楷体" w:hint="eastAsia"/>
          <w:b w:val="0"/>
          <w:bCs w:val="0"/>
          <w:spacing w:val="-4"/>
          <w:sz w:val="32"/>
          <w:szCs w:val="32"/>
        </w:rPr>
        <w:br/>
        <w:t>“高血压规范管理率”指标，预期指标值为“≥88%”；</w:t>
      </w:r>
      <w:r>
        <w:rPr>
          <w:rStyle w:val="a8"/>
          <w:rFonts w:ascii="楷体" w:eastAsia="楷体" w:hAnsi="楷体" w:hint="eastAsia"/>
          <w:b w:val="0"/>
          <w:bCs w:val="0"/>
          <w:spacing w:val="-4"/>
          <w:sz w:val="32"/>
          <w:szCs w:val="32"/>
        </w:rPr>
        <w:br/>
        <w:t>③质量指标</w:t>
      </w:r>
      <w:r>
        <w:rPr>
          <w:rStyle w:val="a8"/>
          <w:rFonts w:ascii="楷体" w:eastAsia="楷体" w:hAnsi="楷体" w:hint="eastAsia"/>
          <w:b w:val="0"/>
          <w:bCs w:val="0"/>
          <w:spacing w:val="-4"/>
          <w:sz w:val="32"/>
          <w:szCs w:val="32"/>
        </w:rPr>
        <w:br/>
        <w:t>“肺结核患者管理率”指标，预期指标值为“≥95%”；</w:t>
      </w:r>
      <w:r>
        <w:rPr>
          <w:rStyle w:val="a8"/>
          <w:rFonts w:ascii="楷体" w:eastAsia="楷体" w:hAnsi="楷体" w:hint="eastAsia"/>
          <w:b w:val="0"/>
          <w:bCs w:val="0"/>
          <w:spacing w:val="-4"/>
          <w:sz w:val="32"/>
          <w:szCs w:val="32"/>
        </w:rPr>
        <w:br/>
        <w:t>③时效指标</w:t>
      </w:r>
      <w:r>
        <w:rPr>
          <w:rStyle w:val="a8"/>
          <w:rFonts w:ascii="楷体" w:eastAsia="楷体" w:hAnsi="楷体" w:hint="eastAsia"/>
          <w:b w:val="0"/>
          <w:bCs w:val="0"/>
          <w:spacing w:val="-4"/>
          <w:sz w:val="32"/>
          <w:szCs w:val="32"/>
        </w:rPr>
        <w:br/>
        <w:t>“资金拨付及时率”指标，预期指标值为“=100%”；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（2）项目成本指标</w:t>
      </w:r>
      <w:r>
        <w:rPr>
          <w:rStyle w:val="a8"/>
          <w:rFonts w:ascii="楷体" w:eastAsia="楷体" w:hAnsi="楷体" w:hint="eastAsia"/>
          <w:b w:val="0"/>
          <w:bCs w:val="0"/>
          <w:spacing w:val="-4"/>
          <w:sz w:val="32"/>
          <w:szCs w:val="32"/>
        </w:rPr>
        <w:br/>
        <w:t>①经济成本指标</w:t>
      </w:r>
      <w:r>
        <w:rPr>
          <w:rStyle w:val="a8"/>
          <w:rFonts w:ascii="楷体" w:eastAsia="楷体" w:hAnsi="楷体" w:hint="eastAsia"/>
          <w:b w:val="0"/>
          <w:bCs w:val="0"/>
          <w:spacing w:val="-4"/>
          <w:sz w:val="32"/>
          <w:szCs w:val="32"/>
        </w:rPr>
        <w:br/>
        <w:t>“人员经费”指标，预期指标值为“≦34.61万”；</w:t>
      </w:r>
      <w:r>
        <w:rPr>
          <w:rStyle w:val="a8"/>
          <w:rFonts w:ascii="楷体" w:eastAsia="楷体" w:hAnsi="楷体" w:hint="eastAsia"/>
          <w:b w:val="0"/>
          <w:bCs w:val="0"/>
          <w:spacing w:val="-4"/>
          <w:sz w:val="32"/>
          <w:szCs w:val="32"/>
        </w:rPr>
        <w:br/>
        <w:t>“办公经费成本”指标，预期指标值为“≦26.58万”；</w:t>
      </w:r>
      <w:r>
        <w:rPr>
          <w:rStyle w:val="a8"/>
          <w:rFonts w:ascii="楷体" w:eastAsia="楷体" w:hAnsi="楷体" w:hint="eastAsia"/>
          <w:b w:val="0"/>
          <w:bCs w:val="0"/>
          <w:spacing w:val="-4"/>
          <w:sz w:val="32"/>
          <w:szCs w:val="32"/>
        </w:rPr>
        <w:br/>
        <w:t>“村卫生室下拨资金”指标，预期指标值为“≦42.39万”；</w:t>
      </w:r>
      <w:r>
        <w:rPr>
          <w:rStyle w:val="a8"/>
          <w:rFonts w:ascii="楷体" w:eastAsia="楷体" w:hAnsi="楷体" w:hint="eastAsia"/>
          <w:b w:val="0"/>
          <w:bCs w:val="0"/>
          <w:spacing w:val="-4"/>
          <w:sz w:val="32"/>
          <w:szCs w:val="32"/>
        </w:rPr>
        <w:br/>
        <w:t>②社会成本指标</w:t>
      </w:r>
      <w:r>
        <w:rPr>
          <w:rStyle w:val="a8"/>
          <w:rFonts w:ascii="楷体" w:eastAsia="楷体" w:hAnsi="楷体" w:hint="eastAsia"/>
          <w:b w:val="0"/>
          <w:bCs w:val="0"/>
          <w:spacing w:val="-4"/>
          <w:sz w:val="32"/>
          <w:szCs w:val="32"/>
        </w:rPr>
        <w:br/>
        <w:t>无此类指标；</w:t>
      </w:r>
      <w:r>
        <w:rPr>
          <w:rStyle w:val="a8"/>
          <w:rFonts w:ascii="楷体" w:eastAsia="楷体" w:hAnsi="楷体" w:hint="eastAsia"/>
          <w:b w:val="0"/>
          <w:bCs w:val="0"/>
          <w:spacing w:val="-4"/>
          <w:sz w:val="32"/>
          <w:szCs w:val="32"/>
        </w:rPr>
        <w:br/>
        <w:t>③生态环境成本指标</w:t>
      </w:r>
      <w:r>
        <w:rPr>
          <w:rStyle w:val="a8"/>
          <w:rFonts w:ascii="楷体" w:eastAsia="楷体" w:hAnsi="楷体" w:hint="eastAsia"/>
          <w:b w:val="0"/>
          <w:bCs w:val="0"/>
          <w:spacing w:val="-4"/>
          <w:sz w:val="32"/>
          <w:szCs w:val="32"/>
        </w:rPr>
        <w:br/>
        <w:t>无此类指标；</w:t>
      </w:r>
      <w:r>
        <w:rPr>
          <w:rStyle w:val="a8"/>
          <w:rFonts w:ascii="楷体" w:eastAsia="楷体" w:hAnsi="楷体" w:hint="eastAsia"/>
          <w:b w:val="0"/>
          <w:bCs w:val="0"/>
          <w:spacing w:val="-4"/>
          <w:sz w:val="32"/>
          <w:szCs w:val="32"/>
        </w:rPr>
        <w:br/>
        <w:t>（3）项目效益指标</w:t>
      </w:r>
      <w:r>
        <w:rPr>
          <w:rStyle w:val="a8"/>
          <w:rFonts w:ascii="楷体" w:eastAsia="楷体" w:hAnsi="楷体" w:hint="eastAsia"/>
          <w:b w:val="0"/>
          <w:bCs w:val="0"/>
          <w:spacing w:val="-4"/>
          <w:sz w:val="32"/>
          <w:szCs w:val="32"/>
        </w:rPr>
        <w:br/>
        <w:t>①经济效益指标</w:t>
      </w:r>
      <w:r>
        <w:rPr>
          <w:rStyle w:val="a8"/>
          <w:rFonts w:ascii="楷体" w:eastAsia="楷体" w:hAnsi="楷体" w:hint="eastAsia"/>
          <w:b w:val="0"/>
          <w:bCs w:val="0"/>
          <w:spacing w:val="-4"/>
          <w:sz w:val="32"/>
          <w:szCs w:val="32"/>
        </w:rPr>
        <w:br/>
        <w:t>无此类指标；</w:t>
      </w:r>
      <w:r>
        <w:rPr>
          <w:rStyle w:val="a8"/>
          <w:rFonts w:ascii="楷体" w:eastAsia="楷体" w:hAnsi="楷体" w:hint="eastAsia"/>
          <w:b w:val="0"/>
          <w:bCs w:val="0"/>
          <w:spacing w:val="-4"/>
          <w:sz w:val="32"/>
          <w:szCs w:val="32"/>
        </w:rPr>
        <w:br/>
        <w:t>②社会效益指标</w:t>
      </w:r>
      <w:r>
        <w:rPr>
          <w:rStyle w:val="a8"/>
          <w:rFonts w:ascii="楷体" w:eastAsia="楷体" w:hAnsi="楷体" w:hint="eastAsia"/>
          <w:b w:val="0"/>
          <w:bCs w:val="0"/>
          <w:spacing w:val="-4"/>
          <w:sz w:val="32"/>
          <w:szCs w:val="32"/>
        </w:rPr>
        <w:br/>
        <w:t>“辖区居民健康水平不断提高”指标，预期指标值为“有效提高”；</w:t>
      </w:r>
      <w:r>
        <w:rPr>
          <w:rStyle w:val="a8"/>
          <w:rFonts w:ascii="楷体" w:eastAsia="楷体" w:hAnsi="楷体" w:hint="eastAsia"/>
          <w:b w:val="0"/>
          <w:bCs w:val="0"/>
          <w:spacing w:val="-4"/>
          <w:sz w:val="32"/>
          <w:szCs w:val="32"/>
        </w:rPr>
        <w:br/>
        <w:t>③生态效益指标</w:t>
      </w:r>
      <w:r>
        <w:rPr>
          <w:rStyle w:val="a8"/>
          <w:rFonts w:ascii="楷体" w:eastAsia="楷体" w:hAnsi="楷体" w:hint="eastAsia"/>
          <w:b w:val="0"/>
          <w:bCs w:val="0"/>
          <w:spacing w:val="-4"/>
          <w:sz w:val="32"/>
          <w:szCs w:val="32"/>
        </w:rPr>
        <w:br/>
        <w:t>无此类指标；</w:t>
      </w:r>
      <w:r>
        <w:rPr>
          <w:rStyle w:val="a8"/>
          <w:rFonts w:ascii="楷体" w:eastAsia="楷体" w:hAnsi="楷体" w:hint="eastAsia"/>
          <w:b w:val="0"/>
          <w:bCs w:val="0"/>
          <w:spacing w:val="-4"/>
          <w:sz w:val="32"/>
          <w:szCs w:val="32"/>
        </w:rPr>
        <w:br/>
        <w:t>（4）项目满意度指标</w:t>
      </w:r>
      <w:r>
        <w:rPr>
          <w:rStyle w:val="a8"/>
          <w:rFonts w:ascii="楷体" w:eastAsia="楷体" w:hAnsi="楷体" w:hint="eastAsia"/>
          <w:b w:val="0"/>
          <w:bCs w:val="0"/>
          <w:spacing w:val="-4"/>
          <w:sz w:val="32"/>
          <w:szCs w:val="32"/>
        </w:rPr>
        <w:br/>
        <w:t>①满意度指标</w:t>
      </w:r>
      <w:r>
        <w:rPr>
          <w:rStyle w:val="a8"/>
          <w:rFonts w:ascii="楷体" w:eastAsia="楷体" w:hAnsi="楷体" w:hint="eastAsia"/>
          <w:b w:val="0"/>
          <w:bCs w:val="0"/>
          <w:spacing w:val="-4"/>
          <w:sz w:val="32"/>
          <w:szCs w:val="32"/>
        </w:rPr>
        <w:br/>
        <w:t>“目标群众满意度”指标，预期指标值为“≥90%”。</w:t>
      </w:r>
    </w:p>
    <w:p w:rsidR="00CE01D4" w:rsidRDefault="009C5AA6">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CE01D4" w:rsidRDefault="009C5AA6">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CE01D4" w:rsidRDefault="009C5AA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（一）绩效评价的目的、对象和范围</w:t>
      </w:r>
      <w:r>
        <w:rPr>
          <w:rStyle w:val="a8"/>
          <w:rFonts w:ascii="楷体" w:eastAsia="楷体" w:hAnsi="楷体" w:hint="eastAsia"/>
          <w:b w:val="0"/>
          <w:bCs w:val="0"/>
          <w:spacing w:val="-4"/>
          <w:sz w:val="32"/>
          <w:szCs w:val="32"/>
        </w:rPr>
        <w:br/>
        <w:t>1.绩效评价的目的</w:t>
      </w:r>
      <w:r>
        <w:rPr>
          <w:rStyle w:val="a8"/>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w:t>
      </w:r>
      <w:r>
        <w:rPr>
          <w:rStyle w:val="a8"/>
          <w:rFonts w:ascii="楷体" w:eastAsia="楷体" w:hAnsi="楷体" w:hint="eastAsia"/>
          <w:b w:val="0"/>
          <w:bCs w:val="0"/>
          <w:spacing w:val="-4"/>
          <w:sz w:val="32"/>
          <w:szCs w:val="32"/>
        </w:rPr>
        <w:lastRenderedPageBreak/>
        <w:t>《项目支出绩效评价管理办法》（财预〔2020〕10号）、《自治区财政支出绩效评价管理暂行办法》（新财预〔2018〕189号）、2024年《关于印发&lt;自治区项目支出绩效目标设置指引&gt;的通知》（新财预〔2022〕42号）文件精神，我单位针对2024年提前下达中央财政基本公共卫生服务补助资金预算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a8"/>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a8"/>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w:t>
      </w:r>
      <w:r>
        <w:rPr>
          <w:rStyle w:val="a8"/>
          <w:rFonts w:ascii="楷体" w:eastAsia="楷体" w:hAnsi="楷体" w:hint="eastAsia"/>
          <w:b w:val="0"/>
          <w:bCs w:val="0"/>
          <w:spacing w:val="-4"/>
          <w:sz w:val="32"/>
          <w:szCs w:val="32"/>
        </w:rPr>
        <w:lastRenderedPageBreak/>
        <w:t>全覆盖、全过程”的绩效预算管理新体制。</w:t>
      </w:r>
      <w:r>
        <w:rPr>
          <w:rStyle w:val="a8"/>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a8"/>
          <w:rFonts w:ascii="楷体" w:eastAsia="楷体" w:hAnsi="楷体" w:hint="eastAsia"/>
          <w:b w:val="0"/>
          <w:bCs w:val="0"/>
          <w:spacing w:val="-4"/>
          <w:sz w:val="32"/>
          <w:szCs w:val="32"/>
        </w:rPr>
        <w:br/>
        <w:t>2.绩效评价对象</w:t>
      </w:r>
      <w:r>
        <w:rPr>
          <w:rStyle w:val="a8"/>
          <w:rFonts w:ascii="楷体" w:eastAsia="楷体" w:hAnsi="楷体" w:hint="eastAsia"/>
          <w:b w:val="0"/>
          <w:bCs w:val="0"/>
          <w:spacing w:val="-4"/>
          <w:sz w:val="32"/>
          <w:szCs w:val="32"/>
        </w:rPr>
        <w:br/>
        <w:t>此次我单位根据《财政支出绩效评价管理暂行办法》（财预〔2020〕10号）文件要求实施评价工作，本次评价对象为2024年提前下达中央基本公共卫生服务补助资金项目，评价核心为项目资金、项目产出、项目效益。</w:t>
      </w:r>
      <w:r>
        <w:rPr>
          <w:rStyle w:val="a8"/>
          <w:rFonts w:ascii="楷体" w:eastAsia="楷体" w:hAnsi="楷体" w:hint="eastAsia"/>
          <w:b w:val="0"/>
          <w:bCs w:val="0"/>
          <w:spacing w:val="-4"/>
          <w:sz w:val="32"/>
          <w:szCs w:val="32"/>
        </w:rPr>
        <w:br/>
        <w:t>3.绩效评价范围</w:t>
      </w:r>
      <w:r>
        <w:rPr>
          <w:rStyle w:val="a8"/>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rsidR="00CE01D4" w:rsidRDefault="009C5AA6">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CE01D4" w:rsidRDefault="009C5AA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1.绩效评价原则</w:t>
      </w:r>
      <w:r>
        <w:rPr>
          <w:rStyle w:val="a8"/>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Style w:val="a8"/>
          <w:rFonts w:ascii="楷体" w:eastAsia="楷体" w:hAnsi="楷体" w:hint="eastAsia"/>
          <w:b w:val="0"/>
          <w:bCs w:val="0"/>
          <w:spacing w:val="-4"/>
          <w:sz w:val="32"/>
          <w:szCs w:val="32"/>
        </w:rPr>
        <w:br/>
        <w:t>（1）科学公正。绩效评价应当运用科学合理的方法，按照规范</w:t>
      </w:r>
      <w:r>
        <w:rPr>
          <w:rStyle w:val="a8"/>
          <w:rFonts w:ascii="楷体" w:eastAsia="楷体" w:hAnsi="楷体" w:hint="eastAsia"/>
          <w:b w:val="0"/>
          <w:bCs w:val="0"/>
          <w:spacing w:val="-4"/>
          <w:sz w:val="32"/>
          <w:szCs w:val="32"/>
        </w:rPr>
        <w:lastRenderedPageBreak/>
        <w:t>的程序，对项目绩效进行客观、公正地反映。</w:t>
      </w:r>
      <w:r>
        <w:rPr>
          <w:rStyle w:val="a8"/>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t>（4）公开透明。绩效评价结果应依法依规公开，并自觉接受社会监督。</w:t>
      </w:r>
      <w:r>
        <w:rPr>
          <w:rStyle w:val="a8"/>
          <w:rFonts w:ascii="楷体" w:eastAsia="楷体" w:hAnsi="楷体" w:hint="eastAsia"/>
          <w:b w:val="0"/>
          <w:bCs w:val="0"/>
          <w:spacing w:val="-4"/>
          <w:sz w:val="32"/>
          <w:szCs w:val="32"/>
        </w:rPr>
        <w:br/>
        <w:t>根据以上原则，绩效评价应遵循如下要求：</w:t>
      </w:r>
      <w:r>
        <w:rPr>
          <w:rStyle w:val="a8"/>
          <w:rFonts w:ascii="楷体" w:eastAsia="楷体" w:hAnsi="楷体" w:hint="eastAsia"/>
          <w:b w:val="0"/>
          <w:bCs w:val="0"/>
          <w:spacing w:val="-4"/>
          <w:sz w:val="32"/>
          <w:szCs w:val="32"/>
        </w:rPr>
        <w:br/>
        <w:t>①在数据采集时，采取客观数据，主管部门审查、社会中介组织复查，与问卷调查相结合的形式，以保证各项指标的真实性。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br/>
        <w:t>②保证评价结果的真实性、公正性，提高评价报告的公信力。</w:t>
      </w:r>
      <w:r>
        <w:rPr>
          <w:rStyle w:val="a8"/>
          <w:rFonts w:ascii="楷体" w:eastAsia="楷体" w:hAnsi="楷体" w:hint="eastAsia"/>
          <w:b w:val="0"/>
          <w:bCs w:val="0"/>
          <w:spacing w:val="-4"/>
          <w:sz w:val="32"/>
          <w:szCs w:val="32"/>
        </w:rPr>
        <w:br/>
        <w:t>③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a8"/>
          <w:rFonts w:ascii="楷体" w:eastAsia="楷体" w:hAnsi="楷体" w:hint="eastAsia"/>
          <w:b w:val="0"/>
          <w:bCs w:val="0"/>
          <w:spacing w:val="-4"/>
          <w:sz w:val="32"/>
          <w:szCs w:val="32"/>
        </w:rPr>
        <w:br/>
        <w:t>2.绩效评价指标体系</w:t>
      </w:r>
      <w:r>
        <w:rPr>
          <w:rStyle w:val="a8"/>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w:t>
      </w:r>
      <w:r>
        <w:rPr>
          <w:rStyle w:val="a8"/>
          <w:rFonts w:ascii="楷体" w:eastAsia="楷体" w:hAnsi="楷体" w:hint="eastAsia"/>
          <w:b w:val="0"/>
          <w:bCs w:val="0"/>
          <w:spacing w:val="-4"/>
          <w:sz w:val="32"/>
          <w:szCs w:val="32"/>
        </w:rPr>
        <w:lastRenderedPageBreak/>
        <w:t>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Style w:val="a8"/>
          <w:rFonts w:ascii="楷体" w:eastAsia="楷体" w:hAnsi="楷体" w:hint="eastAsia"/>
          <w:b w:val="0"/>
          <w:bCs w:val="0"/>
          <w:spacing w:val="-4"/>
          <w:sz w:val="32"/>
          <w:szCs w:val="32"/>
        </w:rPr>
        <w:br/>
        <w:t>3.评价方法</w:t>
      </w:r>
      <w:r>
        <w:rPr>
          <w:rStyle w:val="a8"/>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8"/>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Pr>
          <w:rStyle w:val="a8"/>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w:t>
      </w:r>
      <w:r>
        <w:rPr>
          <w:rStyle w:val="a8"/>
          <w:rFonts w:ascii="楷体" w:eastAsia="楷体" w:hAnsi="楷体" w:hint="eastAsia"/>
          <w:b w:val="0"/>
          <w:bCs w:val="0"/>
          <w:spacing w:val="-4"/>
          <w:sz w:val="32"/>
          <w:szCs w:val="32"/>
        </w:rPr>
        <w:lastRenderedPageBreak/>
        <w:t>部分实现目标、实现目标程度较低三档，分别按照该指标对应分值区间100.00%（含）-80.00%（含）、80.00%-60.00%（含）、60.00%-0.00%合理确定分值，详细评价方法的应用如下：</w:t>
      </w:r>
      <w:r>
        <w:rPr>
          <w:rStyle w:val="a8"/>
          <w:rFonts w:ascii="楷体" w:eastAsia="楷体" w:hAnsi="楷体" w:hint="eastAsia"/>
          <w:b w:val="0"/>
          <w:bCs w:val="0"/>
          <w:spacing w:val="-4"/>
          <w:sz w:val="32"/>
          <w:szCs w:val="32"/>
        </w:rPr>
        <w:br/>
        <w:t>立项依据充分性：比较法、文献法，查找法律法规政策以及规划，对比实际执行内容和政策支持内容是否匹配。</w:t>
      </w:r>
      <w:r>
        <w:rPr>
          <w:rStyle w:val="a8"/>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Pr>
          <w:rStyle w:val="a8"/>
          <w:rFonts w:ascii="楷体" w:eastAsia="楷体" w:hAnsi="楷体" w:hint="eastAsia"/>
          <w:b w:val="0"/>
          <w:bCs w:val="0"/>
          <w:spacing w:val="-4"/>
          <w:sz w:val="32"/>
          <w:szCs w:val="32"/>
        </w:rPr>
        <w:br/>
        <w:t>绩效目标合理性：比较法，对比分析年初编制项目支出绩效目标表与项目内容的相关性、资金的匹配性等。</w:t>
      </w:r>
      <w:r>
        <w:rPr>
          <w:rStyle w:val="a8"/>
          <w:rFonts w:ascii="楷体" w:eastAsia="楷体" w:hAnsi="楷体" w:hint="eastAsia"/>
          <w:b w:val="0"/>
          <w:bCs w:val="0"/>
          <w:spacing w:val="-4"/>
          <w:sz w:val="32"/>
          <w:szCs w:val="32"/>
        </w:rPr>
        <w:br/>
        <w:t>绩效指标明确性：比较法，比较分析年初编制项目支出绩效目标表是否符合双七原则，是否可衡量。</w:t>
      </w:r>
      <w:r>
        <w:rPr>
          <w:rStyle w:val="a8"/>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Pr>
          <w:rStyle w:val="a8"/>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Pr>
          <w:rStyle w:val="a8"/>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t>管理制度健全性：文献法、比较法，查阅项目实施人员提供的财</w:t>
      </w:r>
      <w:r>
        <w:rPr>
          <w:rStyle w:val="a8"/>
          <w:rFonts w:ascii="楷体" w:eastAsia="楷体" w:hAnsi="楷体" w:hint="eastAsia"/>
          <w:b w:val="0"/>
          <w:bCs w:val="0"/>
          <w:spacing w:val="-4"/>
          <w:sz w:val="32"/>
          <w:szCs w:val="32"/>
        </w:rPr>
        <w:lastRenderedPageBreak/>
        <w:t>务和业务管理制度，将已建立的制度与现行的法律法规和政策要求进行对比，分析项目制度的合法性、合规性、完整性。</w:t>
      </w:r>
      <w:r>
        <w:rPr>
          <w:rStyle w:val="a8"/>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Pr>
          <w:rStyle w:val="a8"/>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br/>
        <w:t>4.评价标准</w:t>
      </w:r>
      <w:r>
        <w:rPr>
          <w:rStyle w:val="a8"/>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Pr>
          <w:rStyle w:val="a8"/>
          <w:rFonts w:ascii="楷体" w:eastAsia="楷体" w:hAnsi="楷体" w:hint="eastAsia"/>
          <w:b w:val="0"/>
          <w:bCs w:val="0"/>
          <w:spacing w:val="-4"/>
          <w:sz w:val="32"/>
          <w:szCs w:val="32"/>
        </w:rPr>
        <w:br/>
        <w:t>计划标准：指以预先制定的目标、计划、预算、定额等作为评价标准。</w:t>
      </w:r>
      <w:r>
        <w:rPr>
          <w:rStyle w:val="a8"/>
          <w:rFonts w:ascii="楷体" w:eastAsia="楷体" w:hAnsi="楷体" w:hint="eastAsia"/>
          <w:b w:val="0"/>
          <w:bCs w:val="0"/>
          <w:spacing w:val="-4"/>
          <w:sz w:val="32"/>
          <w:szCs w:val="32"/>
        </w:rPr>
        <w:br/>
        <w:t>行业标准：指参照国家公布的行业指标数据制定的评价标准。</w:t>
      </w:r>
      <w:r>
        <w:rPr>
          <w:rStyle w:val="a8"/>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w:t>
      </w:r>
      <w:r>
        <w:rPr>
          <w:rStyle w:val="a8"/>
          <w:rFonts w:ascii="楷体" w:eastAsia="楷体" w:hAnsi="楷体" w:hint="eastAsia"/>
          <w:b w:val="0"/>
          <w:bCs w:val="0"/>
          <w:spacing w:val="-4"/>
          <w:sz w:val="32"/>
          <w:szCs w:val="32"/>
        </w:rPr>
        <w:lastRenderedPageBreak/>
        <w:t>量指标，通过公式等方式予以量化，可以准确衡量，并设定目标值的考核指标。</w:t>
      </w:r>
    </w:p>
    <w:p w:rsidR="00CE01D4" w:rsidRDefault="009C5AA6">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CE01D4" w:rsidRDefault="009C5AA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1.前期准备</w:t>
      </w:r>
      <w:r>
        <w:rPr>
          <w:rStyle w:val="a8"/>
          <w:rFonts w:ascii="楷体" w:eastAsia="楷体" w:hAnsi="楷体" w:hint="eastAsia"/>
          <w:b w:val="0"/>
          <w:bCs w:val="0"/>
          <w:spacing w:val="-4"/>
          <w:sz w:val="32"/>
          <w:szCs w:val="32"/>
        </w:rPr>
        <w:br/>
        <w:t>我单位于2025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8"/>
          <w:rFonts w:ascii="楷体" w:eastAsia="楷体" w:hAnsi="楷体" w:hint="eastAsia"/>
          <w:b w:val="0"/>
          <w:bCs w:val="0"/>
          <w:spacing w:val="-4"/>
          <w:sz w:val="32"/>
          <w:szCs w:val="32"/>
        </w:rPr>
        <w:br/>
        <w:t>努尔古丽（评价小组组长）：主要负责项目策划和监督，全面负责项目绩效评价报告的最终质量，对评价人员出具的最终报告质量进行复核，确保评估结果的客观性；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t>代琴琴（评价小组组员）：主要负责项目报告的制定，指标的研判，负责资料的收集，取证、数据统计分析数据分析及报告撰写。</w:t>
      </w:r>
      <w:r>
        <w:rPr>
          <w:rStyle w:val="a8"/>
          <w:rFonts w:ascii="楷体" w:eastAsia="楷体" w:hAnsi="楷体" w:hint="eastAsia"/>
          <w:b w:val="0"/>
          <w:bCs w:val="0"/>
          <w:spacing w:val="-4"/>
          <w:sz w:val="32"/>
          <w:szCs w:val="32"/>
        </w:rPr>
        <w:br/>
        <w:t>2.组织实施</w:t>
      </w:r>
      <w:r>
        <w:rPr>
          <w:rStyle w:val="a8"/>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a8"/>
          <w:rFonts w:ascii="楷体" w:eastAsia="楷体" w:hAnsi="楷体" w:hint="eastAsia"/>
          <w:b w:val="0"/>
          <w:bCs w:val="0"/>
          <w:spacing w:val="-4"/>
          <w:sz w:val="32"/>
          <w:szCs w:val="32"/>
        </w:rPr>
        <w:br/>
        <w:t>3.分析评价</w:t>
      </w:r>
      <w:r>
        <w:rPr>
          <w:rStyle w:val="a8"/>
          <w:rFonts w:ascii="楷体" w:eastAsia="楷体" w:hAnsi="楷体" w:hint="eastAsia"/>
          <w:b w:val="0"/>
          <w:bCs w:val="0"/>
          <w:spacing w:val="-4"/>
          <w:sz w:val="32"/>
          <w:szCs w:val="32"/>
        </w:rPr>
        <w:br/>
        <w:t xml:space="preserve">2025年5月15日-5月20日，评价小组按照绩效评价的原则和规范，对取得的资料进行审查核实，对采集的数据进行分析，按照绩效评价指标评分表逐项进行打分、分析、汇总各方评价结果。　</w:t>
      </w:r>
      <w:r>
        <w:rPr>
          <w:rStyle w:val="a8"/>
          <w:rFonts w:ascii="楷体" w:eastAsia="楷体" w:hAnsi="楷体" w:hint="eastAsia"/>
          <w:b w:val="0"/>
          <w:bCs w:val="0"/>
          <w:spacing w:val="-4"/>
          <w:sz w:val="32"/>
          <w:szCs w:val="32"/>
        </w:rPr>
        <w:br/>
        <w:t>4.撰写与提交评价报告</w:t>
      </w:r>
      <w:r>
        <w:rPr>
          <w:rStyle w:val="a8"/>
          <w:rFonts w:ascii="楷体" w:eastAsia="楷体" w:hAnsi="楷体" w:hint="eastAsia"/>
          <w:b w:val="0"/>
          <w:bCs w:val="0"/>
          <w:spacing w:val="-4"/>
          <w:sz w:val="32"/>
          <w:szCs w:val="32"/>
        </w:rPr>
        <w:br/>
        <w:t>2025年5月21日-5月28日，评价小组撰写绩效评价报告，按照新疆维吾尔自治区财政绩效管理信息系统绩效评价模块中统</w:t>
      </w:r>
      <w:r>
        <w:rPr>
          <w:rStyle w:val="a8"/>
          <w:rFonts w:ascii="楷体" w:eastAsia="楷体" w:hAnsi="楷体" w:hint="eastAsia"/>
          <w:b w:val="0"/>
          <w:bCs w:val="0"/>
          <w:spacing w:val="-4"/>
          <w:sz w:val="32"/>
          <w:szCs w:val="32"/>
        </w:rPr>
        <w:lastRenderedPageBreak/>
        <w:t>一格式和文本框架撰写绩效评价报告并提交审核。</w:t>
      </w:r>
      <w:r>
        <w:rPr>
          <w:rStyle w:val="a8"/>
          <w:rFonts w:ascii="楷体" w:eastAsia="楷体" w:hAnsi="楷体" w:hint="eastAsia"/>
          <w:b w:val="0"/>
          <w:bCs w:val="0"/>
          <w:spacing w:val="-4"/>
          <w:sz w:val="32"/>
          <w:szCs w:val="32"/>
        </w:rPr>
        <w:br/>
        <w:t>5.问题整改</w:t>
      </w:r>
      <w:r>
        <w:rPr>
          <w:rStyle w:val="a8"/>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t>6.档案整理</w:t>
      </w:r>
      <w:r>
        <w:rPr>
          <w:rStyle w:val="a8"/>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rsidR="00CE01D4" w:rsidRDefault="009C5AA6">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CE01D4" w:rsidRDefault="009C5AA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t>经评价，本项目部分达成年初设立的绩效目标，解决了看病难看病贵解决基本民生问题化解社会矛盾问题，达到减少健康危险因素预防控制传染病效果，在实施过程中取得了良好的成效，具体表现在：通过项目投入103.58万元，做好基本公共卫生服务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基本公共卫生服务政策的认可度，使辖区居民健康意识不断提高。</w:t>
      </w:r>
      <w:r>
        <w:rPr>
          <w:rStyle w:val="a8"/>
          <w:rFonts w:ascii="楷体" w:eastAsia="楷体" w:hAnsi="楷体" w:hint="eastAsia"/>
          <w:b w:val="0"/>
          <w:bCs w:val="0"/>
          <w:spacing w:val="-4"/>
          <w:sz w:val="32"/>
          <w:szCs w:val="32"/>
        </w:rPr>
        <w:br/>
        <w:t>（二）评价结论</w:t>
      </w:r>
      <w:r>
        <w:rPr>
          <w:rStyle w:val="a8"/>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此次绩效评价通过绩效评价小组论证的评价指标体系及评分标准，采用因素分析法和比较法对本项目绩效进行客观评价，最终评分结果：总分为98.5分，绩效评级为“优”。综合评价结论如</w:t>
      </w:r>
      <w:r>
        <w:rPr>
          <w:rStyle w:val="a8"/>
          <w:rFonts w:ascii="楷体" w:eastAsia="楷体" w:hAnsi="楷体" w:hint="eastAsia"/>
          <w:b w:val="0"/>
          <w:bCs w:val="0"/>
          <w:spacing w:val="-4"/>
          <w:sz w:val="32"/>
          <w:szCs w:val="32"/>
        </w:rPr>
        <w:lastRenderedPageBreak/>
        <w:t>下：本项目共设置三级指标数量20个，实现三级指标数量20个，总体完成率为100%。项目决策类指标共设置6个，满分指标6个，得分率100%；过程管理类指标共设置5个，满分指标5个，得分率100%；项目产出类指标共设置7个，满分指标6个，得分率95%；项目效益类指标共设置1个，满分指标1个，得分率100%；项目满意度类指标共设置1个，满分指标1个，得分率100%。详细情况见“表3-1：项目综合得分表”及“附件2：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t>表3-1：项目综合得分表</w:t>
      </w:r>
      <w:r>
        <w:rPr>
          <w:rStyle w:val="a8"/>
          <w:rFonts w:ascii="楷体" w:eastAsia="楷体" w:hAnsi="楷体" w:hint="eastAsia"/>
          <w:b w:val="0"/>
          <w:bCs w:val="0"/>
          <w:spacing w:val="-4"/>
          <w:sz w:val="32"/>
          <w:szCs w:val="32"/>
        </w:rPr>
        <w:br/>
        <w:t>指标 决策类 管理类 产出类 效益类 满意度类 合计</w:t>
      </w:r>
      <w:r>
        <w:rPr>
          <w:rStyle w:val="a8"/>
          <w:rFonts w:ascii="楷体" w:eastAsia="楷体" w:hAnsi="楷体" w:hint="eastAsia"/>
          <w:b w:val="0"/>
          <w:bCs w:val="0"/>
          <w:spacing w:val="-4"/>
          <w:sz w:val="32"/>
          <w:szCs w:val="32"/>
        </w:rPr>
        <w:br/>
        <w:t>权重 21.00 19.00 30.00 20.00 10.00 100.00</w:t>
      </w:r>
      <w:r>
        <w:rPr>
          <w:rStyle w:val="a8"/>
          <w:rFonts w:ascii="楷体" w:eastAsia="楷体" w:hAnsi="楷体" w:hint="eastAsia"/>
          <w:b w:val="0"/>
          <w:bCs w:val="0"/>
          <w:spacing w:val="-4"/>
          <w:sz w:val="32"/>
          <w:szCs w:val="32"/>
        </w:rPr>
        <w:br/>
        <w:t>得分 21.00 19.00 28.85 20.00 10.00 98.5</w:t>
      </w:r>
      <w:r>
        <w:rPr>
          <w:rStyle w:val="a8"/>
          <w:rFonts w:ascii="楷体" w:eastAsia="楷体" w:hAnsi="楷体" w:hint="eastAsia"/>
          <w:b w:val="0"/>
          <w:bCs w:val="0"/>
          <w:spacing w:val="-4"/>
          <w:sz w:val="32"/>
          <w:szCs w:val="32"/>
        </w:rPr>
        <w:br/>
        <w:t>得分率 100% 100% 95% 100% 100% 98.5%</w:t>
      </w:r>
    </w:p>
    <w:p w:rsidR="00CE01D4" w:rsidRDefault="009C5AA6">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CE01D4" w:rsidRDefault="009C5AA6">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CE01D4" w:rsidRDefault="009C5AA6">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t>项目决策类指标由3个二级指标和6个三级指标构成，权重分21分，实际得分21分。</w:t>
      </w:r>
      <w:r>
        <w:rPr>
          <w:rStyle w:val="a8"/>
          <w:rFonts w:ascii="楷体" w:eastAsia="楷体" w:hAnsi="楷体" w:hint="eastAsia"/>
          <w:b w:val="0"/>
          <w:bCs w:val="0"/>
          <w:spacing w:val="-4"/>
          <w:sz w:val="32"/>
          <w:szCs w:val="32"/>
        </w:rPr>
        <w:br/>
        <w:t>1.项目立项情况分析</w:t>
      </w:r>
      <w:r>
        <w:rPr>
          <w:rStyle w:val="a8"/>
          <w:rFonts w:ascii="楷体" w:eastAsia="楷体" w:hAnsi="楷体" w:hint="eastAsia"/>
          <w:b w:val="0"/>
          <w:bCs w:val="0"/>
          <w:spacing w:val="-4"/>
          <w:sz w:val="32"/>
          <w:szCs w:val="32"/>
        </w:rPr>
        <w:br/>
        <w:t>（1）立项依据充分性</w:t>
      </w:r>
      <w:r>
        <w:rPr>
          <w:rStyle w:val="a8"/>
          <w:rFonts w:ascii="楷体" w:eastAsia="楷体" w:hAnsi="楷体" w:hint="eastAsia"/>
          <w:b w:val="0"/>
          <w:bCs w:val="0"/>
          <w:spacing w:val="-4"/>
          <w:sz w:val="32"/>
          <w:szCs w:val="32"/>
        </w:rPr>
        <w:br/>
        <w:t>本项目立项于2024年1月批复设立，2024年我单位根据《昌州财社2022年文件》（51号）文件要求组织实施该项目。项目立项符合国家法律法规、自治区和地区行业发展规划和政策要求，</w:t>
      </w:r>
      <w:r>
        <w:rPr>
          <w:rStyle w:val="a8"/>
          <w:rFonts w:ascii="楷体" w:eastAsia="楷体" w:hAnsi="楷体" w:hint="eastAsia"/>
          <w:b w:val="0"/>
          <w:bCs w:val="0"/>
          <w:spacing w:val="-4"/>
          <w:sz w:val="32"/>
          <w:szCs w:val="32"/>
        </w:rPr>
        <w:lastRenderedPageBreak/>
        <w:t>属于我单位履职所需；属于公共财政支持范围，符合中央、地方事权支出责任划分原则；经检查我单位财政管理一体化信息系统，本项目不存在重复。</w:t>
      </w:r>
      <w:r>
        <w:rPr>
          <w:rStyle w:val="a8"/>
          <w:rFonts w:ascii="楷体" w:eastAsia="楷体" w:hAnsi="楷体" w:hint="eastAsia"/>
          <w:b w:val="0"/>
          <w:bCs w:val="0"/>
          <w:spacing w:val="-4"/>
          <w:sz w:val="32"/>
          <w:szCs w:val="32"/>
        </w:rPr>
        <w:br/>
        <w:t>综上所述，本指标满分为5.00分，根据评分标准得5.00分，本项目立项依据充分。</w:t>
      </w:r>
      <w:r>
        <w:rPr>
          <w:rStyle w:val="a8"/>
          <w:rFonts w:ascii="楷体" w:eastAsia="楷体" w:hAnsi="楷体" w:hint="eastAsia"/>
          <w:b w:val="0"/>
          <w:bCs w:val="0"/>
          <w:spacing w:val="-4"/>
          <w:sz w:val="32"/>
          <w:szCs w:val="32"/>
        </w:rPr>
        <w:br/>
        <w:t>（2）立项程序规范性</w:t>
      </w:r>
      <w:r>
        <w:rPr>
          <w:rStyle w:val="a8"/>
          <w:rFonts w:ascii="楷体" w:eastAsia="楷体" w:hAnsi="楷体" w:hint="eastAsia"/>
          <w:b w:val="0"/>
          <w:bCs w:val="0"/>
          <w:spacing w:val="-4"/>
          <w:sz w:val="32"/>
          <w:szCs w:val="32"/>
        </w:rPr>
        <w:br/>
        <w:t>根据决策依据编制工作计划和经费预算，经过与部门市政府分管领导进行沟通、筛选确定经费预算计划，上党委会研究确定最终预算方案。根据评分标准，本指标满分为3.00分，根据评分标准得3.00分，本项目立项程序规范。</w:t>
      </w:r>
      <w:r>
        <w:rPr>
          <w:rStyle w:val="a8"/>
          <w:rFonts w:ascii="楷体" w:eastAsia="楷体" w:hAnsi="楷体" w:hint="eastAsia"/>
          <w:b w:val="0"/>
          <w:bCs w:val="0"/>
          <w:spacing w:val="-4"/>
          <w:sz w:val="32"/>
          <w:szCs w:val="32"/>
        </w:rPr>
        <w:br/>
        <w:t>2.绩效目标情况分析</w:t>
      </w:r>
      <w:r>
        <w:rPr>
          <w:rStyle w:val="a8"/>
          <w:rFonts w:ascii="楷体" w:eastAsia="楷体" w:hAnsi="楷体" w:hint="eastAsia"/>
          <w:b w:val="0"/>
          <w:bCs w:val="0"/>
          <w:spacing w:val="-4"/>
          <w:sz w:val="32"/>
          <w:szCs w:val="32"/>
        </w:rPr>
        <w:br/>
        <w:t>（1）绩效目标合理性</w:t>
      </w:r>
      <w:r>
        <w:rPr>
          <w:rStyle w:val="a8"/>
          <w:rFonts w:ascii="楷体" w:eastAsia="楷体" w:hAnsi="楷体" w:hint="eastAsia"/>
          <w:b w:val="0"/>
          <w:bCs w:val="0"/>
          <w:spacing w:val="-4"/>
          <w:sz w:val="32"/>
          <w:szCs w:val="32"/>
        </w:rPr>
        <w:br/>
        <w:t>①该项目已设置年度绩效目标，具体内容为“预算专项资金103.58万元。加强与社区、辖区居委会、下设站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w:t>
      </w:r>
      <w:r>
        <w:rPr>
          <w:rStyle w:val="a8"/>
          <w:rFonts w:ascii="楷体" w:eastAsia="楷体" w:hAnsi="楷体" w:hint="eastAsia"/>
          <w:b w:val="0"/>
          <w:bCs w:val="0"/>
          <w:spacing w:val="-4"/>
          <w:sz w:val="32"/>
          <w:szCs w:val="32"/>
        </w:rPr>
        <w:br/>
        <w:t>②该项目实际工作内容为：预算专项资金103.58万元。加强与社区、辖区居委会、下设站密切配合，及时协调，工作开展中有</w:t>
      </w:r>
      <w:r>
        <w:rPr>
          <w:rStyle w:val="a8"/>
          <w:rFonts w:ascii="楷体" w:eastAsia="楷体" w:hAnsi="楷体" w:hint="eastAsia"/>
          <w:b w:val="0"/>
          <w:bCs w:val="0"/>
          <w:spacing w:val="-4"/>
          <w:sz w:val="32"/>
          <w:szCs w:val="32"/>
        </w:rPr>
        <w:lastRenderedPageBreak/>
        <w:t>问题及时沟通，采取多部门宣传开展居民健康档案、健康教育、预防接种、传染病防治、儿童保健、孕产妇保健、老年人保健、慢性病管理、重性精神疾病管理、卫生监督协管、中医药健康管理、结核病患者健康管理、家庭医生签约服务、提高基本公卫知晓率和参与率，做好基本公卫和健康体检的组织实施、人员培训、数据填报、后勤保障，建档立卡、追踪随访、做到与“健康咨询、健康教育、重大疾病”相结合，对需要转院的疑难重症患者，畅通“绿色通道”协助到上级医院进行救治。</w:t>
      </w:r>
      <w:r>
        <w:rPr>
          <w:rStyle w:val="a8"/>
          <w:rFonts w:ascii="楷体" w:eastAsia="楷体" w:hAnsi="楷体" w:hint="eastAsia"/>
          <w:b w:val="0"/>
          <w:bCs w:val="0"/>
          <w:spacing w:val="-4"/>
          <w:sz w:val="32"/>
          <w:szCs w:val="32"/>
        </w:rPr>
        <w:br/>
        <w:t>③该项目按照绩效目标完成数量指标、质量指标、时效指标、成本指标，完成了基本公共卫生相关工作，达到基本公卫知晓率和参与率，基本公卫组织实施、人员培训、数据填报、后勤保障，建档立卡、追踪随访、做到与“健康咨询、健康教育、重大疾病”相结合效益，预期产出效益和效果符合正常的业绩水平。</w:t>
      </w:r>
      <w:r>
        <w:rPr>
          <w:rStyle w:val="a8"/>
          <w:rFonts w:ascii="楷体" w:eastAsia="楷体" w:hAnsi="楷体" w:hint="eastAsia"/>
          <w:b w:val="0"/>
          <w:bCs w:val="0"/>
          <w:spacing w:val="-4"/>
          <w:sz w:val="32"/>
          <w:szCs w:val="32"/>
        </w:rPr>
        <w:br/>
        <w:t>④该项目批复的预算金额为103.58万元，《项目支出绩效目标表》中预算金额为103.58万元，预算确定的项目资金与预算确定的项目投资额相匹配。</w:t>
      </w:r>
      <w:r>
        <w:rPr>
          <w:rStyle w:val="a8"/>
          <w:rFonts w:ascii="楷体" w:eastAsia="楷体" w:hAnsi="楷体" w:hint="eastAsia"/>
          <w:b w:val="0"/>
          <w:bCs w:val="0"/>
          <w:spacing w:val="-4"/>
          <w:sz w:val="32"/>
          <w:szCs w:val="32"/>
        </w:rPr>
        <w:br/>
        <w:t>综上所述，本指标满分为4.00分，根据评分4标准得分，本项目绩效目标设置合理。</w:t>
      </w:r>
      <w:r>
        <w:rPr>
          <w:rStyle w:val="a8"/>
          <w:rFonts w:ascii="楷体" w:eastAsia="楷体" w:hAnsi="楷体" w:hint="eastAsia"/>
          <w:b w:val="0"/>
          <w:bCs w:val="0"/>
          <w:spacing w:val="-4"/>
          <w:sz w:val="32"/>
          <w:szCs w:val="32"/>
        </w:rPr>
        <w:br/>
        <w:t>（2）绩效指标明确性</w:t>
      </w:r>
      <w:r>
        <w:rPr>
          <w:rStyle w:val="a8"/>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9个，定量指标8个，定性指标1个，指标量化率为88.89%，量化率达70.00%以上。</w:t>
      </w:r>
      <w:r>
        <w:rPr>
          <w:rStyle w:val="a8"/>
          <w:rFonts w:ascii="楷体" w:eastAsia="楷体" w:hAnsi="楷体" w:hint="eastAsia"/>
          <w:b w:val="0"/>
          <w:bCs w:val="0"/>
          <w:spacing w:val="-4"/>
          <w:sz w:val="32"/>
          <w:szCs w:val="32"/>
        </w:rPr>
        <w:br/>
        <w:t>该《项目绩效目标表》中，数量指标值为“&gt;=1711人”，质量指标“&gt;=88%”“&gt;=95%”，三级指标的年度指标值与年度绩效目标中</w:t>
      </w:r>
      <w:r>
        <w:rPr>
          <w:rStyle w:val="a8"/>
          <w:rFonts w:ascii="楷体" w:eastAsia="楷体" w:hAnsi="楷体" w:hint="eastAsia"/>
          <w:b w:val="0"/>
          <w:bCs w:val="0"/>
          <w:spacing w:val="-4"/>
          <w:sz w:val="32"/>
          <w:szCs w:val="32"/>
        </w:rPr>
        <w:lastRenderedPageBreak/>
        <w:t>任务数不完全一致，已设置时效指标“资金拨付及时率（%）”，已设置的绩效目标具备明确性、可衡量性、可实现性、相关性、时限性。</w:t>
      </w:r>
      <w:r>
        <w:rPr>
          <w:rStyle w:val="a8"/>
          <w:rFonts w:ascii="楷体" w:eastAsia="楷体" w:hAnsi="楷体" w:hint="eastAsia"/>
          <w:b w:val="0"/>
          <w:bCs w:val="0"/>
          <w:spacing w:val="-4"/>
          <w:sz w:val="32"/>
          <w:szCs w:val="32"/>
        </w:rPr>
        <w:br/>
        <w:t>综上所述，本指标满分为3.00分，根据评分标准得3分，本项目所设置绩效指标明确。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t>3.资金投入情况分析</w:t>
      </w:r>
      <w:r>
        <w:rPr>
          <w:rStyle w:val="a8"/>
          <w:rFonts w:ascii="楷体" w:eastAsia="楷体" w:hAnsi="楷体" w:hint="eastAsia"/>
          <w:b w:val="0"/>
          <w:bCs w:val="0"/>
          <w:spacing w:val="-4"/>
          <w:sz w:val="32"/>
          <w:szCs w:val="32"/>
        </w:rPr>
        <w:br/>
        <w:t>（1）预算编制科学性</w:t>
      </w:r>
      <w:r>
        <w:rPr>
          <w:rStyle w:val="a8"/>
          <w:rFonts w:ascii="楷体" w:eastAsia="楷体" w:hAnsi="楷体" w:hint="eastAsia"/>
          <w:b w:val="0"/>
          <w:bCs w:val="0"/>
          <w:spacing w:val="-4"/>
          <w:sz w:val="32"/>
          <w:szCs w:val="32"/>
        </w:rPr>
        <w:br/>
        <w:t>本项目提前下达2024年中央财政基本公共卫生服务补助资金预算，即预算编制较科学且经过论证；</w:t>
      </w:r>
      <w:r>
        <w:rPr>
          <w:rStyle w:val="a8"/>
          <w:rFonts w:ascii="楷体" w:eastAsia="楷体" w:hAnsi="楷体" w:hint="eastAsia"/>
          <w:b w:val="0"/>
          <w:bCs w:val="0"/>
          <w:spacing w:val="-4"/>
          <w:sz w:val="32"/>
          <w:szCs w:val="32"/>
        </w:rPr>
        <w:br/>
        <w:t>预算申请内容为基本公共卫生项目资金，项目实际内容为基本公共卫生项目资金，预算申请与《基本公共卫生项目实施方案》中涉及的项目内容匹配；</w:t>
      </w:r>
      <w:r>
        <w:rPr>
          <w:rStyle w:val="a8"/>
          <w:rFonts w:ascii="楷体" w:eastAsia="楷体" w:hAnsi="楷体" w:hint="eastAsia"/>
          <w:b w:val="0"/>
          <w:bCs w:val="0"/>
          <w:spacing w:val="-4"/>
          <w:sz w:val="32"/>
          <w:szCs w:val="32"/>
        </w:rPr>
        <w:br/>
        <w:t>本项目预算申请资金103.58万元，我单位在预算申请中严格按照项目实施内容及测算标准进行核算，其中：人员经费支出费用34.61万元、办公经费支出费用26.58万元、村卫生室下拨资金费用42.39万元。预算确定资金量与实际工作任务相匹配。本项目预算额度测算依据充分，严格按照标准编制，预算确定资金量与实际工作任务相匹配；</w:t>
      </w:r>
      <w:r>
        <w:rPr>
          <w:rStyle w:val="a8"/>
          <w:rFonts w:ascii="楷体" w:eastAsia="楷体" w:hAnsi="楷体" w:hint="eastAsia"/>
          <w:b w:val="0"/>
          <w:bCs w:val="0"/>
          <w:spacing w:val="-4"/>
          <w:sz w:val="32"/>
          <w:szCs w:val="32"/>
        </w:rPr>
        <w:br/>
        <w:t>综上所述，本指标满分为4.00分，根据评分标准得4分，本项目预算编制科学。</w:t>
      </w:r>
      <w:r>
        <w:rPr>
          <w:rStyle w:val="a8"/>
          <w:rFonts w:ascii="楷体" w:eastAsia="楷体" w:hAnsi="楷体" w:hint="eastAsia"/>
          <w:b w:val="0"/>
          <w:bCs w:val="0"/>
          <w:spacing w:val="-4"/>
          <w:sz w:val="32"/>
          <w:szCs w:val="32"/>
        </w:rPr>
        <w:br/>
        <w:t>（2）资金分配合理性</w:t>
      </w:r>
      <w:r>
        <w:rPr>
          <w:rStyle w:val="a8"/>
          <w:rFonts w:ascii="楷体" w:eastAsia="楷体" w:hAnsi="楷体" w:hint="eastAsia"/>
          <w:b w:val="0"/>
          <w:bCs w:val="0"/>
          <w:spacing w:val="-4"/>
          <w:sz w:val="32"/>
          <w:szCs w:val="32"/>
        </w:rPr>
        <w:br/>
        <w:t>本项目实际分配资金以《关于申请提前下达2024年中央财政基本公共卫生服务补助资金预算项目资金的请示》和《2024年基本公共卫生服务项目实施方案》为依据进行资金分配，预算资金</w:t>
      </w:r>
      <w:r>
        <w:rPr>
          <w:rStyle w:val="a8"/>
          <w:rFonts w:ascii="楷体" w:eastAsia="楷体" w:hAnsi="楷体" w:hint="eastAsia"/>
          <w:b w:val="0"/>
          <w:bCs w:val="0"/>
          <w:spacing w:val="-4"/>
          <w:sz w:val="32"/>
          <w:szCs w:val="32"/>
        </w:rPr>
        <w:lastRenderedPageBreak/>
        <w:t>分配依据充分。根据《新疆维吾尔自治区卫生健康委员会文件》（昌州财社〔2023〕104号），本项目实际到位资金103.58万元，资金分配额度合理，与我单位实际需求相适应。</w:t>
      </w:r>
      <w:r>
        <w:rPr>
          <w:rStyle w:val="a8"/>
          <w:rFonts w:ascii="楷体" w:eastAsia="楷体" w:hAnsi="楷体" w:hint="eastAsia"/>
          <w:b w:val="0"/>
          <w:bCs w:val="0"/>
          <w:spacing w:val="-4"/>
          <w:sz w:val="32"/>
          <w:szCs w:val="32"/>
        </w:rPr>
        <w:br/>
        <w:t>综上所述，本指标满分为2.00分，根据评分标准得2.00分，本项目资金分配合理。</w:t>
      </w:r>
      <w:r>
        <w:rPr>
          <w:rStyle w:val="a8"/>
          <w:rFonts w:ascii="楷体" w:eastAsia="楷体" w:hAnsi="楷体" w:hint="eastAsia"/>
          <w:b w:val="0"/>
          <w:bCs w:val="0"/>
          <w:spacing w:val="-4"/>
          <w:sz w:val="32"/>
          <w:szCs w:val="32"/>
        </w:rPr>
        <w:tab/>
      </w:r>
    </w:p>
    <w:p w:rsidR="00CE01D4" w:rsidRDefault="009C5AA6">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CE01D4" w:rsidRDefault="009C5AA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项目过程管理类指标由2个二级指标和5个三级指标构成，权重分19.00分，实际得分19.00分。</w:t>
      </w:r>
      <w:r>
        <w:rPr>
          <w:rStyle w:val="a8"/>
          <w:rFonts w:ascii="楷体" w:eastAsia="楷体" w:hAnsi="楷体" w:hint="eastAsia"/>
          <w:b w:val="0"/>
          <w:bCs w:val="0"/>
          <w:spacing w:val="-4"/>
          <w:sz w:val="32"/>
          <w:szCs w:val="32"/>
        </w:rPr>
        <w:br/>
        <w:t>1.资金管理情况分析</w:t>
      </w:r>
      <w:r>
        <w:rPr>
          <w:rStyle w:val="a8"/>
          <w:rFonts w:ascii="楷体" w:eastAsia="楷体" w:hAnsi="楷体" w:hint="eastAsia"/>
          <w:b w:val="0"/>
          <w:bCs w:val="0"/>
          <w:spacing w:val="-4"/>
          <w:sz w:val="32"/>
          <w:szCs w:val="32"/>
        </w:rPr>
        <w:br/>
        <w:t>（1）资金到位率</w:t>
      </w:r>
      <w:r>
        <w:rPr>
          <w:rStyle w:val="a8"/>
          <w:rFonts w:ascii="楷体" w:eastAsia="楷体" w:hAnsi="楷体" w:hint="eastAsia"/>
          <w:b w:val="0"/>
          <w:bCs w:val="0"/>
          <w:spacing w:val="-4"/>
          <w:sz w:val="32"/>
          <w:szCs w:val="32"/>
        </w:rPr>
        <w:br/>
        <w:t>本项目预算资金为103.58万元，其中：财政安排资金103.58万元，其他资金0万元，实际到位资金103.58万元，资金到位率=（103.58/103.58）×100.00%100%。得分=（100%-60.00%）/（1-60.00%）×4.00=4.00分。</w:t>
      </w:r>
      <w:r>
        <w:rPr>
          <w:rStyle w:val="a8"/>
          <w:rFonts w:ascii="楷体" w:eastAsia="楷体" w:hAnsi="楷体" w:hint="eastAsia"/>
          <w:b w:val="0"/>
          <w:bCs w:val="0"/>
          <w:spacing w:val="-4"/>
          <w:sz w:val="32"/>
          <w:szCs w:val="32"/>
        </w:rPr>
        <w:br/>
        <w:t>综上所述，本指标满分为4.00分，根据评分标准得4.00分，本项目资金分配合理。</w:t>
      </w:r>
      <w:r>
        <w:rPr>
          <w:rStyle w:val="a8"/>
          <w:rFonts w:ascii="楷体" w:eastAsia="楷体" w:hAnsi="楷体" w:hint="eastAsia"/>
          <w:b w:val="0"/>
          <w:bCs w:val="0"/>
          <w:spacing w:val="-4"/>
          <w:sz w:val="32"/>
          <w:szCs w:val="32"/>
        </w:rPr>
        <w:br/>
        <w:t>（2）预算执行率</w:t>
      </w:r>
      <w:r>
        <w:rPr>
          <w:rStyle w:val="a8"/>
          <w:rFonts w:ascii="楷体" w:eastAsia="楷体" w:hAnsi="楷体" w:hint="eastAsia"/>
          <w:b w:val="0"/>
          <w:bCs w:val="0"/>
          <w:spacing w:val="-4"/>
          <w:sz w:val="32"/>
          <w:szCs w:val="32"/>
        </w:rPr>
        <w:br/>
        <w:t>本项目实际支出资金103.58万元，预算执行率=100%；</w:t>
      </w:r>
      <w:r>
        <w:rPr>
          <w:rStyle w:val="a8"/>
          <w:rFonts w:ascii="楷体" w:eastAsia="楷体" w:hAnsi="楷体" w:hint="eastAsia"/>
          <w:b w:val="0"/>
          <w:bCs w:val="0"/>
          <w:spacing w:val="-4"/>
          <w:sz w:val="32"/>
          <w:szCs w:val="32"/>
        </w:rPr>
        <w:br/>
        <w:t>项目已完成，总体完成率为105%；</w:t>
      </w:r>
      <w:r>
        <w:rPr>
          <w:rStyle w:val="a8"/>
          <w:rFonts w:ascii="楷体" w:eastAsia="楷体" w:hAnsi="楷体" w:hint="eastAsia"/>
          <w:b w:val="0"/>
          <w:bCs w:val="0"/>
          <w:spacing w:val="-4"/>
          <w:sz w:val="32"/>
          <w:szCs w:val="32"/>
        </w:rPr>
        <w:br/>
        <w:t>得分=（100%-60.00%）/（1-60.00%）×90=%×5.00=5分。</w:t>
      </w:r>
      <w:r>
        <w:rPr>
          <w:rStyle w:val="a8"/>
          <w:rFonts w:ascii="楷体" w:eastAsia="楷体" w:hAnsi="楷体" w:hint="eastAsia"/>
          <w:b w:val="0"/>
          <w:bCs w:val="0"/>
          <w:spacing w:val="-4"/>
          <w:sz w:val="32"/>
          <w:szCs w:val="32"/>
        </w:rPr>
        <w:br/>
        <w:t>综上所述，本指标满分为5.00分，根据评分标准得5.00分，本项目资金分配合理。</w:t>
      </w:r>
      <w:r>
        <w:rPr>
          <w:rStyle w:val="a8"/>
          <w:rFonts w:ascii="楷体" w:eastAsia="楷体" w:hAnsi="楷体" w:hint="eastAsia"/>
          <w:b w:val="0"/>
          <w:bCs w:val="0"/>
          <w:spacing w:val="-4"/>
          <w:sz w:val="32"/>
          <w:szCs w:val="32"/>
        </w:rPr>
        <w:br/>
        <w:t>（3）资金使用合规性</w:t>
      </w:r>
      <w:r>
        <w:rPr>
          <w:rStyle w:val="a8"/>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w:t>
      </w:r>
      <w:r>
        <w:rPr>
          <w:rStyle w:val="a8"/>
          <w:rFonts w:ascii="楷体" w:eastAsia="楷体" w:hAnsi="楷体" w:hint="eastAsia"/>
          <w:b w:val="0"/>
          <w:bCs w:val="0"/>
          <w:spacing w:val="-4"/>
          <w:sz w:val="32"/>
          <w:szCs w:val="32"/>
        </w:rPr>
        <w:lastRenderedPageBreak/>
        <w:t>《昌吉市六工镇卫生院资金管理办法》《昌吉市六工镇卫生院基本公共卫生项目专项资金管理办法》，资金的拨付有完整的审批程序和手续，资金实际使用方向与预算批复用途一致，不存在截留、挤占、挪用、虚列支出的情况。</w:t>
      </w:r>
      <w:r>
        <w:rPr>
          <w:rStyle w:val="a8"/>
          <w:rFonts w:ascii="楷体" w:eastAsia="楷体" w:hAnsi="楷体" w:hint="eastAsia"/>
          <w:b w:val="0"/>
          <w:bCs w:val="0"/>
          <w:spacing w:val="-4"/>
          <w:sz w:val="32"/>
          <w:szCs w:val="32"/>
        </w:rPr>
        <w:br/>
        <w:t>综上所述，本指标满分为4.00分，根据评分标准得4.00分，资金支出符合我单位财务管理制度规定。</w:t>
      </w:r>
      <w:r>
        <w:rPr>
          <w:rStyle w:val="a8"/>
          <w:rFonts w:ascii="楷体" w:eastAsia="楷体" w:hAnsi="楷体" w:hint="eastAsia"/>
          <w:b w:val="0"/>
          <w:bCs w:val="0"/>
          <w:spacing w:val="-4"/>
          <w:sz w:val="32"/>
          <w:szCs w:val="32"/>
        </w:rPr>
        <w:br/>
        <w:t>2.组织实施情况分析</w:t>
      </w:r>
      <w:r>
        <w:rPr>
          <w:rStyle w:val="a8"/>
          <w:rFonts w:ascii="楷体" w:eastAsia="楷体" w:hAnsi="楷体" w:hint="eastAsia"/>
          <w:b w:val="0"/>
          <w:bCs w:val="0"/>
          <w:spacing w:val="-4"/>
          <w:sz w:val="32"/>
          <w:szCs w:val="32"/>
        </w:rPr>
        <w:br/>
        <w:t>（1）管理制度健全性</w:t>
      </w:r>
      <w:r>
        <w:rPr>
          <w:rStyle w:val="a8"/>
          <w:rFonts w:ascii="楷体" w:eastAsia="楷体" w:hAnsi="楷体" w:hint="eastAsia"/>
          <w:b w:val="0"/>
          <w:bCs w:val="0"/>
          <w:spacing w:val="-4"/>
          <w:sz w:val="32"/>
          <w:szCs w:val="32"/>
        </w:rPr>
        <w:br/>
        <w:t>我单位已制定《昌吉市六工镇卫生院专项资金管理办法》，上述已建立的制度均符合行政事业单位内控管理要求，财务和业务管理制度合法、合规、完整，本项目执行符合上述制度规定。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t>综上所述，本指标满分为2.00分，根据评分标准得2.00分，项目制度建设健全。</w:t>
      </w:r>
      <w:r>
        <w:rPr>
          <w:rStyle w:val="a8"/>
          <w:rFonts w:ascii="楷体" w:eastAsia="楷体" w:hAnsi="楷体" w:hint="eastAsia"/>
          <w:b w:val="0"/>
          <w:bCs w:val="0"/>
          <w:spacing w:val="-4"/>
          <w:sz w:val="32"/>
          <w:szCs w:val="32"/>
        </w:rPr>
        <w:br/>
        <w:t>（2）制度执行有效性</w:t>
      </w:r>
      <w:r>
        <w:rPr>
          <w:rStyle w:val="a8"/>
          <w:rFonts w:ascii="楷体" w:eastAsia="楷体" w:hAnsi="楷体" w:hint="eastAsia"/>
          <w:b w:val="0"/>
          <w:bCs w:val="0"/>
          <w:spacing w:val="-4"/>
          <w:sz w:val="32"/>
          <w:szCs w:val="32"/>
        </w:rPr>
        <w:br/>
        <w:t>①该项目的实施符合《昌吉市六工镇卫生院内部控制管理办法》《昌吉市六工镇卫生院内部控制管理制度》《昌吉市六工镇卫生院采购业务管理制度》《昌吉市六工镇卫生院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a8"/>
          <w:rFonts w:ascii="楷体" w:eastAsia="楷体" w:hAnsi="楷体" w:hint="eastAsia"/>
          <w:b w:val="0"/>
          <w:bCs w:val="0"/>
          <w:spacing w:val="-4"/>
          <w:sz w:val="32"/>
          <w:szCs w:val="32"/>
        </w:rPr>
        <w:br/>
        <w:t>②经现场查证项目合同书、验收评审表、财务支付凭证等资料齐全并及时归档。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③该项目实施过程中不存在调整事项。</w:t>
      </w:r>
      <w:r>
        <w:rPr>
          <w:rStyle w:val="a8"/>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昌吉市六工镇卫生服务中心基本公卫项目工作领导小组，由努尔古丽任组长，负责项目的组织工作；组员包括：代琴琴，主要负责项目监督管理、验收以及资金核拨等工作。</w:t>
      </w:r>
      <w:r>
        <w:rPr>
          <w:rStyle w:val="a8"/>
          <w:rFonts w:ascii="楷体" w:eastAsia="楷体" w:hAnsi="楷体" w:hint="eastAsia"/>
          <w:b w:val="0"/>
          <w:bCs w:val="0"/>
          <w:spacing w:val="-4"/>
          <w:sz w:val="32"/>
          <w:szCs w:val="32"/>
        </w:rPr>
        <w:br/>
        <w:t>综上所述，本指标满分为4.00分，根据评分标准得4.00分，本项目所建立制度执行有效。</w:t>
      </w:r>
    </w:p>
    <w:p w:rsidR="00CE01D4" w:rsidRDefault="009C5AA6">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CE01D4" w:rsidRDefault="009C5AA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项目产出类指标由4个二级指标和7个三级指标构成，权重分30分，实际得分28.5分。</w:t>
      </w:r>
      <w:r>
        <w:rPr>
          <w:rStyle w:val="a8"/>
          <w:rFonts w:ascii="楷体" w:eastAsia="楷体" w:hAnsi="楷体" w:hint="eastAsia"/>
          <w:b w:val="0"/>
          <w:bCs w:val="0"/>
          <w:spacing w:val="-4"/>
          <w:sz w:val="32"/>
          <w:szCs w:val="32"/>
        </w:rPr>
        <w:br/>
        <w:t>1.数量指标完成情况分析</w:t>
      </w:r>
      <w:r>
        <w:rPr>
          <w:rStyle w:val="a8"/>
          <w:rFonts w:ascii="楷体" w:eastAsia="楷体" w:hAnsi="楷体" w:hint="eastAsia"/>
          <w:b w:val="0"/>
          <w:bCs w:val="0"/>
          <w:spacing w:val="-4"/>
          <w:sz w:val="32"/>
          <w:szCs w:val="32"/>
        </w:rPr>
        <w:br/>
        <w:t>“65岁以上老年人健康管理人次”指标：预期指标值为“≥1711人”，根据“冠新软件老年人健康管理台账截图”可证，实际完成指标值为“=2228人”，指标完成率为130%。扣分原因分析：年初绩效目标值设置较低，导致完成率偏高。</w:t>
      </w:r>
      <w:r>
        <w:rPr>
          <w:rStyle w:val="a8"/>
          <w:rFonts w:ascii="楷体" w:eastAsia="楷体" w:hAnsi="楷体" w:hint="eastAsia"/>
          <w:b w:val="0"/>
          <w:bCs w:val="0"/>
          <w:spacing w:val="-4"/>
          <w:sz w:val="32"/>
          <w:szCs w:val="32"/>
        </w:rPr>
        <w:br/>
        <w:t>综上所述，本指标满分为5分，根据评分标准得3.5分。</w:t>
      </w:r>
      <w:r>
        <w:rPr>
          <w:rStyle w:val="a8"/>
          <w:rFonts w:ascii="楷体" w:eastAsia="楷体" w:hAnsi="楷体" w:hint="eastAsia"/>
          <w:b w:val="0"/>
          <w:bCs w:val="0"/>
          <w:spacing w:val="-4"/>
          <w:sz w:val="32"/>
          <w:szCs w:val="32"/>
        </w:rPr>
        <w:br/>
        <w:t>2.质量指标完成情况分析</w:t>
      </w:r>
      <w:r>
        <w:rPr>
          <w:rStyle w:val="a8"/>
          <w:rFonts w:ascii="楷体" w:eastAsia="楷体" w:hAnsi="楷体" w:hint="eastAsia"/>
          <w:b w:val="0"/>
          <w:bCs w:val="0"/>
          <w:spacing w:val="-4"/>
          <w:sz w:val="32"/>
          <w:szCs w:val="32"/>
        </w:rPr>
        <w:br/>
        <w:t>“高血压患者规范管理率”指标：预期指标值为“≧88%”，根据“冠新软件国家基本公卫报表截图”可证，实际完成指标值为“=96.86%”，指标完成率为110%。</w:t>
      </w:r>
      <w:r>
        <w:rPr>
          <w:rStyle w:val="a8"/>
          <w:rFonts w:ascii="楷体" w:eastAsia="楷体" w:hAnsi="楷体" w:hint="eastAsia"/>
          <w:b w:val="0"/>
          <w:bCs w:val="0"/>
          <w:spacing w:val="-4"/>
          <w:sz w:val="32"/>
          <w:szCs w:val="32"/>
        </w:rPr>
        <w:br/>
        <w:t>综上所述，本指标满分为5分，根据评分标准得5分。</w:t>
      </w:r>
      <w:r>
        <w:rPr>
          <w:rStyle w:val="a8"/>
          <w:rFonts w:ascii="楷体" w:eastAsia="楷体" w:hAnsi="楷体" w:hint="eastAsia"/>
          <w:b w:val="0"/>
          <w:bCs w:val="0"/>
          <w:spacing w:val="-4"/>
          <w:sz w:val="32"/>
          <w:szCs w:val="32"/>
        </w:rPr>
        <w:br/>
        <w:t>3.质量指标完成情况分析</w:t>
      </w:r>
      <w:r>
        <w:rPr>
          <w:rStyle w:val="a8"/>
          <w:rFonts w:ascii="楷体" w:eastAsia="楷体" w:hAnsi="楷体" w:hint="eastAsia"/>
          <w:b w:val="0"/>
          <w:bCs w:val="0"/>
          <w:spacing w:val="-4"/>
          <w:sz w:val="32"/>
          <w:szCs w:val="32"/>
        </w:rPr>
        <w:br/>
        <w:t>“肺结核患者管理率”指标：预期指标值为“≧95%”，根据“冠</w:t>
      </w:r>
      <w:r>
        <w:rPr>
          <w:rStyle w:val="a8"/>
          <w:rFonts w:ascii="楷体" w:eastAsia="楷体" w:hAnsi="楷体" w:hint="eastAsia"/>
          <w:b w:val="0"/>
          <w:bCs w:val="0"/>
          <w:spacing w:val="-4"/>
          <w:sz w:val="32"/>
          <w:szCs w:val="32"/>
        </w:rPr>
        <w:lastRenderedPageBreak/>
        <w:t>新软件国家基本公卫报表截图”可证，实际完成指标值为“=100%”，指标完成率为105%。</w:t>
      </w:r>
      <w:r>
        <w:rPr>
          <w:rStyle w:val="a8"/>
          <w:rFonts w:ascii="楷体" w:eastAsia="楷体" w:hAnsi="楷体" w:hint="eastAsia"/>
          <w:b w:val="0"/>
          <w:bCs w:val="0"/>
          <w:spacing w:val="-4"/>
          <w:sz w:val="32"/>
          <w:szCs w:val="32"/>
        </w:rPr>
        <w:br/>
        <w:t>综上所述，本指标满分为4分，根据评分标准得4分。</w:t>
      </w:r>
      <w:r>
        <w:rPr>
          <w:rStyle w:val="a8"/>
          <w:rFonts w:ascii="楷体" w:eastAsia="楷体" w:hAnsi="楷体" w:hint="eastAsia"/>
          <w:b w:val="0"/>
          <w:bCs w:val="0"/>
          <w:spacing w:val="-4"/>
          <w:sz w:val="32"/>
          <w:szCs w:val="32"/>
        </w:rPr>
        <w:br/>
        <w:t>4.时效指标完成情况分析</w:t>
      </w:r>
      <w:r>
        <w:rPr>
          <w:rStyle w:val="a8"/>
          <w:rFonts w:ascii="楷体" w:eastAsia="楷体" w:hAnsi="楷体" w:hint="eastAsia"/>
          <w:b w:val="0"/>
          <w:bCs w:val="0"/>
          <w:spacing w:val="-4"/>
          <w:sz w:val="32"/>
          <w:szCs w:val="32"/>
        </w:rPr>
        <w:br/>
        <w:t>“资金拨付及时率”指标：预期指标值为“=100%”，根据“2.0财务系统指标额度查询获取”可证，实际完成指标值为“=100%”，指标完成率为100%。</w:t>
      </w:r>
      <w:r>
        <w:rPr>
          <w:rStyle w:val="a8"/>
          <w:rFonts w:ascii="楷体" w:eastAsia="楷体" w:hAnsi="楷体" w:hint="eastAsia"/>
          <w:b w:val="0"/>
          <w:bCs w:val="0"/>
          <w:spacing w:val="-4"/>
          <w:sz w:val="32"/>
          <w:szCs w:val="32"/>
        </w:rPr>
        <w:br/>
        <w:t>综上所述，本指标满分为4分，根据评分标准得4分。</w:t>
      </w:r>
      <w:r>
        <w:rPr>
          <w:rStyle w:val="a8"/>
          <w:rFonts w:ascii="楷体" w:eastAsia="楷体" w:hAnsi="楷体" w:hint="eastAsia"/>
          <w:b w:val="0"/>
          <w:bCs w:val="0"/>
          <w:spacing w:val="-4"/>
          <w:sz w:val="32"/>
          <w:szCs w:val="32"/>
        </w:rPr>
        <w:br/>
        <w:t>4.成本指标完成情况分析</w:t>
      </w:r>
      <w:r>
        <w:rPr>
          <w:rStyle w:val="a8"/>
          <w:rFonts w:ascii="楷体" w:eastAsia="楷体" w:hAnsi="楷体" w:hint="eastAsia"/>
          <w:b w:val="0"/>
          <w:bCs w:val="0"/>
          <w:spacing w:val="-4"/>
          <w:sz w:val="32"/>
          <w:szCs w:val="32"/>
        </w:rPr>
        <w:br/>
        <w:t>（1）经济成本指标完成情况分析</w:t>
      </w:r>
      <w:r>
        <w:rPr>
          <w:rStyle w:val="a8"/>
          <w:rFonts w:ascii="楷体" w:eastAsia="楷体" w:hAnsi="楷体" w:hint="eastAsia"/>
          <w:b w:val="0"/>
          <w:bCs w:val="0"/>
          <w:spacing w:val="-4"/>
          <w:sz w:val="32"/>
          <w:szCs w:val="32"/>
        </w:rPr>
        <w:br/>
        <w:t>“人员经费支出”指标：预期指标值为“≦34.61万元”，根据“2.0财务系统国库集中支付明细表”可证，实际完成指标值为“=34.61万元”，指标完成率为100%。</w:t>
      </w:r>
      <w:r>
        <w:rPr>
          <w:rStyle w:val="a8"/>
          <w:rFonts w:ascii="楷体" w:eastAsia="楷体" w:hAnsi="楷体" w:hint="eastAsia"/>
          <w:b w:val="0"/>
          <w:bCs w:val="0"/>
          <w:spacing w:val="-4"/>
          <w:sz w:val="32"/>
          <w:szCs w:val="32"/>
        </w:rPr>
        <w:br/>
        <w:t>综上所述，本指标满分4分，根据评分标准得4分。</w:t>
      </w:r>
      <w:r>
        <w:rPr>
          <w:rStyle w:val="a8"/>
          <w:rFonts w:ascii="楷体" w:eastAsia="楷体" w:hAnsi="楷体" w:hint="eastAsia"/>
          <w:b w:val="0"/>
          <w:bCs w:val="0"/>
          <w:spacing w:val="-4"/>
          <w:sz w:val="32"/>
          <w:szCs w:val="32"/>
        </w:rPr>
        <w:br/>
        <w:t>“办公经费支出”指标：预期指标值为“≦26.58万元”，根据“2.0财务系统国库集中支付明细表”可证，实际完成指标值为“=26.58万元”，指标完成率为100%。</w:t>
      </w:r>
      <w:r>
        <w:rPr>
          <w:rStyle w:val="a8"/>
          <w:rFonts w:ascii="楷体" w:eastAsia="楷体" w:hAnsi="楷体" w:hint="eastAsia"/>
          <w:b w:val="0"/>
          <w:bCs w:val="0"/>
          <w:spacing w:val="-4"/>
          <w:sz w:val="32"/>
          <w:szCs w:val="32"/>
        </w:rPr>
        <w:br/>
        <w:t>综上所述，本指标满分为4分，根据评分标准得4分。</w:t>
      </w:r>
      <w:r>
        <w:rPr>
          <w:rStyle w:val="a8"/>
          <w:rFonts w:ascii="楷体" w:eastAsia="楷体" w:hAnsi="楷体" w:hint="eastAsia"/>
          <w:b w:val="0"/>
          <w:bCs w:val="0"/>
          <w:spacing w:val="-4"/>
          <w:sz w:val="32"/>
          <w:szCs w:val="32"/>
        </w:rPr>
        <w:br/>
        <w:t>“村卫生室下拨资金”指标：预期指标值为“≦42.39万元”，根据“2.0财务系统国库集中支付明细表”可证，实际完成指标值为“=42.39万元”，指标完成率为100%。</w:t>
      </w:r>
      <w:r>
        <w:rPr>
          <w:rStyle w:val="a8"/>
          <w:rFonts w:ascii="楷体" w:eastAsia="楷体" w:hAnsi="楷体" w:hint="eastAsia"/>
          <w:b w:val="0"/>
          <w:bCs w:val="0"/>
          <w:spacing w:val="-4"/>
          <w:sz w:val="32"/>
          <w:szCs w:val="32"/>
        </w:rPr>
        <w:br/>
        <w:t>综上所述，本指标满分为4分，根据评分标准得4分。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t>（2）社会成本指标完成情况分析</w:t>
      </w:r>
      <w:r>
        <w:rPr>
          <w:rStyle w:val="a8"/>
          <w:rFonts w:ascii="楷体" w:eastAsia="楷体" w:hAnsi="楷体" w:hint="eastAsia"/>
          <w:b w:val="0"/>
          <w:bCs w:val="0"/>
          <w:spacing w:val="-4"/>
          <w:sz w:val="32"/>
          <w:szCs w:val="32"/>
        </w:rPr>
        <w:b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（3）生态环境成本指标完成情况分析</w:t>
      </w:r>
      <w:r>
        <w:rPr>
          <w:rStyle w:val="a8"/>
          <w:rFonts w:ascii="楷体" w:eastAsia="楷体" w:hAnsi="楷体" w:hint="eastAsia"/>
          <w:b w:val="0"/>
          <w:bCs w:val="0"/>
          <w:spacing w:val="-4"/>
          <w:sz w:val="32"/>
          <w:szCs w:val="32"/>
        </w:rPr>
        <w:br/>
        <w:t>无此类指标。</w:t>
      </w:r>
    </w:p>
    <w:p w:rsidR="00CE01D4" w:rsidRDefault="009C5AA6">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CE01D4" w:rsidRDefault="009C5AA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项目效益类指标由1个二级指标和1个三级指标构成，权重分20.00分，实际得分20.00分。</w:t>
      </w:r>
      <w:r>
        <w:rPr>
          <w:rStyle w:val="a8"/>
          <w:rFonts w:ascii="楷体" w:eastAsia="楷体" w:hAnsi="楷体" w:hint="eastAsia"/>
          <w:b w:val="0"/>
          <w:bCs w:val="0"/>
          <w:spacing w:val="-4"/>
          <w:sz w:val="32"/>
          <w:szCs w:val="32"/>
        </w:rPr>
        <w:br/>
        <w:t>1.经济效益完成情况分析</w:t>
      </w:r>
      <w:r>
        <w:rPr>
          <w:rStyle w:val="a8"/>
          <w:rFonts w:ascii="楷体" w:eastAsia="楷体" w:hAnsi="楷体" w:hint="eastAsia"/>
          <w:b w:val="0"/>
          <w:bCs w:val="0"/>
          <w:spacing w:val="-4"/>
          <w:sz w:val="32"/>
          <w:szCs w:val="32"/>
        </w:rPr>
        <w:br/>
        <w:t>无此类指标。</w:t>
      </w:r>
      <w:r>
        <w:rPr>
          <w:rStyle w:val="a8"/>
          <w:rFonts w:ascii="楷体" w:eastAsia="楷体" w:hAnsi="楷体" w:hint="eastAsia"/>
          <w:b w:val="0"/>
          <w:bCs w:val="0"/>
          <w:spacing w:val="-4"/>
          <w:sz w:val="32"/>
          <w:szCs w:val="32"/>
        </w:rPr>
        <w:br/>
        <w:t>2.社会效益完成情况分析</w:t>
      </w:r>
      <w:r>
        <w:rPr>
          <w:rStyle w:val="a8"/>
          <w:rFonts w:ascii="楷体" w:eastAsia="楷体" w:hAnsi="楷体" w:hint="eastAsia"/>
          <w:b w:val="0"/>
          <w:bCs w:val="0"/>
          <w:spacing w:val="-4"/>
          <w:sz w:val="32"/>
          <w:szCs w:val="32"/>
        </w:rPr>
        <w:br/>
        <w:t>“辖区居民健康水平不断提高”指标：预期指标值为“有效提高”，根据“患者满意度调查表”可证，实际完成指标值为“达到预期指标”，指标完成率为100.00%。</w:t>
      </w:r>
      <w:r>
        <w:rPr>
          <w:rStyle w:val="a8"/>
          <w:rFonts w:ascii="楷体" w:eastAsia="楷体" w:hAnsi="楷体" w:hint="eastAsia"/>
          <w:b w:val="0"/>
          <w:bCs w:val="0"/>
          <w:spacing w:val="-4"/>
          <w:sz w:val="32"/>
          <w:szCs w:val="32"/>
        </w:rPr>
        <w:br/>
        <w:t>综上所述，本指标满分为20分，根据评分标准得20分。</w:t>
      </w:r>
      <w:r>
        <w:rPr>
          <w:rStyle w:val="a8"/>
          <w:rFonts w:ascii="楷体" w:eastAsia="楷体" w:hAnsi="楷体" w:hint="eastAsia"/>
          <w:b w:val="0"/>
          <w:bCs w:val="0"/>
          <w:spacing w:val="-4"/>
          <w:sz w:val="32"/>
          <w:szCs w:val="32"/>
        </w:rPr>
        <w:br/>
        <w:t>3.生态效益完成情况分析</w:t>
      </w:r>
      <w:r>
        <w:rPr>
          <w:rStyle w:val="a8"/>
          <w:rFonts w:ascii="楷体" w:eastAsia="楷体" w:hAnsi="楷体" w:hint="eastAsia"/>
          <w:b w:val="0"/>
          <w:bCs w:val="0"/>
          <w:spacing w:val="-4"/>
          <w:sz w:val="32"/>
          <w:szCs w:val="32"/>
        </w:rPr>
        <w:br/>
        <w:t>无此类指标。</w:t>
      </w:r>
    </w:p>
    <w:p w:rsidR="00CE01D4" w:rsidRDefault="009C5AA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项目满意度类指标由1个二级指标和1个三级指标构成，权重分10.00分，实际得分10.00分。</w:t>
      </w:r>
      <w:r>
        <w:rPr>
          <w:rStyle w:val="a8"/>
          <w:rFonts w:ascii="楷体" w:eastAsia="楷体" w:hAnsi="楷体" w:hint="eastAsia"/>
          <w:b w:val="0"/>
          <w:bCs w:val="0"/>
          <w:spacing w:val="-4"/>
          <w:sz w:val="32"/>
          <w:szCs w:val="32"/>
        </w:rPr>
        <w:br/>
        <w:t>1.满意度完成情况分析</w:t>
      </w:r>
      <w:r>
        <w:rPr>
          <w:rStyle w:val="a8"/>
          <w:rFonts w:ascii="楷体" w:eastAsia="楷体" w:hAnsi="楷体" w:hint="eastAsia"/>
          <w:b w:val="0"/>
          <w:bCs w:val="0"/>
          <w:spacing w:val="-4"/>
          <w:sz w:val="32"/>
          <w:szCs w:val="32"/>
        </w:rPr>
        <w:br/>
        <w:t>“目标群体满意度”指标：预期指标值为“≧90%”，根据“患者满意度调查表”可证，实际完成指标值为“=90%”，指标完成率为100%。</w:t>
      </w:r>
      <w:r>
        <w:rPr>
          <w:rStyle w:val="a8"/>
          <w:rFonts w:ascii="楷体" w:eastAsia="楷体" w:hAnsi="楷体" w:hint="eastAsia"/>
          <w:b w:val="0"/>
          <w:bCs w:val="0"/>
          <w:spacing w:val="-4"/>
          <w:sz w:val="32"/>
          <w:szCs w:val="32"/>
        </w:rPr>
        <w:br/>
        <w:t>综上所述，本指标满分为10分，根据评分标准得10分。</w:t>
      </w:r>
    </w:p>
    <w:p w:rsidR="00CE01D4" w:rsidRDefault="00CE01D4">
      <w:pPr>
        <w:spacing w:line="540" w:lineRule="exact"/>
        <w:ind w:firstLine="567"/>
        <w:rPr>
          <w:rStyle w:val="a8"/>
          <w:rFonts w:ascii="楷体" w:eastAsia="楷体" w:hAnsi="楷体"/>
          <w:b w:val="0"/>
          <w:bCs w:val="0"/>
          <w:spacing w:val="-4"/>
          <w:sz w:val="32"/>
          <w:szCs w:val="32"/>
        </w:rPr>
      </w:pPr>
    </w:p>
    <w:p w:rsidR="00CE01D4" w:rsidRDefault="00CE01D4">
      <w:pPr>
        <w:spacing w:line="540" w:lineRule="exact"/>
        <w:ind w:firstLine="567"/>
        <w:rPr>
          <w:rStyle w:val="a8"/>
          <w:rFonts w:ascii="楷体" w:eastAsia="楷体" w:hAnsi="楷体"/>
          <w:spacing w:val="-4"/>
          <w:sz w:val="32"/>
          <w:szCs w:val="32"/>
        </w:rPr>
      </w:pPr>
    </w:p>
    <w:p w:rsidR="00CE01D4" w:rsidRDefault="009C5AA6">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CE01D4" w:rsidRDefault="009C5AA6">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1.建立完善工作机制：成立专门的基本公共卫生服务项目工作领导小组，明确各部门和人员职责，制定详细的工作计划.流程和考核标准，确保各项工作有序开展。</w:t>
      </w:r>
      <w:r>
        <w:rPr>
          <w:rStyle w:val="a8"/>
          <w:rFonts w:ascii="楷体" w:eastAsia="楷体" w:hAnsi="楷体" w:hint="eastAsia"/>
          <w:b w:val="0"/>
          <w:bCs w:val="0"/>
          <w:spacing w:val="-4"/>
          <w:sz w:val="32"/>
          <w:szCs w:val="32"/>
        </w:rPr>
        <w:br/>
        <w:t>2.加强团队建设：定期组织培训，开展面对面或者下站现场指导，提高站室业务水平。</w:t>
      </w:r>
      <w:r>
        <w:rPr>
          <w:rStyle w:val="a8"/>
          <w:rFonts w:ascii="楷体" w:eastAsia="楷体" w:hAnsi="楷体" w:hint="eastAsia"/>
          <w:b w:val="0"/>
          <w:bCs w:val="0"/>
          <w:spacing w:val="-4"/>
          <w:sz w:val="32"/>
          <w:szCs w:val="32"/>
        </w:rPr>
        <w:br/>
        <w:t>3.开展广泛宣传：利用宣传栏.微信公众号.健康讲座等多种形式，广泛宣传基本公共卫生服务项目的内容和意义，提高居民知晓率和参与度。</w:t>
      </w:r>
      <w:r>
        <w:rPr>
          <w:rStyle w:val="a8"/>
          <w:rFonts w:ascii="楷体" w:eastAsia="楷体" w:hAnsi="楷体" w:hint="eastAsia"/>
          <w:b w:val="0"/>
          <w:bCs w:val="0"/>
          <w:spacing w:val="-4"/>
          <w:sz w:val="32"/>
          <w:szCs w:val="32"/>
        </w:rPr>
        <w:br/>
        <w:t>4.实施信息化管理：运用基本公共卫生服务信息系统，对居民健康档案.慢性病管理等进行信息化管理，提高工作效率和服务质量，便于及时跟踪和评估服务效果。</w:t>
      </w:r>
      <w:r>
        <w:rPr>
          <w:rStyle w:val="a8"/>
          <w:rFonts w:ascii="楷体" w:eastAsia="楷体" w:hAnsi="楷体" w:hint="eastAsia"/>
          <w:b w:val="0"/>
          <w:bCs w:val="0"/>
          <w:spacing w:val="-4"/>
          <w:sz w:val="32"/>
          <w:szCs w:val="32"/>
        </w:rPr>
        <w:br/>
        <w:t>5.强化部门协作：与社区居委会.学校.民政.公安等部门密切合作，共同推进基本公共卫生服务项目的实施。</w:t>
      </w:r>
      <w:r>
        <w:rPr>
          <w:rStyle w:val="a8"/>
          <w:rFonts w:ascii="楷体" w:eastAsia="楷体" w:hAnsi="楷体" w:hint="eastAsia"/>
          <w:b w:val="0"/>
          <w:bCs w:val="0"/>
          <w:spacing w:val="-4"/>
          <w:sz w:val="32"/>
          <w:szCs w:val="32"/>
        </w:rPr>
        <w:br/>
        <w:t>6.面对重大公共卫生事件，组织合理，医疗物资储备充足，人员调配畅通。</w:t>
      </w:r>
      <w:r>
        <w:rPr>
          <w:rStyle w:val="a8"/>
          <w:rFonts w:ascii="楷体" w:eastAsia="楷体" w:hAnsi="楷体" w:hint="eastAsia"/>
          <w:b w:val="0"/>
          <w:bCs w:val="0"/>
          <w:spacing w:val="-4"/>
          <w:sz w:val="32"/>
          <w:szCs w:val="32"/>
        </w:rPr>
        <w:br/>
        <w:t>（一）存在的问题及原因分析</w:t>
      </w:r>
      <w:r>
        <w:rPr>
          <w:rStyle w:val="a8"/>
          <w:rFonts w:ascii="楷体" w:eastAsia="楷体" w:hAnsi="楷体" w:hint="eastAsia"/>
          <w:b w:val="0"/>
          <w:bCs w:val="0"/>
          <w:spacing w:val="-4"/>
          <w:sz w:val="32"/>
          <w:szCs w:val="32"/>
        </w:rPr>
        <w:br/>
        <w:t>1、人员短缺与能力不均：部分社区卫生服务站人员流动性大，个别人员业务能力较弱的情况，影响服务质量和工作效率。</w:t>
      </w:r>
      <w:r>
        <w:rPr>
          <w:rStyle w:val="a8"/>
          <w:rFonts w:ascii="楷体" w:eastAsia="楷体" w:hAnsi="楷体" w:hint="eastAsia"/>
          <w:b w:val="0"/>
          <w:bCs w:val="0"/>
          <w:spacing w:val="-4"/>
          <w:sz w:val="32"/>
          <w:szCs w:val="32"/>
        </w:rPr>
        <w:br/>
        <w:t>2、居民配合度不高：部分居民对基本公共卫生服务项目的认识不够，存在不信任、不配合的现象，如拒绝参加体检、不按时服药等。</w:t>
      </w:r>
      <w:r>
        <w:rPr>
          <w:rStyle w:val="a8"/>
          <w:rFonts w:ascii="楷体" w:eastAsia="楷体" w:hAnsi="楷体" w:hint="eastAsia"/>
          <w:b w:val="0"/>
          <w:bCs w:val="0"/>
          <w:spacing w:val="-4"/>
          <w:sz w:val="32"/>
          <w:szCs w:val="32"/>
        </w:rPr>
        <w:br/>
        <w:t>3、服务质量参差不齐：在健康档案管理、慢性病随访等工作中，存在记录不规范、随访不及时、服务不到位等问题，影响服务质量和效果。 ？</w:t>
      </w:r>
      <w:r>
        <w:rPr>
          <w:rStyle w:val="a8"/>
          <w:rFonts w:ascii="楷体" w:eastAsia="楷体" w:hAnsi="楷体" w:hint="eastAsia"/>
          <w:b w:val="0"/>
          <w:bCs w:val="0"/>
          <w:spacing w:val="-4"/>
          <w:sz w:val="32"/>
          <w:szCs w:val="32"/>
        </w:rPr>
        <w:br/>
        <w:t>4、信息系统不完善：随着工作内容不断增加，信息系统存在功</w:t>
      </w:r>
      <w:r>
        <w:rPr>
          <w:rStyle w:val="a8"/>
          <w:rFonts w:ascii="楷体" w:eastAsia="楷体" w:hAnsi="楷体" w:hint="eastAsia"/>
          <w:b w:val="0"/>
          <w:bCs w:val="0"/>
          <w:spacing w:val="-4"/>
          <w:sz w:val="32"/>
          <w:szCs w:val="32"/>
        </w:rPr>
        <w:lastRenderedPageBreak/>
        <w:t>能不完善、数据共享困难等问题，不能很好地满足工作需求。</w:t>
      </w:r>
      <w:r>
        <w:rPr>
          <w:rStyle w:val="a8"/>
          <w:rFonts w:ascii="楷体" w:eastAsia="楷体" w:hAnsi="楷体" w:hint="eastAsia"/>
          <w:b w:val="0"/>
          <w:bCs w:val="0"/>
          <w:spacing w:val="-4"/>
          <w:sz w:val="32"/>
          <w:szCs w:val="32"/>
        </w:rPr>
        <w:br/>
        <w:t xml:space="preserve">5、应急响应速度不够迅速：面对突发重大公共卫生事件，启动应急预案有时不够迅速，影响整体应对效率。 </w:t>
      </w:r>
    </w:p>
    <w:p w:rsidR="00CE01D4" w:rsidRDefault="009C5AA6">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rsidR="00CE01D4" w:rsidRDefault="009C5AA6">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1.加强培训，提高相关人员工作水平</w:t>
      </w:r>
      <w:r>
        <w:rPr>
          <w:rStyle w:val="a8"/>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Pr>
          <w:rStyle w:val="a8"/>
          <w:rFonts w:ascii="楷体" w:eastAsia="楷体" w:hAnsi="楷体" w:hint="eastAsia"/>
          <w:b w:val="0"/>
          <w:bCs w:val="0"/>
          <w:spacing w:val="-4"/>
          <w:sz w:val="32"/>
          <w:szCs w:val="32"/>
        </w:rPr>
        <w:br/>
        <w:t>2.扎实推进档案规范化建设，提升档案管理水平</w:t>
      </w:r>
      <w:r>
        <w:rPr>
          <w:rStyle w:val="a8"/>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a8"/>
          <w:rFonts w:ascii="楷体" w:eastAsia="楷体" w:hAnsi="楷体" w:hint="eastAsia"/>
          <w:b w:val="0"/>
          <w:bCs w:val="0"/>
          <w:spacing w:val="-4"/>
          <w:sz w:val="32"/>
          <w:szCs w:val="32"/>
        </w:rPr>
        <w:br/>
        <w:t>3.高度重视，加强领导</w:t>
      </w:r>
      <w:r>
        <w:rPr>
          <w:rStyle w:val="a8"/>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rsidR="00CE01D4" w:rsidRDefault="009C5AA6">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rsidR="00CE01D4" w:rsidRDefault="009C5AA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无</w:t>
      </w:r>
    </w:p>
    <w:p w:rsidR="00CE01D4" w:rsidRDefault="00CE01D4">
      <w:pPr>
        <w:spacing w:line="540" w:lineRule="exact"/>
        <w:ind w:firstLine="567"/>
        <w:rPr>
          <w:rStyle w:val="a8"/>
          <w:rFonts w:ascii="仿宋" w:eastAsia="仿宋" w:hAnsi="仿宋"/>
          <w:b w:val="0"/>
          <w:spacing w:val="-4"/>
          <w:sz w:val="32"/>
          <w:szCs w:val="32"/>
        </w:rPr>
      </w:pPr>
    </w:p>
    <w:p w:rsidR="00CE01D4" w:rsidRDefault="00CE01D4">
      <w:pPr>
        <w:spacing w:line="540" w:lineRule="exact"/>
        <w:ind w:firstLine="567"/>
        <w:rPr>
          <w:rStyle w:val="a8"/>
          <w:rFonts w:ascii="仿宋" w:eastAsia="仿宋" w:hAnsi="仿宋"/>
          <w:b w:val="0"/>
          <w:spacing w:val="-4"/>
          <w:sz w:val="32"/>
          <w:szCs w:val="32"/>
        </w:rPr>
      </w:pPr>
    </w:p>
    <w:p w:rsidR="00CE01D4" w:rsidRDefault="00CE01D4">
      <w:pPr>
        <w:spacing w:line="540" w:lineRule="exact"/>
        <w:ind w:firstLine="567"/>
        <w:rPr>
          <w:rStyle w:val="a8"/>
          <w:rFonts w:ascii="仿宋" w:eastAsia="仿宋" w:hAnsi="仿宋"/>
          <w:b w:val="0"/>
          <w:spacing w:val="-4"/>
          <w:sz w:val="32"/>
          <w:szCs w:val="32"/>
        </w:rPr>
      </w:pPr>
    </w:p>
    <w:p w:rsidR="00CE01D4" w:rsidRDefault="00CE01D4">
      <w:pPr>
        <w:spacing w:line="540" w:lineRule="exact"/>
        <w:ind w:firstLine="567"/>
        <w:rPr>
          <w:rStyle w:val="a8"/>
          <w:rFonts w:ascii="仿宋" w:eastAsia="仿宋" w:hAnsi="仿宋"/>
          <w:b w:val="0"/>
          <w:spacing w:val="-4"/>
          <w:sz w:val="32"/>
          <w:szCs w:val="32"/>
        </w:rPr>
      </w:pPr>
    </w:p>
    <w:p w:rsidR="00CE01D4" w:rsidRDefault="00CE01D4">
      <w:pPr>
        <w:spacing w:line="540" w:lineRule="exact"/>
        <w:ind w:firstLine="567"/>
        <w:rPr>
          <w:rStyle w:val="a8"/>
          <w:rFonts w:ascii="仿宋" w:eastAsia="仿宋" w:hAnsi="仿宋"/>
          <w:b w:val="0"/>
          <w:spacing w:val="-4"/>
          <w:sz w:val="32"/>
          <w:szCs w:val="32"/>
        </w:rPr>
      </w:pPr>
    </w:p>
    <w:sectPr w:rsidR="00CE01D4" w:rsidSect="00381275">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4497" w:rsidRDefault="00A74497">
      <w:r>
        <w:separator/>
      </w:r>
    </w:p>
  </w:endnote>
  <w:endnote w:type="continuationSeparator" w:id="1">
    <w:p w:rsidR="00A74497" w:rsidRDefault="00A744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CE01D4" w:rsidRDefault="00381275">
        <w:pPr>
          <w:pStyle w:val="a4"/>
          <w:jc w:val="center"/>
        </w:pPr>
        <w:r>
          <w:fldChar w:fldCharType="begin"/>
        </w:r>
        <w:r w:rsidR="009C5AA6">
          <w:instrText>PAGE   \* MERGEFORMAT</w:instrText>
        </w:r>
        <w:r>
          <w:fldChar w:fldCharType="separate"/>
        </w:r>
        <w:r w:rsidR="00586DED" w:rsidRPr="00586DED">
          <w:rPr>
            <w:noProof/>
            <w:lang w:val="zh-CN"/>
          </w:rPr>
          <w:t>2</w:t>
        </w:r>
        <w:r>
          <w:fldChar w:fldCharType="end"/>
        </w:r>
      </w:p>
    </w:sdtContent>
  </w:sdt>
  <w:p w:rsidR="00CE01D4" w:rsidRDefault="00CE01D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4497" w:rsidRDefault="00A74497">
      <w:r>
        <w:separator/>
      </w:r>
    </w:p>
  </w:footnote>
  <w:footnote w:type="continuationSeparator" w:id="1">
    <w:p w:rsidR="00A74497" w:rsidRDefault="00A744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381275"/>
    <w:rsid w:val="00386433"/>
    <w:rsid w:val="004366A8"/>
    <w:rsid w:val="00502BA7"/>
    <w:rsid w:val="005162F1"/>
    <w:rsid w:val="00535153"/>
    <w:rsid w:val="00554F82"/>
    <w:rsid w:val="0056390D"/>
    <w:rsid w:val="005719B0"/>
    <w:rsid w:val="00586DED"/>
    <w:rsid w:val="005D10D6"/>
    <w:rsid w:val="00805ADA"/>
    <w:rsid w:val="00855E3A"/>
    <w:rsid w:val="0091457F"/>
    <w:rsid w:val="00922CB9"/>
    <w:rsid w:val="009A0637"/>
    <w:rsid w:val="009C5AA6"/>
    <w:rsid w:val="009E5CD9"/>
    <w:rsid w:val="00A26421"/>
    <w:rsid w:val="00A34588"/>
    <w:rsid w:val="00A4293B"/>
    <w:rsid w:val="00A67D50"/>
    <w:rsid w:val="00A74497"/>
    <w:rsid w:val="00A8691A"/>
    <w:rsid w:val="00AC1946"/>
    <w:rsid w:val="00B1437F"/>
    <w:rsid w:val="00B40063"/>
    <w:rsid w:val="00B41F61"/>
    <w:rsid w:val="00BA46E6"/>
    <w:rsid w:val="00C56C72"/>
    <w:rsid w:val="00CA6457"/>
    <w:rsid w:val="00CE01D4"/>
    <w:rsid w:val="00CE2FD9"/>
    <w:rsid w:val="00D17F2E"/>
    <w:rsid w:val="00D30354"/>
    <w:rsid w:val="00DF42A0"/>
    <w:rsid w:val="00E30E91"/>
    <w:rsid w:val="00E769FE"/>
    <w:rsid w:val="00EA2CBE"/>
    <w:rsid w:val="00F32FEE"/>
    <w:rsid w:val="00FB0131"/>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275"/>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381275"/>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381275"/>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381275"/>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381275"/>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381275"/>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381275"/>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381275"/>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381275"/>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381275"/>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81275"/>
    <w:rPr>
      <w:sz w:val="18"/>
      <w:szCs w:val="18"/>
    </w:rPr>
  </w:style>
  <w:style w:type="paragraph" w:styleId="a4">
    <w:name w:val="footer"/>
    <w:basedOn w:val="a"/>
    <w:link w:val="Char0"/>
    <w:uiPriority w:val="99"/>
    <w:unhideWhenUsed/>
    <w:rsid w:val="00381275"/>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381275"/>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381275"/>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381275"/>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381275"/>
    <w:rPr>
      <w:b/>
      <w:bCs/>
    </w:rPr>
  </w:style>
  <w:style w:type="character" w:styleId="a9">
    <w:name w:val="Emphasis"/>
    <w:basedOn w:val="a0"/>
    <w:uiPriority w:val="20"/>
    <w:qFormat/>
    <w:rsid w:val="00381275"/>
    <w:rPr>
      <w:rFonts w:asciiTheme="minorHAnsi" w:hAnsiTheme="minorHAnsi"/>
      <w:b/>
      <w:i/>
      <w:iCs/>
    </w:rPr>
  </w:style>
  <w:style w:type="character" w:customStyle="1" w:styleId="1Char">
    <w:name w:val="标题 1 Char"/>
    <w:basedOn w:val="a0"/>
    <w:link w:val="1"/>
    <w:uiPriority w:val="9"/>
    <w:qFormat/>
    <w:rsid w:val="00381275"/>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381275"/>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381275"/>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381275"/>
    <w:rPr>
      <w:b/>
      <w:bCs/>
      <w:sz w:val="28"/>
      <w:szCs w:val="28"/>
    </w:rPr>
  </w:style>
  <w:style w:type="character" w:customStyle="1" w:styleId="5Char">
    <w:name w:val="标题 5 Char"/>
    <w:basedOn w:val="a0"/>
    <w:link w:val="5"/>
    <w:uiPriority w:val="9"/>
    <w:semiHidden/>
    <w:qFormat/>
    <w:rsid w:val="00381275"/>
    <w:rPr>
      <w:b/>
      <w:bCs/>
      <w:i/>
      <w:iCs/>
      <w:sz w:val="26"/>
      <w:szCs w:val="26"/>
    </w:rPr>
  </w:style>
  <w:style w:type="character" w:customStyle="1" w:styleId="6Char">
    <w:name w:val="标题 6 Char"/>
    <w:basedOn w:val="a0"/>
    <w:link w:val="6"/>
    <w:uiPriority w:val="9"/>
    <w:semiHidden/>
    <w:qFormat/>
    <w:rsid w:val="00381275"/>
    <w:rPr>
      <w:b/>
      <w:bCs/>
    </w:rPr>
  </w:style>
  <w:style w:type="character" w:customStyle="1" w:styleId="7Char">
    <w:name w:val="标题 7 Char"/>
    <w:basedOn w:val="a0"/>
    <w:link w:val="7"/>
    <w:uiPriority w:val="9"/>
    <w:semiHidden/>
    <w:rsid w:val="00381275"/>
    <w:rPr>
      <w:sz w:val="24"/>
      <w:szCs w:val="24"/>
    </w:rPr>
  </w:style>
  <w:style w:type="character" w:customStyle="1" w:styleId="8Char">
    <w:name w:val="标题 8 Char"/>
    <w:basedOn w:val="a0"/>
    <w:link w:val="8"/>
    <w:uiPriority w:val="9"/>
    <w:semiHidden/>
    <w:qFormat/>
    <w:rsid w:val="00381275"/>
    <w:rPr>
      <w:i/>
      <w:iCs/>
      <w:sz w:val="24"/>
      <w:szCs w:val="24"/>
    </w:rPr>
  </w:style>
  <w:style w:type="character" w:customStyle="1" w:styleId="9Char">
    <w:name w:val="标题 9 Char"/>
    <w:basedOn w:val="a0"/>
    <w:link w:val="9"/>
    <w:uiPriority w:val="9"/>
    <w:semiHidden/>
    <w:qFormat/>
    <w:rsid w:val="00381275"/>
    <w:rPr>
      <w:rFonts w:asciiTheme="majorHAnsi" w:eastAsiaTheme="majorEastAsia" w:hAnsiTheme="majorHAnsi"/>
    </w:rPr>
  </w:style>
  <w:style w:type="character" w:customStyle="1" w:styleId="Char3">
    <w:name w:val="标题 Char"/>
    <w:basedOn w:val="a0"/>
    <w:link w:val="a7"/>
    <w:uiPriority w:val="10"/>
    <w:rsid w:val="00381275"/>
    <w:rPr>
      <w:rFonts w:asciiTheme="majorHAnsi" w:eastAsiaTheme="majorEastAsia" w:hAnsiTheme="majorHAnsi"/>
      <w:b/>
      <w:bCs/>
      <w:kern w:val="28"/>
      <w:sz w:val="32"/>
      <w:szCs w:val="32"/>
    </w:rPr>
  </w:style>
  <w:style w:type="character" w:customStyle="1" w:styleId="Char2">
    <w:name w:val="副标题 Char"/>
    <w:basedOn w:val="a0"/>
    <w:link w:val="a6"/>
    <w:uiPriority w:val="11"/>
    <w:rsid w:val="00381275"/>
    <w:rPr>
      <w:rFonts w:asciiTheme="majorHAnsi" w:eastAsiaTheme="majorEastAsia" w:hAnsiTheme="majorHAnsi"/>
      <w:sz w:val="24"/>
      <w:szCs w:val="24"/>
    </w:rPr>
  </w:style>
  <w:style w:type="paragraph" w:styleId="aa">
    <w:name w:val="No Spacing"/>
    <w:basedOn w:val="a"/>
    <w:uiPriority w:val="1"/>
    <w:qFormat/>
    <w:rsid w:val="00381275"/>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381275"/>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381275"/>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381275"/>
    <w:rPr>
      <w:i/>
      <w:sz w:val="24"/>
      <w:szCs w:val="24"/>
    </w:rPr>
  </w:style>
  <w:style w:type="paragraph" w:styleId="ad">
    <w:name w:val="Intense Quote"/>
    <w:basedOn w:val="a"/>
    <w:next w:val="a"/>
    <w:link w:val="Char5"/>
    <w:uiPriority w:val="30"/>
    <w:qFormat/>
    <w:rsid w:val="00381275"/>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381275"/>
    <w:rPr>
      <w:b/>
      <w:i/>
      <w:sz w:val="24"/>
    </w:rPr>
  </w:style>
  <w:style w:type="character" w:customStyle="1" w:styleId="10">
    <w:name w:val="不明显强调1"/>
    <w:uiPriority w:val="19"/>
    <w:qFormat/>
    <w:rsid w:val="00381275"/>
    <w:rPr>
      <w:i/>
      <w:color w:val="595959" w:themeColor="text1" w:themeTint="A6"/>
    </w:rPr>
  </w:style>
  <w:style w:type="character" w:customStyle="1" w:styleId="11">
    <w:name w:val="明显强调1"/>
    <w:basedOn w:val="a0"/>
    <w:uiPriority w:val="21"/>
    <w:qFormat/>
    <w:rsid w:val="00381275"/>
    <w:rPr>
      <w:b/>
      <w:i/>
      <w:sz w:val="24"/>
      <w:szCs w:val="24"/>
      <w:u w:val="single"/>
    </w:rPr>
  </w:style>
  <w:style w:type="character" w:customStyle="1" w:styleId="12">
    <w:name w:val="不明显参考1"/>
    <w:basedOn w:val="a0"/>
    <w:uiPriority w:val="31"/>
    <w:qFormat/>
    <w:rsid w:val="00381275"/>
    <w:rPr>
      <w:sz w:val="24"/>
      <w:szCs w:val="24"/>
      <w:u w:val="single"/>
    </w:rPr>
  </w:style>
  <w:style w:type="character" w:customStyle="1" w:styleId="13">
    <w:name w:val="明显参考1"/>
    <w:basedOn w:val="a0"/>
    <w:uiPriority w:val="32"/>
    <w:qFormat/>
    <w:rsid w:val="00381275"/>
    <w:rPr>
      <w:b/>
      <w:sz w:val="24"/>
      <w:u w:val="single"/>
    </w:rPr>
  </w:style>
  <w:style w:type="character" w:customStyle="1" w:styleId="14">
    <w:name w:val="书籍标题1"/>
    <w:basedOn w:val="a0"/>
    <w:uiPriority w:val="33"/>
    <w:qFormat/>
    <w:rsid w:val="00381275"/>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381275"/>
    <w:pPr>
      <w:outlineLvl w:val="9"/>
    </w:pPr>
    <w:rPr>
      <w:lang w:eastAsia="en-US" w:bidi="en-US"/>
    </w:rPr>
  </w:style>
  <w:style w:type="character" w:customStyle="1" w:styleId="Char1">
    <w:name w:val="页眉 Char"/>
    <w:basedOn w:val="a0"/>
    <w:link w:val="a5"/>
    <w:uiPriority w:val="99"/>
    <w:rsid w:val="00381275"/>
    <w:rPr>
      <w:rFonts w:ascii="Calibri" w:eastAsia="宋体" w:hAnsi="Calibri"/>
      <w:kern w:val="2"/>
      <w:sz w:val="18"/>
      <w:szCs w:val="18"/>
    </w:rPr>
  </w:style>
  <w:style w:type="character" w:customStyle="1" w:styleId="Char0">
    <w:name w:val="页脚 Char"/>
    <w:basedOn w:val="a0"/>
    <w:link w:val="a4"/>
    <w:uiPriority w:val="99"/>
    <w:rsid w:val="00381275"/>
    <w:rPr>
      <w:rFonts w:ascii="Calibri" w:eastAsia="宋体" w:hAnsi="Calibri"/>
      <w:kern w:val="2"/>
      <w:sz w:val="18"/>
      <w:szCs w:val="18"/>
    </w:rPr>
  </w:style>
  <w:style w:type="character" w:customStyle="1" w:styleId="Char">
    <w:name w:val="批注框文本 Char"/>
    <w:basedOn w:val="a0"/>
    <w:link w:val="a3"/>
    <w:uiPriority w:val="99"/>
    <w:semiHidden/>
    <w:qFormat/>
    <w:rsid w:val="00381275"/>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2455</Words>
  <Characters>13999</Characters>
  <Application>Microsoft Office Word</Application>
  <DocSecurity>0</DocSecurity>
  <Lines>116</Lines>
  <Paragraphs>32</Paragraphs>
  <ScaleCrop>false</ScaleCrop>
  <Company/>
  <LinksUpToDate>false</LinksUpToDate>
  <CharactersWithSpaces>16422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24</cp:revision>
  <cp:lastPrinted>2018-12-31T10:56:00Z</cp:lastPrinted>
  <dcterms:created xsi:type="dcterms:W3CDTF">2018-08-15T02:06:00Z</dcterms:created>
  <dcterms:modified xsi:type="dcterms:W3CDTF">2025-09-10T10:47:00Z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