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5548" w:rsidRDefault="00293C1C">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w:t>
      </w:r>
      <w:r>
        <w:rPr>
          <w:rFonts w:ascii="仿宋" w:eastAsia="仿宋" w:hAnsi="仿宋" w:cs="宋体" w:hint="eastAsia"/>
          <w:kern w:val="0"/>
          <w:sz w:val="32"/>
          <w:szCs w:val="32"/>
        </w:rPr>
        <w:t>2</w:t>
      </w:r>
      <w:r>
        <w:rPr>
          <w:rFonts w:ascii="仿宋" w:eastAsia="仿宋" w:hAnsi="仿宋" w:cs="宋体" w:hint="eastAsia"/>
          <w:kern w:val="0"/>
          <w:sz w:val="32"/>
          <w:szCs w:val="32"/>
        </w:rPr>
        <w:t>：</w:t>
      </w:r>
    </w:p>
    <w:p w:rsidR="00BC5548" w:rsidRDefault="00BC5548">
      <w:pPr>
        <w:spacing w:line="540" w:lineRule="exact"/>
        <w:jc w:val="center"/>
        <w:rPr>
          <w:rFonts w:ascii="华文中宋" w:eastAsia="华文中宋" w:hAnsi="华文中宋" w:cs="宋体"/>
          <w:b/>
          <w:kern w:val="0"/>
          <w:sz w:val="52"/>
          <w:szCs w:val="52"/>
        </w:rPr>
      </w:pPr>
    </w:p>
    <w:p w:rsidR="00BC5548" w:rsidRDefault="00BC5548">
      <w:pPr>
        <w:spacing w:line="540" w:lineRule="exact"/>
        <w:jc w:val="center"/>
        <w:rPr>
          <w:rFonts w:ascii="华文中宋" w:eastAsia="华文中宋" w:hAnsi="华文中宋" w:cs="宋体"/>
          <w:b/>
          <w:kern w:val="0"/>
          <w:sz w:val="52"/>
          <w:szCs w:val="52"/>
        </w:rPr>
      </w:pPr>
    </w:p>
    <w:p w:rsidR="00BC5548" w:rsidRDefault="00BC5548">
      <w:pPr>
        <w:spacing w:line="540" w:lineRule="exact"/>
        <w:jc w:val="center"/>
        <w:rPr>
          <w:rFonts w:ascii="华文中宋" w:eastAsia="华文中宋" w:hAnsi="华文中宋" w:cs="宋体"/>
          <w:b/>
          <w:kern w:val="0"/>
          <w:sz w:val="52"/>
          <w:szCs w:val="52"/>
        </w:rPr>
      </w:pPr>
    </w:p>
    <w:p w:rsidR="00BC5548" w:rsidRDefault="00BC5548">
      <w:pPr>
        <w:spacing w:line="540" w:lineRule="exact"/>
        <w:jc w:val="center"/>
        <w:rPr>
          <w:rFonts w:ascii="华文中宋" w:eastAsia="华文中宋" w:hAnsi="华文中宋" w:cs="宋体"/>
          <w:b/>
          <w:kern w:val="0"/>
          <w:sz w:val="52"/>
          <w:szCs w:val="52"/>
        </w:rPr>
      </w:pPr>
    </w:p>
    <w:p w:rsidR="00BC5548" w:rsidRDefault="00BC5548">
      <w:pPr>
        <w:spacing w:line="540" w:lineRule="exact"/>
        <w:jc w:val="center"/>
        <w:rPr>
          <w:rFonts w:ascii="华文中宋" w:eastAsia="华文中宋" w:hAnsi="华文中宋" w:cs="宋体"/>
          <w:b/>
          <w:kern w:val="0"/>
          <w:sz w:val="52"/>
          <w:szCs w:val="52"/>
        </w:rPr>
      </w:pPr>
    </w:p>
    <w:p w:rsidR="00BC5548" w:rsidRDefault="00BC5548">
      <w:pPr>
        <w:spacing w:line="540" w:lineRule="exact"/>
        <w:jc w:val="center"/>
        <w:rPr>
          <w:rFonts w:ascii="华文中宋" w:eastAsia="华文中宋" w:hAnsi="华文中宋" w:cs="宋体"/>
          <w:b/>
          <w:kern w:val="0"/>
          <w:sz w:val="52"/>
          <w:szCs w:val="52"/>
        </w:rPr>
      </w:pPr>
    </w:p>
    <w:p w:rsidR="00BC5548" w:rsidRDefault="00293C1C">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rsidR="00BC5548" w:rsidRDefault="00BC5548">
      <w:pPr>
        <w:spacing w:line="540" w:lineRule="exact"/>
        <w:jc w:val="center"/>
        <w:rPr>
          <w:rFonts w:ascii="华文中宋" w:eastAsia="华文中宋" w:hAnsi="华文中宋" w:cs="宋体"/>
          <w:b/>
          <w:kern w:val="0"/>
          <w:sz w:val="52"/>
          <w:szCs w:val="52"/>
        </w:rPr>
      </w:pPr>
    </w:p>
    <w:p w:rsidR="00BC5548" w:rsidRDefault="00293C1C">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8"/>
          <w:rFonts w:ascii="楷体" w:eastAsia="楷体" w:hAnsi="楷体" w:hint="eastAsia"/>
          <w:spacing w:val="-4"/>
          <w:sz w:val="32"/>
          <w:szCs w:val="32"/>
        </w:rPr>
        <w:t>2024</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rsidR="00BC5548" w:rsidRDefault="00BC5548">
      <w:pPr>
        <w:spacing w:line="540" w:lineRule="exact"/>
        <w:jc w:val="center"/>
        <w:rPr>
          <w:rFonts w:eastAsia="仿宋_GB2312" w:hAnsi="宋体" w:cs="宋体"/>
          <w:kern w:val="0"/>
          <w:sz w:val="30"/>
          <w:szCs w:val="30"/>
        </w:rPr>
      </w:pPr>
    </w:p>
    <w:p w:rsidR="00BC5548" w:rsidRDefault="00BC5548">
      <w:pPr>
        <w:spacing w:line="540" w:lineRule="exact"/>
        <w:jc w:val="center"/>
        <w:rPr>
          <w:rFonts w:eastAsia="仿宋_GB2312" w:hAnsi="宋体" w:cs="宋体"/>
          <w:kern w:val="0"/>
          <w:sz w:val="30"/>
          <w:szCs w:val="30"/>
        </w:rPr>
      </w:pPr>
    </w:p>
    <w:p w:rsidR="00BC5548" w:rsidRDefault="00BC5548">
      <w:pPr>
        <w:spacing w:line="540" w:lineRule="exact"/>
        <w:jc w:val="center"/>
        <w:rPr>
          <w:rFonts w:eastAsia="仿宋_GB2312" w:hAnsi="宋体" w:cs="宋体"/>
          <w:kern w:val="0"/>
          <w:sz w:val="30"/>
          <w:szCs w:val="30"/>
        </w:rPr>
      </w:pPr>
    </w:p>
    <w:p w:rsidR="00BC5548" w:rsidRDefault="00BC5548">
      <w:pPr>
        <w:spacing w:line="540" w:lineRule="exact"/>
        <w:jc w:val="center"/>
        <w:rPr>
          <w:rFonts w:eastAsia="仿宋_GB2312" w:hAnsi="宋体" w:cs="宋体"/>
          <w:kern w:val="0"/>
          <w:sz w:val="30"/>
          <w:szCs w:val="30"/>
        </w:rPr>
      </w:pPr>
    </w:p>
    <w:p w:rsidR="00BC5548" w:rsidRDefault="00BC5548">
      <w:pPr>
        <w:spacing w:line="540" w:lineRule="exact"/>
        <w:jc w:val="center"/>
        <w:rPr>
          <w:rFonts w:eastAsia="仿宋_GB2312" w:hAnsi="宋体" w:cs="宋体"/>
          <w:kern w:val="0"/>
          <w:sz w:val="30"/>
          <w:szCs w:val="30"/>
        </w:rPr>
      </w:pPr>
    </w:p>
    <w:p w:rsidR="00BC5548" w:rsidRPr="007B42BA" w:rsidRDefault="00BC5548">
      <w:pPr>
        <w:spacing w:line="540" w:lineRule="exact"/>
        <w:jc w:val="center"/>
        <w:rPr>
          <w:rFonts w:eastAsia="仿宋_GB2312" w:hAnsi="宋体" w:cs="宋体"/>
          <w:kern w:val="0"/>
          <w:sz w:val="30"/>
          <w:szCs w:val="30"/>
        </w:rPr>
      </w:pPr>
    </w:p>
    <w:p w:rsidR="00BC5548" w:rsidRDefault="00BC5548">
      <w:pPr>
        <w:spacing w:line="540" w:lineRule="exact"/>
        <w:rPr>
          <w:rFonts w:eastAsia="仿宋_GB2312" w:hAnsi="宋体" w:cs="宋体"/>
          <w:kern w:val="0"/>
          <w:sz w:val="30"/>
          <w:szCs w:val="30"/>
        </w:rPr>
      </w:pPr>
    </w:p>
    <w:p w:rsidR="00BC5548" w:rsidRDefault="00BC5548">
      <w:pPr>
        <w:spacing w:line="700" w:lineRule="exact"/>
        <w:jc w:val="left"/>
        <w:rPr>
          <w:rFonts w:eastAsia="仿宋_GB2312" w:hAnsi="宋体" w:cs="宋体"/>
          <w:kern w:val="0"/>
          <w:sz w:val="36"/>
          <w:szCs w:val="36"/>
        </w:rPr>
      </w:pPr>
    </w:p>
    <w:p w:rsidR="00BC5548" w:rsidRDefault="00293C1C">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8"/>
          <w:rFonts w:ascii="楷体" w:eastAsia="楷体" w:hAnsi="楷体" w:hint="eastAsia"/>
          <w:spacing w:val="-4"/>
          <w:sz w:val="32"/>
          <w:szCs w:val="32"/>
        </w:rPr>
        <w:t>代表之家活动经费</w:t>
      </w:r>
    </w:p>
    <w:p w:rsidR="00BC5548" w:rsidRDefault="00293C1C">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8"/>
          <w:rFonts w:ascii="楷体" w:eastAsia="楷体" w:hAnsi="楷体" w:hint="eastAsia"/>
          <w:spacing w:val="-4"/>
          <w:sz w:val="28"/>
          <w:szCs w:val="28"/>
        </w:rPr>
        <w:t>昌吉市人民代表大会常务委员会办公室</w:t>
      </w:r>
    </w:p>
    <w:p w:rsidR="00BC5548" w:rsidRDefault="00293C1C">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8"/>
          <w:rFonts w:ascii="楷体" w:eastAsia="楷体" w:hAnsi="楷体" w:hint="eastAsia"/>
          <w:spacing w:val="-4"/>
          <w:sz w:val="28"/>
          <w:szCs w:val="28"/>
        </w:rPr>
        <w:t>昌吉市人民代表大会常务委员会办公室</w:t>
      </w:r>
    </w:p>
    <w:p w:rsidR="00BC5548" w:rsidRDefault="00293C1C">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8"/>
          <w:rFonts w:ascii="楷体" w:eastAsia="楷体" w:hAnsi="楷体" w:hint="eastAsia"/>
          <w:spacing w:val="-4"/>
          <w:sz w:val="32"/>
          <w:szCs w:val="32"/>
        </w:rPr>
        <w:t>王兰</w:t>
      </w:r>
    </w:p>
    <w:p w:rsidR="00BC5548" w:rsidRDefault="00293C1C">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Pr>
          <w:rStyle w:val="a8"/>
          <w:rFonts w:ascii="楷体" w:eastAsia="楷体" w:hAnsi="楷体" w:hint="eastAsia"/>
          <w:spacing w:val="-4"/>
          <w:sz w:val="32"/>
          <w:szCs w:val="32"/>
        </w:rPr>
        <w:t>2025</w:t>
      </w:r>
      <w:r>
        <w:rPr>
          <w:rStyle w:val="a8"/>
          <w:rFonts w:ascii="楷体" w:eastAsia="楷体" w:hAnsi="楷体" w:hint="eastAsia"/>
          <w:spacing w:val="-4"/>
          <w:sz w:val="32"/>
          <w:szCs w:val="32"/>
        </w:rPr>
        <w:t>年</w:t>
      </w:r>
      <w:r>
        <w:rPr>
          <w:rStyle w:val="a8"/>
          <w:rFonts w:ascii="楷体" w:eastAsia="楷体" w:hAnsi="楷体" w:hint="eastAsia"/>
          <w:spacing w:val="-4"/>
          <w:sz w:val="32"/>
          <w:szCs w:val="32"/>
        </w:rPr>
        <w:t>06</w:t>
      </w:r>
      <w:r>
        <w:rPr>
          <w:rStyle w:val="a8"/>
          <w:rFonts w:ascii="楷体" w:eastAsia="楷体" w:hAnsi="楷体" w:hint="eastAsia"/>
          <w:spacing w:val="-4"/>
          <w:sz w:val="32"/>
          <w:szCs w:val="32"/>
        </w:rPr>
        <w:t>月</w:t>
      </w:r>
      <w:r>
        <w:rPr>
          <w:rStyle w:val="a8"/>
          <w:rFonts w:ascii="楷体" w:eastAsia="楷体" w:hAnsi="楷体" w:hint="eastAsia"/>
          <w:spacing w:val="-4"/>
          <w:sz w:val="32"/>
          <w:szCs w:val="32"/>
        </w:rPr>
        <w:t>12</w:t>
      </w:r>
      <w:r>
        <w:rPr>
          <w:rStyle w:val="a8"/>
          <w:rFonts w:ascii="楷体" w:eastAsia="楷体" w:hAnsi="楷体" w:hint="eastAsia"/>
          <w:spacing w:val="-4"/>
          <w:sz w:val="32"/>
          <w:szCs w:val="32"/>
        </w:rPr>
        <w:t>日</w:t>
      </w:r>
    </w:p>
    <w:p w:rsidR="00BC5548" w:rsidRDefault="00BC5548">
      <w:pPr>
        <w:spacing w:line="700" w:lineRule="exact"/>
        <w:ind w:firstLineChars="236" w:firstLine="708"/>
        <w:jc w:val="left"/>
        <w:rPr>
          <w:rFonts w:eastAsia="仿宋_GB2312" w:hAnsi="宋体" w:cs="宋体"/>
          <w:kern w:val="0"/>
          <w:sz w:val="30"/>
          <w:szCs w:val="30"/>
        </w:rPr>
      </w:pPr>
    </w:p>
    <w:p w:rsidR="00BC5548" w:rsidRDefault="00BC5548">
      <w:pPr>
        <w:spacing w:line="540" w:lineRule="exact"/>
        <w:rPr>
          <w:rStyle w:val="a8"/>
          <w:rFonts w:ascii="黑体" w:eastAsia="黑体" w:hAnsi="黑体"/>
          <w:b w:val="0"/>
          <w:spacing w:val="-4"/>
          <w:sz w:val="32"/>
          <w:szCs w:val="32"/>
        </w:rPr>
      </w:pPr>
    </w:p>
    <w:p w:rsidR="00BC5548" w:rsidRDefault="00293C1C">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一、基本情况</w:t>
      </w:r>
    </w:p>
    <w:p w:rsidR="00BC5548" w:rsidRDefault="00293C1C">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（一）项目概况</w:t>
      </w:r>
      <w:r>
        <w:rPr>
          <w:rStyle w:val="a8"/>
          <w:rFonts w:ascii="楷体" w:eastAsia="楷体" w:hAnsi="楷体" w:hint="eastAsia"/>
          <w:spacing w:val="-4"/>
          <w:sz w:val="32"/>
          <w:szCs w:val="32"/>
        </w:rPr>
        <w:t>。</w:t>
      </w:r>
    </w:p>
    <w:p w:rsidR="00BC5548" w:rsidRDefault="00293C1C">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（一）项目概况</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项目背景</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为全面提升昌吉市“人大代表之家”的建设水平，按照高质量发展要求，以供给侧结构性改革为主线，统筹做好稳增长、促改革、调结构、惠民生、防风险各项工作，达到实现</w:t>
      </w:r>
      <w:r w:rsidR="007B42BA">
        <w:rPr>
          <w:rStyle w:val="a8"/>
          <w:rFonts w:ascii="楷体" w:eastAsia="楷体" w:hAnsi="楷体" w:hint="eastAsia"/>
          <w:b w:val="0"/>
          <w:bCs w:val="0"/>
          <w:spacing w:val="-4"/>
          <w:sz w:val="32"/>
          <w:szCs w:val="32"/>
        </w:rPr>
        <w:t>人民当家作主</w:t>
      </w:r>
      <w:r>
        <w:rPr>
          <w:rStyle w:val="a8"/>
          <w:rFonts w:ascii="楷体" w:eastAsia="楷体" w:hAnsi="楷体" w:hint="eastAsia"/>
          <w:b w:val="0"/>
          <w:bCs w:val="0"/>
          <w:spacing w:val="-4"/>
          <w:sz w:val="32"/>
          <w:szCs w:val="32"/>
        </w:rPr>
        <w:t>，构建社会主义和谐社会的效果，依据《关于贯彻落实自治州党委人大工作会议精神新时代加强人大工作的实施意见》，我单位申报实施了“代表之家”项目。为了确保该项目的顺利实施，我单位于</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年完善了《昌吉市人大机关内部管理规定》和《昌吉市人大常委会机关财务管理规定》等管理办法。</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主要内容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）项目名称：代表之家活动经费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）项目主要内容：代表之</w:t>
      </w:r>
      <w:r>
        <w:rPr>
          <w:rStyle w:val="a8"/>
          <w:rFonts w:ascii="楷体" w:eastAsia="楷体" w:hAnsi="楷体" w:hint="eastAsia"/>
          <w:b w:val="0"/>
          <w:bCs w:val="0"/>
          <w:spacing w:val="-4"/>
          <w:sz w:val="32"/>
          <w:szCs w:val="32"/>
        </w:rPr>
        <w:t>家作为人大代表联系群众、履行职责的重要平台，依据</w:t>
      </w:r>
      <w:r w:rsidR="007B42BA">
        <w:rPr>
          <w:rStyle w:val="a8"/>
          <w:rFonts w:ascii="楷体" w:eastAsia="楷体" w:hAnsi="楷体" w:hint="eastAsia"/>
          <w:b w:val="0"/>
          <w:bCs w:val="0"/>
          <w:spacing w:val="-4"/>
          <w:sz w:val="32"/>
          <w:szCs w:val="32"/>
        </w:rPr>
        <w:t>《中华人民共和国地方各级人民代表大会和地方各级人民政府组织法》</w:t>
      </w:r>
      <w:r>
        <w:rPr>
          <w:rStyle w:val="a8"/>
          <w:rFonts w:ascii="楷体" w:eastAsia="楷体" w:hAnsi="楷体" w:hint="eastAsia"/>
          <w:b w:val="0"/>
          <w:bCs w:val="0"/>
          <w:spacing w:val="-4"/>
          <w:sz w:val="32"/>
          <w:szCs w:val="32"/>
        </w:rPr>
        <w:t>大会和地方各级人民政府组织法》及</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地方相关政策文件</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要求设立，旨在推动人大代表更好倾听民意、服务民生，打通基层民主“最后一公里”。目前昌吉市已建立“代表之家”</w:t>
      </w:r>
      <w:r>
        <w:rPr>
          <w:rStyle w:val="a8"/>
          <w:rFonts w:ascii="楷体" w:eastAsia="楷体" w:hAnsi="楷体" w:hint="eastAsia"/>
          <w:b w:val="0"/>
          <w:bCs w:val="0"/>
          <w:spacing w:val="-4"/>
          <w:sz w:val="32"/>
          <w:szCs w:val="32"/>
        </w:rPr>
        <w:t>88</w:t>
      </w:r>
      <w:r>
        <w:rPr>
          <w:rStyle w:val="a8"/>
          <w:rFonts w:ascii="楷体" w:eastAsia="楷体" w:hAnsi="楷体" w:hint="eastAsia"/>
          <w:b w:val="0"/>
          <w:bCs w:val="0"/>
          <w:spacing w:val="-4"/>
          <w:sz w:val="32"/>
          <w:szCs w:val="32"/>
        </w:rPr>
        <w:t>个，每个补助资金</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万元，共计</w:t>
      </w:r>
      <w:r>
        <w:rPr>
          <w:rStyle w:val="a8"/>
          <w:rFonts w:ascii="楷体" w:eastAsia="楷体" w:hAnsi="楷体" w:hint="eastAsia"/>
          <w:b w:val="0"/>
          <w:bCs w:val="0"/>
          <w:spacing w:val="-4"/>
          <w:sz w:val="32"/>
          <w:szCs w:val="32"/>
        </w:rPr>
        <w:t>176</w:t>
      </w:r>
      <w:r>
        <w:rPr>
          <w:rStyle w:val="a8"/>
          <w:rFonts w:ascii="楷体" w:eastAsia="楷体" w:hAnsi="楷体" w:hint="eastAsia"/>
          <w:b w:val="0"/>
          <w:bCs w:val="0"/>
          <w:spacing w:val="-4"/>
          <w:sz w:val="32"/>
          <w:szCs w:val="32"/>
        </w:rPr>
        <w:t>万元。本项目于</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月开始实施，截止</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月已全部完成。</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实施情况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实施主体：昌吉市人大常委会办公室。</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实施时间：本项目实施周期为</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实施情况本项目主要内容为</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年我单位为全面提升我市“</w:t>
      </w:r>
      <w:r>
        <w:rPr>
          <w:rStyle w:val="a8"/>
          <w:rFonts w:ascii="楷体" w:eastAsia="楷体" w:hAnsi="楷体" w:hint="eastAsia"/>
          <w:b w:val="0"/>
          <w:bCs w:val="0"/>
          <w:spacing w:val="-4"/>
          <w:sz w:val="32"/>
          <w:szCs w:val="32"/>
        </w:rPr>
        <w:t>人大代表之家”建设水平，促进代表积极履职，发挥代表水平，依据《关于贯彻落实自治州党委人大工作会议精神新时代加强人大工作的实施意见》（昌市党发</w:t>
      </w:r>
      <w:r>
        <w:rPr>
          <w:rStyle w:val="a8"/>
          <w:rFonts w:ascii="楷体" w:eastAsia="楷体" w:hAnsi="楷体" w:hint="eastAsia"/>
          <w:b w:val="0"/>
          <w:bCs w:val="0"/>
          <w:spacing w:val="-4"/>
          <w:sz w:val="32"/>
          <w:szCs w:val="32"/>
        </w:rPr>
        <w:t>[2020]6</w:t>
      </w:r>
      <w:r>
        <w:rPr>
          <w:rStyle w:val="a8"/>
          <w:rFonts w:ascii="楷体" w:eastAsia="楷体" w:hAnsi="楷体" w:hint="eastAsia"/>
          <w:b w:val="0"/>
          <w:bCs w:val="0"/>
          <w:spacing w:val="-4"/>
          <w:sz w:val="32"/>
          <w:szCs w:val="32"/>
        </w:rPr>
        <w:t>号）文件要求，“代表之家”活动经费按照每个每年不低于</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万元标准给予保障。目前昌吉市已建立“代表之家”</w:t>
      </w:r>
      <w:r>
        <w:rPr>
          <w:rStyle w:val="a8"/>
          <w:rFonts w:ascii="楷体" w:eastAsia="楷体" w:hAnsi="楷体" w:hint="eastAsia"/>
          <w:b w:val="0"/>
          <w:bCs w:val="0"/>
          <w:spacing w:val="-4"/>
          <w:sz w:val="32"/>
          <w:szCs w:val="32"/>
        </w:rPr>
        <w:t>88</w:t>
      </w:r>
      <w:r>
        <w:rPr>
          <w:rStyle w:val="a8"/>
          <w:rFonts w:ascii="楷体" w:eastAsia="楷体" w:hAnsi="楷体" w:hint="eastAsia"/>
          <w:b w:val="0"/>
          <w:bCs w:val="0"/>
          <w:spacing w:val="-4"/>
          <w:sz w:val="32"/>
          <w:szCs w:val="32"/>
        </w:rPr>
        <w:t>个，每个</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万元，共计</w:t>
      </w:r>
      <w:r>
        <w:rPr>
          <w:rStyle w:val="a8"/>
          <w:rFonts w:ascii="楷体" w:eastAsia="楷体" w:hAnsi="楷体" w:hint="eastAsia"/>
          <w:b w:val="0"/>
          <w:bCs w:val="0"/>
          <w:spacing w:val="-4"/>
          <w:sz w:val="32"/>
          <w:szCs w:val="32"/>
        </w:rPr>
        <w:t>176</w:t>
      </w:r>
      <w:r>
        <w:rPr>
          <w:rStyle w:val="a8"/>
          <w:rFonts w:ascii="楷体" w:eastAsia="楷体" w:hAnsi="楷体" w:hint="eastAsia"/>
          <w:b w:val="0"/>
          <w:bCs w:val="0"/>
          <w:spacing w:val="-4"/>
          <w:sz w:val="32"/>
          <w:szCs w:val="32"/>
        </w:rPr>
        <w:t>万元。本项目于</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月开始实施，截止</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月已全部完成。充分利用“代表之家”这一平台，做到“代表之家”门常开、代表活动常开展、代表履职有实效，不断推动我市人大工作再上新台阶。</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项目实施主体</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）主要职能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①参</w:t>
      </w:r>
      <w:r>
        <w:rPr>
          <w:rStyle w:val="a8"/>
          <w:rFonts w:ascii="楷体" w:eastAsia="楷体" w:hAnsi="楷体" w:hint="eastAsia"/>
          <w:b w:val="0"/>
          <w:bCs w:val="0"/>
          <w:spacing w:val="-4"/>
          <w:sz w:val="32"/>
          <w:szCs w:val="32"/>
        </w:rPr>
        <w:t>与政府决策，依法行使职权，讨论和决定重大事项。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②对“一府一委两院”依法行政、公正司法的过程进行监督</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③指导各级人民代表，行使代表权力，履行代表义务。</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）机构设置情况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昌吉市人大常委会机构设置：无下属预算单位，内设</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个科室，分别是：办公室、财经工作委员会、代表人事侨务工作委员会、法制和监察工作委员会、教科文卫工作委员会。昌吉市人大常委会人员总数</w:t>
      </w:r>
      <w:r>
        <w:rPr>
          <w:rStyle w:val="a8"/>
          <w:rFonts w:ascii="楷体" w:eastAsia="楷体" w:hAnsi="楷体" w:hint="eastAsia"/>
          <w:b w:val="0"/>
          <w:bCs w:val="0"/>
          <w:spacing w:val="-4"/>
          <w:sz w:val="32"/>
          <w:szCs w:val="32"/>
        </w:rPr>
        <w:t>71</w:t>
      </w:r>
      <w:r>
        <w:rPr>
          <w:rStyle w:val="a8"/>
          <w:rFonts w:ascii="楷体" w:eastAsia="楷体" w:hAnsi="楷体" w:hint="eastAsia"/>
          <w:b w:val="0"/>
          <w:bCs w:val="0"/>
          <w:spacing w:val="-4"/>
          <w:sz w:val="32"/>
          <w:szCs w:val="32"/>
        </w:rPr>
        <w:t>名，其中：在职</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名，退休</w:t>
      </w:r>
      <w:r>
        <w:rPr>
          <w:rStyle w:val="a8"/>
          <w:rFonts w:ascii="楷体" w:eastAsia="楷体" w:hAnsi="楷体" w:hint="eastAsia"/>
          <w:b w:val="0"/>
          <w:bCs w:val="0"/>
          <w:spacing w:val="-4"/>
          <w:sz w:val="32"/>
          <w:szCs w:val="32"/>
        </w:rPr>
        <w:t>41</w:t>
      </w:r>
      <w:r>
        <w:rPr>
          <w:rStyle w:val="a8"/>
          <w:rFonts w:ascii="楷体" w:eastAsia="楷体" w:hAnsi="楷体" w:hint="eastAsia"/>
          <w:b w:val="0"/>
          <w:bCs w:val="0"/>
          <w:spacing w:val="-4"/>
          <w:sz w:val="32"/>
          <w:szCs w:val="32"/>
        </w:rPr>
        <w:t>名，离休</w:t>
      </w:r>
      <w:r>
        <w:rPr>
          <w:rStyle w:val="a8"/>
          <w:rFonts w:ascii="楷体" w:eastAsia="楷体" w:hAnsi="楷体" w:hint="eastAsia"/>
          <w:b w:val="0"/>
          <w:bCs w:val="0"/>
          <w:spacing w:val="-4"/>
          <w:sz w:val="32"/>
          <w:szCs w:val="32"/>
        </w:rPr>
        <w:t>0</w:t>
      </w:r>
      <w:r>
        <w:rPr>
          <w:rStyle w:val="a8"/>
          <w:rFonts w:ascii="楷体" w:eastAsia="楷体" w:hAnsi="楷体" w:hint="eastAsia"/>
          <w:b w:val="0"/>
          <w:bCs w:val="0"/>
          <w:spacing w:val="-4"/>
          <w:sz w:val="32"/>
          <w:szCs w:val="32"/>
        </w:rPr>
        <w:t>名。实有人员</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人。</w:t>
      </w:r>
      <w:r>
        <w:rPr>
          <w:rStyle w:val="a8"/>
          <w:rFonts w:ascii="楷体" w:eastAsia="楷体" w:hAnsi="楷体" w:hint="eastAsia"/>
          <w:b w:val="0"/>
          <w:bCs w:val="0"/>
          <w:spacing w:val="-4"/>
          <w:sz w:val="32"/>
          <w:szCs w:val="32"/>
        </w:rPr>
        <w:br/>
        <w:t>5.</w:t>
      </w:r>
      <w:r>
        <w:rPr>
          <w:rStyle w:val="a8"/>
          <w:rFonts w:ascii="楷体" w:eastAsia="楷体" w:hAnsi="楷体" w:hint="eastAsia"/>
          <w:b w:val="0"/>
          <w:bCs w:val="0"/>
          <w:spacing w:val="-4"/>
          <w:sz w:val="32"/>
          <w:szCs w:val="32"/>
        </w:rPr>
        <w:t>资金投入和使用情况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）项目资金安排落实、总投入等情况分析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根据《关于下达</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年昌吉市</w:t>
      </w:r>
      <w:r>
        <w:rPr>
          <w:rStyle w:val="a8"/>
          <w:rFonts w:ascii="楷体" w:eastAsia="楷体" w:hAnsi="楷体" w:hint="eastAsia"/>
          <w:b w:val="0"/>
          <w:bCs w:val="0"/>
          <w:spacing w:val="-4"/>
          <w:sz w:val="32"/>
          <w:szCs w:val="32"/>
        </w:rPr>
        <w:t>行政事业单位部门预算批复的通</w:t>
      </w:r>
      <w:r>
        <w:rPr>
          <w:rStyle w:val="a8"/>
          <w:rFonts w:ascii="楷体" w:eastAsia="楷体" w:hAnsi="楷体" w:hint="eastAsia"/>
          <w:b w:val="0"/>
          <w:bCs w:val="0"/>
          <w:spacing w:val="-4"/>
          <w:sz w:val="32"/>
          <w:szCs w:val="32"/>
        </w:rPr>
        <w:lastRenderedPageBreak/>
        <w:t>知》（昌市财发〔</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号）文件，本项目年初预算安排总额为</w:t>
      </w:r>
      <w:r>
        <w:rPr>
          <w:rStyle w:val="a8"/>
          <w:rFonts w:ascii="楷体" w:eastAsia="楷体" w:hAnsi="楷体" w:hint="eastAsia"/>
          <w:b w:val="0"/>
          <w:bCs w:val="0"/>
          <w:spacing w:val="-4"/>
          <w:sz w:val="32"/>
          <w:szCs w:val="32"/>
        </w:rPr>
        <w:t>176</w:t>
      </w:r>
      <w:r>
        <w:rPr>
          <w:rStyle w:val="a8"/>
          <w:rFonts w:ascii="楷体" w:eastAsia="楷体" w:hAnsi="楷体" w:hint="eastAsia"/>
          <w:b w:val="0"/>
          <w:bCs w:val="0"/>
          <w:spacing w:val="-4"/>
          <w:sz w:val="32"/>
          <w:szCs w:val="32"/>
        </w:rPr>
        <w:t>万元，资金来源为本级部门预算，其中：财政资金</w:t>
      </w:r>
      <w:r>
        <w:rPr>
          <w:rStyle w:val="a8"/>
          <w:rFonts w:ascii="楷体" w:eastAsia="楷体" w:hAnsi="楷体" w:hint="eastAsia"/>
          <w:b w:val="0"/>
          <w:bCs w:val="0"/>
          <w:spacing w:val="-4"/>
          <w:sz w:val="32"/>
          <w:szCs w:val="32"/>
        </w:rPr>
        <w:t>176</w:t>
      </w:r>
      <w:r>
        <w:rPr>
          <w:rStyle w:val="a8"/>
          <w:rFonts w:ascii="楷体" w:eastAsia="楷体" w:hAnsi="楷体" w:hint="eastAsia"/>
          <w:b w:val="0"/>
          <w:bCs w:val="0"/>
          <w:spacing w:val="-4"/>
          <w:sz w:val="32"/>
          <w:szCs w:val="32"/>
        </w:rPr>
        <w:t>万元。本项目全年预算安排总额为</w:t>
      </w:r>
      <w:r>
        <w:rPr>
          <w:rStyle w:val="a8"/>
          <w:rFonts w:ascii="楷体" w:eastAsia="楷体" w:hAnsi="楷体" w:hint="eastAsia"/>
          <w:b w:val="0"/>
          <w:bCs w:val="0"/>
          <w:spacing w:val="-4"/>
          <w:sz w:val="32"/>
          <w:szCs w:val="32"/>
        </w:rPr>
        <w:t>176</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年本项目实际收到预算资金</w:t>
      </w:r>
      <w:r>
        <w:rPr>
          <w:rStyle w:val="a8"/>
          <w:rFonts w:ascii="楷体" w:eastAsia="楷体" w:hAnsi="楷体" w:hint="eastAsia"/>
          <w:b w:val="0"/>
          <w:bCs w:val="0"/>
          <w:spacing w:val="-4"/>
          <w:sz w:val="32"/>
          <w:szCs w:val="32"/>
        </w:rPr>
        <w:t>176</w:t>
      </w:r>
      <w:r>
        <w:rPr>
          <w:rStyle w:val="a8"/>
          <w:rFonts w:ascii="楷体" w:eastAsia="楷体" w:hAnsi="楷体" w:hint="eastAsia"/>
          <w:b w:val="0"/>
          <w:bCs w:val="0"/>
          <w:spacing w:val="-4"/>
          <w:sz w:val="32"/>
          <w:szCs w:val="32"/>
        </w:rPr>
        <w:t>万元，预算资金到位率为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）项目资金实际使用情况分析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截至</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日，本项目实际支付资金</w:t>
      </w:r>
      <w:r>
        <w:rPr>
          <w:rStyle w:val="a8"/>
          <w:rFonts w:ascii="楷体" w:eastAsia="楷体" w:hAnsi="楷体" w:hint="eastAsia"/>
          <w:b w:val="0"/>
          <w:bCs w:val="0"/>
          <w:spacing w:val="-4"/>
          <w:sz w:val="32"/>
          <w:szCs w:val="32"/>
        </w:rPr>
        <w:t>176.5</w:t>
      </w:r>
      <w:r>
        <w:rPr>
          <w:rStyle w:val="a8"/>
          <w:rFonts w:ascii="楷体" w:eastAsia="楷体" w:hAnsi="楷体" w:hint="eastAsia"/>
          <w:b w:val="0"/>
          <w:bCs w:val="0"/>
          <w:spacing w:val="-4"/>
          <w:sz w:val="32"/>
          <w:szCs w:val="32"/>
        </w:rPr>
        <w:t>万元，预算执行率</w:t>
      </w:r>
      <w:r>
        <w:rPr>
          <w:rStyle w:val="a8"/>
          <w:rFonts w:ascii="楷体" w:eastAsia="楷体" w:hAnsi="楷体" w:hint="eastAsia"/>
          <w:b w:val="0"/>
          <w:bCs w:val="0"/>
          <w:spacing w:val="-4"/>
          <w:sz w:val="32"/>
          <w:szCs w:val="32"/>
        </w:rPr>
        <w:t>99.72%</w:t>
      </w:r>
      <w:r>
        <w:rPr>
          <w:rStyle w:val="a8"/>
          <w:rFonts w:ascii="楷体" w:eastAsia="楷体" w:hAnsi="楷体" w:hint="eastAsia"/>
          <w:b w:val="0"/>
          <w:bCs w:val="0"/>
          <w:spacing w:val="-4"/>
          <w:sz w:val="32"/>
          <w:szCs w:val="32"/>
        </w:rPr>
        <w:t>，结余资金</w:t>
      </w:r>
      <w:r>
        <w:rPr>
          <w:rStyle w:val="a8"/>
          <w:rFonts w:ascii="楷体" w:eastAsia="楷体" w:hAnsi="楷体" w:hint="eastAsia"/>
          <w:b w:val="0"/>
          <w:bCs w:val="0"/>
          <w:spacing w:val="-4"/>
          <w:sz w:val="32"/>
          <w:szCs w:val="32"/>
        </w:rPr>
        <w:t>0.5</w:t>
      </w:r>
      <w:r>
        <w:rPr>
          <w:rStyle w:val="a8"/>
          <w:rFonts w:ascii="楷体" w:eastAsia="楷体" w:hAnsi="楷体" w:hint="eastAsia"/>
          <w:b w:val="0"/>
          <w:bCs w:val="0"/>
          <w:spacing w:val="-4"/>
          <w:sz w:val="32"/>
          <w:szCs w:val="32"/>
        </w:rPr>
        <w:t>万元，本项目资金主要用于支付</w:t>
      </w:r>
      <w:r>
        <w:rPr>
          <w:rStyle w:val="a8"/>
          <w:rFonts w:ascii="楷体" w:eastAsia="楷体" w:hAnsi="楷体" w:hint="eastAsia"/>
          <w:b w:val="0"/>
          <w:bCs w:val="0"/>
          <w:spacing w:val="-4"/>
          <w:sz w:val="32"/>
          <w:szCs w:val="32"/>
        </w:rPr>
        <w:t>88</w:t>
      </w:r>
      <w:r>
        <w:rPr>
          <w:rStyle w:val="a8"/>
          <w:rFonts w:ascii="楷体" w:eastAsia="楷体" w:hAnsi="楷体" w:hint="eastAsia"/>
          <w:b w:val="0"/>
          <w:bCs w:val="0"/>
          <w:spacing w:val="-4"/>
          <w:sz w:val="32"/>
          <w:szCs w:val="32"/>
        </w:rPr>
        <w:t>个代表之家补助费用。</w:t>
      </w:r>
    </w:p>
    <w:p w:rsidR="00BC5548" w:rsidRDefault="00293C1C">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（二）项目绩效目标</w:t>
      </w:r>
    </w:p>
    <w:p w:rsidR="00BC5548" w:rsidRDefault="00293C1C">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（二）项目绩效目标</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总体目标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为全面提升我</w:t>
      </w:r>
      <w:r>
        <w:rPr>
          <w:rStyle w:val="a8"/>
          <w:rFonts w:ascii="楷体" w:eastAsia="楷体" w:hAnsi="楷体" w:hint="eastAsia"/>
          <w:b w:val="0"/>
          <w:bCs w:val="0"/>
          <w:spacing w:val="-4"/>
          <w:sz w:val="32"/>
          <w:szCs w:val="32"/>
        </w:rPr>
        <w:t>市“人大代表之家”的建设水平，按照高质量发展要求，以供给侧结构性改革为主线，统筹做好稳增长、促改革、调结构、惠民生、防风险各项工作，达到实现</w:t>
      </w:r>
      <w:r w:rsidR="007B42BA">
        <w:rPr>
          <w:rStyle w:val="a8"/>
          <w:rFonts w:ascii="楷体" w:eastAsia="楷体" w:hAnsi="楷体" w:hint="eastAsia"/>
          <w:b w:val="0"/>
          <w:bCs w:val="0"/>
          <w:spacing w:val="-4"/>
          <w:sz w:val="32"/>
          <w:szCs w:val="32"/>
        </w:rPr>
        <w:t>人民当家作主</w:t>
      </w:r>
      <w:r>
        <w:rPr>
          <w:rStyle w:val="a8"/>
          <w:rFonts w:ascii="楷体" w:eastAsia="楷体" w:hAnsi="楷体" w:hint="eastAsia"/>
          <w:b w:val="0"/>
          <w:bCs w:val="0"/>
          <w:spacing w:val="-4"/>
          <w:sz w:val="32"/>
          <w:szCs w:val="32"/>
        </w:rPr>
        <w:t>，构建社会主义和谐社会的效果，依据《关于贯彻落实自治州党委人大工作会议精神新时代加强人大工作的实施意见》，加大“代表之家”建设力度和经费投入，切实做到“代表之家”门常开、代表活动常开展、代表履职有实效，不断推动我市人大工作再上新台阶。</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阶段性目标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根据《中华人民共和国预算法》《财政支出绩效评价管理暂行办法》（财预〔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号）、《中共中央国务院关于</w:t>
      </w:r>
      <w:r>
        <w:rPr>
          <w:rStyle w:val="a8"/>
          <w:rFonts w:ascii="楷体" w:eastAsia="楷体" w:hAnsi="楷体" w:hint="eastAsia"/>
          <w:b w:val="0"/>
          <w:bCs w:val="0"/>
          <w:spacing w:val="-4"/>
          <w:sz w:val="32"/>
          <w:szCs w:val="32"/>
        </w:rPr>
        <w:t>全面实施预算绩效管理的意见》（中发〔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34</w:t>
      </w:r>
      <w:r>
        <w:rPr>
          <w:rStyle w:val="a8"/>
          <w:rFonts w:ascii="楷体" w:eastAsia="楷体" w:hAnsi="楷体" w:hint="eastAsia"/>
          <w:b w:val="0"/>
          <w:bCs w:val="0"/>
          <w:spacing w:val="-4"/>
          <w:sz w:val="32"/>
          <w:szCs w:val="32"/>
        </w:rPr>
        <w:t>号）、《自治区党委自治区人民政府关于全面实施预算绩效管理的实施意见》（新党发〔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号）、《自治区财政支出绩效评价管理暂行办法》（新财预〔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lastRenderedPageBreak/>
        <w:t>189</w:t>
      </w:r>
      <w:r>
        <w:rPr>
          <w:rStyle w:val="a8"/>
          <w:rFonts w:ascii="楷体" w:eastAsia="楷体" w:hAnsi="楷体" w:hint="eastAsia"/>
          <w:b w:val="0"/>
          <w:bCs w:val="0"/>
          <w:spacing w:val="-4"/>
          <w:sz w:val="32"/>
          <w:szCs w:val="32"/>
        </w:rPr>
        <w:t>号）、《关于加强和规范自治区本级项目支出“全过程”预算绩效管理结果应用的通知》（新财预〔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57</w:t>
      </w:r>
      <w:r>
        <w:rPr>
          <w:rStyle w:val="a8"/>
          <w:rFonts w:ascii="楷体" w:eastAsia="楷体" w:hAnsi="楷体" w:hint="eastAsia"/>
          <w:b w:val="0"/>
          <w:bCs w:val="0"/>
          <w:spacing w:val="-4"/>
          <w:sz w:val="32"/>
          <w:szCs w:val="32"/>
        </w:rPr>
        <w:t>号）的规定，结合我单位的规章制度以及项目实施和财务相关资料，评价小组对项目绩效指标进行了进一步的完善，完善后绩效指标如下：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）项目产出指标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①数量指标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“拨付昌吉市“代表之家”活动经费数量”指标</w:t>
      </w:r>
      <w:r>
        <w:rPr>
          <w:rStyle w:val="a8"/>
          <w:rFonts w:ascii="楷体" w:eastAsia="楷体" w:hAnsi="楷体" w:hint="eastAsia"/>
          <w:b w:val="0"/>
          <w:bCs w:val="0"/>
          <w:spacing w:val="-4"/>
          <w:sz w:val="32"/>
          <w:szCs w:val="32"/>
        </w:rPr>
        <w:t>，预期指标值为“≥</w:t>
      </w:r>
      <w:r>
        <w:rPr>
          <w:rStyle w:val="a8"/>
          <w:rFonts w:ascii="楷体" w:eastAsia="楷体" w:hAnsi="楷体" w:hint="eastAsia"/>
          <w:b w:val="0"/>
          <w:bCs w:val="0"/>
          <w:spacing w:val="-4"/>
          <w:sz w:val="32"/>
          <w:szCs w:val="32"/>
        </w:rPr>
        <w:t>88</w:t>
      </w:r>
      <w:r>
        <w:rPr>
          <w:rStyle w:val="a8"/>
          <w:rFonts w:ascii="楷体" w:eastAsia="楷体" w:hAnsi="楷体" w:hint="eastAsia"/>
          <w:b w:val="0"/>
          <w:bCs w:val="0"/>
          <w:spacing w:val="-4"/>
          <w:sz w:val="32"/>
          <w:szCs w:val="32"/>
        </w:rPr>
        <w:t>个”；</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““代表之家”开展“七带头、十个一”活动次数”指标，预期指标值为“≥</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次”；</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②质量指标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“资金拨付合规率（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）”指标，预期指标值为“≥</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③时效指标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“项目完成及时率”指标，预期指标值为“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④成本指标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“每个代表之家拨付成本”指标，预期指标值为“≤</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个”。</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）项目效益目标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①经济效益指标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“加强代表之家履职效益”指标，预期指标值为“加强”。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②社会效益指标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无此项指标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③生态效益指标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无此项指标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④可持续影响指标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无此项指标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）相关满意度目</w:t>
      </w:r>
      <w:r>
        <w:rPr>
          <w:rStyle w:val="a8"/>
          <w:rFonts w:ascii="楷体" w:eastAsia="楷体" w:hAnsi="楷体" w:hint="eastAsia"/>
          <w:b w:val="0"/>
          <w:bCs w:val="0"/>
          <w:spacing w:val="-4"/>
          <w:sz w:val="32"/>
          <w:szCs w:val="32"/>
        </w:rPr>
        <w:t>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“人大代表满意率”指标，预期指标值为“≥</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w:t>
      </w:r>
    </w:p>
    <w:p w:rsidR="00BC5548" w:rsidRDefault="00293C1C">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二、绩效评价工作开展情况</w:t>
      </w:r>
    </w:p>
    <w:p w:rsidR="00BC5548" w:rsidRDefault="00293C1C">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（一）绩效评价目的、对象和范围</w:t>
      </w:r>
    </w:p>
    <w:p w:rsidR="00BC5548" w:rsidRDefault="00293C1C">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（一）绩效评价的目的、对象和范围</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绩效评价的目的</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为全面实施预算绩效管理，建立科学、合理的项目支出绩效评价管理体系，提高财政资源配置效率和使用效益，根据财政部印发《项目支出绩效评价管理办法》（财预〔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号）、《自治区财政支出绩效评价管理暂行办法》（新财预〔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189</w:t>
      </w:r>
      <w:r>
        <w:rPr>
          <w:rStyle w:val="a8"/>
          <w:rFonts w:ascii="楷体" w:eastAsia="楷体" w:hAnsi="楷体" w:hint="eastAsia"/>
          <w:b w:val="0"/>
          <w:bCs w:val="0"/>
          <w:spacing w:val="-4"/>
          <w:sz w:val="32"/>
          <w:szCs w:val="32"/>
        </w:rPr>
        <w:t>号）、关于印发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自治区项目支出绩效目标设置指引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42</w:t>
      </w:r>
      <w:r>
        <w:rPr>
          <w:rStyle w:val="a8"/>
          <w:rFonts w:ascii="楷体" w:eastAsia="楷体" w:hAnsi="楷体" w:hint="eastAsia"/>
          <w:b w:val="0"/>
          <w:bCs w:val="0"/>
          <w:spacing w:val="-4"/>
          <w:sz w:val="32"/>
          <w:szCs w:val="32"/>
        </w:rPr>
        <w:t>号）文件精神，我单位针对代表之家活动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w:t>
      </w:r>
      <w:r>
        <w:rPr>
          <w:rStyle w:val="a8"/>
          <w:rFonts w:ascii="楷体" w:eastAsia="楷体" w:hAnsi="楷体" w:hint="eastAsia"/>
          <w:b w:val="0"/>
          <w:bCs w:val="0"/>
          <w:spacing w:val="-4"/>
          <w:sz w:val="32"/>
          <w:szCs w:val="32"/>
        </w:rPr>
        <w:t>提升财政资金的使用效能。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效益指标、服务对象满意度指标等内容，保证项目绩效指标设置科学、</w:t>
      </w:r>
      <w:r>
        <w:rPr>
          <w:rStyle w:val="a8"/>
          <w:rFonts w:ascii="楷体" w:eastAsia="楷体" w:hAnsi="楷体" w:hint="eastAsia"/>
          <w:b w:val="0"/>
          <w:bCs w:val="0"/>
          <w:spacing w:val="-4"/>
          <w:sz w:val="32"/>
          <w:szCs w:val="32"/>
        </w:rPr>
        <w:lastRenderedPageBreak/>
        <w:t>规范、合理、可衡量。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w:t>
      </w:r>
      <w:r>
        <w:rPr>
          <w:rStyle w:val="a8"/>
          <w:rFonts w:ascii="楷体" w:eastAsia="楷体" w:hAnsi="楷体" w:hint="eastAsia"/>
          <w:b w:val="0"/>
          <w:bCs w:val="0"/>
          <w:spacing w:val="-4"/>
          <w:sz w:val="32"/>
          <w:szCs w:val="32"/>
        </w:rPr>
        <w:t>向全方位的绩效预算转变，逐步建立“以绩效目标为导向，以绩效评价为手段，以评价结果应用为保障，全方位、全覆盖、全过程”的绩效预算管理新体制。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绩效评价对象</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此次我单位根据《财政支出绩效评价管理暂行办法》（财预〔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号）文件要求实施评价工作，本次评价对象为代表之家活动经费项目，评价核心为</w:t>
      </w:r>
      <w:r>
        <w:rPr>
          <w:rStyle w:val="a8"/>
          <w:rFonts w:ascii="楷体" w:eastAsia="楷体" w:hAnsi="楷体" w:hint="eastAsia"/>
          <w:b w:val="0"/>
          <w:bCs w:val="0"/>
          <w:spacing w:val="-4"/>
          <w:sz w:val="32"/>
          <w:szCs w:val="32"/>
        </w:rPr>
        <w:t>项目资金、项目产出、项目效益。</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绩效评价范围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rsidR="00BC5548" w:rsidRDefault="00293C1C">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（二）绩效评价原则、评价指标体系、评价方法、评价标准</w:t>
      </w:r>
    </w:p>
    <w:p w:rsidR="00BC5548" w:rsidRDefault="00293C1C">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（二）绩效评价原则、评价指标体系</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绩效评价原则</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依据《中华人民共和国预算法》《中共中央国务院关于全面实施</w:t>
      </w:r>
      <w:r>
        <w:rPr>
          <w:rStyle w:val="a8"/>
          <w:rFonts w:ascii="楷体" w:eastAsia="楷体" w:hAnsi="楷体" w:hint="eastAsia"/>
          <w:b w:val="0"/>
          <w:bCs w:val="0"/>
          <w:spacing w:val="-4"/>
          <w:sz w:val="32"/>
          <w:szCs w:val="32"/>
        </w:rPr>
        <w:lastRenderedPageBreak/>
        <w:t>预算绩效管理的意见》（中发〔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34</w:t>
      </w:r>
      <w:r>
        <w:rPr>
          <w:rStyle w:val="a8"/>
          <w:rFonts w:ascii="楷体" w:eastAsia="楷体" w:hAnsi="楷体" w:hint="eastAsia"/>
          <w:b w:val="0"/>
          <w:bCs w:val="0"/>
          <w:spacing w:val="-4"/>
          <w:sz w:val="32"/>
          <w:szCs w:val="32"/>
        </w:rPr>
        <w:t>号）、《项目支出绩效评价管理办法》（财预〔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号）、《自治区党委自治区人民政府关于全面实施预算绩效管理的实施意见》（新党发〔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号）、《自治区财政支出绩效评价管理暂行办法》（新财预〔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189</w:t>
      </w:r>
      <w:r>
        <w:rPr>
          <w:rStyle w:val="a8"/>
          <w:rFonts w:ascii="楷体" w:eastAsia="楷体" w:hAnsi="楷体" w:hint="eastAsia"/>
          <w:b w:val="0"/>
          <w:bCs w:val="0"/>
          <w:spacing w:val="-4"/>
          <w:sz w:val="32"/>
          <w:szCs w:val="32"/>
        </w:rPr>
        <w:t>号）、《关于印发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自治区项目支出绩效目标设置指引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42</w:t>
      </w:r>
      <w:r>
        <w:rPr>
          <w:rStyle w:val="a8"/>
          <w:rFonts w:ascii="楷体" w:eastAsia="楷体" w:hAnsi="楷体" w:hint="eastAsia"/>
          <w:b w:val="0"/>
          <w:bCs w:val="0"/>
          <w:spacing w:val="-4"/>
          <w:sz w:val="32"/>
          <w:szCs w:val="32"/>
        </w:rPr>
        <w:t>号）等要求，绩效评价应遵循如下原则：</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）科学公正。绩效评价应当运用科学合理的方法，按照规范的程序，对项目绩效进行客观、公正地反映。</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）统筹兼顾。单位自评、部门评价和财政评价应职责明确，各有侧重，相互衔接。单位自评应由项目单位自主实施，即“谁支出、谁自评”。部门</w:t>
      </w:r>
      <w:r>
        <w:rPr>
          <w:rStyle w:val="a8"/>
          <w:rFonts w:ascii="楷体" w:eastAsia="楷体" w:hAnsi="楷体" w:hint="eastAsia"/>
          <w:b w:val="0"/>
          <w:bCs w:val="0"/>
          <w:spacing w:val="-4"/>
          <w:sz w:val="32"/>
          <w:szCs w:val="32"/>
        </w:rPr>
        <w:t>评价和财政评价应在单位自评的基础上开展，必要时可委托第三方机构实施。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）激励约束。绩效评价结果应与预算安排、政策调整、改进管理实质性挂钩，体现奖优罚劣和激励相容导向，有效要安排、低效要压减、无效要问责。</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）公开透明。绩效评价结果应依法依规公开，并自觉接受社会监督。</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根据以上原则，绩效评价应遵循如下要求：</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）在数据采集时，采取客观数据，主管部门审查、社会中介组织复查，与问卷调查相结合的形式，以保证各项指标的真实性。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）保证评价结果的真实性、公正性，提高评价报告的公信力。</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）绩效评价报告应当</w:t>
      </w:r>
      <w:r>
        <w:rPr>
          <w:rStyle w:val="a8"/>
          <w:rFonts w:ascii="楷体" w:eastAsia="楷体" w:hAnsi="楷体" w:hint="eastAsia"/>
          <w:b w:val="0"/>
          <w:bCs w:val="0"/>
          <w:spacing w:val="-4"/>
          <w:sz w:val="32"/>
          <w:szCs w:val="32"/>
        </w:rPr>
        <w:t>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2.</w:t>
      </w:r>
      <w:r>
        <w:rPr>
          <w:rStyle w:val="a8"/>
          <w:rFonts w:ascii="楷体" w:eastAsia="楷体" w:hAnsi="楷体" w:hint="eastAsia"/>
          <w:b w:val="0"/>
          <w:bCs w:val="0"/>
          <w:spacing w:val="-4"/>
          <w:sz w:val="32"/>
          <w:szCs w:val="32"/>
        </w:rPr>
        <w:t>绩效评价指标体系</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我单位通过实施资料研读及前期调研，结合项目的实际开展情况，按照《项目支出绩效评价管理办法》（财预〔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号）文件要求，结合项目特点，经与专家组充分协商，设置指标体系结构如下：设置一级指标共</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个，包括：决策指标（</w:t>
      </w:r>
      <w:r>
        <w:rPr>
          <w:rStyle w:val="a8"/>
          <w:rFonts w:ascii="楷体" w:eastAsia="楷体" w:hAnsi="楷体" w:hint="eastAsia"/>
          <w:b w:val="0"/>
          <w:bCs w:val="0"/>
          <w:spacing w:val="-4"/>
          <w:sz w:val="32"/>
          <w:szCs w:val="32"/>
        </w:rPr>
        <w:t>21.00%</w:t>
      </w:r>
      <w:r>
        <w:rPr>
          <w:rStyle w:val="a8"/>
          <w:rFonts w:ascii="楷体" w:eastAsia="楷体" w:hAnsi="楷体" w:hint="eastAsia"/>
          <w:b w:val="0"/>
          <w:bCs w:val="0"/>
          <w:spacing w:val="-4"/>
          <w:sz w:val="32"/>
          <w:szCs w:val="32"/>
        </w:rPr>
        <w:t>）、过程指标（</w:t>
      </w:r>
      <w:r>
        <w:rPr>
          <w:rStyle w:val="a8"/>
          <w:rFonts w:ascii="楷体" w:eastAsia="楷体" w:hAnsi="楷体" w:hint="eastAsia"/>
          <w:b w:val="0"/>
          <w:bCs w:val="0"/>
          <w:spacing w:val="-4"/>
          <w:sz w:val="32"/>
          <w:szCs w:val="32"/>
        </w:rPr>
        <w:t>19.00%</w:t>
      </w:r>
      <w:r>
        <w:rPr>
          <w:rStyle w:val="a8"/>
          <w:rFonts w:ascii="楷体" w:eastAsia="楷体" w:hAnsi="楷体" w:hint="eastAsia"/>
          <w:b w:val="0"/>
          <w:bCs w:val="0"/>
          <w:spacing w:val="-4"/>
          <w:sz w:val="32"/>
          <w:szCs w:val="32"/>
        </w:rPr>
        <w:t>）、产出指标（</w:t>
      </w:r>
      <w:r>
        <w:rPr>
          <w:rStyle w:val="a8"/>
          <w:rFonts w:ascii="楷体" w:eastAsia="楷体" w:hAnsi="楷体" w:hint="eastAsia"/>
          <w:b w:val="0"/>
          <w:bCs w:val="0"/>
          <w:spacing w:val="-4"/>
          <w:sz w:val="32"/>
          <w:szCs w:val="32"/>
        </w:rPr>
        <w:t>30.00%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效益指标（</w:t>
      </w:r>
      <w:r>
        <w:rPr>
          <w:rStyle w:val="a8"/>
          <w:rFonts w:ascii="楷体" w:eastAsia="楷体" w:hAnsi="楷体" w:hint="eastAsia"/>
          <w:b w:val="0"/>
          <w:bCs w:val="0"/>
          <w:spacing w:val="-4"/>
          <w:sz w:val="32"/>
          <w:szCs w:val="32"/>
        </w:rPr>
        <w:t>20.00%</w:t>
      </w:r>
      <w:r>
        <w:rPr>
          <w:rStyle w:val="a8"/>
          <w:rFonts w:ascii="楷体" w:eastAsia="楷体" w:hAnsi="楷体" w:hint="eastAsia"/>
          <w:b w:val="0"/>
          <w:bCs w:val="0"/>
          <w:spacing w:val="-4"/>
          <w:sz w:val="32"/>
          <w:szCs w:val="32"/>
        </w:rPr>
        <w:t>）、满意度指标（</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：项目支出绩效评价体系”。</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评价方法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单位根据本项目资金的性质和特点，选用比较法、公众评判法对项目进行评价，旨在通过综合分析影响绩效目标实现、实施效果的内外部因素，从而评价本项目绩效。其中：比较法，是指通过对绩效目标与实施效果、历史与</w:t>
      </w:r>
      <w:r>
        <w:rPr>
          <w:rStyle w:val="a8"/>
          <w:rFonts w:ascii="楷体" w:eastAsia="楷体" w:hAnsi="楷体" w:hint="eastAsia"/>
          <w:b w:val="0"/>
          <w:bCs w:val="0"/>
          <w:spacing w:val="-4"/>
          <w:sz w:val="32"/>
          <w:szCs w:val="32"/>
        </w:rPr>
        <w:t>当期情况、不同部门和地区同类支出的比较，综合分析绩效目标实现程度；公众评判法，是指通过专家评估、公众问卷及抽样调查等对财政支出效果进行评判，评价绩效目标实现程度。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三级指标分析环节：总体采用比较法，同时辅以文献法、成本效益法、因素分析法以及公众评判法，根据不同三级指标类型进行逐项分析。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w:t>
      </w:r>
      <w:r>
        <w:rPr>
          <w:rStyle w:val="a8"/>
          <w:rFonts w:ascii="楷体" w:eastAsia="楷体" w:hAnsi="楷体" w:hint="eastAsia"/>
          <w:b w:val="0"/>
          <w:bCs w:val="0"/>
          <w:spacing w:val="-4"/>
          <w:sz w:val="32"/>
          <w:szCs w:val="32"/>
        </w:rPr>
        <w:lastRenderedPageBreak/>
        <w:t>分值；对完成值高于指标值较多的，要分析原因，如果是由于年</w:t>
      </w:r>
      <w:r>
        <w:rPr>
          <w:rStyle w:val="a8"/>
          <w:rFonts w:ascii="楷体" w:eastAsia="楷体" w:hAnsi="楷体" w:hint="eastAsia"/>
          <w:b w:val="0"/>
          <w:bCs w:val="0"/>
          <w:spacing w:val="-4"/>
          <w:sz w:val="32"/>
          <w:szCs w:val="32"/>
        </w:rPr>
        <w:t>初指标值设定明显偏低造成的，要按照偏离度适度调减分值；未完成指标值的，按照完成值与指标值的比例记分。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②定性指标分析环节：主要采用公众评判法，通过问卷及抽样调查等方式评价本项目实施后社会公众对于其实施效果的满意程度，将调研结果按照《关于印发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自治区项目支出绩效目标设置指引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42</w:t>
      </w:r>
      <w:r>
        <w:rPr>
          <w:rStyle w:val="a8"/>
          <w:rFonts w:ascii="楷体" w:eastAsia="楷体" w:hAnsi="楷体" w:hint="eastAsia"/>
          <w:b w:val="0"/>
          <w:bCs w:val="0"/>
          <w:spacing w:val="-4"/>
          <w:sz w:val="32"/>
          <w:szCs w:val="32"/>
        </w:rPr>
        <w:t>号）要求分为基本达成目标、部分实现目标、实现目标程度较低三档，分别按照该指标对应分值区间</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（含）</w:t>
      </w:r>
      <w:r>
        <w:rPr>
          <w:rStyle w:val="a8"/>
          <w:rFonts w:ascii="楷体" w:eastAsia="楷体" w:hAnsi="楷体" w:hint="eastAsia"/>
          <w:b w:val="0"/>
          <w:bCs w:val="0"/>
          <w:spacing w:val="-4"/>
          <w:sz w:val="32"/>
          <w:szCs w:val="32"/>
        </w:rPr>
        <w:t>-80.00%</w:t>
      </w:r>
      <w:r>
        <w:rPr>
          <w:rStyle w:val="a8"/>
          <w:rFonts w:ascii="楷体" w:eastAsia="楷体" w:hAnsi="楷体" w:hint="eastAsia"/>
          <w:b w:val="0"/>
          <w:bCs w:val="0"/>
          <w:spacing w:val="-4"/>
          <w:sz w:val="32"/>
          <w:szCs w:val="32"/>
        </w:rPr>
        <w:t>（含）、</w:t>
      </w:r>
      <w:r>
        <w:rPr>
          <w:rStyle w:val="a8"/>
          <w:rFonts w:ascii="楷体" w:eastAsia="楷体" w:hAnsi="楷体" w:hint="eastAsia"/>
          <w:b w:val="0"/>
          <w:bCs w:val="0"/>
          <w:spacing w:val="-4"/>
          <w:sz w:val="32"/>
          <w:szCs w:val="32"/>
        </w:rPr>
        <w:t>80.00%-60.00%</w:t>
      </w:r>
      <w:r>
        <w:rPr>
          <w:rStyle w:val="a8"/>
          <w:rFonts w:ascii="楷体" w:eastAsia="楷体" w:hAnsi="楷体" w:hint="eastAsia"/>
          <w:b w:val="0"/>
          <w:bCs w:val="0"/>
          <w:spacing w:val="-4"/>
          <w:sz w:val="32"/>
          <w:szCs w:val="32"/>
        </w:rPr>
        <w:t>（含）、</w:t>
      </w:r>
      <w:r>
        <w:rPr>
          <w:rStyle w:val="a8"/>
          <w:rFonts w:ascii="楷体" w:eastAsia="楷体" w:hAnsi="楷体" w:hint="eastAsia"/>
          <w:b w:val="0"/>
          <w:bCs w:val="0"/>
          <w:spacing w:val="-4"/>
          <w:sz w:val="32"/>
          <w:szCs w:val="32"/>
        </w:rPr>
        <w:t>60.00%-0.00%</w:t>
      </w:r>
      <w:r>
        <w:rPr>
          <w:rStyle w:val="a8"/>
          <w:rFonts w:ascii="楷体" w:eastAsia="楷体" w:hAnsi="楷体" w:hint="eastAsia"/>
          <w:b w:val="0"/>
          <w:bCs w:val="0"/>
          <w:spacing w:val="-4"/>
          <w:sz w:val="32"/>
          <w:szCs w:val="32"/>
        </w:rPr>
        <w:t>合理确定分值，详细</w:t>
      </w:r>
      <w:r>
        <w:rPr>
          <w:rStyle w:val="a8"/>
          <w:rFonts w:ascii="楷体" w:eastAsia="楷体" w:hAnsi="楷体" w:hint="eastAsia"/>
          <w:b w:val="0"/>
          <w:bCs w:val="0"/>
          <w:spacing w:val="-4"/>
          <w:sz w:val="32"/>
          <w:szCs w:val="32"/>
        </w:rPr>
        <w:t>评价方法的应用如下：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立项依据充分性：比较法、文献法，查找法律法规政策以及规划，对比实际执行内容和政策支持内容是否匹配。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立项程序规范性：比较法、文献法，查找相关项目设立的政策和文件要求，对比分析实际执行程序是否按照政策及文件要求执行，分析立项程序的规范性。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绩效目标合理性：比较法，对比分析年初编制项目支出绩效目标表与项目内容的相关性、资金的匹配性等。</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绩效指标明确性：比较法，比较分析年初编制项目支出绩效目标表是否符合双七原则，是否可衡量。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预算编制科学性：成本效益分析法，分析在产出一定的情况下，成本取值是</w:t>
      </w:r>
      <w:r>
        <w:rPr>
          <w:rStyle w:val="a8"/>
          <w:rFonts w:ascii="楷体" w:eastAsia="楷体" w:hAnsi="楷体" w:hint="eastAsia"/>
          <w:b w:val="0"/>
          <w:bCs w:val="0"/>
          <w:spacing w:val="-4"/>
          <w:sz w:val="32"/>
          <w:szCs w:val="32"/>
        </w:rPr>
        <w:t>否有依据，是否经过询价，是否按照市场最低成本编制。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资金分配合理性：因素分析法，综合分析资金的分配依据是否充分，分配金额是否与项目实施单位需求金额一致，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资金到位率：比较法，资金到位率预期指标值应为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，通</w:t>
      </w:r>
      <w:r>
        <w:rPr>
          <w:rStyle w:val="a8"/>
          <w:rFonts w:ascii="楷体" w:eastAsia="楷体" w:hAnsi="楷体" w:hint="eastAsia"/>
          <w:b w:val="0"/>
          <w:bCs w:val="0"/>
          <w:spacing w:val="-4"/>
          <w:sz w:val="32"/>
          <w:szCs w:val="32"/>
        </w:rPr>
        <w:lastRenderedPageBreak/>
        <w:t>过实际计算，分析实际完成值和预期指标值之间的差距和原因。</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预算执行率：比较法，预算执行率预期指标值应为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，通过实际计算，分析实际完成值和预期指标值之间的差距和原因。</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资金使用合规性：文献法、实地勘察法，一是查找资金管理办法，包括专项资金管理办法和单位自有资金管理办法；二是通过查账了解</w:t>
      </w:r>
      <w:r>
        <w:rPr>
          <w:rStyle w:val="a8"/>
          <w:rFonts w:ascii="楷体" w:eastAsia="楷体" w:hAnsi="楷体" w:hint="eastAsia"/>
          <w:b w:val="0"/>
          <w:bCs w:val="0"/>
          <w:spacing w:val="-4"/>
          <w:sz w:val="32"/>
          <w:szCs w:val="32"/>
        </w:rPr>
        <w:t>具体开支情况，是否专款专用，是否按照标准支出。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制度执行有效性：比较法，结合项目实际实施过程性文件，根据已建设的财务管理制度和项目管理制度综合分析制度执行的有效性。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w:t>
      </w:r>
      <w:r>
        <w:rPr>
          <w:rStyle w:val="a8"/>
          <w:rFonts w:ascii="楷体" w:eastAsia="楷体" w:hAnsi="楷体" w:hint="eastAsia"/>
          <w:b w:val="0"/>
          <w:bCs w:val="0"/>
          <w:spacing w:val="-4"/>
          <w:sz w:val="32"/>
          <w:szCs w:val="32"/>
        </w:rPr>
        <w:t>分值；未完成指标值的，按照完成值与指标值的比例记分。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定性指标：公众评判法，通过问卷及抽样调查等方式评价本项目实施后社会公众对于其实施效果的满意程度。</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绩效评价标准通常包括计划标准、行业标准、历史标准等，用于对绩效指标完成情况进行比较、分析、评价。具体绩效评价标准解释如下：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计划标准：指以预先制定的目标、计划、预算、定额等作为评价标准。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行业标准：指参照国家公布的行业指标数据制定的评价标准。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历史标准：指参照历史数据制定的评价标准，为体现绩效改进的原则，在可实现的条件下应当确定相对较高的评价标</w:t>
      </w:r>
      <w:r>
        <w:rPr>
          <w:rStyle w:val="a8"/>
          <w:rFonts w:ascii="楷体" w:eastAsia="楷体" w:hAnsi="楷体" w:hint="eastAsia"/>
          <w:b w:val="0"/>
          <w:bCs w:val="0"/>
          <w:spacing w:val="-4"/>
          <w:sz w:val="32"/>
          <w:szCs w:val="32"/>
        </w:rPr>
        <w:t>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rsidR="00BC5548" w:rsidRDefault="00293C1C">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（三）绩效评价工作过程</w:t>
      </w:r>
    </w:p>
    <w:p w:rsidR="00BC5548" w:rsidRDefault="00293C1C">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（三）绩效评价工作过程</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前期准备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我单位于</w:t>
      </w:r>
      <w:r>
        <w:rPr>
          <w:rStyle w:val="a8"/>
          <w:rFonts w:ascii="楷体" w:eastAsia="楷体" w:hAnsi="楷体" w:hint="eastAsia"/>
          <w:b w:val="0"/>
          <w:bCs w:val="0"/>
          <w:spacing w:val="-4"/>
          <w:sz w:val="32"/>
          <w:szCs w:val="32"/>
        </w:rPr>
        <w:t>2025</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日，确定绩效评价工作小组，正式开始前期准备工作，通过对评价对象前期调研，确定了评价的目的、方法以及评价的原则，根据项目的内</w:t>
      </w:r>
      <w:r>
        <w:rPr>
          <w:rStyle w:val="a8"/>
          <w:rFonts w:ascii="楷体" w:eastAsia="楷体" w:hAnsi="楷体" w:hint="eastAsia"/>
          <w:b w:val="0"/>
          <w:bCs w:val="0"/>
          <w:spacing w:val="-4"/>
          <w:sz w:val="32"/>
          <w:szCs w:val="32"/>
        </w:rPr>
        <w:t>容和特征制定了评价指标体系及评价标准。绩效评价工作小组人员名单及分工如下：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向东（评价小组组长）：主要负责项目策划和监督，全面负责项目绩效评价报告的最终质量，对评价人员出具的最终报告质量进行复核，确保评估结果的客观性；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杨淑花（评价小组组员）：主要负责资料的收集，取证、数据统计分析；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马志刚（评价小组组员）：主要负责项目报告的制定，指标的研判，数据分析及报告撰写。</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组织实施</w:t>
      </w:r>
      <w:r>
        <w:rPr>
          <w:rStyle w:val="a8"/>
          <w:rFonts w:ascii="楷体" w:eastAsia="楷体" w:hAnsi="楷体" w:hint="eastAsia"/>
          <w:b w:val="0"/>
          <w:bCs w:val="0"/>
          <w:spacing w:val="-4"/>
          <w:sz w:val="32"/>
          <w:szCs w:val="32"/>
        </w:rPr>
        <w:br/>
        <w:t>2025</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11</w:t>
      </w:r>
      <w:r>
        <w:rPr>
          <w:rStyle w:val="a8"/>
          <w:rFonts w:ascii="楷体" w:eastAsia="楷体" w:hAnsi="楷体" w:hint="eastAsia"/>
          <w:b w:val="0"/>
          <w:bCs w:val="0"/>
          <w:spacing w:val="-4"/>
          <w:sz w:val="32"/>
          <w:szCs w:val="32"/>
        </w:rPr>
        <w:t>日</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14</w:t>
      </w:r>
      <w:r>
        <w:rPr>
          <w:rStyle w:val="a8"/>
          <w:rFonts w:ascii="楷体" w:eastAsia="楷体" w:hAnsi="楷体" w:hint="eastAsia"/>
          <w:b w:val="0"/>
          <w:bCs w:val="0"/>
          <w:spacing w:val="-4"/>
          <w:sz w:val="32"/>
          <w:szCs w:val="32"/>
        </w:rPr>
        <w:t>日，评价工作进入实施阶段。在数据</w:t>
      </w:r>
      <w:r>
        <w:rPr>
          <w:rStyle w:val="a8"/>
          <w:rFonts w:ascii="楷体" w:eastAsia="楷体" w:hAnsi="楷体" w:hint="eastAsia"/>
          <w:b w:val="0"/>
          <w:bCs w:val="0"/>
          <w:spacing w:val="-4"/>
          <w:sz w:val="32"/>
          <w:szCs w:val="32"/>
        </w:rPr>
        <w:lastRenderedPageBreak/>
        <w:t>采集方面，评价小组整理单位前期提交的资料，与项目实施负责人沟通，了解</w:t>
      </w:r>
      <w:r>
        <w:rPr>
          <w:rStyle w:val="a8"/>
          <w:rFonts w:ascii="楷体" w:eastAsia="楷体" w:hAnsi="楷体" w:hint="eastAsia"/>
          <w:b w:val="0"/>
          <w:bCs w:val="0"/>
          <w:spacing w:val="-4"/>
          <w:sz w:val="32"/>
          <w:szCs w:val="32"/>
        </w:rPr>
        <w:t>资金的内容、操作流程、管理机制、资金使用方向等情况并采集信息，了解项目设置背景及资金使用等情况。</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分析评价</w:t>
      </w:r>
      <w:r>
        <w:rPr>
          <w:rStyle w:val="a8"/>
          <w:rFonts w:ascii="楷体" w:eastAsia="楷体" w:hAnsi="楷体" w:hint="eastAsia"/>
          <w:b w:val="0"/>
          <w:bCs w:val="0"/>
          <w:spacing w:val="-4"/>
          <w:sz w:val="32"/>
          <w:szCs w:val="32"/>
        </w:rPr>
        <w:br/>
        <w:t>2025</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日</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 xml:space="preserve">日，评价小组按照绩效评价的原则和规范，对取得的资料进行审查核实，对采集的数据进行分析，按照绩效评价指标评分表逐项进行打分、分析、汇总各方评价结果。　</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撰写与提交评价报告</w:t>
      </w:r>
      <w:r>
        <w:rPr>
          <w:rStyle w:val="a8"/>
          <w:rFonts w:ascii="楷体" w:eastAsia="楷体" w:hAnsi="楷体" w:hint="eastAsia"/>
          <w:b w:val="0"/>
          <w:bCs w:val="0"/>
          <w:spacing w:val="-4"/>
          <w:sz w:val="32"/>
          <w:szCs w:val="32"/>
        </w:rPr>
        <w:br/>
        <w:t>2025</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21</w:t>
      </w:r>
      <w:r>
        <w:rPr>
          <w:rStyle w:val="a8"/>
          <w:rFonts w:ascii="楷体" w:eastAsia="楷体" w:hAnsi="楷体" w:hint="eastAsia"/>
          <w:b w:val="0"/>
          <w:bCs w:val="0"/>
          <w:spacing w:val="-4"/>
          <w:sz w:val="32"/>
          <w:szCs w:val="32"/>
        </w:rPr>
        <w:t>日</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28</w:t>
      </w:r>
      <w:r>
        <w:rPr>
          <w:rStyle w:val="a8"/>
          <w:rFonts w:ascii="楷体" w:eastAsia="楷体" w:hAnsi="楷体" w:hint="eastAsia"/>
          <w:b w:val="0"/>
          <w:bCs w:val="0"/>
          <w:spacing w:val="-4"/>
          <w:sz w:val="32"/>
          <w:szCs w:val="32"/>
        </w:rPr>
        <w:t>日，评价小组撰写绩效评价报告，按照新疆维吾尔自治区财政绩效管理信息系统绩效评价模块中统一格式和文本框架撰写绩效评价报告并提交审核。</w:t>
      </w:r>
      <w:r>
        <w:rPr>
          <w:rStyle w:val="a8"/>
          <w:rFonts w:ascii="楷体" w:eastAsia="楷体" w:hAnsi="楷体" w:hint="eastAsia"/>
          <w:b w:val="0"/>
          <w:bCs w:val="0"/>
          <w:spacing w:val="-4"/>
          <w:sz w:val="32"/>
          <w:szCs w:val="32"/>
        </w:rPr>
        <w:br/>
        <w:t>5.</w:t>
      </w:r>
      <w:r>
        <w:rPr>
          <w:rStyle w:val="a8"/>
          <w:rFonts w:ascii="楷体" w:eastAsia="楷体" w:hAnsi="楷体" w:hint="eastAsia"/>
          <w:b w:val="0"/>
          <w:bCs w:val="0"/>
          <w:spacing w:val="-4"/>
          <w:sz w:val="32"/>
          <w:szCs w:val="32"/>
        </w:rPr>
        <w:t>问题整改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经审核通过后，由评价</w:t>
      </w:r>
      <w:r>
        <w:rPr>
          <w:rStyle w:val="a8"/>
          <w:rFonts w:ascii="楷体" w:eastAsia="楷体" w:hAnsi="楷体" w:hint="eastAsia"/>
          <w:b w:val="0"/>
          <w:bCs w:val="0"/>
          <w:spacing w:val="-4"/>
          <w:sz w:val="32"/>
          <w:szCs w:val="32"/>
        </w:rPr>
        <w:t>小组将报告推送至项目实施人员，由项目实施人员根据报告评价结论、存在的问题以及改进建议落实问题整改，并形成整改报告，由评价小组负责监督和核查整改落实情况，确保绩效评价落到实处。</w:t>
      </w:r>
      <w:r>
        <w:rPr>
          <w:rStyle w:val="a8"/>
          <w:rFonts w:ascii="楷体" w:eastAsia="楷体" w:hAnsi="楷体" w:hint="eastAsia"/>
          <w:b w:val="0"/>
          <w:bCs w:val="0"/>
          <w:spacing w:val="-4"/>
          <w:sz w:val="32"/>
          <w:szCs w:val="32"/>
        </w:rPr>
        <w:br/>
        <w:t>6.</w:t>
      </w:r>
      <w:r>
        <w:rPr>
          <w:rStyle w:val="a8"/>
          <w:rFonts w:ascii="楷体" w:eastAsia="楷体" w:hAnsi="楷体" w:hint="eastAsia"/>
          <w:b w:val="0"/>
          <w:bCs w:val="0"/>
          <w:spacing w:val="-4"/>
          <w:sz w:val="32"/>
          <w:szCs w:val="32"/>
        </w:rPr>
        <w:t>档案整理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建立和落实档案管理制度，将项目相关资料存档，包括但不限于：评价项目基本情况和相关文件、评价实施方案、项目支付资料等相关档案。</w:t>
      </w:r>
    </w:p>
    <w:p w:rsidR="00BC5548" w:rsidRDefault="00293C1C">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三、综合评价情况及评价结论</w:t>
      </w:r>
    </w:p>
    <w:p w:rsidR="00BC5548" w:rsidRDefault="00293C1C">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（一）综合评价情况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经评价，本项目较大程度达成年初设立的绩效目标，解决了代表之家活动经费紧张的问题，在实施过程中取得了良好的成效，具体表现在：代表之家建设严格依据《中华</w:t>
      </w:r>
      <w:r>
        <w:rPr>
          <w:rStyle w:val="a8"/>
          <w:rFonts w:ascii="楷体" w:eastAsia="楷体" w:hAnsi="楷体" w:hint="eastAsia"/>
          <w:b w:val="0"/>
          <w:bCs w:val="0"/>
          <w:spacing w:val="-4"/>
          <w:sz w:val="32"/>
          <w:szCs w:val="32"/>
        </w:rPr>
        <w:t>人民共和国全国人民代</w:t>
      </w:r>
      <w:r>
        <w:rPr>
          <w:rStyle w:val="a8"/>
          <w:rFonts w:ascii="楷体" w:eastAsia="楷体" w:hAnsi="楷体" w:hint="eastAsia"/>
          <w:b w:val="0"/>
          <w:bCs w:val="0"/>
          <w:spacing w:val="-4"/>
          <w:sz w:val="32"/>
          <w:szCs w:val="32"/>
        </w:rPr>
        <w:lastRenderedPageBreak/>
        <w:t>表大会和地方各级人民代表大会代表法》及地方关于人大代表履职平台建设的相关政策文件，聚焦基层民主建设需求，旨在为代表履职、联系群众提供固定阵地，符合人大工作发展规划与基层治理实际需要，决策依据充分且合法合规。代表之家开展活动，研究老旧小区改造、道路修缮等民生工程落地，直接改善居民生活环境；代表常态化履职，增强群众对基层民主的认知与参与，提升社区治理共识，社会效益显著，助力构建共建共治共享基层治理格局。</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（二）评价结论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此次绩效评价通过绩效评价小组论证的评价指标体系及评分标准，采用因素分析法</w:t>
      </w:r>
      <w:r>
        <w:rPr>
          <w:rStyle w:val="a8"/>
          <w:rFonts w:ascii="楷体" w:eastAsia="楷体" w:hAnsi="楷体" w:hint="eastAsia"/>
          <w:b w:val="0"/>
          <w:bCs w:val="0"/>
          <w:spacing w:val="-4"/>
          <w:sz w:val="32"/>
          <w:szCs w:val="32"/>
        </w:rPr>
        <w:t>和比较法对本项目绩效进行客观评价，最终评分结果：总分为</w:t>
      </w:r>
      <w:r>
        <w:rPr>
          <w:rStyle w:val="a8"/>
          <w:rFonts w:ascii="楷体" w:eastAsia="楷体" w:hAnsi="楷体" w:hint="eastAsia"/>
          <w:b w:val="0"/>
          <w:bCs w:val="0"/>
          <w:spacing w:val="-4"/>
          <w:sz w:val="32"/>
          <w:szCs w:val="32"/>
        </w:rPr>
        <w:t>99.93</w:t>
      </w:r>
      <w:r>
        <w:rPr>
          <w:rStyle w:val="a8"/>
          <w:rFonts w:ascii="楷体" w:eastAsia="楷体" w:hAnsi="楷体" w:hint="eastAsia"/>
          <w:b w:val="0"/>
          <w:bCs w:val="0"/>
          <w:spacing w:val="-4"/>
          <w:sz w:val="32"/>
          <w:szCs w:val="32"/>
        </w:rPr>
        <w:t>分，绩效评级为“优秀”。综合评价结论如下：本项目共设置三级指标数量</w:t>
      </w:r>
      <w:r>
        <w:rPr>
          <w:rStyle w:val="a8"/>
          <w:rFonts w:ascii="楷体" w:eastAsia="楷体" w:hAnsi="楷体" w:hint="eastAsia"/>
          <w:b w:val="0"/>
          <w:bCs w:val="0"/>
          <w:spacing w:val="-4"/>
          <w:sz w:val="32"/>
          <w:szCs w:val="32"/>
        </w:rPr>
        <w:t>18</w:t>
      </w:r>
      <w:r>
        <w:rPr>
          <w:rStyle w:val="a8"/>
          <w:rFonts w:ascii="楷体" w:eastAsia="楷体" w:hAnsi="楷体" w:hint="eastAsia"/>
          <w:b w:val="0"/>
          <w:bCs w:val="0"/>
          <w:spacing w:val="-4"/>
          <w:sz w:val="32"/>
          <w:szCs w:val="32"/>
        </w:rPr>
        <w:t>个，实现三级指标数量</w:t>
      </w:r>
      <w:r>
        <w:rPr>
          <w:rStyle w:val="a8"/>
          <w:rFonts w:ascii="楷体" w:eastAsia="楷体" w:hAnsi="楷体" w:hint="eastAsia"/>
          <w:b w:val="0"/>
          <w:bCs w:val="0"/>
          <w:spacing w:val="-4"/>
          <w:sz w:val="32"/>
          <w:szCs w:val="32"/>
        </w:rPr>
        <w:t>16</w:t>
      </w:r>
      <w:r>
        <w:rPr>
          <w:rStyle w:val="a8"/>
          <w:rFonts w:ascii="楷体" w:eastAsia="楷体" w:hAnsi="楷体" w:hint="eastAsia"/>
          <w:b w:val="0"/>
          <w:bCs w:val="0"/>
          <w:spacing w:val="-4"/>
          <w:sz w:val="32"/>
          <w:szCs w:val="32"/>
        </w:rPr>
        <w:t>个，总体完成率为</w:t>
      </w:r>
      <w:r>
        <w:rPr>
          <w:rStyle w:val="a8"/>
          <w:rFonts w:ascii="楷体" w:eastAsia="楷体" w:hAnsi="楷体" w:hint="eastAsia"/>
          <w:b w:val="0"/>
          <w:bCs w:val="0"/>
          <w:spacing w:val="-4"/>
          <w:sz w:val="32"/>
          <w:szCs w:val="32"/>
        </w:rPr>
        <w:t>88.89%</w:t>
      </w:r>
      <w:r>
        <w:rPr>
          <w:rStyle w:val="a8"/>
          <w:rFonts w:ascii="楷体" w:eastAsia="楷体" w:hAnsi="楷体" w:hint="eastAsia"/>
          <w:b w:val="0"/>
          <w:bCs w:val="0"/>
          <w:spacing w:val="-4"/>
          <w:sz w:val="32"/>
          <w:szCs w:val="32"/>
        </w:rPr>
        <w:t>。项目决策类指标共设置</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；过程管理类指标共设置</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99.84%</w:t>
      </w:r>
      <w:r>
        <w:rPr>
          <w:rStyle w:val="a8"/>
          <w:rFonts w:ascii="楷体" w:eastAsia="楷体" w:hAnsi="楷体" w:hint="eastAsia"/>
          <w:b w:val="0"/>
          <w:bCs w:val="0"/>
          <w:spacing w:val="-4"/>
          <w:sz w:val="32"/>
          <w:szCs w:val="32"/>
        </w:rPr>
        <w:t>；项目产出类指标共设置</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99.87%</w:t>
      </w:r>
      <w:r>
        <w:rPr>
          <w:rStyle w:val="a8"/>
          <w:rFonts w:ascii="楷体" w:eastAsia="楷体" w:hAnsi="楷体" w:hint="eastAsia"/>
          <w:b w:val="0"/>
          <w:bCs w:val="0"/>
          <w:spacing w:val="-4"/>
          <w:sz w:val="32"/>
          <w:szCs w:val="32"/>
        </w:rPr>
        <w:t>；项目效益类指标共设置</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；项目满意度类指标共设置</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。详细情况见“表</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：项目综合得分</w:t>
      </w:r>
      <w:r>
        <w:rPr>
          <w:rStyle w:val="a8"/>
          <w:rFonts w:ascii="楷体" w:eastAsia="楷体" w:hAnsi="楷体" w:hint="eastAsia"/>
          <w:b w:val="0"/>
          <w:bCs w:val="0"/>
          <w:spacing w:val="-4"/>
          <w:sz w:val="32"/>
          <w:szCs w:val="32"/>
        </w:rPr>
        <w:t>表”及“附件</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：项目综合得分表”。</w:t>
      </w:r>
    </w:p>
    <w:p w:rsidR="00BC5548" w:rsidRDefault="00293C1C">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四、绩效评价指标分析</w:t>
      </w:r>
    </w:p>
    <w:p w:rsidR="00BC5548" w:rsidRDefault="00293C1C">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Pr>
          <w:rStyle w:val="a8"/>
          <w:rFonts w:ascii="楷体" w:eastAsia="楷体" w:hAnsi="楷体" w:hint="eastAsia"/>
          <w:spacing w:val="-4"/>
          <w:sz w:val="32"/>
          <w:szCs w:val="32"/>
        </w:rPr>
        <w:t>项目决策情况</w:t>
      </w:r>
    </w:p>
    <w:p w:rsidR="00BC5548" w:rsidRDefault="00293C1C">
      <w:pPr>
        <w:tabs>
          <w:tab w:val="center" w:pos="4295"/>
        </w:tabs>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（一）项目决策情况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项目决策类指标由</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21.00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21</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1.</w:t>
      </w:r>
      <w:r>
        <w:rPr>
          <w:rStyle w:val="a8"/>
          <w:rFonts w:ascii="楷体" w:eastAsia="楷体" w:hAnsi="楷体" w:hint="eastAsia"/>
          <w:b w:val="0"/>
          <w:bCs w:val="0"/>
          <w:spacing w:val="-4"/>
          <w:sz w:val="32"/>
          <w:szCs w:val="32"/>
        </w:rPr>
        <w:t>项目立项情况分析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）立项依据充分性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本项目立项符合昌吉市颁发的《中共昌吉市委员会关于贯彻落实自治州党委人大工作会议精神新时代加强人大工作的实施意见》（昌市党发〔</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号）中：“加大人大工作经费保障”，符合行业发展规划和政策要求；本项目立项符合《昌吉市人大常委会办公室配置内设机构和人员编制规定》中职责范围中的“代表</w:t>
      </w:r>
      <w:r>
        <w:rPr>
          <w:rStyle w:val="a8"/>
          <w:rFonts w:ascii="楷体" w:eastAsia="楷体" w:hAnsi="楷体" w:hint="eastAsia"/>
          <w:b w:val="0"/>
          <w:bCs w:val="0"/>
          <w:spacing w:val="-4"/>
          <w:sz w:val="32"/>
          <w:szCs w:val="32"/>
        </w:rPr>
        <w:t>之家活动经费”，属于我单位履职所需；根据《财政资金直接支付申请书》，本项目资金性质为“公共财政预算”功能分类为“</w:t>
      </w:r>
      <w:r>
        <w:rPr>
          <w:rStyle w:val="a8"/>
          <w:rFonts w:ascii="楷体" w:eastAsia="楷体" w:hAnsi="楷体" w:hint="eastAsia"/>
          <w:b w:val="0"/>
          <w:bCs w:val="0"/>
          <w:spacing w:val="-4"/>
          <w:sz w:val="32"/>
          <w:szCs w:val="32"/>
        </w:rPr>
        <w:t>2010108</w:t>
      </w:r>
      <w:r>
        <w:rPr>
          <w:rStyle w:val="a8"/>
          <w:rFonts w:ascii="楷体" w:eastAsia="楷体" w:hAnsi="楷体" w:hint="eastAsia"/>
          <w:b w:val="0"/>
          <w:bCs w:val="0"/>
          <w:spacing w:val="-4"/>
          <w:sz w:val="32"/>
          <w:szCs w:val="32"/>
        </w:rPr>
        <w:t>”经济分类为“</w:t>
      </w:r>
      <w:r>
        <w:rPr>
          <w:rStyle w:val="a8"/>
          <w:rFonts w:ascii="楷体" w:eastAsia="楷体" w:hAnsi="楷体" w:hint="eastAsia"/>
          <w:b w:val="0"/>
          <w:bCs w:val="0"/>
          <w:spacing w:val="-4"/>
          <w:sz w:val="32"/>
          <w:szCs w:val="32"/>
        </w:rPr>
        <w:t>30299</w:t>
      </w:r>
      <w:r>
        <w:rPr>
          <w:rStyle w:val="a8"/>
          <w:rFonts w:ascii="楷体" w:eastAsia="楷体" w:hAnsi="楷体" w:hint="eastAsia"/>
          <w:b w:val="0"/>
          <w:bCs w:val="0"/>
          <w:spacing w:val="-4"/>
          <w:sz w:val="32"/>
          <w:szCs w:val="32"/>
        </w:rPr>
        <w:t>”属于公共财政支持范围，符合中央、地方事权支出责任划分原则；经检查我单位财政管理一体化信息系统，本项目不存在重复。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分，本项目立项依据充分。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）立项程序规范性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本项目为非基础建设类项目，不涉及发改立项批复流程，由我单位自行编制项目实施方案和项目预算申请计划，经过与党委会研究确定最终预算方案。经查看，该</w:t>
      </w:r>
      <w:r>
        <w:rPr>
          <w:rStyle w:val="a8"/>
          <w:rFonts w:ascii="楷体" w:eastAsia="楷体" w:hAnsi="楷体" w:hint="eastAsia"/>
          <w:b w:val="0"/>
          <w:bCs w:val="0"/>
          <w:spacing w:val="-4"/>
          <w:sz w:val="32"/>
          <w:szCs w:val="32"/>
        </w:rPr>
        <w:t>项目申请设立过程产生的相关文件，符合相关要求，本项目为非基础建设类项目，属于专项资金安排项目，不涉及事前绩效评估、可行性研究以及风险评估，由我单位严格按照《关于下达</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年昌吉市行政事业单位部门预算批复的通知》（昌市财发〔</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号）文件要求实施项目。</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分，本项目立项程序规范。</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绩效目标情况分析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）绩效目标合理性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①该项目已设置年度绩效目标，具体内容为“打造群众信赖、代表尽责、运行规范的基层民主阵地，提升代表履职能力，推动民生问题解决，促</w:t>
      </w:r>
      <w:r>
        <w:rPr>
          <w:rStyle w:val="a8"/>
          <w:rFonts w:ascii="楷体" w:eastAsia="楷体" w:hAnsi="楷体" w:hint="eastAsia"/>
          <w:b w:val="0"/>
          <w:bCs w:val="0"/>
          <w:spacing w:val="-4"/>
          <w:sz w:val="32"/>
          <w:szCs w:val="32"/>
        </w:rPr>
        <w:t>进基层治理效能提升”总体目标。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②该项目实际工作内容为：代表之家活动经费。绩效目标与实际工作内容一致，两者具有相关性。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③该项目按照绩效目标完成数量指标、质量指标、时效指标、成本指标，完成了年初预期目标，达到很好的经济效益和社会效益，预期产出效益和效果符合正常的业绩水平。</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④该项目批复的预算金额为</w:t>
      </w:r>
      <w:r>
        <w:rPr>
          <w:rStyle w:val="a8"/>
          <w:rFonts w:ascii="楷体" w:eastAsia="楷体" w:hAnsi="楷体" w:hint="eastAsia"/>
          <w:b w:val="0"/>
          <w:bCs w:val="0"/>
          <w:spacing w:val="-4"/>
          <w:sz w:val="32"/>
          <w:szCs w:val="32"/>
        </w:rPr>
        <w:t>176</w:t>
      </w:r>
      <w:r>
        <w:rPr>
          <w:rStyle w:val="a8"/>
          <w:rFonts w:ascii="楷体" w:eastAsia="楷体" w:hAnsi="楷体" w:hint="eastAsia"/>
          <w:b w:val="0"/>
          <w:bCs w:val="0"/>
          <w:spacing w:val="-4"/>
          <w:sz w:val="32"/>
          <w:szCs w:val="32"/>
        </w:rPr>
        <w:t>万元，《项目支出绩效目标表》中预算金额为</w:t>
      </w:r>
      <w:r>
        <w:rPr>
          <w:rStyle w:val="a8"/>
          <w:rFonts w:ascii="楷体" w:eastAsia="楷体" w:hAnsi="楷体" w:hint="eastAsia"/>
          <w:b w:val="0"/>
          <w:bCs w:val="0"/>
          <w:spacing w:val="-4"/>
          <w:sz w:val="32"/>
          <w:szCs w:val="32"/>
        </w:rPr>
        <w:t>176</w:t>
      </w:r>
      <w:r>
        <w:rPr>
          <w:rStyle w:val="a8"/>
          <w:rFonts w:ascii="楷体" w:eastAsia="楷体" w:hAnsi="楷体" w:hint="eastAsia"/>
          <w:b w:val="0"/>
          <w:bCs w:val="0"/>
          <w:spacing w:val="-4"/>
          <w:sz w:val="32"/>
          <w:szCs w:val="32"/>
        </w:rPr>
        <w:t>万元，预算确定的项目资金与预算确定的项目投资额相匹配。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分，本项目绩效目标设置合理。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）绩效指标明确性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经检查我单位年初设置的《项目支出绩效目标表》，得出如下结论：本项目已将年度绩效目标进行细化为绩效指标体系，共设置一级指标</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个，二级指标</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个，三级指标</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个，定量指标</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个，定性指标</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个，指标量化率为</w:t>
      </w:r>
      <w:r>
        <w:rPr>
          <w:rStyle w:val="a8"/>
          <w:rFonts w:ascii="楷体" w:eastAsia="楷体" w:hAnsi="楷体" w:hint="eastAsia"/>
          <w:b w:val="0"/>
          <w:bCs w:val="0"/>
          <w:spacing w:val="-4"/>
          <w:sz w:val="32"/>
          <w:szCs w:val="32"/>
        </w:rPr>
        <w:t>85.71%</w:t>
      </w:r>
      <w:r>
        <w:rPr>
          <w:rStyle w:val="a8"/>
          <w:rFonts w:ascii="楷体" w:eastAsia="楷体" w:hAnsi="楷体" w:hint="eastAsia"/>
          <w:b w:val="0"/>
          <w:bCs w:val="0"/>
          <w:spacing w:val="-4"/>
          <w:sz w:val="32"/>
          <w:szCs w:val="32"/>
        </w:rPr>
        <w:t>，量化率达</w:t>
      </w:r>
      <w:r>
        <w:rPr>
          <w:rStyle w:val="a8"/>
          <w:rFonts w:ascii="楷体" w:eastAsia="楷体" w:hAnsi="楷体" w:hint="eastAsia"/>
          <w:b w:val="0"/>
          <w:bCs w:val="0"/>
          <w:spacing w:val="-4"/>
          <w:sz w:val="32"/>
          <w:szCs w:val="32"/>
        </w:rPr>
        <w:t>70%</w:t>
      </w:r>
      <w:r>
        <w:rPr>
          <w:rStyle w:val="a8"/>
          <w:rFonts w:ascii="楷体" w:eastAsia="楷体" w:hAnsi="楷体" w:hint="eastAsia"/>
          <w:b w:val="0"/>
          <w:bCs w:val="0"/>
          <w:spacing w:val="-4"/>
          <w:sz w:val="32"/>
          <w:szCs w:val="32"/>
        </w:rPr>
        <w:t>以上。</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该《项目绩效目标表》中，数量指标值为“≥</w:t>
      </w:r>
      <w:r>
        <w:rPr>
          <w:rStyle w:val="a8"/>
          <w:rFonts w:ascii="楷体" w:eastAsia="楷体" w:hAnsi="楷体" w:hint="eastAsia"/>
          <w:b w:val="0"/>
          <w:bCs w:val="0"/>
          <w:spacing w:val="-4"/>
          <w:sz w:val="32"/>
          <w:szCs w:val="32"/>
        </w:rPr>
        <w:t>88</w:t>
      </w:r>
      <w:r>
        <w:rPr>
          <w:rStyle w:val="a8"/>
          <w:rFonts w:ascii="楷体" w:eastAsia="楷体" w:hAnsi="楷体" w:hint="eastAsia"/>
          <w:b w:val="0"/>
          <w:bCs w:val="0"/>
          <w:spacing w:val="-4"/>
          <w:sz w:val="32"/>
          <w:szCs w:val="32"/>
        </w:rPr>
        <w:t>个”“≥</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次”，三级指标的年度指标值与年度绩效目标中任务数一致，已设置时效指标“项目完成及时率”。已设置的绩效目标具备明确性、可衡量性、可实现性、相关性、时限性。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分，本项目所设置</w:t>
      </w:r>
      <w:r>
        <w:rPr>
          <w:rStyle w:val="a8"/>
          <w:rFonts w:ascii="楷体" w:eastAsia="楷体" w:hAnsi="楷体" w:hint="eastAsia"/>
          <w:b w:val="0"/>
          <w:bCs w:val="0"/>
          <w:spacing w:val="-4"/>
          <w:sz w:val="32"/>
          <w:szCs w:val="32"/>
        </w:rPr>
        <w:t>绩效指标明确。</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3.</w:t>
      </w:r>
      <w:r>
        <w:rPr>
          <w:rStyle w:val="a8"/>
          <w:rFonts w:ascii="楷体" w:eastAsia="楷体" w:hAnsi="楷体" w:hint="eastAsia"/>
          <w:b w:val="0"/>
          <w:bCs w:val="0"/>
          <w:spacing w:val="-4"/>
          <w:sz w:val="32"/>
          <w:szCs w:val="32"/>
        </w:rPr>
        <w:t>资金投入情况分析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）预算编制科学性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本项目代表之家活动经费，即预算编制较科学且经过论证；</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预算申请内容为代表之家活动经费，项目实际内容为代表之家活动经费，预算申请与《代表之家活动经费项目实施方案》中涉及的项目内容匹配；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本项目预算申请资金</w:t>
      </w:r>
      <w:r>
        <w:rPr>
          <w:rStyle w:val="a8"/>
          <w:rFonts w:ascii="楷体" w:eastAsia="楷体" w:hAnsi="楷体" w:hint="eastAsia"/>
          <w:b w:val="0"/>
          <w:bCs w:val="0"/>
          <w:spacing w:val="-4"/>
          <w:sz w:val="32"/>
          <w:szCs w:val="32"/>
        </w:rPr>
        <w:t>176</w:t>
      </w:r>
      <w:r>
        <w:rPr>
          <w:rStyle w:val="a8"/>
          <w:rFonts w:ascii="楷体" w:eastAsia="楷体" w:hAnsi="楷体" w:hint="eastAsia"/>
          <w:b w:val="0"/>
          <w:bCs w:val="0"/>
          <w:spacing w:val="-4"/>
          <w:sz w:val="32"/>
          <w:szCs w:val="32"/>
        </w:rPr>
        <w:t>万元，我单位在预算申请中严格按照项目实施内容及测算标准进行核算，其中：代表之家费用</w:t>
      </w:r>
      <w:r>
        <w:rPr>
          <w:rStyle w:val="a8"/>
          <w:rFonts w:ascii="楷体" w:eastAsia="楷体" w:hAnsi="楷体" w:hint="eastAsia"/>
          <w:b w:val="0"/>
          <w:bCs w:val="0"/>
          <w:spacing w:val="-4"/>
          <w:sz w:val="32"/>
          <w:szCs w:val="32"/>
        </w:rPr>
        <w:t>176</w:t>
      </w:r>
      <w:r>
        <w:rPr>
          <w:rStyle w:val="a8"/>
          <w:rFonts w:ascii="楷体" w:eastAsia="楷体" w:hAnsi="楷体" w:hint="eastAsia"/>
          <w:b w:val="0"/>
          <w:bCs w:val="0"/>
          <w:spacing w:val="-4"/>
          <w:sz w:val="32"/>
          <w:szCs w:val="32"/>
        </w:rPr>
        <w:t>万元。预算确定资金量与实际工作任务相匹配。本项目预算额度测算依据充分，严格按照标准编制，预算确定资金量与实际工作任务相匹配；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分，本项目预算编制科学。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）资金分配合理性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本项目实际分配资金以《关于申请代表之家活动经费项目资金的请示》和《代表之家活动经费项目实施方案》为依据进行资金分配，预算资金分配依据充分。根据关于下达</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年昌吉市行政事业单位部门预算批复的通知》（昌市财发〔</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号）文件，本项目实际到位资金</w:t>
      </w:r>
      <w:r>
        <w:rPr>
          <w:rStyle w:val="a8"/>
          <w:rFonts w:ascii="楷体" w:eastAsia="楷体" w:hAnsi="楷体" w:hint="eastAsia"/>
          <w:b w:val="0"/>
          <w:bCs w:val="0"/>
          <w:spacing w:val="-4"/>
          <w:sz w:val="32"/>
          <w:szCs w:val="32"/>
        </w:rPr>
        <w:t>176</w:t>
      </w:r>
      <w:r>
        <w:rPr>
          <w:rStyle w:val="a8"/>
          <w:rFonts w:ascii="楷体" w:eastAsia="楷体" w:hAnsi="楷体" w:hint="eastAsia"/>
          <w:b w:val="0"/>
          <w:bCs w:val="0"/>
          <w:spacing w:val="-4"/>
          <w:sz w:val="32"/>
          <w:szCs w:val="32"/>
        </w:rPr>
        <w:t>元，资金分配额度合理，与我单位实际需求相适应。</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2.00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2.00</w:t>
      </w:r>
      <w:r>
        <w:rPr>
          <w:rStyle w:val="a8"/>
          <w:rFonts w:ascii="楷体" w:eastAsia="楷体" w:hAnsi="楷体" w:hint="eastAsia"/>
          <w:b w:val="0"/>
          <w:bCs w:val="0"/>
          <w:spacing w:val="-4"/>
          <w:sz w:val="32"/>
          <w:szCs w:val="32"/>
        </w:rPr>
        <w:t>分，本项目资金分配合理。</w:t>
      </w:r>
      <w:r>
        <w:rPr>
          <w:rStyle w:val="a8"/>
          <w:rFonts w:ascii="楷体" w:eastAsia="楷体" w:hAnsi="楷体" w:hint="eastAsia"/>
          <w:b w:val="0"/>
          <w:bCs w:val="0"/>
          <w:spacing w:val="-4"/>
          <w:sz w:val="32"/>
          <w:szCs w:val="32"/>
        </w:rPr>
        <w:tab/>
      </w:r>
    </w:p>
    <w:p w:rsidR="00BC5548" w:rsidRDefault="00293C1C">
      <w:pPr>
        <w:spacing w:line="540" w:lineRule="exact"/>
        <w:ind w:firstLineChars="181" w:firstLine="567"/>
        <w:rPr>
          <w:rStyle w:val="a8"/>
          <w:rFonts w:ascii="楷体" w:eastAsia="楷体" w:hAnsi="楷体"/>
          <w:spacing w:val="-4"/>
          <w:sz w:val="32"/>
          <w:szCs w:val="32"/>
        </w:rPr>
      </w:pPr>
      <w:r>
        <w:rPr>
          <w:rFonts w:ascii="楷体" w:eastAsia="楷体" w:hAnsi="楷体" w:hint="eastAsia"/>
          <w:b/>
          <w:spacing w:val="-4"/>
          <w:sz w:val="32"/>
          <w:szCs w:val="32"/>
        </w:rPr>
        <w:t>（二）</w:t>
      </w:r>
      <w:r>
        <w:rPr>
          <w:rStyle w:val="a8"/>
          <w:rFonts w:ascii="楷体" w:eastAsia="楷体" w:hAnsi="楷体" w:hint="eastAsia"/>
          <w:spacing w:val="-4"/>
          <w:sz w:val="32"/>
          <w:szCs w:val="32"/>
        </w:rPr>
        <w:t>项目过程情况</w:t>
      </w:r>
    </w:p>
    <w:p w:rsidR="00BC5548" w:rsidRDefault="00293C1C">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（二）项目过程情况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项目过程管理类指标由</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个三级指标构成，权重</w:t>
      </w:r>
      <w:r>
        <w:rPr>
          <w:rStyle w:val="a8"/>
          <w:rFonts w:ascii="楷体" w:eastAsia="楷体" w:hAnsi="楷体" w:hint="eastAsia"/>
          <w:b w:val="0"/>
          <w:bCs w:val="0"/>
          <w:spacing w:val="-4"/>
          <w:sz w:val="32"/>
          <w:szCs w:val="32"/>
        </w:rPr>
        <w:lastRenderedPageBreak/>
        <w:t>分</w:t>
      </w:r>
      <w:r>
        <w:rPr>
          <w:rStyle w:val="a8"/>
          <w:rFonts w:ascii="楷体" w:eastAsia="楷体" w:hAnsi="楷体" w:hint="eastAsia"/>
          <w:b w:val="0"/>
          <w:bCs w:val="0"/>
          <w:spacing w:val="-4"/>
          <w:sz w:val="32"/>
          <w:szCs w:val="32"/>
        </w:rPr>
        <w:t>19.00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18.97</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资金管理情况分析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）资金到位率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本项目预算资金为</w:t>
      </w:r>
      <w:r>
        <w:rPr>
          <w:rStyle w:val="a8"/>
          <w:rFonts w:ascii="楷体" w:eastAsia="楷体" w:hAnsi="楷体" w:hint="eastAsia"/>
          <w:b w:val="0"/>
          <w:bCs w:val="0"/>
          <w:spacing w:val="-4"/>
          <w:sz w:val="32"/>
          <w:szCs w:val="32"/>
        </w:rPr>
        <w:t>176</w:t>
      </w:r>
      <w:r>
        <w:rPr>
          <w:rStyle w:val="a8"/>
          <w:rFonts w:ascii="楷体" w:eastAsia="楷体" w:hAnsi="楷体" w:hint="eastAsia"/>
          <w:b w:val="0"/>
          <w:bCs w:val="0"/>
          <w:spacing w:val="-4"/>
          <w:sz w:val="32"/>
          <w:szCs w:val="32"/>
        </w:rPr>
        <w:t>万元，其中：财政安排资金</w:t>
      </w:r>
      <w:r>
        <w:rPr>
          <w:rStyle w:val="a8"/>
          <w:rFonts w:ascii="楷体" w:eastAsia="楷体" w:hAnsi="楷体" w:hint="eastAsia"/>
          <w:b w:val="0"/>
          <w:bCs w:val="0"/>
          <w:spacing w:val="-4"/>
          <w:sz w:val="32"/>
          <w:szCs w:val="32"/>
        </w:rPr>
        <w:t>176</w:t>
      </w:r>
      <w:r>
        <w:rPr>
          <w:rStyle w:val="a8"/>
          <w:rFonts w:ascii="楷体" w:eastAsia="楷体" w:hAnsi="楷体" w:hint="eastAsia"/>
          <w:b w:val="0"/>
          <w:bCs w:val="0"/>
          <w:spacing w:val="-4"/>
          <w:sz w:val="32"/>
          <w:szCs w:val="32"/>
        </w:rPr>
        <w:t>万元，其他资金</w:t>
      </w:r>
      <w:r>
        <w:rPr>
          <w:rStyle w:val="a8"/>
          <w:rFonts w:ascii="楷体" w:eastAsia="楷体" w:hAnsi="楷体" w:hint="eastAsia"/>
          <w:b w:val="0"/>
          <w:bCs w:val="0"/>
          <w:spacing w:val="-4"/>
          <w:sz w:val="32"/>
          <w:szCs w:val="32"/>
        </w:rPr>
        <w:t>0</w:t>
      </w:r>
      <w:r>
        <w:rPr>
          <w:rStyle w:val="a8"/>
          <w:rFonts w:ascii="楷体" w:eastAsia="楷体" w:hAnsi="楷体" w:hint="eastAsia"/>
          <w:b w:val="0"/>
          <w:bCs w:val="0"/>
          <w:spacing w:val="-4"/>
          <w:sz w:val="32"/>
          <w:szCs w:val="32"/>
        </w:rPr>
        <w:t>万元，实际到位资金</w:t>
      </w:r>
      <w:r>
        <w:rPr>
          <w:rStyle w:val="a8"/>
          <w:rFonts w:ascii="楷体" w:eastAsia="楷体" w:hAnsi="楷体" w:hint="eastAsia"/>
          <w:b w:val="0"/>
          <w:bCs w:val="0"/>
          <w:spacing w:val="-4"/>
          <w:sz w:val="32"/>
          <w:szCs w:val="32"/>
        </w:rPr>
        <w:t>176</w:t>
      </w:r>
      <w:r>
        <w:rPr>
          <w:rStyle w:val="a8"/>
          <w:rFonts w:ascii="楷体" w:eastAsia="楷体" w:hAnsi="楷体" w:hint="eastAsia"/>
          <w:b w:val="0"/>
          <w:bCs w:val="0"/>
          <w:spacing w:val="-4"/>
          <w:sz w:val="32"/>
          <w:szCs w:val="32"/>
        </w:rPr>
        <w:t>万元，资金到位率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（实际到位资金</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预算资金）×</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176/176</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100.00%=100%</w:t>
      </w:r>
      <w:r>
        <w:rPr>
          <w:rStyle w:val="a8"/>
          <w:rFonts w:ascii="楷体" w:eastAsia="楷体" w:hAnsi="楷体" w:hint="eastAsia"/>
          <w:b w:val="0"/>
          <w:bCs w:val="0"/>
          <w:spacing w:val="-4"/>
          <w:sz w:val="32"/>
          <w:szCs w:val="32"/>
        </w:rPr>
        <w:t>。得分</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100%-60.00%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1-60.00%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4.00=4</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分，本项目资金分配合理。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）预算执行率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w:t>
      </w:r>
      <w:r>
        <w:rPr>
          <w:rStyle w:val="a8"/>
          <w:rFonts w:ascii="楷体" w:eastAsia="楷体" w:hAnsi="楷体" w:hint="eastAsia"/>
          <w:b w:val="0"/>
          <w:bCs w:val="0"/>
          <w:spacing w:val="-4"/>
          <w:sz w:val="32"/>
          <w:szCs w:val="32"/>
        </w:rPr>
        <w:t>项目实际支出资金</w:t>
      </w:r>
      <w:r>
        <w:rPr>
          <w:rStyle w:val="a8"/>
          <w:rFonts w:ascii="楷体" w:eastAsia="楷体" w:hAnsi="楷体" w:hint="eastAsia"/>
          <w:b w:val="0"/>
          <w:bCs w:val="0"/>
          <w:spacing w:val="-4"/>
          <w:sz w:val="32"/>
          <w:szCs w:val="32"/>
        </w:rPr>
        <w:t>175.5</w:t>
      </w:r>
      <w:r>
        <w:rPr>
          <w:rStyle w:val="a8"/>
          <w:rFonts w:ascii="楷体" w:eastAsia="楷体" w:hAnsi="楷体" w:hint="eastAsia"/>
          <w:b w:val="0"/>
          <w:bCs w:val="0"/>
          <w:spacing w:val="-4"/>
          <w:sz w:val="32"/>
          <w:szCs w:val="32"/>
        </w:rPr>
        <w:t>万元，预算执行率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（实际支出资金</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实际到位资金）×</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175.5/176</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100.00%=99.72%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项目已完成，总体完成率为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得分</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（实际完成率</w:t>
      </w:r>
      <w:r>
        <w:rPr>
          <w:rStyle w:val="a8"/>
          <w:rFonts w:ascii="楷体" w:eastAsia="楷体" w:hAnsi="楷体" w:hint="eastAsia"/>
          <w:b w:val="0"/>
          <w:bCs w:val="0"/>
          <w:spacing w:val="-4"/>
          <w:sz w:val="32"/>
          <w:szCs w:val="32"/>
        </w:rPr>
        <w:t>-60.00%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1-60.00%</w:t>
      </w:r>
      <w:r>
        <w:rPr>
          <w:rStyle w:val="a8"/>
          <w:rFonts w:ascii="楷体" w:eastAsia="楷体" w:hAnsi="楷体" w:hint="eastAsia"/>
          <w:b w:val="0"/>
          <w:bCs w:val="0"/>
          <w:spacing w:val="-4"/>
          <w:sz w:val="32"/>
          <w:szCs w:val="32"/>
        </w:rPr>
        <w:t>）×权重</w:t>
      </w:r>
      <w:r>
        <w:rPr>
          <w:rStyle w:val="a8"/>
          <w:rFonts w:ascii="楷体" w:eastAsia="楷体" w:hAnsi="楷体" w:hint="eastAsia"/>
          <w:b w:val="0"/>
          <w:bCs w:val="0"/>
          <w:spacing w:val="-4"/>
          <w:sz w:val="32"/>
          <w:szCs w:val="32"/>
        </w:rPr>
        <w:t>=39.72%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5.00=4.97</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4.97</w:t>
      </w:r>
      <w:r>
        <w:rPr>
          <w:rStyle w:val="a8"/>
          <w:rFonts w:ascii="楷体" w:eastAsia="楷体" w:hAnsi="楷体" w:hint="eastAsia"/>
          <w:b w:val="0"/>
          <w:bCs w:val="0"/>
          <w:spacing w:val="-4"/>
          <w:sz w:val="32"/>
          <w:szCs w:val="32"/>
        </w:rPr>
        <w:t>分，本项目资金分配合理。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）资金使用合规性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通过检查本项目签订的合同、资金申请文件、发票等财务付款凭证，得出本项目资金支出符合国家财经法规、《政府会计制度》《昌吉市人</w:t>
      </w:r>
      <w:r>
        <w:rPr>
          <w:rStyle w:val="a8"/>
          <w:rFonts w:ascii="楷体" w:eastAsia="楷体" w:hAnsi="楷体" w:hint="eastAsia"/>
          <w:b w:val="0"/>
          <w:bCs w:val="0"/>
          <w:spacing w:val="-4"/>
          <w:sz w:val="32"/>
          <w:szCs w:val="32"/>
        </w:rPr>
        <w:t>大常委会办公室资金管理办法》《昌吉市人大常委会办公室专项资金管理办法》，资金的拨付有完整的审批程序和手续，资金实际使用方向与预算批复用途一致，不存在截留、挤占、挪用、虚列支出的情况。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分，资</w:t>
      </w:r>
      <w:r>
        <w:rPr>
          <w:rStyle w:val="a8"/>
          <w:rFonts w:ascii="楷体" w:eastAsia="楷体" w:hAnsi="楷体" w:hint="eastAsia"/>
          <w:b w:val="0"/>
          <w:bCs w:val="0"/>
          <w:spacing w:val="-4"/>
          <w:sz w:val="32"/>
          <w:szCs w:val="32"/>
        </w:rPr>
        <w:lastRenderedPageBreak/>
        <w:t>金支出符合我单位财务管理制度规定。</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组织实施情况分析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）管理制度健全性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我单位已制定《昌吉市人大常委会办公室资金管理办法》《昌吉市人大常委会办公室收支业务管理制度》《昌吉市人大常委会办公室政府采购业务管理制度》《昌吉市人大常委会办公室合同管理制度》，上述已建</w:t>
      </w:r>
      <w:r>
        <w:rPr>
          <w:rStyle w:val="a8"/>
          <w:rFonts w:ascii="楷体" w:eastAsia="楷体" w:hAnsi="楷体" w:hint="eastAsia"/>
          <w:b w:val="0"/>
          <w:bCs w:val="0"/>
          <w:spacing w:val="-4"/>
          <w:sz w:val="32"/>
          <w:szCs w:val="32"/>
        </w:rPr>
        <w:t>立的制度均符合行政事业单位内控管理要求，财务和业务管理制度合法、合规、完整，本项目执行符合上述制度规定。</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2.00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2.00</w:t>
      </w:r>
      <w:r>
        <w:rPr>
          <w:rStyle w:val="a8"/>
          <w:rFonts w:ascii="楷体" w:eastAsia="楷体" w:hAnsi="楷体" w:hint="eastAsia"/>
          <w:b w:val="0"/>
          <w:bCs w:val="0"/>
          <w:spacing w:val="-4"/>
          <w:sz w:val="32"/>
          <w:szCs w:val="32"/>
        </w:rPr>
        <w:t>分，项目制度建设健全。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）制度执行有效性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该项目的实施符合《昌吉市人大常委会办公室资金管理办法》《昌吉市人大常委会办公室收支业务管理制度》《昌吉市人大常委会办公室合同管理制度》等相关法律法规及管理规定，项目具备完整规范的立项程序；经查证项目实施过程资料，基本完成既定目标；经查证党委会议纪要、项目资金支付审批表、记账凭证等资金拨付流程资料，项目</w:t>
      </w:r>
      <w:r>
        <w:rPr>
          <w:rStyle w:val="a8"/>
          <w:rFonts w:ascii="楷体" w:eastAsia="楷体" w:hAnsi="楷体" w:hint="eastAsia"/>
          <w:b w:val="0"/>
          <w:bCs w:val="0"/>
          <w:spacing w:val="-4"/>
          <w:sz w:val="32"/>
          <w:szCs w:val="32"/>
        </w:rPr>
        <w:t>资金拨付流程完整、手续齐全。综上分析，项目执行遵守相关法律法规和相关管理规定。</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②经现场查证项目合同书、验收评审表、财务支付凭证等资料齐全并及时归档。</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③该项目实施过程中不存在调整事项。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w:t>
      </w:r>
      <w:r>
        <w:rPr>
          <w:rStyle w:val="a8"/>
          <w:rFonts w:ascii="楷体" w:eastAsia="楷体" w:hAnsi="楷体" w:hint="eastAsia"/>
          <w:b w:val="0"/>
          <w:bCs w:val="0"/>
          <w:spacing w:val="-4"/>
          <w:sz w:val="32"/>
          <w:szCs w:val="32"/>
        </w:rPr>
        <w:lastRenderedPageBreak/>
        <w:t>成立了代表之家活动经费项目工作领导小组，由李刚强任组长，负责项目的组织工作；王兰任副组长，负责项目的实施工作；组员包括：冯涛、张婷，主要负责项目监督管理、验</w:t>
      </w:r>
      <w:r>
        <w:rPr>
          <w:rStyle w:val="a8"/>
          <w:rFonts w:ascii="楷体" w:eastAsia="楷体" w:hAnsi="楷体" w:hint="eastAsia"/>
          <w:b w:val="0"/>
          <w:bCs w:val="0"/>
          <w:spacing w:val="-4"/>
          <w:sz w:val="32"/>
          <w:szCs w:val="32"/>
        </w:rPr>
        <w:t>收以及资金核拨等工作。</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分，本项目所建立制度执行有效。</w:t>
      </w:r>
    </w:p>
    <w:p w:rsidR="00BC5548" w:rsidRDefault="00293C1C">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8"/>
          <w:rFonts w:ascii="楷体" w:eastAsia="楷体" w:hAnsi="楷体" w:hint="eastAsia"/>
          <w:spacing w:val="-4"/>
          <w:sz w:val="32"/>
          <w:szCs w:val="32"/>
        </w:rPr>
        <w:t>项目产出情况</w:t>
      </w:r>
    </w:p>
    <w:p w:rsidR="00BC5548" w:rsidRDefault="00293C1C">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（三）项目产出情况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项目产出类指标由</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30.00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29.96</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数量指标完成情况分析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“拨付昌吉市“代表之家”活动经费数量”指标：预期指标值为“≥</w:t>
      </w:r>
      <w:r>
        <w:rPr>
          <w:rStyle w:val="a8"/>
          <w:rFonts w:ascii="楷体" w:eastAsia="楷体" w:hAnsi="楷体" w:hint="eastAsia"/>
          <w:b w:val="0"/>
          <w:bCs w:val="0"/>
          <w:spacing w:val="-4"/>
          <w:sz w:val="32"/>
          <w:szCs w:val="32"/>
        </w:rPr>
        <w:t>88</w:t>
      </w:r>
      <w:r>
        <w:rPr>
          <w:rStyle w:val="a8"/>
          <w:rFonts w:ascii="楷体" w:eastAsia="楷体" w:hAnsi="楷体" w:hint="eastAsia"/>
          <w:b w:val="0"/>
          <w:bCs w:val="0"/>
          <w:spacing w:val="-4"/>
          <w:sz w:val="32"/>
          <w:szCs w:val="32"/>
        </w:rPr>
        <w:t>个”，根据“统计表”可证，实际完成指标值为“</w:t>
      </w:r>
      <w:r>
        <w:rPr>
          <w:rStyle w:val="a8"/>
          <w:rFonts w:ascii="楷体" w:eastAsia="楷体" w:hAnsi="楷体" w:hint="eastAsia"/>
          <w:b w:val="0"/>
          <w:bCs w:val="0"/>
          <w:spacing w:val="-4"/>
          <w:sz w:val="32"/>
          <w:szCs w:val="32"/>
        </w:rPr>
        <w:t>88</w:t>
      </w:r>
      <w:r>
        <w:rPr>
          <w:rStyle w:val="a8"/>
          <w:rFonts w:ascii="楷体" w:eastAsia="楷体" w:hAnsi="楷体" w:hint="eastAsia"/>
          <w:b w:val="0"/>
          <w:bCs w:val="0"/>
          <w:spacing w:val="-4"/>
          <w:sz w:val="32"/>
          <w:szCs w:val="32"/>
        </w:rPr>
        <w:t>个”，指标完成率为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“代表之家开展“七带头、十个一”活动次数”指标：预</w:t>
      </w:r>
      <w:r>
        <w:rPr>
          <w:rStyle w:val="a8"/>
          <w:rFonts w:ascii="楷体" w:eastAsia="楷体" w:hAnsi="楷体" w:hint="eastAsia"/>
          <w:b w:val="0"/>
          <w:bCs w:val="0"/>
          <w:spacing w:val="-4"/>
          <w:sz w:val="32"/>
          <w:szCs w:val="32"/>
        </w:rPr>
        <w:t>期指标值为“≥</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次”，根据“活动照片”可证，实际完成指标值为“</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次”，指标完成率为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质量指标完成情况分析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“资金拨付合规率”指标：预期指标值为“≥</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”，根据“支付凭证”可证，实际完成指标值为“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”，指标完成率为</w:t>
      </w:r>
      <w:r>
        <w:rPr>
          <w:rStyle w:val="a8"/>
          <w:rFonts w:ascii="楷体" w:eastAsia="楷体" w:hAnsi="楷体" w:hint="eastAsia"/>
          <w:b w:val="0"/>
          <w:bCs w:val="0"/>
          <w:spacing w:val="-4"/>
          <w:sz w:val="32"/>
          <w:szCs w:val="32"/>
        </w:rPr>
        <w:t>111%</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时效指标完成情况分析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“项目完成及时率”指标：预期指标值为“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”，根据“项目</w:t>
      </w:r>
      <w:r>
        <w:rPr>
          <w:rStyle w:val="a8"/>
          <w:rFonts w:ascii="楷体" w:eastAsia="楷体" w:hAnsi="楷体" w:hint="eastAsia"/>
          <w:b w:val="0"/>
          <w:bCs w:val="0"/>
          <w:spacing w:val="-4"/>
          <w:sz w:val="32"/>
          <w:szCs w:val="32"/>
        </w:rPr>
        <w:lastRenderedPageBreak/>
        <w:t>图片”可证，实际完成指标值为“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”，指标完成率为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w:t>
      </w:r>
      <w:r>
        <w:rPr>
          <w:rStyle w:val="a8"/>
          <w:rFonts w:ascii="楷体" w:eastAsia="楷体" w:hAnsi="楷体" w:hint="eastAsia"/>
          <w:b w:val="0"/>
          <w:bCs w:val="0"/>
          <w:spacing w:val="-4"/>
          <w:sz w:val="32"/>
          <w:szCs w:val="32"/>
        </w:rPr>
        <w:t>本指标满分为</w:t>
      </w:r>
      <w:r>
        <w:rPr>
          <w:rStyle w:val="a8"/>
          <w:rFonts w:ascii="楷体" w:eastAsia="楷体" w:hAnsi="楷体" w:hint="eastAsia"/>
          <w:b w:val="0"/>
          <w:bCs w:val="0"/>
          <w:spacing w:val="-4"/>
          <w:sz w:val="32"/>
          <w:szCs w:val="32"/>
        </w:rPr>
        <w:t>6.00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6.00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成本指标完成情况分析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）经济成本指标完成情况分析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“每个代表之家拨付资金成本”指标：预期指标值为“≤</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万元”，根据“支付凭证”可证，实际完成指标值为“</w:t>
      </w:r>
      <w:r>
        <w:rPr>
          <w:rStyle w:val="a8"/>
          <w:rFonts w:ascii="楷体" w:eastAsia="楷体" w:hAnsi="楷体" w:hint="eastAsia"/>
          <w:b w:val="0"/>
          <w:bCs w:val="0"/>
          <w:spacing w:val="-4"/>
          <w:sz w:val="32"/>
          <w:szCs w:val="32"/>
        </w:rPr>
        <w:t>1.994</w:t>
      </w:r>
      <w:r>
        <w:rPr>
          <w:rStyle w:val="a8"/>
          <w:rFonts w:ascii="楷体" w:eastAsia="楷体" w:hAnsi="楷体" w:hint="eastAsia"/>
          <w:b w:val="0"/>
          <w:bCs w:val="0"/>
          <w:spacing w:val="-4"/>
          <w:sz w:val="32"/>
          <w:szCs w:val="32"/>
        </w:rPr>
        <w:t>万元”，指标完成率为</w:t>
      </w:r>
      <w:r>
        <w:rPr>
          <w:rStyle w:val="a8"/>
          <w:rFonts w:ascii="楷体" w:eastAsia="楷体" w:hAnsi="楷体" w:hint="eastAsia"/>
          <w:b w:val="0"/>
          <w:bCs w:val="0"/>
          <w:spacing w:val="-4"/>
          <w:sz w:val="32"/>
          <w:szCs w:val="32"/>
        </w:rPr>
        <w:t>99.72%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5.96</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）社会成本指标完成情况分析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）生态环境成本指标完成情况分析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p>
    <w:p w:rsidR="00BC5548" w:rsidRDefault="00293C1C">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8"/>
          <w:rFonts w:ascii="楷体" w:eastAsia="楷体" w:hAnsi="楷体" w:hint="eastAsia"/>
          <w:spacing w:val="-4"/>
          <w:sz w:val="32"/>
          <w:szCs w:val="32"/>
        </w:rPr>
        <w:t>项目效益情况</w:t>
      </w:r>
    </w:p>
    <w:p w:rsidR="00BC5548" w:rsidRDefault="00293C1C">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（四）项目效益情况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项目效益类指标由</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20.00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社会效益完成情况分析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“加强代表之家履职效益”指标：预期指标值为“加强”，根据“项目总结”可证，实际完成指标值为“基本达成目标”，指标完成率为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分。</w:t>
      </w:r>
    </w:p>
    <w:p w:rsidR="00BC5548" w:rsidRDefault="00293C1C">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项目满意度类指标由</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满意度完成情况分析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“人大代表满意率”指标：预期指标值为“≥</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”，根据“项目</w:t>
      </w:r>
      <w:r>
        <w:rPr>
          <w:rStyle w:val="a8"/>
          <w:rFonts w:ascii="楷体" w:eastAsia="楷体" w:hAnsi="楷体" w:hint="eastAsia"/>
          <w:b w:val="0"/>
          <w:bCs w:val="0"/>
          <w:spacing w:val="-4"/>
          <w:sz w:val="32"/>
          <w:szCs w:val="32"/>
        </w:rPr>
        <w:lastRenderedPageBreak/>
        <w:t>总结”可证，实际完成指标值为“</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”，指标完成率为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分，根据评分标准</w:t>
      </w:r>
      <w:r>
        <w:rPr>
          <w:rStyle w:val="a8"/>
          <w:rFonts w:ascii="楷体" w:eastAsia="楷体" w:hAnsi="楷体" w:hint="eastAsia"/>
          <w:b w:val="0"/>
          <w:bCs w:val="0"/>
          <w:spacing w:val="-4"/>
          <w:sz w:val="32"/>
          <w:szCs w:val="32"/>
        </w:rPr>
        <w:t>得</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w:t>
      </w:r>
      <w:bookmarkStart w:id="0" w:name="_GoBack"/>
      <w:bookmarkEnd w:id="0"/>
    </w:p>
    <w:p w:rsidR="00BC5548" w:rsidRDefault="00BC5548">
      <w:pPr>
        <w:spacing w:line="540" w:lineRule="exact"/>
        <w:ind w:firstLine="567"/>
        <w:rPr>
          <w:rStyle w:val="a8"/>
          <w:rFonts w:ascii="楷体" w:eastAsia="楷体" w:hAnsi="楷体"/>
          <w:b w:val="0"/>
          <w:bCs w:val="0"/>
          <w:spacing w:val="-4"/>
          <w:sz w:val="32"/>
          <w:szCs w:val="32"/>
        </w:rPr>
      </w:pPr>
    </w:p>
    <w:p w:rsidR="00BC5548" w:rsidRDefault="00BC5548">
      <w:pPr>
        <w:spacing w:line="540" w:lineRule="exact"/>
        <w:ind w:firstLine="567"/>
        <w:rPr>
          <w:rStyle w:val="a8"/>
          <w:rFonts w:ascii="楷体" w:eastAsia="楷体" w:hAnsi="楷体"/>
          <w:spacing w:val="-4"/>
          <w:sz w:val="32"/>
          <w:szCs w:val="32"/>
        </w:rPr>
      </w:pPr>
    </w:p>
    <w:p w:rsidR="00BC5548" w:rsidRDefault="00293C1C">
      <w:pPr>
        <w:numPr>
          <w:ilvl w:val="0"/>
          <w:numId w:val="1"/>
        </w:num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主要经验及做法、存在的问题及原因分析</w:t>
      </w:r>
    </w:p>
    <w:p w:rsidR="00BC5548" w:rsidRDefault="00293C1C">
      <w:pPr>
        <w:spacing w:line="540" w:lineRule="exact"/>
        <w:ind w:firstLine="567"/>
        <w:rPr>
          <w:rFonts w:ascii="仿宋_GB2312" w:eastAsia="仿宋_GB2312"/>
          <w:spacing w:val="-4"/>
          <w:sz w:val="32"/>
          <w:szCs w:val="32"/>
        </w:rPr>
      </w:pPr>
      <w:r>
        <w:rPr>
          <w:rStyle w:val="a8"/>
          <w:rFonts w:ascii="楷体" w:eastAsia="楷体" w:hAnsi="楷体" w:hint="eastAsia"/>
          <w:b w:val="0"/>
          <w:bCs w:val="0"/>
          <w:spacing w:val="-4"/>
          <w:sz w:val="32"/>
          <w:szCs w:val="32"/>
        </w:rPr>
        <w:t>本项目年初预算资金总额为</w:t>
      </w:r>
      <w:r>
        <w:rPr>
          <w:rStyle w:val="a8"/>
          <w:rFonts w:ascii="楷体" w:eastAsia="楷体" w:hAnsi="楷体" w:hint="eastAsia"/>
          <w:b w:val="0"/>
          <w:bCs w:val="0"/>
          <w:spacing w:val="-4"/>
          <w:sz w:val="32"/>
          <w:szCs w:val="32"/>
        </w:rPr>
        <w:t>176</w:t>
      </w:r>
      <w:r>
        <w:rPr>
          <w:rStyle w:val="a8"/>
          <w:rFonts w:ascii="楷体" w:eastAsia="楷体" w:hAnsi="楷体" w:hint="eastAsia"/>
          <w:b w:val="0"/>
          <w:bCs w:val="0"/>
          <w:spacing w:val="-4"/>
          <w:sz w:val="32"/>
          <w:szCs w:val="32"/>
        </w:rPr>
        <w:t>万元，全年预算数为</w:t>
      </w:r>
      <w:r>
        <w:rPr>
          <w:rStyle w:val="a8"/>
          <w:rFonts w:ascii="楷体" w:eastAsia="楷体" w:hAnsi="楷体" w:hint="eastAsia"/>
          <w:b w:val="0"/>
          <w:bCs w:val="0"/>
          <w:spacing w:val="-4"/>
          <w:sz w:val="32"/>
          <w:szCs w:val="32"/>
        </w:rPr>
        <w:t>176</w:t>
      </w:r>
      <w:r>
        <w:rPr>
          <w:rStyle w:val="a8"/>
          <w:rFonts w:ascii="楷体" w:eastAsia="楷体" w:hAnsi="楷体" w:hint="eastAsia"/>
          <w:b w:val="0"/>
          <w:bCs w:val="0"/>
          <w:spacing w:val="-4"/>
          <w:sz w:val="32"/>
          <w:szCs w:val="32"/>
        </w:rPr>
        <w:t>万元，全年执行数为</w:t>
      </w:r>
      <w:r>
        <w:rPr>
          <w:rStyle w:val="a8"/>
          <w:rFonts w:ascii="楷体" w:eastAsia="楷体" w:hAnsi="楷体" w:hint="eastAsia"/>
          <w:b w:val="0"/>
          <w:bCs w:val="0"/>
          <w:spacing w:val="-4"/>
          <w:sz w:val="32"/>
          <w:szCs w:val="32"/>
        </w:rPr>
        <w:t>175.5</w:t>
      </w:r>
      <w:r>
        <w:rPr>
          <w:rStyle w:val="a8"/>
          <w:rFonts w:ascii="楷体" w:eastAsia="楷体" w:hAnsi="楷体" w:hint="eastAsia"/>
          <w:b w:val="0"/>
          <w:bCs w:val="0"/>
          <w:spacing w:val="-4"/>
          <w:sz w:val="32"/>
          <w:szCs w:val="32"/>
        </w:rPr>
        <w:t>万元，预算执行率为</w:t>
      </w:r>
      <w:r>
        <w:rPr>
          <w:rStyle w:val="a8"/>
          <w:rFonts w:ascii="楷体" w:eastAsia="楷体" w:hAnsi="楷体" w:hint="eastAsia"/>
          <w:b w:val="0"/>
          <w:bCs w:val="0"/>
          <w:spacing w:val="-4"/>
          <w:sz w:val="32"/>
          <w:szCs w:val="32"/>
        </w:rPr>
        <w:t>99.72%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本项目共设置三级指标数量</w:t>
      </w:r>
      <w:r>
        <w:rPr>
          <w:rStyle w:val="a8"/>
          <w:rFonts w:ascii="楷体" w:eastAsia="楷体" w:hAnsi="楷体" w:hint="eastAsia"/>
          <w:b w:val="0"/>
          <w:bCs w:val="0"/>
          <w:spacing w:val="-4"/>
          <w:sz w:val="32"/>
          <w:szCs w:val="32"/>
        </w:rPr>
        <w:t>18</w:t>
      </w:r>
      <w:r>
        <w:rPr>
          <w:rStyle w:val="a8"/>
          <w:rFonts w:ascii="楷体" w:eastAsia="楷体" w:hAnsi="楷体" w:hint="eastAsia"/>
          <w:b w:val="0"/>
          <w:bCs w:val="0"/>
          <w:spacing w:val="-4"/>
          <w:sz w:val="32"/>
          <w:szCs w:val="32"/>
        </w:rPr>
        <w:t>个，满分指标数量</w:t>
      </w:r>
      <w:r>
        <w:rPr>
          <w:rStyle w:val="a8"/>
          <w:rFonts w:ascii="楷体" w:eastAsia="楷体" w:hAnsi="楷体" w:hint="eastAsia"/>
          <w:b w:val="0"/>
          <w:bCs w:val="0"/>
          <w:spacing w:val="-4"/>
          <w:sz w:val="32"/>
          <w:szCs w:val="32"/>
        </w:rPr>
        <w:t>16</w:t>
      </w:r>
      <w:r>
        <w:rPr>
          <w:rStyle w:val="a8"/>
          <w:rFonts w:ascii="楷体" w:eastAsia="楷体" w:hAnsi="楷体" w:hint="eastAsia"/>
          <w:b w:val="0"/>
          <w:bCs w:val="0"/>
          <w:spacing w:val="-4"/>
          <w:sz w:val="32"/>
          <w:szCs w:val="32"/>
        </w:rPr>
        <w:t>个，扣分指标数量</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个，经分析计算所有三级指标完成率得出，本项目总体完成率为</w:t>
      </w:r>
      <w:r>
        <w:rPr>
          <w:rStyle w:val="a8"/>
          <w:rFonts w:ascii="楷体" w:eastAsia="楷体" w:hAnsi="楷体" w:hint="eastAsia"/>
          <w:b w:val="0"/>
          <w:bCs w:val="0"/>
          <w:spacing w:val="-4"/>
          <w:sz w:val="32"/>
          <w:szCs w:val="32"/>
        </w:rPr>
        <w:t>100.58%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综上所述本项目预算执行率与总体完成率之间的偏差为</w:t>
      </w:r>
      <w:r>
        <w:rPr>
          <w:rStyle w:val="a8"/>
          <w:rFonts w:ascii="楷体" w:eastAsia="楷体" w:hAnsi="楷体" w:hint="eastAsia"/>
          <w:b w:val="0"/>
          <w:bCs w:val="0"/>
          <w:spacing w:val="-4"/>
          <w:sz w:val="32"/>
          <w:szCs w:val="32"/>
        </w:rPr>
        <w:t>0.86%</w:t>
      </w:r>
      <w:r>
        <w:rPr>
          <w:rStyle w:val="a8"/>
          <w:rFonts w:ascii="楷体" w:eastAsia="楷体" w:hAnsi="楷体" w:hint="eastAsia"/>
          <w:b w:val="0"/>
          <w:bCs w:val="0"/>
          <w:spacing w:val="-4"/>
          <w:sz w:val="32"/>
          <w:szCs w:val="32"/>
        </w:rPr>
        <w:t>。主要偏差原因是：部分代表之家作用发挥不明显，资金未全额发放。</w:t>
      </w:r>
    </w:p>
    <w:p w:rsidR="00BC5548" w:rsidRDefault="00293C1C">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w:t>
      </w:r>
      <w:r>
        <w:rPr>
          <w:rStyle w:val="a8"/>
          <w:rFonts w:ascii="黑体" w:eastAsia="黑体" w:hAnsi="黑体" w:hint="eastAsia"/>
          <w:b w:val="0"/>
          <w:spacing w:val="-4"/>
          <w:sz w:val="32"/>
          <w:szCs w:val="32"/>
        </w:rPr>
        <w:t>、有关建议</w:t>
      </w:r>
    </w:p>
    <w:p w:rsidR="00BC5548" w:rsidRDefault="00293C1C">
      <w:pPr>
        <w:spacing w:line="540" w:lineRule="exact"/>
        <w:ind w:firstLine="567"/>
        <w:rPr>
          <w:rStyle w:val="a8"/>
          <w:rFonts w:ascii="楷体" w:eastAsia="楷体" w:hAnsi="楷体"/>
          <w:spacing w:val="-4"/>
          <w:sz w:val="32"/>
          <w:szCs w:val="32"/>
        </w:rPr>
      </w:pPr>
      <w:r>
        <w:rPr>
          <w:rStyle w:val="a8"/>
          <w:rFonts w:ascii="楷体" w:eastAsia="楷体" w:hAnsi="楷体" w:hint="eastAsia"/>
          <w:b w:val="0"/>
          <w:bCs w:val="0"/>
          <w:spacing w:val="-4"/>
          <w:sz w:val="32"/>
          <w:szCs w:val="32"/>
        </w:rPr>
        <w:t>六、主要经验及做法、存在的问题及原因分析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（一）主要经验及做法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多元协同，构建工作合力</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建立“人大主导</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代表参与</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社区协同</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群众互动”模式。人大牵头统筹资源、制定规则，代表主动下沉履职，社区提供场地、后勤保障，群众通过接待日、线上平台常态化参与。如</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社区名称</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代表之家，依托社区网格，将代表接待与网格员走访结合，拓宽民意收集渠道，让民生诉求“找得到出口、盯得紧落实”。</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需求导向，精准回应民生</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以“群众需要什么，代表就聚焦什么”为原则，建立“诉求收集</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分类研判</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跟踪督办”机制。通过选民接待、线上留言等收集问</w:t>
      </w:r>
      <w:r>
        <w:rPr>
          <w:rStyle w:val="a8"/>
          <w:rFonts w:ascii="楷体" w:eastAsia="楷体" w:hAnsi="楷体" w:hint="eastAsia"/>
          <w:b w:val="0"/>
          <w:bCs w:val="0"/>
          <w:spacing w:val="-4"/>
          <w:sz w:val="32"/>
          <w:szCs w:val="32"/>
        </w:rPr>
        <w:lastRenderedPageBreak/>
        <w:t>题，按“民生实事、政策咨询、矛盾调解”分类，简单问题当场解答</w:t>
      </w:r>
      <w:r>
        <w:rPr>
          <w:rStyle w:val="a8"/>
          <w:rFonts w:ascii="楷体" w:eastAsia="楷体" w:hAnsi="楷体" w:hint="eastAsia"/>
          <w:b w:val="0"/>
          <w:bCs w:val="0"/>
          <w:spacing w:val="-4"/>
          <w:sz w:val="32"/>
          <w:szCs w:val="32"/>
        </w:rPr>
        <w:t>，复杂事项转交职能部门并由代表跟踪进度。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（二）存在的问题及原因分析</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代表参与不均衡，履职效能有差距</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部分代表参与活动频率低，存在“履职热情冷热不均”现象。原因在于：一方面，代表本职工作与履职时间冲突（如企业负责人代表，业务旺季难脱身）；另一方面，激励机制“刚性约束不足”，未与代表资格紧密挂钩，部分代表存在“被动应付”心态。</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活动覆盖有盲区，群体需求难触达</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老年群体、偏远区域居民参与度低。老年群体不熟悉线上平台，线下活动宣传多依赖社区通知，覆盖范围有限；偏远区域代表之家辐射半径小，代表下沉成本高（交</w:t>
      </w:r>
      <w:r>
        <w:rPr>
          <w:rStyle w:val="a8"/>
          <w:rFonts w:ascii="楷体" w:eastAsia="楷体" w:hAnsi="楷体" w:hint="eastAsia"/>
          <w:b w:val="0"/>
          <w:bCs w:val="0"/>
          <w:spacing w:val="-4"/>
          <w:sz w:val="32"/>
          <w:szCs w:val="32"/>
        </w:rPr>
        <w:t>通、时间），导致“山区群众找代表难，代表知山区情况少”。本质是服务模式对“特殊群体、特殊区域”适配性不足，未建立差异化、精准化的联络机制。</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建议转化待优化，闭环管理有短板</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部分民生建议“重提出、轻落地”，存在办理周期长、效果打折扣问题。因代表建议涉及多部门协同，存在职责边界不清、推诿扯皮现象；同时，建议办理反馈仅聚焦“是否答复”，对“实际成效、群众认可”跟踪不足，导致“答复满意但问题未真解决”，反映出跨部门协同机制、效果评估机制不完善。</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七、有关建议</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加强多方协调，积极争取上级对代表之家的资金投入力度，</w:t>
      </w:r>
      <w:r>
        <w:rPr>
          <w:rStyle w:val="a8"/>
          <w:rFonts w:ascii="楷体" w:eastAsia="楷体" w:hAnsi="楷体" w:hint="eastAsia"/>
          <w:b w:val="0"/>
          <w:bCs w:val="0"/>
          <w:spacing w:val="-4"/>
          <w:sz w:val="32"/>
          <w:szCs w:val="32"/>
        </w:rPr>
        <w:t>建成高标准的活动场所。部分代表之家硬件设施老化（如部分社区场地狭小、设备陈旧），活动经费依赖财政拨款，“巧妇难为无米之炊”。基层财政紧张，难以持续加大投入；社会资源参与渠道窄，</w:t>
      </w:r>
      <w:r>
        <w:rPr>
          <w:rStyle w:val="a8"/>
          <w:rFonts w:ascii="楷体" w:eastAsia="楷体" w:hAnsi="楷体" w:hint="eastAsia"/>
          <w:b w:val="0"/>
          <w:bCs w:val="0"/>
          <w:spacing w:val="-4"/>
          <w:sz w:val="32"/>
          <w:szCs w:val="32"/>
        </w:rPr>
        <w:lastRenderedPageBreak/>
        <w:t>企业、社会组织对代表之家认知度低，未形成“政府</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社会”多元筹资、资源共享模式，限制阵地功能拓展。</w:t>
      </w:r>
    </w:p>
    <w:p w:rsidR="00BC5548" w:rsidRDefault="00293C1C">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七</w:t>
      </w:r>
      <w:r>
        <w:rPr>
          <w:rStyle w:val="a8"/>
          <w:rFonts w:ascii="黑体" w:eastAsia="黑体" w:hAnsi="黑体" w:hint="eastAsia"/>
          <w:b w:val="0"/>
          <w:spacing w:val="-4"/>
          <w:sz w:val="32"/>
          <w:szCs w:val="32"/>
        </w:rPr>
        <w:t>、其他需要说明的问题</w:t>
      </w:r>
    </w:p>
    <w:p w:rsidR="00BC5548" w:rsidRDefault="00293C1C">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（二）评价结果作为安排政府预算、完善政策和改进管理的重要依据。原则</w:t>
      </w:r>
      <w:r>
        <w:rPr>
          <w:rStyle w:val="a8"/>
          <w:rFonts w:ascii="楷体" w:eastAsia="楷体" w:hAnsi="楷体" w:hint="eastAsia"/>
          <w:b w:val="0"/>
          <w:bCs w:val="0"/>
          <w:spacing w:val="-4"/>
          <w:sz w:val="32"/>
          <w:szCs w:val="32"/>
        </w:rPr>
        <w:t>上，对评价等级为优、良的，根据情况予以支持；对评价等级为中、差的，要完善政策、改进管理，根据情况核减预算。</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（三）评价结果分别编入政府决算和部门预算，报送本级人民代表大会常务委员会，并依法予以公开。</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（五）工作人员在绩效评价管理工作中存在违反《项目</w:t>
      </w:r>
      <w:r>
        <w:rPr>
          <w:rStyle w:val="a8"/>
          <w:rFonts w:ascii="楷体" w:eastAsia="楷体" w:hAnsi="楷体" w:hint="eastAsia"/>
          <w:b w:val="0"/>
          <w:bCs w:val="0"/>
          <w:spacing w:val="-4"/>
          <w:sz w:val="32"/>
          <w:szCs w:val="32"/>
        </w:rPr>
        <w:t>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rsidR="00BC5548" w:rsidRDefault="00BC5548">
      <w:pPr>
        <w:spacing w:line="540" w:lineRule="exact"/>
        <w:ind w:firstLine="567"/>
        <w:rPr>
          <w:rStyle w:val="a8"/>
          <w:rFonts w:ascii="仿宋" w:eastAsia="仿宋" w:hAnsi="仿宋"/>
          <w:b w:val="0"/>
          <w:spacing w:val="-4"/>
          <w:sz w:val="32"/>
          <w:szCs w:val="32"/>
        </w:rPr>
      </w:pPr>
    </w:p>
    <w:p w:rsidR="00BC5548" w:rsidRDefault="00BC5548">
      <w:pPr>
        <w:spacing w:line="540" w:lineRule="exact"/>
        <w:ind w:firstLine="567"/>
        <w:rPr>
          <w:rStyle w:val="a8"/>
          <w:rFonts w:ascii="仿宋" w:eastAsia="仿宋" w:hAnsi="仿宋"/>
          <w:b w:val="0"/>
          <w:spacing w:val="-4"/>
          <w:sz w:val="32"/>
          <w:szCs w:val="32"/>
        </w:rPr>
      </w:pPr>
    </w:p>
    <w:p w:rsidR="00BC5548" w:rsidRDefault="00BC5548">
      <w:pPr>
        <w:spacing w:line="540" w:lineRule="exact"/>
        <w:ind w:firstLine="567"/>
        <w:rPr>
          <w:rStyle w:val="a8"/>
          <w:rFonts w:ascii="仿宋" w:eastAsia="仿宋" w:hAnsi="仿宋"/>
          <w:b w:val="0"/>
          <w:spacing w:val="-4"/>
          <w:sz w:val="32"/>
          <w:szCs w:val="32"/>
        </w:rPr>
      </w:pPr>
    </w:p>
    <w:p w:rsidR="00BC5548" w:rsidRDefault="00BC5548">
      <w:pPr>
        <w:spacing w:line="540" w:lineRule="exact"/>
        <w:ind w:firstLine="567"/>
        <w:rPr>
          <w:rStyle w:val="a8"/>
          <w:rFonts w:ascii="仿宋" w:eastAsia="仿宋" w:hAnsi="仿宋"/>
          <w:b w:val="0"/>
          <w:spacing w:val="-4"/>
          <w:sz w:val="32"/>
          <w:szCs w:val="32"/>
        </w:rPr>
      </w:pPr>
    </w:p>
    <w:p w:rsidR="00BC5548" w:rsidRDefault="00BC5548">
      <w:pPr>
        <w:spacing w:line="540" w:lineRule="exact"/>
        <w:ind w:firstLine="567"/>
        <w:rPr>
          <w:rStyle w:val="a8"/>
          <w:rFonts w:ascii="仿宋" w:eastAsia="仿宋" w:hAnsi="仿宋"/>
          <w:b w:val="0"/>
          <w:spacing w:val="-4"/>
          <w:sz w:val="32"/>
          <w:szCs w:val="32"/>
        </w:rPr>
      </w:pPr>
    </w:p>
    <w:sectPr w:rsidR="00BC5548" w:rsidSect="00BC5548">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3C1C" w:rsidRDefault="00293C1C" w:rsidP="00BC5548">
      <w:r>
        <w:separator/>
      </w:r>
    </w:p>
  </w:endnote>
  <w:endnote w:type="continuationSeparator" w:id="1">
    <w:p w:rsidR="00293C1C" w:rsidRDefault="00293C1C" w:rsidP="00BC554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sdtPr>
    <w:sdtContent>
      <w:p w:rsidR="00BC5548" w:rsidRDefault="00BC5548">
        <w:pPr>
          <w:pStyle w:val="a4"/>
          <w:jc w:val="center"/>
        </w:pPr>
        <w:r>
          <w:fldChar w:fldCharType="begin"/>
        </w:r>
        <w:r w:rsidR="00293C1C">
          <w:instrText>PAGE   \* MERGEFORMAT</w:instrText>
        </w:r>
        <w:r>
          <w:fldChar w:fldCharType="separate"/>
        </w:r>
        <w:r w:rsidR="007B42BA" w:rsidRPr="007B42BA">
          <w:rPr>
            <w:noProof/>
            <w:lang w:val="zh-CN"/>
          </w:rPr>
          <w:t>2</w:t>
        </w:r>
        <w:r>
          <w:fldChar w:fldCharType="end"/>
        </w:r>
      </w:p>
    </w:sdtContent>
  </w:sdt>
  <w:p w:rsidR="00BC5548" w:rsidRDefault="00BC5548">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3C1C" w:rsidRDefault="00293C1C" w:rsidP="00BC5548">
      <w:r>
        <w:separator/>
      </w:r>
    </w:p>
  </w:footnote>
  <w:footnote w:type="continuationSeparator" w:id="1">
    <w:p w:rsidR="00293C1C" w:rsidRDefault="00293C1C" w:rsidP="00BC554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EA218F"/>
    <w:multiLevelType w:val="singleLevel"/>
    <w:tmpl w:val="3FEA218F"/>
    <w:lvl w:ilvl="0">
      <w:start w:val="5"/>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293C1C"/>
    <w:rsid w:val="00311DBE"/>
    <w:rsid w:val="004366A8"/>
    <w:rsid w:val="00502BA7"/>
    <w:rsid w:val="005162F1"/>
    <w:rsid w:val="00535153"/>
    <w:rsid w:val="00554F82"/>
    <w:rsid w:val="0056390D"/>
    <w:rsid w:val="005719B0"/>
    <w:rsid w:val="005D10D6"/>
    <w:rsid w:val="007B42BA"/>
    <w:rsid w:val="00855E3A"/>
    <w:rsid w:val="0091457F"/>
    <w:rsid w:val="00922CB9"/>
    <w:rsid w:val="009A0637"/>
    <w:rsid w:val="009E5CD9"/>
    <w:rsid w:val="00A26421"/>
    <w:rsid w:val="00A34588"/>
    <w:rsid w:val="00A4293B"/>
    <w:rsid w:val="00A67D50"/>
    <w:rsid w:val="00A8691A"/>
    <w:rsid w:val="00AC1946"/>
    <w:rsid w:val="00B40063"/>
    <w:rsid w:val="00B41F61"/>
    <w:rsid w:val="00BA46E6"/>
    <w:rsid w:val="00BC5548"/>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uiPriority="59"/>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5548"/>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rsid w:val="00BC5548"/>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BC5548"/>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rsid w:val="00BC5548"/>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rsid w:val="00BC5548"/>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rsid w:val="00BC5548"/>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rsid w:val="00BC5548"/>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rsid w:val="00BC5548"/>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rsid w:val="00BC5548"/>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rsid w:val="00BC5548"/>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BC5548"/>
    <w:rPr>
      <w:sz w:val="18"/>
      <w:szCs w:val="18"/>
    </w:rPr>
  </w:style>
  <w:style w:type="paragraph" w:styleId="a4">
    <w:name w:val="footer"/>
    <w:basedOn w:val="a"/>
    <w:link w:val="Char0"/>
    <w:uiPriority w:val="99"/>
    <w:unhideWhenUsed/>
    <w:rsid w:val="00BC5548"/>
    <w:pPr>
      <w:tabs>
        <w:tab w:val="center" w:pos="4153"/>
        <w:tab w:val="right" w:pos="8306"/>
      </w:tabs>
      <w:snapToGrid w:val="0"/>
      <w:jc w:val="left"/>
    </w:pPr>
    <w:rPr>
      <w:rFonts w:ascii="Calibri" w:hAnsi="Calibri"/>
      <w:sz w:val="18"/>
      <w:szCs w:val="18"/>
    </w:rPr>
  </w:style>
  <w:style w:type="paragraph" w:styleId="a5">
    <w:name w:val="header"/>
    <w:basedOn w:val="a"/>
    <w:link w:val="Char1"/>
    <w:autoRedefine/>
    <w:uiPriority w:val="99"/>
    <w:unhideWhenUsed/>
    <w:rsid w:val="00BC5548"/>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rsid w:val="00BC5548"/>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rsid w:val="00BC5548"/>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sid w:val="00BC5548"/>
    <w:rPr>
      <w:b/>
      <w:bCs/>
    </w:rPr>
  </w:style>
  <w:style w:type="character" w:styleId="a9">
    <w:name w:val="Emphasis"/>
    <w:basedOn w:val="a0"/>
    <w:uiPriority w:val="20"/>
    <w:qFormat/>
    <w:rsid w:val="00BC5548"/>
    <w:rPr>
      <w:rFonts w:asciiTheme="minorHAnsi" w:hAnsiTheme="minorHAnsi"/>
      <w:b/>
      <w:i/>
      <w:iCs/>
    </w:rPr>
  </w:style>
  <w:style w:type="character" w:customStyle="1" w:styleId="1Char">
    <w:name w:val="标题 1 Char"/>
    <w:basedOn w:val="a0"/>
    <w:link w:val="1"/>
    <w:uiPriority w:val="9"/>
    <w:qFormat/>
    <w:rsid w:val="00BC5548"/>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sid w:val="00BC5548"/>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sid w:val="00BC5548"/>
    <w:rPr>
      <w:rFonts w:asciiTheme="majorHAnsi" w:eastAsiaTheme="majorEastAsia" w:hAnsiTheme="majorHAnsi"/>
      <w:b/>
      <w:bCs/>
      <w:sz w:val="26"/>
      <w:szCs w:val="26"/>
    </w:rPr>
  </w:style>
  <w:style w:type="character" w:customStyle="1" w:styleId="4Char">
    <w:name w:val="标题 4 Char"/>
    <w:basedOn w:val="a0"/>
    <w:link w:val="4"/>
    <w:uiPriority w:val="9"/>
    <w:semiHidden/>
    <w:qFormat/>
    <w:rsid w:val="00BC5548"/>
    <w:rPr>
      <w:b/>
      <w:bCs/>
      <w:sz w:val="28"/>
      <w:szCs w:val="28"/>
    </w:rPr>
  </w:style>
  <w:style w:type="character" w:customStyle="1" w:styleId="5Char">
    <w:name w:val="标题 5 Char"/>
    <w:basedOn w:val="a0"/>
    <w:link w:val="5"/>
    <w:uiPriority w:val="9"/>
    <w:semiHidden/>
    <w:qFormat/>
    <w:rsid w:val="00BC5548"/>
    <w:rPr>
      <w:b/>
      <w:bCs/>
      <w:i/>
      <w:iCs/>
      <w:sz w:val="26"/>
      <w:szCs w:val="26"/>
    </w:rPr>
  </w:style>
  <w:style w:type="character" w:customStyle="1" w:styleId="6Char">
    <w:name w:val="标题 6 Char"/>
    <w:basedOn w:val="a0"/>
    <w:link w:val="6"/>
    <w:uiPriority w:val="9"/>
    <w:semiHidden/>
    <w:qFormat/>
    <w:rsid w:val="00BC5548"/>
    <w:rPr>
      <w:b/>
      <w:bCs/>
    </w:rPr>
  </w:style>
  <w:style w:type="character" w:customStyle="1" w:styleId="7Char">
    <w:name w:val="标题 7 Char"/>
    <w:basedOn w:val="a0"/>
    <w:link w:val="7"/>
    <w:uiPriority w:val="9"/>
    <w:semiHidden/>
    <w:rsid w:val="00BC5548"/>
    <w:rPr>
      <w:sz w:val="24"/>
      <w:szCs w:val="24"/>
    </w:rPr>
  </w:style>
  <w:style w:type="character" w:customStyle="1" w:styleId="8Char">
    <w:name w:val="标题 8 Char"/>
    <w:basedOn w:val="a0"/>
    <w:link w:val="8"/>
    <w:uiPriority w:val="9"/>
    <w:semiHidden/>
    <w:qFormat/>
    <w:rsid w:val="00BC5548"/>
    <w:rPr>
      <w:i/>
      <w:iCs/>
      <w:sz w:val="24"/>
      <w:szCs w:val="24"/>
    </w:rPr>
  </w:style>
  <w:style w:type="character" w:customStyle="1" w:styleId="9Char">
    <w:name w:val="标题 9 Char"/>
    <w:basedOn w:val="a0"/>
    <w:link w:val="9"/>
    <w:uiPriority w:val="9"/>
    <w:semiHidden/>
    <w:qFormat/>
    <w:rsid w:val="00BC5548"/>
    <w:rPr>
      <w:rFonts w:asciiTheme="majorHAnsi" w:eastAsiaTheme="majorEastAsia" w:hAnsiTheme="majorHAnsi"/>
    </w:rPr>
  </w:style>
  <w:style w:type="character" w:customStyle="1" w:styleId="Char3">
    <w:name w:val="标题 Char"/>
    <w:basedOn w:val="a0"/>
    <w:link w:val="a7"/>
    <w:uiPriority w:val="10"/>
    <w:rsid w:val="00BC5548"/>
    <w:rPr>
      <w:rFonts w:asciiTheme="majorHAnsi" w:eastAsiaTheme="majorEastAsia" w:hAnsiTheme="majorHAnsi"/>
      <w:b/>
      <w:bCs/>
      <w:kern w:val="28"/>
      <w:sz w:val="32"/>
      <w:szCs w:val="32"/>
    </w:rPr>
  </w:style>
  <w:style w:type="character" w:customStyle="1" w:styleId="Char2">
    <w:name w:val="副标题 Char"/>
    <w:basedOn w:val="a0"/>
    <w:link w:val="a6"/>
    <w:uiPriority w:val="11"/>
    <w:rsid w:val="00BC5548"/>
    <w:rPr>
      <w:rFonts w:asciiTheme="majorHAnsi" w:eastAsiaTheme="majorEastAsia" w:hAnsiTheme="majorHAnsi"/>
      <w:sz w:val="24"/>
      <w:szCs w:val="24"/>
    </w:rPr>
  </w:style>
  <w:style w:type="paragraph" w:styleId="aa">
    <w:name w:val="No Spacing"/>
    <w:basedOn w:val="a"/>
    <w:uiPriority w:val="1"/>
    <w:qFormat/>
    <w:rsid w:val="00BC5548"/>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rsid w:val="00BC5548"/>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rsid w:val="00BC5548"/>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sid w:val="00BC5548"/>
    <w:rPr>
      <w:i/>
      <w:sz w:val="24"/>
      <w:szCs w:val="24"/>
    </w:rPr>
  </w:style>
  <w:style w:type="paragraph" w:styleId="ad">
    <w:name w:val="Intense Quote"/>
    <w:basedOn w:val="a"/>
    <w:next w:val="a"/>
    <w:link w:val="Char5"/>
    <w:uiPriority w:val="30"/>
    <w:qFormat/>
    <w:rsid w:val="00BC5548"/>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sid w:val="00BC5548"/>
    <w:rPr>
      <w:b/>
      <w:i/>
      <w:sz w:val="24"/>
    </w:rPr>
  </w:style>
  <w:style w:type="character" w:customStyle="1" w:styleId="10">
    <w:name w:val="不明显强调1"/>
    <w:uiPriority w:val="19"/>
    <w:qFormat/>
    <w:rsid w:val="00BC5548"/>
    <w:rPr>
      <w:i/>
      <w:color w:val="595959" w:themeColor="text1" w:themeTint="A6"/>
    </w:rPr>
  </w:style>
  <w:style w:type="character" w:customStyle="1" w:styleId="11">
    <w:name w:val="明显强调1"/>
    <w:basedOn w:val="a0"/>
    <w:uiPriority w:val="21"/>
    <w:qFormat/>
    <w:rsid w:val="00BC5548"/>
    <w:rPr>
      <w:b/>
      <w:i/>
      <w:sz w:val="24"/>
      <w:szCs w:val="24"/>
      <w:u w:val="single"/>
    </w:rPr>
  </w:style>
  <w:style w:type="character" w:customStyle="1" w:styleId="12">
    <w:name w:val="不明显参考1"/>
    <w:basedOn w:val="a0"/>
    <w:uiPriority w:val="31"/>
    <w:qFormat/>
    <w:rsid w:val="00BC5548"/>
    <w:rPr>
      <w:sz w:val="24"/>
      <w:szCs w:val="24"/>
      <w:u w:val="single"/>
    </w:rPr>
  </w:style>
  <w:style w:type="character" w:customStyle="1" w:styleId="13">
    <w:name w:val="明显参考1"/>
    <w:basedOn w:val="a0"/>
    <w:uiPriority w:val="32"/>
    <w:qFormat/>
    <w:rsid w:val="00BC5548"/>
    <w:rPr>
      <w:b/>
      <w:sz w:val="24"/>
      <w:u w:val="single"/>
    </w:rPr>
  </w:style>
  <w:style w:type="character" w:customStyle="1" w:styleId="14">
    <w:name w:val="书籍标题1"/>
    <w:basedOn w:val="a0"/>
    <w:uiPriority w:val="33"/>
    <w:qFormat/>
    <w:rsid w:val="00BC5548"/>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rsid w:val="00BC5548"/>
    <w:pPr>
      <w:outlineLvl w:val="9"/>
    </w:pPr>
    <w:rPr>
      <w:lang w:eastAsia="en-US" w:bidi="en-US"/>
    </w:rPr>
  </w:style>
  <w:style w:type="character" w:customStyle="1" w:styleId="Char1">
    <w:name w:val="页眉 Char"/>
    <w:basedOn w:val="a0"/>
    <w:link w:val="a5"/>
    <w:uiPriority w:val="99"/>
    <w:rsid w:val="00BC5548"/>
    <w:rPr>
      <w:rFonts w:ascii="Calibri" w:eastAsia="宋体" w:hAnsi="Calibri"/>
      <w:kern w:val="2"/>
      <w:sz w:val="18"/>
      <w:szCs w:val="18"/>
    </w:rPr>
  </w:style>
  <w:style w:type="character" w:customStyle="1" w:styleId="Char0">
    <w:name w:val="页脚 Char"/>
    <w:basedOn w:val="a0"/>
    <w:link w:val="a4"/>
    <w:uiPriority w:val="99"/>
    <w:rsid w:val="00BC5548"/>
    <w:rPr>
      <w:rFonts w:ascii="Calibri" w:eastAsia="宋体" w:hAnsi="Calibri"/>
      <w:kern w:val="2"/>
      <w:sz w:val="18"/>
      <w:szCs w:val="18"/>
    </w:rPr>
  </w:style>
  <w:style w:type="character" w:customStyle="1" w:styleId="Char">
    <w:name w:val="批注框文本 Char"/>
    <w:basedOn w:val="a0"/>
    <w:link w:val="a3"/>
    <w:uiPriority w:val="99"/>
    <w:semiHidden/>
    <w:qFormat/>
    <w:rsid w:val="00BC5548"/>
    <w:rPr>
      <w:rFonts w:ascii="Times New Roman" w:eastAsia="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1991</Words>
  <Characters>11351</Characters>
  <Application>Microsoft Office Word</Application>
  <DocSecurity>0</DocSecurity>
  <Lines>94</Lines>
  <Paragraphs>26</Paragraphs>
  <ScaleCrop>false</ScaleCrop>
  <Company>P R C</Company>
  <LinksUpToDate>false</LinksUpToDate>
  <CharactersWithSpaces>13316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Windows User</cp:lastModifiedBy>
  <cp:revision>22</cp:revision>
  <cp:lastPrinted>2018-12-31T10:56:00Z</cp:lastPrinted>
  <dcterms:created xsi:type="dcterms:W3CDTF">2018-08-15T02:06:00Z</dcterms:created>
  <dcterms:modified xsi:type="dcterms:W3CDTF">2025-09-10T11:03:00Z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