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81856E">
      <w:pPr>
        <w:spacing w:after="0" w:line="240" w:lineRule="auto"/>
        <w:rPr>
          <w:rFonts w:hint="eastAsia" w:ascii="宋体" w:eastAsia="宋体"/>
          <w:sz w:val="32"/>
          <w:szCs w:val="32"/>
        </w:rPr>
      </w:pPr>
    </w:p>
    <w:p w14:paraId="42E89F89">
      <w:pPr>
        <w:spacing w:after="0" w:line="240" w:lineRule="auto"/>
        <w:rPr>
          <w:rFonts w:hint="eastAsia" w:ascii="宋体" w:eastAsia="宋体"/>
          <w:sz w:val="44"/>
          <w:szCs w:val="44"/>
        </w:rPr>
      </w:pPr>
    </w:p>
    <w:p w14:paraId="713D1BB0">
      <w:pPr>
        <w:spacing w:after="0" w:line="240" w:lineRule="auto"/>
        <w:rPr>
          <w:rFonts w:hint="eastAsia" w:ascii="宋体" w:eastAsia="宋体"/>
          <w:sz w:val="44"/>
          <w:szCs w:val="44"/>
        </w:rPr>
      </w:pPr>
    </w:p>
    <w:p w14:paraId="505C35BC">
      <w:pPr>
        <w:spacing w:after="0" w:line="240" w:lineRule="auto"/>
        <w:rPr>
          <w:rFonts w:hint="eastAsia" w:ascii="宋体" w:eastAsia="宋体"/>
          <w:sz w:val="44"/>
          <w:szCs w:val="44"/>
        </w:rPr>
      </w:pPr>
    </w:p>
    <w:p w14:paraId="7C863E71">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昌吉市第七小学</w:t>
      </w:r>
    </w:p>
    <w:p w14:paraId="45166A63">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7FC4331">
      <w:pPr>
        <w:rPr>
          <w:rFonts w:hint="eastAsia"/>
          <w:lang w:eastAsia="zh-CN"/>
        </w:rPr>
      </w:pPr>
      <w:r>
        <w:rPr>
          <w:sz w:val="0"/>
          <w:szCs w:val="0"/>
          <w:lang w:eastAsia="zh-CN"/>
        </w:rPr>
        <w:br w:type="page"/>
      </w:r>
    </w:p>
    <w:p w14:paraId="73AA5F80">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A1EB43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6F5D3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FC8E75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296064E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720BB9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46D462D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5CE06B0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2877E4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A89029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53457B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4167FB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E2E87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A006D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D66FE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34BBAB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B46462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1FD6FC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62B5EE9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788E49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05AA8EB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7B328A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CF65AE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20A5D4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12AA702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F9E25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102E7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77D15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4B785A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F8ED53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595B93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BEFCCA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98AC95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C5A91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4982459F">
      <w:pPr>
        <w:rPr>
          <w:rFonts w:hint="eastAsia"/>
          <w:lang w:eastAsia="zh-CN"/>
        </w:rPr>
      </w:pPr>
      <w:r>
        <w:rPr>
          <w:sz w:val="0"/>
          <w:szCs w:val="0"/>
          <w:lang w:eastAsia="zh-CN"/>
        </w:rPr>
        <w:br w:type="page"/>
      </w:r>
    </w:p>
    <w:p w14:paraId="25B5BFA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488629C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DFEB04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0EBCA77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2.制定和实施本校教育发展规定和教育教学计划，加强学校教职工队伍建设。</w:t>
      </w:r>
    </w:p>
    <w:p w14:paraId="7670A79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3.筹措并管好、用好教育经费，继续改善办学条件，密切学校与家庭、社会的联系；树立良好的校风、教风、学风，使学校成为建设社会主义精神文明的重要阵地。</w:t>
      </w:r>
    </w:p>
    <w:p w14:paraId="5ADA2A4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4.落实上级党委、教育局工委和教育行政主管部门下达的工作目标和工作任务。</w:t>
      </w:r>
    </w:p>
    <w:p w14:paraId="7E94477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1985CAF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昌吉市第七小学2024年度，实有人数146人，其中：在职人员84人，减少1人；离休人员0人，较上年无变化；退休人员62人，增加3人。</w:t>
      </w:r>
    </w:p>
    <w:p w14:paraId="3CC824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昌吉市第七小学无下属预算单位，下设5个</w:t>
      </w:r>
      <w:r>
        <w:rPr>
          <w:rFonts w:hint="eastAsia" w:ascii="仿宋_GB2312" w:eastAsia="仿宋_GB2312"/>
          <w:sz w:val="32"/>
          <w:szCs w:val="32"/>
          <w:lang w:eastAsia="zh-CN"/>
        </w:rPr>
        <w:t>科</w:t>
      </w:r>
      <w:r>
        <w:rPr>
          <w:rFonts w:ascii="仿宋_GB2312" w:eastAsia="仿宋_GB2312"/>
          <w:sz w:val="32"/>
          <w:szCs w:val="32"/>
          <w:lang w:eastAsia="zh-CN"/>
        </w:rPr>
        <w:t>室，分别是：教务处、德育处、总务处、工会、后勤部。</w:t>
      </w:r>
    </w:p>
    <w:p w14:paraId="6530C444">
      <w:pPr>
        <w:rPr>
          <w:rFonts w:hint="eastAsia"/>
          <w:lang w:eastAsia="zh-CN"/>
        </w:rPr>
      </w:pPr>
      <w:r>
        <w:rPr>
          <w:sz w:val="0"/>
          <w:szCs w:val="0"/>
          <w:lang w:eastAsia="zh-CN"/>
        </w:rPr>
        <w:br w:type="page"/>
      </w:r>
    </w:p>
    <w:p w14:paraId="1AE657D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11C5C07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A7516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2024年度收入总计2,229.01万元，其中：本年收入合计2,160.26万元，使用非财政拨款结余（含专用结余）0.00万元，年初结转和结余68.75万元。</w:t>
      </w:r>
    </w:p>
    <w:p w14:paraId="28DBF0D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2024年度支出总计2,229.01万元，其中：本年支出合计2,191.28万元，结余分配0.00万元，年末结转和结余37.72万元。</w:t>
      </w:r>
    </w:p>
    <w:p w14:paraId="18B3A5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收入支出总体与上年相比，增加44.40万元，增长2.03%，主要原因是：单位本年</w:t>
      </w:r>
      <w:r>
        <w:rPr>
          <w:rFonts w:hint="eastAsia" w:ascii="仿宋_GB2312" w:eastAsia="仿宋_GB2312"/>
          <w:sz w:val="32"/>
          <w:szCs w:val="32"/>
          <w:lang w:eastAsia="zh-CN"/>
        </w:rPr>
        <w:t>增加</w:t>
      </w:r>
      <w:r>
        <w:rPr>
          <w:rFonts w:ascii="仿宋_GB2312" w:eastAsia="仿宋_GB2312"/>
          <w:sz w:val="32"/>
          <w:szCs w:val="32"/>
          <w:lang w:eastAsia="zh-CN"/>
        </w:rPr>
        <w:t>城乡义务教育补助经费预算</w:t>
      </w:r>
      <w:r>
        <w:rPr>
          <w:rFonts w:hint="eastAsia" w:ascii="仿宋_GB2312" w:eastAsia="仿宋_GB2312"/>
          <w:sz w:val="32"/>
          <w:szCs w:val="32"/>
          <w:lang w:eastAsia="zh-CN"/>
        </w:rPr>
        <w:t>(</w:t>
      </w:r>
      <w:r>
        <w:rPr>
          <w:rFonts w:ascii="仿宋_GB2312" w:eastAsia="仿宋_GB2312"/>
          <w:sz w:val="32"/>
          <w:szCs w:val="32"/>
          <w:lang w:eastAsia="zh-CN"/>
        </w:rPr>
        <w:t>中央直达资金</w:t>
      </w:r>
      <w:r>
        <w:rPr>
          <w:rFonts w:hint="eastAsia" w:ascii="仿宋_GB2312" w:eastAsia="仿宋_GB2312"/>
          <w:sz w:val="32"/>
          <w:szCs w:val="32"/>
          <w:lang w:eastAsia="zh-CN"/>
        </w:rPr>
        <w:t>)</w:t>
      </w:r>
      <w:r>
        <w:rPr>
          <w:rFonts w:ascii="仿宋_GB2312" w:eastAsia="仿宋_GB2312"/>
          <w:sz w:val="32"/>
          <w:szCs w:val="32"/>
          <w:lang w:eastAsia="zh-CN"/>
        </w:rPr>
        <w:t>校舍安全保障项目经费、昌吉州教育项目州本级配套资金-班主任津贴项目经费</w:t>
      </w:r>
      <w:r>
        <w:rPr>
          <w:rFonts w:hint="eastAsia" w:ascii="仿宋_GB2312" w:eastAsia="仿宋_GB2312"/>
          <w:sz w:val="32"/>
          <w:szCs w:val="32"/>
          <w:lang w:eastAsia="zh-CN"/>
        </w:rPr>
        <w:t>等</w:t>
      </w:r>
      <w:r>
        <w:rPr>
          <w:rFonts w:ascii="仿宋_GB2312" w:eastAsia="仿宋_GB2312"/>
          <w:sz w:val="32"/>
          <w:szCs w:val="32"/>
          <w:lang w:eastAsia="zh-CN"/>
        </w:rPr>
        <w:t>。</w:t>
      </w:r>
    </w:p>
    <w:p w14:paraId="3EF0461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22BCC80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本年收入2,160.26万元，其中：财政拨款收入2,044.43万元,占94.64%；上级补助收入0.00万元,占0.00%；事业收入0.00万元，占0.00%；经营收入0.00万元,占0.00%；附属单位上缴收入0.00万元，占0.00%；其他收入115.83万元，占5.36%。</w:t>
      </w:r>
    </w:p>
    <w:p w14:paraId="3F5283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B97C98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本年支出2,191.28万元，其中：基本支出1,988.61万元，占90.75%；项目支出202.67万元，占9.25%；上缴上级支出0.00万元，占0.00%；经营支出0.00万元，占0.00%；对附属单位补助支出0.00万元，占0.00%。</w:t>
      </w:r>
    </w:p>
    <w:p w14:paraId="691A5F3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3C466E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2,044.43万元，其中：年初财政拨款结转和结余0.00万元，本年财政拨款收入2,044.43万元。财政拨款支出总计2,044.43万元，其中：年末财政拨款结转和结余0.00万元，本年财政拨款支出2,044.43万元。</w:t>
      </w:r>
    </w:p>
    <w:p w14:paraId="10AD5BA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财政拨款收入支出总体与上年相比，减少29.84万元，下降1.44%，主要原因是：单位本年职业年金缴费</w:t>
      </w:r>
      <w:r>
        <w:rPr>
          <w:rFonts w:hint="eastAsia" w:ascii="仿宋_GB2312" w:eastAsia="仿宋_GB2312"/>
          <w:sz w:val="32"/>
          <w:szCs w:val="32"/>
          <w:lang w:eastAsia="zh-CN"/>
        </w:rPr>
        <w:t>、</w:t>
      </w:r>
      <w:r>
        <w:rPr>
          <w:rFonts w:ascii="仿宋_GB2312" w:eastAsia="仿宋_GB2312"/>
          <w:sz w:val="32"/>
          <w:szCs w:val="32"/>
          <w:lang w:eastAsia="zh-CN"/>
        </w:rPr>
        <w:t>办公费、取暖费</w:t>
      </w:r>
      <w:r>
        <w:rPr>
          <w:rFonts w:hint="eastAsia" w:ascii="仿宋_GB2312" w:eastAsia="仿宋_GB2312"/>
          <w:sz w:val="32"/>
          <w:szCs w:val="32"/>
          <w:lang w:eastAsia="zh-CN"/>
        </w:rPr>
        <w:t>等较上年</w:t>
      </w:r>
      <w:r>
        <w:rPr>
          <w:rFonts w:ascii="仿宋_GB2312" w:eastAsia="仿宋_GB2312"/>
          <w:sz w:val="32"/>
          <w:szCs w:val="32"/>
          <w:lang w:eastAsia="zh-CN"/>
        </w:rPr>
        <w:t>减少。与年初预算相比，年初预算数1,756.93万元，决算数2,044.43万元，预决算差异率16.36%，主要原因是：年中追加城乡义务教育补助经费预算</w:t>
      </w:r>
      <w:r>
        <w:rPr>
          <w:rFonts w:hint="eastAsia" w:ascii="仿宋_GB2312" w:eastAsia="仿宋_GB2312"/>
          <w:sz w:val="32"/>
          <w:szCs w:val="32"/>
          <w:lang w:eastAsia="zh-CN"/>
        </w:rPr>
        <w:t>(</w:t>
      </w:r>
      <w:r>
        <w:rPr>
          <w:rFonts w:ascii="仿宋_GB2312" w:eastAsia="仿宋_GB2312"/>
          <w:sz w:val="32"/>
          <w:szCs w:val="32"/>
          <w:lang w:eastAsia="zh-CN"/>
        </w:rPr>
        <w:t>中央直达资金</w:t>
      </w:r>
      <w:r>
        <w:rPr>
          <w:rFonts w:hint="eastAsia" w:ascii="仿宋_GB2312" w:eastAsia="仿宋_GB2312"/>
          <w:sz w:val="32"/>
          <w:szCs w:val="32"/>
          <w:lang w:eastAsia="zh-CN"/>
        </w:rPr>
        <w:t>)</w:t>
      </w:r>
      <w:r>
        <w:rPr>
          <w:rFonts w:ascii="仿宋_GB2312" w:eastAsia="仿宋_GB2312"/>
          <w:sz w:val="32"/>
          <w:szCs w:val="32"/>
          <w:lang w:eastAsia="zh-CN"/>
        </w:rPr>
        <w:t>校舍安全保障项目经费、昌吉州教育项目州本级配套资金-班主任津贴项目经费</w:t>
      </w:r>
      <w:r>
        <w:rPr>
          <w:rFonts w:hint="eastAsia" w:ascii="仿宋_GB2312" w:eastAsia="仿宋_GB2312"/>
          <w:sz w:val="32"/>
          <w:szCs w:val="32"/>
          <w:lang w:eastAsia="zh-CN"/>
        </w:rPr>
        <w:t>等</w:t>
      </w:r>
      <w:r>
        <w:rPr>
          <w:rFonts w:ascii="仿宋_GB2312" w:eastAsia="仿宋_GB2312"/>
          <w:sz w:val="32"/>
          <w:szCs w:val="32"/>
          <w:lang w:eastAsia="zh-CN"/>
        </w:rPr>
        <w:t>。</w:t>
      </w:r>
    </w:p>
    <w:p w14:paraId="65A2E3E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50EBA0A">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1103DB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2024年度一般公共预算财政拨款支出2,032.43万元，占本年支出合计的92.75%。与上年相比，减少10.60万元，下降0.52%，主要原因是：单位本年职业年金缴费</w:t>
      </w:r>
      <w:r>
        <w:rPr>
          <w:rFonts w:hint="eastAsia" w:ascii="仿宋_GB2312" w:eastAsia="仿宋_GB2312"/>
          <w:sz w:val="32"/>
          <w:szCs w:val="32"/>
          <w:lang w:eastAsia="zh-CN"/>
        </w:rPr>
        <w:t>、</w:t>
      </w:r>
      <w:r>
        <w:rPr>
          <w:rFonts w:ascii="仿宋_GB2312" w:eastAsia="仿宋_GB2312"/>
          <w:sz w:val="32"/>
          <w:szCs w:val="32"/>
          <w:lang w:eastAsia="zh-CN"/>
        </w:rPr>
        <w:t>办公费、取暖费</w:t>
      </w:r>
      <w:r>
        <w:rPr>
          <w:rFonts w:hint="eastAsia" w:ascii="仿宋_GB2312" w:eastAsia="仿宋_GB2312"/>
          <w:sz w:val="32"/>
          <w:szCs w:val="32"/>
          <w:lang w:eastAsia="zh-CN"/>
        </w:rPr>
        <w:t>等较上年</w:t>
      </w:r>
      <w:r>
        <w:rPr>
          <w:rFonts w:ascii="仿宋_GB2312" w:eastAsia="仿宋_GB2312"/>
          <w:sz w:val="32"/>
          <w:szCs w:val="32"/>
          <w:lang w:eastAsia="zh-CN"/>
        </w:rPr>
        <w:t>减少。与年初预算相比，年初预算数1,744.93万元，决算数2,032.43万元，预决算差异率16.48%，主要原因是：年中追加城乡义务教育补助经费预算</w:t>
      </w:r>
      <w:r>
        <w:rPr>
          <w:rFonts w:hint="eastAsia" w:ascii="仿宋_GB2312" w:eastAsia="仿宋_GB2312"/>
          <w:sz w:val="32"/>
          <w:szCs w:val="32"/>
          <w:lang w:eastAsia="zh-CN"/>
        </w:rPr>
        <w:t>(</w:t>
      </w:r>
      <w:r>
        <w:rPr>
          <w:rFonts w:ascii="仿宋_GB2312" w:eastAsia="仿宋_GB2312"/>
          <w:sz w:val="32"/>
          <w:szCs w:val="32"/>
          <w:lang w:eastAsia="zh-CN"/>
        </w:rPr>
        <w:t>中央直达资金</w:t>
      </w:r>
      <w:r>
        <w:rPr>
          <w:rFonts w:hint="eastAsia" w:ascii="仿宋_GB2312" w:eastAsia="仿宋_GB2312"/>
          <w:sz w:val="32"/>
          <w:szCs w:val="32"/>
          <w:lang w:eastAsia="zh-CN"/>
        </w:rPr>
        <w:t>)</w:t>
      </w:r>
      <w:r>
        <w:rPr>
          <w:rFonts w:ascii="仿宋_GB2312" w:eastAsia="仿宋_GB2312"/>
          <w:sz w:val="32"/>
          <w:szCs w:val="32"/>
          <w:lang w:eastAsia="zh-CN"/>
        </w:rPr>
        <w:t>校舍安全保障项目经费、昌吉州教育项目州本级配套资金-班主任津贴项目经费</w:t>
      </w:r>
      <w:r>
        <w:rPr>
          <w:rFonts w:hint="eastAsia" w:ascii="仿宋_GB2312" w:eastAsia="仿宋_GB2312"/>
          <w:sz w:val="32"/>
          <w:szCs w:val="32"/>
          <w:lang w:eastAsia="zh-CN"/>
        </w:rPr>
        <w:t>等</w:t>
      </w:r>
      <w:r>
        <w:rPr>
          <w:rFonts w:ascii="仿宋_GB2312" w:eastAsia="仿宋_GB2312"/>
          <w:sz w:val="32"/>
          <w:szCs w:val="32"/>
          <w:lang w:eastAsia="zh-CN"/>
        </w:rPr>
        <w:t>。</w:t>
      </w:r>
    </w:p>
    <w:p w14:paraId="5C006E9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179E6B7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教育支出（类）2,009.80万元，占98.89%。</w:t>
      </w:r>
    </w:p>
    <w:p w14:paraId="338EB12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社会保障和就业支出（类）22.63万元，占1.11%。</w:t>
      </w:r>
    </w:p>
    <w:p w14:paraId="042F83C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2DDF5C3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1、教育支出（类）普通教育（款）小学教育（项）：支出决算数为2,009.80万元，比上年决算增加25.64万元，增长1.29%，主要原因是：</w:t>
      </w:r>
      <w:r>
        <w:rPr>
          <w:rFonts w:hint="eastAsia" w:ascii="仿宋_GB2312" w:eastAsia="仿宋_GB2312"/>
          <w:sz w:val="32"/>
          <w:szCs w:val="32"/>
          <w:lang w:eastAsia="zh-CN"/>
        </w:rPr>
        <w:t>单位本年增加</w:t>
      </w:r>
      <w:r>
        <w:rPr>
          <w:rFonts w:ascii="仿宋_GB2312" w:eastAsia="仿宋_GB2312"/>
          <w:sz w:val="32"/>
          <w:szCs w:val="32"/>
          <w:lang w:eastAsia="zh-CN"/>
        </w:rPr>
        <w:t>城乡义务教育补助经费预算</w:t>
      </w:r>
      <w:r>
        <w:rPr>
          <w:rFonts w:hint="eastAsia" w:ascii="仿宋_GB2312" w:eastAsia="仿宋_GB2312"/>
          <w:sz w:val="32"/>
          <w:szCs w:val="32"/>
          <w:lang w:eastAsia="zh-CN"/>
        </w:rPr>
        <w:t>(</w:t>
      </w:r>
      <w:r>
        <w:rPr>
          <w:rFonts w:ascii="仿宋_GB2312" w:eastAsia="仿宋_GB2312"/>
          <w:sz w:val="32"/>
          <w:szCs w:val="32"/>
          <w:lang w:eastAsia="zh-CN"/>
        </w:rPr>
        <w:t>中央直达资金</w:t>
      </w:r>
      <w:r>
        <w:rPr>
          <w:rFonts w:hint="eastAsia" w:ascii="仿宋_GB2312" w:eastAsia="仿宋_GB2312"/>
          <w:sz w:val="32"/>
          <w:szCs w:val="32"/>
          <w:lang w:eastAsia="zh-CN"/>
        </w:rPr>
        <w:t>)</w:t>
      </w:r>
      <w:r>
        <w:rPr>
          <w:rFonts w:ascii="仿宋_GB2312" w:eastAsia="仿宋_GB2312"/>
          <w:sz w:val="32"/>
          <w:szCs w:val="32"/>
          <w:lang w:eastAsia="zh-CN"/>
        </w:rPr>
        <w:t>校舍安全保障项目经费、昌吉州教育项目州本级配套资金-班主任津贴项目经费</w:t>
      </w:r>
      <w:r>
        <w:rPr>
          <w:rFonts w:hint="eastAsia" w:ascii="仿宋_GB2312" w:eastAsia="仿宋_GB2312"/>
          <w:sz w:val="32"/>
          <w:szCs w:val="32"/>
          <w:lang w:eastAsia="zh-CN"/>
        </w:rPr>
        <w:t>等</w:t>
      </w:r>
      <w:r>
        <w:rPr>
          <w:rFonts w:ascii="仿宋_GB2312" w:eastAsia="仿宋_GB2312"/>
          <w:sz w:val="32"/>
          <w:szCs w:val="32"/>
          <w:lang w:eastAsia="zh-CN"/>
        </w:rPr>
        <w:t>。</w:t>
      </w:r>
    </w:p>
    <w:p w14:paraId="6CE235B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22.63万元，比上年决算减少36.23万元，下降61.55%，主要原因是：单位本年一次性职业年金缴费较上年减少。</w:t>
      </w:r>
    </w:p>
    <w:p w14:paraId="3D32EDF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5DF0F3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1,841.76万元，其中：人员经费1,807.15万元，包括：基本工资、津贴补贴、奖金、绩效工资、机关事业单位基本养老保险缴费、职业年金缴费、职工基本医疗保险缴费、公务员医疗补助缴费、其他社会保障缴费、住房公积金、其他工资福利支出、退休费和奖励金。</w:t>
      </w:r>
    </w:p>
    <w:p w14:paraId="3956A01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公用经费34.61万元，包括：办公费、取暖费、劳务费、公务用车运行维护费和其他商品和服务支出。</w:t>
      </w:r>
    </w:p>
    <w:p w14:paraId="4B47A12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15FDAA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2024年度政府性基金预算财政拨款收入总计12.00万元，其中：年初结转和结余0.00万元，本年收入12.00万元。政府性基金预算财政拨款支出总计12.00万元，其中：年末结转和结余0.00万元，本年支出12.00万元。</w:t>
      </w:r>
    </w:p>
    <w:p w14:paraId="3F7B76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政府性基金预算财政拨款收入支出总体与上年相比，增加12.00万元，增长100%，主要原因是：</w:t>
      </w:r>
      <w:r>
        <w:rPr>
          <w:rFonts w:hint="eastAsia" w:ascii="仿宋_GB2312" w:eastAsia="仿宋_GB2312"/>
          <w:sz w:val="32"/>
          <w:szCs w:val="32"/>
          <w:lang w:eastAsia="zh-CN"/>
        </w:rPr>
        <w:t>单位本年增加体育传统特色学校[项目]补助资金</w:t>
      </w:r>
      <w:r>
        <w:rPr>
          <w:rFonts w:ascii="仿宋_GB2312" w:eastAsia="仿宋_GB2312"/>
          <w:sz w:val="32"/>
          <w:szCs w:val="32"/>
          <w:lang w:eastAsia="zh-CN"/>
        </w:rPr>
        <w:t>。与年初预算相比，年初预算数12.00万元，决算数12.00万元，预决算差异率0.00%，主要原因是：严格按照预算执行，预决算对比无差异。</w:t>
      </w:r>
    </w:p>
    <w:p w14:paraId="7E7B63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政府性基金预算财政拨款支出12.00万元。</w:t>
      </w:r>
    </w:p>
    <w:p w14:paraId="5E94DF8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1、其他支出（类）彩票公益金安排的支出（款）用于体育事业的彩票公益金支出（项）：支出决算数为12.00万元，比上年决算增加12.00万元，增长100.00%，主要原因是：</w:t>
      </w:r>
      <w:r>
        <w:rPr>
          <w:rFonts w:hint="eastAsia" w:ascii="仿宋_GB2312" w:eastAsia="仿宋_GB2312"/>
          <w:sz w:val="32"/>
          <w:szCs w:val="32"/>
          <w:lang w:eastAsia="zh-CN"/>
        </w:rPr>
        <w:t>单位本年增加体育传统特色学校[项目]补助资金</w:t>
      </w:r>
      <w:r>
        <w:rPr>
          <w:rFonts w:ascii="仿宋_GB2312" w:eastAsia="仿宋_GB2312"/>
          <w:sz w:val="32"/>
          <w:szCs w:val="32"/>
          <w:lang w:eastAsia="zh-CN"/>
        </w:rPr>
        <w:t>。</w:t>
      </w:r>
    </w:p>
    <w:p w14:paraId="105092E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7E20F66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19A57C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926B00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2024年度财政拨款“三公”经费支出0.50万元，比上年减少0.02万元，下降3.85%，主要原因是：</w:t>
      </w:r>
      <w:bookmarkStart w:id="0" w:name="_Hlk207715267"/>
      <w:r>
        <w:rPr>
          <w:rFonts w:hint="eastAsia" w:ascii="仿宋_GB2312" w:eastAsia="仿宋_GB2312"/>
          <w:sz w:val="32"/>
          <w:szCs w:val="32"/>
          <w:lang w:eastAsia="zh-CN"/>
        </w:rPr>
        <w:t>减少车辆出行，车辆维修费、燃油费等较上年减少</w:t>
      </w:r>
      <w:bookmarkEnd w:id="0"/>
      <w:r>
        <w:rPr>
          <w:rFonts w:ascii="仿宋_GB2312" w:eastAsia="仿宋_GB2312"/>
          <w:sz w:val="32"/>
          <w:szCs w:val="32"/>
          <w:lang w:eastAsia="zh-CN"/>
        </w:rPr>
        <w:t>。其中：因公出国（境）费支出0.00万元,占0.00%，与上年相比无变化，主要原因是：</w:t>
      </w:r>
      <w:bookmarkStart w:id="1" w:name="_Hlk207143847"/>
      <w:r>
        <w:rPr>
          <w:rFonts w:hint="eastAsia" w:ascii="仿宋_GB2312" w:eastAsia="仿宋_GB2312"/>
          <w:sz w:val="32"/>
          <w:szCs w:val="32"/>
          <w:lang w:eastAsia="zh-CN"/>
        </w:rPr>
        <w:t>我单位上年度与本年度均无此项经费</w:t>
      </w:r>
      <w:bookmarkEnd w:id="1"/>
      <w:r>
        <w:rPr>
          <w:rFonts w:ascii="仿宋_GB2312" w:eastAsia="仿宋_GB2312"/>
          <w:sz w:val="32"/>
          <w:szCs w:val="32"/>
          <w:lang w:eastAsia="zh-CN"/>
        </w:rPr>
        <w:t>；公务用车购置及运行维护费支出0.50万元，占100.00%，比上年减少0.02万元，下降3.85%，主要原因是：</w:t>
      </w:r>
      <w:r>
        <w:rPr>
          <w:rFonts w:hint="eastAsia" w:ascii="仿宋_GB2312" w:eastAsia="仿宋_GB2312"/>
          <w:sz w:val="32"/>
          <w:szCs w:val="32"/>
          <w:lang w:eastAsia="zh-CN"/>
        </w:rPr>
        <w:t>减少车辆出行</w:t>
      </w:r>
      <w:r>
        <w:rPr>
          <w:rFonts w:hint="eastAsia" w:ascii="仿宋_GB2312" w:eastAsia="仿宋_GB2312"/>
          <w:sz w:val="32"/>
          <w:szCs w:val="32"/>
          <w:lang w:val="en-US" w:eastAsia="zh-CN"/>
        </w:rPr>
        <w:t>次数</w:t>
      </w:r>
      <w:r>
        <w:rPr>
          <w:rFonts w:hint="eastAsia" w:ascii="仿宋_GB2312" w:eastAsia="仿宋_GB2312"/>
          <w:sz w:val="32"/>
          <w:szCs w:val="32"/>
          <w:lang w:eastAsia="zh-CN"/>
        </w:rPr>
        <w:t>，车辆维修费、燃油费等较上年减少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C3BFFF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4D7978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4DDBCB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公务用车购置及运行维护费0.50万元，其中：公务用车购置费0.00万元，公务用车运行维护费0.50万元。公务用车运行维护费开支内容包括</w:t>
      </w:r>
      <w:bookmarkStart w:id="2" w:name="_Hlk207708128"/>
      <w:r>
        <w:rPr>
          <w:rFonts w:hint="eastAsia" w:ascii="仿宋_GB2312" w:eastAsia="仿宋_GB2312"/>
          <w:sz w:val="32"/>
          <w:szCs w:val="32"/>
          <w:lang w:eastAsia="zh-CN"/>
        </w:rPr>
        <w:t>公务用车维修维护费、燃油费、保险费、过路费等</w:t>
      </w:r>
      <w:bookmarkEnd w:id="2"/>
      <w:r>
        <w:rPr>
          <w:rFonts w:ascii="仿宋_GB2312" w:eastAsia="仿宋_GB2312"/>
          <w:sz w:val="32"/>
          <w:szCs w:val="32"/>
          <w:lang w:eastAsia="zh-CN"/>
        </w:rPr>
        <w:t>。公务用车购置数0辆，公务用车保有量1辆。国有资产占用情况中固定资产车辆1辆，与公务用车保有量差异原因是：</w:t>
      </w:r>
      <w:bookmarkStart w:id="3" w:name="_Hlk207143898"/>
      <w:r>
        <w:rPr>
          <w:rFonts w:hint="eastAsia" w:ascii="仿宋_GB2312" w:eastAsia="仿宋_GB2312"/>
          <w:sz w:val="32"/>
          <w:szCs w:val="32"/>
          <w:lang w:eastAsia="zh-CN"/>
        </w:rPr>
        <w:t>本单位固定资产车辆与公务用车保有量一致无差异</w:t>
      </w:r>
      <w:bookmarkEnd w:id="3"/>
      <w:r>
        <w:rPr>
          <w:rFonts w:ascii="仿宋_GB2312" w:eastAsia="仿宋_GB2312"/>
          <w:sz w:val="32"/>
          <w:szCs w:val="32"/>
          <w:lang w:eastAsia="zh-CN"/>
        </w:rPr>
        <w:t>。</w:t>
      </w:r>
    </w:p>
    <w:p w14:paraId="040CDC0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7C62AC7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与全年预算相比，财政拨款“三公”经费支出全年预算数2.40万元，决算数0.50万元，预决算差异率-79.17%，主要原因是：</w:t>
      </w:r>
      <w:r>
        <w:rPr>
          <w:rFonts w:hint="eastAsia" w:ascii="仿宋_GB2312" w:eastAsia="仿宋_GB2312"/>
          <w:sz w:val="32"/>
          <w:szCs w:val="32"/>
          <w:lang w:eastAsia="zh-CN"/>
        </w:rPr>
        <w:t>单位本年车辆维修费、燃油费等实际发生金额小于年初预算安排金额</w:t>
      </w:r>
      <w:r>
        <w:rPr>
          <w:rFonts w:ascii="仿宋_GB2312" w:eastAsia="仿宋_GB2312"/>
          <w:sz w:val="32"/>
          <w:szCs w:val="32"/>
          <w:lang w:eastAsia="zh-CN"/>
        </w:rPr>
        <w:t>。其中：因公出国（境）费全年预算数0.00万元，决算数0.00万元，预决算差异率0.00%，主要原因是：</w:t>
      </w:r>
      <w:bookmarkStart w:id="4" w:name="_Hlk207142995"/>
      <w:r>
        <w:rPr>
          <w:rFonts w:hint="eastAsia" w:ascii="仿宋_GB2312" w:eastAsia="仿宋_GB2312"/>
          <w:sz w:val="32"/>
          <w:szCs w:val="32"/>
          <w:lang w:eastAsia="zh-CN"/>
        </w:rPr>
        <w:t>严格按照预算执行，预决算对比无差异</w:t>
      </w:r>
      <w:bookmarkEnd w:id="4"/>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；公务用车运行维护费全年预算数2.40万元，决算数0.50万元，预决算差异率-79.17%，主要原因是：</w:t>
      </w:r>
      <w:r>
        <w:rPr>
          <w:rFonts w:hint="eastAsia" w:ascii="仿宋_GB2312" w:eastAsia="仿宋_GB2312"/>
          <w:sz w:val="32"/>
          <w:szCs w:val="32"/>
          <w:lang w:eastAsia="zh-CN"/>
        </w:rPr>
        <w:t>单位本年车辆维修费、燃油费等实际发生金额小于年初预算安排金额</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08072C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0AC12D9E">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2FFFC5B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2024年度昌吉市第七小学单位（事业单位）公用经费支出34.61万元，比上年减少115.29万元，下降76.91%，主要原因是：单位本年办公费、取暖费</w:t>
      </w:r>
      <w:r>
        <w:rPr>
          <w:rFonts w:hint="eastAsia" w:ascii="仿宋_GB2312" w:eastAsia="仿宋_GB2312"/>
          <w:sz w:val="32"/>
          <w:szCs w:val="32"/>
          <w:lang w:eastAsia="zh-CN"/>
        </w:rPr>
        <w:t>、物业管理费及水电费等较上年</w:t>
      </w:r>
      <w:r>
        <w:rPr>
          <w:rFonts w:ascii="仿宋_GB2312" w:eastAsia="仿宋_GB2312"/>
          <w:sz w:val="32"/>
          <w:szCs w:val="32"/>
          <w:lang w:eastAsia="zh-CN"/>
        </w:rPr>
        <w:t>减少。</w:t>
      </w:r>
    </w:p>
    <w:p w14:paraId="0250C39E">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6F6D387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2024年度政府采购支出总额86.65万元，其中：政府采购货物支出24.52万元、政府采购工程支出10.00万元、政府采购服务支出52.12万元。</w:t>
      </w:r>
    </w:p>
    <w:p w14:paraId="4C1C5D0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授予中小企业合同金额86.65万元，</w:t>
      </w:r>
      <w:bookmarkStart w:id="7" w:name="_GoBack"/>
      <w:bookmarkEnd w:id="7"/>
      <w:r>
        <w:rPr>
          <w:rFonts w:ascii="仿宋_GB2312" w:eastAsia="仿宋_GB2312"/>
          <w:sz w:val="32"/>
          <w:szCs w:val="32"/>
          <w:lang w:eastAsia="zh-CN"/>
        </w:rPr>
        <w:t>占政府采购支出总额的100.00%，其中：授予小微企业合同金额86.65万元，占政府采购支出总额的100.00%。</w:t>
      </w:r>
    </w:p>
    <w:p w14:paraId="772931F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026E2CC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截至2024年12月31日，房屋14,595.92平方米，价值2,334.28万元。</w:t>
      </w:r>
      <w:r>
        <w:rPr>
          <w:rFonts w:ascii="仿宋_GB2312" w:eastAsia="仿宋_GB2312"/>
          <w:sz w:val="32"/>
          <w:szCs w:val="32"/>
          <w:lang w:eastAsia="zh-CN"/>
        </w:rPr>
        <w:t>车辆1辆，价值8.00万元，其中：副部（省）级及以上领导用车0辆、主要负责人用车0辆、机要通信用车0辆、应急保障用车0辆、执法执勤用车0辆、特种专业技术用车0辆、离退休干部服务用车0辆、其他用车1辆，其他用车主要是：校车;单价100万元（含）以上设备（不含车辆）0台（套）。</w:t>
      </w:r>
    </w:p>
    <w:p w14:paraId="57B82DD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FC3C51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根据预算绩效管理要求，本单位2024年度预算绩效管理形成整体支出绩效自评表1个，全年预算总额2,229</w:t>
      </w:r>
      <w:r>
        <w:rPr>
          <w:rFonts w:hint="eastAsia" w:ascii="仿宋_GB2312" w:eastAsia="仿宋_GB2312"/>
          <w:sz w:val="32"/>
          <w:szCs w:val="32"/>
          <w:lang w:eastAsia="zh-CN"/>
        </w:rPr>
        <w:t>.00</w:t>
      </w:r>
      <w:r>
        <w:rPr>
          <w:rFonts w:ascii="仿宋_GB2312" w:eastAsia="仿宋_GB2312"/>
          <w:sz w:val="32"/>
          <w:szCs w:val="32"/>
          <w:lang w:eastAsia="zh-CN"/>
        </w:rPr>
        <w:t>万元，实际执行总额2,191.28万元；预算绩效评价项目1个，全年预算数</w:t>
      </w:r>
      <w:r>
        <w:rPr>
          <w:rFonts w:hint="eastAsia" w:ascii="仿宋_GB2312" w:eastAsia="仿宋_GB2312"/>
          <w:sz w:val="32"/>
          <w:szCs w:val="32"/>
          <w:lang w:eastAsia="zh-CN"/>
        </w:rPr>
        <w:t>12.00</w:t>
      </w:r>
      <w:r>
        <w:rPr>
          <w:rFonts w:ascii="仿宋_GB2312" w:eastAsia="仿宋_GB2312"/>
          <w:sz w:val="32"/>
          <w:szCs w:val="32"/>
          <w:lang w:eastAsia="zh-CN"/>
        </w:rPr>
        <w:t>万元，全年执行数</w:t>
      </w:r>
      <w:r>
        <w:rPr>
          <w:rFonts w:hint="eastAsia" w:ascii="仿宋_GB2312" w:eastAsia="仿宋_GB2312"/>
          <w:sz w:val="32"/>
          <w:szCs w:val="32"/>
          <w:lang w:eastAsia="zh-CN"/>
        </w:rPr>
        <w:t>12.00</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7639D4FF">
      <w:pPr>
        <w:rPr>
          <w:rFonts w:hint="eastAsia" w:ascii="宋体" w:hAnsi="宋体" w:eastAsia="宋体" w:cs="宋体"/>
          <w:b/>
          <w:bCs/>
          <w:sz w:val="18"/>
          <w:szCs w:val="18"/>
          <w:lang w:eastAsia="zh-CN"/>
        </w:rPr>
      </w:pPr>
      <w:bookmarkStart w:id="5" w:name="_Hlk201836110"/>
    </w:p>
    <w:p w14:paraId="23AD2616">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449ADFC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67AE9BB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486A6B7">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CB6656A">
            <w:pPr>
              <w:jc w:val="center"/>
              <w:rPr>
                <w:rFonts w:hint="eastAsia" w:ascii="宋体" w:hAnsi="宋体" w:eastAsia="宋体" w:cs="宋体"/>
                <w:b/>
                <w:bCs/>
                <w:sz w:val="18"/>
                <w:szCs w:val="18"/>
              </w:rPr>
            </w:pPr>
            <w:r>
              <w:rPr>
                <w:rFonts w:hint="eastAsia" w:ascii="宋体" w:hAnsi="宋体" w:eastAsia="宋体" w:cs="宋体"/>
                <w:b/>
                <w:bCs/>
                <w:sz w:val="18"/>
                <w:szCs w:val="18"/>
              </w:rPr>
              <w:t>昌吉市第七小学</w:t>
            </w:r>
          </w:p>
        </w:tc>
        <w:tc>
          <w:tcPr>
            <w:tcW w:w="284" w:type="dxa"/>
            <w:tcBorders>
              <w:top w:val="nil"/>
              <w:left w:val="nil"/>
              <w:bottom w:val="nil"/>
              <w:right w:val="nil"/>
            </w:tcBorders>
            <w:noWrap/>
            <w:vAlign w:val="center"/>
          </w:tcPr>
          <w:p w14:paraId="3C5D706B">
            <w:pPr>
              <w:rPr>
                <w:rFonts w:hint="eastAsia" w:ascii="宋体" w:hAnsi="宋体" w:eastAsia="宋体" w:cs="宋体"/>
                <w:b/>
                <w:bCs/>
                <w:sz w:val="18"/>
                <w:szCs w:val="18"/>
              </w:rPr>
            </w:pPr>
          </w:p>
        </w:tc>
      </w:tr>
      <w:tr w14:paraId="31EE426D">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0981245">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501BEA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EFBE17D">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6006439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6B5ACC44">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55B4E8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AE16F2E">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573307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F184A7C">
            <w:pPr>
              <w:jc w:val="center"/>
              <w:rPr>
                <w:rFonts w:hint="eastAsia" w:ascii="宋体" w:hAnsi="宋体" w:eastAsia="宋体" w:cs="宋体"/>
                <w:b/>
                <w:bCs/>
                <w:sz w:val="18"/>
                <w:szCs w:val="18"/>
              </w:rPr>
            </w:pPr>
          </w:p>
        </w:tc>
      </w:tr>
      <w:tr w14:paraId="4C3BD6C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771F1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0F0D135">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5196B0E6">
            <w:pPr>
              <w:jc w:val="center"/>
              <w:rPr>
                <w:rFonts w:hint="eastAsia" w:ascii="宋体" w:hAnsi="宋体" w:eastAsia="宋体" w:cs="宋体"/>
                <w:sz w:val="18"/>
                <w:szCs w:val="18"/>
              </w:rPr>
            </w:pPr>
            <w:r>
              <w:rPr>
                <w:rFonts w:hint="eastAsia" w:ascii="宋体" w:hAnsi="宋体" w:eastAsia="宋体" w:cs="宋体"/>
                <w:sz w:val="18"/>
                <w:szCs w:val="18"/>
              </w:rPr>
              <w:t>12.00</w:t>
            </w:r>
          </w:p>
        </w:tc>
        <w:tc>
          <w:tcPr>
            <w:tcW w:w="1242" w:type="dxa"/>
            <w:tcBorders>
              <w:top w:val="nil"/>
              <w:left w:val="nil"/>
              <w:bottom w:val="single" w:color="auto" w:sz="4" w:space="0"/>
              <w:right w:val="single" w:color="auto" w:sz="4" w:space="0"/>
            </w:tcBorders>
            <w:vAlign w:val="center"/>
          </w:tcPr>
          <w:p w14:paraId="1D0D4ECF">
            <w:pPr>
              <w:jc w:val="center"/>
              <w:rPr>
                <w:rFonts w:hint="eastAsia" w:ascii="宋体" w:hAnsi="宋体" w:eastAsia="宋体" w:cs="宋体"/>
                <w:sz w:val="18"/>
                <w:szCs w:val="18"/>
              </w:rPr>
            </w:pPr>
            <w:r>
              <w:rPr>
                <w:rFonts w:hint="eastAsia" w:ascii="宋体" w:hAnsi="宋体" w:eastAsia="宋体" w:cs="宋体"/>
                <w:sz w:val="18"/>
                <w:szCs w:val="18"/>
              </w:rPr>
              <w:t>202.67</w:t>
            </w:r>
          </w:p>
        </w:tc>
        <w:tc>
          <w:tcPr>
            <w:tcW w:w="1417" w:type="dxa"/>
            <w:tcBorders>
              <w:top w:val="nil"/>
              <w:left w:val="nil"/>
              <w:bottom w:val="single" w:color="auto" w:sz="4" w:space="0"/>
              <w:right w:val="single" w:color="auto" w:sz="4" w:space="0"/>
            </w:tcBorders>
            <w:vAlign w:val="center"/>
          </w:tcPr>
          <w:p w14:paraId="22951A37">
            <w:pPr>
              <w:jc w:val="center"/>
              <w:rPr>
                <w:rFonts w:hint="eastAsia" w:ascii="宋体" w:hAnsi="宋体" w:eastAsia="宋体" w:cs="宋体"/>
                <w:sz w:val="18"/>
                <w:szCs w:val="18"/>
              </w:rPr>
            </w:pPr>
            <w:r>
              <w:rPr>
                <w:rFonts w:hint="eastAsia" w:ascii="宋体" w:hAnsi="宋体" w:eastAsia="宋体" w:cs="宋体"/>
                <w:sz w:val="18"/>
                <w:szCs w:val="18"/>
              </w:rPr>
              <w:t>202.67</w:t>
            </w:r>
          </w:p>
        </w:tc>
        <w:tc>
          <w:tcPr>
            <w:tcW w:w="1134" w:type="dxa"/>
            <w:tcBorders>
              <w:top w:val="nil"/>
              <w:left w:val="nil"/>
              <w:bottom w:val="single" w:color="auto" w:sz="4" w:space="0"/>
              <w:right w:val="single" w:color="auto" w:sz="4" w:space="0"/>
            </w:tcBorders>
            <w:vAlign w:val="center"/>
          </w:tcPr>
          <w:p w14:paraId="4D1B809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33217EDE">
            <w:pPr>
              <w:jc w:val="center"/>
              <w:rPr>
                <w:rFonts w:hint="eastAsia" w:ascii="宋体" w:hAnsi="宋体" w:eastAsia="宋体" w:cs="宋体"/>
                <w:sz w:val="18"/>
                <w:szCs w:val="18"/>
              </w:rPr>
            </w:pPr>
            <w:r>
              <w:rPr>
                <w:rFonts w:hint="eastAsia" w:ascii="宋体" w:hAnsi="宋体" w:eastAsia="宋体" w:cs="宋体"/>
                <w:sz w:val="18"/>
                <w:szCs w:val="18"/>
              </w:rPr>
              <w:t>98.31%</w:t>
            </w:r>
          </w:p>
        </w:tc>
        <w:tc>
          <w:tcPr>
            <w:tcW w:w="720" w:type="dxa"/>
            <w:tcBorders>
              <w:top w:val="nil"/>
              <w:left w:val="nil"/>
              <w:bottom w:val="single" w:color="auto" w:sz="4" w:space="0"/>
              <w:right w:val="single" w:color="auto" w:sz="4" w:space="0"/>
            </w:tcBorders>
            <w:vAlign w:val="center"/>
          </w:tcPr>
          <w:p w14:paraId="270CEC35">
            <w:pPr>
              <w:jc w:val="center"/>
              <w:rPr>
                <w:rFonts w:hint="eastAsia" w:ascii="宋体" w:hAnsi="宋体" w:eastAsia="宋体" w:cs="宋体"/>
                <w:sz w:val="18"/>
                <w:szCs w:val="18"/>
              </w:rPr>
            </w:pPr>
            <w:r>
              <w:rPr>
                <w:rFonts w:hint="eastAsia" w:ascii="宋体" w:hAnsi="宋体" w:eastAsia="宋体" w:cs="宋体"/>
                <w:sz w:val="18"/>
                <w:szCs w:val="18"/>
              </w:rPr>
              <w:t>9.83</w:t>
            </w:r>
          </w:p>
        </w:tc>
        <w:tc>
          <w:tcPr>
            <w:tcW w:w="284" w:type="dxa"/>
            <w:tcBorders>
              <w:top w:val="nil"/>
              <w:left w:val="nil"/>
              <w:bottom w:val="nil"/>
              <w:right w:val="nil"/>
            </w:tcBorders>
            <w:noWrap/>
            <w:vAlign w:val="center"/>
          </w:tcPr>
          <w:p w14:paraId="35CE73C3">
            <w:pPr>
              <w:jc w:val="center"/>
              <w:rPr>
                <w:rFonts w:hint="eastAsia" w:ascii="宋体" w:hAnsi="宋体" w:eastAsia="宋体" w:cs="宋体"/>
                <w:b/>
                <w:bCs/>
                <w:sz w:val="18"/>
                <w:szCs w:val="18"/>
              </w:rPr>
            </w:pPr>
          </w:p>
        </w:tc>
      </w:tr>
      <w:tr w14:paraId="1FE5CE5F">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EAA9EE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29FCAC1">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27323418">
            <w:pPr>
              <w:jc w:val="center"/>
              <w:rPr>
                <w:rFonts w:hint="eastAsia" w:ascii="宋体" w:hAnsi="宋体" w:eastAsia="宋体" w:cs="宋体"/>
                <w:sz w:val="18"/>
                <w:szCs w:val="18"/>
              </w:rPr>
            </w:pPr>
            <w:r>
              <w:rPr>
                <w:rFonts w:hint="eastAsia" w:ascii="宋体" w:hAnsi="宋体" w:eastAsia="宋体" w:cs="宋体"/>
                <w:sz w:val="18"/>
                <w:szCs w:val="18"/>
              </w:rPr>
              <w:t>1,744.93</w:t>
            </w:r>
          </w:p>
        </w:tc>
        <w:tc>
          <w:tcPr>
            <w:tcW w:w="1242" w:type="dxa"/>
            <w:tcBorders>
              <w:top w:val="nil"/>
              <w:left w:val="nil"/>
              <w:bottom w:val="single" w:color="auto" w:sz="4" w:space="0"/>
              <w:right w:val="single" w:color="auto" w:sz="4" w:space="0"/>
            </w:tcBorders>
            <w:vAlign w:val="center"/>
          </w:tcPr>
          <w:p w14:paraId="4C05385C">
            <w:pPr>
              <w:jc w:val="center"/>
              <w:rPr>
                <w:rFonts w:hint="eastAsia" w:ascii="宋体" w:hAnsi="宋体" w:eastAsia="宋体" w:cs="宋体"/>
                <w:sz w:val="18"/>
                <w:szCs w:val="18"/>
              </w:rPr>
            </w:pPr>
            <w:r>
              <w:rPr>
                <w:rFonts w:hint="eastAsia" w:ascii="宋体" w:hAnsi="宋体" w:eastAsia="宋体" w:cs="宋体"/>
                <w:sz w:val="18"/>
                <w:szCs w:val="18"/>
              </w:rPr>
              <w:t>2,026.33</w:t>
            </w:r>
          </w:p>
        </w:tc>
        <w:tc>
          <w:tcPr>
            <w:tcW w:w="1417" w:type="dxa"/>
            <w:tcBorders>
              <w:top w:val="nil"/>
              <w:left w:val="nil"/>
              <w:bottom w:val="single" w:color="auto" w:sz="4" w:space="0"/>
              <w:right w:val="single" w:color="auto" w:sz="4" w:space="0"/>
            </w:tcBorders>
            <w:vAlign w:val="center"/>
          </w:tcPr>
          <w:p w14:paraId="7F5011BC">
            <w:pPr>
              <w:jc w:val="center"/>
              <w:rPr>
                <w:rFonts w:hint="eastAsia" w:ascii="宋体" w:hAnsi="宋体" w:eastAsia="宋体" w:cs="宋体"/>
                <w:sz w:val="18"/>
                <w:szCs w:val="18"/>
              </w:rPr>
            </w:pPr>
            <w:r>
              <w:rPr>
                <w:rFonts w:hint="eastAsia" w:ascii="宋体" w:hAnsi="宋体" w:eastAsia="宋体" w:cs="宋体"/>
                <w:sz w:val="18"/>
                <w:szCs w:val="18"/>
              </w:rPr>
              <w:t>1,988.61</w:t>
            </w:r>
          </w:p>
        </w:tc>
        <w:tc>
          <w:tcPr>
            <w:tcW w:w="1134" w:type="dxa"/>
            <w:tcBorders>
              <w:top w:val="nil"/>
              <w:left w:val="nil"/>
              <w:bottom w:val="single" w:color="auto" w:sz="4" w:space="0"/>
              <w:right w:val="single" w:color="auto" w:sz="4" w:space="0"/>
            </w:tcBorders>
            <w:vAlign w:val="center"/>
          </w:tcPr>
          <w:p w14:paraId="3DC56437">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8A262D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8B6387A">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1A19BE1">
            <w:pPr>
              <w:jc w:val="center"/>
              <w:rPr>
                <w:rFonts w:hint="eastAsia" w:ascii="宋体" w:hAnsi="宋体" w:eastAsia="宋体" w:cs="宋体"/>
                <w:sz w:val="18"/>
                <w:szCs w:val="18"/>
              </w:rPr>
            </w:pPr>
          </w:p>
        </w:tc>
      </w:tr>
      <w:tr w14:paraId="143B670D">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E2ADED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DB4A1A5">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75AA1D3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1A2FC4D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35A00BC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7EFD12A">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2638213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25FC0A1">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E6DC56B">
            <w:pPr>
              <w:jc w:val="center"/>
              <w:rPr>
                <w:rFonts w:hint="eastAsia" w:ascii="宋体" w:hAnsi="宋体" w:eastAsia="宋体" w:cs="宋体"/>
                <w:sz w:val="18"/>
                <w:szCs w:val="18"/>
              </w:rPr>
            </w:pPr>
          </w:p>
        </w:tc>
      </w:tr>
      <w:tr w14:paraId="0505C074">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ED14A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33DDD40">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675DBBE3">
            <w:pPr>
              <w:jc w:val="center"/>
              <w:rPr>
                <w:rFonts w:hint="eastAsia" w:ascii="宋体" w:hAnsi="宋体" w:eastAsia="宋体" w:cs="宋体"/>
                <w:sz w:val="18"/>
                <w:szCs w:val="18"/>
              </w:rPr>
            </w:pPr>
            <w:r>
              <w:rPr>
                <w:rFonts w:hint="eastAsia" w:ascii="宋体" w:hAnsi="宋体" w:eastAsia="宋体" w:cs="宋体"/>
                <w:sz w:val="18"/>
                <w:szCs w:val="18"/>
              </w:rPr>
              <w:t>1,756.93</w:t>
            </w:r>
          </w:p>
        </w:tc>
        <w:tc>
          <w:tcPr>
            <w:tcW w:w="1242" w:type="dxa"/>
            <w:tcBorders>
              <w:top w:val="nil"/>
              <w:left w:val="nil"/>
              <w:bottom w:val="single" w:color="auto" w:sz="4" w:space="0"/>
              <w:right w:val="single" w:color="auto" w:sz="4" w:space="0"/>
            </w:tcBorders>
            <w:vAlign w:val="center"/>
          </w:tcPr>
          <w:p w14:paraId="11FDD2ED">
            <w:pPr>
              <w:jc w:val="center"/>
              <w:rPr>
                <w:rFonts w:hint="eastAsia" w:ascii="宋体" w:hAnsi="宋体" w:eastAsia="宋体" w:cs="宋体"/>
                <w:sz w:val="18"/>
                <w:szCs w:val="18"/>
              </w:rPr>
            </w:pPr>
            <w:r>
              <w:rPr>
                <w:rFonts w:hint="eastAsia" w:ascii="宋体" w:hAnsi="宋体" w:eastAsia="宋体" w:cs="宋体"/>
                <w:sz w:val="18"/>
                <w:szCs w:val="18"/>
              </w:rPr>
              <w:t>2,229.00</w:t>
            </w:r>
          </w:p>
        </w:tc>
        <w:tc>
          <w:tcPr>
            <w:tcW w:w="1417" w:type="dxa"/>
            <w:tcBorders>
              <w:top w:val="nil"/>
              <w:left w:val="nil"/>
              <w:bottom w:val="single" w:color="auto" w:sz="4" w:space="0"/>
              <w:right w:val="single" w:color="auto" w:sz="4" w:space="0"/>
            </w:tcBorders>
            <w:vAlign w:val="center"/>
          </w:tcPr>
          <w:p w14:paraId="5191914F">
            <w:pPr>
              <w:jc w:val="center"/>
              <w:rPr>
                <w:rFonts w:hint="eastAsia" w:ascii="宋体" w:hAnsi="宋体" w:eastAsia="宋体" w:cs="宋体"/>
                <w:sz w:val="18"/>
                <w:szCs w:val="18"/>
              </w:rPr>
            </w:pPr>
            <w:r>
              <w:rPr>
                <w:rFonts w:hint="eastAsia" w:ascii="宋体" w:hAnsi="宋体" w:eastAsia="宋体" w:cs="宋体"/>
                <w:sz w:val="18"/>
                <w:szCs w:val="18"/>
              </w:rPr>
              <w:t>2,191.28</w:t>
            </w:r>
          </w:p>
        </w:tc>
        <w:tc>
          <w:tcPr>
            <w:tcW w:w="1134" w:type="dxa"/>
            <w:tcBorders>
              <w:top w:val="nil"/>
              <w:left w:val="nil"/>
              <w:bottom w:val="single" w:color="auto" w:sz="4" w:space="0"/>
              <w:right w:val="single" w:color="auto" w:sz="4" w:space="0"/>
            </w:tcBorders>
            <w:vAlign w:val="center"/>
          </w:tcPr>
          <w:p w14:paraId="58805AEA">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F2CAD55">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002660E">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711E832">
            <w:pPr>
              <w:jc w:val="center"/>
              <w:rPr>
                <w:rFonts w:hint="eastAsia" w:ascii="宋体" w:hAnsi="宋体" w:eastAsia="宋体" w:cs="宋体"/>
                <w:sz w:val="18"/>
                <w:szCs w:val="18"/>
              </w:rPr>
            </w:pPr>
          </w:p>
        </w:tc>
      </w:tr>
      <w:tr w14:paraId="6C937733">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8B4CDF9">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5B4EAD4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7459BB14">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316AE301">
            <w:pPr>
              <w:rPr>
                <w:rFonts w:hint="eastAsia" w:ascii="宋体" w:hAnsi="宋体" w:eastAsia="宋体" w:cs="宋体"/>
                <w:b/>
                <w:bCs/>
                <w:sz w:val="18"/>
                <w:szCs w:val="18"/>
              </w:rPr>
            </w:pPr>
          </w:p>
        </w:tc>
      </w:tr>
      <w:tr w14:paraId="5BA28A71">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50D78F">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686A88DA">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目标1:完成在校学生教育1735人，提高昌吉市教育水平；目标2:完成学年内学生结业人数320人，达成教育教学的目标；目标3：完成学年内新入学学生251人，解决就学问题。</w:t>
            </w:r>
          </w:p>
        </w:tc>
        <w:tc>
          <w:tcPr>
            <w:tcW w:w="4581" w:type="dxa"/>
            <w:gridSpan w:val="4"/>
            <w:tcBorders>
              <w:top w:val="single" w:color="auto" w:sz="4" w:space="0"/>
              <w:left w:val="nil"/>
              <w:bottom w:val="single" w:color="auto" w:sz="4" w:space="0"/>
              <w:right w:val="single" w:color="auto" w:sz="4" w:space="0"/>
            </w:tcBorders>
          </w:tcPr>
          <w:p w14:paraId="5A10EF6E">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目标1:完成在校学生教育1735人，提高昌吉市教育水平；目标2:完成学年内学生结业人数320人，达成教育教学的目标；目标3：完成学年内新入学学生251人，解决就学问题。</w:t>
            </w:r>
          </w:p>
        </w:tc>
        <w:tc>
          <w:tcPr>
            <w:tcW w:w="284" w:type="dxa"/>
            <w:tcBorders>
              <w:top w:val="nil"/>
              <w:left w:val="nil"/>
              <w:bottom w:val="nil"/>
              <w:right w:val="nil"/>
            </w:tcBorders>
            <w:noWrap/>
            <w:vAlign w:val="center"/>
          </w:tcPr>
          <w:p w14:paraId="56BE3FCD">
            <w:pPr>
              <w:rPr>
                <w:rFonts w:hint="eastAsia" w:ascii="宋体" w:hAnsi="宋体" w:eastAsia="宋体" w:cs="宋体"/>
                <w:sz w:val="18"/>
                <w:szCs w:val="18"/>
                <w:lang w:eastAsia="zh-CN"/>
              </w:rPr>
            </w:pPr>
          </w:p>
        </w:tc>
      </w:tr>
      <w:tr w14:paraId="2DB0646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5A5EB45">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93F5DDA">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F005F58">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6C568311">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4DEF03AF">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56D289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27BBF949">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71572EB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8A85ACE">
            <w:pPr>
              <w:rPr>
                <w:rFonts w:hint="eastAsia" w:ascii="宋体" w:hAnsi="宋体" w:eastAsia="宋体" w:cs="宋体"/>
                <w:b/>
                <w:bCs/>
                <w:sz w:val="18"/>
                <w:szCs w:val="18"/>
              </w:rPr>
            </w:pPr>
          </w:p>
        </w:tc>
      </w:tr>
      <w:tr w14:paraId="6F3A3963">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307CB62">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D1248E4">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18327F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完成在校学生培养人数</w:t>
            </w:r>
          </w:p>
        </w:tc>
        <w:tc>
          <w:tcPr>
            <w:tcW w:w="1242" w:type="dxa"/>
            <w:tcBorders>
              <w:top w:val="nil"/>
              <w:left w:val="nil"/>
              <w:bottom w:val="single" w:color="auto" w:sz="4" w:space="0"/>
              <w:right w:val="single" w:color="auto" w:sz="4" w:space="0"/>
            </w:tcBorders>
            <w:noWrap/>
            <w:vAlign w:val="center"/>
          </w:tcPr>
          <w:p w14:paraId="1FA055F1">
            <w:pPr>
              <w:jc w:val="center"/>
              <w:rPr>
                <w:rFonts w:hint="eastAsia" w:ascii="宋体" w:hAnsi="宋体" w:eastAsia="宋体" w:cs="宋体"/>
                <w:sz w:val="18"/>
                <w:szCs w:val="18"/>
              </w:rPr>
            </w:pPr>
            <w:r>
              <w:rPr>
                <w:rFonts w:hint="eastAsia" w:ascii="宋体" w:hAnsi="宋体" w:eastAsia="宋体" w:cs="宋体"/>
                <w:sz w:val="18"/>
                <w:szCs w:val="18"/>
              </w:rPr>
              <w:t>=1735人</w:t>
            </w:r>
          </w:p>
        </w:tc>
        <w:tc>
          <w:tcPr>
            <w:tcW w:w="1417" w:type="dxa"/>
            <w:tcBorders>
              <w:top w:val="nil"/>
              <w:left w:val="nil"/>
              <w:bottom w:val="single" w:color="auto" w:sz="4" w:space="0"/>
              <w:right w:val="single" w:color="auto" w:sz="4" w:space="0"/>
            </w:tcBorders>
            <w:noWrap/>
            <w:vAlign w:val="center"/>
          </w:tcPr>
          <w:p w14:paraId="650DCF06">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5DCC01AA">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7668CF3D">
            <w:pPr>
              <w:jc w:val="center"/>
              <w:rPr>
                <w:rFonts w:hint="eastAsia" w:ascii="宋体" w:hAnsi="宋体" w:eastAsia="宋体" w:cs="宋体"/>
                <w:sz w:val="18"/>
                <w:szCs w:val="18"/>
              </w:rPr>
            </w:pPr>
            <w:r>
              <w:rPr>
                <w:rFonts w:hint="eastAsia" w:ascii="宋体" w:hAnsi="宋体" w:eastAsia="宋体" w:cs="宋体"/>
                <w:sz w:val="18"/>
                <w:szCs w:val="18"/>
              </w:rPr>
              <w:t>1735人</w:t>
            </w:r>
          </w:p>
        </w:tc>
        <w:tc>
          <w:tcPr>
            <w:tcW w:w="720" w:type="dxa"/>
            <w:tcBorders>
              <w:top w:val="nil"/>
              <w:left w:val="nil"/>
              <w:bottom w:val="single" w:color="auto" w:sz="4" w:space="0"/>
              <w:right w:val="single" w:color="auto" w:sz="4" w:space="0"/>
            </w:tcBorders>
            <w:noWrap/>
            <w:vAlign w:val="center"/>
          </w:tcPr>
          <w:p w14:paraId="2DE35A5C">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060E575D">
            <w:pPr>
              <w:jc w:val="center"/>
              <w:rPr>
                <w:rFonts w:hint="eastAsia" w:ascii="宋体" w:hAnsi="宋体" w:eastAsia="宋体" w:cs="宋体"/>
                <w:sz w:val="18"/>
                <w:szCs w:val="18"/>
              </w:rPr>
            </w:pPr>
          </w:p>
        </w:tc>
      </w:tr>
      <w:tr w14:paraId="45BBB9B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7B88A6B">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DA303A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1D04D9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完成学年内新入学学生人数</w:t>
            </w:r>
          </w:p>
        </w:tc>
        <w:tc>
          <w:tcPr>
            <w:tcW w:w="1242" w:type="dxa"/>
            <w:tcBorders>
              <w:top w:val="nil"/>
              <w:left w:val="nil"/>
              <w:bottom w:val="single" w:color="auto" w:sz="4" w:space="0"/>
              <w:right w:val="single" w:color="auto" w:sz="4" w:space="0"/>
            </w:tcBorders>
            <w:noWrap/>
            <w:vAlign w:val="center"/>
          </w:tcPr>
          <w:p w14:paraId="4F3DD34D">
            <w:pPr>
              <w:jc w:val="center"/>
              <w:rPr>
                <w:rFonts w:hint="eastAsia" w:ascii="宋体" w:hAnsi="宋体" w:eastAsia="宋体" w:cs="宋体"/>
                <w:sz w:val="18"/>
                <w:szCs w:val="18"/>
              </w:rPr>
            </w:pPr>
            <w:r>
              <w:rPr>
                <w:rFonts w:hint="eastAsia" w:ascii="宋体" w:hAnsi="宋体" w:eastAsia="宋体" w:cs="宋体"/>
                <w:sz w:val="18"/>
                <w:szCs w:val="18"/>
              </w:rPr>
              <w:t>=251人</w:t>
            </w:r>
          </w:p>
        </w:tc>
        <w:tc>
          <w:tcPr>
            <w:tcW w:w="1417" w:type="dxa"/>
            <w:tcBorders>
              <w:top w:val="nil"/>
              <w:left w:val="nil"/>
              <w:bottom w:val="single" w:color="auto" w:sz="4" w:space="0"/>
              <w:right w:val="single" w:color="auto" w:sz="4" w:space="0"/>
            </w:tcBorders>
            <w:noWrap/>
            <w:vAlign w:val="center"/>
          </w:tcPr>
          <w:p w14:paraId="11E02052">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5E449A1E">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08D950CF">
            <w:pPr>
              <w:jc w:val="center"/>
              <w:rPr>
                <w:rFonts w:hint="eastAsia" w:ascii="宋体" w:hAnsi="宋体" w:eastAsia="宋体" w:cs="宋体"/>
                <w:sz w:val="18"/>
                <w:szCs w:val="18"/>
              </w:rPr>
            </w:pPr>
            <w:r>
              <w:rPr>
                <w:rFonts w:hint="eastAsia" w:ascii="宋体" w:hAnsi="宋体" w:eastAsia="宋体" w:cs="宋体"/>
                <w:sz w:val="18"/>
                <w:szCs w:val="18"/>
              </w:rPr>
              <w:t>251人</w:t>
            </w:r>
          </w:p>
        </w:tc>
        <w:tc>
          <w:tcPr>
            <w:tcW w:w="720" w:type="dxa"/>
            <w:tcBorders>
              <w:top w:val="nil"/>
              <w:left w:val="nil"/>
              <w:bottom w:val="single" w:color="auto" w:sz="4" w:space="0"/>
              <w:right w:val="single" w:color="auto" w:sz="4" w:space="0"/>
            </w:tcBorders>
            <w:noWrap/>
            <w:vAlign w:val="center"/>
          </w:tcPr>
          <w:p w14:paraId="13FDDBDC">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0CE8456A">
            <w:pPr>
              <w:jc w:val="center"/>
              <w:rPr>
                <w:rFonts w:hint="eastAsia" w:ascii="宋体" w:hAnsi="宋体" w:eastAsia="宋体" w:cs="宋体"/>
                <w:sz w:val="18"/>
                <w:szCs w:val="18"/>
              </w:rPr>
            </w:pPr>
          </w:p>
        </w:tc>
      </w:tr>
      <w:tr w14:paraId="70472AB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DD082E3">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33A1D6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786B13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完成学年内结业学生人数</w:t>
            </w:r>
          </w:p>
        </w:tc>
        <w:tc>
          <w:tcPr>
            <w:tcW w:w="1242" w:type="dxa"/>
            <w:tcBorders>
              <w:top w:val="nil"/>
              <w:left w:val="nil"/>
              <w:bottom w:val="single" w:color="auto" w:sz="4" w:space="0"/>
              <w:right w:val="single" w:color="auto" w:sz="4" w:space="0"/>
            </w:tcBorders>
            <w:noWrap/>
            <w:vAlign w:val="center"/>
          </w:tcPr>
          <w:p w14:paraId="054958AF">
            <w:pPr>
              <w:jc w:val="center"/>
              <w:rPr>
                <w:rFonts w:hint="eastAsia" w:ascii="宋体" w:hAnsi="宋体" w:eastAsia="宋体" w:cs="宋体"/>
                <w:sz w:val="18"/>
                <w:szCs w:val="18"/>
              </w:rPr>
            </w:pPr>
            <w:r>
              <w:rPr>
                <w:rFonts w:hint="eastAsia" w:ascii="宋体" w:hAnsi="宋体" w:eastAsia="宋体" w:cs="宋体"/>
                <w:sz w:val="18"/>
                <w:szCs w:val="18"/>
              </w:rPr>
              <w:t>=320人</w:t>
            </w:r>
          </w:p>
        </w:tc>
        <w:tc>
          <w:tcPr>
            <w:tcW w:w="1417" w:type="dxa"/>
            <w:tcBorders>
              <w:top w:val="nil"/>
              <w:left w:val="nil"/>
              <w:bottom w:val="single" w:color="auto" w:sz="4" w:space="0"/>
              <w:right w:val="single" w:color="auto" w:sz="4" w:space="0"/>
            </w:tcBorders>
            <w:noWrap/>
            <w:vAlign w:val="center"/>
          </w:tcPr>
          <w:p w14:paraId="69DBF2FC">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36059D57">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1071ECBF">
            <w:pPr>
              <w:jc w:val="center"/>
              <w:rPr>
                <w:rFonts w:hint="eastAsia" w:ascii="宋体" w:hAnsi="宋体" w:eastAsia="宋体" w:cs="宋体"/>
                <w:sz w:val="18"/>
                <w:szCs w:val="18"/>
              </w:rPr>
            </w:pPr>
            <w:r>
              <w:rPr>
                <w:rFonts w:hint="eastAsia" w:ascii="宋体" w:hAnsi="宋体" w:eastAsia="宋体" w:cs="宋体"/>
                <w:sz w:val="18"/>
                <w:szCs w:val="18"/>
              </w:rPr>
              <w:t>320人</w:t>
            </w:r>
          </w:p>
        </w:tc>
        <w:tc>
          <w:tcPr>
            <w:tcW w:w="720" w:type="dxa"/>
            <w:tcBorders>
              <w:top w:val="nil"/>
              <w:left w:val="nil"/>
              <w:bottom w:val="single" w:color="auto" w:sz="4" w:space="0"/>
              <w:right w:val="single" w:color="auto" w:sz="4" w:space="0"/>
            </w:tcBorders>
            <w:noWrap/>
            <w:vAlign w:val="center"/>
          </w:tcPr>
          <w:p w14:paraId="7D942291">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36FF03F2">
            <w:pPr>
              <w:jc w:val="center"/>
              <w:rPr>
                <w:rFonts w:hint="eastAsia" w:ascii="宋体" w:hAnsi="宋体" w:eastAsia="宋体" w:cs="宋体"/>
                <w:sz w:val="18"/>
                <w:szCs w:val="18"/>
              </w:rPr>
            </w:pPr>
          </w:p>
        </w:tc>
      </w:tr>
      <w:tr w14:paraId="5AC5E60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53E731D">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77D3080F">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75E91045">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42" w:type="dxa"/>
            <w:tcBorders>
              <w:top w:val="nil"/>
              <w:left w:val="nil"/>
              <w:bottom w:val="single" w:color="auto" w:sz="4" w:space="0"/>
              <w:right w:val="single" w:color="auto" w:sz="4" w:space="0"/>
            </w:tcBorders>
            <w:noWrap/>
            <w:vAlign w:val="center"/>
          </w:tcPr>
          <w:p w14:paraId="09222BC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7EF5CC0D">
            <w:pPr>
              <w:rPr>
                <w:rFonts w:hint="eastAsia"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36A2045C">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008E1E2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6727AB1D">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77DC556B">
            <w:pPr>
              <w:jc w:val="center"/>
              <w:rPr>
                <w:rFonts w:hint="eastAsia" w:ascii="宋体" w:hAnsi="宋体" w:eastAsia="宋体" w:cs="宋体"/>
                <w:sz w:val="18"/>
                <w:szCs w:val="18"/>
              </w:rPr>
            </w:pPr>
          </w:p>
        </w:tc>
      </w:tr>
    </w:tbl>
    <w:p w14:paraId="751673A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95EE69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5"/>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B7736E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8C024EA">
            <w:pPr>
              <w:jc w:val="center"/>
              <w:rPr>
                <w:rFonts w:hint="eastAsia" w:ascii="宋体" w:hAnsi="宋体" w:eastAsia="宋体" w:cs="宋体"/>
                <w:b/>
                <w:bCs/>
                <w:color w:val="000000"/>
                <w:sz w:val="18"/>
                <w:szCs w:val="18"/>
              </w:rPr>
            </w:pPr>
            <w:bookmarkStart w:id="6"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E54EF9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昌吉州2023年体育传统特色学校[项目]补助资金</w:t>
            </w:r>
          </w:p>
        </w:tc>
      </w:tr>
      <w:tr w14:paraId="62B06C2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78178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CFAD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428" w:type="dxa"/>
            <w:gridSpan w:val="2"/>
            <w:tcBorders>
              <w:top w:val="single" w:color="auto" w:sz="4" w:space="0"/>
              <w:left w:val="nil"/>
              <w:bottom w:val="single" w:color="auto" w:sz="4" w:space="0"/>
              <w:right w:val="single" w:color="auto" w:sz="4" w:space="0"/>
            </w:tcBorders>
            <w:vAlign w:val="center"/>
          </w:tcPr>
          <w:p w14:paraId="5DB8ED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A7A58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昌吉市第七小学</w:t>
            </w:r>
          </w:p>
        </w:tc>
      </w:tr>
      <w:tr w14:paraId="3D3229D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53117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756470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3F06B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9648C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16F4C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5E77A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C5C7F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39604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E0B2EB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87C16F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B88DC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C7AB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968" w:type="dxa"/>
            <w:gridSpan w:val="3"/>
            <w:tcBorders>
              <w:top w:val="single" w:color="auto" w:sz="4" w:space="0"/>
              <w:left w:val="nil"/>
              <w:bottom w:val="single" w:color="auto" w:sz="4" w:space="0"/>
              <w:right w:val="single" w:color="auto" w:sz="4" w:space="0"/>
            </w:tcBorders>
            <w:vAlign w:val="center"/>
          </w:tcPr>
          <w:p w14:paraId="7B45E4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428" w:type="dxa"/>
            <w:gridSpan w:val="2"/>
            <w:tcBorders>
              <w:top w:val="single" w:color="auto" w:sz="4" w:space="0"/>
              <w:left w:val="nil"/>
              <w:bottom w:val="single" w:color="auto" w:sz="4" w:space="0"/>
              <w:right w:val="single" w:color="auto" w:sz="4" w:space="0"/>
            </w:tcBorders>
            <w:vAlign w:val="center"/>
          </w:tcPr>
          <w:p w14:paraId="436B82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372" w:type="dxa"/>
            <w:gridSpan w:val="2"/>
            <w:tcBorders>
              <w:top w:val="nil"/>
              <w:left w:val="nil"/>
              <w:bottom w:val="single" w:color="auto" w:sz="4" w:space="0"/>
              <w:right w:val="single" w:color="auto" w:sz="4" w:space="0"/>
            </w:tcBorders>
            <w:vAlign w:val="center"/>
          </w:tcPr>
          <w:p w14:paraId="0E86E4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7EF07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8025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F59B81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E0B569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0545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94C1C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968" w:type="dxa"/>
            <w:gridSpan w:val="3"/>
            <w:tcBorders>
              <w:top w:val="single" w:color="auto" w:sz="4" w:space="0"/>
              <w:left w:val="nil"/>
              <w:bottom w:val="single" w:color="auto" w:sz="4" w:space="0"/>
              <w:right w:val="single" w:color="auto" w:sz="4" w:space="0"/>
            </w:tcBorders>
            <w:vAlign w:val="center"/>
          </w:tcPr>
          <w:p w14:paraId="2800A2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428" w:type="dxa"/>
            <w:gridSpan w:val="2"/>
            <w:tcBorders>
              <w:top w:val="single" w:color="auto" w:sz="4" w:space="0"/>
              <w:left w:val="nil"/>
              <w:bottom w:val="single" w:color="auto" w:sz="4" w:space="0"/>
              <w:right w:val="single" w:color="auto" w:sz="4" w:space="0"/>
            </w:tcBorders>
            <w:vAlign w:val="center"/>
          </w:tcPr>
          <w:p w14:paraId="3B69AF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372" w:type="dxa"/>
            <w:gridSpan w:val="2"/>
            <w:tcBorders>
              <w:top w:val="nil"/>
              <w:left w:val="nil"/>
              <w:bottom w:val="single" w:color="auto" w:sz="4" w:space="0"/>
              <w:right w:val="single" w:color="auto" w:sz="4" w:space="0"/>
            </w:tcBorders>
            <w:vAlign w:val="center"/>
          </w:tcPr>
          <w:p w14:paraId="60837F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B539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66BC4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6C0BB6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FF952E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AEE59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4E9D8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A1B1D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D4D14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119C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4964D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5389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6FE07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AE1BA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0BAC6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868F4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50C06E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802460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A45B23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上年结转项目，项目资金12万元，该项目为丰富学生课余活动，加强学生身体素质，组织学生外出参加速滑比赛一场，该资金主要用于拍摄相关宣传片一部预计花费4万元，支付学生外出比赛相关费用一笔，预计花费8万元，该项目的实施有效提高学生身体素质。</w:t>
            </w:r>
          </w:p>
        </w:tc>
        <w:tc>
          <w:tcPr>
            <w:tcW w:w="5716" w:type="dxa"/>
            <w:gridSpan w:val="8"/>
            <w:tcBorders>
              <w:top w:val="single" w:color="auto" w:sz="4" w:space="0"/>
              <w:left w:val="nil"/>
              <w:bottom w:val="single" w:color="auto" w:sz="4" w:space="0"/>
              <w:right w:val="single" w:color="auto" w:sz="4" w:space="0"/>
            </w:tcBorders>
            <w:vAlign w:val="center"/>
          </w:tcPr>
          <w:p w14:paraId="1ED1E35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截止2024年12月31日，该项目已全部完成，项目支出12万元，主要用于组织学生外出参加一场速滑比赛，拍摄相关宣传片一部，该项目的实施丰富了学生课余活动，加强了学生身体素质。</w:t>
            </w:r>
          </w:p>
        </w:tc>
      </w:tr>
      <w:tr w14:paraId="3C7EA43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972AF6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FBEEA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A3E42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18DA7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259CA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9CA34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D555C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EBCFE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37ADA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B3032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3062F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F6978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C382C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203F29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2766CD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16F64A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975C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6CFEF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2118AEC">
            <w:pPr>
              <w:rPr>
                <w:rFonts w:hint="eastAsia"/>
                <w:color w:val="000000"/>
                <w:sz w:val="18"/>
                <w:szCs w:val="18"/>
              </w:rPr>
            </w:pPr>
            <w:r>
              <w:rPr>
                <w:rFonts w:hint="eastAsia"/>
                <w:color w:val="000000"/>
                <w:sz w:val="18"/>
                <w:szCs w:val="18"/>
              </w:rPr>
              <w:t>拍摄相关宣传片</w:t>
            </w:r>
          </w:p>
        </w:tc>
        <w:tc>
          <w:tcPr>
            <w:tcW w:w="627" w:type="dxa"/>
            <w:tcBorders>
              <w:top w:val="nil"/>
              <w:left w:val="nil"/>
              <w:bottom w:val="single" w:color="auto" w:sz="4" w:space="0"/>
              <w:right w:val="single" w:color="auto" w:sz="4" w:space="0"/>
            </w:tcBorders>
            <w:vAlign w:val="center"/>
          </w:tcPr>
          <w:p w14:paraId="260B8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320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=1部</w:t>
            </w:r>
          </w:p>
        </w:tc>
        <w:tc>
          <w:tcPr>
            <w:tcW w:w="728" w:type="dxa"/>
            <w:tcBorders>
              <w:top w:val="nil"/>
              <w:left w:val="nil"/>
              <w:bottom w:val="single" w:color="auto" w:sz="4" w:space="0"/>
              <w:right w:val="single" w:color="auto" w:sz="4" w:space="0"/>
            </w:tcBorders>
            <w:vAlign w:val="center"/>
          </w:tcPr>
          <w:p w14:paraId="5053E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=1部</w:t>
            </w:r>
          </w:p>
        </w:tc>
        <w:tc>
          <w:tcPr>
            <w:tcW w:w="637" w:type="dxa"/>
            <w:tcBorders>
              <w:top w:val="nil"/>
              <w:left w:val="nil"/>
              <w:bottom w:val="single" w:color="auto" w:sz="4" w:space="0"/>
              <w:right w:val="single" w:color="auto" w:sz="4" w:space="0"/>
            </w:tcBorders>
            <w:vAlign w:val="center"/>
          </w:tcPr>
          <w:p w14:paraId="3EA65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7323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51811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6F5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5DA0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5A2C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96E95D2">
            <w:pPr>
              <w:jc w:val="center"/>
              <w:rPr>
                <w:rFonts w:hint="eastAsia"/>
                <w:color w:val="000000"/>
                <w:sz w:val="18"/>
                <w:szCs w:val="18"/>
              </w:rPr>
            </w:pPr>
          </w:p>
        </w:tc>
      </w:tr>
      <w:tr w14:paraId="5A3AEC2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3A158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3588FF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9809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EA660F1">
            <w:pPr>
              <w:rPr>
                <w:rFonts w:hint="eastAsia" w:ascii="宋体" w:hAnsi="宋体" w:eastAsia="宋体" w:cs="宋体"/>
                <w:color w:val="000000"/>
                <w:sz w:val="18"/>
                <w:szCs w:val="18"/>
              </w:rPr>
            </w:pPr>
            <w:r>
              <w:rPr>
                <w:rFonts w:hint="eastAsia" w:ascii="宋体" w:hAnsi="宋体" w:eastAsia="宋体" w:cs="宋体"/>
                <w:color w:val="000000"/>
                <w:sz w:val="18"/>
                <w:szCs w:val="18"/>
              </w:rPr>
              <w:t>参加轮滑比赛</w:t>
            </w:r>
          </w:p>
        </w:tc>
        <w:tc>
          <w:tcPr>
            <w:tcW w:w="627" w:type="dxa"/>
            <w:tcBorders>
              <w:top w:val="nil"/>
              <w:left w:val="nil"/>
              <w:bottom w:val="single" w:color="auto" w:sz="4" w:space="0"/>
              <w:right w:val="single" w:color="auto" w:sz="4" w:space="0"/>
            </w:tcBorders>
            <w:vAlign w:val="center"/>
          </w:tcPr>
          <w:p w14:paraId="3FE1CE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4C93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=1场</w:t>
            </w:r>
          </w:p>
        </w:tc>
        <w:tc>
          <w:tcPr>
            <w:tcW w:w="728" w:type="dxa"/>
            <w:tcBorders>
              <w:top w:val="nil"/>
              <w:left w:val="nil"/>
              <w:bottom w:val="single" w:color="auto" w:sz="4" w:space="0"/>
              <w:right w:val="single" w:color="auto" w:sz="4" w:space="0"/>
            </w:tcBorders>
            <w:vAlign w:val="center"/>
          </w:tcPr>
          <w:p w14:paraId="466C5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=1场</w:t>
            </w:r>
          </w:p>
        </w:tc>
        <w:tc>
          <w:tcPr>
            <w:tcW w:w="637" w:type="dxa"/>
            <w:tcBorders>
              <w:top w:val="nil"/>
              <w:left w:val="nil"/>
              <w:bottom w:val="single" w:color="auto" w:sz="4" w:space="0"/>
              <w:right w:val="single" w:color="auto" w:sz="4" w:space="0"/>
            </w:tcBorders>
            <w:vAlign w:val="center"/>
          </w:tcPr>
          <w:p w14:paraId="454CD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3E7B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0C01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98B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1F3B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3545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FB2D24F">
            <w:pPr>
              <w:jc w:val="center"/>
              <w:rPr>
                <w:rFonts w:hint="eastAsia" w:ascii="宋体" w:hAnsi="宋体" w:eastAsia="宋体" w:cs="宋体"/>
                <w:color w:val="000000"/>
                <w:sz w:val="18"/>
                <w:szCs w:val="18"/>
              </w:rPr>
            </w:pPr>
          </w:p>
        </w:tc>
      </w:tr>
      <w:tr w14:paraId="4D8E043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826AA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341BA3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91C9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2E6D885">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D0D10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478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7559F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AD46C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413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C124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BD6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9D08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4E47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62B7E04">
            <w:pPr>
              <w:jc w:val="center"/>
              <w:rPr>
                <w:rFonts w:hint="eastAsia" w:ascii="宋体" w:hAnsi="宋体" w:eastAsia="宋体" w:cs="宋体"/>
                <w:color w:val="000000"/>
                <w:sz w:val="18"/>
                <w:szCs w:val="18"/>
              </w:rPr>
            </w:pPr>
          </w:p>
        </w:tc>
      </w:tr>
      <w:tr w14:paraId="6FD92E4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C459F7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6040D2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7A22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C8AA0AE">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5D4309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D723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B6EC8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3FB8B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2C5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E0D3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1517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B38B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AFF6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B93CAD4">
            <w:pPr>
              <w:jc w:val="center"/>
              <w:rPr>
                <w:rFonts w:hint="eastAsia" w:ascii="宋体" w:hAnsi="宋体" w:eastAsia="宋体" w:cs="宋体"/>
                <w:color w:val="000000"/>
                <w:sz w:val="18"/>
                <w:szCs w:val="18"/>
              </w:rPr>
            </w:pPr>
          </w:p>
        </w:tc>
      </w:tr>
      <w:tr w14:paraId="1EA62CA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9D094E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1EE71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3857C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3098A10">
            <w:pPr>
              <w:rPr>
                <w:rFonts w:hint="eastAsia" w:ascii="宋体" w:hAnsi="宋体" w:eastAsia="宋体" w:cs="宋体"/>
                <w:color w:val="000000"/>
                <w:sz w:val="18"/>
                <w:szCs w:val="18"/>
              </w:rPr>
            </w:pPr>
            <w:r>
              <w:rPr>
                <w:rFonts w:hint="eastAsia" w:ascii="宋体" w:hAnsi="宋体" w:eastAsia="宋体" w:cs="宋体"/>
                <w:color w:val="000000"/>
                <w:sz w:val="18"/>
                <w:szCs w:val="18"/>
              </w:rPr>
              <w:t>拍摄相关宣传片费用</w:t>
            </w:r>
          </w:p>
        </w:tc>
        <w:tc>
          <w:tcPr>
            <w:tcW w:w="627" w:type="dxa"/>
            <w:tcBorders>
              <w:top w:val="nil"/>
              <w:left w:val="nil"/>
              <w:bottom w:val="single" w:color="auto" w:sz="4" w:space="0"/>
              <w:right w:val="single" w:color="auto" w:sz="4" w:space="0"/>
            </w:tcBorders>
            <w:vAlign w:val="center"/>
          </w:tcPr>
          <w:p w14:paraId="50028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EF55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&lt;=4万元</w:t>
            </w:r>
          </w:p>
        </w:tc>
        <w:tc>
          <w:tcPr>
            <w:tcW w:w="728" w:type="dxa"/>
            <w:tcBorders>
              <w:top w:val="nil"/>
              <w:left w:val="nil"/>
              <w:bottom w:val="single" w:color="auto" w:sz="4" w:space="0"/>
              <w:right w:val="single" w:color="auto" w:sz="4" w:space="0"/>
            </w:tcBorders>
            <w:vAlign w:val="center"/>
          </w:tcPr>
          <w:p w14:paraId="77BAE6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=4万元</w:t>
            </w:r>
          </w:p>
        </w:tc>
        <w:tc>
          <w:tcPr>
            <w:tcW w:w="637" w:type="dxa"/>
            <w:tcBorders>
              <w:top w:val="nil"/>
              <w:left w:val="nil"/>
              <w:bottom w:val="single" w:color="auto" w:sz="4" w:space="0"/>
              <w:right w:val="single" w:color="auto" w:sz="4" w:space="0"/>
            </w:tcBorders>
            <w:vAlign w:val="center"/>
          </w:tcPr>
          <w:p w14:paraId="58192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5A7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F54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DB73A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461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383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2E60DA5">
            <w:pPr>
              <w:jc w:val="center"/>
              <w:rPr>
                <w:rFonts w:hint="eastAsia" w:ascii="宋体" w:hAnsi="宋体" w:eastAsia="宋体" w:cs="宋体"/>
                <w:color w:val="000000"/>
                <w:sz w:val="18"/>
                <w:szCs w:val="18"/>
              </w:rPr>
            </w:pPr>
          </w:p>
        </w:tc>
      </w:tr>
      <w:tr w14:paraId="1E09AEC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0B3DC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24F0AD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5E94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0748CA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参加轮滑比赛相关费用</w:t>
            </w:r>
          </w:p>
        </w:tc>
        <w:tc>
          <w:tcPr>
            <w:tcW w:w="627" w:type="dxa"/>
            <w:tcBorders>
              <w:top w:val="nil"/>
              <w:left w:val="nil"/>
              <w:bottom w:val="single" w:color="auto" w:sz="4" w:space="0"/>
              <w:right w:val="single" w:color="auto" w:sz="4" w:space="0"/>
            </w:tcBorders>
            <w:vAlign w:val="center"/>
          </w:tcPr>
          <w:p w14:paraId="0245C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9AC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&lt;=8万元</w:t>
            </w:r>
          </w:p>
        </w:tc>
        <w:tc>
          <w:tcPr>
            <w:tcW w:w="728" w:type="dxa"/>
            <w:tcBorders>
              <w:top w:val="nil"/>
              <w:left w:val="nil"/>
              <w:bottom w:val="single" w:color="auto" w:sz="4" w:space="0"/>
              <w:right w:val="single" w:color="auto" w:sz="4" w:space="0"/>
            </w:tcBorders>
            <w:vAlign w:val="center"/>
          </w:tcPr>
          <w:p w14:paraId="2E8E3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=8万元</w:t>
            </w:r>
          </w:p>
        </w:tc>
        <w:tc>
          <w:tcPr>
            <w:tcW w:w="637" w:type="dxa"/>
            <w:tcBorders>
              <w:top w:val="nil"/>
              <w:left w:val="nil"/>
              <w:bottom w:val="single" w:color="auto" w:sz="4" w:space="0"/>
              <w:right w:val="single" w:color="auto" w:sz="4" w:space="0"/>
            </w:tcBorders>
            <w:vAlign w:val="center"/>
          </w:tcPr>
          <w:p w14:paraId="21DD6E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DF11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6ABFB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EDB6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0C9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552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13C36A9">
            <w:pPr>
              <w:jc w:val="center"/>
              <w:rPr>
                <w:rFonts w:hint="eastAsia" w:ascii="宋体" w:hAnsi="宋体" w:eastAsia="宋体" w:cs="宋体"/>
                <w:color w:val="000000"/>
                <w:sz w:val="18"/>
                <w:szCs w:val="18"/>
              </w:rPr>
            </w:pPr>
          </w:p>
        </w:tc>
      </w:tr>
      <w:tr w14:paraId="52AE4B9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4823F9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CF3C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0520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5DB8E5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有效提高学生身体素质</w:t>
            </w:r>
          </w:p>
        </w:tc>
        <w:tc>
          <w:tcPr>
            <w:tcW w:w="627" w:type="dxa"/>
            <w:tcBorders>
              <w:top w:val="nil"/>
              <w:left w:val="nil"/>
              <w:bottom w:val="single" w:color="auto" w:sz="4" w:space="0"/>
              <w:right w:val="single" w:color="auto" w:sz="4" w:space="0"/>
            </w:tcBorders>
            <w:vAlign w:val="center"/>
          </w:tcPr>
          <w:p w14:paraId="32F044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4693C5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2DF96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4DAC7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3393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1DAAAF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82A46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D799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21EA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DB48DBC">
            <w:pPr>
              <w:jc w:val="center"/>
              <w:rPr>
                <w:rFonts w:hint="eastAsia" w:ascii="宋体" w:hAnsi="宋体" w:eastAsia="宋体" w:cs="宋体"/>
                <w:color w:val="000000"/>
                <w:sz w:val="18"/>
                <w:szCs w:val="18"/>
              </w:rPr>
            </w:pPr>
          </w:p>
        </w:tc>
      </w:tr>
      <w:tr w14:paraId="26D59D7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3961D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106A0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63CD0F1">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628968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E237EE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2C73C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061498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F4E03D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EF787B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91D2037">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D699714">
            <w:pPr>
              <w:rPr>
                <w:rFonts w:hint="eastAsia" w:ascii="宋体" w:hAnsi="宋体" w:eastAsia="宋体" w:cs="宋体"/>
                <w:color w:val="000000"/>
                <w:sz w:val="18"/>
                <w:szCs w:val="18"/>
              </w:rPr>
            </w:pPr>
          </w:p>
        </w:tc>
      </w:tr>
      <w:bookmarkEnd w:id="6"/>
    </w:tbl>
    <w:p w14:paraId="6215B7D2">
      <w:pPr>
        <w:spacing w:after="0" w:line="240" w:lineRule="auto"/>
        <w:ind w:firstLine="640" w:firstLineChars="200"/>
        <w:jc w:val="both"/>
        <w:rPr>
          <w:rFonts w:hint="eastAsia" w:ascii="仿宋_GB2312" w:eastAsia="仿宋_GB2312"/>
          <w:sz w:val="32"/>
          <w:szCs w:val="32"/>
          <w:lang w:eastAsia="zh-CN"/>
        </w:rPr>
      </w:pPr>
    </w:p>
    <w:p w14:paraId="246CB30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791C41A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4C0F42B0">
      <w:pPr>
        <w:spacing w:after="0" w:line="240" w:lineRule="auto"/>
        <w:ind w:firstLine="640" w:firstLineChars="200"/>
        <w:rPr>
          <w:rFonts w:hint="eastAsia" w:ascii="仿宋_GB2312" w:eastAsia="仿宋_GB2312"/>
          <w:sz w:val="32"/>
          <w:szCs w:val="32"/>
          <w:lang w:eastAsia="zh-CN"/>
        </w:rPr>
      </w:pPr>
    </w:p>
    <w:p w14:paraId="007E3B93">
      <w:pPr>
        <w:rPr>
          <w:rFonts w:hint="eastAsia"/>
          <w:lang w:eastAsia="zh-CN"/>
        </w:rPr>
      </w:pPr>
      <w:r>
        <w:rPr>
          <w:sz w:val="0"/>
          <w:szCs w:val="0"/>
          <w:lang w:eastAsia="zh-CN"/>
        </w:rPr>
        <w:br w:type="page"/>
      </w:r>
    </w:p>
    <w:p w14:paraId="05C01D8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63923C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91D571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5A231B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A5A341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18C29F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932047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EE294D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573B6E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3C460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A578EC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C0C408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D1460A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1CC7F7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42FD2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DF6A400">
      <w:pPr>
        <w:rPr>
          <w:rFonts w:hint="eastAsia"/>
          <w:lang w:eastAsia="zh-CN"/>
        </w:rPr>
      </w:pPr>
      <w:r>
        <w:rPr>
          <w:sz w:val="0"/>
          <w:szCs w:val="0"/>
          <w:lang w:eastAsia="zh-CN"/>
        </w:rPr>
        <w:br w:type="page"/>
      </w:r>
    </w:p>
    <w:p w14:paraId="19FE5DE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4E645E5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B836AF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BAB9D9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01CA4AB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8A0BDE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9A2DB1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7BC798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48EAD9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0A5941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03599"/>
    <w:rsid w:val="004E2249"/>
    <w:rsid w:val="0096752B"/>
    <w:rsid w:val="009A3A0D"/>
    <w:rsid w:val="00A07FCE"/>
    <w:rsid w:val="00A86FB7"/>
    <w:rsid w:val="00AF092E"/>
    <w:rsid w:val="00CC63E0"/>
    <w:rsid w:val="00D46164"/>
    <w:rsid w:val="00F03599"/>
    <w:rsid w:val="00F03FF1"/>
    <w:rsid w:val="00F51B51"/>
    <w:rsid w:val="0BD359C7"/>
    <w:rsid w:val="15AE0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6504</Words>
  <Characters>7381</Characters>
  <Lines>377</Lines>
  <Paragraphs>340</Paragraphs>
  <TotalTime>60</TotalTime>
  <ScaleCrop>false</ScaleCrop>
  <LinksUpToDate>false</LinksUpToDate>
  <CharactersWithSpaces>7393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2025-09-02T05:34:00Z</dcterms:created>
  <dc:creator>华为</dc:creator>
  <cp:lastModifiedBy>OMG</cp:lastModifiedBy>
  <dcterms:modified xsi:type="dcterms:W3CDTF">2025-09-05T04:29:58Z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1761EF0182E340FBB9C3F1851F965A61_12</vt:lpwstr>
  </property>
</Properties>
</file>