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4A2" w:rsidRDefault="00501295">
      <w:pPr>
        <w:spacing w:line="540" w:lineRule="exact"/>
        <w:jc w:val="left"/>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附件</w:t>
      </w:r>
      <w:r>
        <w:rPr>
          <w:rFonts w:ascii="仿宋" w:eastAsia="仿宋" w:hAnsi="仿宋" w:cs="宋体" w:hint="eastAsia"/>
          <w:color w:val="000000" w:themeColor="text1"/>
          <w:kern w:val="0"/>
          <w:sz w:val="32"/>
          <w:szCs w:val="32"/>
        </w:rPr>
        <w:t>2</w:t>
      </w:r>
      <w:r>
        <w:rPr>
          <w:rFonts w:ascii="仿宋" w:eastAsia="仿宋" w:hAnsi="仿宋" w:cs="宋体" w:hint="eastAsia"/>
          <w:color w:val="000000" w:themeColor="text1"/>
          <w:kern w:val="0"/>
          <w:sz w:val="32"/>
          <w:szCs w:val="32"/>
        </w:rPr>
        <w:t>：</w:t>
      </w:r>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4C64A2">
      <w:pPr>
        <w:spacing w:line="540" w:lineRule="exact"/>
        <w:jc w:val="center"/>
        <w:rPr>
          <w:rFonts w:ascii="华文中宋" w:eastAsia="华文中宋" w:hAnsi="华文中宋" w:cs="宋体"/>
          <w:b/>
          <w:color w:val="000000" w:themeColor="text1"/>
          <w:kern w:val="0"/>
          <w:sz w:val="52"/>
          <w:szCs w:val="52"/>
        </w:rPr>
      </w:pPr>
      <w:bookmarkStart w:id="0" w:name="_GoBack"/>
      <w:bookmarkEnd w:id="0"/>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501295">
      <w:pPr>
        <w:spacing w:line="540" w:lineRule="exact"/>
        <w:jc w:val="center"/>
        <w:rPr>
          <w:rFonts w:ascii="方正小标宋_GBK" w:eastAsia="方正小标宋_GBK" w:hAnsi="华文中宋" w:cs="宋体"/>
          <w:b/>
          <w:color w:val="000000" w:themeColor="text1"/>
          <w:kern w:val="0"/>
          <w:sz w:val="48"/>
          <w:szCs w:val="48"/>
        </w:rPr>
      </w:pPr>
      <w:r>
        <w:rPr>
          <w:rFonts w:ascii="方正小标宋_GBK" w:eastAsia="方正小标宋_GBK" w:hAnsi="华文中宋" w:cs="宋体" w:hint="eastAsia"/>
          <w:b/>
          <w:color w:val="000000" w:themeColor="text1"/>
          <w:kern w:val="0"/>
          <w:sz w:val="48"/>
          <w:szCs w:val="48"/>
        </w:rPr>
        <w:t>项目支出绩效自评报告</w:t>
      </w:r>
    </w:p>
    <w:p w:rsidR="004C64A2" w:rsidRDefault="004C64A2">
      <w:pPr>
        <w:spacing w:line="540" w:lineRule="exact"/>
        <w:jc w:val="center"/>
        <w:rPr>
          <w:rFonts w:ascii="华文中宋" w:eastAsia="华文中宋" w:hAnsi="华文中宋" w:cs="宋体"/>
          <w:b/>
          <w:color w:val="000000" w:themeColor="text1"/>
          <w:kern w:val="0"/>
          <w:sz w:val="52"/>
          <w:szCs w:val="52"/>
        </w:rPr>
      </w:pPr>
    </w:p>
    <w:p w:rsidR="004C64A2" w:rsidRDefault="00501295">
      <w:pPr>
        <w:spacing w:line="540" w:lineRule="exact"/>
        <w:jc w:val="center"/>
        <w:rPr>
          <w:rFonts w:eastAsia="仿宋_GB2312" w:hAnsi="宋体" w:cs="宋体"/>
          <w:color w:val="000000" w:themeColor="text1"/>
          <w:kern w:val="0"/>
          <w:sz w:val="36"/>
          <w:szCs w:val="36"/>
        </w:rPr>
      </w:pPr>
      <w:r>
        <w:rPr>
          <w:rFonts w:eastAsia="仿宋_GB2312" w:hAnsi="宋体" w:cs="宋体" w:hint="eastAsia"/>
          <w:color w:val="000000" w:themeColor="text1"/>
          <w:kern w:val="0"/>
          <w:sz w:val="36"/>
          <w:szCs w:val="36"/>
        </w:rPr>
        <w:t>（</w:t>
      </w:r>
      <w:r>
        <w:rPr>
          <w:rFonts w:eastAsia="仿宋_GB2312" w:hAnsi="宋体" w:cs="宋体" w:hint="eastAsia"/>
          <w:color w:val="000000" w:themeColor="text1"/>
          <w:kern w:val="0"/>
          <w:sz w:val="36"/>
          <w:szCs w:val="36"/>
        </w:rPr>
        <w:t xml:space="preserve">   </w:t>
      </w:r>
      <w:r>
        <w:rPr>
          <w:rStyle w:val="a8"/>
          <w:rFonts w:ascii="楷体" w:eastAsia="楷体" w:hAnsi="楷体" w:hint="eastAsia"/>
          <w:color w:val="000000" w:themeColor="text1"/>
          <w:spacing w:val="-4"/>
          <w:sz w:val="32"/>
          <w:szCs w:val="32"/>
        </w:rPr>
        <w:t>2023</w:t>
      </w:r>
      <w:r>
        <w:rPr>
          <w:rFonts w:eastAsia="仿宋_GB2312" w:hAnsi="宋体" w:cs="宋体" w:hint="eastAsia"/>
          <w:color w:val="000000" w:themeColor="text1"/>
          <w:kern w:val="0"/>
          <w:sz w:val="36"/>
          <w:szCs w:val="36"/>
        </w:rPr>
        <w:t xml:space="preserve">  </w:t>
      </w:r>
      <w:r>
        <w:rPr>
          <w:rFonts w:eastAsia="仿宋_GB2312" w:hAnsi="宋体" w:cs="宋体" w:hint="eastAsia"/>
          <w:color w:val="000000" w:themeColor="text1"/>
          <w:kern w:val="0"/>
          <w:sz w:val="36"/>
          <w:szCs w:val="36"/>
        </w:rPr>
        <w:t>年度）</w:t>
      </w: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jc w:val="center"/>
        <w:rPr>
          <w:rFonts w:eastAsia="仿宋_GB2312" w:hAnsi="宋体" w:cs="宋体"/>
          <w:color w:val="000000" w:themeColor="text1"/>
          <w:kern w:val="0"/>
          <w:sz w:val="30"/>
          <w:szCs w:val="30"/>
        </w:rPr>
      </w:pPr>
    </w:p>
    <w:p w:rsidR="004C64A2" w:rsidRDefault="004C64A2">
      <w:pPr>
        <w:spacing w:line="540" w:lineRule="exact"/>
        <w:rPr>
          <w:rFonts w:eastAsia="仿宋_GB2312" w:hAnsi="宋体" w:cs="宋体"/>
          <w:color w:val="000000" w:themeColor="text1"/>
          <w:kern w:val="0"/>
          <w:sz w:val="30"/>
          <w:szCs w:val="30"/>
        </w:rPr>
      </w:pPr>
    </w:p>
    <w:p w:rsidR="004C64A2" w:rsidRDefault="004C64A2">
      <w:pPr>
        <w:spacing w:line="700" w:lineRule="exact"/>
        <w:jc w:val="left"/>
        <w:rPr>
          <w:rFonts w:eastAsia="仿宋_GB2312" w:hAnsi="宋体" w:cs="宋体"/>
          <w:color w:val="000000" w:themeColor="text1"/>
          <w:kern w:val="0"/>
          <w:sz w:val="36"/>
          <w:szCs w:val="36"/>
        </w:rPr>
      </w:pPr>
    </w:p>
    <w:p w:rsidR="004C64A2" w:rsidRDefault="00501295">
      <w:pPr>
        <w:spacing w:line="700" w:lineRule="exact"/>
        <w:ind w:firstLineChars="250" w:firstLine="900"/>
        <w:jc w:val="left"/>
        <w:rPr>
          <w:rFonts w:eastAsia="仿宋_GB2312" w:hAnsi="宋体" w:cs="宋体"/>
          <w:color w:val="000000" w:themeColor="text1"/>
          <w:kern w:val="0"/>
          <w:sz w:val="36"/>
          <w:szCs w:val="36"/>
        </w:rPr>
      </w:pPr>
      <w:r>
        <w:rPr>
          <w:rFonts w:eastAsia="仿宋_GB2312" w:hAnsi="宋体" w:cs="宋体" w:hint="eastAsia"/>
          <w:color w:val="000000" w:themeColor="text1"/>
          <w:kern w:val="0"/>
          <w:sz w:val="36"/>
          <w:szCs w:val="36"/>
        </w:rPr>
        <w:t>项目名称：</w:t>
      </w:r>
      <w:r>
        <w:rPr>
          <w:rStyle w:val="a8"/>
          <w:rFonts w:ascii="楷体" w:eastAsia="楷体" w:hAnsi="楷体" w:hint="eastAsia"/>
          <w:color w:val="000000" w:themeColor="text1"/>
          <w:spacing w:val="-4"/>
          <w:sz w:val="32"/>
          <w:szCs w:val="32"/>
        </w:rPr>
        <w:t>市委政法综合大楼物业费、餐厅管理费、餐补欠款</w:t>
      </w:r>
    </w:p>
    <w:p w:rsidR="004C64A2" w:rsidRDefault="00501295">
      <w:pPr>
        <w:spacing w:line="540" w:lineRule="exact"/>
        <w:ind w:firstLine="567"/>
        <w:rPr>
          <w:rFonts w:ascii="楷体" w:eastAsia="楷体" w:hAnsi="楷体"/>
          <w:b/>
          <w:bCs/>
          <w:color w:val="000000" w:themeColor="text1"/>
          <w:spacing w:val="-4"/>
          <w:sz w:val="32"/>
          <w:szCs w:val="32"/>
        </w:rPr>
      </w:pPr>
      <w:r>
        <w:rPr>
          <w:rFonts w:eastAsia="仿宋_GB2312" w:hAnsi="宋体" w:cs="宋体" w:hint="eastAsia"/>
          <w:color w:val="000000" w:themeColor="text1"/>
          <w:kern w:val="0"/>
          <w:sz w:val="36"/>
          <w:szCs w:val="36"/>
        </w:rPr>
        <w:t xml:space="preserve">  </w:t>
      </w:r>
      <w:r>
        <w:rPr>
          <w:rFonts w:eastAsia="仿宋_GB2312" w:hAnsi="宋体" w:cs="宋体" w:hint="eastAsia"/>
          <w:color w:val="000000" w:themeColor="text1"/>
          <w:kern w:val="0"/>
          <w:sz w:val="36"/>
          <w:szCs w:val="36"/>
        </w:rPr>
        <w:t>实施单位（公章）：</w:t>
      </w:r>
      <w:r>
        <w:rPr>
          <w:rStyle w:val="a8"/>
          <w:rFonts w:ascii="楷体" w:eastAsia="楷体" w:hAnsi="楷体" w:hint="eastAsia"/>
          <w:color w:val="000000" w:themeColor="text1"/>
          <w:spacing w:val="-4"/>
          <w:sz w:val="28"/>
          <w:szCs w:val="28"/>
        </w:rPr>
        <w:t>中国共产党昌吉市委员会政法委员会</w:t>
      </w:r>
    </w:p>
    <w:p w:rsidR="004C64A2" w:rsidRDefault="00501295">
      <w:pPr>
        <w:spacing w:line="540" w:lineRule="exact"/>
        <w:ind w:firstLineChars="250" w:firstLine="900"/>
        <w:rPr>
          <w:rFonts w:ascii="楷体" w:eastAsia="楷体" w:hAnsi="楷体"/>
          <w:b/>
          <w:bCs/>
          <w:color w:val="000000" w:themeColor="text1"/>
          <w:spacing w:val="-4"/>
          <w:sz w:val="28"/>
          <w:szCs w:val="28"/>
        </w:rPr>
      </w:pPr>
      <w:r>
        <w:rPr>
          <w:rFonts w:eastAsia="仿宋_GB2312" w:hAnsi="宋体" w:cs="宋体" w:hint="eastAsia"/>
          <w:color w:val="000000" w:themeColor="text1"/>
          <w:kern w:val="0"/>
          <w:sz w:val="36"/>
          <w:szCs w:val="36"/>
        </w:rPr>
        <w:t>主管部门（公章）：</w:t>
      </w:r>
      <w:r>
        <w:rPr>
          <w:rStyle w:val="a8"/>
          <w:rFonts w:ascii="楷体" w:eastAsia="楷体" w:hAnsi="楷体" w:hint="eastAsia"/>
          <w:color w:val="000000" w:themeColor="text1"/>
          <w:spacing w:val="-4"/>
          <w:sz w:val="28"/>
          <w:szCs w:val="28"/>
        </w:rPr>
        <w:t>中国共产党昌吉市委员会政法委员会</w:t>
      </w:r>
    </w:p>
    <w:p w:rsidR="004C64A2" w:rsidRDefault="00501295">
      <w:pPr>
        <w:spacing w:line="540" w:lineRule="exact"/>
        <w:ind w:firstLineChars="250" w:firstLine="900"/>
        <w:rPr>
          <w:rFonts w:ascii="楷体" w:eastAsia="楷体" w:hAnsi="楷体"/>
          <w:b/>
          <w:bCs/>
          <w:color w:val="000000" w:themeColor="text1"/>
          <w:spacing w:val="-4"/>
          <w:sz w:val="32"/>
          <w:szCs w:val="32"/>
        </w:rPr>
      </w:pPr>
      <w:r>
        <w:rPr>
          <w:rFonts w:eastAsia="仿宋_GB2312" w:hAnsi="宋体" w:cs="宋体" w:hint="eastAsia"/>
          <w:color w:val="000000" w:themeColor="text1"/>
          <w:kern w:val="0"/>
          <w:sz w:val="36"/>
          <w:szCs w:val="36"/>
        </w:rPr>
        <w:t>项目负责人（签章）：</w:t>
      </w:r>
      <w:r>
        <w:rPr>
          <w:rStyle w:val="a8"/>
          <w:rFonts w:ascii="楷体" w:eastAsia="楷体" w:hAnsi="楷体" w:hint="eastAsia"/>
          <w:color w:val="000000" w:themeColor="text1"/>
          <w:spacing w:val="-4"/>
          <w:sz w:val="32"/>
          <w:szCs w:val="32"/>
        </w:rPr>
        <w:t>任思远</w:t>
      </w:r>
    </w:p>
    <w:p w:rsidR="004C64A2" w:rsidRDefault="00501295">
      <w:pPr>
        <w:spacing w:line="540" w:lineRule="exact"/>
        <w:ind w:left="273" w:firstLine="567"/>
        <w:rPr>
          <w:rStyle w:val="a8"/>
          <w:rFonts w:ascii="楷体" w:eastAsia="楷体" w:hAnsi="楷体"/>
          <w:color w:val="000000" w:themeColor="text1"/>
          <w:spacing w:val="-4"/>
          <w:sz w:val="32"/>
          <w:szCs w:val="32"/>
        </w:rPr>
      </w:pPr>
      <w:r>
        <w:rPr>
          <w:rFonts w:eastAsia="仿宋_GB2312" w:hAnsi="宋体" w:cs="宋体" w:hint="eastAsia"/>
          <w:color w:val="000000" w:themeColor="text1"/>
          <w:kern w:val="0"/>
          <w:sz w:val="36"/>
          <w:szCs w:val="36"/>
        </w:rPr>
        <w:t>填报时间：</w:t>
      </w:r>
      <w:r>
        <w:rPr>
          <w:rStyle w:val="a8"/>
          <w:rFonts w:ascii="楷体" w:eastAsia="楷体" w:hAnsi="楷体" w:hint="eastAsia"/>
          <w:color w:val="000000" w:themeColor="text1"/>
          <w:spacing w:val="-4"/>
          <w:sz w:val="32"/>
          <w:szCs w:val="32"/>
        </w:rPr>
        <w:t>2024</w:t>
      </w:r>
      <w:r>
        <w:rPr>
          <w:rStyle w:val="a8"/>
          <w:rFonts w:ascii="楷体" w:eastAsia="楷体" w:hAnsi="楷体" w:hint="eastAsia"/>
          <w:color w:val="000000" w:themeColor="text1"/>
          <w:spacing w:val="-4"/>
          <w:sz w:val="32"/>
          <w:szCs w:val="32"/>
        </w:rPr>
        <w:t>年</w:t>
      </w:r>
      <w:r>
        <w:rPr>
          <w:rStyle w:val="a8"/>
          <w:rFonts w:ascii="楷体" w:eastAsia="楷体" w:hAnsi="楷体" w:hint="eastAsia"/>
          <w:color w:val="000000" w:themeColor="text1"/>
          <w:spacing w:val="-4"/>
          <w:sz w:val="32"/>
          <w:szCs w:val="32"/>
        </w:rPr>
        <w:t>04</w:t>
      </w:r>
      <w:r>
        <w:rPr>
          <w:rStyle w:val="a8"/>
          <w:rFonts w:ascii="楷体" w:eastAsia="楷体" w:hAnsi="楷体" w:hint="eastAsia"/>
          <w:color w:val="000000" w:themeColor="text1"/>
          <w:spacing w:val="-4"/>
          <w:sz w:val="32"/>
          <w:szCs w:val="32"/>
        </w:rPr>
        <w:t>月</w:t>
      </w:r>
      <w:r>
        <w:rPr>
          <w:rStyle w:val="a8"/>
          <w:rFonts w:ascii="楷体" w:eastAsia="楷体" w:hAnsi="楷体" w:hint="eastAsia"/>
          <w:color w:val="000000" w:themeColor="text1"/>
          <w:spacing w:val="-4"/>
          <w:sz w:val="32"/>
          <w:szCs w:val="32"/>
        </w:rPr>
        <w:t>28</w:t>
      </w:r>
      <w:r>
        <w:rPr>
          <w:rStyle w:val="a8"/>
          <w:rFonts w:ascii="楷体" w:eastAsia="楷体" w:hAnsi="楷体" w:hint="eastAsia"/>
          <w:color w:val="000000" w:themeColor="text1"/>
          <w:spacing w:val="-4"/>
          <w:sz w:val="32"/>
          <w:szCs w:val="32"/>
        </w:rPr>
        <w:t>日</w:t>
      </w:r>
    </w:p>
    <w:p w:rsidR="004C64A2" w:rsidRDefault="004C64A2">
      <w:pPr>
        <w:spacing w:line="700" w:lineRule="exact"/>
        <w:ind w:firstLineChars="236" w:firstLine="708"/>
        <w:jc w:val="left"/>
        <w:rPr>
          <w:rFonts w:eastAsia="仿宋_GB2312" w:hAnsi="宋体" w:cs="宋体"/>
          <w:color w:val="000000" w:themeColor="text1"/>
          <w:kern w:val="0"/>
          <w:sz w:val="30"/>
          <w:szCs w:val="30"/>
        </w:rPr>
      </w:pPr>
    </w:p>
    <w:p w:rsidR="004C64A2" w:rsidRDefault="004C64A2">
      <w:pPr>
        <w:spacing w:line="540" w:lineRule="exact"/>
        <w:rPr>
          <w:rStyle w:val="a8"/>
          <w:rFonts w:ascii="黑体" w:eastAsia="黑体" w:hAnsi="黑体"/>
          <w:b w:val="0"/>
          <w:color w:val="000000" w:themeColor="text1"/>
          <w:spacing w:val="-4"/>
          <w:sz w:val="32"/>
          <w:szCs w:val="32"/>
        </w:rPr>
      </w:pPr>
    </w:p>
    <w:p w:rsidR="004C64A2" w:rsidRDefault="00501295">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一、基本情况</w:t>
      </w:r>
    </w:p>
    <w:p w:rsidR="004C64A2" w:rsidRDefault="00501295">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（一）项目概况</w:t>
      </w:r>
      <w:r>
        <w:rPr>
          <w:rStyle w:val="a8"/>
          <w:rFonts w:ascii="楷体" w:eastAsia="楷体" w:hAnsi="楷体" w:hint="eastAsia"/>
          <w:color w:val="000000" w:themeColor="text1"/>
          <w:spacing w:val="-4"/>
          <w:sz w:val="32"/>
          <w:szCs w:val="32"/>
        </w:rPr>
        <w:t>。</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（一）项目概况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项目背景</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经市委批准，昌吉市委政法综合大楼于</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月陆续投入使用，大楼总建筑面积</w:t>
      </w:r>
      <w:r>
        <w:rPr>
          <w:rStyle w:val="a8"/>
          <w:rFonts w:ascii="楷体" w:eastAsia="楷体" w:hAnsi="楷体" w:hint="eastAsia"/>
          <w:b w:val="0"/>
          <w:bCs w:val="0"/>
          <w:color w:val="000000" w:themeColor="text1"/>
          <w:spacing w:val="-4"/>
          <w:sz w:val="32"/>
          <w:szCs w:val="32"/>
        </w:rPr>
        <w:t>9618.16</w:t>
      </w:r>
      <w:r>
        <w:rPr>
          <w:rStyle w:val="a8"/>
          <w:rFonts w:ascii="楷体" w:eastAsia="楷体" w:hAnsi="楷体" w:hint="eastAsia"/>
          <w:b w:val="0"/>
          <w:bCs w:val="0"/>
          <w:color w:val="000000" w:themeColor="text1"/>
          <w:spacing w:val="-4"/>
          <w:sz w:val="32"/>
          <w:szCs w:val="32"/>
        </w:rPr>
        <w:t>平米（地上建筑</w:t>
      </w:r>
      <w:r>
        <w:rPr>
          <w:rStyle w:val="a8"/>
          <w:rFonts w:ascii="楷体" w:eastAsia="楷体" w:hAnsi="楷体" w:hint="eastAsia"/>
          <w:b w:val="0"/>
          <w:bCs w:val="0"/>
          <w:color w:val="000000" w:themeColor="text1"/>
          <w:spacing w:val="-4"/>
          <w:sz w:val="32"/>
          <w:szCs w:val="32"/>
        </w:rPr>
        <w:t>6818.16</w:t>
      </w:r>
      <w:r>
        <w:rPr>
          <w:rStyle w:val="a8"/>
          <w:rFonts w:ascii="楷体" w:eastAsia="楷体" w:hAnsi="楷体" w:hint="eastAsia"/>
          <w:b w:val="0"/>
          <w:bCs w:val="0"/>
          <w:color w:val="000000" w:themeColor="text1"/>
          <w:spacing w:val="-4"/>
          <w:sz w:val="32"/>
          <w:szCs w:val="32"/>
        </w:rPr>
        <w:t>平米，地库</w:t>
      </w:r>
      <w:r>
        <w:rPr>
          <w:rStyle w:val="a8"/>
          <w:rFonts w:ascii="楷体" w:eastAsia="楷体" w:hAnsi="楷体" w:hint="eastAsia"/>
          <w:b w:val="0"/>
          <w:bCs w:val="0"/>
          <w:color w:val="000000" w:themeColor="text1"/>
          <w:spacing w:val="-4"/>
          <w:sz w:val="32"/>
          <w:szCs w:val="32"/>
        </w:rPr>
        <w:t>2800</w:t>
      </w:r>
      <w:r>
        <w:rPr>
          <w:rStyle w:val="a8"/>
          <w:rFonts w:ascii="楷体" w:eastAsia="楷体" w:hAnsi="楷体" w:hint="eastAsia"/>
          <w:b w:val="0"/>
          <w:bCs w:val="0"/>
          <w:color w:val="000000" w:themeColor="text1"/>
          <w:spacing w:val="-4"/>
          <w:sz w:val="32"/>
          <w:szCs w:val="32"/>
        </w:rPr>
        <w:t>平米），进驻单位包括市医保局、网格化服务管理（综治）中心、运维中心、城市管理指挥中心、大气污染防治指挥中心、网信办、政法委、纪委监委第二纪检监察组</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个单位。</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昌吉市委政法综合大楼物业费、餐厅管理费、餐厅补助费用截止至</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t>3</w:t>
      </w:r>
      <w:r w:rsidR="00FE5F70">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日累计欠款</w:t>
      </w:r>
      <w:r>
        <w:rPr>
          <w:rStyle w:val="a8"/>
          <w:rFonts w:ascii="楷体" w:eastAsia="楷体" w:hAnsi="楷体" w:hint="eastAsia"/>
          <w:b w:val="0"/>
          <w:bCs w:val="0"/>
          <w:color w:val="000000" w:themeColor="text1"/>
          <w:spacing w:val="-4"/>
          <w:sz w:val="32"/>
          <w:szCs w:val="32"/>
        </w:rPr>
        <w:t>735.63</w:t>
      </w:r>
      <w:r>
        <w:rPr>
          <w:rStyle w:val="a8"/>
          <w:rFonts w:ascii="楷体" w:eastAsia="楷体" w:hAnsi="楷体" w:hint="eastAsia"/>
          <w:b w:val="0"/>
          <w:bCs w:val="0"/>
          <w:color w:val="000000" w:themeColor="text1"/>
          <w:spacing w:val="-4"/>
          <w:sz w:val="32"/>
          <w:szCs w:val="32"/>
        </w:rPr>
        <w:t>万元。近两年由于受到疫情和环境影响，加之市委政法委累计欠款较多，昌吉州园林宾馆已无财力支撑昌吉市委政法综合大楼的保障工</w:t>
      </w:r>
      <w:r>
        <w:rPr>
          <w:rStyle w:val="a8"/>
          <w:rFonts w:ascii="楷体" w:eastAsia="楷体" w:hAnsi="楷体" w:hint="eastAsia"/>
          <w:b w:val="0"/>
          <w:bCs w:val="0"/>
          <w:color w:val="000000" w:themeColor="text1"/>
          <w:spacing w:val="-4"/>
          <w:sz w:val="32"/>
          <w:szCs w:val="32"/>
        </w:rPr>
        <w:t>作，为有效优化营商环境，提振市场经济活力，减少企业信访隐患，保障市委政法综合大楼正常运转，因此我单位申报了市委政法综合大楼物业费、餐厅管理费、餐补欠款项目。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项目主要内容及实施情况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项目主要内容：为保障昌吉市委政法综合大楼正常运行，根据市</w:t>
      </w:r>
      <w:r>
        <w:rPr>
          <w:rStyle w:val="a8"/>
          <w:rFonts w:ascii="楷体" w:eastAsia="楷体" w:hAnsi="楷体" w:hint="eastAsia"/>
          <w:b w:val="0"/>
          <w:bCs w:val="0"/>
          <w:color w:val="000000" w:themeColor="text1"/>
          <w:spacing w:val="-4"/>
          <w:sz w:val="32"/>
          <w:szCs w:val="32"/>
        </w:rPr>
        <w:lastRenderedPageBreak/>
        <w:t>委财经委员会批付物业费、餐厅管理费、餐厅补助费用</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万元用于支付欠款。</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实施情况：</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t>31</w:t>
      </w:r>
      <w:r>
        <w:rPr>
          <w:rStyle w:val="a8"/>
          <w:rFonts w:ascii="楷体" w:eastAsia="楷体" w:hAnsi="楷体" w:hint="eastAsia"/>
          <w:b w:val="0"/>
          <w:bCs w:val="0"/>
          <w:color w:val="000000" w:themeColor="text1"/>
          <w:spacing w:val="-4"/>
          <w:sz w:val="32"/>
          <w:szCs w:val="32"/>
        </w:rPr>
        <w:t>日，昌吉市委政法委与昌吉州园林宾馆签订后勤物业管理合同，合同期为</w:t>
      </w:r>
      <w:r>
        <w:rPr>
          <w:rStyle w:val="a8"/>
          <w:rFonts w:ascii="楷体" w:eastAsia="楷体" w:hAnsi="楷体" w:hint="eastAsia"/>
          <w:b w:val="0"/>
          <w:bCs w:val="0"/>
          <w:color w:val="000000" w:themeColor="text1"/>
          <w:spacing w:val="-4"/>
          <w:sz w:val="32"/>
          <w:szCs w:val="32"/>
        </w:rPr>
        <w:t>2021</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月至</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t>3</w:t>
      </w:r>
      <w:r w:rsidR="00FE5F70">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日。合同约定每年年度物业费、餐厅管理费、餐厅补助费用</w:t>
      </w:r>
      <w:r>
        <w:rPr>
          <w:rStyle w:val="a8"/>
          <w:rFonts w:ascii="楷体" w:eastAsia="楷体" w:hAnsi="楷体" w:hint="eastAsia"/>
          <w:b w:val="0"/>
          <w:bCs w:val="0"/>
          <w:color w:val="000000" w:themeColor="text1"/>
          <w:spacing w:val="-4"/>
          <w:sz w:val="32"/>
          <w:szCs w:val="32"/>
        </w:rPr>
        <w:t>220</w:t>
      </w:r>
      <w:r>
        <w:rPr>
          <w:rStyle w:val="a8"/>
          <w:rFonts w:ascii="楷体" w:eastAsia="楷体" w:hAnsi="楷体" w:hint="eastAsia"/>
          <w:b w:val="0"/>
          <w:bCs w:val="0"/>
          <w:color w:val="000000" w:themeColor="text1"/>
          <w:spacing w:val="-4"/>
          <w:sz w:val="32"/>
          <w:szCs w:val="32"/>
        </w:rPr>
        <w:t>万元，三年合同期内共计产生费用</w:t>
      </w:r>
      <w:r>
        <w:rPr>
          <w:rStyle w:val="a8"/>
          <w:rFonts w:ascii="楷体" w:eastAsia="楷体" w:hAnsi="楷体" w:hint="eastAsia"/>
          <w:b w:val="0"/>
          <w:bCs w:val="0"/>
          <w:color w:val="000000" w:themeColor="text1"/>
          <w:spacing w:val="-4"/>
          <w:sz w:val="32"/>
          <w:szCs w:val="32"/>
        </w:rPr>
        <w:t>660</w:t>
      </w:r>
      <w:r>
        <w:rPr>
          <w:rStyle w:val="a8"/>
          <w:rFonts w:ascii="楷体" w:eastAsia="楷体" w:hAnsi="楷体" w:hint="eastAsia"/>
          <w:b w:val="0"/>
          <w:bCs w:val="0"/>
          <w:color w:val="000000" w:themeColor="text1"/>
          <w:spacing w:val="-4"/>
          <w:sz w:val="32"/>
          <w:szCs w:val="32"/>
        </w:rPr>
        <w:t>万元。此合同期昌吉市委政法委累计支付昌吉州园林宾馆物业费、餐厅管理费、餐厅补助费用</w:t>
      </w:r>
      <w:r>
        <w:rPr>
          <w:rStyle w:val="a8"/>
          <w:rFonts w:ascii="楷体" w:eastAsia="楷体" w:hAnsi="楷体" w:hint="eastAsia"/>
          <w:b w:val="0"/>
          <w:bCs w:val="0"/>
          <w:color w:val="000000" w:themeColor="text1"/>
          <w:spacing w:val="-4"/>
          <w:sz w:val="32"/>
          <w:szCs w:val="32"/>
        </w:rPr>
        <w:t>629.68</w:t>
      </w:r>
      <w:r>
        <w:rPr>
          <w:rStyle w:val="a8"/>
          <w:rFonts w:ascii="楷体" w:eastAsia="楷体" w:hAnsi="楷体" w:hint="eastAsia"/>
          <w:b w:val="0"/>
          <w:bCs w:val="0"/>
          <w:color w:val="000000" w:themeColor="text1"/>
          <w:spacing w:val="-4"/>
          <w:sz w:val="32"/>
          <w:szCs w:val="32"/>
        </w:rPr>
        <w:t>万元，累计欠款</w:t>
      </w:r>
      <w:r>
        <w:rPr>
          <w:rStyle w:val="a8"/>
          <w:rFonts w:ascii="楷体" w:eastAsia="楷体" w:hAnsi="楷体" w:hint="eastAsia"/>
          <w:b w:val="0"/>
          <w:bCs w:val="0"/>
          <w:color w:val="000000" w:themeColor="text1"/>
          <w:spacing w:val="-4"/>
          <w:sz w:val="32"/>
          <w:szCs w:val="32"/>
        </w:rPr>
        <w:t>629.13</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t>2021</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12</w:t>
      </w:r>
      <w:r>
        <w:rPr>
          <w:rStyle w:val="a8"/>
          <w:rFonts w:ascii="楷体" w:eastAsia="楷体" w:hAnsi="楷体" w:hint="eastAsia"/>
          <w:b w:val="0"/>
          <w:bCs w:val="0"/>
          <w:color w:val="000000" w:themeColor="text1"/>
          <w:spacing w:val="-4"/>
          <w:sz w:val="32"/>
          <w:szCs w:val="32"/>
        </w:rPr>
        <w:t>月底我单位收到财政资金</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万元用于支付以上欠款，实际已支付</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万元整。</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项目实施主体</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2023</w:t>
      </w:r>
      <w:r>
        <w:rPr>
          <w:rStyle w:val="a8"/>
          <w:rFonts w:ascii="楷体" w:eastAsia="楷体" w:hAnsi="楷体" w:hint="eastAsia"/>
          <w:b w:val="0"/>
          <w:bCs w:val="0"/>
          <w:color w:val="000000" w:themeColor="text1"/>
          <w:spacing w:val="-4"/>
          <w:sz w:val="32"/>
          <w:szCs w:val="32"/>
        </w:rPr>
        <w:t>年昌吉市委政法综合大楼物业费、餐厅管理费、餐补欠款项目的实施主体为昌吉市委政法委，该单位纳入</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年部门决算编制范围的有</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个办公室：综合办公室、政工科、维稳指导科、综治督导科、执法监督科。</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编制人数为</w:t>
      </w:r>
      <w:r>
        <w:rPr>
          <w:rStyle w:val="a8"/>
          <w:rFonts w:ascii="楷体" w:eastAsia="楷体" w:hAnsi="楷体" w:hint="eastAsia"/>
          <w:b w:val="0"/>
          <w:bCs w:val="0"/>
          <w:color w:val="000000" w:themeColor="text1"/>
          <w:spacing w:val="-4"/>
          <w:sz w:val="32"/>
          <w:szCs w:val="32"/>
        </w:rPr>
        <w:t>24</w:t>
      </w:r>
      <w:r>
        <w:rPr>
          <w:rStyle w:val="a8"/>
          <w:rFonts w:ascii="楷体" w:eastAsia="楷体" w:hAnsi="楷体" w:hint="eastAsia"/>
          <w:b w:val="0"/>
          <w:bCs w:val="0"/>
          <w:color w:val="000000" w:themeColor="text1"/>
          <w:spacing w:val="-4"/>
          <w:sz w:val="32"/>
          <w:szCs w:val="32"/>
        </w:rPr>
        <w:t>人，其中</w:t>
      </w:r>
      <w:r>
        <w:rPr>
          <w:rStyle w:val="a8"/>
          <w:rFonts w:ascii="楷体" w:eastAsia="楷体" w:hAnsi="楷体" w:hint="eastAsia"/>
          <w:b w:val="0"/>
          <w:bCs w:val="0"/>
          <w:color w:val="000000" w:themeColor="text1"/>
          <w:spacing w:val="-4"/>
          <w:sz w:val="32"/>
          <w:szCs w:val="32"/>
        </w:rPr>
        <w:t>：行政人员编制</w:t>
      </w:r>
      <w:r>
        <w:rPr>
          <w:rStyle w:val="a8"/>
          <w:rFonts w:ascii="楷体" w:eastAsia="楷体" w:hAnsi="楷体" w:hint="eastAsia"/>
          <w:b w:val="0"/>
          <w:bCs w:val="0"/>
          <w:color w:val="000000" w:themeColor="text1"/>
          <w:spacing w:val="-4"/>
          <w:sz w:val="32"/>
          <w:szCs w:val="32"/>
        </w:rPr>
        <w:t>14</w:t>
      </w:r>
      <w:r>
        <w:rPr>
          <w:rStyle w:val="a8"/>
          <w:rFonts w:ascii="楷体" w:eastAsia="楷体" w:hAnsi="楷体" w:hint="eastAsia"/>
          <w:b w:val="0"/>
          <w:bCs w:val="0"/>
          <w:color w:val="000000" w:themeColor="text1"/>
          <w:spacing w:val="-4"/>
          <w:sz w:val="32"/>
          <w:szCs w:val="32"/>
        </w:rPr>
        <w:t>人、工勤</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人、参公</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人、事业编制</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人。实有在职人数</w:t>
      </w:r>
      <w:r>
        <w:rPr>
          <w:rStyle w:val="a8"/>
          <w:rFonts w:ascii="楷体" w:eastAsia="楷体" w:hAnsi="楷体" w:hint="eastAsia"/>
          <w:b w:val="0"/>
          <w:bCs w:val="0"/>
          <w:color w:val="000000" w:themeColor="text1"/>
          <w:spacing w:val="-4"/>
          <w:sz w:val="32"/>
          <w:szCs w:val="32"/>
        </w:rPr>
        <w:t>24</w:t>
      </w:r>
      <w:r>
        <w:rPr>
          <w:rStyle w:val="a8"/>
          <w:rFonts w:ascii="楷体" w:eastAsia="楷体" w:hAnsi="楷体" w:hint="eastAsia"/>
          <w:b w:val="0"/>
          <w:bCs w:val="0"/>
          <w:color w:val="000000" w:themeColor="text1"/>
          <w:spacing w:val="-4"/>
          <w:sz w:val="32"/>
          <w:szCs w:val="32"/>
        </w:rPr>
        <w:t>人，其中：行政在职</w:t>
      </w:r>
      <w:r>
        <w:rPr>
          <w:rStyle w:val="a8"/>
          <w:rFonts w:ascii="楷体" w:eastAsia="楷体" w:hAnsi="楷体" w:hint="eastAsia"/>
          <w:b w:val="0"/>
          <w:bCs w:val="0"/>
          <w:color w:val="000000" w:themeColor="text1"/>
          <w:spacing w:val="-4"/>
          <w:sz w:val="32"/>
          <w:szCs w:val="32"/>
        </w:rPr>
        <w:t>14</w:t>
      </w:r>
      <w:r>
        <w:rPr>
          <w:rStyle w:val="a8"/>
          <w:rFonts w:ascii="楷体" w:eastAsia="楷体" w:hAnsi="楷体" w:hint="eastAsia"/>
          <w:b w:val="0"/>
          <w:bCs w:val="0"/>
          <w:color w:val="000000" w:themeColor="text1"/>
          <w:spacing w:val="-4"/>
          <w:sz w:val="32"/>
          <w:szCs w:val="32"/>
        </w:rPr>
        <w:t>人、工勤</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人、参公</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人、事业在职</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人。离退休人员</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人，其中：行政退休人员</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人、事业退休</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 xml:space="preserve">4. </w:t>
      </w:r>
      <w:r>
        <w:rPr>
          <w:rStyle w:val="a8"/>
          <w:rFonts w:ascii="楷体" w:eastAsia="楷体" w:hAnsi="楷体" w:hint="eastAsia"/>
          <w:b w:val="0"/>
          <w:bCs w:val="0"/>
          <w:color w:val="000000" w:themeColor="text1"/>
          <w:spacing w:val="-4"/>
          <w:sz w:val="32"/>
          <w:szCs w:val="32"/>
        </w:rPr>
        <w:t>资金投入和使用情况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）项目资金安排落实、总投入情况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根据《关于拨付昌吉市委政法综合大楼物业费、餐厅管理费、餐补欠款项目通知》（昌市财预字〔</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243</w:t>
      </w:r>
      <w:r>
        <w:rPr>
          <w:rStyle w:val="a8"/>
          <w:rFonts w:ascii="楷体" w:eastAsia="楷体" w:hAnsi="楷体" w:hint="eastAsia"/>
          <w:b w:val="0"/>
          <w:bCs w:val="0"/>
          <w:color w:val="000000" w:themeColor="text1"/>
          <w:spacing w:val="-4"/>
          <w:sz w:val="32"/>
          <w:szCs w:val="32"/>
        </w:rPr>
        <w:t>号）文件，昌吉市委政法综合大楼物业费、餐厅管理费、餐补欠款项目预算安排资金总额</w:t>
      </w:r>
      <w:r>
        <w:rPr>
          <w:rStyle w:val="a8"/>
          <w:rFonts w:ascii="楷体" w:eastAsia="楷体" w:hAnsi="楷体" w:hint="eastAsia"/>
          <w:b w:val="0"/>
          <w:bCs w:val="0"/>
          <w:color w:val="000000" w:themeColor="text1"/>
          <w:spacing w:val="-4"/>
          <w:sz w:val="32"/>
          <w:szCs w:val="32"/>
        </w:rPr>
        <w:t>50</w:t>
      </w:r>
      <w:r>
        <w:rPr>
          <w:rStyle w:val="a8"/>
          <w:rFonts w:ascii="楷体" w:eastAsia="楷体" w:hAnsi="楷体" w:hint="eastAsia"/>
          <w:b w:val="0"/>
          <w:bCs w:val="0"/>
          <w:color w:val="000000" w:themeColor="text1"/>
          <w:spacing w:val="-4"/>
          <w:sz w:val="32"/>
          <w:szCs w:val="32"/>
        </w:rPr>
        <w:t>万元，其中财政资金</w:t>
      </w:r>
      <w:r>
        <w:rPr>
          <w:rStyle w:val="a8"/>
          <w:rFonts w:ascii="楷体" w:eastAsia="楷体" w:hAnsi="楷体" w:hint="eastAsia"/>
          <w:b w:val="0"/>
          <w:bCs w:val="0"/>
          <w:color w:val="000000" w:themeColor="text1"/>
          <w:spacing w:val="-4"/>
          <w:sz w:val="32"/>
          <w:szCs w:val="32"/>
        </w:rPr>
        <w:t>50</w:t>
      </w:r>
      <w:r>
        <w:rPr>
          <w:rStyle w:val="a8"/>
          <w:rFonts w:ascii="楷体" w:eastAsia="楷体" w:hAnsi="楷体" w:hint="eastAsia"/>
          <w:b w:val="0"/>
          <w:bCs w:val="0"/>
          <w:color w:val="000000" w:themeColor="text1"/>
          <w:spacing w:val="-4"/>
          <w:sz w:val="32"/>
          <w:szCs w:val="32"/>
        </w:rPr>
        <w:t>万元、其他资金</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年实际收到预算资金</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万元，预算资金到位率为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）项目资金实际使用情况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本项目实际支付资金</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万元，预算执行率</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。项目资金主要用于支付昌吉市政法委综合大楼</w:t>
      </w:r>
      <w:r>
        <w:rPr>
          <w:rStyle w:val="a8"/>
          <w:rFonts w:ascii="楷体" w:eastAsia="楷体" w:hAnsi="楷体" w:hint="eastAsia"/>
          <w:b w:val="0"/>
          <w:bCs w:val="0"/>
          <w:color w:val="000000" w:themeColor="text1"/>
          <w:spacing w:val="-4"/>
          <w:sz w:val="32"/>
          <w:szCs w:val="32"/>
        </w:rPr>
        <w:t>2021</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月至</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月</w:t>
      </w:r>
      <w:r>
        <w:rPr>
          <w:rStyle w:val="a8"/>
          <w:rFonts w:ascii="楷体" w:eastAsia="楷体" w:hAnsi="楷体" w:hint="eastAsia"/>
          <w:b w:val="0"/>
          <w:bCs w:val="0"/>
          <w:color w:val="000000" w:themeColor="text1"/>
          <w:spacing w:val="-4"/>
          <w:sz w:val="32"/>
          <w:szCs w:val="32"/>
        </w:rPr>
        <w:t>3</w:t>
      </w:r>
      <w:r w:rsidR="00FE5F70">
        <w:rPr>
          <w:rStyle w:val="a8"/>
          <w:rFonts w:ascii="楷体" w:eastAsia="楷体" w:hAnsi="楷体" w:hint="eastAsia"/>
          <w:b w:val="0"/>
          <w:bCs w:val="0"/>
          <w:color w:val="000000" w:themeColor="text1"/>
          <w:spacing w:val="-4"/>
          <w:sz w:val="32"/>
          <w:szCs w:val="32"/>
        </w:rPr>
        <w:t>0</w:t>
      </w:r>
      <w:r>
        <w:rPr>
          <w:rStyle w:val="a8"/>
          <w:rFonts w:ascii="楷体" w:eastAsia="楷体" w:hAnsi="楷体" w:hint="eastAsia"/>
          <w:b w:val="0"/>
          <w:bCs w:val="0"/>
          <w:color w:val="000000" w:themeColor="text1"/>
          <w:spacing w:val="-4"/>
          <w:sz w:val="32"/>
          <w:szCs w:val="32"/>
        </w:rPr>
        <w:t>日期间的物业费、餐厅管理费、餐补欠款</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w:t>
      </w:r>
    </w:p>
    <w:p w:rsidR="004C64A2" w:rsidRDefault="00501295">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（二）项目绩效目标</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总体目标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完成支付昌吉市政法委综合大楼物业费、餐厅管理费、餐补欠款，从而保障昌吉市委政法综合大楼正常运行。</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阶段性目标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根据《预算法》、《关于印发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号）、《中共中央</w:t>
      </w:r>
      <w:r>
        <w:rPr>
          <w:rStyle w:val="a8"/>
          <w:rFonts w:ascii="楷体" w:eastAsia="楷体" w:hAnsi="楷体" w:hint="eastAsia"/>
          <w:b w:val="0"/>
          <w:bCs w:val="0"/>
          <w:color w:val="000000" w:themeColor="text1"/>
          <w:spacing w:val="-4"/>
          <w:sz w:val="32"/>
          <w:szCs w:val="32"/>
        </w:rPr>
        <w:t>国务院关于全面实施预算绩效管理的意见》（中发〔</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34</w:t>
      </w:r>
      <w:r>
        <w:rPr>
          <w:rStyle w:val="a8"/>
          <w:rFonts w:ascii="楷体" w:eastAsia="楷体" w:hAnsi="楷体" w:hint="eastAsia"/>
          <w:b w:val="0"/>
          <w:bCs w:val="0"/>
          <w:color w:val="000000" w:themeColor="text1"/>
          <w:spacing w:val="-4"/>
          <w:sz w:val="32"/>
          <w:szCs w:val="32"/>
        </w:rPr>
        <w:t>号）、《自治区党委自治区人民</w:t>
      </w:r>
      <w:r>
        <w:rPr>
          <w:rStyle w:val="a8"/>
          <w:rFonts w:ascii="楷体" w:eastAsia="楷体" w:hAnsi="楷体" w:hint="eastAsia"/>
          <w:b w:val="0"/>
          <w:bCs w:val="0"/>
          <w:color w:val="000000" w:themeColor="text1"/>
          <w:spacing w:val="-4"/>
          <w:sz w:val="32"/>
          <w:szCs w:val="32"/>
        </w:rPr>
        <w:lastRenderedPageBreak/>
        <w:t>政府关于全面实施预算绩效管理的实施意见》（新党发〔</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号）、《关于加强和规范自治区本级项目支出“全过程”预算绩效管理结果应用的通知》（新财预〔</w:t>
      </w:r>
      <w:r>
        <w:rPr>
          <w:rStyle w:val="a8"/>
          <w:rFonts w:ascii="楷体" w:eastAsia="楷体" w:hAnsi="楷体" w:hint="eastAsia"/>
          <w:b w:val="0"/>
          <w:bCs w:val="0"/>
          <w:color w:val="000000" w:themeColor="text1"/>
          <w:spacing w:val="-4"/>
          <w:sz w:val="32"/>
          <w:szCs w:val="32"/>
        </w:rPr>
        <w:t>2022</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57</w:t>
      </w:r>
      <w:r>
        <w:rPr>
          <w:rStyle w:val="a8"/>
          <w:rFonts w:ascii="楷体" w:eastAsia="楷体" w:hAnsi="楷体" w:hint="eastAsia"/>
          <w:b w:val="0"/>
          <w:bCs w:val="0"/>
          <w:color w:val="000000" w:themeColor="text1"/>
          <w:spacing w:val="-4"/>
          <w:sz w:val="32"/>
          <w:szCs w:val="32"/>
        </w:rPr>
        <w:t>号），结合项目实施单位的规章制度以及财务相关资料，评价小组对项目绩效目标进行了进一步的完善，完善后绩效目标如下：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）项目产出目标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①数量指标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“市委政法综合大楼合署办公单位个数”指标，预期指标值为“</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个”；</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“市委政法综合大楼合署办公人数”指标</w:t>
      </w:r>
      <w:r>
        <w:rPr>
          <w:rStyle w:val="a8"/>
          <w:rFonts w:ascii="楷体" w:eastAsia="楷体" w:hAnsi="楷体" w:hint="eastAsia"/>
          <w:b w:val="0"/>
          <w:bCs w:val="0"/>
          <w:color w:val="000000" w:themeColor="text1"/>
          <w:spacing w:val="-4"/>
          <w:sz w:val="32"/>
          <w:szCs w:val="32"/>
        </w:rPr>
        <w:t>，预期指标值为“</w:t>
      </w:r>
      <w:r>
        <w:rPr>
          <w:rStyle w:val="a8"/>
          <w:rFonts w:ascii="楷体" w:eastAsia="楷体" w:hAnsi="楷体" w:hint="eastAsia"/>
          <w:b w:val="0"/>
          <w:bCs w:val="0"/>
          <w:color w:val="000000" w:themeColor="text1"/>
          <w:spacing w:val="-4"/>
          <w:sz w:val="32"/>
          <w:szCs w:val="32"/>
        </w:rPr>
        <w:t>=144</w:t>
      </w:r>
      <w:r>
        <w:rPr>
          <w:rStyle w:val="a8"/>
          <w:rFonts w:ascii="楷体" w:eastAsia="楷体" w:hAnsi="楷体" w:hint="eastAsia"/>
          <w:b w:val="0"/>
          <w:bCs w:val="0"/>
          <w:color w:val="000000" w:themeColor="text1"/>
          <w:spacing w:val="-4"/>
          <w:sz w:val="32"/>
          <w:szCs w:val="32"/>
        </w:rPr>
        <w:t>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“市委政法综合大楼建筑总面积”指标，预期指标值为“</w:t>
      </w:r>
      <w:r>
        <w:rPr>
          <w:rStyle w:val="a8"/>
          <w:rFonts w:ascii="楷体" w:eastAsia="楷体" w:hAnsi="楷体" w:hint="eastAsia"/>
          <w:b w:val="0"/>
          <w:bCs w:val="0"/>
          <w:color w:val="000000" w:themeColor="text1"/>
          <w:spacing w:val="-4"/>
          <w:sz w:val="32"/>
          <w:szCs w:val="32"/>
        </w:rPr>
        <w:t>=9618.16</w:t>
      </w:r>
      <w:r>
        <w:rPr>
          <w:rStyle w:val="a8"/>
          <w:rFonts w:ascii="楷体" w:eastAsia="楷体" w:hAnsi="楷体" w:hint="eastAsia"/>
          <w:b w:val="0"/>
          <w:bCs w:val="0"/>
          <w:color w:val="000000" w:themeColor="text1"/>
          <w:spacing w:val="-4"/>
          <w:sz w:val="32"/>
          <w:szCs w:val="32"/>
        </w:rPr>
        <w:t>平方米”</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“工作日市委政法综合大楼餐厅日均就餐人数”指标，预期指标值为“</w:t>
      </w:r>
      <w:r>
        <w:rPr>
          <w:rStyle w:val="a8"/>
          <w:rFonts w:ascii="楷体" w:eastAsia="楷体" w:hAnsi="楷体" w:hint="eastAsia"/>
          <w:b w:val="0"/>
          <w:bCs w:val="0"/>
          <w:color w:val="000000" w:themeColor="text1"/>
          <w:spacing w:val="-4"/>
          <w:sz w:val="32"/>
          <w:szCs w:val="32"/>
        </w:rPr>
        <w:t>=65</w:t>
      </w:r>
      <w:r>
        <w:rPr>
          <w:rStyle w:val="a8"/>
          <w:rFonts w:ascii="楷体" w:eastAsia="楷体" w:hAnsi="楷体" w:hint="eastAsia"/>
          <w:b w:val="0"/>
          <w:bCs w:val="0"/>
          <w:color w:val="000000" w:themeColor="text1"/>
          <w:spacing w:val="-4"/>
          <w:sz w:val="32"/>
          <w:szCs w:val="32"/>
        </w:rPr>
        <w:t>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“非工作日市委政法综合大楼餐厅日均就餐人数”指标，预期指标值为“</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②质量指标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“大楼正常运转率”指标，预期指标值为“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③时效指标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“资金到位及时率”指标，预期指标值为“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④成本指标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“市委政法综合大楼物业费欠款金额”指标，预期指标值为“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w:t>
      </w:r>
      <w:r>
        <w:rPr>
          <w:rStyle w:val="a8"/>
          <w:rFonts w:ascii="楷体" w:eastAsia="楷体" w:hAnsi="楷体" w:hint="eastAsia"/>
          <w:b w:val="0"/>
          <w:bCs w:val="0"/>
          <w:color w:val="000000" w:themeColor="text1"/>
          <w:spacing w:val="-4"/>
          <w:sz w:val="32"/>
          <w:szCs w:val="32"/>
        </w:rPr>
        <w:t>楼餐厅管理费欠款金额”指标，预期指标值为“</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万元”。</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）项目效益目标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①经济效益指标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无此项指标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②社会效益指标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“维护昌吉市社会稳定和长治久安”指标，预期指标值为“有效</w:t>
      </w:r>
      <w:r>
        <w:rPr>
          <w:rStyle w:val="a8"/>
          <w:rFonts w:ascii="楷体" w:eastAsia="楷体" w:hAnsi="楷体" w:hint="eastAsia"/>
          <w:b w:val="0"/>
          <w:bCs w:val="0"/>
          <w:color w:val="000000" w:themeColor="text1"/>
          <w:spacing w:val="-4"/>
          <w:sz w:val="32"/>
          <w:szCs w:val="32"/>
        </w:rPr>
        <w:lastRenderedPageBreak/>
        <w:t>维护”。</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③生态效益指标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无此项指标。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④可持续影响指标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无此项指标。</w:t>
      </w:r>
    </w:p>
    <w:p w:rsidR="004C64A2" w:rsidRDefault="00501295">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二、绩效评价工作开展情况</w:t>
      </w:r>
    </w:p>
    <w:p w:rsidR="004C64A2" w:rsidRDefault="00501295">
      <w:pPr>
        <w:spacing w:line="540" w:lineRule="exact"/>
        <w:ind w:firstLineChars="181"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（一）绩效评价目的、对象和范围</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绩效评价的目的</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本次通过开展部门项目支出绩效评价，旨在强化部门和资金使用单位的绩效意识，全面了解该项目预算编制合理性、资金使用合规性、项目管理规范性、绩效目标实现情况以及服务对象的</w:t>
      </w:r>
      <w:r>
        <w:rPr>
          <w:rStyle w:val="a8"/>
          <w:rFonts w:ascii="楷体" w:eastAsia="楷体" w:hAnsi="楷体" w:hint="eastAsia"/>
          <w:b w:val="0"/>
          <w:bCs w:val="0"/>
          <w:color w:val="000000" w:themeColor="text1"/>
          <w:spacing w:val="-4"/>
          <w:sz w:val="32"/>
          <w:szCs w:val="32"/>
        </w:rPr>
        <w:t>满意度等，及时总结经验和教训，为下年度部门项目支出预算安排、完善政策和改进管理提供可行性参考建议。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绩效评价的对象和范围</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本次绩效评价遵循财政部《关于印发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号）以及自治区财政厅《自治区财政支出绩效评价管理暂行办法》（新财预〔</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189</w:t>
      </w:r>
      <w:r>
        <w:rPr>
          <w:rStyle w:val="a8"/>
          <w:rFonts w:ascii="楷体" w:eastAsia="楷体" w:hAnsi="楷体" w:hint="eastAsia"/>
          <w:b w:val="0"/>
          <w:bCs w:val="0"/>
          <w:color w:val="000000" w:themeColor="text1"/>
          <w:spacing w:val="-4"/>
          <w:sz w:val="32"/>
          <w:szCs w:val="32"/>
        </w:rPr>
        <w:t>号）等文件规定，对</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年度我单位实施的市委政法综合大楼物业费、</w:t>
      </w:r>
      <w:r>
        <w:rPr>
          <w:rStyle w:val="a8"/>
          <w:rFonts w:ascii="楷体" w:eastAsia="楷体" w:hAnsi="楷体" w:hint="eastAsia"/>
          <w:b w:val="0"/>
          <w:bCs w:val="0"/>
          <w:color w:val="000000" w:themeColor="text1"/>
          <w:spacing w:val="-4"/>
          <w:sz w:val="32"/>
          <w:szCs w:val="32"/>
        </w:rPr>
        <w:lastRenderedPageBreak/>
        <w:t>餐厅管理费、餐补欠款项目开展部门绩效评价，主要围绕项目资金使用情况、财务管理状况和资产配置、使用、处置及其收益管理情况；项目管理相关制度及措施</w:t>
      </w:r>
      <w:r>
        <w:rPr>
          <w:rStyle w:val="a8"/>
          <w:rFonts w:ascii="楷体" w:eastAsia="楷体" w:hAnsi="楷体" w:hint="eastAsia"/>
          <w:b w:val="0"/>
          <w:bCs w:val="0"/>
          <w:color w:val="000000" w:themeColor="text1"/>
          <w:spacing w:val="-4"/>
          <w:sz w:val="32"/>
          <w:szCs w:val="32"/>
        </w:rPr>
        <w:t>是否被认真执行；绩效目标的实现程度，包括是否达到预定产出和效果等方面开展综合评价。</w:t>
      </w:r>
    </w:p>
    <w:p w:rsidR="004C64A2" w:rsidRDefault="00501295">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（二）绩效评价原则、评价指标体系、评价方法、评价标准</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绩效评价原则</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依据《中华人民共和国预算法》、《关于印发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等法规和政策文件要求，本次绩效评价秉承科学规范、公正公开、分级分类、绩效相关等原则，按照从投入、过程到产出效果和影响的绩效逻辑路径，结合市委政法综合大楼物业费、餐厅管理费、餐补欠款项目实际开展情况，运用定量和定性分析相结合的方法，总结经验做法，反思项目</w:t>
      </w:r>
      <w:r>
        <w:rPr>
          <w:rStyle w:val="a8"/>
          <w:rFonts w:ascii="楷体" w:eastAsia="楷体" w:hAnsi="楷体" w:hint="eastAsia"/>
          <w:b w:val="0"/>
          <w:bCs w:val="0"/>
          <w:color w:val="000000" w:themeColor="text1"/>
          <w:spacing w:val="-4"/>
          <w:sz w:val="32"/>
          <w:szCs w:val="32"/>
        </w:rPr>
        <w:t>实施和管理中的问题，以切实提升财政资金管理的科学化、规范化和精细化水平。</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根据以上原则，绩效评价遵循如下具体要求：</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）在数据采集时，采取客观数据主管部门审查、社会中介组织复查与问卷调查相结合的形式，以保证各项指标的真实性。</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）保证评价结果的真实性、公正性，提高评价报告的公信力。</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）绩效评价报告简明扼要，除对绩效评价的过程、结果描述外，还总结经验、指出问题，并就共性问题提出可操作性改进建</w:t>
      </w:r>
      <w:r>
        <w:rPr>
          <w:rStyle w:val="a8"/>
          <w:rFonts w:ascii="楷体" w:eastAsia="楷体" w:hAnsi="楷体" w:hint="eastAsia"/>
          <w:b w:val="0"/>
          <w:bCs w:val="0"/>
          <w:color w:val="000000" w:themeColor="text1"/>
          <w:spacing w:val="-4"/>
          <w:sz w:val="32"/>
          <w:szCs w:val="32"/>
        </w:rPr>
        <w:lastRenderedPageBreak/>
        <w:t>议。</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绩效评价指标体系及绩效评价标准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绩效评价指标体系根据财政部《关于印发</w:t>
      </w:r>
      <w:r>
        <w:rPr>
          <w:rStyle w:val="a8"/>
          <w:rFonts w:ascii="楷体" w:eastAsia="楷体" w:hAnsi="楷体" w:hint="eastAsia"/>
          <w:b w:val="0"/>
          <w:bCs w:val="0"/>
          <w:color w:val="000000" w:themeColor="text1"/>
          <w:spacing w:val="-4"/>
          <w:sz w:val="32"/>
          <w:szCs w:val="32"/>
        </w:rPr>
        <w:t>&lt;</w:t>
      </w:r>
      <w:r>
        <w:rPr>
          <w:rStyle w:val="a8"/>
          <w:rFonts w:ascii="楷体" w:eastAsia="楷体" w:hAnsi="楷体" w:hint="eastAsia"/>
          <w:b w:val="0"/>
          <w:bCs w:val="0"/>
          <w:color w:val="000000" w:themeColor="text1"/>
          <w:spacing w:val="-4"/>
          <w:sz w:val="32"/>
          <w:szCs w:val="32"/>
        </w:rPr>
        <w:t>项目支出绩效评价管理</w:t>
      </w:r>
      <w:r>
        <w:rPr>
          <w:rStyle w:val="a8"/>
          <w:rFonts w:ascii="楷体" w:eastAsia="楷体" w:hAnsi="楷体" w:hint="eastAsia"/>
          <w:b w:val="0"/>
          <w:bCs w:val="0"/>
          <w:color w:val="000000" w:themeColor="text1"/>
          <w:spacing w:val="-4"/>
          <w:sz w:val="32"/>
          <w:szCs w:val="32"/>
        </w:rPr>
        <w:t>办法</w:t>
      </w:r>
      <w:r>
        <w:rPr>
          <w:rStyle w:val="a8"/>
          <w:rFonts w:ascii="楷体" w:eastAsia="楷体" w:hAnsi="楷体" w:hint="eastAsia"/>
          <w:b w:val="0"/>
          <w:bCs w:val="0"/>
          <w:color w:val="000000" w:themeColor="text1"/>
          <w:spacing w:val="-4"/>
          <w:sz w:val="32"/>
          <w:szCs w:val="32"/>
        </w:rPr>
        <w:t>&gt;</w:t>
      </w:r>
      <w:r>
        <w:rPr>
          <w:rStyle w:val="a8"/>
          <w:rFonts w:ascii="楷体" w:eastAsia="楷体" w:hAnsi="楷体" w:hint="eastAsia"/>
          <w:b w:val="0"/>
          <w:bCs w:val="0"/>
          <w:color w:val="000000" w:themeColor="text1"/>
          <w:spacing w:val="-4"/>
          <w:sz w:val="32"/>
          <w:szCs w:val="32"/>
        </w:rPr>
        <w:t>的通知》（财预〔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号）、自治区财政厅《自治区财政支出绩效评价管理暂行办法》（新财预〔</w:t>
      </w:r>
      <w:r>
        <w:rPr>
          <w:rStyle w:val="a8"/>
          <w:rFonts w:ascii="楷体" w:eastAsia="楷体" w:hAnsi="楷体" w:hint="eastAsia"/>
          <w:b w:val="0"/>
          <w:bCs w:val="0"/>
          <w:color w:val="000000" w:themeColor="text1"/>
          <w:spacing w:val="-4"/>
          <w:sz w:val="32"/>
          <w:szCs w:val="32"/>
        </w:rPr>
        <w:t>2018</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189</w:t>
      </w:r>
      <w:r>
        <w:rPr>
          <w:rStyle w:val="a8"/>
          <w:rFonts w:ascii="楷体" w:eastAsia="楷体" w:hAnsi="楷体" w:hint="eastAsia"/>
          <w:b w:val="0"/>
          <w:bCs w:val="0"/>
          <w:color w:val="000000" w:themeColor="text1"/>
          <w:spacing w:val="-4"/>
          <w:sz w:val="32"/>
          <w:szCs w:val="32"/>
        </w:rPr>
        <w:t>号）等文件要求，结合本项目特点，在与专家组充分协商的基础上，评价工作组细化了该项目的绩效评价指标体系（详见附表</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一级指标为：决策、过程、产出、效益。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二级指标为：项目立项、绩效目标、资金投入、资金管理、组织实施、产出数量、产出质量、产出时效、产出成本、项目效益。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三级指标为：立项依据充分性、立项程序规范性、绩效目标合理性、绩效指标明确性、预算编制科学性、资金分配合理性、资金到位率</w:t>
      </w:r>
      <w:r>
        <w:rPr>
          <w:rStyle w:val="a8"/>
          <w:rFonts w:ascii="楷体" w:eastAsia="楷体" w:hAnsi="楷体" w:hint="eastAsia"/>
          <w:b w:val="0"/>
          <w:bCs w:val="0"/>
          <w:color w:val="000000" w:themeColor="text1"/>
          <w:spacing w:val="-4"/>
          <w:sz w:val="32"/>
          <w:szCs w:val="32"/>
        </w:rPr>
        <w:t>、预算执行率、资金使用合规性、管理制度健全性、制度执行有效性、实际完成率、质量达标率、完成及时性、成本节约率、社会效益、生态效益、可持续影响、服务对象满意度。</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评价方法</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本次评价采取定量与定性评价相结合的方式，采用比较法、公众评判法对项目实施过程以及预期绩效目标完成情况进行全面、系</w:t>
      </w:r>
      <w:r>
        <w:rPr>
          <w:rStyle w:val="a8"/>
          <w:rFonts w:ascii="楷体" w:eastAsia="楷体" w:hAnsi="楷体" w:hint="eastAsia"/>
          <w:b w:val="0"/>
          <w:bCs w:val="0"/>
          <w:color w:val="000000" w:themeColor="text1"/>
          <w:spacing w:val="-4"/>
          <w:sz w:val="32"/>
          <w:szCs w:val="32"/>
        </w:rPr>
        <w:lastRenderedPageBreak/>
        <w:t>统的评价，总分由各项指标得分汇总形成。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w:t>
      </w:r>
      <w:r>
        <w:rPr>
          <w:rStyle w:val="a8"/>
          <w:rFonts w:ascii="楷体" w:eastAsia="楷体" w:hAnsi="楷体" w:hint="eastAsia"/>
          <w:b w:val="0"/>
          <w:bCs w:val="0"/>
          <w:color w:val="000000" w:themeColor="text1"/>
          <w:spacing w:val="-4"/>
          <w:sz w:val="32"/>
          <w:szCs w:val="32"/>
        </w:rPr>
        <w:t>合理性。</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评价标准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w:t>
      </w:r>
      <w:r>
        <w:rPr>
          <w:rStyle w:val="a8"/>
          <w:rFonts w:ascii="楷体" w:eastAsia="楷体" w:hAnsi="楷体" w:hint="eastAsia"/>
          <w:b w:val="0"/>
          <w:bCs w:val="0"/>
          <w:color w:val="000000" w:themeColor="text1"/>
          <w:spacing w:val="-4"/>
          <w:sz w:val="32"/>
          <w:szCs w:val="32"/>
        </w:rPr>
        <w:t>见（附件</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w:t>
      </w:r>
    </w:p>
    <w:p w:rsidR="004C64A2" w:rsidRDefault="00501295">
      <w:pPr>
        <w:spacing w:line="540" w:lineRule="exact"/>
        <w:ind w:firstLineChars="181" w:firstLine="567"/>
        <w:rPr>
          <w:rStyle w:val="a8"/>
          <w:rFonts w:ascii="楷体" w:eastAsia="楷体" w:hAnsi="楷体"/>
          <w:color w:val="000000" w:themeColor="text1"/>
          <w:spacing w:val="-4"/>
          <w:sz w:val="32"/>
          <w:szCs w:val="32"/>
        </w:rPr>
      </w:pPr>
      <w:r>
        <w:rPr>
          <w:rStyle w:val="a8"/>
          <w:rFonts w:ascii="楷体" w:eastAsia="楷体" w:hAnsi="楷体" w:hint="eastAsia"/>
          <w:color w:val="000000" w:themeColor="text1"/>
          <w:spacing w:val="-4"/>
          <w:sz w:val="32"/>
          <w:szCs w:val="32"/>
        </w:rPr>
        <w:t>（三）绩效评价工作过程</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第一阶段：前期准备。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我单位绩效评价人员根据《项目支出绩效评价管理办法》（财预〔</w:t>
      </w:r>
      <w:r>
        <w:rPr>
          <w:rStyle w:val="a8"/>
          <w:rFonts w:ascii="楷体" w:eastAsia="楷体" w:hAnsi="楷体" w:hint="eastAsia"/>
          <w:b w:val="0"/>
          <w:bCs w:val="0"/>
          <w:color w:val="000000" w:themeColor="text1"/>
          <w:spacing w:val="-4"/>
          <w:sz w:val="32"/>
          <w:szCs w:val="32"/>
        </w:rPr>
        <w:t>2020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10</w:t>
      </w:r>
      <w:r>
        <w:rPr>
          <w:rStyle w:val="a8"/>
          <w:rFonts w:ascii="楷体" w:eastAsia="楷体" w:hAnsi="楷体" w:hint="eastAsia"/>
          <w:b w:val="0"/>
          <w:bCs w:val="0"/>
          <w:color w:val="000000" w:themeColor="text1"/>
          <w:spacing w:val="-4"/>
          <w:sz w:val="32"/>
          <w:szCs w:val="32"/>
        </w:rPr>
        <w:t>号）文件精神认真学习相关要求与规定，成立绩效</w:t>
      </w:r>
      <w:r>
        <w:rPr>
          <w:rStyle w:val="a8"/>
          <w:rFonts w:ascii="楷体" w:eastAsia="楷体" w:hAnsi="楷体" w:hint="eastAsia"/>
          <w:b w:val="0"/>
          <w:bCs w:val="0"/>
          <w:color w:val="000000" w:themeColor="text1"/>
          <w:spacing w:val="-4"/>
          <w:sz w:val="32"/>
          <w:szCs w:val="32"/>
        </w:rPr>
        <w:lastRenderedPageBreak/>
        <w:t>评价工作组，作为绩效评价工作具体实施机构。成员构成如下：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陈龙江任评价组组长，绩效评价工作职责为检查项目绩效指标完成情况、审定项目支出绩效评价结果及项目支出绩效评价报告。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肖颖任评价组副组长，绩效评价工作职责为组织和协调项目工作人员采取实地调查、资料检查等方式，核实项目绩效指标完成情况；组织受益对象对项目工作进行评价等。</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任</w:t>
      </w:r>
      <w:r>
        <w:rPr>
          <w:rStyle w:val="a8"/>
          <w:rFonts w:ascii="楷体" w:eastAsia="楷体" w:hAnsi="楷体" w:hint="eastAsia"/>
          <w:b w:val="0"/>
          <w:bCs w:val="0"/>
          <w:color w:val="000000" w:themeColor="text1"/>
          <w:spacing w:val="-4"/>
          <w:sz w:val="32"/>
          <w:szCs w:val="32"/>
        </w:rPr>
        <w:t>思远任评价组成员，绩效评价工作职责为做好项目支出绩效评价工作的沟通协调工作，对项目实施情况进行实地调查，编写项目支出绩效评价报告。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第二阶段：组织实施。</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经评价组通过实地调研、查阅资料等方式，采用综合分析法对项目的决策、管理、绩效进行的综合评价分析。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第三阶段：分析评价。</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第四阶段：撰写与提交评价报告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r>
      <w:r>
        <w:rPr>
          <w:rStyle w:val="a8"/>
          <w:rFonts w:ascii="楷体" w:eastAsia="楷体" w:hAnsi="楷体" w:hint="eastAsia"/>
          <w:b w:val="0"/>
          <w:bCs w:val="0"/>
          <w:color w:val="000000" w:themeColor="text1"/>
          <w:spacing w:val="-4"/>
          <w:sz w:val="32"/>
          <w:szCs w:val="32"/>
        </w:rPr>
        <w:t>项目撰写绩效评价报告，按照财政单位大平台绩效系统中统一</w:t>
      </w:r>
      <w:r>
        <w:rPr>
          <w:rStyle w:val="a8"/>
          <w:rFonts w:ascii="楷体" w:eastAsia="楷体" w:hAnsi="楷体" w:hint="eastAsia"/>
          <w:b w:val="0"/>
          <w:bCs w:val="0"/>
          <w:color w:val="000000" w:themeColor="text1"/>
          <w:spacing w:val="-4"/>
          <w:sz w:val="32"/>
          <w:szCs w:val="32"/>
        </w:rPr>
        <w:t>格式和文本框架撰写绩效评价报告。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第五阶段：归集档案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建立和落实档案管理制度，将项目相关资料存档，包括但不限于：评价项目基本情况和相关文件、评价实施方案、项目支付资料等相关档案。</w:t>
      </w:r>
    </w:p>
    <w:p w:rsidR="004C64A2" w:rsidRDefault="00501295">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三、综合评价情况及评价结论</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（一）综合评价情况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通过昌吉市委政法综合大楼物业费、餐厅管理费、餐补欠款项目的实施，解决了昌吉州园林宾馆欠款问题，实现了维护昌吉市社会稳定和长治久安效益，该项目预算执行率达</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，项目预期绩效目标及各项具体指标均已全部达成。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（二）综合评价结论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本次评价采取定量与定性评价相结合的方式，对昌吉</w:t>
      </w:r>
      <w:r>
        <w:rPr>
          <w:rStyle w:val="a8"/>
          <w:rFonts w:ascii="楷体" w:eastAsia="楷体" w:hAnsi="楷体" w:hint="eastAsia"/>
          <w:b w:val="0"/>
          <w:bCs w:val="0"/>
          <w:color w:val="000000" w:themeColor="text1"/>
          <w:spacing w:val="-4"/>
          <w:sz w:val="32"/>
          <w:szCs w:val="32"/>
        </w:rPr>
        <w:t>市委政法综合大楼物业费、餐厅管理费、餐补欠款项目的绩效目标和各项具体绩效指标实现情况进行了客观评价，最终评分为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分。绩效评级为“优”，具体得分情况为：项目决策</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分、项目过程</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分、项目产出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分、项目效益</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w:t>
      </w:r>
    </w:p>
    <w:p w:rsidR="004C64A2" w:rsidRDefault="00501295">
      <w:pPr>
        <w:spacing w:line="540" w:lineRule="exact"/>
        <w:ind w:firstLine="640"/>
        <w:rPr>
          <w:rStyle w:val="a8"/>
          <w:rFonts w:ascii="黑体" w:eastAsia="黑体" w:hAnsi="黑体"/>
          <w:color w:val="000000" w:themeColor="text1"/>
        </w:rPr>
      </w:pPr>
      <w:r>
        <w:rPr>
          <w:rStyle w:val="a8"/>
          <w:rFonts w:ascii="黑体" w:eastAsia="黑体" w:hAnsi="黑体" w:hint="eastAsia"/>
          <w:b w:val="0"/>
          <w:color w:val="000000" w:themeColor="text1"/>
          <w:spacing w:val="-4"/>
          <w:sz w:val="32"/>
          <w:szCs w:val="32"/>
        </w:rPr>
        <w:t>四、绩效评价指标分析</w:t>
      </w:r>
    </w:p>
    <w:p w:rsidR="004C64A2" w:rsidRDefault="00501295">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lastRenderedPageBreak/>
        <w:t>（一）</w:t>
      </w:r>
      <w:r>
        <w:rPr>
          <w:rStyle w:val="a8"/>
          <w:rFonts w:ascii="楷体" w:eastAsia="楷体" w:hAnsi="楷体" w:hint="eastAsia"/>
          <w:color w:val="000000" w:themeColor="text1"/>
          <w:spacing w:val="-4"/>
          <w:sz w:val="32"/>
          <w:szCs w:val="32"/>
        </w:rPr>
        <w:t>项目决策情况</w:t>
      </w:r>
    </w:p>
    <w:p w:rsidR="004C64A2" w:rsidRDefault="00501295">
      <w:pPr>
        <w:tabs>
          <w:tab w:val="center" w:pos="4295"/>
        </w:tabs>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项目决策类指标从项目立项、绩效目标和资金投入三个方面评价项目前期准备工作，权重分值为</w:t>
      </w:r>
      <w:r>
        <w:rPr>
          <w:rStyle w:val="a8"/>
          <w:rFonts w:ascii="楷体" w:eastAsia="楷体" w:hAnsi="楷体" w:hint="eastAsia"/>
          <w:b w:val="0"/>
          <w:bCs w:val="0"/>
          <w:color w:val="000000" w:themeColor="text1"/>
          <w:spacing w:val="-4"/>
          <w:sz w:val="32"/>
          <w:szCs w:val="32"/>
        </w:rPr>
        <w:t xml:space="preserve"> 20 </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20.00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立项依据充分性：本项目是由昌吉市委政法委提出申报，于</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月批复设立，</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年我单位根据《关于拨付昌吉市委政法综合大楼物业费、餐厅管理费、餐补欠款的请示》（昌市党政法〔</w:t>
      </w:r>
      <w:r>
        <w:rPr>
          <w:rStyle w:val="a8"/>
          <w:rFonts w:ascii="楷体" w:eastAsia="楷体" w:hAnsi="楷体" w:hint="eastAsia"/>
          <w:b w:val="0"/>
          <w:bCs w:val="0"/>
          <w:color w:val="000000" w:themeColor="text1"/>
          <w:spacing w:val="-4"/>
          <w:sz w:val="32"/>
          <w:szCs w:val="32"/>
        </w:rPr>
        <w:t>2023</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号）文件文件要求组织实施该项目。项目立项符合国家法律法规、自治区和地区行业发展规划和政策要求，属于本部门履职所需。根据评分标准，该指标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立项程序规范性：根据决策依据编制工作计划和经费预算，经过与部门市政府分管领导进行沟通、筛选确定经费预算计划，上党委会研究确定最终预算方案。根据评分标准，该指标</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得</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绩效目标合理性：本项目制定了项目支出绩效目标，明确了项目总体思路及总目标、并对项目任务进行了详细分解，对目标进行了细化。根据评分标准，该指标</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绩效指标明确性：本项目已将项目绩效目标细化分解为具体的绩效指标，并通过清晰、可衡量的指标值予以体现，与项目目标任务数或计划数相对应。根据评分标准，该指标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5.</w:t>
      </w:r>
      <w:r>
        <w:rPr>
          <w:rStyle w:val="a8"/>
          <w:rFonts w:ascii="楷体" w:eastAsia="楷体" w:hAnsi="楷体" w:hint="eastAsia"/>
          <w:b w:val="0"/>
          <w:bCs w:val="0"/>
          <w:color w:val="000000" w:themeColor="text1"/>
          <w:spacing w:val="-4"/>
          <w:sz w:val="32"/>
          <w:szCs w:val="32"/>
        </w:rPr>
        <w:t>预算编制科学性：</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t>预算编制经过科学论证，内容与项目内容匹配，项目投资额与工作任务相匹配，根据评分标准，该指标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6.</w:t>
      </w:r>
      <w:r>
        <w:rPr>
          <w:rStyle w:val="a8"/>
          <w:rFonts w:ascii="楷体" w:eastAsia="楷体" w:hAnsi="楷体" w:hint="eastAsia"/>
          <w:b w:val="0"/>
          <w:bCs w:val="0"/>
          <w:color w:val="000000" w:themeColor="text1"/>
          <w:spacing w:val="-4"/>
          <w:sz w:val="32"/>
          <w:szCs w:val="32"/>
        </w:rPr>
        <w:t>资金分配合理性：本项目资金分配</w:t>
      </w:r>
      <w:r>
        <w:rPr>
          <w:rStyle w:val="a8"/>
          <w:rFonts w:ascii="楷体" w:eastAsia="楷体" w:hAnsi="楷体" w:hint="eastAsia"/>
          <w:b w:val="0"/>
          <w:bCs w:val="0"/>
          <w:color w:val="000000" w:themeColor="text1"/>
          <w:spacing w:val="-4"/>
          <w:sz w:val="32"/>
          <w:szCs w:val="32"/>
        </w:rPr>
        <w:t>依据充分，资金分配额度合理，与项目地方实际相适应。根据评分标准，该指标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ab/>
      </w:r>
    </w:p>
    <w:p w:rsidR="004C64A2" w:rsidRDefault="00501295">
      <w:pPr>
        <w:spacing w:line="540" w:lineRule="exact"/>
        <w:ind w:firstLineChars="181" w:firstLine="567"/>
        <w:rPr>
          <w:rStyle w:val="a8"/>
          <w:rFonts w:ascii="楷体" w:eastAsia="楷体" w:hAnsi="楷体"/>
          <w:color w:val="000000" w:themeColor="text1"/>
          <w:spacing w:val="-4"/>
          <w:sz w:val="32"/>
          <w:szCs w:val="32"/>
        </w:rPr>
      </w:pPr>
      <w:r>
        <w:rPr>
          <w:rFonts w:ascii="楷体" w:eastAsia="楷体" w:hAnsi="楷体" w:hint="eastAsia"/>
          <w:b/>
          <w:color w:val="000000" w:themeColor="text1"/>
          <w:spacing w:val="-4"/>
          <w:sz w:val="32"/>
          <w:szCs w:val="32"/>
        </w:rPr>
        <w:t>（二）</w:t>
      </w:r>
      <w:r>
        <w:rPr>
          <w:rStyle w:val="a8"/>
          <w:rFonts w:ascii="楷体" w:eastAsia="楷体" w:hAnsi="楷体" w:hint="eastAsia"/>
          <w:color w:val="000000" w:themeColor="text1"/>
          <w:spacing w:val="-4"/>
          <w:sz w:val="32"/>
          <w:szCs w:val="32"/>
        </w:rPr>
        <w:t>项目过程情况</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项目过程类指标包括资金管理和组织实施两方面的内容，由</w:t>
      </w:r>
      <w:r>
        <w:rPr>
          <w:rStyle w:val="a8"/>
          <w:rFonts w:ascii="楷体" w:eastAsia="楷体" w:hAnsi="楷体" w:hint="eastAsia"/>
          <w:b w:val="0"/>
          <w:bCs w:val="0"/>
          <w:color w:val="000000" w:themeColor="text1"/>
          <w:spacing w:val="-4"/>
          <w:sz w:val="32"/>
          <w:szCs w:val="32"/>
        </w:rPr>
        <w:t xml:space="preserve"> 5</w:t>
      </w:r>
      <w:r>
        <w:rPr>
          <w:rStyle w:val="a8"/>
          <w:rFonts w:ascii="楷体" w:eastAsia="楷体" w:hAnsi="楷体" w:hint="eastAsia"/>
          <w:b w:val="0"/>
          <w:bCs w:val="0"/>
          <w:color w:val="000000" w:themeColor="text1"/>
          <w:spacing w:val="-4"/>
          <w:sz w:val="32"/>
          <w:szCs w:val="32"/>
        </w:rPr>
        <w:t>个三级指标构成，权重分值为</w:t>
      </w:r>
      <w:r>
        <w:rPr>
          <w:rStyle w:val="a8"/>
          <w:rFonts w:ascii="楷体" w:eastAsia="楷体" w:hAnsi="楷体" w:hint="eastAsia"/>
          <w:b w:val="0"/>
          <w:bCs w:val="0"/>
          <w:color w:val="000000" w:themeColor="text1"/>
          <w:spacing w:val="-4"/>
          <w:sz w:val="32"/>
          <w:szCs w:val="32"/>
        </w:rPr>
        <w:t xml:space="preserve"> 20 </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20.00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资金到位率：该项目所需财政资金能够足额拨付到位，牵头单位能够及时足额按照合同约定将专项资金拨付给单位，根据评分标准，该指标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预算执行率：本项目预算编制较为详细，预算资金</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万元，实际执行</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万元，预算执行率为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，项目资金支出总体能够按照预算执行，根据评分标准，该指标</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资金使用合规性：本项目资金严格按照项目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根据评分标准，该指标</w:t>
      </w:r>
      <w:r>
        <w:rPr>
          <w:rStyle w:val="a8"/>
          <w:rFonts w:ascii="楷体" w:eastAsia="楷体" w:hAnsi="楷体" w:hint="eastAsia"/>
          <w:b w:val="0"/>
          <w:bCs w:val="0"/>
          <w:color w:val="000000" w:themeColor="text1"/>
          <w:spacing w:val="-4"/>
          <w:sz w:val="32"/>
          <w:szCs w:val="32"/>
        </w:rPr>
        <w:lastRenderedPageBreak/>
        <w:t>5</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管理制度健全性：我单位</w:t>
      </w:r>
      <w:r>
        <w:rPr>
          <w:rStyle w:val="a8"/>
          <w:rFonts w:ascii="楷体" w:eastAsia="楷体" w:hAnsi="楷体" w:hint="eastAsia"/>
          <w:b w:val="0"/>
          <w:bCs w:val="0"/>
          <w:color w:val="000000" w:themeColor="text1"/>
          <w:spacing w:val="-4"/>
          <w:sz w:val="32"/>
          <w:szCs w:val="32"/>
        </w:rPr>
        <w:t>的财务和业务管理制度健全，财务和业务管理制度合法、合规、完整。同时要建立健全内部财务管理制度，加强会计日常核算和监督，加强资金的预算、控制、分析和检查工作，做好项目财务管理基础工作；项目实行审计制度，由相关部门对项目采取跟踪审计，根据评分标准，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5.</w:t>
      </w:r>
      <w:r>
        <w:rPr>
          <w:rStyle w:val="a8"/>
          <w:rFonts w:ascii="楷体" w:eastAsia="楷体" w:hAnsi="楷体" w:hint="eastAsia"/>
          <w:b w:val="0"/>
          <w:bCs w:val="0"/>
          <w:color w:val="000000" w:themeColor="text1"/>
          <w:spacing w:val="-4"/>
          <w:sz w:val="32"/>
          <w:szCs w:val="32"/>
        </w:rPr>
        <w:t>制度执行有效性：项目资金严格按照根据《中华人民共和国预算法》，加强对项目资金的预算执行及日常监督管理，确保每个项目按照规定的用途实施。资金拨付坚持按项目、预算、进度、指定用途拨款，确保财政专项资金规范使用。</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项目立项依据、实施方案、财务信</w:t>
      </w:r>
      <w:r>
        <w:rPr>
          <w:rStyle w:val="a8"/>
          <w:rFonts w:ascii="楷体" w:eastAsia="楷体" w:hAnsi="楷体" w:hint="eastAsia"/>
          <w:b w:val="0"/>
          <w:bCs w:val="0"/>
          <w:color w:val="000000" w:themeColor="text1"/>
          <w:spacing w:val="-4"/>
          <w:sz w:val="32"/>
          <w:szCs w:val="32"/>
        </w:rPr>
        <w:t>息等资料齐全并及时归档；项目实施的人员条件、场地设备、信息支撑等落实到位，根据评分标准，该指标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p>
    <w:p w:rsidR="004C64A2" w:rsidRDefault="00501295">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t>（三）</w:t>
      </w:r>
      <w:r>
        <w:rPr>
          <w:rStyle w:val="a8"/>
          <w:rFonts w:ascii="楷体" w:eastAsia="楷体" w:hAnsi="楷体" w:hint="eastAsia"/>
          <w:color w:val="000000" w:themeColor="text1"/>
          <w:spacing w:val="-4"/>
          <w:sz w:val="32"/>
          <w:szCs w:val="32"/>
        </w:rPr>
        <w:t>项目产出情况</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项目产出类指标包括产出数量、产出质量、产出时效、产出成本共四方面的内容，由</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个三级指标构成，权重分为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 xml:space="preserve">1. </w:t>
      </w:r>
      <w:r>
        <w:rPr>
          <w:rStyle w:val="a8"/>
          <w:rFonts w:ascii="楷体" w:eastAsia="楷体" w:hAnsi="楷体" w:hint="eastAsia"/>
          <w:b w:val="0"/>
          <w:bCs w:val="0"/>
          <w:color w:val="000000" w:themeColor="text1"/>
          <w:spacing w:val="-4"/>
          <w:sz w:val="32"/>
          <w:szCs w:val="32"/>
        </w:rPr>
        <w:t>产出数量</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）“确保大楼内正常运行单位个数量”指标，预期指标值为“</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个”，根据工作资料可知，实际完成</w:t>
      </w:r>
      <w:r>
        <w:rPr>
          <w:rStyle w:val="a8"/>
          <w:rFonts w:ascii="楷体" w:eastAsia="楷体" w:hAnsi="楷体" w:hint="eastAsia"/>
          <w:b w:val="0"/>
          <w:bCs w:val="0"/>
          <w:color w:val="000000" w:themeColor="text1"/>
          <w:spacing w:val="-4"/>
          <w:sz w:val="32"/>
          <w:szCs w:val="32"/>
        </w:rPr>
        <w:t>9</w:t>
      </w:r>
      <w:r>
        <w:rPr>
          <w:rStyle w:val="a8"/>
          <w:rFonts w:ascii="楷体" w:eastAsia="楷体" w:hAnsi="楷体" w:hint="eastAsia"/>
          <w:b w:val="0"/>
          <w:bCs w:val="0"/>
          <w:color w:val="000000" w:themeColor="text1"/>
          <w:spacing w:val="-4"/>
          <w:sz w:val="32"/>
          <w:szCs w:val="32"/>
        </w:rPr>
        <w:t>个，与预期目标一致，根据评分标准，该指标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）“市委政法综合大楼合</w:t>
      </w:r>
      <w:r>
        <w:rPr>
          <w:rStyle w:val="a8"/>
          <w:rFonts w:ascii="楷体" w:eastAsia="楷体" w:hAnsi="楷体" w:hint="eastAsia"/>
          <w:b w:val="0"/>
          <w:bCs w:val="0"/>
          <w:color w:val="000000" w:themeColor="text1"/>
          <w:spacing w:val="-4"/>
          <w:sz w:val="32"/>
          <w:szCs w:val="32"/>
        </w:rPr>
        <w:t>署办公人数”指标，预期指标值为“</w:t>
      </w:r>
      <w:r>
        <w:rPr>
          <w:rStyle w:val="a8"/>
          <w:rFonts w:ascii="楷体" w:eastAsia="楷体" w:hAnsi="楷体" w:hint="eastAsia"/>
          <w:b w:val="0"/>
          <w:bCs w:val="0"/>
          <w:color w:val="000000" w:themeColor="text1"/>
          <w:spacing w:val="-4"/>
          <w:sz w:val="32"/>
          <w:szCs w:val="32"/>
        </w:rPr>
        <w:t>=144</w:t>
      </w:r>
      <w:r>
        <w:rPr>
          <w:rStyle w:val="a8"/>
          <w:rFonts w:ascii="楷体" w:eastAsia="楷体" w:hAnsi="楷体" w:hint="eastAsia"/>
          <w:b w:val="0"/>
          <w:bCs w:val="0"/>
          <w:color w:val="000000" w:themeColor="text1"/>
          <w:spacing w:val="-4"/>
          <w:sz w:val="32"/>
          <w:szCs w:val="32"/>
        </w:rPr>
        <w:t>人”，根据工作资料可知，实际完成</w:t>
      </w:r>
      <w:r>
        <w:rPr>
          <w:rStyle w:val="a8"/>
          <w:rFonts w:ascii="楷体" w:eastAsia="楷体" w:hAnsi="楷体" w:hint="eastAsia"/>
          <w:b w:val="0"/>
          <w:bCs w:val="0"/>
          <w:color w:val="000000" w:themeColor="text1"/>
          <w:spacing w:val="-4"/>
          <w:sz w:val="32"/>
          <w:szCs w:val="32"/>
        </w:rPr>
        <w:t>144</w:t>
      </w:r>
      <w:r>
        <w:rPr>
          <w:rStyle w:val="a8"/>
          <w:rFonts w:ascii="楷体" w:eastAsia="楷体" w:hAnsi="楷体" w:hint="eastAsia"/>
          <w:b w:val="0"/>
          <w:bCs w:val="0"/>
          <w:color w:val="000000" w:themeColor="text1"/>
          <w:spacing w:val="-4"/>
          <w:sz w:val="32"/>
          <w:szCs w:val="32"/>
        </w:rPr>
        <w:t>人，与预期目标一致，根据评分标准，该指标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）“市委政法综合大楼建筑总面积”指标，预期指标值为“</w:t>
      </w:r>
      <w:r>
        <w:rPr>
          <w:rStyle w:val="a8"/>
          <w:rFonts w:ascii="楷体" w:eastAsia="楷体" w:hAnsi="楷体" w:hint="eastAsia"/>
          <w:b w:val="0"/>
          <w:bCs w:val="0"/>
          <w:color w:val="000000" w:themeColor="text1"/>
          <w:spacing w:val="-4"/>
          <w:sz w:val="32"/>
          <w:szCs w:val="32"/>
        </w:rPr>
        <w:t>9618.16</w:t>
      </w:r>
      <w:r>
        <w:rPr>
          <w:rStyle w:val="a8"/>
          <w:rFonts w:ascii="楷体" w:eastAsia="楷体" w:hAnsi="楷体" w:hint="eastAsia"/>
          <w:b w:val="0"/>
          <w:bCs w:val="0"/>
          <w:color w:val="000000" w:themeColor="text1"/>
          <w:spacing w:val="-4"/>
          <w:sz w:val="32"/>
          <w:szCs w:val="32"/>
        </w:rPr>
        <w:t>平米”，根据工作资料可知，实际完成</w:t>
      </w:r>
      <w:r>
        <w:rPr>
          <w:rStyle w:val="a8"/>
          <w:rFonts w:ascii="楷体" w:eastAsia="楷体" w:hAnsi="楷体" w:hint="eastAsia"/>
          <w:b w:val="0"/>
          <w:bCs w:val="0"/>
          <w:color w:val="000000" w:themeColor="text1"/>
          <w:spacing w:val="-4"/>
          <w:sz w:val="32"/>
          <w:szCs w:val="32"/>
        </w:rPr>
        <w:t>9618.16</w:t>
      </w:r>
      <w:r>
        <w:rPr>
          <w:rStyle w:val="a8"/>
          <w:rFonts w:ascii="楷体" w:eastAsia="楷体" w:hAnsi="楷体" w:hint="eastAsia"/>
          <w:b w:val="0"/>
          <w:bCs w:val="0"/>
          <w:color w:val="000000" w:themeColor="text1"/>
          <w:spacing w:val="-4"/>
          <w:sz w:val="32"/>
          <w:szCs w:val="32"/>
        </w:rPr>
        <w:t>平米，与预期目标一致，根据评分标准，该指标</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）“工作日市委政法综合大楼餐厅日均就餐人数”指标，预期指标值为“</w:t>
      </w:r>
      <w:r>
        <w:rPr>
          <w:rStyle w:val="a8"/>
          <w:rFonts w:ascii="楷体" w:eastAsia="楷体" w:hAnsi="楷体" w:hint="eastAsia"/>
          <w:b w:val="0"/>
          <w:bCs w:val="0"/>
          <w:color w:val="000000" w:themeColor="text1"/>
          <w:spacing w:val="-4"/>
          <w:sz w:val="32"/>
          <w:szCs w:val="32"/>
        </w:rPr>
        <w:t>=65</w:t>
      </w:r>
      <w:r>
        <w:rPr>
          <w:rStyle w:val="a8"/>
          <w:rFonts w:ascii="楷体" w:eastAsia="楷体" w:hAnsi="楷体" w:hint="eastAsia"/>
          <w:b w:val="0"/>
          <w:bCs w:val="0"/>
          <w:color w:val="000000" w:themeColor="text1"/>
          <w:spacing w:val="-4"/>
          <w:sz w:val="32"/>
          <w:szCs w:val="32"/>
        </w:rPr>
        <w:t>人”，根据工作资料可知，实际完成</w:t>
      </w:r>
      <w:r>
        <w:rPr>
          <w:rStyle w:val="a8"/>
          <w:rFonts w:ascii="楷体" w:eastAsia="楷体" w:hAnsi="楷体" w:hint="eastAsia"/>
          <w:b w:val="0"/>
          <w:bCs w:val="0"/>
          <w:color w:val="000000" w:themeColor="text1"/>
          <w:spacing w:val="-4"/>
          <w:sz w:val="32"/>
          <w:szCs w:val="32"/>
        </w:rPr>
        <w:t>65</w:t>
      </w:r>
      <w:r>
        <w:rPr>
          <w:rStyle w:val="a8"/>
          <w:rFonts w:ascii="楷体" w:eastAsia="楷体" w:hAnsi="楷体" w:hint="eastAsia"/>
          <w:b w:val="0"/>
          <w:bCs w:val="0"/>
          <w:color w:val="000000" w:themeColor="text1"/>
          <w:spacing w:val="-4"/>
          <w:sz w:val="32"/>
          <w:szCs w:val="32"/>
        </w:rPr>
        <w:t>人，与预期目标一致，根据评分标准，该指标</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5</w:t>
      </w:r>
      <w:r>
        <w:rPr>
          <w:rStyle w:val="a8"/>
          <w:rFonts w:ascii="楷体" w:eastAsia="楷体" w:hAnsi="楷体" w:hint="eastAsia"/>
          <w:b w:val="0"/>
          <w:bCs w:val="0"/>
          <w:color w:val="000000" w:themeColor="text1"/>
          <w:spacing w:val="-4"/>
          <w:sz w:val="32"/>
          <w:szCs w:val="32"/>
        </w:rPr>
        <w:t>）“非工作日市委政法综合大</w:t>
      </w:r>
      <w:r>
        <w:rPr>
          <w:rStyle w:val="a8"/>
          <w:rFonts w:ascii="楷体" w:eastAsia="楷体" w:hAnsi="楷体" w:hint="eastAsia"/>
          <w:b w:val="0"/>
          <w:bCs w:val="0"/>
          <w:color w:val="000000" w:themeColor="text1"/>
          <w:spacing w:val="-4"/>
          <w:sz w:val="32"/>
          <w:szCs w:val="32"/>
        </w:rPr>
        <w:t>楼餐厅日均就餐人数”指标，预期指标值为“</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人”，根据工作资料可知，实际完成</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人，与预期目标一致，根据评分标准，该指标</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综上所述，产出数量指标合计得</w:t>
      </w:r>
      <w:r>
        <w:rPr>
          <w:rStyle w:val="a8"/>
          <w:rFonts w:ascii="楷体" w:eastAsia="楷体" w:hAnsi="楷体" w:hint="eastAsia"/>
          <w:b w:val="0"/>
          <w:bCs w:val="0"/>
          <w:color w:val="000000" w:themeColor="text1"/>
          <w:spacing w:val="-4"/>
          <w:sz w:val="32"/>
          <w:szCs w:val="32"/>
        </w:rPr>
        <w:t>8.00</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产出质量</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“政法综合大楼正常运转保障率”指标，预期指标值为“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lastRenderedPageBreak/>
        <w:t>根据工作资料可知，实际完成</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，与预期目标一致，根据评分标准，该指标</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8</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3.</w:t>
      </w:r>
      <w:r>
        <w:rPr>
          <w:rStyle w:val="a8"/>
          <w:rFonts w:ascii="楷体" w:eastAsia="楷体" w:hAnsi="楷体" w:hint="eastAsia"/>
          <w:b w:val="0"/>
          <w:bCs w:val="0"/>
          <w:color w:val="000000" w:themeColor="text1"/>
          <w:spacing w:val="-4"/>
          <w:sz w:val="32"/>
          <w:szCs w:val="32"/>
        </w:rPr>
        <w:t>产出时效</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“资金到位及时率”指标，预期指标值为“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”，根据原始凭证可知，实际完成</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，与预期目标一致，根据评分标准，该指标</w:t>
      </w:r>
      <w:r>
        <w:rPr>
          <w:rStyle w:val="a8"/>
          <w:rFonts w:ascii="楷体" w:eastAsia="楷体" w:hAnsi="楷体" w:hint="eastAsia"/>
          <w:b w:val="0"/>
          <w:bCs w:val="0"/>
          <w:color w:val="000000" w:themeColor="text1"/>
          <w:spacing w:val="-4"/>
          <w:sz w:val="32"/>
          <w:szCs w:val="32"/>
        </w:rPr>
        <w:t>6</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6</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4.</w:t>
      </w:r>
      <w:r>
        <w:rPr>
          <w:rStyle w:val="a8"/>
          <w:rFonts w:ascii="楷体" w:eastAsia="楷体" w:hAnsi="楷体" w:hint="eastAsia"/>
          <w:b w:val="0"/>
          <w:bCs w:val="0"/>
          <w:color w:val="000000" w:themeColor="text1"/>
          <w:spacing w:val="-4"/>
          <w:sz w:val="32"/>
          <w:szCs w:val="32"/>
        </w:rPr>
        <w:t>产</w:t>
      </w:r>
      <w:r>
        <w:rPr>
          <w:rStyle w:val="a8"/>
          <w:rFonts w:ascii="楷体" w:eastAsia="楷体" w:hAnsi="楷体" w:hint="eastAsia"/>
          <w:b w:val="0"/>
          <w:bCs w:val="0"/>
          <w:color w:val="000000" w:themeColor="text1"/>
          <w:spacing w:val="-4"/>
          <w:sz w:val="32"/>
          <w:szCs w:val="32"/>
        </w:rPr>
        <w:t>出成本</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）“市委政法综合大楼物业费欠款金额”指标，预期指标值为“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万元”，根据原始凭证可知，实际完成</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万元，与预期目标一致，根据评分标准，该指标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）“市委政法综合大楼餐厅管理费欠款金额”指标，预期指标值为“</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万元”，根据原始凭证可知，实际完成</w:t>
      </w:r>
      <w:r>
        <w:rPr>
          <w:rStyle w:val="a8"/>
          <w:rFonts w:ascii="楷体" w:eastAsia="楷体" w:hAnsi="楷体" w:hint="eastAsia"/>
          <w:b w:val="0"/>
          <w:bCs w:val="0"/>
          <w:color w:val="000000" w:themeColor="text1"/>
          <w:spacing w:val="-4"/>
          <w:sz w:val="32"/>
          <w:szCs w:val="32"/>
        </w:rPr>
        <w:t>20</w:t>
      </w:r>
      <w:r>
        <w:rPr>
          <w:rStyle w:val="a8"/>
          <w:rFonts w:ascii="楷体" w:eastAsia="楷体" w:hAnsi="楷体" w:hint="eastAsia"/>
          <w:b w:val="0"/>
          <w:bCs w:val="0"/>
          <w:color w:val="000000" w:themeColor="text1"/>
          <w:spacing w:val="-4"/>
          <w:sz w:val="32"/>
          <w:szCs w:val="32"/>
        </w:rPr>
        <w:t>万元，与预期目标一致，根据评分标准，该指标</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综上所述，产出成本指标合计得</w:t>
      </w:r>
      <w:r>
        <w:rPr>
          <w:rStyle w:val="a8"/>
          <w:rFonts w:ascii="楷体" w:eastAsia="楷体" w:hAnsi="楷体" w:hint="eastAsia"/>
          <w:b w:val="0"/>
          <w:bCs w:val="0"/>
          <w:color w:val="000000" w:themeColor="text1"/>
          <w:spacing w:val="-4"/>
          <w:sz w:val="32"/>
          <w:szCs w:val="32"/>
        </w:rPr>
        <w:t>8.00</w:t>
      </w:r>
      <w:r>
        <w:rPr>
          <w:rStyle w:val="a8"/>
          <w:rFonts w:ascii="楷体" w:eastAsia="楷体" w:hAnsi="楷体" w:hint="eastAsia"/>
          <w:b w:val="0"/>
          <w:bCs w:val="0"/>
          <w:color w:val="000000" w:themeColor="text1"/>
          <w:spacing w:val="-4"/>
          <w:sz w:val="32"/>
          <w:szCs w:val="32"/>
        </w:rPr>
        <w:t>分。</w:t>
      </w:r>
    </w:p>
    <w:p w:rsidR="004C64A2" w:rsidRDefault="00501295">
      <w:pPr>
        <w:spacing w:line="540" w:lineRule="exact"/>
        <w:ind w:firstLineChars="181" w:firstLine="567"/>
        <w:rPr>
          <w:rFonts w:ascii="楷体" w:eastAsia="楷体" w:hAnsi="楷体"/>
          <w:b/>
          <w:color w:val="000000" w:themeColor="text1"/>
          <w:spacing w:val="-4"/>
          <w:sz w:val="32"/>
          <w:szCs w:val="32"/>
        </w:rPr>
      </w:pPr>
      <w:r>
        <w:rPr>
          <w:rFonts w:ascii="楷体" w:eastAsia="楷体" w:hAnsi="楷体" w:hint="eastAsia"/>
          <w:b/>
          <w:color w:val="000000" w:themeColor="text1"/>
          <w:spacing w:val="-4"/>
          <w:sz w:val="32"/>
          <w:szCs w:val="32"/>
        </w:rPr>
        <w:t>（四）</w:t>
      </w:r>
      <w:r>
        <w:rPr>
          <w:rStyle w:val="a8"/>
          <w:rFonts w:ascii="楷体" w:eastAsia="楷体" w:hAnsi="楷体" w:hint="eastAsia"/>
          <w:color w:val="000000" w:themeColor="text1"/>
          <w:spacing w:val="-4"/>
          <w:sz w:val="32"/>
          <w:szCs w:val="32"/>
        </w:rPr>
        <w:t>项目效益情况</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项目效益类指标由</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个二级指标和</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个三级指标构成，权重分为</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分，本项目实际得分</w:t>
      </w:r>
      <w:r>
        <w:rPr>
          <w:rStyle w:val="a8"/>
          <w:rFonts w:ascii="楷体" w:eastAsia="楷体" w:hAnsi="楷体" w:hint="eastAsia"/>
          <w:b w:val="0"/>
          <w:bCs w:val="0"/>
          <w:color w:val="000000" w:themeColor="text1"/>
          <w:spacing w:val="-4"/>
          <w:sz w:val="32"/>
          <w:szCs w:val="32"/>
        </w:rPr>
        <w:t>30.00</w:t>
      </w:r>
      <w:r>
        <w:rPr>
          <w:rStyle w:val="a8"/>
          <w:rFonts w:ascii="楷体" w:eastAsia="楷体" w:hAnsi="楷体" w:hint="eastAsia"/>
          <w:b w:val="0"/>
          <w:bCs w:val="0"/>
          <w:color w:val="000000" w:themeColor="text1"/>
          <w:spacing w:val="-4"/>
          <w:sz w:val="32"/>
          <w:szCs w:val="32"/>
        </w:rPr>
        <w:t>分，得分率为</w:t>
      </w:r>
      <w:r>
        <w:rPr>
          <w:rStyle w:val="a8"/>
          <w:rFonts w:ascii="楷体" w:eastAsia="楷体" w:hAnsi="楷体" w:hint="eastAsia"/>
          <w:b w:val="0"/>
          <w:bCs w:val="0"/>
          <w:color w:val="000000" w:themeColor="text1"/>
          <w:spacing w:val="-4"/>
          <w:sz w:val="32"/>
          <w:szCs w:val="32"/>
        </w:rPr>
        <w:t>100.0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。具体各项指标得分如下：</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1.</w:t>
      </w:r>
      <w:r>
        <w:rPr>
          <w:rStyle w:val="a8"/>
          <w:rFonts w:ascii="楷体" w:eastAsia="楷体" w:hAnsi="楷体" w:hint="eastAsia"/>
          <w:b w:val="0"/>
          <w:bCs w:val="0"/>
          <w:color w:val="000000" w:themeColor="text1"/>
          <w:spacing w:val="-4"/>
          <w:sz w:val="32"/>
          <w:szCs w:val="32"/>
        </w:rPr>
        <w:t>实施效益指标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）社会效益指标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“维护昌吉市社会稳定和长治久安”指标，预期指标值为“有效维护”，根据工作资料可知，实际完成值为“有效维护”，与预期目标一致，根据评分标准，该指标</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分，得</w:t>
      </w:r>
      <w:r>
        <w:rPr>
          <w:rStyle w:val="a8"/>
          <w:rFonts w:ascii="楷体" w:eastAsia="楷体" w:hAnsi="楷体" w:hint="eastAsia"/>
          <w:b w:val="0"/>
          <w:bCs w:val="0"/>
          <w:color w:val="000000" w:themeColor="text1"/>
          <w:spacing w:val="-4"/>
          <w:sz w:val="32"/>
          <w:szCs w:val="32"/>
        </w:rPr>
        <w:t>30</w:t>
      </w:r>
      <w:r>
        <w:rPr>
          <w:rStyle w:val="a8"/>
          <w:rFonts w:ascii="楷体" w:eastAsia="楷体" w:hAnsi="楷体" w:hint="eastAsia"/>
          <w:b w:val="0"/>
          <w:bCs w:val="0"/>
          <w:color w:val="000000" w:themeColor="text1"/>
          <w:spacing w:val="-4"/>
          <w:sz w:val="32"/>
          <w:szCs w:val="32"/>
        </w:rPr>
        <w:t>分。</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2</w:t>
      </w:r>
      <w:r>
        <w:rPr>
          <w:rStyle w:val="a8"/>
          <w:rFonts w:ascii="楷体" w:eastAsia="楷体" w:hAnsi="楷体" w:hint="eastAsia"/>
          <w:b w:val="0"/>
          <w:bCs w:val="0"/>
          <w:color w:val="000000" w:themeColor="text1"/>
          <w:spacing w:val="-4"/>
          <w:sz w:val="32"/>
          <w:szCs w:val="32"/>
        </w:rPr>
        <w:t>）可持续影响指标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3</w:t>
      </w:r>
      <w:r>
        <w:rPr>
          <w:rStyle w:val="a8"/>
          <w:rFonts w:ascii="楷体" w:eastAsia="楷体" w:hAnsi="楷体" w:hint="eastAsia"/>
          <w:b w:val="0"/>
          <w:bCs w:val="0"/>
          <w:color w:val="000000" w:themeColor="text1"/>
          <w:spacing w:val="-4"/>
          <w:sz w:val="32"/>
          <w:szCs w:val="32"/>
        </w:rPr>
        <w:t>）经济效益指标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4</w:t>
      </w:r>
      <w:r>
        <w:rPr>
          <w:rStyle w:val="a8"/>
          <w:rFonts w:ascii="楷体" w:eastAsia="楷体" w:hAnsi="楷体" w:hint="eastAsia"/>
          <w:b w:val="0"/>
          <w:bCs w:val="0"/>
          <w:color w:val="000000" w:themeColor="text1"/>
          <w:spacing w:val="-4"/>
          <w:sz w:val="32"/>
          <w:szCs w:val="32"/>
        </w:rPr>
        <w:t>）生态效益指标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满意度指标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本项目无该项指标。</w:t>
      </w:r>
    </w:p>
    <w:p w:rsidR="004C64A2" w:rsidRDefault="004C64A2">
      <w:pPr>
        <w:spacing w:line="540" w:lineRule="exact"/>
        <w:ind w:firstLine="567"/>
        <w:rPr>
          <w:rStyle w:val="a8"/>
          <w:rFonts w:ascii="楷体" w:eastAsia="楷体" w:hAnsi="楷体"/>
          <w:color w:val="000000" w:themeColor="text1"/>
          <w:spacing w:val="-4"/>
          <w:sz w:val="32"/>
          <w:szCs w:val="32"/>
        </w:rPr>
      </w:pPr>
    </w:p>
    <w:p w:rsidR="004C64A2" w:rsidRDefault="00501295">
      <w:pPr>
        <w:numPr>
          <w:ilvl w:val="0"/>
          <w:numId w:val="1"/>
        </w:num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预算执行进度与绩效指标偏差</w:t>
      </w:r>
    </w:p>
    <w:p w:rsidR="004C64A2" w:rsidRDefault="00501295">
      <w:pPr>
        <w:spacing w:line="540" w:lineRule="exact"/>
        <w:ind w:firstLine="567"/>
        <w:rPr>
          <w:rStyle w:val="a8"/>
          <w:rFonts w:ascii="黑体" w:eastAsia="黑体" w:hAnsi="黑体"/>
          <w:b w:val="0"/>
          <w:color w:val="000000" w:themeColor="text1"/>
          <w:spacing w:val="-4"/>
          <w:sz w:val="32"/>
          <w:szCs w:val="32"/>
        </w:rPr>
      </w:pPr>
      <w:r>
        <w:rPr>
          <w:rStyle w:val="a8"/>
          <w:rFonts w:ascii="楷体" w:eastAsia="楷体" w:hAnsi="楷体" w:hint="eastAsia"/>
          <w:b w:val="0"/>
          <w:bCs w:val="0"/>
          <w:color w:val="000000" w:themeColor="text1"/>
          <w:spacing w:val="-4"/>
          <w:sz w:val="32"/>
          <w:szCs w:val="32"/>
        </w:rPr>
        <w:lastRenderedPageBreak/>
        <w:t>（一）预算执行进度</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市委政法综合大楼物业费、餐厅管理费、餐补欠款项目预</w:t>
      </w:r>
      <w:r>
        <w:rPr>
          <w:rStyle w:val="a8"/>
          <w:rFonts w:ascii="楷体" w:eastAsia="楷体" w:hAnsi="楷体" w:hint="eastAsia"/>
          <w:b w:val="0"/>
          <w:bCs w:val="0"/>
          <w:color w:val="000000" w:themeColor="text1"/>
          <w:spacing w:val="-4"/>
          <w:sz w:val="32"/>
          <w:szCs w:val="32"/>
        </w:rPr>
        <w:t>算金额</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万元，实际到位</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万元，实际支出</w:t>
      </w:r>
      <w:r>
        <w:rPr>
          <w:rStyle w:val="a8"/>
          <w:rFonts w:ascii="楷体" w:eastAsia="楷体" w:hAnsi="楷体" w:hint="eastAsia"/>
          <w:b w:val="0"/>
          <w:bCs w:val="0"/>
          <w:color w:val="000000" w:themeColor="text1"/>
          <w:spacing w:val="-4"/>
          <w:sz w:val="32"/>
          <w:szCs w:val="32"/>
        </w:rPr>
        <w:t>50.00</w:t>
      </w:r>
      <w:r>
        <w:rPr>
          <w:rStyle w:val="a8"/>
          <w:rFonts w:ascii="楷体" w:eastAsia="楷体" w:hAnsi="楷体" w:hint="eastAsia"/>
          <w:b w:val="0"/>
          <w:bCs w:val="0"/>
          <w:color w:val="000000" w:themeColor="text1"/>
          <w:spacing w:val="-4"/>
          <w:sz w:val="32"/>
          <w:szCs w:val="32"/>
        </w:rPr>
        <w:t>万元，预算执行率为</w:t>
      </w:r>
      <w:r>
        <w:rPr>
          <w:rStyle w:val="a8"/>
          <w:rFonts w:ascii="楷体" w:eastAsia="楷体" w:hAnsi="楷体" w:hint="eastAsia"/>
          <w:b w:val="0"/>
          <w:bCs w:val="0"/>
          <w:color w:val="000000" w:themeColor="text1"/>
          <w:spacing w:val="-4"/>
          <w:sz w:val="32"/>
          <w:szCs w:val="32"/>
        </w:rPr>
        <w:t>100%</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（二）绩效指标偏差情况</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2023</w:t>
      </w:r>
      <w:r>
        <w:rPr>
          <w:rStyle w:val="a8"/>
          <w:rFonts w:ascii="楷体" w:eastAsia="楷体" w:hAnsi="楷体" w:hint="eastAsia"/>
          <w:b w:val="0"/>
          <w:bCs w:val="0"/>
          <w:color w:val="000000" w:themeColor="text1"/>
          <w:spacing w:val="-4"/>
          <w:sz w:val="32"/>
          <w:szCs w:val="32"/>
        </w:rPr>
        <w:t>年本单位负责实施的市委政法综合大楼物业费、餐厅管理费、餐补欠款项目的绩效目标及指标已经全部达成，不存在偏差情况。</w:t>
      </w:r>
    </w:p>
    <w:p w:rsidR="004C64A2" w:rsidRDefault="00501295">
      <w:pPr>
        <w:numPr>
          <w:ilvl w:val="0"/>
          <w:numId w:val="1"/>
        </w:num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主要经验及做法、存在的问题及原因分析</w:t>
      </w:r>
    </w:p>
    <w:p w:rsidR="004C64A2" w:rsidRDefault="00501295">
      <w:pPr>
        <w:spacing w:line="540" w:lineRule="exact"/>
        <w:ind w:firstLine="567"/>
        <w:rPr>
          <w:rFonts w:ascii="仿宋_GB2312" w:eastAsia="仿宋_GB2312"/>
          <w:color w:val="000000" w:themeColor="text1"/>
          <w:spacing w:val="-4"/>
          <w:sz w:val="32"/>
          <w:szCs w:val="32"/>
        </w:rPr>
      </w:pPr>
      <w:r>
        <w:rPr>
          <w:rStyle w:val="a8"/>
          <w:rFonts w:ascii="楷体" w:eastAsia="楷体" w:hAnsi="楷体" w:hint="eastAsia"/>
          <w:b w:val="0"/>
          <w:bCs w:val="0"/>
          <w:color w:val="000000" w:themeColor="text1"/>
          <w:spacing w:val="-4"/>
          <w:sz w:val="32"/>
          <w:szCs w:val="32"/>
        </w:rPr>
        <w:t>（一）主要经验及做法</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项目按照《预算法》及相关规定执行，严格执行预算。</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1.</w:t>
      </w:r>
      <w:r>
        <w:rPr>
          <w:rStyle w:val="a8"/>
          <w:rFonts w:ascii="楷体" w:eastAsia="楷体" w:hAnsi="楷体" w:hint="eastAsia"/>
          <w:b w:val="0"/>
          <w:bCs w:val="0"/>
          <w:color w:val="000000" w:themeColor="text1"/>
          <w:spacing w:val="-4"/>
          <w:sz w:val="32"/>
          <w:szCs w:val="32"/>
        </w:rPr>
        <w:t>昌吉市财政监管有力，制度建设完全，相关制度严格执行，经费到位及时。项目资金按计划使用，严格按照预算管理规定开支。及时支付项目补助款，让边境农牧民安心、积极守边，维护社会稳定。</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为规范公共财政补助资金发放项目的管理工作，建立决策科学、发放合理、运作规范的政府管理体制，纪委、财政参与项目建设及项目资金管理使用督查，不定时对项目实施监督检查。</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lastRenderedPageBreak/>
        <w:t>3.</w:t>
      </w:r>
      <w:r>
        <w:rPr>
          <w:rStyle w:val="a8"/>
          <w:rFonts w:ascii="楷体" w:eastAsia="楷体" w:hAnsi="楷体" w:hint="eastAsia"/>
          <w:b w:val="0"/>
          <w:bCs w:val="0"/>
          <w:color w:val="000000" w:themeColor="text1"/>
          <w:spacing w:val="-4"/>
          <w:sz w:val="32"/>
          <w:szCs w:val="32"/>
        </w:rPr>
        <w:t>严格坚持先做事、后验收、再拨付的原则，基本杜绝了资金被挤占和挪用现象的发生，跟踪检查到位。财政、纪检、监察等职能部门全面参与专项资金事前、事中和事后全过程的</w:t>
      </w:r>
      <w:r>
        <w:rPr>
          <w:rStyle w:val="a8"/>
          <w:rFonts w:ascii="楷体" w:eastAsia="楷体" w:hAnsi="楷体" w:hint="eastAsia"/>
          <w:b w:val="0"/>
          <w:bCs w:val="0"/>
          <w:color w:val="000000" w:themeColor="text1"/>
          <w:spacing w:val="-4"/>
          <w:sz w:val="32"/>
          <w:szCs w:val="32"/>
        </w:rPr>
        <w:t>监管。在监督环节上，实行关口前移，从事后监督管理转向事前审核，事中监督和事后检查稽核相结合的监督制度上来，形成多环节全过程的监督管理格局，尽量早发现问题，早解决问题，避免和减少损失，提高资金使用效益。</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（二）存在问题及原因分析</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1.</w:t>
      </w:r>
      <w:r>
        <w:rPr>
          <w:rStyle w:val="a8"/>
          <w:rFonts w:ascii="楷体" w:eastAsia="楷体" w:hAnsi="楷体" w:hint="eastAsia"/>
          <w:b w:val="0"/>
          <w:bCs w:val="0"/>
          <w:color w:val="000000" w:themeColor="text1"/>
          <w:spacing w:val="-4"/>
          <w:sz w:val="32"/>
          <w:szCs w:val="32"/>
        </w:rPr>
        <w:t>绩效预算认识不够充分，绩效理念有待进一步强化</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2.</w:t>
      </w:r>
      <w:r>
        <w:rPr>
          <w:rStyle w:val="a8"/>
          <w:rFonts w:ascii="楷体" w:eastAsia="楷体" w:hAnsi="楷体" w:hint="eastAsia"/>
          <w:b w:val="0"/>
          <w:bCs w:val="0"/>
          <w:color w:val="000000" w:themeColor="text1"/>
          <w:spacing w:val="-4"/>
          <w:sz w:val="32"/>
          <w:szCs w:val="32"/>
        </w:rPr>
        <w:t>绩</w:t>
      </w:r>
      <w:r>
        <w:rPr>
          <w:rStyle w:val="a8"/>
          <w:rFonts w:ascii="楷体" w:eastAsia="楷体" w:hAnsi="楷体" w:hint="eastAsia"/>
          <w:b w:val="0"/>
          <w:bCs w:val="0"/>
          <w:color w:val="000000" w:themeColor="text1"/>
          <w:spacing w:val="-4"/>
          <w:sz w:val="32"/>
          <w:szCs w:val="32"/>
        </w:rPr>
        <w:t>效档案归档工作有待提高</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lastRenderedPageBreak/>
        <w:br/>
        <w:t>3.</w:t>
      </w:r>
      <w:r>
        <w:rPr>
          <w:rStyle w:val="a8"/>
          <w:rFonts w:ascii="楷体" w:eastAsia="楷体" w:hAnsi="楷体" w:hint="eastAsia"/>
          <w:b w:val="0"/>
          <w:bCs w:val="0"/>
          <w:color w:val="000000" w:themeColor="text1"/>
          <w:spacing w:val="-4"/>
          <w:sz w:val="32"/>
          <w:szCs w:val="32"/>
        </w:rPr>
        <w:t>项目支出绩效评价存在单位限，客观性有待加强</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r>
      <w:r>
        <w:rPr>
          <w:rStyle w:val="a8"/>
          <w:rFonts w:ascii="楷体" w:eastAsia="楷体" w:hAnsi="楷体" w:hint="eastAsia"/>
          <w:b w:val="0"/>
          <w:bCs w:val="0"/>
          <w:color w:val="000000" w:themeColor="text1"/>
          <w:spacing w:val="-4"/>
          <w:sz w:val="32"/>
          <w:szCs w:val="32"/>
        </w:rPr>
        <w:t>项目支出绩效评价工作还存在自我审定的单位限性，项目支出绩效工作有较大弹性，评价报告多单位限于描述项目实施情况，对问题避重就轻，对项目的打分松</w:t>
      </w:r>
      <w:r>
        <w:rPr>
          <w:rStyle w:val="a8"/>
          <w:rFonts w:ascii="楷体" w:eastAsia="楷体" w:hAnsi="楷体" w:hint="eastAsia"/>
          <w:b w:val="0"/>
          <w:bCs w:val="0"/>
          <w:color w:val="000000" w:themeColor="text1"/>
          <w:spacing w:val="-4"/>
          <w:sz w:val="32"/>
          <w:szCs w:val="32"/>
        </w:rPr>
        <w:t>紧不一，会影响评价质量，在客观性和公正性上说服力不强。</w:t>
      </w:r>
    </w:p>
    <w:p w:rsidR="004C64A2" w:rsidRDefault="00501295">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七</w:t>
      </w:r>
      <w:r>
        <w:rPr>
          <w:rStyle w:val="a8"/>
          <w:rFonts w:ascii="黑体" w:eastAsia="黑体" w:hAnsi="黑体" w:hint="eastAsia"/>
          <w:b w:val="0"/>
          <w:color w:val="000000" w:themeColor="text1"/>
          <w:spacing w:val="-4"/>
          <w:sz w:val="32"/>
          <w:szCs w:val="32"/>
        </w:rPr>
        <w:t>、有关建议</w:t>
      </w:r>
    </w:p>
    <w:p w:rsidR="004C64A2" w:rsidRDefault="00501295">
      <w:pPr>
        <w:spacing w:line="540" w:lineRule="exact"/>
        <w:ind w:firstLine="567"/>
        <w:rPr>
          <w:rStyle w:val="a8"/>
          <w:rFonts w:ascii="楷体" w:eastAsia="楷体" w:hAnsi="楷体"/>
          <w:color w:val="000000" w:themeColor="text1"/>
          <w:spacing w:val="-4"/>
          <w:sz w:val="32"/>
          <w:szCs w:val="32"/>
        </w:rPr>
      </w:pPr>
      <w:r>
        <w:rPr>
          <w:rStyle w:val="a8"/>
          <w:rFonts w:ascii="楷体" w:eastAsia="楷体" w:hAnsi="楷体" w:hint="eastAsia"/>
          <w:b w:val="0"/>
          <w:bCs w:val="0"/>
          <w:color w:val="000000" w:themeColor="text1"/>
          <w:spacing w:val="-4"/>
          <w:sz w:val="32"/>
          <w:szCs w:val="32"/>
        </w:rPr>
        <w:t>（一</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继续加强《预算法》及《预算法实施条例》的宣传、学习贯彻力度。目前我镇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t>量入为出、收支平衡、统筹兼顾，确保重点</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 xml:space="preserve"> </w:t>
      </w:r>
      <w:r>
        <w:rPr>
          <w:rStyle w:val="a8"/>
          <w:rFonts w:ascii="楷体" w:eastAsia="楷体" w:hAnsi="楷体" w:hint="eastAsia"/>
          <w:b w:val="0"/>
          <w:bCs w:val="0"/>
          <w:color w:val="000000" w:themeColor="text1"/>
          <w:spacing w:val="-4"/>
          <w:sz w:val="32"/>
          <w:szCs w:val="32"/>
        </w:rPr>
        <w:t>的原则，合理安排预算收支，将预算资金尽量落实到具体项目，争取做到每个支出项目都能在预算中有所反映，使预</w:t>
      </w:r>
      <w:r>
        <w:rPr>
          <w:rStyle w:val="a8"/>
          <w:rFonts w:ascii="楷体" w:eastAsia="楷体" w:hAnsi="楷体" w:hint="eastAsia"/>
          <w:b w:val="0"/>
          <w:bCs w:val="0"/>
          <w:color w:val="000000" w:themeColor="text1"/>
          <w:spacing w:val="-4"/>
          <w:sz w:val="32"/>
          <w:szCs w:val="32"/>
        </w:rPr>
        <w:t>算充分反映以政府为主体的资金收支活动全貌，保证预算的可执行性。</w:t>
      </w:r>
      <w:r>
        <w:rPr>
          <w:rStyle w:val="a8"/>
          <w:rFonts w:ascii="楷体" w:eastAsia="楷体" w:hAnsi="楷体" w:hint="eastAsia"/>
          <w:b w:val="0"/>
          <w:bCs w:val="0"/>
          <w:color w:val="000000" w:themeColor="text1"/>
          <w:spacing w:val="-4"/>
          <w:sz w:val="32"/>
          <w:szCs w:val="32"/>
        </w:rPr>
        <w:cr/>
      </w:r>
      <w:r>
        <w:rPr>
          <w:rStyle w:val="a8"/>
          <w:rFonts w:ascii="楷体" w:eastAsia="楷体" w:hAnsi="楷体" w:hint="eastAsia"/>
          <w:b w:val="0"/>
          <w:bCs w:val="0"/>
          <w:color w:val="000000" w:themeColor="text1"/>
          <w:spacing w:val="-4"/>
          <w:sz w:val="32"/>
          <w:szCs w:val="32"/>
        </w:rPr>
        <w:br/>
        <w:t>(</w:t>
      </w:r>
      <w:r>
        <w:rPr>
          <w:rStyle w:val="a8"/>
          <w:rFonts w:ascii="楷体" w:eastAsia="楷体" w:hAnsi="楷体" w:hint="eastAsia"/>
          <w:b w:val="0"/>
          <w:bCs w:val="0"/>
          <w:color w:val="000000" w:themeColor="text1"/>
          <w:spacing w:val="-4"/>
          <w:sz w:val="32"/>
          <w:szCs w:val="32"/>
        </w:rPr>
        <w:t>二</w:t>
      </w:r>
      <w:r>
        <w:rPr>
          <w:rStyle w:val="a8"/>
          <w:rFonts w:ascii="楷体" w:eastAsia="楷体" w:hAnsi="楷体" w:hint="eastAsia"/>
          <w:b w:val="0"/>
          <w:bCs w:val="0"/>
          <w:color w:val="000000" w:themeColor="text1"/>
          <w:spacing w:val="-4"/>
          <w:sz w:val="32"/>
          <w:szCs w:val="32"/>
        </w:rPr>
        <w:t>)</w:t>
      </w:r>
      <w:r>
        <w:rPr>
          <w:rStyle w:val="a8"/>
          <w:rFonts w:ascii="楷体" w:eastAsia="楷体" w:hAnsi="楷体" w:hint="eastAsia"/>
          <w:b w:val="0"/>
          <w:bCs w:val="0"/>
          <w:color w:val="000000" w:themeColor="text1"/>
          <w:spacing w:val="-4"/>
          <w:sz w:val="32"/>
          <w:szCs w:val="32"/>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r>
        <w:rPr>
          <w:rStyle w:val="a8"/>
          <w:rFonts w:ascii="楷体" w:eastAsia="楷体" w:hAnsi="楷体" w:hint="eastAsia"/>
          <w:b w:val="0"/>
          <w:bCs w:val="0"/>
          <w:color w:val="000000" w:themeColor="text1"/>
          <w:spacing w:val="-4"/>
          <w:sz w:val="32"/>
          <w:szCs w:val="32"/>
        </w:rPr>
        <w:t xml:space="preserve"> </w:t>
      </w:r>
    </w:p>
    <w:p w:rsidR="004C64A2" w:rsidRDefault="00501295">
      <w:pPr>
        <w:spacing w:line="540" w:lineRule="exact"/>
        <w:ind w:firstLine="640"/>
        <w:rPr>
          <w:rStyle w:val="a8"/>
          <w:rFonts w:ascii="黑体" w:eastAsia="黑体" w:hAnsi="黑体"/>
          <w:b w:val="0"/>
          <w:color w:val="000000" w:themeColor="text1"/>
          <w:spacing w:val="-4"/>
          <w:sz w:val="32"/>
          <w:szCs w:val="32"/>
        </w:rPr>
      </w:pPr>
      <w:r>
        <w:rPr>
          <w:rStyle w:val="a8"/>
          <w:rFonts w:ascii="黑体" w:eastAsia="黑体" w:hAnsi="黑体" w:hint="eastAsia"/>
          <w:b w:val="0"/>
          <w:color w:val="000000" w:themeColor="text1"/>
          <w:spacing w:val="-4"/>
          <w:sz w:val="32"/>
          <w:szCs w:val="32"/>
        </w:rPr>
        <w:t>八</w:t>
      </w:r>
      <w:r>
        <w:rPr>
          <w:rStyle w:val="a8"/>
          <w:rFonts w:ascii="黑体" w:eastAsia="黑体" w:hAnsi="黑体" w:hint="eastAsia"/>
          <w:b w:val="0"/>
          <w:color w:val="000000" w:themeColor="text1"/>
          <w:spacing w:val="-4"/>
          <w:sz w:val="32"/>
          <w:szCs w:val="32"/>
        </w:rPr>
        <w:t>、其他需要说明的问题</w:t>
      </w:r>
    </w:p>
    <w:p w:rsidR="004C64A2" w:rsidRDefault="00501295">
      <w:pPr>
        <w:spacing w:line="540" w:lineRule="exact"/>
        <w:ind w:firstLine="567"/>
        <w:rPr>
          <w:rStyle w:val="a8"/>
          <w:rFonts w:ascii="楷体" w:eastAsia="楷体" w:hAnsi="楷体"/>
          <w:b w:val="0"/>
          <w:bCs w:val="0"/>
          <w:color w:val="000000" w:themeColor="text1"/>
          <w:spacing w:val="-4"/>
          <w:sz w:val="32"/>
          <w:szCs w:val="32"/>
        </w:rPr>
      </w:pPr>
      <w:r>
        <w:rPr>
          <w:rStyle w:val="a8"/>
          <w:rFonts w:ascii="楷体" w:eastAsia="楷体" w:hAnsi="楷体" w:hint="eastAsia"/>
          <w:b w:val="0"/>
          <w:bCs w:val="0"/>
          <w:color w:val="000000" w:themeColor="text1"/>
          <w:spacing w:val="-4"/>
          <w:sz w:val="32"/>
          <w:szCs w:val="32"/>
        </w:rPr>
        <w:t>本单位对上述项目支出绩效评价报告内反映内容的真实性、</w:t>
      </w:r>
      <w:r>
        <w:rPr>
          <w:rStyle w:val="a8"/>
          <w:rFonts w:ascii="楷体" w:eastAsia="楷体" w:hAnsi="楷体" w:hint="eastAsia"/>
          <w:b w:val="0"/>
          <w:bCs w:val="0"/>
          <w:color w:val="000000" w:themeColor="text1"/>
          <w:spacing w:val="-4"/>
          <w:sz w:val="32"/>
          <w:szCs w:val="32"/>
        </w:rPr>
        <w:lastRenderedPageBreak/>
        <w:t>完整性负责，并接受上级部门及社会公众监督。</w:t>
      </w:r>
    </w:p>
    <w:p w:rsidR="004C64A2" w:rsidRDefault="004C64A2">
      <w:pPr>
        <w:spacing w:line="540" w:lineRule="exact"/>
        <w:ind w:firstLine="567"/>
        <w:rPr>
          <w:rStyle w:val="a8"/>
          <w:rFonts w:ascii="仿宋" w:eastAsia="仿宋" w:hAnsi="仿宋"/>
          <w:b w:val="0"/>
          <w:color w:val="000000" w:themeColor="text1"/>
          <w:spacing w:val="-4"/>
          <w:sz w:val="32"/>
          <w:szCs w:val="32"/>
        </w:rPr>
      </w:pPr>
    </w:p>
    <w:p w:rsidR="004C64A2" w:rsidRDefault="004C64A2">
      <w:pPr>
        <w:spacing w:line="540" w:lineRule="exact"/>
        <w:ind w:firstLine="567"/>
        <w:rPr>
          <w:rStyle w:val="a8"/>
          <w:rFonts w:ascii="仿宋" w:eastAsia="仿宋" w:hAnsi="仿宋"/>
          <w:b w:val="0"/>
          <w:color w:val="000000" w:themeColor="text1"/>
          <w:spacing w:val="-4"/>
          <w:sz w:val="32"/>
          <w:szCs w:val="32"/>
        </w:rPr>
      </w:pPr>
    </w:p>
    <w:p w:rsidR="004C64A2" w:rsidRDefault="004C64A2">
      <w:pPr>
        <w:spacing w:line="540" w:lineRule="exact"/>
        <w:ind w:firstLine="567"/>
        <w:rPr>
          <w:rStyle w:val="a8"/>
          <w:rFonts w:ascii="仿宋" w:eastAsia="仿宋" w:hAnsi="仿宋"/>
          <w:b w:val="0"/>
          <w:color w:val="000000" w:themeColor="text1"/>
          <w:spacing w:val="-4"/>
          <w:sz w:val="32"/>
          <w:szCs w:val="32"/>
        </w:rPr>
      </w:pPr>
    </w:p>
    <w:p w:rsidR="004C64A2" w:rsidRDefault="004C64A2">
      <w:pPr>
        <w:spacing w:line="540" w:lineRule="exact"/>
        <w:ind w:firstLine="567"/>
        <w:rPr>
          <w:rStyle w:val="a8"/>
          <w:rFonts w:ascii="仿宋" w:eastAsia="仿宋" w:hAnsi="仿宋"/>
          <w:b w:val="0"/>
          <w:color w:val="000000" w:themeColor="text1"/>
          <w:spacing w:val="-4"/>
          <w:sz w:val="32"/>
          <w:szCs w:val="32"/>
        </w:rPr>
      </w:pPr>
    </w:p>
    <w:p w:rsidR="004C64A2" w:rsidRDefault="004C64A2">
      <w:pPr>
        <w:spacing w:line="540" w:lineRule="exact"/>
        <w:ind w:firstLine="567"/>
        <w:rPr>
          <w:rStyle w:val="a8"/>
          <w:rFonts w:ascii="仿宋" w:eastAsia="仿宋" w:hAnsi="仿宋"/>
          <w:b w:val="0"/>
          <w:color w:val="000000" w:themeColor="text1"/>
          <w:spacing w:val="-4"/>
          <w:sz w:val="32"/>
          <w:szCs w:val="32"/>
        </w:rPr>
      </w:pPr>
    </w:p>
    <w:sectPr w:rsidR="004C64A2" w:rsidSect="004C64A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295" w:rsidRDefault="00501295" w:rsidP="004C64A2">
      <w:r>
        <w:separator/>
      </w:r>
    </w:p>
  </w:endnote>
  <w:endnote w:type="continuationSeparator" w:id="1">
    <w:p w:rsidR="00501295" w:rsidRDefault="00501295" w:rsidP="004C64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4C64A2" w:rsidRDefault="004C64A2">
        <w:pPr>
          <w:pStyle w:val="a4"/>
          <w:jc w:val="center"/>
        </w:pPr>
        <w:r>
          <w:fldChar w:fldCharType="begin"/>
        </w:r>
        <w:r w:rsidR="00501295">
          <w:instrText>PAGE   \* MERGEFORMAT</w:instrText>
        </w:r>
        <w:r>
          <w:fldChar w:fldCharType="separate"/>
        </w:r>
        <w:r w:rsidR="00FE5F70" w:rsidRPr="00FE5F70">
          <w:rPr>
            <w:noProof/>
            <w:lang w:val="zh-CN"/>
          </w:rPr>
          <w:t>3</w:t>
        </w:r>
        <w:r>
          <w:fldChar w:fldCharType="end"/>
        </w:r>
      </w:p>
    </w:sdtContent>
  </w:sdt>
  <w:p w:rsidR="004C64A2" w:rsidRDefault="004C64A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295" w:rsidRDefault="00501295" w:rsidP="004C64A2">
      <w:r>
        <w:separator/>
      </w:r>
    </w:p>
  </w:footnote>
  <w:footnote w:type="continuationSeparator" w:id="1">
    <w:p w:rsidR="00501295" w:rsidRDefault="00501295" w:rsidP="004C64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A218F"/>
    <w:multiLevelType w:val="singleLevel"/>
    <w:tmpl w:val="3FEA218F"/>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4C64A2"/>
    <w:rsid w:val="00501295"/>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E5F70"/>
    <w:rsid w:val="0856517C"/>
    <w:rsid w:val="0BFB189F"/>
    <w:rsid w:val="11BD75F7"/>
    <w:rsid w:val="13BE561A"/>
    <w:rsid w:val="15392994"/>
    <w:rsid w:val="18FE139B"/>
    <w:rsid w:val="3029612C"/>
    <w:rsid w:val="32A221C5"/>
    <w:rsid w:val="33F20F2A"/>
    <w:rsid w:val="34C44675"/>
    <w:rsid w:val="3B5B5607"/>
    <w:rsid w:val="3CE21B3C"/>
    <w:rsid w:val="3D6C65EF"/>
    <w:rsid w:val="4D2606A1"/>
    <w:rsid w:val="51830480"/>
    <w:rsid w:val="53A616BE"/>
    <w:rsid w:val="54662BFB"/>
    <w:rsid w:val="62051CA5"/>
    <w:rsid w:val="6C3A69EF"/>
    <w:rsid w:val="7BDF2CF1"/>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4A2"/>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4C64A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4C64A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4C64A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4C64A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4C64A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4C64A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4C64A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4C64A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4C64A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C64A2"/>
    <w:rPr>
      <w:sz w:val="18"/>
      <w:szCs w:val="18"/>
    </w:rPr>
  </w:style>
  <w:style w:type="paragraph" w:styleId="a4">
    <w:name w:val="footer"/>
    <w:basedOn w:val="a"/>
    <w:link w:val="Char0"/>
    <w:uiPriority w:val="99"/>
    <w:unhideWhenUsed/>
    <w:rsid w:val="004C64A2"/>
    <w:pPr>
      <w:tabs>
        <w:tab w:val="center" w:pos="4153"/>
        <w:tab w:val="right" w:pos="8306"/>
      </w:tabs>
      <w:snapToGrid w:val="0"/>
      <w:jc w:val="left"/>
    </w:pPr>
    <w:rPr>
      <w:rFonts w:ascii="Calibri" w:hAnsi="Calibri"/>
      <w:sz w:val="18"/>
      <w:szCs w:val="18"/>
    </w:rPr>
  </w:style>
  <w:style w:type="paragraph" w:styleId="a5">
    <w:name w:val="header"/>
    <w:basedOn w:val="a"/>
    <w:link w:val="Char1"/>
    <w:autoRedefine/>
    <w:uiPriority w:val="99"/>
    <w:unhideWhenUsed/>
    <w:rsid w:val="004C64A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4C64A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4C64A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4C64A2"/>
    <w:rPr>
      <w:b/>
      <w:bCs/>
    </w:rPr>
  </w:style>
  <w:style w:type="character" w:styleId="a9">
    <w:name w:val="Emphasis"/>
    <w:basedOn w:val="a0"/>
    <w:uiPriority w:val="20"/>
    <w:qFormat/>
    <w:rsid w:val="004C64A2"/>
    <w:rPr>
      <w:rFonts w:asciiTheme="minorHAnsi" w:hAnsiTheme="minorHAnsi"/>
      <w:b/>
      <w:i/>
      <w:iCs/>
    </w:rPr>
  </w:style>
  <w:style w:type="character" w:customStyle="1" w:styleId="1Char">
    <w:name w:val="标题 1 Char"/>
    <w:basedOn w:val="a0"/>
    <w:link w:val="1"/>
    <w:uiPriority w:val="9"/>
    <w:qFormat/>
    <w:rsid w:val="004C64A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4C64A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4C64A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4C64A2"/>
    <w:rPr>
      <w:b/>
      <w:bCs/>
      <w:sz w:val="28"/>
      <w:szCs w:val="28"/>
    </w:rPr>
  </w:style>
  <w:style w:type="character" w:customStyle="1" w:styleId="5Char">
    <w:name w:val="标题 5 Char"/>
    <w:basedOn w:val="a0"/>
    <w:link w:val="5"/>
    <w:uiPriority w:val="9"/>
    <w:semiHidden/>
    <w:qFormat/>
    <w:rsid w:val="004C64A2"/>
    <w:rPr>
      <w:b/>
      <w:bCs/>
      <w:i/>
      <w:iCs/>
      <w:sz w:val="26"/>
      <w:szCs w:val="26"/>
    </w:rPr>
  </w:style>
  <w:style w:type="character" w:customStyle="1" w:styleId="6Char">
    <w:name w:val="标题 6 Char"/>
    <w:basedOn w:val="a0"/>
    <w:link w:val="6"/>
    <w:uiPriority w:val="9"/>
    <w:semiHidden/>
    <w:qFormat/>
    <w:rsid w:val="004C64A2"/>
    <w:rPr>
      <w:b/>
      <w:bCs/>
    </w:rPr>
  </w:style>
  <w:style w:type="character" w:customStyle="1" w:styleId="7Char">
    <w:name w:val="标题 7 Char"/>
    <w:basedOn w:val="a0"/>
    <w:link w:val="7"/>
    <w:uiPriority w:val="9"/>
    <w:semiHidden/>
    <w:qFormat/>
    <w:rsid w:val="004C64A2"/>
    <w:rPr>
      <w:sz w:val="24"/>
      <w:szCs w:val="24"/>
    </w:rPr>
  </w:style>
  <w:style w:type="character" w:customStyle="1" w:styleId="8Char">
    <w:name w:val="标题 8 Char"/>
    <w:basedOn w:val="a0"/>
    <w:link w:val="8"/>
    <w:uiPriority w:val="9"/>
    <w:semiHidden/>
    <w:qFormat/>
    <w:rsid w:val="004C64A2"/>
    <w:rPr>
      <w:i/>
      <w:iCs/>
      <w:sz w:val="24"/>
      <w:szCs w:val="24"/>
    </w:rPr>
  </w:style>
  <w:style w:type="character" w:customStyle="1" w:styleId="9Char">
    <w:name w:val="标题 9 Char"/>
    <w:basedOn w:val="a0"/>
    <w:link w:val="9"/>
    <w:uiPriority w:val="9"/>
    <w:semiHidden/>
    <w:qFormat/>
    <w:rsid w:val="004C64A2"/>
    <w:rPr>
      <w:rFonts w:asciiTheme="majorHAnsi" w:eastAsiaTheme="majorEastAsia" w:hAnsiTheme="majorHAnsi"/>
    </w:rPr>
  </w:style>
  <w:style w:type="character" w:customStyle="1" w:styleId="Char3">
    <w:name w:val="标题 Char"/>
    <w:basedOn w:val="a0"/>
    <w:link w:val="a7"/>
    <w:uiPriority w:val="10"/>
    <w:qFormat/>
    <w:rsid w:val="004C64A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4C64A2"/>
    <w:rPr>
      <w:rFonts w:asciiTheme="majorHAnsi" w:eastAsiaTheme="majorEastAsia" w:hAnsiTheme="majorHAnsi"/>
      <w:sz w:val="24"/>
      <w:szCs w:val="24"/>
    </w:rPr>
  </w:style>
  <w:style w:type="paragraph" w:styleId="aa">
    <w:name w:val="No Spacing"/>
    <w:basedOn w:val="a"/>
    <w:uiPriority w:val="1"/>
    <w:qFormat/>
    <w:rsid w:val="004C64A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4C64A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4C64A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4C64A2"/>
    <w:rPr>
      <w:i/>
      <w:sz w:val="24"/>
      <w:szCs w:val="24"/>
    </w:rPr>
  </w:style>
  <w:style w:type="paragraph" w:styleId="ad">
    <w:name w:val="Intense Quote"/>
    <w:basedOn w:val="a"/>
    <w:next w:val="a"/>
    <w:link w:val="Char5"/>
    <w:uiPriority w:val="30"/>
    <w:qFormat/>
    <w:rsid w:val="004C64A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4C64A2"/>
    <w:rPr>
      <w:b/>
      <w:i/>
      <w:sz w:val="24"/>
    </w:rPr>
  </w:style>
  <w:style w:type="character" w:customStyle="1" w:styleId="10">
    <w:name w:val="不明显强调1"/>
    <w:uiPriority w:val="19"/>
    <w:qFormat/>
    <w:rsid w:val="004C64A2"/>
    <w:rPr>
      <w:i/>
      <w:color w:val="595959" w:themeColor="text1" w:themeTint="A6"/>
    </w:rPr>
  </w:style>
  <w:style w:type="character" w:customStyle="1" w:styleId="11">
    <w:name w:val="明显强调1"/>
    <w:basedOn w:val="a0"/>
    <w:uiPriority w:val="21"/>
    <w:qFormat/>
    <w:rsid w:val="004C64A2"/>
    <w:rPr>
      <w:b/>
      <w:i/>
      <w:sz w:val="24"/>
      <w:szCs w:val="24"/>
      <w:u w:val="single"/>
    </w:rPr>
  </w:style>
  <w:style w:type="character" w:customStyle="1" w:styleId="12">
    <w:name w:val="不明显参考1"/>
    <w:basedOn w:val="a0"/>
    <w:uiPriority w:val="31"/>
    <w:qFormat/>
    <w:rsid w:val="004C64A2"/>
    <w:rPr>
      <w:sz w:val="24"/>
      <w:szCs w:val="24"/>
      <w:u w:val="single"/>
    </w:rPr>
  </w:style>
  <w:style w:type="character" w:customStyle="1" w:styleId="13">
    <w:name w:val="明显参考1"/>
    <w:basedOn w:val="a0"/>
    <w:uiPriority w:val="32"/>
    <w:qFormat/>
    <w:rsid w:val="004C64A2"/>
    <w:rPr>
      <w:b/>
      <w:sz w:val="24"/>
      <w:u w:val="single"/>
    </w:rPr>
  </w:style>
  <w:style w:type="character" w:customStyle="1" w:styleId="14">
    <w:name w:val="书籍标题1"/>
    <w:basedOn w:val="a0"/>
    <w:uiPriority w:val="33"/>
    <w:qFormat/>
    <w:rsid w:val="004C64A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4C64A2"/>
    <w:pPr>
      <w:outlineLvl w:val="9"/>
    </w:pPr>
    <w:rPr>
      <w:lang w:eastAsia="en-US" w:bidi="en-US"/>
    </w:rPr>
  </w:style>
  <w:style w:type="character" w:customStyle="1" w:styleId="Char1">
    <w:name w:val="页眉 Char"/>
    <w:basedOn w:val="a0"/>
    <w:link w:val="a5"/>
    <w:uiPriority w:val="99"/>
    <w:qFormat/>
    <w:rsid w:val="004C64A2"/>
    <w:rPr>
      <w:rFonts w:ascii="Calibri" w:eastAsia="宋体" w:hAnsi="Calibri"/>
      <w:kern w:val="2"/>
      <w:sz w:val="18"/>
      <w:szCs w:val="18"/>
    </w:rPr>
  </w:style>
  <w:style w:type="character" w:customStyle="1" w:styleId="Char0">
    <w:name w:val="页脚 Char"/>
    <w:basedOn w:val="a0"/>
    <w:link w:val="a4"/>
    <w:uiPriority w:val="99"/>
    <w:qFormat/>
    <w:rsid w:val="004C64A2"/>
    <w:rPr>
      <w:rFonts w:ascii="Calibri" w:eastAsia="宋体" w:hAnsi="Calibri"/>
      <w:kern w:val="2"/>
      <w:sz w:val="18"/>
      <w:szCs w:val="18"/>
    </w:rPr>
  </w:style>
  <w:style w:type="character" w:customStyle="1" w:styleId="Char">
    <w:name w:val="批注框文本 Char"/>
    <w:basedOn w:val="a0"/>
    <w:link w:val="a3"/>
    <w:uiPriority w:val="99"/>
    <w:semiHidden/>
    <w:qFormat/>
    <w:rsid w:val="004C64A2"/>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1300</Words>
  <Characters>7414</Characters>
  <Application>Microsoft Office Word</Application>
  <DocSecurity>0</DocSecurity>
  <Lines>61</Lines>
  <Paragraphs>17</Paragraphs>
  <ScaleCrop>false</ScaleCrop>
  <Company>Organization</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22</cp:revision>
  <cp:lastPrinted>2018-12-31T10:56:00Z</cp:lastPrinted>
  <dcterms:created xsi:type="dcterms:W3CDTF">2018-08-15T02:06:00Z</dcterms:created>
  <dcterms:modified xsi:type="dcterms:W3CDTF">2025-02-24T09:23:00Z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