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379" w:rsidRDefault="00616379">
      <w:pPr>
        <w:rPr>
          <w:rFonts w:ascii="黑体" w:eastAsia="黑体" w:hAnsi="黑体"/>
          <w:sz w:val="32"/>
          <w:szCs w:val="32"/>
        </w:rPr>
      </w:pPr>
    </w:p>
    <w:p w:rsidR="00616379" w:rsidRDefault="00616379">
      <w:pPr>
        <w:jc w:val="center"/>
        <w:rPr>
          <w:rFonts w:ascii="方正小标宋_GBK" w:eastAsia="方正小标宋_GBK" w:hAnsi="宋体"/>
          <w:sz w:val="44"/>
          <w:szCs w:val="44"/>
        </w:rPr>
      </w:pPr>
    </w:p>
    <w:p w:rsidR="00616379" w:rsidRDefault="00B93652">
      <w:pPr>
        <w:jc w:val="center"/>
        <w:rPr>
          <w:rFonts w:ascii="方正小标宋_GBK" w:eastAsia="方正小标宋_GBK" w:hAnsi="宋体"/>
          <w:sz w:val="44"/>
          <w:szCs w:val="44"/>
        </w:rPr>
      </w:pPr>
      <w:r>
        <w:rPr>
          <w:rFonts w:ascii="方正小标宋_GBK" w:eastAsia="方正小标宋_GBK" w:hAnsi="宋体" w:hint="eastAsia"/>
          <w:sz w:val="44"/>
          <w:szCs w:val="44"/>
        </w:rPr>
        <w:t>昌吉市北京南路街道办事处</w:t>
      </w:r>
    </w:p>
    <w:p w:rsidR="00616379" w:rsidRDefault="00B93652">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616379" w:rsidRDefault="00B93652">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16379" w:rsidRDefault="00B93652">
      <w:pPr>
        <w:rPr>
          <w:rFonts w:ascii="方正小标宋_GBK" w:eastAsia="方正小标宋_GBK" w:hAnsi="宋体"/>
          <w:sz w:val="44"/>
          <w:szCs w:val="44"/>
        </w:rPr>
      </w:pPr>
      <w:r>
        <w:rPr>
          <w:rFonts w:ascii="方正小标宋_GBK" w:eastAsia="方正小标宋_GBK" w:hAnsi="宋体" w:hint="eastAsia"/>
          <w:sz w:val="44"/>
          <w:szCs w:val="44"/>
        </w:rPr>
        <w:br w:type="page"/>
      </w:r>
    </w:p>
    <w:p w:rsidR="00616379" w:rsidRDefault="00B93652">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16379" w:rsidRDefault="008C0FA3">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93652">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16379">
          <w:rPr>
            <w:rFonts w:ascii="仿宋_GB2312" w:eastAsia="仿宋_GB2312" w:hAnsi="仿宋_GB2312" w:cs="仿宋_GB2312" w:hint="eastAsia"/>
            <w:b/>
            <w:bCs/>
            <w:sz w:val="32"/>
            <w:szCs w:val="32"/>
          </w:rPr>
          <w:t>第一部分 单位概况</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30567" w:history="1">
        <w:r w:rsidR="00616379">
          <w:rPr>
            <w:rFonts w:ascii="仿宋_GB2312" w:eastAsia="仿宋_GB2312" w:hAnsi="仿宋_GB2312" w:cs="仿宋_GB2312" w:hint="eastAsia"/>
            <w:bCs/>
            <w:kern w:val="0"/>
            <w:sz w:val="32"/>
            <w:szCs w:val="32"/>
          </w:rPr>
          <w:t>一、主要职能</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151" w:history="1">
        <w:r w:rsidR="00616379">
          <w:rPr>
            <w:rFonts w:ascii="仿宋_GB2312" w:eastAsia="仿宋_GB2312" w:hAnsi="仿宋_GB2312" w:cs="仿宋_GB2312" w:hint="eastAsia"/>
            <w:bCs/>
            <w:kern w:val="0"/>
            <w:sz w:val="32"/>
            <w:szCs w:val="32"/>
          </w:rPr>
          <w:t>二、机构设置及人员情况</w:t>
        </w:r>
      </w:hyperlink>
    </w:p>
    <w:p w:rsidR="00616379" w:rsidRDefault="008C0FA3">
      <w:pPr>
        <w:pStyle w:val="1"/>
        <w:tabs>
          <w:tab w:val="right" w:pos="8306"/>
        </w:tabs>
        <w:rPr>
          <w:rFonts w:ascii="仿宋_GB2312" w:eastAsia="仿宋_GB2312" w:hAnsi="仿宋_GB2312" w:cs="仿宋_GB2312"/>
          <w:b/>
          <w:bCs/>
          <w:sz w:val="32"/>
          <w:szCs w:val="32"/>
        </w:rPr>
      </w:pPr>
      <w:hyperlink w:anchor="_Toc29374" w:history="1">
        <w:r w:rsidR="00616379">
          <w:rPr>
            <w:rFonts w:ascii="仿宋_GB2312" w:eastAsia="仿宋_GB2312" w:hAnsi="仿宋_GB2312" w:cs="仿宋_GB2312" w:hint="eastAsia"/>
            <w:b/>
            <w:bCs/>
            <w:sz w:val="32"/>
            <w:szCs w:val="32"/>
          </w:rPr>
          <w:t>第二部分 部门决算情况说明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5314" w:history="1">
        <w:r w:rsidR="00616379">
          <w:rPr>
            <w:rFonts w:ascii="仿宋_GB2312" w:eastAsia="仿宋_GB2312" w:hAnsi="仿宋_GB2312" w:cs="仿宋_GB2312" w:hint="eastAsia"/>
            <w:bCs/>
            <w:kern w:val="0"/>
            <w:sz w:val="32"/>
            <w:szCs w:val="32"/>
          </w:rPr>
          <w:t>一、收入支出决算总体情况说明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12142" w:history="1">
        <w:r w:rsidR="00616379">
          <w:rPr>
            <w:rFonts w:ascii="仿宋_GB2312" w:eastAsia="仿宋_GB2312" w:hAnsi="仿宋_GB2312" w:cs="仿宋_GB2312" w:hint="eastAsia"/>
            <w:bCs/>
            <w:kern w:val="0"/>
            <w:sz w:val="32"/>
            <w:szCs w:val="32"/>
          </w:rPr>
          <w:t>二、收入决算情况说明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13201" w:history="1">
        <w:r w:rsidR="00616379">
          <w:rPr>
            <w:rFonts w:ascii="仿宋_GB2312" w:eastAsia="仿宋_GB2312" w:hAnsi="仿宋_GB2312" w:cs="仿宋_GB2312" w:hint="eastAsia"/>
            <w:bCs/>
            <w:kern w:val="0"/>
            <w:sz w:val="32"/>
            <w:szCs w:val="32"/>
          </w:rPr>
          <w:t>三、支出决算情况说明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6564" w:history="1">
        <w:r w:rsidR="00616379">
          <w:rPr>
            <w:rFonts w:ascii="仿宋_GB2312" w:eastAsia="仿宋_GB2312" w:hAnsi="仿宋_GB2312" w:cs="仿宋_GB2312" w:hint="eastAsia"/>
            <w:bCs/>
            <w:kern w:val="0"/>
            <w:sz w:val="32"/>
            <w:szCs w:val="32"/>
          </w:rPr>
          <w:t>四、财政拨款收入支出决算总体情况说明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0360" w:history="1">
        <w:r w:rsidR="00616379">
          <w:rPr>
            <w:rFonts w:ascii="仿宋_GB2312" w:eastAsia="仿宋_GB2312" w:hAnsi="仿宋_GB2312" w:cs="仿宋_GB2312" w:hint="eastAsia"/>
            <w:bCs/>
            <w:kern w:val="0"/>
            <w:sz w:val="32"/>
            <w:szCs w:val="32"/>
          </w:rPr>
          <w:t>五、一般公共预算财政拨款支出决算情况说明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30870" w:history="1">
        <w:r w:rsidR="00616379">
          <w:rPr>
            <w:rFonts w:ascii="仿宋_GB2312" w:eastAsia="仿宋_GB2312" w:hAnsi="仿宋_GB2312" w:cs="仿宋_GB2312" w:hint="eastAsia"/>
            <w:bCs/>
            <w:kern w:val="0"/>
            <w:sz w:val="32"/>
            <w:szCs w:val="32"/>
          </w:rPr>
          <w:t>六、一般公共预算财政拨款基本支出决算情况说明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1518" w:history="1">
        <w:r w:rsidR="00616379">
          <w:rPr>
            <w:rFonts w:ascii="仿宋_GB2312" w:eastAsia="仿宋_GB2312" w:hAnsi="仿宋_GB2312" w:cs="仿宋_GB2312" w:hint="eastAsia"/>
            <w:bCs/>
            <w:kern w:val="0"/>
            <w:sz w:val="32"/>
            <w:szCs w:val="32"/>
          </w:rPr>
          <w:t>七、财政拨款“三公”经费支出决算情况说明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5810" w:history="1">
        <w:r w:rsidR="00616379">
          <w:rPr>
            <w:rFonts w:ascii="仿宋_GB2312" w:eastAsia="仿宋_GB2312" w:hAnsi="仿宋_GB2312" w:cs="仿宋_GB2312" w:hint="eastAsia"/>
            <w:bCs/>
            <w:kern w:val="0"/>
            <w:sz w:val="32"/>
            <w:szCs w:val="32"/>
          </w:rPr>
          <w:t>八、政府性基金预算财政拨款收入支出决算情况说明</w:t>
        </w:r>
      </w:hyperlink>
    </w:p>
    <w:p w:rsidR="00616379" w:rsidRDefault="008C0FA3">
      <w:hyperlink w:anchor="_Toc5810" w:history="1">
        <w:r w:rsidR="00616379">
          <w:rPr>
            <w:rFonts w:ascii="仿宋_GB2312" w:eastAsia="仿宋_GB2312" w:hAnsi="仿宋_GB2312" w:cs="仿宋_GB2312" w:hint="eastAsia"/>
            <w:bCs/>
            <w:kern w:val="0"/>
            <w:sz w:val="32"/>
            <w:szCs w:val="32"/>
          </w:rPr>
          <w:t>九、国有资本经营预算财政拨款收入支出决算情况说明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1235" w:history="1">
        <w:r w:rsidR="00616379">
          <w:rPr>
            <w:rFonts w:ascii="仿宋_GB2312" w:eastAsia="仿宋_GB2312" w:hAnsi="仿宋_GB2312" w:cs="仿宋_GB2312" w:hint="eastAsia"/>
            <w:sz w:val="32"/>
            <w:szCs w:val="32"/>
          </w:rPr>
          <w:t>十</w:t>
        </w:r>
        <w:r w:rsidR="00616379">
          <w:rPr>
            <w:rFonts w:ascii="仿宋_GB2312" w:eastAsia="仿宋_GB2312" w:hAnsi="仿宋_GB2312" w:cs="仿宋_GB2312" w:hint="eastAsia"/>
            <w:bCs/>
            <w:kern w:val="0"/>
            <w:sz w:val="32"/>
            <w:szCs w:val="32"/>
          </w:rPr>
          <w:t>、其他重要事项的情况说明</w:t>
        </w:r>
      </w:hyperlink>
    </w:p>
    <w:p w:rsidR="00616379" w:rsidRDefault="008C0FA3">
      <w:pPr>
        <w:pStyle w:val="3"/>
        <w:tabs>
          <w:tab w:val="right" w:pos="8306"/>
        </w:tabs>
        <w:ind w:leftChars="0" w:left="0"/>
        <w:rPr>
          <w:rFonts w:ascii="仿宋_GB2312" w:eastAsia="仿宋_GB2312" w:hAnsi="仿宋_GB2312" w:cs="仿宋_GB2312"/>
          <w:sz w:val="32"/>
          <w:szCs w:val="32"/>
        </w:rPr>
      </w:pPr>
      <w:hyperlink w:anchor="_Toc14519" w:history="1">
        <w:r w:rsidR="00616379">
          <w:rPr>
            <w:rFonts w:ascii="仿宋_GB2312" w:eastAsia="仿宋_GB2312" w:hAnsi="仿宋_GB2312" w:cs="仿宋_GB2312" w:hint="eastAsia"/>
            <w:sz w:val="32"/>
            <w:szCs w:val="32"/>
          </w:rPr>
          <w:t>（一）机关运行经费支出情况</w:t>
        </w:r>
      </w:hyperlink>
    </w:p>
    <w:p w:rsidR="00616379" w:rsidRDefault="008C0FA3">
      <w:pPr>
        <w:pStyle w:val="3"/>
        <w:tabs>
          <w:tab w:val="right" w:pos="8306"/>
        </w:tabs>
        <w:ind w:leftChars="0" w:left="0"/>
        <w:rPr>
          <w:rFonts w:ascii="仿宋_GB2312" w:eastAsia="仿宋_GB2312" w:hAnsi="仿宋_GB2312" w:cs="仿宋_GB2312"/>
          <w:sz w:val="32"/>
          <w:szCs w:val="32"/>
        </w:rPr>
      </w:pPr>
      <w:hyperlink w:anchor="_Toc227" w:history="1">
        <w:r w:rsidR="00616379">
          <w:rPr>
            <w:rFonts w:ascii="仿宋_GB2312" w:eastAsia="仿宋_GB2312" w:hAnsi="仿宋_GB2312" w:cs="仿宋_GB2312" w:hint="eastAsia"/>
            <w:sz w:val="32"/>
            <w:szCs w:val="32"/>
          </w:rPr>
          <w:t>（二）政府采购情况</w:t>
        </w:r>
      </w:hyperlink>
    </w:p>
    <w:p w:rsidR="00616379" w:rsidRDefault="008C0FA3">
      <w:pPr>
        <w:pStyle w:val="3"/>
        <w:tabs>
          <w:tab w:val="right" w:pos="8306"/>
        </w:tabs>
        <w:ind w:leftChars="0" w:left="0"/>
        <w:rPr>
          <w:rFonts w:ascii="仿宋_GB2312" w:eastAsia="仿宋_GB2312" w:hAnsi="仿宋_GB2312" w:cs="仿宋_GB2312"/>
          <w:sz w:val="32"/>
          <w:szCs w:val="32"/>
        </w:rPr>
      </w:pPr>
      <w:hyperlink w:anchor="_Toc8391" w:history="1">
        <w:r w:rsidR="00616379">
          <w:rPr>
            <w:rFonts w:ascii="仿宋_GB2312" w:eastAsia="仿宋_GB2312" w:hAnsi="仿宋_GB2312" w:cs="仿宋_GB2312" w:hint="eastAsia"/>
            <w:sz w:val="32"/>
            <w:szCs w:val="32"/>
          </w:rPr>
          <w:t>（三）国有资产占用情况说明</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11283" w:history="1">
        <w:r w:rsidR="00616379">
          <w:rPr>
            <w:rFonts w:ascii="仿宋_GB2312" w:eastAsia="仿宋_GB2312" w:hAnsi="仿宋_GB2312" w:cs="仿宋_GB2312" w:hint="eastAsia"/>
            <w:bCs/>
            <w:kern w:val="0"/>
            <w:sz w:val="32"/>
            <w:szCs w:val="32"/>
          </w:rPr>
          <w:t>十一、预算绩效的情况说明</w:t>
        </w:r>
      </w:hyperlink>
    </w:p>
    <w:p w:rsidR="00616379" w:rsidRDefault="00B93652">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616379" w:rsidRDefault="008C0FA3">
      <w:pPr>
        <w:pStyle w:val="1"/>
        <w:tabs>
          <w:tab w:val="right" w:pos="8306"/>
        </w:tabs>
        <w:rPr>
          <w:rFonts w:ascii="仿宋_GB2312" w:eastAsia="仿宋_GB2312" w:hAnsi="仿宋_GB2312" w:cs="仿宋_GB2312"/>
          <w:b/>
          <w:bCs/>
          <w:sz w:val="32"/>
          <w:szCs w:val="32"/>
        </w:rPr>
      </w:pPr>
      <w:hyperlink w:anchor="_Toc3250" w:history="1">
        <w:r w:rsidR="00616379">
          <w:rPr>
            <w:rFonts w:ascii="仿宋_GB2312" w:eastAsia="仿宋_GB2312" w:hAnsi="仿宋_GB2312" w:cs="仿宋_GB2312" w:hint="eastAsia"/>
            <w:b/>
            <w:bCs/>
            <w:sz w:val="32"/>
            <w:szCs w:val="32"/>
          </w:rPr>
          <w:t>第三部分 专业名词解释</w:t>
        </w:r>
      </w:hyperlink>
    </w:p>
    <w:p w:rsidR="00616379" w:rsidRDefault="008C0FA3">
      <w:pPr>
        <w:pStyle w:val="1"/>
        <w:tabs>
          <w:tab w:val="right" w:pos="8306"/>
        </w:tabs>
        <w:rPr>
          <w:rFonts w:ascii="仿宋_GB2312" w:eastAsia="仿宋_GB2312" w:hAnsi="仿宋_GB2312" w:cs="仿宋_GB2312"/>
          <w:b/>
          <w:bCs/>
          <w:sz w:val="32"/>
          <w:szCs w:val="32"/>
        </w:rPr>
      </w:pPr>
      <w:hyperlink w:anchor="_Toc22784" w:history="1">
        <w:r w:rsidR="00616379">
          <w:rPr>
            <w:rFonts w:ascii="仿宋_GB2312" w:eastAsia="仿宋_GB2312" w:hAnsi="仿宋_GB2312" w:cs="仿宋_GB2312" w:hint="eastAsia"/>
            <w:b/>
            <w:bCs/>
            <w:sz w:val="32"/>
            <w:szCs w:val="32"/>
          </w:rPr>
          <w:t>第四部分 部门决算报表（见附表）</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183" w:history="1">
        <w:r w:rsidR="00616379">
          <w:rPr>
            <w:rFonts w:ascii="仿宋_GB2312" w:eastAsia="仿宋_GB2312" w:hAnsi="仿宋_GB2312" w:cs="仿宋_GB2312" w:hint="eastAsia"/>
            <w:bCs/>
            <w:kern w:val="0"/>
            <w:sz w:val="32"/>
            <w:szCs w:val="32"/>
          </w:rPr>
          <w:t>一、《收入支出决算总表》</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4532" w:history="1">
        <w:r w:rsidR="00616379">
          <w:rPr>
            <w:rFonts w:ascii="仿宋_GB2312" w:eastAsia="仿宋_GB2312" w:hAnsi="仿宋_GB2312" w:cs="仿宋_GB2312" w:hint="eastAsia"/>
            <w:bCs/>
            <w:kern w:val="0"/>
            <w:sz w:val="32"/>
            <w:szCs w:val="32"/>
          </w:rPr>
          <w:t>二、《收入决算表》</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32434" w:history="1">
        <w:r w:rsidR="00616379">
          <w:rPr>
            <w:rFonts w:ascii="仿宋_GB2312" w:eastAsia="仿宋_GB2312" w:hAnsi="仿宋_GB2312" w:cs="仿宋_GB2312" w:hint="eastAsia"/>
            <w:bCs/>
            <w:kern w:val="0"/>
            <w:sz w:val="32"/>
            <w:szCs w:val="32"/>
          </w:rPr>
          <w:t>三、《支出决算表》</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8786" w:history="1">
        <w:r w:rsidR="00616379">
          <w:rPr>
            <w:rFonts w:ascii="仿宋_GB2312" w:eastAsia="仿宋_GB2312" w:hAnsi="仿宋_GB2312" w:cs="仿宋_GB2312" w:hint="eastAsia"/>
            <w:bCs/>
            <w:kern w:val="0"/>
            <w:sz w:val="32"/>
            <w:szCs w:val="32"/>
          </w:rPr>
          <w:t>四、《财政拨款收入支出决算总表》</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14869" w:history="1">
        <w:r w:rsidR="00616379">
          <w:rPr>
            <w:rFonts w:ascii="仿宋_GB2312" w:eastAsia="仿宋_GB2312" w:hAnsi="仿宋_GB2312" w:cs="仿宋_GB2312" w:hint="eastAsia"/>
            <w:bCs/>
            <w:kern w:val="0"/>
            <w:sz w:val="32"/>
            <w:szCs w:val="32"/>
          </w:rPr>
          <w:t>五、《一般公共预算财政拨款支出决算表》</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8884" w:history="1">
        <w:r w:rsidR="00616379">
          <w:rPr>
            <w:rFonts w:ascii="仿宋_GB2312" w:eastAsia="仿宋_GB2312" w:hAnsi="仿宋_GB2312" w:cs="仿宋_GB2312" w:hint="eastAsia"/>
            <w:bCs/>
            <w:kern w:val="0"/>
            <w:sz w:val="32"/>
            <w:szCs w:val="32"/>
          </w:rPr>
          <w:t>六、《一般公共预算财政拨款基本支出决算表》</w:t>
        </w:r>
      </w:hyperlink>
    </w:p>
    <w:p w:rsidR="00616379" w:rsidRDefault="008C0FA3">
      <w:pPr>
        <w:pStyle w:val="2"/>
        <w:tabs>
          <w:tab w:val="right" w:pos="8306"/>
        </w:tabs>
        <w:ind w:leftChars="0" w:left="0"/>
        <w:rPr>
          <w:rFonts w:ascii="仿宋_GB2312" w:eastAsia="仿宋_GB2312" w:hAnsi="仿宋_GB2312" w:cs="仿宋_GB2312"/>
          <w:sz w:val="32"/>
          <w:szCs w:val="32"/>
        </w:rPr>
      </w:pPr>
      <w:hyperlink w:anchor="_Toc29106" w:history="1">
        <w:r w:rsidR="00616379">
          <w:rPr>
            <w:rFonts w:ascii="仿宋_GB2312" w:eastAsia="仿宋_GB2312" w:hAnsi="仿宋_GB2312" w:cs="仿宋_GB2312" w:hint="eastAsia"/>
            <w:bCs/>
            <w:kern w:val="0"/>
            <w:sz w:val="32"/>
            <w:szCs w:val="32"/>
          </w:rPr>
          <w:t>七、《财政拨款“三公”经费支出决算表》</w:t>
        </w:r>
      </w:hyperlink>
    </w:p>
    <w:p w:rsidR="00616379" w:rsidRDefault="008C0FA3">
      <w:pPr>
        <w:pStyle w:val="2"/>
        <w:tabs>
          <w:tab w:val="right" w:pos="8306"/>
        </w:tabs>
        <w:ind w:leftChars="0" w:left="0"/>
        <w:rPr>
          <w:rFonts w:ascii="仿宋_GB2312" w:eastAsia="仿宋_GB2312" w:hAnsi="仿宋_GB2312" w:cs="仿宋_GB2312"/>
          <w:bCs/>
          <w:kern w:val="0"/>
          <w:sz w:val="32"/>
          <w:szCs w:val="32"/>
        </w:rPr>
      </w:pPr>
      <w:hyperlink w:anchor="_Toc7643" w:history="1">
        <w:r w:rsidR="00616379">
          <w:rPr>
            <w:rFonts w:ascii="仿宋_GB2312" w:eastAsia="仿宋_GB2312" w:hAnsi="仿宋_GB2312" w:cs="仿宋_GB2312" w:hint="eastAsia"/>
            <w:bCs/>
            <w:kern w:val="0"/>
            <w:sz w:val="32"/>
            <w:szCs w:val="32"/>
          </w:rPr>
          <w:t>八、《政府性基金预算财政拨款收入支出决算表》</w:t>
        </w:r>
      </w:hyperlink>
    </w:p>
    <w:p w:rsidR="00616379" w:rsidRDefault="00B93652">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16379" w:rsidRDefault="008C0FA3">
      <w:r>
        <w:rPr>
          <w:rFonts w:ascii="仿宋_GB2312" w:eastAsia="仿宋_GB2312" w:hAnsi="仿宋_GB2312" w:cs="仿宋_GB2312" w:hint="eastAsia"/>
          <w:sz w:val="32"/>
          <w:szCs w:val="32"/>
        </w:rPr>
        <w:fldChar w:fldCharType="end"/>
      </w:r>
    </w:p>
    <w:p w:rsidR="00616379" w:rsidRDefault="00B93652">
      <w:pPr>
        <w:rPr>
          <w:rFonts w:ascii="仿宋_GB2312" w:eastAsia="仿宋_GB2312"/>
          <w:sz w:val="32"/>
          <w:szCs w:val="32"/>
        </w:rPr>
      </w:pPr>
      <w:r>
        <w:rPr>
          <w:rFonts w:ascii="仿宋_GB2312" w:eastAsia="仿宋_GB2312" w:hint="eastAsia"/>
          <w:sz w:val="32"/>
          <w:szCs w:val="32"/>
        </w:rPr>
        <w:br w:type="page"/>
      </w:r>
    </w:p>
    <w:p w:rsidR="00616379" w:rsidRDefault="00B93652">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616379" w:rsidRDefault="00B93652">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宣传贯彻党的路线、方针、政策和国家的法律法规，执行上级党组织的决议、决定，保证党和政府各项任务顺利完成。研究制定街道、社区发展建设规划，负责对街道整体发展、重大投资和重大事项的决策。领导街道办事处、工会、共青团、妇联等群团组织，支持和保证行政组织、群众自治组织依照法律法规和章程开展工作。领导街道党的纪律检查工作委员会的工作。做好街道领导班子思想建设、政治建设、组织建设、作风建设、制度建设。加强街道党组织的自身建设，充分发挥街道党组织的领导核心、战斗堡垒作用和党员的先锋作用，对辖区内非公有制经济和社会组织加强</w:t>
      </w:r>
      <w:r>
        <w:rPr>
          <w:rFonts w:ascii="仿宋_GB2312" w:eastAsia="仿宋_GB2312" w:hint="eastAsia"/>
          <w:sz w:val="32"/>
          <w:szCs w:val="32"/>
        </w:rPr>
        <w:t>政治领导。按照干部管理权限，做好街道干部的教育、培养、选拔、考核和监督工作，加强对专业管理部门派驻街道机构负责人的考核、监督工作。组织制定社区党的建设规划，指导社区党组织和党员参加社区政治生活。领导街道、社区思想政治和精神文明建设工作，开展群众性的思想政治教育。加强街道基层民主法制建设，做好党的爱国统一战线工作。领导辖区内社会管理综合治理工作；做好街道武装工作；完成市委交办的其他工作。</w:t>
      </w:r>
    </w:p>
    <w:p w:rsidR="00616379" w:rsidRDefault="00B93652">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616379" w:rsidRDefault="00B93652">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昌吉市北京南路街道办事处</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157</w:t>
      </w:r>
      <w:r>
        <w:rPr>
          <w:rFonts w:ascii="仿宋_GB2312" w:eastAsia="仿宋_GB2312" w:hint="eastAsia"/>
          <w:sz w:val="32"/>
          <w:szCs w:val="32"/>
        </w:rPr>
        <w:lastRenderedPageBreak/>
        <w:t>人，其中：在职人员</w:t>
      </w:r>
      <w:r>
        <w:rPr>
          <w:rFonts w:ascii="仿宋_GB2312" w:eastAsia="仿宋_GB2312" w:hint="eastAsia"/>
          <w:sz w:val="32"/>
          <w:szCs w:val="32"/>
          <w:lang w:val="zh-CN"/>
        </w:rPr>
        <w:t>104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53</w:t>
      </w:r>
      <w:r>
        <w:rPr>
          <w:rFonts w:ascii="仿宋_GB2312" w:eastAsia="仿宋_GB2312" w:hint="eastAsia"/>
          <w:sz w:val="32"/>
          <w:szCs w:val="32"/>
        </w:rPr>
        <w:t>人。</w:t>
      </w:r>
    </w:p>
    <w:p w:rsidR="00616379" w:rsidRDefault="00B93652">
      <w:pPr>
        <w:ind w:firstLineChars="200" w:firstLine="640"/>
        <w:rPr>
          <w:rFonts w:ascii="仿宋_GB2312" w:eastAsia="仿宋_GB2312" w:hAnsi="宋体" w:cs="宋体"/>
          <w:kern w:val="0"/>
          <w:sz w:val="32"/>
          <w:szCs w:val="32"/>
        </w:rPr>
        <w:sectPr w:rsidR="0061637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综合协调办、党建办、综合执法办、社会事务中心、党群服务中心、综治中心。</w:t>
      </w:r>
    </w:p>
    <w:p w:rsidR="00616379" w:rsidRDefault="00B93652">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616379" w:rsidRDefault="00B93652">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4,074.31</w:t>
      </w:r>
      <w:r>
        <w:rPr>
          <w:rFonts w:ascii="仿宋_GB2312" w:eastAsia="仿宋_GB2312" w:hint="eastAsia"/>
          <w:sz w:val="32"/>
          <w:szCs w:val="32"/>
        </w:rPr>
        <w:t>万元，其中：本年收入合计</w:t>
      </w:r>
      <w:r>
        <w:rPr>
          <w:rFonts w:ascii="仿宋_GB2312" w:eastAsia="仿宋_GB2312" w:hint="eastAsia"/>
          <w:sz w:val="32"/>
          <w:szCs w:val="32"/>
        </w:rPr>
        <w:t>4,074.31</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4,074.31</w:t>
      </w:r>
      <w:r>
        <w:rPr>
          <w:rFonts w:ascii="仿宋_GB2312" w:eastAsia="仿宋_GB2312" w:hint="eastAsia"/>
          <w:sz w:val="32"/>
          <w:szCs w:val="32"/>
        </w:rPr>
        <w:t>万元，其中：本年支出合计</w:t>
      </w:r>
      <w:r>
        <w:rPr>
          <w:rFonts w:ascii="仿宋_GB2312" w:eastAsia="仿宋_GB2312" w:hint="eastAsia"/>
          <w:sz w:val="32"/>
          <w:szCs w:val="32"/>
        </w:rPr>
        <w:t>4,074.31</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779.29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16.06%</w:t>
      </w:r>
      <w:r>
        <w:rPr>
          <w:rFonts w:ascii="仿宋_GB2312" w:eastAsia="仿宋_GB2312" w:hint="eastAsia"/>
          <w:sz w:val="32"/>
          <w:szCs w:val="32"/>
        </w:rPr>
        <w:t>，主要原因是：本年基层党建优秀县乡村党组织奖励经费减少</w:t>
      </w:r>
      <w:r w:rsidR="004F5497">
        <w:rPr>
          <w:rFonts w:ascii="仿宋_GB2312" w:eastAsia="仿宋_GB2312" w:hint="eastAsia"/>
          <w:sz w:val="32"/>
          <w:szCs w:val="32"/>
        </w:rPr>
        <w:t>、慰问卫生防控表现优秀基层党组织经费减少</w:t>
      </w:r>
      <w:r>
        <w:rPr>
          <w:rFonts w:ascii="仿宋_GB2312" w:eastAsia="仿宋_GB2312" w:hint="eastAsia"/>
          <w:sz w:val="32"/>
          <w:szCs w:val="32"/>
        </w:rPr>
        <w:t>。</w:t>
      </w:r>
    </w:p>
    <w:p w:rsidR="00616379" w:rsidRDefault="00B93652">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4,074.31</w:t>
      </w:r>
      <w:r>
        <w:rPr>
          <w:rFonts w:ascii="仿宋_GB2312" w:eastAsia="仿宋_GB2312" w:hint="eastAsia"/>
          <w:sz w:val="32"/>
          <w:szCs w:val="32"/>
        </w:rPr>
        <w:t>万元，其中：财政拨款收入</w:t>
      </w:r>
      <w:r>
        <w:rPr>
          <w:rFonts w:ascii="仿宋_GB2312" w:eastAsia="仿宋_GB2312" w:hint="eastAsia"/>
          <w:sz w:val="32"/>
          <w:szCs w:val="32"/>
          <w:lang w:val="zh-CN"/>
        </w:rPr>
        <w:t>4,074.31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616379" w:rsidRDefault="00B93652">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616379" w:rsidRDefault="00B9365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4,074.31</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3,616.05</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88.75%</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458.26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11.25%</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616379" w:rsidRDefault="00B93652">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4,074.31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4,074.31</w:t>
      </w:r>
      <w:r>
        <w:rPr>
          <w:rFonts w:ascii="仿宋_GB2312" w:eastAsia="仿宋_GB2312" w:hint="eastAsia"/>
          <w:sz w:val="32"/>
          <w:szCs w:val="32"/>
        </w:rPr>
        <w:t>万元。财政拨款支出总计</w:t>
      </w:r>
      <w:r>
        <w:rPr>
          <w:rFonts w:ascii="仿宋_GB2312" w:eastAsia="仿宋_GB2312" w:hint="eastAsia"/>
          <w:sz w:val="32"/>
          <w:szCs w:val="32"/>
          <w:lang w:val="zh-CN"/>
        </w:rPr>
        <w:t>4,074.31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4,074.31</w:t>
      </w:r>
      <w:r>
        <w:rPr>
          <w:rFonts w:ascii="仿宋_GB2312" w:eastAsia="仿宋_GB2312" w:hint="eastAsia"/>
          <w:sz w:val="32"/>
          <w:szCs w:val="32"/>
        </w:rPr>
        <w:t>万元。</w:t>
      </w:r>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779.29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16.06%,</w:t>
      </w:r>
      <w:r>
        <w:rPr>
          <w:rFonts w:ascii="仿宋_GB2312" w:eastAsia="仿宋_GB2312" w:hint="eastAsia"/>
          <w:sz w:val="32"/>
          <w:szCs w:val="32"/>
        </w:rPr>
        <w:t>主要原因是：</w:t>
      </w:r>
      <w:r w:rsidR="004F5497">
        <w:rPr>
          <w:rFonts w:ascii="仿宋_GB2312" w:eastAsia="仿宋_GB2312" w:hint="eastAsia"/>
          <w:sz w:val="32"/>
          <w:szCs w:val="32"/>
        </w:rPr>
        <w:t>本年基层党建优秀县乡村党组织奖励经费减少、慰问卫生防控表现优秀基层党组织经费减少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4,205.50</w:t>
      </w:r>
      <w:r>
        <w:rPr>
          <w:rFonts w:ascii="仿宋_GB2312" w:eastAsia="仿宋_GB2312" w:hint="eastAsia"/>
          <w:sz w:val="32"/>
          <w:szCs w:val="32"/>
        </w:rPr>
        <w:t>万元，决算数</w:t>
      </w:r>
      <w:r>
        <w:rPr>
          <w:rFonts w:ascii="仿宋_GB2312" w:eastAsia="仿宋_GB2312" w:hint="eastAsia"/>
          <w:sz w:val="32"/>
          <w:szCs w:val="32"/>
          <w:lang w:val="zh-CN"/>
        </w:rPr>
        <w:t>4,074.31</w:t>
      </w:r>
      <w:r>
        <w:rPr>
          <w:rFonts w:ascii="仿宋_GB2312" w:eastAsia="仿宋_GB2312" w:hint="eastAsia"/>
          <w:sz w:val="32"/>
          <w:szCs w:val="32"/>
        </w:rPr>
        <w:t>万元，预决算差异率</w:t>
      </w:r>
      <w:r>
        <w:rPr>
          <w:rFonts w:ascii="仿宋_GB2312" w:eastAsia="仿宋_GB2312" w:hint="eastAsia"/>
          <w:sz w:val="32"/>
          <w:szCs w:val="32"/>
        </w:rPr>
        <w:t>-3.12%</w:t>
      </w:r>
      <w:r>
        <w:rPr>
          <w:rFonts w:ascii="仿宋_GB2312" w:eastAsia="仿宋_GB2312" w:hint="eastAsia"/>
          <w:sz w:val="32"/>
          <w:szCs w:val="32"/>
        </w:rPr>
        <w:t>，主要原因是：</w:t>
      </w:r>
      <w:r w:rsidR="004F5497">
        <w:rPr>
          <w:rFonts w:ascii="仿宋_GB2312" w:eastAsia="仿宋_GB2312" w:hint="eastAsia"/>
          <w:sz w:val="32"/>
          <w:szCs w:val="32"/>
        </w:rPr>
        <w:t>较预算减少</w:t>
      </w:r>
      <w:r w:rsidR="004F5497">
        <w:rPr>
          <w:rFonts w:ascii="仿宋_GB2312" w:eastAsia="仿宋_GB2312" w:hAnsi="仿宋_GB2312" w:cs="仿宋_GB2312" w:hint="eastAsia"/>
          <w:sz w:val="32"/>
          <w:szCs w:val="32"/>
          <w:lang w:val="zh-CN"/>
        </w:rPr>
        <w:t>中小企业欠款化解资金、</w:t>
      </w:r>
      <w:r w:rsidR="004F5497" w:rsidRPr="00193931">
        <w:rPr>
          <w:rFonts w:ascii="仿宋_GB2312" w:eastAsia="仿宋_GB2312" w:hAnsi="仿宋_GB2312" w:cs="仿宋_GB2312" w:hint="eastAsia"/>
          <w:sz w:val="32"/>
          <w:szCs w:val="32"/>
          <w:lang w:val="zh-CN"/>
        </w:rPr>
        <w:t>自治区驻村</w:t>
      </w:r>
      <w:r w:rsidR="004F5497">
        <w:rPr>
          <w:rFonts w:ascii="仿宋_GB2312" w:eastAsia="仿宋_GB2312" w:hAnsi="仿宋_GB2312" w:cs="仿宋_GB2312" w:hint="eastAsia"/>
          <w:sz w:val="32"/>
          <w:szCs w:val="32"/>
          <w:lang w:val="zh-CN"/>
        </w:rPr>
        <w:t>工作人员生活补助项目经费</w:t>
      </w:r>
      <w:r>
        <w:rPr>
          <w:rFonts w:ascii="仿宋_GB2312" w:eastAsia="仿宋_GB2312" w:hint="eastAsia"/>
          <w:sz w:val="32"/>
          <w:szCs w:val="32"/>
        </w:rPr>
        <w:t>。</w:t>
      </w:r>
    </w:p>
    <w:p w:rsidR="00616379" w:rsidRDefault="00B93652">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w:t>
      </w:r>
      <w:r>
        <w:rPr>
          <w:rFonts w:ascii="黑体" w:eastAsia="黑体" w:hAnsi="黑体" w:cs="宋体" w:hint="eastAsia"/>
          <w:bCs/>
          <w:kern w:val="0"/>
          <w:sz w:val="32"/>
          <w:szCs w:val="32"/>
        </w:rPr>
        <w:t>拨款支出决算情况说明</w:t>
      </w:r>
      <w:bookmarkEnd w:id="16"/>
      <w:bookmarkEnd w:id="17"/>
    </w:p>
    <w:p w:rsidR="00616379" w:rsidRDefault="00B93652">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616379" w:rsidRDefault="00B93652">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4,074.31</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779.29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16.06%,</w:t>
      </w:r>
      <w:r>
        <w:rPr>
          <w:rFonts w:ascii="仿宋_GB2312" w:eastAsia="仿宋_GB2312" w:hint="eastAsia"/>
          <w:sz w:val="32"/>
          <w:szCs w:val="32"/>
        </w:rPr>
        <w:t>主要原因是：</w:t>
      </w:r>
      <w:r w:rsidR="004F5497">
        <w:rPr>
          <w:rFonts w:ascii="仿宋_GB2312" w:eastAsia="仿宋_GB2312" w:hint="eastAsia"/>
          <w:sz w:val="32"/>
          <w:szCs w:val="32"/>
        </w:rPr>
        <w:t>本年基层党建优秀县乡村党组织奖励经费减少、慰问卫生防控表现优秀基层党组织经费减少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4,086.44</w:t>
      </w:r>
      <w:r>
        <w:rPr>
          <w:rFonts w:ascii="仿宋_GB2312" w:eastAsia="仿宋_GB2312" w:hint="eastAsia"/>
          <w:sz w:val="32"/>
          <w:szCs w:val="32"/>
        </w:rPr>
        <w:t>万元，决算数</w:t>
      </w:r>
      <w:r>
        <w:rPr>
          <w:rFonts w:ascii="仿宋_GB2312" w:eastAsia="仿宋_GB2312" w:hint="eastAsia"/>
          <w:sz w:val="32"/>
          <w:szCs w:val="32"/>
          <w:lang w:val="zh-CN"/>
        </w:rPr>
        <w:t>4,074.31</w:t>
      </w:r>
      <w:r>
        <w:rPr>
          <w:rFonts w:ascii="仿宋_GB2312" w:eastAsia="仿宋_GB2312" w:hint="eastAsia"/>
          <w:sz w:val="32"/>
          <w:szCs w:val="32"/>
        </w:rPr>
        <w:t>万元，预决算差异率</w:t>
      </w:r>
      <w:r>
        <w:rPr>
          <w:rFonts w:ascii="仿宋_GB2312" w:eastAsia="仿宋_GB2312" w:hint="eastAsia"/>
          <w:sz w:val="32"/>
          <w:szCs w:val="32"/>
          <w:lang w:val="zh-CN"/>
        </w:rPr>
        <w:t>-0.30%</w:t>
      </w:r>
      <w:r>
        <w:rPr>
          <w:rFonts w:ascii="仿宋_GB2312" w:eastAsia="仿宋_GB2312" w:hint="eastAsia"/>
          <w:sz w:val="32"/>
          <w:szCs w:val="32"/>
        </w:rPr>
        <w:t>，主要原因是：</w:t>
      </w:r>
      <w:r w:rsidR="004F5497">
        <w:rPr>
          <w:rFonts w:ascii="仿宋_GB2312" w:eastAsia="仿宋_GB2312" w:hint="eastAsia"/>
          <w:sz w:val="32"/>
          <w:szCs w:val="32"/>
        </w:rPr>
        <w:t>较预算减少</w:t>
      </w:r>
      <w:r w:rsidR="004F5497">
        <w:rPr>
          <w:rFonts w:ascii="仿宋_GB2312" w:eastAsia="仿宋_GB2312" w:hAnsi="仿宋_GB2312" w:cs="仿宋_GB2312" w:hint="eastAsia"/>
          <w:sz w:val="32"/>
          <w:szCs w:val="32"/>
          <w:lang w:val="zh-CN"/>
        </w:rPr>
        <w:t>中小企业欠款化解资金、</w:t>
      </w:r>
      <w:r w:rsidR="004F5497" w:rsidRPr="00193931">
        <w:rPr>
          <w:rFonts w:ascii="仿宋_GB2312" w:eastAsia="仿宋_GB2312" w:hAnsi="仿宋_GB2312" w:cs="仿宋_GB2312" w:hint="eastAsia"/>
          <w:sz w:val="32"/>
          <w:szCs w:val="32"/>
          <w:lang w:val="zh-CN"/>
        </w:rPr>
        <w:t>自治区驻村</w:t>
      </w:r>
      <w:r w:rsidR="004F5497">
        <w:rPr>
          <w:rFonts w:ascii="仿宋_GB2312" w:eastAsia="仿宋_GB2312" w:hAnsi="仿宋_GB2312" w:cs="仿宋_GB2312" w:hint="eastAsia"/>
          <w:sz w:val="32"/>
          <w:szCs w:val="32"/>
          <w:lang w:val="zh-CN"/>
        </w:rPr>
        <w:t>工作人员生活补助</w:t>
      </w:r>
      <w:r w:rsidR="004F5497">
        <w:rPr>
          <w:rFonts w:ascii="仿宋_GB2312" w:eastAsia="仿宋_GB2312" w:hAnsi="仿宋_GB2312" w:cs="仿宋_GB2312" w:hint="eastAsia"/>
          <w:sz w:val="32"/>
          <w:szCs w:val="32"/>
          <w:lang w:val="zh-CN"/>
        </w:rPr>
        <w:lastRenderedPageBreak/>
        <w:t>项目经费</w:t>
      </w:r>
      <w:r>
        <w:rPr>
          <w:rFonts w:ascii="仿宋_GB2312" w:eastAsia="仿宋_GB2312" w:hint="eastAsia"/>
          <w:sz w:val="32"/>
          <w:szCs w:val="32"/>
        </w:rPr>
        <w:t>。</w:t>
      </w:r>
    </w:p>
    <w:p w:rsidR="00616379" w:rsidRDefault="00B93652">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616379" w:rsidRDefault="00B936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3,719.56</w:t>
      </w:r>
      <w:r>
        <w:rPr>
          <w:rFonts w:ascii="仿宋_GB2312" w:eastAsia="仿宋_GB2312"/>
          <w:kern w:val="2"/>
          <w:sz w:val="32"/>
          <w:szCs w:val="32"/>
          <w:lang w:val="zh-CN"/>
        </w:rPr>
        <w:t>万元，占</w:t>
      </w:r>
      <w:r>
        <w:rPr>
          <w:rFonts w:ascii="仿宋_GB2312" w:eastAsia="仿宋_GB2312" w:hint="eastAsia"/>
          <w:kern w:val="2"/>
          <w:sz w:val="32"/>
          <w:szCs w:val="32"/>
          <w:lang w:val="zh-CN"/>
        </w:rPr>
        <w:t>91.29%</w:t>
      </w:r>
      <w:r>
        <w:rPr>
          <w:rFonts w:ascii="仿宋_GB2312" w:eastAsia="仿宋_GB2312"/>
          <w:kern w:val="2"/>
          <w:sz w:val="32"/>
          <w:szCs w:val="32"/>
          <w:lang w:val="zh-CN"/>
        </w:rPr>
        <w:t>；</w:t>
      </w:r>
    </w:p>
    <w:p w:rsidR="00616379" w:rsidRDefault="00B936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152.79</w:t>
      </w:r>
      <w:r>
        <w:rPr>
          <w:rFonts w:ascii="仿宋_GB2312" w:eastAsia="仿宋_GB2312"/>
          <w:kern w:val="2"/>
          <w:sz w:val="32"/>
          <w:szCs w:val="32"/>
          <w:lang w:val="zh-CN"/>
        </w:rPr>
        <w:t>万元，占</w:t>
      </w:r>
      <w:r>
        <w:rPr>
          <w:rFonts w:ascii="仿宋_GB2312" w:eastAsia="仿宋_GB2312" w:hint="eastAsia"/>
          <w:kern w:val="2"/>
          <w:sz w:val="32"/>
          <w:szCs w:val="32"/>
          <w:lang w:val="zh-CN"/>
        </w:rPr>
        <w:t>3.75%</w:t>
      </w:r>
      <w:r>
        <w:rPr>
          <w:rFonts w:ascii="仿宋_GB2312" w:eastAsia="仿宋_GB2312"/>
          <w:kern w:val="2"/>
          <w:sz w:val="32"/>
          <w:szCs w:val="32"/>
          <w:lang w:val="zh-CN"/>
        </w:rPr>
        <w:t>；</w:t>
      </w:r>
    </w:p>
    <w:p w:rsidR="00616379" w:rsidRDefault="00B936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85.02</w:t>
      </w:r>
      <w:r>
        <w:rPr>
          <w:rFonts w:ascii="仿宋_GB2312" w:eastAsia="仿宋_GB2312"/>
          <w:kern w:val="2"/>
          <w:sz w:val="32"/>
          <w:szCs w:val="32"/>
          <w:lang w:val="zh-CN"/>
        </w:rPr>
        <w:t>万元，占</w:t>
      </w:r>
      <w:r>
        <w:rPr>
          <w:rFonts w:ascii="仿宋_GB2312" w:eastAsia="仿宋_GB2312" w:hint="eastAsia"/>
          <w:kern w:val="2"/>
          <w:sz w:val="32"/>
          <w:szCs w:val="32"/>
          <w:lang w:val="zh-CN"/>
        </w:rPr>
        <w:t>2.09%</w:t>
      </w:r>
      <w:r>
        <w:rPr>
          <w:rFonts w:ascii="仿宋_GB2312" w:eastAsia="仿宋_GB2312"/>
          <w:kern w:val="2"/>
          <w:sz w:val="32"/>
          <w:szCs w:val="32"/>
          <w:lang w:val="zh-CN"/>
        </w:rPr>
        <w:t>；</w:t>
      </w:r>
    </w:p>
    <w:p w:rsidR="00616379" w:rsidRDefault="00B936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9.66</w:t>
      </w:r>
      <w:r>
        <w:rPr>
          <w:rFonts w:ascii="仿宋_GB2312" w:eastAsia="仿宋_GB2312"/>
          <w:kern w:val="2"/>
          <w:sz w:val="32"/>
          <w:szCs w:val="32"/>
          <w:lang w:val="zh-CN"/>
        </w:rPr>
        <w:t>万元，占</w:t>
      </w:r>
      <w:r>
        <w:rPr>
          <w:rFonts w:ascii="仿宋_GB2312" w:eastAsia="仿宋_GB2312" w:hint="eastAsia"/>
          <w:kern w:val="2"/>
          <w:sz w:val="32"/>
          <w:szCs w:val="32"/>
          <w:lang w:val="zh-CN"/>
        </w:rPr>
        <w:t>0.24%</w:t>
      </w:r>
      <w:r>
        <w:rPr>
          <w:rFonts w:ascii="仿宋_GB2312" w:eastAsia="仿宋_GB2312"/>
          <w:kern w:val="2"/>
          <w:sz w:val="32"/>
          <w:szCs w:val="32"/>
          <w:lang w:val="zh-CN"/>
        </w:rPr>
        <w:t>；</w:t>
      </w:r>
    </w:p>
    <w:p w:rsidR="00616379" w:rsidRDefault="00B936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92.51</w:t>
      </w:r>
      <w:r>
        <w:rPr>
          <w:rFonts w:ascii="仿宋_GB2312" w:eastAsia="仿宋_GB2312"/>
          <w:kern w:val="2"/>
          <w:sz w:val="32"/>
          <w:szCs w:val="32"/>
          <w:lang w:val="zh-CN"/>
        </w:rPr>
        <w:t>万元，占</w:t>
      </w:r>
      <w:r>
        <w:rPr>
          <w:rFonts w:ascii="仿宋_GB2312" w:eastAsia="仿宋_GB2312" w:hint="eastAsia"/>
          <w:kern w:val="2"/>
          <w:sz w:val="32"/>
          <w:szCs w:val="32"/>
          <w:lang w:val="zh-CN"/>
        </w:rPr>
        <w:t>2.27%</w:t>
      </w:r>
      <w:r>
        <w:rPr>
          <w:rFonts w:ascii="仿宋_GB2312" w:eastAsia="仿宋_GB2312"/>
          <w:kern w:val="2"/>
          <w:sz w:val="32"/>
          <w:szCs w:val="32"/>
          <w:lang w:val="zh-CN"/>
        </w:rPr>
        <w:t>；</w:t>
      </w:r>
    </w:p>
    <w:p w:rsidR="00616379" w:rsidRDefault="00B936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14.78</w:t>
      </w:r>
      <w:r>
        <w:rPr>
          <w:rFonts w:ascii="仿宋_GB2312" w:eastAsia="仿宋_GB2312"/>
          <w:kern w:val="2"/>
          <w:sz w:val="32"/>
          <w:szCs w:val="32"/>
          <w:lang w:val="zh-CN"/>
        </w:rPr>
        <w:t>万元，占</w:t>
      </w:r>
      <w:r>
        <w:rPr>
          <w:rFonts w:ascii="仿宋_GB2312" w:eastAsia="仿宋_GB2312" w:hint="eastAsia"/>
          <w:kern w:val="2"/>
          <w:sz w:val="32"/>
          <w:szCs w:val="32"/>
          <w:lang w:val="zh-CN"/>
        </w:rPr>
        <w:t>0.36%</w:t>
      </w:r>
      <w:r>
        <w:rPr>
          <w:rFonts w:ascii="仿宋_GB2312" w:eastAsia="仿宋_GB2312" w:hint="eastAsia"/>
          <w:kern w:val="2"/>
          <w:sz w:val="32"/>
          <w:szCs w:val="32"/>
          <w:lang w:val="zh-CN"/>
        </w:rPr>
        <w:t>。</w:t>
      </w:r>
    </w:p>
    <w:p w:rsidR="00616379" w:rsidRDefault="00B93652">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0.40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0.09</w:t>
      </w:r>
      <w:r>
        <w:rPr>
          <w:rFonts w:ascii="仿宋_GB2312" w:eastAsia="仿宋_GB2312" w:hAnsi="仿宋_GB2312" w:cs="仿宋_GB2312" w:hint="eastAsia"/>
          <w:sz w:val="32"/>
          <w:szCs w:val="32"/>
        </w:rPr>
        <w:t>万元，下降</w:t>
      </w:r>
      <w:r w:rsidR="00827507">
        <w:rPr>
          <w:rFonts w:ascii="仿宋_GB2312" w:eastAsia="仿宋_GB2312" w:hAnsi="仿宋_GB2312" w:cs="仿宋_GB2312" w:hint="eastAsia"/>
          <w:sz w:val="32"/>
          <w:szCs w:val="32"/>
        </w:rPr>
        <w:t>18.37%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年退休人员死亡</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人，退休人员大病医疗</w:t>
      </w:r>
      <w:r>
        <w:rPr>
          <w:rFonts w:ascii="仿宋_GB2312" w:eastAsia="仿宋_GB2312" w:hAnsi="仿宋_GB2312" w:cs="仿宋_GB2312" w:hint="eastAsia"/>
          <w:sz w:val="32"/>
          <w:szCs w:val="32"/>
        </w:rPr>
        <w:t>缴费</w:t>
      </w:r>
      <w:r>
        <w:rPr>
          <w:rFonts w:ascii="仿宋_GB2312" w:eastAsia="仿宋_GB2312" w:hAnsi="仿宋_GB2312" w:cs="仿宋_GB2312" w:hint="eastAsia"/>
          <w:sz w:val="32"/>
          <w:szCs w:val="32"/>
          <w:lang w:val="zh-CN"/>
        </w:rPr>
        <w:t>减少。</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26.43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13.25</w:t>
      </w:r>
      <w:r>
        <w:rPr>
          <w:rFonts w:ascii="仿宋_GB2312" w:eastAsia="仿宋_GB2312" w:hAnsi="仿宋_GB2312" w:cs="仿宋_GB2312" w:hint="eastAsia"/>
          <w:sz w:val="32"/>
          <w:szCs w:val="32"/>
        </w:rPr>
        <w:t>万元，增长</w:t>
      </w:r>
      <w:r w:rsidR="00827507">
        <w:rPr>
          <w:rFonts w:ascii="仿宋_GB2312" w:eastAsia="仿宋_GB2312" w:hAnsi="仿宋_GB2312" w:cs="仿宋_GB2312" w:hint="eastAsia"/>
          <w:sz w:val="32"/>
          <w:szCs w:val="32"/>
        </w:rPr>
        <w:t>100.53%</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4F5497">
        <w:rPr>
          <w:rFonts w:ascii="仿宋_GB2312" w:eastAsia="仿宋_GB2312" w:hAnsi="仿宋_GB2312" w:cs="仿宋_GB2312" w:hint="eastAsia"/>
          <w:sz w:val="32"/>
          <w:szCs w:val="32"/>
          <w:lang w:val="zh-CN"/>
        </w:rPr>
        <w:t>职工</w:t>
      </w:r>
      <w:r>
        <w:rPr>
          <w:rFonts w:ascii="仿宋_GB2312" w:eastAsia="仿宋_GB2312" w:hAnsi="仿宋_GB2312" w:cs="仿宋_GB2312" w:hint="eastAsia"/>
          <w:sz w:val="32"/>
          <w:szCs w:val="32"/>
          <w:lang w:val="zh-CN"/>
        </w:rPr>
        <w:t>医疗缴费增加。</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49.79</w:t>
      </w:r>
      <w:r>
        <w:rPr>
          <w:rFonts w:ascii="仿宋_GB2312" w:eastAsia="仿宋_GB2312" w:hAnsi="仿宋_GB2312" w:cs="仿宋_GB2312" w:hint="eastAsia"/>
          <w:sz w:val="32"/>
          <w:szCs w:val="32"/>
        </w:rPr>
        <w:t>万元，比上年决算增加</w:t>
      </w:r>
      <w:r w:rsidR="00827507">
        <w:rPr>
          <w:rFonts w:ascii="仿宋_GB2312" w:eastAsia="仿宋_GB2312" w:hAnsi="仿宋_GB2312" w:cs="仿宋_GB2312" w:hint="eastAsia"/>
          <w:sz w:val="32"/>
          <w:szCs w:val="32"/>
        </w:rPr>
        <w:t>4.53</w:t>
      </w:r>
      <w:r>
        <w:rPr>
          <w:rFonts w:ascii="仿宋_GB2312" w:eastAsia="仿宋_GB2312" w:hAnsi="仿宋_GB2312" w:cs="仿宋_GB2312" w:hint="eastAsia"/>
          <w:sz w:val="32"/>
          <w:szCs w:val="32"/>
        </w:rPr>
        <w:t>万元，增长</w:t>
      </w:r>
      <w:r w:rsidR="00827507">
        <w:rPr>
          <w:rFonts w:ascii="仿宋_GB2312" w:eastAsia="仿宋_GB2312" w:hAnsi="仿宋_GB2312" w:cs="仿宋_GB2312" w:hint="eastAsia"/>
          <w:sz w:val="32"/>
          <w:szCs w:val="32"/>
        </w:rPr>
        <w:t>10.01%</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w:t>
      </w:r>
      <w:r>
        <w:rPr>
          <w:rFonts w:ascii="仿宋_GB2312" w:eastAsia="仿宋_GB2312" w:hAnsi="仿宋_GB2312" w:cs="仿宋_GB2312" w:hint="eastAsia"/>
          <w:sz w:val="32"/>
          <w:szCs w:val="32"/>
        </w:rPr>
        <w:lastRenderedPageBreak/>
        <w:t>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8.40</w:t>
      </w:r>
      <w:r>
        <w:rPr>
          <w:rFonts w:ascii="仿宋_GB2312" w:eastAsia="仿宋_GB2312" w:hAnsi="仿宋_GB2312" w:cs="仿宋_GB2312" w:hint="eastAsia"/>
          <w:sz w:val="32"/>
          <w:szCs w:val="32"/>
        </w:rPr>
        <w:t>万元，比上年决算减少</w:t>
      </w:r>
      <w:r w:rsidR="00827507">
        <w:rPr>
          <w:rFonts w:ascii="仿宋_GB2312" w:eastAsia="仿宋_GB2312" w:hAnsi="仿宋_GB2312" w:cs="仿宋_GB2312" w:hint="eastAsia"/>
          <w:sz w:val="32"/>
          <w:szCs w:val="32"/>
        </w:rPr>
        <w:t>10.05</w:t>
      </w:r>
      <w:r>
        <w:rPr>
          <w:rFonts w:ascii="仿宋_GB2312" w:eastAsia="仿宋_GB2312" w:hAnsi="仿宋_GB2312" w:cs="仿宋_GB2312" w:hint="eastAsia"/>
          <w:sz w:val="32"/>
          <w:szCs w:val="32"/>
        </w:rPr>
        <w:t>万元，下降</w:t>
      </w:r>
      <w:r w:rsidR="00827507">
        <w:rPr>
          <w:rFonts w:ascii="仿宋_GB2312" w:eastAsia="仿宋_GB2312" w:hAnsi="仿宋_GB2312" w:cs="仿宋_GB2312" w:hint="eastAsia"/>
          <w:sz w:val="32"/>
          <w:szCs w:val="32"/>
        </w:rPr>
        <w:t>54.47%</w:t>
      </w:r>
      <w:r>
        <w:rPr>
          <w:rFonts w:ascii="仿宋_GB2312" w:eastAsia="仿宋_GB2312" w:hAnsi="仿宋_GB2312" w:cs="仿宋_GB2312" w:hint="eastAsia"/>
          <w:sz w:val="32"/>
          <w:szCs w:val="32"/>
        </w:rPr>
        <w:t>，主要原因是：</w:t>
      </w:r>
      <w:r w:rsidR="004F5497" w:rsidRPr="004F5497">
        <w:rPr>
          <w:rFonts w:ascii="仿宋_GB2312" w:eastAsia="仿宋_GB2312" w:hAnsi="仿宋_GB2312" w:cs="仿宋_GB2312" w:hint="eastAsia"/>
          <w:sz w:val="32"/>
          <w:szCs w:val="32"/>
        </w:rPr>
        <w:t>退休人员不缴纳医疗费补助，相应公务员医疗补助缴费减少</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92.51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17.85</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元，增长</w:t>
      </w:r>
      <w:r w:rsidR="00827507">
        <w:rPr>
          <w:rFonts w:ascii="仿宋_GB2312" w:eastAsia="仿宋_GB2312" w:hAnsi="仿宋_GB2312" w:cs="仿宋_GB2312" w:hint="eastAsia"/>
          <w:sz w:val="32"/>
          <w:szCs w:val="32"/>
        </w:rPr>
        <w:t>23.91%</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4F5497">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9.66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27.90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74.28%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年第一批中小企业欠款化解资金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20.03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12.97</w:t>
      </w:r>
      <w:r>
        <w:rPr>
          <w:rFonts w:ascii="仿宋_GB2312" w:eastAsia="仿宋_GB2312" w:hAnsi="仿宋_GB2312" w:cs="仿宋_GB2312" w:hint="eastAsia"/>
          <w:sz w:val="32"/>
          <w:szCs w:val="32"/>
        </w:rPr>
        <w:t>万元，增长</w:t>
      </w:r>
      <w:r w:rsidR="00827507">
        <w:rPr>
          <w:rFonts w:ascii="仿宋_GB2312" w:eastAsia="仿宋_GB2312" w:hAnsi="仿宋_GB2312" w:cs="仿宋_GB2312" w:hint="eastAsia"/>
          <w:sz w:val="32"/>
          <w:szCs w:val="32"/>
        </w:rPr>
        <w:t>183.71%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sidR="004F5497">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132.76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34.35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34.90%</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4F5497">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一般公共服务支出（类）政府办公厅（室）及相关机</w:t>
      </w:r>
      <w:r>
        <w:rPr>
          <w:rFonts w:ascii="仿宋_GB2312" w:eastAsia="仿宋_GB2312" w:hAnsi="仿宋_GB2312" w:cs="仿宋_GB2312" w:hint="eastAsia"/>
          <w:sz w:val="32"/>
          <w:szCs w:val="32"/>
        </w:rPr>
        <w:lastRenderedPageBreak/>
        <w:t>构事务（款）事业运行（项）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843.90</w:t>
      </w:r>
      <w:r>
        <w:rPr>
          <w:rFonts w:ascii="仿宋_GB2312" w:eastAsia="仿宋_GB2312" w:hAnsi="仿宋_GB2312" w:cs="仿宋_GB2312" w:hint="eastAsia"/>
          <w:sz w:val="32"/>
          <w:szCs w:val="32"/>
        </w:rPr>
        <w:t>万元，比上年决算增加</w:t>
      </w:r>
      <w:r w:rsidR="00827507">
        <w:rPr>
          <w:rFonts w:ascii="仿宋_GB2312" w:eastAsia="仿宋_GB2312" w:hAnsi="仿宋_GB2312" w:cs="仿宋_GB2312" w:hint="eastAsia"/>
          <w:sz w:val="32"/>
          <w:szCs w:val="32"/>
        </w:rPr>
        <w:t>232.11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37.94%</w:t>
      </w:r>
      <w:r>
        <w:rPr>
          <w:rFonts w:ascii="仿宋_GB2312" w:eastAsia="仿宋_GB2312" w:hAnsi="仿宋_GB2312" w:cs="仿宋_GB2312" w:hint="eastAsia"/>
          <w:sz w:val="32"/>
          <w:szCs w:val="32"/>
        </w:rPr>
        <w:t>，主要原因是：</w:t>
      </w:r>
      <w:r w:rsidR="004F54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，人员工资，</w:t>
      </w:r>
      <w:r w:rsidR="004F5497">
        <w:rPr>
          <w:rFonts w:ascii="仿宋_GB2312" w:eastAsia="仿宋_GB2312" w:hAnsi="仿宋_GB2312" w:cs="仿宋_GB2312" w:hint="eastAsia"/>
          <w:sz w:val="32"/>
          <w:szCs w:val="32"/>
          <w:lang w:val="zh-CN"/>
        </w:rPr>
        <w:t>津贴补贴、奖金</w:t>
      </w:r>
      <w:r>
        <w:rPr>
          <w:rFonts w:ascii="仿宋_GB2312" w:eastAsia="仿宋_GB2312" w:hAnsi="仿宋_GB2312" w:cs="仿宋_GB2312" w:hint="eastAsia"/>
          <w:sz w:val="32"/>
          <w:szCs w:val="32"/>
          <w:lang w:val="zh-CN"/>
        </w:rPr>
        <w:t>等人员经费增加。</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一般公共服务支出（类）组织事务（款）其他组织事务支出（项）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422.32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341.84</w:t>
      </w:r>
      <w:r>
        <w:rPr>
          <w:rFonts w:ascii="仿宋_GB2312" w:eastAsia="仿宋_GB2312" w:hAnsi="仿宋_GB2312" w:cs="仿宋_GB2312" w:hint="eastAsia"/>
          <w:sz w:val="32"/>
          <w:szCs w:val="32"/>
        </w:rPr>
        <w:t>万元，增长</w:t>
      </w:r>
      <w:r w:rsidR="00827507">
        <w:rPr>
          <w:rFonts w:ascii="仿宋_GB2312" w:eastAsia="仿宋_GB2312" w:hAnsi="仿宋_GB2312" w:cs="仿宋_GB2312" w:hint="eastAsia"/>
          <w:sz w:val="32"/>
          <w:szCs w:val="32"/>
        </w:rPr>
        <w:t>424.75%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年社区运转经费、服务群众经费、网格活动经费、网格书记补贴经费等增加。</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一般公共服务支出（类）纪检监察事务（款）其他纪检监察事务支出（项）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年纪检监察事务办案量增加，纪检监察办公经费增加。</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一般公共服务支出（类）政府办公厅（室）及相关机构事务</w:t>
      </w:r>
      <w:r>
        <w:rPr>
          <w:rFonts w:ascii="仿宋_GB2312" w:eastAsia="仿宋_GB2312" w:hAnsi="仿宋_GB2312" w:cs="仿宋_GB2312" w:hint="eastAsia"/>
          <w:sz w:val="32"/>
          <w:szCs w:val="32"/>
        </w:rPr>
        <w:t>（款）行政运行（项）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2,441.84</w:t>
      </w:r>
      <w:r>
        <w:rPr>
          <w:rFonts w:ascii="仿宋_GB2312" w:eastAsia="仿宋_GB2312" w:hAnsi="仿宋_GB2312" w:cs="仿宋_GB2312" w:hint="eastAsia"/>
          <w:sz w:val="32"/>
          <w:szCs w:val="32"/>
        </w:rPr>
        <w:t>万元，比上年决算减少</w:t>
      </w:r>
      <w:r w:rsidR="00827507">
        <w:rPr>
          <w:rFonts w:ascii="仿宋_GB2312" w:eastAsia="仿宋_GB2312" w:hAnsi="仿宋_GB2312" w:cs="仿宋_GB2312" w:hint="eastAsia"/>
          <w:sz w:val="32"/>
          <w:szCs w:val="32"/>
        </w:rPr>
        <w:t>1,256.36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33.97%</w:t>
      </w:r>
      <w:r>
        <w:rPr>
          <w:rFonts w:ascii="仿宋_GB2312" w:eastAsia="仿宋_GB2312" w:hAnsi="仿宋_GB2312" w:cs="仿宋_GB2312" w:hint="eastAsia"/>
          <w:sz w:val="32"/>
          <w:szCs w:val="32"/>
        </w:rPr>
        <w:t>，主要原因是：</w:t>
      </w:r>
      <w:r w:rsidR="004F5497" w:rsidRPr="004F5497">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一般公共服务支出（类）其他一般公共服务支出（款）其他一般公共服务支出（项）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lang w:val="zh-CN"/>
        </w:rPr>
        <w:t>023</w:t>
      </w:r>
      <w:r>
        <w:rPr>
          <w:rFonts w:ascii="仿宋_GB2312" w:eastAsia="仿宋_GB2312" w:hAnsi="仿宋_GB2312" w:cs="仿宋_GB2312" w:hint="eastAsia"/>
          <w:sz w:val="32"/>
          <w:szCs w:val="32"/>
          <w:lang w:val="zh-CN"/>
        </w:rPr>
        <w:t>年增加新科园社区村干部国语培训、党组织书记培训、壮大村集体经济</w:t>
      </w:r>
      <w:r>
        <w:rPr>
          <w:rFonts w:ascii="仿宋_GB2312" w:eastAsia="仿宋_GB2312" w:hAnsi="仿宋_GB2312" w:cs="仿宋_GB2312" w:hint="eastAsia"/>
          <w:sz w:val="32"/>
          <w:szCs w:val="32"/>
        </w:rPr>
        <w:t>阵地建设项目经费</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14.</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14.78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25.08</w:t>
      </w:r>
      <w:r>
        <w:rPr>
          <w:rFonts w:ascii="仿宋_GB2312" w:eastAsia="仿宋_GB2312" w:hAnsi="仿宋_GB2312" w:cs="仿宋_GB2312" w:hint="eastAsia"/>
          <w:sz w:val="32"/>
          <w:szCs w:val="32"/>
        </w:rPr>
        <w:t>万元，下降</w:t>
      </w:r>
      <w:r w:rsidR="00827507">
        <w:rPr>
          <w:rFonts w:ascii="仿宋_GB2312" w:eastAsia="仿宋_GB2312" w:hAnsi="仿宋_GB2312" w:cs="仿宋_GB2312" w:hint="eastAsia"/>
          <w:sz w:val="32"/>
          <w:szCs w:val="32"/>
        </w:rPr>
        <w:t>62.92%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年社区的工作队队员人数减少，工作补贴经费减少。</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一般公共服务支出（类）宣传事务（款）其他宣传事务支出（项）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193931">
        <w:rPr>
          <w:rFonts w:ascii="仿宋_GB2312" w:eastAsia="仿宋_GB2312" w:hAnsi="仿宋_GB2312" w:cs="仿宋_GB2312" w:hint="eastAsia"/>
          <w:sz w:val="32"/>
          <w:szCs w:val="32"/>
          <w:lang w:val="zh-CN"/>
        </w:rPr>
        <w:t>减少</w:t>
      </w:r>
      <w:r w:rsidR="004F5497">
        <w:rPr>
          <w:rFonts w:ascii="仿宋_GB2312" w:eastAsia="仿宋_GB2312" w:hAnsi="仿宋_GB2312" w:cs="仿宋_GB2312" w:hint="eastAsia"/>
          <w:sz w:val="32"/>
          <w:szCs w:val="32"/>
          <w:lang w:val="zh-CN"/>
        </w:rPr>
        <w:t>广告宣传</w:t>
      </w:r>
      <w:r w:rsidR="00193931">
        <w:rPr>
          <w:rFonts w:ascii="仿宋_GB2312" w:eastAsia="仿宋_GB2312" w:hAnsi="仿宋_GB2312" w:cs="仿宋_GB2312" w:hint="eastAsia"/>
          <w:sz w:val="32"/>
          <w:szCs w:val="32"/>
          <w:lang w:val="zh-CN"/>
        </w:rPr>
        <w:t>印刷费</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一般公共服务支出（类）统战事务（款）其他统战事务支出（项）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w:t>
      </w:r>
      <w:r>
        <w:rPr>
          <w:rFonts w:ascii="仿宋_GB2312" w:eastAsia="仿宋_GB2312" w:hAnsi="仿宋_GB2312" w:cs="仿宋_GB2312" w:hint="eastAsia"/>
          <w:sz w:val="32"/>
          <w:szCs w:val="32"/>
        </w:rPr>
        <w:t>因是：</w:t>
      </w:r>
      <w:r>
        <w:rPr>
          <w:rFonts w:ascii="仿宋_GB2312" w:eastAsia="仿宋_GB2312" w:hAnsi="仿宋_GB2312" w:cs="仿宋_GB2312" w:hint="eastAsia"/>
          <w:sz w:val="32"/>
          <w:szCs w:val="32"/>
          <w:lang w:val="zh-CN"/>
        </w:rPr>
        <w:t>本年单位</w:t>
      </w:r>
      <w:r w:rsidR="00193931" w:rsidRPr="00193931">
        <w:rPr>
          <w:rFonts w:ascii="仿宋_GB2312" w:eastAsia="仿宋_GB2312" w:hAnsi="仿宋_GB2312" w:cs="仿宋_GB2312" w:hint="eastAsia"/>
          <w:sz w:val="32"/>
          <w:szCs w:val="32"/>
          <w:lang w:val="zh-CN"/>
        </w:rPr>
        <w:t>自治区驻村</w:t>
      </w:r>
      <w:r w:rsidR="004F5497">
        <w:rPr>
          <w:rFonts w:ascii="仿宋_GB2312" w:eastAsia="仿宋_GB2312" w:hAnsi="仿宋_GB2312" w:cs="仿宋_GB2312" w:hint="eastAsia"/>
          <w:sz w:val="32"/>
          <w:szCs w:val="32"/>
          <w:lang w:val="zh-CN"/>
        </w:rPr>
        <w:t>工作人员生活补助项目经费减少</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2.27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4F5497" w:rsidRPr="004F54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3.11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4F5497" w:rsidRPr="004F54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19.</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0.55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193931" w:rsidRPr="00193931">
        <w:rPr>
          <w:rFonts w:ascii="仿宋_GB2312" w:eastAsia="仿宋_GB2312" w:hAnsi="仿宋_GB2312" w:cs="仿宋_GB2312" w:hint="eastAsia"/>
          <w:sz w:val="32"/>
          <w:szCs w:val="32"/>
          <w:lang w:val="zh-CN"/>
        </w:rPr>
        <w:t>人口监测</w:t>
      </w:r>
      <w:r w:rsidR="004F5497">
        <w:rPr>
          <w:rFonts w:ascii="仿宋_GB2312" w:eastAsia="仿宋_GB2312" w:hAnsi="仿宋_GB2312" w:cs="仿宋_GB2312" w:hint="eastAsia"/>
          <w:sz w:val="32"/>
          <w:szCs w:val="32"/>
          <w:lang w:val="zh-CN"/>
        </w:rPr>
        <w:t>普查项目</w:t>
      </w:r>
      <w:r w:rsidR="00193931" w:rsidRPr="00193931">
        <w:rPr>
          <w:rFonts w:ascii="仿宋_GB2312" w:eastAsia="仿宋_GB2312" w:hAnsi="仿宋_GB2312" w:cs="仿宋_GB2312" w:hint="eastAsia"/>
          <w:sz w:val="32"/>
          <w:szCs w:val="32"/>
          <w:lang w:val="zh-CN"/>
        </w:rPr>
        <w:t>经费</w:t>
      </w:r>
      <w:r w:rsidR="004F549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16379" w:rsidRDefault="00B9365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110.20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4F5497">
        <w:rPr>
          <w:rFonts w:ascii="仿宋_GB2312" w:eastAsia="仿宋_GB2312" w:hAnsi="仿宋_GB2312" w:cs="仿宋_GB2312" w:hint="eastAsia"/>
          <w:sz w:val="32"/>
          <w:szCs w:val="32"/>
          <w:lang w:val="zh-CN"/>
        </w:rPr>
        <w:t>医疗物资材料</w:t>
      </w:r>
      <w:r w:rsidR="00193931">
        <w:rPr>
          <w:rFonts w:ascii="仿宋_GB2312" w:eastAsia="仿宋_GB2312" w:hAnsi="仿宋_GB2312" w:cs="仿宋_GB2312" w:hint="eastAsia"/>
          <w:sz w:val="32"/>
          <w:szCs w:val="32"/>
          <w:lang w:val="zh-CN"/>
        </w:rPr>
        <w:t>防疫</w:t>
      </w:r>
      <w:r>
        <w:rPr>
          <w:rFonts w:ascii="仿宋_GB2312" w:eastAsia="仿宋_GB2312" w:hAnsi="仿宋_GB2312" w:cs="仿宋_GB2312" w:hint="eastAsia"/>
          <w:sz w:val="32"/>
          <w:szCs w:val="32"/>
          <w:lang w:val="zh-CN"/>
        </w:rPr>
        <w:t>经费</w:t>
      </w:r>
      <w:r w:rsidR="004F549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16379" w:rsidRDefault="00B9365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3,616.05</w:t>
      </w:r>
      <w:r>
        <w:rPr>
          <w:rFonts w:ascii="仿宋_GB2312" w:eastAsia="仿宋_GB2312" w:hint="eastAsia"/>
          <w:sz w:val="32"/>
          <w:szCs w:val="32"/>
        </w:rPr>
        <w:t>万元，其中：人员经费</w:t>
      </w:r>
      <w:r>
        <w:rPr>
          <w:rFonts w:ascii="仿宋_GB2312" w:eastAsia="仿宋_GB2312" w:hint="eastAsia"/>
          <w:sz w:val="32"/>
          <w:szCs w:val="32"/>
        </w:rPr>
        <w:t>3,450.45</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其他工资福利支出、退休费、抚恤金、生活补助、其他对个人和家庭的补助。</w:t>
      </w:r>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165.60</w:t>
      </w:r>
      <w:r>
        <w:rPr>
          <w:rFonts w:ascii="仿宋_GB2312" w:eastAsia="仿宋_GB2312" w:hint="eastAsia"/>
          <w:sz w:val="32"/>
          <w:szCs w:val="32"/>
        </w:rPr>
        <w:t>万元，包括：办公费、印刷费、咨询费、手续费、水费、电费、邮电费、取暖费、物业管理费、差旅费、专用材料费、委托业务费、公务用车运行维护费、其他交通费用、其他商品和服务支出。</w:t>
      </w:r>
    </w:p>
    <w:p w:rsidR="00616379" w:rsidRDefault="00B9365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w:t>
      </w:r>
      <w:r>
        <w:rPr>
          <w:rFonts w:ascii="黑体" w:eastAsia="黑体" w:hAnsi="黑体" w:cs="宋体" w:hint="eastAsia"/>
          <w:bCs/>
          <w:kern w:val="0"/>
          <w:sz w:val="32"/>
          <w:szCs w:val="32"/>
        </w:rPr>
        <w:t>财政拨款“三公”经费支出决算情况说明</w:t>
      </w:r>
    </w:p>
    <w:p w:rsidR="00616379" w:rsidRDefault="00B9365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7.54</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2.29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43.62%,</w:t>
      </w:r>
      <w:r>
        <w:rPr>
          <w:rFonts w:ascii="仿宋_GB2312" w:eastAsia="仿宋_GB2312" w:hint="eastAsia"/>
          <w:sz w:val="32"/>
          <w:szCs w:val="32"/>
          <w:lang w:val="zh-CN"/>
        </w:rPr>
        <w:t>主要原因是：本年车辆出行</w:t>
      </w:r>
      <w:r>
        <w:rPr>
          <w:rFonts w:ascii="仿宋_GB2312" w:eastAsia="仿宋_GB2312" w:hint="eastAsia"/>
          <w:sz w:val="32"/>
          <w:szCs w:val="32"/>
          <w:lang w:val="zh-CN"/>
        </w:rPr>
        <w:lastRenderedPageBreak/>
        <w:t>次数增加，燃油费，维修维护费增加。其中：因公出国（境）费支出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7.54</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2.29</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43.62%,</w:t>
      </w:r>
      <w:r>
        <w:rPr>
          <w:rFonts w:ascii="仿宋_GB2312" w:eastAsia="仿宋_GB2312" w:hint="eastAsia"/>
          <w:sz w:val="32"/>
          <w:szCs w:val="32"/>
          <w:lang w:val="zh-CN"/>
        </w:rPr>
        <w:t>主要原因是：本年车辆出行次数增加，燃油费，维修维护费增加；公务接待费支出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w:t>
      </w:r>
    </w:p>
    <w:p w:rsidR="00616379" w:rsidRDefault="00B9365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616379" w:rsidRDefault="00B9365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7.54</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7.54</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6</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24</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F027C" w:rsidRPr="003F027C">
        <w:rPr>
          <w:rFonts w:ascii="仿宋_GB2312" w:eastAsia="仿宋_GB2312" w:hint="eastAsia"/>
          <w:sz w:val="32"/>
          <w:szCs w:val="32"/>
          <w:lang w:val="zh-CN"/>
        </w:rPr>
        <w:t>差异车辆为业务用车</w:t>
      </w:r>
      <w:r w:rsidR="003F027C">
        <w:rPr>
          <w:rFonts w:ascii="仿宋_GB2312" w:eastAsia="仿宋_GB2312" w:hint="eastAsia"/>
          <w:sz w:val="32"/>
          <w:szCs w:val="32"/>
          <w:lang w:val="zh-CN"/>
        </w:rPr>
        <w:t>19</w:t>
      </w:r>
      <w:r w:rsidR="003F027C" w:rsidRPr="003F027C">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rsidR="00616379" w:rsidRDefault="00B9365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616379" w:rsidRDefault="00B9365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w:t>
      </w:r>
      <w:r>
        <w:rPr>
          <w:rFonts w:ascii="仿宋_GB2312" w:eastAsia="仿宋_GB2312" w:hint="eastAsia"/>
          <w:sz w:val="32"/>
          <w:szCs w:val="32"/>
          <w:lang w:val="zh-CN"/>
        </w:rPr>
        <w:t>7.54</w:t>
      </w:r>
      <w:r>
        <w:rPr>
          <w:rFonts w:ascii="仿宋_GB2312" w:eastAsia="仿宋_GB2312" w:hint="eastAsia"/>
          <w:sz w:val="32"/>
          <w:szCs w:val="32"/>
          <w:lang w:val="zh-CN"/>
        </w:rPr>
        <w:t>万元，决算数</w:t>
      </w:r>
      <w:r>
        <w:rPr>
          <w:rFonts w:ascii="仿宋_GB2312" w:eastAsia="仿宋_GB2312" w:hint="eastAsia"/>
          <w:sz w:val="32"/>
          <w:szCs w:val="32"/>
          <w:lang w:val="zh-CN"/>
        </w:rPr>
        <w:t>7.54</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w:t>
      </w:r>
      <w:r>
        <w:rPr>
          <w:rFonts w:ascii="仿宋_GB2312" w:eastAsia="仿宋_GB2312" w:hint="eastAsia"/>
          <w:sz w:val="32"/>
          <w:szCs w:val="32"/>
          <w:lang w:val="zh-CN"/>
        </w:rPr>
        <w:t>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7.54</w:t>
      </w:r>
      <w:r>
        <w:rPr>
          <w:rFonts w:ascii="仿宋_GB2312" w:eastAsia="仿宋_GB2312" w:hint="eastAsia"/>
          <w:sz w:val="32"/>
          <w:szCs w:val="32"/>
          <w:lang w:val="zh-CN"/>
        </w:rPr>
        <w:t>万元，决算数</w:t>
      </w:r>
      <w:r>
        <w:rPr>
          <w:rFonts w:ascii="仿宋_GB2312" w:eastAsia="仿宋_GB2312" w:hint="eastAsia"/>
          <w:sz w:val="32"/>
          <w:szCs w:val="32"/>
          <w:lang w:val="zh-CN"/>
        </w:rPr>
        <w:t>7.54</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w:t>
      </w:r>
    </w:p>
    <w:p w:rsidR="00616379" w:rsidRDefault="00B93652">
      <w:pPr>
        <w:ind w:firstLineChars="200" w:firstLine="640"/>
        <w:jc w:val="left"/>
        <w:outlineLvl w:val="1"/>
        <w:rPr>
          <w:rFonts w:ascii="黑体" w:eastAsia="黑体" w:hAnsi="黑体" w:cs="宋体"/>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616379" w:rsidRDefault="00B9365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616379" w:rsidRDefault="003F027C">
      <w:pPr>
        <w:ind w:firstLineChars="200" w:firstLine="640"/>
        <w:jc w:val="left"/>
        <w:rPr>
          <w:rFonts w:ascii="仿宋_GB2312" w:eastAsia="仿宋_GB2312"/>
          <w:sz w:val="32"/>
          <w:szCs w:val="32"/>
        </w:rPr>
      </w:pPr>
      <w:r w:rsidRPr="003F027C">
        <w:rPr>
          <w:rFonts w:ascii="仿宋_GB2312" w:eastAsia="仿宋_GB2312" w:hint="eastAsia"/>
          <w:sz w:val="32"/>
          <w:szCs w:val="32"/>
        </w:rPr>
        <w:t>2023年度国有资本经营预算财政拨款收入总计0.00万元，其中：年初结转和结余0.00万元，本年收入0.00万元。国有资本经营预算财政拨款支出总计0.00万元，其中：年末结转和结余0.00万元，本年支出0.00万元</w:t>
      </w:r>
      <w:r>
        <w:rPr>
          <w:rFonts w:ascii="仿宋_GB2312" w:eastAsia="仿宋_GB2312" w:hint="eastAsia"/>
          <w:sz w:val="32"/>
          <w:szCs w:val="32"/>
        </w:rPr>
        <w:t>。</w:t>
      </w:r>
    </w:p>
    <w:p w:rsidR="003F027C" w:rsidRPr="003F027C" w:rsidRDefault="003F027C" w:rsidP="003F027C">
      <w:pPr>
        <w:ind w:firstLineChars="200" w:firstLine="640"/>
        <w:jc w:val="left"/>
        <w:rPr>
          <w:rFonts w:ascii="仿宋_GB2312" w:eastAsia="仿宋_GB2312"/>
          <w:sz w:val="32"/>
          <w:szCs w:val="32"/>
        </w:rPr>
      </w:pPr>
      <w:r w:rsidRPr="003F027C">
        <w:rPr>
          <w:rFonts w:ascii="仿宋_GB2312" w:eastAsia="仿宋_GB2312" w:hint="eastAsia"/>
          <w:sz w:val="32"/>
          <w:szCs w:val="32"/>
        </w:rPr>
        <w:t>国有资本经营预算财政拨款收入支出与上年相比，增加0.00万元,增长0.00%,主要原因是：</w:t>
      </w:r>
      <w:r>
        <w:rPr>
          <w:rFonts w:ascii="仿宋_GB2312" w:eastAsia="仿宋_GB2312" w:hint="eastAsia"/>
          <w:sz w:val="32"/>
          <w:szCs w:val="32"/>
        </w:rPr>
        <w:t>本年我单位无此经费</w:t>
      </w:r>
      <w:r w:rsidRPr="003F027C">
        <w:rPr>
          <w:rFonts w:ascii="仿宋_GB2312" w:eastAsia="仿宋_GB2312" w:hint="eastAsia"/>
          <w:sz w:val="32"/>
          <w:szCs w:val="32"/>
        </w:rPr>
        <w:t>。与年初预算相比，年初预算数119.06万元，决算数0.00万</w:t>
      </w:r>
      <w:r w:rsidRPr="003F027C">
        <w:rPr>
          <w:rFonts w:ascii="仿宋_GB2312" w:eastAsia="仿宋_GB2312" w:hint="eastAsia"/>
          <w:sz w:val="32"/>
          <w:szCs w:val="32"/>
        </w:rPr>
        <w:lastRenderedPageBreak/>
        <w:t>元，预决算差异率-100.00%，主要原因是：</w:t>
      </w:r>
      <w:r>
        <w:rPr>
          <w:rFonts w:ascii="仿宋_GB2312" w:eastAsia="仿宋_GB2312" w:hint="eastAsia"/>
          <w:sz w:val="32"/>
          <w:szCs w:val="32"/>
        </w:rPr>
        <w:t>本年我单位无此经费，较预算减少国企退休人员补助经费</w:t>
      </w:r>
      <w:r w:rsidRPr="003F027C">
        <w:rPr>
          <w:rFonts w:ascii="仿宋_GB2312" w:eastAsia="仿宋_GB2312" w:hint="eastAsia"/>
          <w:sz w:val="32"/>
          <w:szCs w:val="32"/>
        </w:rPr>
        <w:t>；</w:t>
      </w:r>
    </w:p>
    <w:p w:rsidR="003F027C" w:rsidRPr="003F027C" w:rsidRDefault="003F027C" w:rsidP="003F027C">
      <w:pPr>
        <w:ind w:firstLineChars="200" w:firstLine="640"/>
        <w:jc w:val="left"/>
        <w:rPr>
          <w:rFonts w:ascii="仿宋_GB2312" w:eastAsia="仿宋_GB2312"/>
          <w:sz w:val="32"/>
          <w:szCs w:val="32"/>
        </w:rPr>
      </w:pPr>
      <w:r w:rsidRPr="003F027C">
        <w:rPr>
          <w:rFonts w:ascii="仿宋_GB2312" w:eastAsia="仿宋_GB2312" w:hint="eastAsia"/>
          <w:sz w:val="32"/>
          <w:szCs w:val="32"/>
        </w:rPr>
        <w:t>国有资本经营预算财政拨款支出0.00万元。</w:t>
      </w:r>
    </w:p>
    <w:p w:rsidR="00616379" w:rsidRDefault="00B93652">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616379" w:rsidRDefault="00B93652">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616379" w:rsidRDefault="00B93652">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昌吉市北京南路街道办事处（行政单位和参照公务员法管理事业单位）机关运行经费支出</w:t>
      </w:r>
      <w:r>
        <w:rPr>
          <w:rFonts w:ascii="仿宋_GB2312" w:eastAsia="仿宋_GB2312" w:hAnsi="仿宋_GB2312" w:cs="仿宋_GB2312" w:hint="eastAsia"/>
          <w:sz w:val="32"/>
          <w:szCs w:val="32"/>
        </w:rPr>
        <w:t>165.60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439.53</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72.63%</w:t>
      </w:r>
      <w:r>
        <w:rPr>
          <w:rFonts w:ascii="仿宋_GB2312" w:eastAsia="仿宋_GB2312" w:hAnsi="仿宋_GB2312" w:cs="仿宋_GB2312" w:hint="eastAsia"/>
          <w:sz w:val="32"/>
          <w:szCs w:val="32"/>
          <w:lang w:val="zh-CN"/>
        </w:rPr>
        <w:t>，主要原因是：办公费，手续费和专业材料费等</w:t>
      </w:r>
      <w:r w:rsidR="00C5660C">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rsidR="00616379" w:rsidRDefault="00B93652">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616379" w:rsidRDefault="00B9365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80.00</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32.00</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48.00</w:t>
      </w:r>
      <w:r>
        <w:rPr>
          <w:rFonts w:ascii="仿宋_GB2312" w:eastAsia="仿宋_GB2312" w:hAnsi="仿宋_GB2312" w:cs="仿宋_GB2312" w:hint="eastAsia"/>
          <w:sz w:val="32"/>
          <w:szCs w:val="32"/>
          <w:lang w:val="zh-CN"/>
        </w:rPr>
        <w:t>万元。</w:t>
      </w:r>
    </w:p>
    <w:p w:rsidR="00616379" w:rsidRDefault="00B93652">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80.00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80.00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616379" w:rsidRDefault="00B93652">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616379" w:rsidRDefault="00B9365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2,080.24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4,658.29</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1,055.38</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24</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117.01</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w:t>
      </w:r>
      <w:r>
        <w:rPr>
          <w:rFonts w:ascii="仿宋_GB2312" w:eastAsia="仿宋_GB2312" w:hAnsi="仿宋_GB2312" w:cs="仿宋_GB2312" w:hint="eastAsia"/>
          <w:sz w:val="32"/>
          <w:szCs w:val="32"/>
          <w:lang w:val="zh-CN"/>
        </w:rPr>
        <w:lastRenderedPageBreak/>
        <w:t>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22</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主要是：单位业务用车；单价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616379" w:rsidRDefault="00B93652">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616379" w:rsidRDefault="00B93652">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4,074.31</w:t>
      </w:r>
      <w:r>
        <w:rPr>
          <w:rFonts w:ascii="仿宋_GB2312" w:eastAsia="仿宋_GB2312" w:hint="eastAsia"/>
          <w:sz w:val="32"/>
          <w:szCs w:val="32"/>
        </w:rPr>
        <w:t>万元，实际执行总额</w:t>
      </w:r>
      <w:r>
        <w:rPr>
          <w:rFonts w:ascii="仿宋_GB2312" w:eastAsia="仿宋_GB2312"/>
          <w:sz w:val="32"/>
          <w:szCs w:val="32"/>
        </w:rPr>
        <w:t>4,074.31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16</w:t>
      </w:r>
      <w:r>
        <w:rPr>
          <w:rFonts w:ascii="仿宋_GB2312" w:eastAsia="仿宋_GB2312" w:hint="eastAsia"/>
          <w:sz w:val="32"/>
          <w:szCs w:val="32"/>
        </w:rPr>
        <w:t>个，全年预算数</w:t>
      </w:r>
      <w:r>
        <w:rPr>
          <w:rFonts w:ascii="仿宋_GB2312" w:eastAsia="仿宋_GB2312"/>
          <w:sz w:val="32"/>
          <w:szCs w:val="32"/>
        </w:rPr>
        <w:t>817.52</w:t>
      </w:r>
      <w:r>
        <w:rPr>
          <w:rFonts w:ascii="仿宋_GB2312" w:eastAsia="仿宋_GB2312" w:hint="eastAsia"/>
          <w:sz w:val="32"/>
          <w:szCs w:val="32"/>
        </w:rPr>
        <w:t>万元，全年执行数</w:t>
      </w:r>
      <w:r>
        <w:rPr>
          <w:rFonts w:ascii="仿宋_GB2312" w:eastAsia="仿宋_GB2312"/>
          <w:sz w:val="32"/>
          <w:szCs w:val="32"/>
        </w:rPr>
        <w:t>518.36</w:t>
      </w:r>
      <w:r>
        <w:rPr>
          <w:rFonts w:ascii="仿宋_GB2312" w:eastAsia="仿宋_GB2312" w:hint="eastAsia"/>
          <w:sz w:val="32"/>
          <w:szCs w:val="32"/>
        </w:rPr>
        <w:t>万元。预算绩效管理取得的成效：一是合理细化使用资金，项目资金用到实处；二是项目资金监管更加严格，杜绝了资金挪用的问题出现。发现的问题及原因：一是财务制度执行力有待加强，资金使用计划有待细化；二是街道办公经费紧张，社区经费紧张且不能按时还公务卡</w:t>
      </w:r>
      <w:r>
        <w:rPr>
          <w:rFonts w:ascii="仿宋_GB2312" w:eastAsia="仿宋_GB2312" w:hint="eastAsia"/>
          <w:sz w:val="32"/>
          <w:szCs w:val="32"/>
        </w:rPr>
        <w:t>,</w:t>
      </w:r>
      <w:r>
        <w:rPr>
          <w:rFonts w:ascii="仿宋_GB2312" w:eastAsia="仿宋_GB2312" w:hint="eastAsia"/>
          <w:sz w:val="32"/>
          <w:szCs w:val="32"/>
        </w:rPr>
        <w:t>导致公务卡被暂停使用</w:t>
      </w:r>
      <w:r>
        <w:rPr>
          <w:rFonts w:ascii="仿宋_GB2312" w:eastAsia="仿宋_GB2312" w:hint="eastAsia"/>
          <w:sz w:val="32"/>
          <w:szCs w:val="32"/>
        </w:rPr>
        <w:t>,</w:t>
      </w:r>
      <w:r>
        <w:rPr>
          <w:rFonts w:ascii="仿宋_GB2312" w:eastAsia="仿宋_GB2312" w:hint="eastAsia"/>
          <w:sz w:val="32"/>
          <w:szCs w:val="32"/>
        </w:rPr>
        <w:t>导致工作开展中缓慢。下一步改进措施：一是加强财务管理，严格财务审核。在费用报账支付时，按照预算规定的费用项目和用途进行资金使用审核、列报支付、财务核算，杜绝超支现象的发生。加快开展各项工作，加快资金支出进度，及时拨付经费支出；二是加强项目开展进度</w:t>
      </w:r>
      <w:r>
        <w:rPr>
          <w:rFonts w:ascii="仿宋_GB2312" w:eastAsia="仿宋_GB2312" w:hint="eastAsia"/>
          <w:sz w:val="32"/>
          <w:szCs w:val="32"/>
        </w:rPr>
        <w:t>的跟踪，开展项目绩效评价，确保项目绩效目标的完成。具体项目自评情况附绩效自评表及自评报告。</w:t>
      </w:r>
    </w:p>
    <w:tbl>
      <w:tblPr>
        <w:tblW w:w="5000" w:type="pct"/>
        <w:jc w:val="center"/>
        <w:tblLook w:val="04A0"/>
      </w:tblPr>
      <w:tblGrid>
        <w:gridCol w:w="1500"/>
        <w:gridCol w:w="1155"/>
        <w:gridCol w:w="1131"/>
        <w:gridCol w:w="1216"/>
        <w:gridCol w:w="1016"/>
        <w:gridCol w:w="751"/>
        <w:gridCol w:w="1116"/>
        <w:gridCol w:w="637"/>
      </w:tblGrid>
      <w:tr w:rsidR="00616379">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Pr="00DF313E" w:rsidRDefault="00B93652">
            <w:pPr>
              <w:widowControl/>
              <w:jc w:val="center"/>
              <w:rPr>
                <w:rFonts w:ascii="宋体" w:hAnsi="宋体" w:cs="宋体"/>
                <w:b/>
                <w:bCs/>
                <w:color w:val="000000"/>
                <w:kern w:val="0"/>
                <w:sz w:val="20"/>
                <w:szCs w:val="20"/>
              </w:rPr>
            </w:pPr>
            <w:r w:rsidRPr="00DF313E">
              <w:rPr>
                <w:rFonts w:ascii="宋体" w:hAnsi="宋体" w:cs="宋体" w:hint="eastAsia"/>
                <w:b/>
                <w:bCs/>
                <w:color w:val="000000"/>
                <w:kern w:val="0"/>
                <w:sz w:val="20"/>
                <w:szCs w:val="20"/>
              </w:rPr>
              <w:t>部门（单位）整体支出绩效目标自评表</w:t>
            </w:r>
          </w:p>
        </w:tc>
      </w:tr>
      <w:tr w:rsidR="00616379">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年度）</w:t>
            </w:r>
          </w:p>
        </w:tc>
      </w:tr>
      <w:tr w:rsidR="00616379">
        <w:trPr>
          <w:trHeight w:val="66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部门（单位）名称</w:t>
            </w:r>
          </w:p>
        </w:tc>
        <w:tc>
          <w:tcPr>
            <w:tcW w:w="7021"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trHeight w:val="570"/>
          <w:jc w:val="center"/>
        </w:trPr>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部门资金（万元）</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资金来源</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616379">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地（州、市）安排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县（市、区）安排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color w:val="000000"/>
                <w:kern w:val="0"/>
                <w:sz w:val="20"/>
                <w:szCs w:val="20"/>
              </w:rPr>
              <w:t>4,205.50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4,074.31</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4,074.31</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88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color w:val="000000"/>
                <w:kern w:val="0"/>
                <w:sz w:val="20"/>
                <w:szCs w:val="20"/>
              </w:rPr>
              <w:t>4,205.50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4,074.31</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4,074.31</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705"/>
          <w:jc w:val="center"/>
        </w:trPr>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5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51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trHeight w:val="200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35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w:t>
            </w:r>
            <w:r>
              <w:rPr>
                <w:rFonts w:ascii="宋体" w:hAnsi="宋体" w:cs="宋体" w:hint="eastAsia"/>
                <w:color w:val="000000"/>
                <w:kern w:val="0"/>
                <w:sz w:val="20"/>
                <w:szCs w:val="20"/>
              </w:rPr>
              <w:t>1:</w:t>
            </w:r>
            <w:r>
              <w:rPr>
                <w:rFonts w:ascii="宋体" w:hAnsi="宋体" w:cs="宋体" w:hint="eastAsia"/>
                <w:color w:val="000000"/>
                <w:kern w:val="0"/>
                <w:sz w:val="20"/>
                <w:szCs w:val="20"/>
              </w:rPr>
              <w:t>保障部门单位人员</w:t>
            </w:r>
            <w:r>
              <w:rPr>
                <w:rFonts w:ascii="宋体" w:hAnsi="宋体" w:cs="宋体" w:hint="eastAsia"/>
                <w:color w:val="000000"/>
                <w:kern w:val="0"/>
                <w:sz w:val="20"/>
                <w:szCs w:val="20"/>
              </w:rPr>
              <w:t>358</w:t>
            </w:r>
            <w:r>
              <w:rPr>
                <w:rFonts w:ascii="宋体" w:hAnsi="宋体" w:cs="宋体" w:hint="eastAsia"/>
                <w:color w:val="000000"/>
                <w:kern w:val="0"/>
                <w:sz w:val="20"/>
                <w:szCs w:val="20"/>
              </w:rPr>
              <w:t>人，发放工资福利</w:t>
            </w:r>
            <w:r>
              <w:rPr>
                <w:rFonts w:ascii="宋体" w:hAnsi="宋体" w:cs="宋体" w:hint="eastAsia"/>
                <w:color w:val="000000"/>
                <w:kern w:val="0"/>
                <w:sz w:val="20"/>
                <w:szCs w:val="20"/>
              </w:rPr>
              <w:t>2263.42</w:t>
            </w:r>
            <w:r>
              <w:rPr>
                <w:rFonts w:ascii="宋体" w:hAnsi="宋体" w:cs="宋体" w:hint="eastAsia"/>
                <w:color w:val="000000"/>
                <w:kern w:val="0"/>
                <w:sz w:val="20"/>
                <w:szCs w:val="20"/>
              </w:rPr>
              <w:t>万元。办公经费</w:t>
            </w:r>
            <w:r>
              <w:rPr>
                <w:rFonts w:ascii="宋体" w:hAnsi="宋体" w:cs="宋体" w:hint="eastAsia"/>
                <w:color w:val="000000"/>
                <w:kern w:val="0"/>
                <w:sz w:val="20"/>
                <w:szCs w:val="20"/>
              </w:rPr>
              <w:t>131.72</w:t>
            </w:r>
            <w:r>
              <w:rPr>
                <w:rFonts w:ascii="宋体" w:hAnsi="宋体" w:cs="宋体" w:hint="eastAsia"/>
                <w:color w:val="000000"/>
                <w:kern w:val="0"/>
                <w:sz w:val="20"/>
                <w:szCs w:val="20"/>
              </w:rPr>
              <w:t>万元，社区运转经费</w:t>
            </w:r>
            <w:r>
              <w:rPr>
                <w:rFonts w:ascii="宋体" w:hAnsi="宋体" w:cs="宋体" w:hint="eastAsia"/>
                <w:color w:val="000000"/>
                <w:kern w:val="0"/>
                <w:sz w:val="20"/>
                <w:szCs w:val="20"/>
              </w:rPr>
              <w:t>280</w:t>
            </w:r>
            <w:r>
              <w:rPr>
                <w:rFonts w:ascii="宋体" w:hAnsi="宋体" w:cs="宋体" w:hint="eastAsia"/>
                <w:color w:val="000000"/>
                <w:kern w:val="0"/>
                <w:sz w:val="20"/>
                <w:szCs w:val="20"/>
              </w:rPr>
              <w:t>万，服务群众经费</w:t>
            </w:r>
            <w:r>
              <w:rPr>
                <w:rFonts w:ascii="宋体" w:hAnsi="宋体" w:cs="宋体" w:hint="eastAsia"/>
                <w:color w:val="000000"/>
                <w:kern w:val="0"/>
                <w:sz w:val="20"/>
                <w:szCs w:val="20"/>
              </w:rPr>
              <w:t>140</w:t>
            </w:r>
            <w:r>
              <w:rPr>
                <w:rFonts w:ascii="宋体" w:hAnsi="宋体" w:cs="宋体" w:hint="eastAsia"/>
                <w:color w:val="000000"/>
                <w:kern w:val="0"/>
                <w:sz w:val="20"/>
                <w:szCs w:val="20"/>
              </w:rPr>
              <w:t>万，网格阵地活动经费</w:t>
            </w:r>
            <w:r>
              <w:rPr>
                <w:rFonts w:ascii="宋体" w:hAnsi="宋体" w:cs="宋体" w:hint="eastAsia"/>
                <w:color w:val="000000"/>
                <w:kern w:val="0"/>
                <w:sz w:val="20"/>
                <w:szCs w:val="20"/>
              </w:rPr>
              <w:t>60</w:t>
            </w:r>
            <w:r>
              <w:rPr>
                <w:rFonts w:ascii="宋体" w:hAnsi="宋体" w:cs="宋体" w:hint="eastAsia"/>
                <w:color w:val="000000"/>
                <w:kern w:val="0"/>
                <w:sz w:val="20"/>
                <w:szCs w:val="20"/>
              </w:rPr>
              <w:t>万，网格书记补助</w:t>
            </w:r>
            <w:r>
              <w:rPr>
                <w:rFonts w:ascii="宋体" w:hAnsi="宋体" w:cs="宋体" w:hint="eastAsia"/>
                <w:color w:val="000000"/>
                <w:kern w:val="0"/>
                <w:sz w:val="20"/>
                <w:szCs w:val="20"/>
              </w:rPr>
              <w:t>72</w:t>
            </w:r>
            <w:r>
              <w:rPr>
                <w:rFonts w:ascii="宋体" w:hAnsi="宋体" w:cs="宋体" w:hint="eastAsia"/>
                <w:color w:val="000000"/>
                <w:kern w:val="0"/>
                <w:sz w:val="20"/>
                <w:szCs w:val="20"/>
              </w:rPr>
              <w:t>万，使业务保障能力有效提升；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目标</w:t>
            </w:r>
            <w:r>
              <w:rPr>
                <w:rFonts w:ascii="宋体" w:hAnsi="宋体" w:cs="宋体" w:hint="eastAsia"/>
                <w:color w:val="000000"/>
                <w:kern w:val="0"/>
                <w:sz w:val="20"/>
                <w:szCs w:val="20"/>
              </w:rPr>
              <w:t>2:</w:t>
            </w:r>
            <w:r>
              <w:rPr>
                <w:rFonts w:ascii="宋体" w:hAnsi="宋体" w:cs="宋体" w:hint="eastAsia"/>
                <w:color w:val="000000"/>
                <w:kern w:val="0"/>
                <w:sz w:val="20"/>
                <w:szCs w:val="20"/>
              </w:rPr>
              <w:t>通过完成工资福利发放工作，发放</w:t>
            </w:r>
            <w:r>
              <w:rPr>
                <w:rFonts w:ascii="宋体" w:hAnsi="宋体" w:cs="宋体" w:hint="eastAsia"/>
                <w:color w:val="000000"/>
                <w:kern w:val="0"/>
                <w:sz w:val="20"/>
                <w:szCs w:val="20"/>
              </w:rPr>
              <w:t>2263.42</w:t>
            </w:r>
            <w:r>
              <w:rPr>
                <w:rFonts w:ascii="宋体" w:hAnsi="宋体" w:cs="宋体" w:hint="eastAsia"/>
                <w:color w:val="000000"/>
                <w:kern w:val="0"/>
                <w:sz w:val="20"/>
                <w:szCs w:val="20"/>
              </w:rPr>
              <w:t>万元，达成</w:t>
            </w:r>
            <w:r>
              <w:rPr>
                <w:rFonts w:ascii="宋体" w:hAnsi="宋体" w:cs="宋体" w:hint="eastAsia"/>
                <w:color w:val="000000"/>
                <w:kern w:val="0"/>
                <w:sz w:val="20"/>
                <w:szCs w:val="20"/>
              </w:rPr>
              <w:t>358</w:t>
            </w:r>
            <w:r>
              <w:rPr>
                <w:rFonts w:ascii="宋体" w:hAnsi="宋体" w:cs="宋体" w:hint="eastAsia"/>
                <w:color w:val="000000"/>
                <w:kern w:val="0"/>
                <w:sz w:val="20"/>
                <w:szCs w:val="20"/>
              </w:rPr>
              <w:t>人全年工资福利发放的目标，解决人员工资问题。</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目标</w:t>
            </w:r>
            <w:r>
              <w:rPr>
                <w:rFonts w:ascii="宋体" w:hAnsi="宋体" w:cs="宋体" w:hint="eastAsia"/>
                <w:color w:val="000000"/>
                <w:kern w:val="0"/>
                <w:sz w:val="20"/>
                <w:szCs w:val="20"/>
              </w:rPr>
              <w:t>3:</w:t>
            </w:r>
            <w:r>
              <w:rPr>
                <w:rFonts w:ascii="宋体" w:hAnsi="宋体" w:cs="宋体" w:hint="eastAsia"/>
                <w:color w:val="000000"/>
                <w:kern w:val="0"/>
                <w:sz w:val="20"/>
                <w:szCs w:val="20"/>
              </w:rPr>
              <w:t>通过完成办公经费支出工作，支出</w:t>
            </w:r>
            <w:r>
              <w:rPr>
                <w:rFonts w:ascii="宋体" w:hAnsi="宋体" w:cs="宋体" w:hint="eastAsia"/>
                <w:color w:val="000000"/>
                <w:kern w:val="0"/>
                <w:sz w:val="20"/>
                <w:szCs w:val="20"/>
              </w:rPr>
              <w:t>131.72</w:t>
            </w:r>
            <w:r>
              <w:rPr>
                <w:rFonts w:ascii="宋体" w:hAnsi="宋体" w:cs="宋体" w:hint="eastAsia"/>
                <w:color w:val="000000"/>
                <w:kern w:val="0"/>
                <w:sz w:val="20"/>
                <w:szCs w:val="20"/>
              </w:rPr>
              <w:t>万元，达成单位全年办公用品采购的目标，解决全年单位办公用品消耗问题。</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目标</w:t>
            </w:r>
            <w:r>
              <w:rPr>
                <w:rFonts w:ascii="宋体" w:hAnsi="宋体" w:cs="宋体" w:hint="eastAsia"/>
                <w:color w:val="000000"/>
                <w:kern w:val="0"/>
                <w:sz w:val="20"/>
                <w:szCs w:val="20"/>
              </w:rPr>
              <w:t>4:</w:t>
            </w:r>
            <w:r>
              <w:rPr>
                <w:rFonts w:ascii="宋体" w:hAnsi="宋体" w:cs="宋体" w:hint="eastAsia"/>
                <w:color w:val="000000"/>
                <w:kern w:val="0"/>
                <w:sz w:val="20"/>
                <w:szCs w:val="20"/>
              </w:rPr>
              <w:t>昌吉市北京南路街道办事处</w:t>
            </w:r>
            <w:r>
              <w:rPr>
                <w:rFonts w:ascii="宋体" w:hAnsi="宋体" w:cs="宋体" w:hint="eastAsia"/>
                <w:color w:val="000000"/>
                <w:kern w:val="0"/>
                <w:sz w:val="20"/>
                <w:szCs w:val="20"/>
              </w:rPr>
              <w:t>2023</w:t>
            </w:r>
            <w:r>
              <w:rPr>
                <w:rFonts w:ascii="宋体" w:hAnsi="宋体" w:cs="宋体" w:hint="eastAsia"/>
                <w:color w:val="000000"/>
                <w:kern w:val="0"/>
                <w:sz w:val="20"/>
                <w:szCs w:val="20"/>
              </w:rPr>
              <w:t>年年度预算为</w:t>
            </w:r>
            <w:r>
              <w:rPr>
                <w:rFonts w:ascii="宋体" w:hAnsi="宋体" w:cs="宋体" w:hint="eastAsia"/>
                <w:color w:val="000000"/>
                <w:kern w:val="0"/>
                <w:sz w:val="20"/>
                <w:szCs w:val="20"/>
              </w:rPr>
              <w:t>4070.43</w:t>
            </w:r>
            <w:r>
              <w:rPr>
                <w:rFonts w:ascii="宋体" w:hAnsi="宋体" w:cs="宋体" w:hint="eastAsia"/>
                <w:color w:val="000000"/>
                <w:kern w:val="0"/>
                <w:sz w:val="20"/>
                <w:szCs w:val="20"/>
              </w:rPr>
              <w:t>万元，其中行政保障经费</w:t>
            </w:r>
            <w:r>
              <w:rPr>
                <w:rFonts w:ascii="宋体" w:hAnsi="宋体" w:cs="宋体" w:hint="eastAsia"/>
                <w:color w:val="000000"/>
                <w:kern w:val="0"/>
                <w:sz w:val="20"/>
                <w:szCs w:val="20"/>
              </w:rPr>
              <w:t>2695.84</w:t>
            </w:r>
            <w:r>
              <w:rPr>
                <w:rFonts w:ascii="宋体" w:hAnsi="宋体" w:cs="宋体" w:hint="eastAsia"/>
                <w:color w:val="000000"/>
                <w:kern w:val="0"/>
                <w:sz w:val="20"/>
                <w:szCs w:val="20"/>
              </w:rPr>
              <w:t>万元，事业保障经费</w:t>
            </w:r>
            <w:r>
              <w:rPr>
                <w:rFonts w:ascii="宋体" w:hAnsi="宋体" w:cs="宋体" w:hint="eastAsia"/>
                <w:color w:val="000000"/>
                <w:kern w:val="0"/>
                <w:sz w:val="20"/>
                <w:szCs w:val="20"/>
              </w:rPr>
              <w:t>822.59</w:t>
            </w:r>
            <w:r>
              <w:rPr>
                <w:rFonts w:ascii="宋体" w:hAnsi="宋体" w:cs="宋体" w:hint="eastAsia"/>
                <w:color w:val="000000"/>
                <w:kern w:val="0"/>
                <w:sz w:val="20"/>
                <w:szCs w:val="20"/>
              </w:rPr>
              <w:t>万元，社区经费</w:t>
            </w:r>
            <w:r>
              <w:rPr>
                <w:rFonts w:ascii="宋体" w:hAnsi="宋体" w:cs="宋体" w:hint="eastAsia"/>
                <w:color w:val="000000"/>
                <w:kern w:val="0"/>
                <w:sz w:val="20"/>
                <w:szCs w:val="20"/>
              </w:rPr>
              <w:t>552</w:t>
            </w:r>
            <w:r>
              <w:rPr>
                <w:rFonts w:ascii="宋体" w:hAnsi="宋体" w:cs="宋体" w:hint="eastAsia"/>
                <w:color w:val="000000"/>
                <w:kern w:val="0"/>
                <w:sz w:val="20"/>
                <w:szCs w:val="20"/>
              </w:rPr>
              <w:t>万元，主要用于保障本单位</w:t>
            </w:r>
            <w:r>
              <w:rPr>
                <w:rFonts w:ascii="宋体" w:hAnsi="宋体" w:cs="宋体" w:hint="eastAsia"/>
                <w:color w:val="000000"/>
                <w:kern w:val="0"/>
                <w:sz w:val="20"/>
                <w:szCs w:val="20"/>
              </w:rPr>
              <w:t>358</w:t>
            </w:r>
            <w:r>
              <w:rPr>
                <w:rFonts w:ascii="宋体" w:hAnsi="宋体" w:cs="宋体" w:hint="eastAsia"/>
                <w:color w:val="000000"/>
                <w:kern w:val="0"/>
                <w:sz w:val="20"/>
                <w:szCs w:val="20"/>
              </w:rPr>
              <w:t>名工作人员工资经费正常发放，房屋建筑物供暖面积</w:t>
            </w:r>
            <w:r>
              <w:rPr>
                <w:rFonts w:ascii="宋体" w:hAnsi="宋体" w:cs="宋体" w:hint="eastAsia"/>
                <w:color w:val="000000"/>
                <w:kern w:val="0"/>
                <w:sz w:val="20"/>
                <w:szCs w:val="20"/>
              </w:rPr>
              <w:t>22294.22</w:t>
            </w:r>
            <w:r>
              <w:rPr>
                <w:rFonts w:ascii="宋体" w:hAnsi="宋体" w:cs="宋体" w:hint="eastAsia"/>
                <w:color w:val="000000"/>
                <w:kern w:val="0"/>
                <w:sz w:val="20"/>
                <w:szCs w:val="20"/>
              </w:rPr>
              <w:t>平方米，机关公</w:t>
            </w:r>
            <w:r>
              <w:rPr>
                <w:rFonts w:ascii="宋体" w:hAnsi="宋体" w:cs="宋体" w:hint="eastAsia"/>
                <w:color w:val="000000"/>
                <w:kern w:val="0"/>
                <w:sz w:val="20"/>
                <w:szCs w:val="20"/>
              </w:rPr>
              <w:lastRenderedPageBreak/>
              <w:t>务保障用车辆</w:t>
            </w:r>
            <w:r>
              <w:rPr>
                <w:rFonts w:ascii="宋体" w:hAnsi="宋体" w:cs="宋体" w:hint="eastAsia"/>
                <w:color w:val="000000"/>
                <w:kern w:val="0"/>
                <w:sz w:val="20"/>
                <w:szCs w:val="20"/>
              </w:rPr>
              <w:t>3</w:t>
            </w:r>
            <w:r>
              <w:rPr>
                <w:rFonts w:ascii="宋体" w:hAnsi="宋体" w:cs="宋体" w:hint="eastAsia"/>
                <w:color w:val="000000"/>
                <w:kern w:val="0"/>
                <w:sz w:val="20"/>
                <w:szCs w:val="20"/>
              </w:rPr>
              <w:t>辆</w:t>
            </w:r>
            <w:r>
              <w:rPr>
                <w:rFonts w:ascii="宋体" w:hAnsi="宋体" w:cs="宋体" w:hint="eastAsia"/>
                <w:color w:val="000000"/>
                <w:kern w:val="0"/>
                <w:sz w:val="20"/>
                <w:szCs w:val="20"/>
              </w:rPr>
              <w:t>等各类办公事务支出。通过该笔预算的使用保证昌吉市北京南路街道办事处及</w:t>
            </w:r>
            <w:r>
              <w:rPr>
                <w:rFonts w:ascii="宋体" w:hAnsi="宋体" w:cs="宋体" w:hint="eastAsia"/>
                <w:color w:val="000000"/>
                <w:kern w:val="0"/>
                <w:sz w:val="20"/>
                <w:szCs w:val="20"/>
              </w:rPr>
              <w:t>14</w:t>
            </w:r>
            <w:r>
              <w:rPr>
                <w:rFonts w:ascii="宋体" w:hAnsi="宋体" w:cs="宋体" w:hint="eastAsia"/>
                <w:color w:val="000000"/>
                <w:kern w:val="0"/>
                <w:sz w:val="20"/>
                <w:szCs w:val="20"/>
              </w:rPr>
              <w:t>个社区的正常运行，在经费及时拨付的情况下公用经费及时支付率不低于</w:t>
            </w:r>
            <w:r>
              <w:rPr>
                <w:rFonts w:ascii="宋体" w:hAnsi="宋体" w:cs="宋体" w:hint="eastAsia"/>
                <w:color w:val="000000"/>
                <w:kern w:val="0"/>
                <w:sz w:val="20"/>
                <w:szCs w:val="20"/>
              </w:rPr>
              <w:t>90%</w:t>
            </w:r>
            <w:r>
              <w:rPr>
                <w:rFonts w:ascii="宋体" w:hAnsi="宋体" w:cs="宋体" w:hint="eastAsia"/>
                <w:color w:val="000000"/>
                <w:kern w:val="0"/>
                <w:sz w:val="20"/>
                <w:szCs w:val="20"/>
              </w:rPr>
              <w:t>，年度工作任务按时完成率不低于</w:t>
            </w:r>
            <w:r>
              <w:rPr>
                <w:rFonts w:ascii="宋体" w:hAnsi="宋体" w:cs="宋体" w:hint="eastAsia"/>
                <w:color w:val="000000"/>
                <w:kern w:val="0"/>
                <w:sz w:val="20"/>
                <w:szCs w:val="20"/>
              </w:rPr>
              <w:t>90%</w:t>
            </w:r>
            <w:r>
              <w:rPr>
                <w:rFonts w:ascii="宋体" w:hAnsi="宋体" w:cs="宋体" w:hint="eastAsia"/>
                <w:color w:val="000000"/>
                <w:kern w:val="0"/>
                <w:sz w:val="20"/>
                <w:szCs w:val="20"/>
              </w:rPr>
              <w:t>，不断提高社会管理和公共服务水平，使群众满意度提升。</w:t>
            </w:r>
          </w:p>
        </w:tc>
        <w:tc>
          <w:tcPr>
            <w:tcW w:w="35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年保障我街道</w:t>
            </w:r>
            <w:r>
              <w:rPr>
                <w:rFonts w:ascii="宋体" w:hAnsi="宋体" w:cs="宋体" w:hint="eastAsia"/>
                <w:color w:val="000000"/>
                <w:kern w:val="0"/>
                <w:sz w:val="20"/>
                <w:szCs w:val="20"/>
              </w:rPr>
              <w:t>358</w:t>
            </w:r>
            <w:r>
              <w:rPr>
                <w:rFonts w:ascii="宋体" w:hAnsi="宋体" w:cs="宋体" w:hint="eastAsia"/>
                <w:color w:val="000000"/>
                <w:kern w:val="0"/>
                <w:sz w:val="20"/>
                <w:szCs w:val="20"/>
              </w:rPr>
              <w:t>人工资福利发放、社保公积金缴费。办公经费正常支出，社区运转经费正常支出，服务群众活动支出开展，网格阵地活动支出开展，网格书记补助正常发放，使业务保障能力有效提升。通过完成办公经费支出工作达成单位全年办公用品采购的目标，解决全年单位办公用品消耗问题。保障了</w:t>
            </w:r>
            <w:r>
              <w:rPr>
                <w:rFonts w:ascii="宋体" w:hAnsi="宋体" w:cs="宋体" w:hint="eastAsia"/>
                <w:color w:val="000000"/>
                <w:kern w:val="0"/>
                <w:sz w:val="20"/>
                <w:szCs w:val="20"/>
              </w:rPr>
              <w:t>本街道房屋建筑物供暖面积</w:t>
            </w:r>
            <w:r>
              <w:rPr>
                <w:rFonts w:ascii="宋体" w:hAnsi="宋体" w:cs="宋体" w:hint="eastAsia"/>
                <w:color w:val="000000"/>
                <w:kern w:val="0"/>
                <w:sz w:val="20"/>
                <w:szCs w:val="20"/>
              </w:rPr>
              <w:t>22294.22</w:t>
            </w:r>
            <w:r>
              <w:rPr>
                <w:rFonts w:ascii="宋体" w:hAnsi="宋体" w:cs="宋体" w:hint="eastAsia"/>
                <w:color w:val="000000"/>
                <w:kern w:val="0"/>
                <w:sz w:val="20"/>
                <w:szCs w:val="20"/>
              </w:rPr>
              <w:t>平方米的供暖费支付，机关公务保障用车辆</w:t>
            </w:r>
            <w:r>
              <w:rPr>
                <w:rFonts w:ascii="宋体" w:hAnsi="宋体" w:cs="宋体" w:hint="eastAsia"/>
                <w:color w:val="000000"/>
                <w:kern w:val="0"/>
                <w:sz w:val="20"/>
                <w:szCs w:val="20"/>
              </w:rPr>
              <w:t>3</w:t>
            </w:r>
            <w:r>
              <w:rPr>
                <w:rFonts w:ascii="宋体" w:hAnsi="宋体" w:cs="宋体" w:hint="eastAsia"/>
                <w:color w:val="000000"/>
                <w:kern w:val="0"/>
                <w:sz w:val="20"/>
                <w:szCs w:val="20"/>
              </w:rPr>
              <w:t>辆办公事务支出。该笔预算资金的使用保证昌吉市北京南路街道办事处及</w:t>
            </w:r>
            <w:r>
              <w:rPr>
                <w:rFonts w:ascii="宋体" w:hAnsi="宋体" w:cs="宋体" w:hint="eastAsia"/>
                <w:color w:val="000000"/>
                <w:kern w:val="0"/>
                <w:sz w:val="20"/>
                <w:szCs w:val="20"/>
              </w:rPr>
              <w:t>14</w:t>
            </w:r>
            <w:r>
              <w:rPr>
                <w:rFonts w:ascii="宋体" w:hAnsi="宋体" w:cs="宋体" w:hint="eastAsia"/>
                <w:color w:val="000000"/>
                <w:kern w:val="0"/>
                <w:sz w:val="20"/>
                <w:szCs w:val="20"/>
              </w:rPr>
              <w:t>个社区的正常运行，在经费及时拨付的情况下公用经费及时支付，年度工作任务按时完成，不断提高社会管理和公共服务水平，使群众满意度提升，保障了我辖区各项工作的正常开展。</w:t>
            </w:r>
          </w:p>
        </w:tc>
      </w:tr>
      <w:tr w:rsidR="00616379">
        <w:trPr>
          <w:trHeight w:val="58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一级指标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预期指标值</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指标值设定依据</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实际完成指标值</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trHeight w:val="740"/>
          <w:jc w:val="center"/>
        </w:trPr>
        <w:tc>
          <w:tcPr>
            <w:tcW w:w="1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运行成本</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保障办公人员数量</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&gt;=359</w:t>
            </w:r>
            <w:r>
              <w:rPr>
                <w:rFonts w:ascii="宋体" w:hAnsi="宋体" w:cs="宋体" w:hint="eastAsia"/>
                <w:color w:val="000000"/>
                <w:kern w:val="0"/>
                <w:sz w:val="20"/>
                <w:szCs w:val="20"/>
              </w:rPr>
              <w:t>人</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工资表</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=359</w:t>
            </w:r>
            <w:r>
              <w:rPr>
                <w:rFonts w:ascii="宋体" w:hAnsi="宋体" w:cs="宋体" w:hint="eastAsia"/>
                <w:color w:val="000000"/>
                <w:kern w:val="0"/>
                <w:sz w:val="20"/>
                <w:szCs w:val="20"/>
              </w:rPr>
              <w:t>人</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r>
      <w:tr w:rsidR="00616379">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机关公务保障用车数量</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辆</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年预算公开说明</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辆</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r>
      <w:tr w:rsidR="00616379">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房屋建筑物供暖面积</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&gt;=22294.22</w:t>
            </w:r>
            <w:r>
              <w:rPr>
                <w:rFonts w:ascii="宋体" w:hAnsi="宋体" w:cs="宋体" w:hint="eastAsia"/>
                <w:color w:val="000000"/>
                <w:kern w:val="0"/>
                <w:sz w:val="20"/>
                <w:szCs w:val="20"/>
              </w:rPr>
              <w:t>平方米</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房屋建筑物供暖面积</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=22294.22</w:t>
            </w:r>
            <w:r>
              <w:rPr>
                <w:rFonts w:ascii="宋体" w:hAnsi="宋体" w:cs="宋体" w:hint="eastAsia"/>
                <w:color w:val="000000"/>
                <w:kern w:val="0"/>
                <w:sz w:val="20"/>
                <w:szCs w:val="20"/>
              </w:rPr>
              <w:t>平方米</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r>
      <w:tr w:rsidR="00616379">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下设社区个数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&gt;=14</w:t>
            </w:r>
            <w:r>
              <w:rPr>
                <w:rFonts w:ascii="宋体" w:hAnsi="宋体" w:cs="宋体" w:hint="eastAsia"/>
                <w:color w:val="000000"/>
                <w:kern w:val="0"/>
                <w:sz w:val="20"/>
                <w:szCs w:val="20"/>
              </w:rPr>
              <w:t>个</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年预算公开说明</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r>
      <w:tr w:rsidR="00616379">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街道个数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年预算公开说明</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r>
      <w:tr w:rsidR="00616379">
        <w:trPr>
          <w:trHeight w:val="740"/>
          <w:jc w:val="center"/>
        </w:trPr>
        <w:tc>
          <w:tcPr>
            <w:tcW w:w="1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公用经费支付及时率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财务制度</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r>
      <w:tr w:rsidR="00616379">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管理效率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财务制度</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r>
      <w:tr w:rsidR="00616379">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履职效能</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r>
      <w:tr w:rsidR="00616379">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r>
      <w:tr w:rsidR="00616379">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可持续发展能力</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r>
      <w:tr w:rsidR="00616379">
        <w:trPr>
          <w:trHeight w:val="740"/>
          <w:jc w:val="center"/>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501"/>
        <w:gridCol w:w="500"/>
        <w:gridCol w:w="1375"/>
        <w:gridCol w:w="212"/>
        <w:gridCol w:w="905"/>
        <w:gridCol w:w="565"/>
        <w:gridCol w:w="812"/>
        <w:gridCol w:w="790"/>
        <w:gridCol w:w="254"/>
        <w:gridCol w:w="409"/>
        <w:gridCol w:w="265"/>
        <w:gridCol w:w="553"/>
        <w:gridCol w:w="404"/>
        <w:gridCol w:w="755"/>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72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年度基层党建优秀县乡村党组织奖励资金工作推进有力的街道党工委（北京南路街道）</w:t>
            </w:r>
          </w:p>
        </w:tc>
      </w:tr>
      <w:tr w:rsidR="00616379">
        <w:trPr>
          <w:gridAfter w:val="1"/>
          <w:wAfter w:w="222" w:type="dxa"/>
          <w:trHeight w:val="288"/>
          <w:jc w:val="center"/>
        </w:trPr>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8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0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00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2.39</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2.39</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2.39</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16379">
        <w:trPr>
          <w:gridAfter w:val="1"/>
          <w:wAfter w:w="222" w:type="dxa"/>
          <w:trHeight w:val="440"/>
          <w:jc w:val="center"/>
        </w:trPr>
        <w:tc>
          <w:tcPr>
            <w:tcW w:w="100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2.39</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2.39</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2.39</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00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369"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2.39</w:t>
            </w:r>
            <w:r>
              <w:rPr>
                <w:rFonts w:ascii="宋体" w:hAnsi="宋体" w:cs="宋体" w:hint="eastAsia"/>
                <w:color w:val="000000"/>
                <w:kern w:val="0"/>
                <w:sz w:val="20"/>
                <w:szCs w:val="20"/>
              </w:rPr>
              <w:t>万元，主要计划用于团结院社区基层党建优秀党组织工作，本项目计划于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进一步提高社区区域化党建工作水平，加强社区规范化、制度化、标准化建设，提升社区科学化管理服务能力和综合服务水平。按照独立自有、规模适度、功能健全的要求，打造特色功能活动室，为居民提供多种贴心服务。使受益群体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及以上。</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打造街道党建阵地</w:t>
            </w:r>
            <w:r>
              <w:rPr>
                <w:rFonts w:ascii="宋体" w:hAnsi="宋体" w:cs="宋体" w:hint="eastAsia"/>
                <w:color w:val="000000"/>
                <w:kern w:val="0"/>
                <w:sz w:val="20"/>
                <w:szCs w:val="20"/>
              </w:rPr>
              <w:t>1</w:t>
            </w:r>
            <w:r>
              <w:rPr>
                <w:rFonts w:ascii="宋体" w:hAnsi="宋体" w:cs="宋体" w:hint="eastAsia"/>
                <w:color w:val="000000"/>
                <w:kern w:val="0"/>
                <w:sz w:val="20"/>
                <w:szCs w:val="20"/>
              </w:rPr>
              <w:t>处，主要用于支付党建阵地建设版面制作、办公用品采购支出，提高了基层党建优秀党组织工作水平，，加强街道规范化、制度化、标准化建设，提升社区科学化管理服务能力和综合服务水平。按照独立自有、规模适度、功能健全的要求，打造特色功能活动室，为居民提供多种贴心服务。</w:t>
            </w:r>
          </w:p>
        </w:tc>
      </w:tr>
      <w:tr w:rsidR="00616379">
        <w:trPr>
          <w:gridAfter w:val="1"/>
          <w:wAfter w:w="222" w:type="dxa"/>
          <w:trHeight w:val="312"/>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82"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资金覆盖街道个数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奖励标准</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万元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万元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提高基层组织凝聚力</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75"/>
        <w:gridCol w:w="476"/>
        <w:gridCol w:w="1630"/>
        <w:gridCol w:w="79"/>
        <w:gridCol w:w="1348"/>
        <w:gridCol w:w="569"/>
        <w:gridCol w:w="784"/>
        <w:gridCol w:w="658"/>
        <w:gridCol w:w="235"/>
        <w:gridCol w:w="387"/>
        <w:gridCol w:w="238"/>
        <w:gridCol w:w="448"/>
        <w:gridCol w:w="319"/>
        <w:gridCol w:w="654"/>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4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w:t>
            </w:r>
          </w:p>
        </w:tc>
      </w:tr>
      <w:tr w:rsidR="00616379">
        <w:trPr>
          <w:gridAfter w:val="1"/>
          <w:wAfter w:w="222" w:type="dxa"/>
          <w:trHeight w:val="288"/>
          <w:jc w:val="center"/>
        </w:trPr>
        <w:tc>
          <w:tcPr>
            <w:tcW w:w="9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4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0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9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95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57.65</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57.65</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16379">
        <w:trPr>
          <w:gridAfter w:val="1"/>
          <w:wAfter w:w="222" w:type="dxa"/>
          <w:trHeight w:val="440"/>
          <w:jc w:val="center"/>
        </w:trPr>
        <w:tc>
          <w:tcPr>
            <w:tcW w:w="95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57.65</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57.65</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95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1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jc w:val="center"/>
            </w:pPr>
            <w:r>
              <w:rPr>
                <w:rFonts w:ascii="宋体" w:hAnsi="宋体" w:cs="宋体" w:hint="eastAsia"/>
                <w:color w:val="000000"/>
                <w:kern w:val="0"/>
                <w:sz w:val="20"/>
                <w:szCs w:val="20"/>
              </w:rPr>
              <w:t>0.00</w:t>
            </w:r>
          </w:p>
        </w:tc>
        <w:tc>
          <w:tcPr>
            <w:tcW w:w="6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8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9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86"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57.65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主要工作用于覆盖</w:t>
            </w:r>
            <w:r>
              <w:rPr>
                <w:rFonts w:ascii="宋体" w:hAnsi="宋体" w:cs="宋体" w:hint="eastAsia"/>
                <w:color w:val="000000"/>
                <w:kern w:val="0"/>
                <w:sz w:val="20"/>
                <w:szCs w:val="20"/>
              </w:rPr>
              <w:t>14</w:t>
            </w:r>
            <w:r>
              <w:rPr>
                <w:rFonts w:ascii="宋体" w:hAnsi="宋体" w:cs="宋体" w:hint="eastAsia"/>
                <w:color w:val="000000"/>
                <w:kern w:val="0"/>
                <w:sz w:val="20"/>
                <w:szCs w:val="20"/>
              </w:rPr>
              <w:t>个社区的国有企业退休人员社会化管理人数</w:t>
            </w:r>
            <w:r>
              <w:rPr>
                <w:rFonts w:ascii="宋体" w:hAnsi="宋体" w:cs="宋体" w:hint="eastAsia"/>
                <w:color w:val="000000"/>
                <w:kern w:val="0"/>
                <w:sz w:val="20"/>
                <w:szCs w:val="20"/>
              </w:rPr>
              <w:t>2256</w:t>
            </w:r>
            <w:r>
              <w:rPr>
                <w:rFonts w:ascii="宋体" w:hAnsi="宋体" w:cs="宋体" w:hint="eastAsia"/>
                <w:color w:val="000000"/>
                <w:kern w:val="0"/>
                <w:sz w:val="20"/>
                <w:szCs w:val="20"/>
              </w:rPr>
              <w:t>人，同时举办各类活动，组织退休人员开展文化体育健身活动和安抚慰问等社会化管理工作。</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本项目计划于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日前完成。通过本项目的实施保障加快推进国有企业退休人员社会化管理工作</w:t>
            </w:r>
            <w:r>
              <w:rPr>
                <w:rFonts w:ascii="宋体" w:hAnsi="宋体" w:cs="宋体" w:hint="eastAsia"/>
                <w:color w:val="000000"/>
                <w:kern w:val="0"/>
                <w:sz w:val="20"/>
                <w:szCs w:val="20"/>
              </w:rPr>
              <w:t>,</w:t>
            </w:r>
            <w:r>
              <w:rPr>
                <w:rFonts w:ascii="宋体" w:hAnsi="宋体" w:cs="宋体" w:hint="eastAsia"/>
                <w:color w:val="000000"/>
                <w:kern w:val="0"/>
                <w:sz w:val="20"/>
                <w:szCs w:val="20"/>
              </w:rPr>
              <w:t>提高退休人员生活质量为目标，做好国有企业退休人员社会化管理工作。使国有企业退休人员生活质量提高，获得幸福感，使受益居民满意度达到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及以上。</w:t>
            </w:r>
          </w:p>
        </w:tc>
        <w:tc>
          <w:tcPr>
            <w:tcW w:w="2939"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w:t>
            </w:r>
            <w:r>
              <w:rPr>
                <w:rFonts w:ascii="宋体" w:hAnsi="宋体" w:cs="宋体" w:hint="eastAsia"/>
                <w:color w:val="000000"/>
                <w:kern w:val="0"/>
                <w:sz w:val="20"/>
                <w:szCs w:val="20"/>
              </w:rPr>
              <w:t>57.65</w:t>
            </w:r>
            <w:r>
              <w:rPr>
                <w:rFonts w:ascii="宋体" w:hAnsi="宋体" w:cs="宋体" w:hint="eastAsia"/>
                <w:color w:val="000000"/>
                <w:kern w:val="0"/>
                <w:sz w:val="20"/>
                <w:szCs w:val="20"/>
              </w:rPr>
              <w:t>万元，自治区、昌吉州推送的国有企业退休人员名单上的人员联系不上或已不在我辖区居住，所以该笔项目资金未产生支付，已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r>
      <w:tr w:rsidR="00616379">
        <w:trPr>
          <w:gridAfter w:val="1"/>
          <w:wAfter w:w="222" w:type="dxa"/>
          <w:trHeight w:val="312"/>
          <w:jc w:val="center"/>
        </w:trPr>
        <w:tc>
          <w:tcPr>
            <w:tcW w:w="4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7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17"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58"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2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8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7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国有企业退休人员社会化管理人数</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=2256</w:t>
            </w:r>
            <w:r>
              <w:rPr>
                <w:rFonts w:ascii="宋体" w:hAnsi="宋体" w:cs="宋体" w:hint="eastAsia"/>
                <w:color w:val="000000"/>
                <w:kern w:val="0"/>
                <w:sz w:val="20"/>
                <w:szCs w:val="20"/>
              </w:rPr>
              <w:t>人</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w:t>
            </w:r>
            <w:r>
              <w:rPr>
                <w:rFonts w:ascii="宋体" w:hAnsi="宋体" w:cs="宋体" w:hint="eastAsia"/>
                <w:color w:val="000000"/>
                <w:kern w:val="0"/>
                <w:sz w:val="20"/>
                <w:szCs w:val="20"/>
              </w:rPr>
              <w:lastRenderedPageBreak/>
              <w:t>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w:t>
            </w:r>
            <w:r w:rsidR="007039A0">
              <w:rPr>
                <w:rFonts w:ascii="宋体" w:hAnsi="宋体" w:cs="宋体" w:hint="eastAsia"/>
                <w:color w:val="000000"/>
                <w:kern w:val="0"/>
                <w:sz w:val="20"/>
                <w:szCs w:val="20"/>
              </w:rPr>
              <w:lastRenderedPageBreak/>
              <w:t>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补助标准</w:t>
            </w:r>
            <w:r>
              <w:rPr>
                <w:rFonts w:ascii="宋体" w:hAnsi="宋体" w:cs="宋体" w:hint="eastAsia"/>
                <w:color w:val="000000"/>
                <w:kern w:val="0"/>
                <w:sz w:val="20"/>
                <w:szCs w:val="20"/>
              </w:rPr>
              <w:t>/</w:t>
            </w:r>
            <w:r>
              <w:rPr>
                <w:rFonts w:ascii="宋体" w:hAnsi="宋体" w:cs="宋体" w:hint="eastAsia"/>
                <w:color w:val="000000"/>
                <w:kern w:val="0"/>
                <w:sz w:val="20"/>
                <w:szCs w:val="20"/>
              </w:rPr>
              <w:t>人·年</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=0.03</w:t>
            </w:r>
            <w:r>
              <w:rPr>
                <w:rFonts w:ascii="宋体" w:hAnsi="宋体" w:cs="宋体" w:hint="eastAsia"/>
                <w:color w:val="000000"/>
                <w:kern w:val="0"/>
                <w:sz w:val="20"/>
                <w:szCs w:val="20"/>
              </w:rPr>
              <w:t>万元</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保障国有企业退休人员职工利益</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未有效保</w:t>
            </w:r>
            <w:r>
              <w:rPr>
                <w:rFonts w:ascii="宋体" w:hAnsi="宋体" w:cs="宋体" w:hint="eastAsia"/>
                <w:color w:val="000000"/>
                <w:kern w:val="0"/>
                <w:sz w:val="20"/>
                <w:szCs w:val="20"/>
              </w:rPr>
              <w:lastRenderedPageBreak/>
              <w:t>障</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w:t>
            </w:r>
            <w:r>
              <w:rPr>
                <w:rFonts w:ascii="宋体" w:hAnsi="宋体" w:cs="宋体" w:hint="eastAsia"/>
                <w:color w:val="000000"/>
                <w:kern w:val="0"/>
                <w:sz w:val="20"/>
                <w:szCs w:val="20"/>
              </w:rPr>
              <w:lastRenderedPageBreak/>
              <w:t>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601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67"/>
        <w:gridCol w:w="775"/>
        <w:gridCol w:w="1134"/>
        <w:gridCol w:w="213"/>
        <w:gridCol w:w="1372"/>
        <w:gridCol w:w="588"/>
        <w:gridCol w:w="864"/>
        <w:gridCol w:w="647"/>
        <w:gridCol w:w="224"/>
        <w:gridCol w:w="382"/>
        <w:gridCol w:w="227"/>
        <w:gridCol w:w="446"/>
        <w:gridCol w:w="313"/>
        <w:gridCol w:w="648"/>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w:t>
            </w:r>
            <w:r>
              <w:rPr>
                <w:rFonts w:ascii="宋体" w:hAnsi="宋体" w:cs="宋体" w:hint="eastAsia"/>
                <w:color w:val="000000"/>
                <w:kern w:val="0"/>
                <w:sz w:val="20"/>
                <w:szCs w:val="20"/>
              </w:rPr>
              <w:t>2</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1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0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3.61</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3.61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3.61</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3.61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9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88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46"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3.61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主要工作用于覆盖</w:t>
            </w:r>
            <w:r>
              <w:rPr>
                <w:rFonts w:ascii="宋体" w:hAnsi="宋体" w:cs="宋体" w:hint="eastAsia"/>
                <w:color w:val="000000"/>
                <w:kern w:val="0"/>
                <w:sz w:val="20"/>
                <w:szCs w:val="20"/>
              </w:rPr>
              <w:t>14</w:t>
            </w:r>
            <w:r>
              <w:rPr>
                <w:rFonts w:ascii="宋体" w:hAnsi="宋体" w:cs="宋体" w:hint="eastAsia"/>
                <w:color w:val="000000"/>
                <w:kern w:val="0"/>
                <w:sz w:val="20"/>
                <w:szCs w:val="20"/>
              </w:rPr>
              <w:t>个社区的国有企业退休人员社会化管理人数</w:t>
            </w:r>
            <w:r>
              <w:rPr>
                <w:rFonts w:ascii="宋体" w:hAnsi="宋体" w:cs="宋体" w:hint="eastAsia"/>
                <w:color w:val="000000"/>
                <w:kern w:val="0"/>
                <w:sz w:val="20"/>
                <w:szCs w:val="20"/>
              </w:rPr>
              <w:t>23</w:t>
            </w:r>
            <w:r>
              <w:rPr>
                <w:rFonts w:ascii="宋体" w:hAnsi="宋体" w:cs="宋体" w:hint="eastAsia"/>
                <w:color w:val="000000"/>
                <w:kern w:val="0"/>
                <w:sz w:val="20"/>
                <w:szCs w:val="20"/>
              </w:rPr>
              <w:t>人，同时举办各类活动，组织退休人员开展文化体育健身活动和安抚慰问等社会化管理工作。</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本项目计划于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日前完成。通过本项目的实施保障加快推进国有企业退休人员社会化管理工作</w:t>
            </w:r>
            <w:r>
              <w:rPr>
                <w:rFonts w:ascii="宋体" w:hAnsi="宋体" w:cs="宋体" w:hint="eastAsia"/>
                <w:color w:val="000000"/>
                <w:kern w:val="0"/>
                <w:sz w:val="20"/>
                <w:szCs w:val="20"/>
              </w:rPr>
              <w:t>,</w:t>
            </w:r>
            <w:r>
              <w:rPr>
                <w:rFonts w:ascii="宋体" w:hAnsi="宋体" w:cs="宋体" w:hint="eastAsia"/>
                <w:color w:val="000000"/>
                <w:kern w:val="0"/>
                <w:sz w:val="20"/>
                <w:szCs w:val="20"/>
              </w:rPr>
              <w:t>提高退休人员生活质量为目标，做好国有企业退休人员社会化管理工作。使国有企业退休人员生活质量提高，获得幸福感，使受益居民满意度达到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及以上。</w:t>
            </w:r>
          </w:p>
        </w:tc>
        <w:tc>
          <w:tcPr>
            <w:tcW w:w="2887"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w:t>
            </w:r>
            <w:r>
              <w:rPr>
                <w:rFonts w:ascii="宋体" w:hAnsi="宋体" w:cs="宋体" w:hint="eastAsia"/>
                <w:color w:val="000000"/>
                <w:kern w:val="0"/>
                <w:sz w:val="20"/>
                <w:szCs w:val="20"/>
              </w:rPr>
              <w:t>3.61</w:t>
            </w:r>
            <w:r>
              <w:rPr>
                <w:rFonts w:ascii="宋体" w:hAnsi="宋体" w:cs="宋体" w:hint="eastAsia"/>
                <w:color w:val="000000"/>
                <w:kern w:val="0"/>
                <w:sz w:val="20"/>
                <w:szCs w:val="20"/>
              </w:rPr>
              <w:t>万元，自治区、昌吉州推送的国有企业退休人员名单上的人员联系不上或已不在我辖区居住，所以该笔项目资金未产生支付，已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r>
      <w:tr w:rsidR="00616379">
        <w:trPr>
          <w:gridAfter w:val="1"/>
          <w:wAfter w:w="222" w:type="dxa"/>
          <w:trHeight w:val="312"/>
          <w:jc w:val="center"/>
        </w:trPr>
        <w:tc>
          <w:tcPr>
            <w:tcW w:w="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7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6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173"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6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4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0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6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国有企业退休人员社会化管理人数</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r>
              <w:rPr>
                <w:rFonts w:ascii="宋体" w:hAnsi="宋体" w:cs="宋体" w:hint="eastAsia"/>
                <w:color w:val="000000"/>
                <w:kern w:val="0"/>
                <w:sz w:val="20"/>
                <w:szCs w:val="20"/>
              </w:rPr>
              <w:t>人</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w:t>
            </w:r>
            <w:r>
              <w:rPr>
                <w:rFonts w:ascii="宋体" w:hAnsi="宋体" w:cs="宋体" w:hint="eastAsia"/>
                <w:color w:val="000000"/>
                <w:kern w:val="0"/>
                <w:sz w:val="20"/>
                <w:szCs w:val="20"/>
              </w:rPr>
              <w:lastRenderedPageBreak/>
              <w:t>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w:t>
            </w:r>
            <w:r>
              <w:rPr>
                <w:rFonts w:ascii="宋体" w:hAnsi="宋体" w:cs="宋体" w:hint="eastAsia"/>
                <w:color w:val="000000"/>
                <w:kern w:val="0"/>
                <w:sz w:val="20"/>
                <w:szCs w:val="20"/>
              </w:rPr>
              <w:lastRenderedPageBreak/>
              <w:t>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补助标准</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&lt;=0.16</w:t>
            </w:r>
            <w:r>
              <w:rPr>
                <w:rFonts w:ascii="宋体" w:hAnsi="宋体" w:cs="宋体" w:hint="eastAsia"/>
                <w:color w:val="000000"/>
                <w:kern w:val="0"/>
                <w:sz w:val="20"/>
                <w:szCs w:val="20"/>
              </w:rPr>
              <w:t>万元</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保障国有企业退休人员职工利益</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未有效保障</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w:t>
            </w:r>
            <w:r>
              <w:rPr>
                <w:rFonts w:ascii="宋体" w:hAnsi="宋体" w:cs="宋体" w:hint="eastAsia"/>
                <w:color w:val="000000"/>
                <w:kern w:val="0"/>
                <w:sz w:val="20"/>
                <w:szCs w:val="20"/>
              </w:rPr>
              <w:lastRenderedPageBreak/>
              <w:t>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60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76"/>
        <w:gridCol w:w="476"/>
        <w:gridCol w:w="593"/>
        <w:gridCol w:w="1070"/>
        <w:gridCol w:w="1372"/>
        <w:gridCol w:w="588"/>
        <w:gridCol w:w="785"/>
        <w:gridCol w:w="658"/>
        <w:gridCol w:w="235"/>
        <w:gridCol w:w="388"/>
        <w:gridCol w:w="238"/>
        <w:gridCol w:w="448"/>
        <w:gridCol w:w="319"/>
        <w:gridCol w:w="654"/>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4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年自治州本级国有企业退休人员社会化管理补助资金</w:t>
            </w:r>
          </w:p>
        </w:tc>
      </w:tr>
      <w:tr w:rsidR="00616379">
        <w:trPr>
          <w:gridAfter w:val="1"/>
          <w:wAfter w:w="222" w:type="dxa"/>
          <w:trHeight w:val="288"/>
          <w:jc w:val="center"/>
        </w:trPr>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4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0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9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95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16379">
        <w:trPr>
          <w:gridAfter w:val="1"/>
          <w:wAfter w:w="222" w:type="dxa"/>
          <w:trHeight w:val="440"/>
          <w:jc w:val="center"/>
        </w:trPr>
        <w:tc>
          <w:tcPr>
            <w:tcW w:w="95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95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4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94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84"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0.62</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主要工作用于覆盖</w:t>
            </w:r>
            <w:r>
              <w:rPr>
                <w:rFonts w:ascii="宋体" w:hAnsi="宋体" w:cs="宋体" w:hint="eastAsia"/>
                <w:color w:val="000000"/>
                <w:kern w:val="0"/>
                <w:sz w:val="20"/>
                <w:szCs w:val="20"/>
              </w:rPr>
              <w:t>14</w:t>
            </w:r>
            <w:r>
              <w:rPr>
                <w:rFonts w:ascii="宋体" w:hAnsi="宋体" w:cs="宋体" w:hint="eastAsia"/>
                <w:color w:val="000000"/>
                <w:kern w:val="0"/>
                <w:sz w:val="20"/>
                <w:szCs w:val="20"/>
              </w:rPr>
              <w:t>个社区的国有企业退休人员社会化管理人数</w:t>
            </w:r>
            <w:r>
              <w:rPr>
                <w:rFonts w:ascii="宋体" w:hAnsi="宋体" w:cs="宋体" w:hint="eastAsia"/>
                <w:color w:val="000000"/>
                <w:kern w:val="0"/>
                <w:sz w:val="20"/>
                <w:szCs w:val="20"/>
              </w:rPr>
              <w:t>23</w:t>
            </w:r>
            <w:r>
              <w:rPr>
                <w:rFonts w:ascii="宋体" w:hAnsi="宋体" w:cs="宋体" w:hint="eastAsia"/>
                <w:color w:val="000000"/>
                <w:kern w:val="0"/>
                <w:sz w:val="20"/>
                <w:szCs w:val="20"/>
              </w:rPr>
              <w:t>人，同时举办各类活动，组织退休人员开展文化体育健身活动和安抚慰问等社会化管理工作。</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本项目计划于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lastRenderedPageBreak/>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日前完成。通过本项目的实施保障加快推进国有企业退休人员社会化管理工作</w:t>
            </w:r>
            <w:r>
              <w:rPr>
                <w:rFonts w:ascii="宋体" w:hAnsi="宋体" w:cs="宋体" w:hint="eastAsia"/>
                <w:color w:val="000000"/>
                <w:kern w:val="0"/>
                <w:sz w:val="20"/>
                <w:szCs w:val="20"/>
              </w:rPr>
              <w:t>,</w:t>
            </w:r>
            <w:r>
              <w:rPr>
                <w:rFonts w:ascii="宋体" w:hAnsi="宋体" w:cs="宋体" w:hint="eastAsia"/>
                <w:color w:val="000000"/>
                <w:kern w:val="0"/>
                <w:sz w:val="20"/>
                <w:szCs w:val="20"/>
              </w:rPr>
              <w:t>提高退休人员生活质量为目标，做好国有企业退休人员社会化管理工作。使国有企业退休人员生活质量提高，获得幸福感，使受益居民满意度达到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及以上。</w:t>
            </w:r>
          </w:p>
        </w:tc>
        <w:tc>
          <w:tcPr>
            <w:tcW w:w="2940"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2022</w:t>
            </w:r>
            <w:r>
              <w:rPr>
                <w:rFonts w:ascii="宋体" w:hAnsi="宋体" w:cs="宋体" w:hint="eastAsia"/>
                <w:color w:val="000000"/>
                <w:kern w:val="0"/>
                <w:sz w:val="20"/>
                <w:szCs w:val="20"/>
              </w:rPr>
              <w:t>年自治州本级国有企业退休人员社会化管理补助资金</w:t>
            </w:r>
            <w:r>
              <w:rPr>
                <w:rFonts w:ascii="宋体" w:hAnsi="宋体" w:cs="宋体" w:hint="eastAsia"/>
                <w:color w:val="000000"/>
                <w:kern w:val="0"/>
                <w:sz w:val="20"/>
                <w:szCs w:val="20"/>
              </w:rPr>
              <w:t>0.62</w:t>
            </w:r>
            <w:r>
              <w:rPr>
                <w:rFonts w:ascii="宋体" w:hAnsi="宋体" w:cs="宋体" w:hint="eastAsia"/>
                <w:color w:val="000000"/>
                <w:kern w:val="0"/>
                <w:sz w:val="20"/>
                <w:szCs w:val="20"/>
              </w:rPr>
              <w:t>万元，昌吉州推送的国有企业退休人员名单上的人员联</w:t>
            </w:r>
            <w:r>
              <w:rPr>
                <w:rFonts w:ascii="宋体" w:hAnsi="宋体" w:cs="宋体" w:hint="eastAsia"/>
                <w:color w:val="000000"/>
                <w:kern w:val="0"/>
                <w:sz w:val="20"/>
                <w:szCs w:val="20"/>
              </w:rPr>
              <w:lastRenderedPageBreak/>
              <w:t>系不上或已不再我辖区居住，所以该笔项目资金未产生支付，已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r>
      <w:tr w:rsidR="00616379">
        <w:trPr>
          <w:gridAfter w:val="1"/>
          <w:wAfter w:w="222" w:type="dxa"/>
          <w:trHeight w:val="312"/>
          <w:jc w:val="center"/>
        </w:trPr>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5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30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3030"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8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58"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2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8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7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国有企业退休人员社会化管理人数</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r>
              <w:rPr>
                <w:rFonts w:ascii="宋体" w:hAnsi="宋体" w:cs="宋体" w:hint="eastAsia"/>
                <w:color w:val="000000"/>
                <w:kern w:val="0"/>
                <w:sz w:val="20"/>
                <w:szCs w:val="20"/>
              </w:rPr>
              <w:t>人</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w:t>
            </w:r>
            <w:r>
              <w:rPr>
                <w:rFonts w:ascii="宋体" w:hAnsi="宋体" w:cs="宋体" w:hint="eastAsia"/>
                <w:color w:val="000000"/>
                <w:kern w:val="0"/>
                <w:sz w:val="20"/>
                <w:szCs w:val="20"/>
              </w:rPr>
              <w:lastRenderedPageBreak/>
              <w:t>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任务完成及时率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补助标准</w:t>
            </w:r>
            <w:r>
              <w:rPr>
                <w:rFonts w:ascii="宋体" w:hAnsi="宋体" w:cs="宋体" w:hint="eastAsia"/>
                <w:color w:val="000000"/>
                <w:kern w:val="0"/>
                <w:sz w:val="20"/>
                <w:szCs w:val="20"/>
              </w:rPr>
              <w:t>/</w:t>
            </w:r>
            <w:r>
              <w:rPr>
                <w:rFonts w:ascii="宋体" w:hAnsi="宋体" w:cs="宋体" w:hint="eastAsia"/>
                <w:color w:val="000000"/>
                <w:kern w:val="0"/>
                <w:sz w:val="20"/>
                <w:szCs w:val="20"/>
              </w:rPr>
              <w:t>人·年</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=0.03</w:t>
            </w:r>
            <w:r>
              <w:rPr>
                <w:rFonts w:ascii="宋体" w:hAnsi="宋体" w:cs="宋体" w:hint="eastAsia"/>
                <w:color w:val="000000"/>
                <w:kern w:val="0"/>
                <w:sz w:val="20"/>
                <w:szCs w:val="20"/>
              </w:rPr>
              <w:t>万元</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w:t>
            </w:r>
            <w:r>
              <w:rPr>
                <w:rFonts w:ascii="宋体" w:hAnsi="宋体" w:cs="宋体" w:hint="eastAsia"/>
                <w:color w:val="000000"/>
                <w:kern w:val="0"/>
                <w:sz w:val="20"/>
                <w:szCs w:val="20"/>
              </w:rPr>
              <w:lastRenderedPageBreak/>
              <w:t>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保障国有企业退休人员职工利益</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未有效保障</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昌吉州推送的国有企业退休人员名单上的人员联系不上或已不在我辖区居住，所以该笔项目资金未产生支付，已</w:t>
            </w:r>
            <w:r w:rsidR="007039A0">
              <w:rPr>
                <w:rFonts w:ascii="宋体" w:hAnsi="宋体" w:cs="宋体" w:hint="eastAsia"/>
                <w:color w:val="000000"/>
                <w:kern w:val="0"/>
                <w:sz w:val="20"/>
                <w:szCs w:val="20"/>
              </w:rPr>
              <w:t>上缴财政</w:t>
            </w:r>
            <w:r>
              <w:rPr>
                <w:rFonts w:ascii="宋体" w:hAnsi="宋体" w:cs="宋体" w:hint="eastAsia"/>
                <w:color w:val="000000"/>
                <w:kern w:val="0"/>
                <w:sz w:val="20"/>
                <w:szCs w:val="20"/>
              </w:rPr>
              <w:t>。</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0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60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500"/>
        <w:gridCol w:w="742"/>
        <w:gridCol w:w="1134"/>
        <w:gridCol w:w="212"/>
        <w:gridCol w:w="905"/>
        <w:gridCol w:w="565"/>
        <w:gridCol w:w="812"/>
        <w:gridCol w:w="790"/>
        <w:gridCol w:w="254"/>
        <w:gridCol w:w="409"/>
        <w:gridCol w:w="265"/>
        <w:gridCol w:w="553"/>
        <w:gridCol w:w="404"/>
        <w:gridCol w:w="755"/>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年“微实事”项目资金</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6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30.66</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30.66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30.66</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30.66</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30.66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30.66</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为发挥我单位为民服务职能，特批微实事资金，主要用于解决群众关心的重点问题。我单位经党工委会议通过，使用微实事专项资金修缮</w:t>
            </w:r>
            <w:r>
              <w:rPr>
                <w:rFonts w:ascii="宋体" w:hAnsi="宋体" w:cs="宋体" w:hint="eastAsia"/>
                <w:color w:val="000000"/>
                <w:kern w:val="0"/>
                <w:sz w:val="20"/>
                <w:szCs w:val="20"/>
              </w:rPr>
              <w:t>2</w:t>
            </w:r>
            <w:r>
              <w:rPr>
                <w:rFonts w:ascii="宋体" w:hAnsi="宋体" w:cs="宋体" w:hint="eastAsia"/>
                <w:color w:val="000000"/>
                <w:kern w:val="0"/>
                <w:sz w:val="20"/>
                <w:szCs w:val="20"/>
              </w:rPr>
              <w:t>条街道，解决群众出行困难的问题。</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使用微实事专项资金完成修缮</w:t>
            </w:r>
            <w:r>
              <w:rPr>
                <w:rFonts w:ascii="宋体" w:hAnsi="宋体" w:cs="宋体" w:hint="eastAsia"/>
                <w:color w:val="000000"/>
                <w:kern w:val="0"/>
                <w:sz w:val="20"/>
                <w:szCs w:val="20"/>
              </w:rPr>
              <w:t>2</w:t>
            </w:r>
            <w:r>
              <w:rPr>
                <w:rFonts w:ascii="宋体" w:hAnsi="宋体" w:cs="宋体" w:hint="eastAsia"/>
                <w:color w:val="000000"/>
                <w:kern w:val="0"/>
                <w:sz w:val="20"/>
                <w:szCs w:val="20"/>
              </w:rPr>
              <w:t>条街道，解决了群众关心的重点问题。</w:t>
            </w:r>
          </w:p>
        </w:tc>
      </w:tr>
      <w:tr w:rsidR="00616379">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82"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资金涉及街道数量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资金涉及社区数量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修缮道路数量</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条</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条</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w:t>
            </w:r>
            <w:r>
              <w:rPr>
                <w:rFonts w:ascii="宋体" w:hAnsi="宋体" w:cs="宋体" w:hint="eastAsia"/>
                <w:color w:val="000000"/>
                <w:kern w:val="0"/>
                <w:sz w:val="20"/>
                <w:szCs w:val="20"/>
              </w:rPr>
              <w:lastRenderedPageBreak/>
              <w:t>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修缮道路每平方</w:t>
            </w:r>
            <w:r>
              <w:rPr>
                <w:rFonts w:ascii="宋体" w:hAnsi="宋体" w:cs="宋体" w:hint="eastAsia"/>
                <w:color w:val="000000"/>
                <w:kern w:val="0"/>
                <w:sz w:val="20"/>
                <w:szCs w:val="20"/>
              </w:rPr>
              <w:lastRenderedPageBreak/>
              <w:t>米单价</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&lt;=72</w:t>
            </w:r>
            <w:r>
              <w:rPr>
                <w:rFonts w:ascii="宋体" w:hAnsi="宋体" w:cs="宋体" w:hint="eastAsia"/>
                <w:color w:val="000000"/>
                <w:kern w:val="0"/>
                <w:sz w:val="20"/>
                <w:szCs w:val="20"/>
              </w:rPr>
              <w:lastRenderedPageBreak/>
              <w:t>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=72</w:t>
            </w:r>
            <w:r>
              <w:rPr>
                <w:rFonts w:ascii="宋体" w:hAnsi="宋体" w:cs="宋体" w:hint="eastAsia"/>
                <w:color w:val="000000"/>
                <w:kern w:val="0"/>
                <w:sz w:val="20"/>
                <w:szCs w:val="20"/>
              </w:rPr>
              <w:t>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改善群众出行难问题</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受益人群满意度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600"/>
        <w:gridCol w:w="1275"/>
        <w:gridCol w:w="212"/>
        <w:gridCol w:w="905"/>
        <w:gridCol w:w="565"/>
        <w:gridCol w:w="812"/>
        <w:gridCol w:w="790"/>
        <w:gridCol w:w="254"/>
        <w:gridCol w:w="409"/>
        <w:gridCol w:w="265"/>
        <w:gridCol w:w="553"/>
        <w:gridCol w:w="404"/>
        <w:gridCol w:w="755"/>
      </w:tblGrid>
      <w:tr w:rsidR="00616379">
        <w:trPr>
          <w:trHeight w:val="288"/>
          <w:jc w:val="center"/>
        </w:trPr>
        <w:tc>
          <w:tcPr>
            <w:tcW w:w="8300" w:type="dxa"/>
            <w:gridSpan w:val="14"/>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trHeight w:val="288"/>
          <w:jc w:val="center"/>
        </w:trPr>
        <w:tc>
          <w:tcPr>
            <w:tcW w:w="8300" w:type="dxa"/>
            <w:gridSpan w:val="14"/>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trHeight w:val="288"/>
          <w:jc w:val="center"/>
        </w:trPr>
        <w:tc>
          <w:tcPr>
            <w:tcW w:w="1101"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199" w:type="dxa"/>
            <w:gridSpan w:val="1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年全国文明城市创建工作经费</w:t>
            </w:r>
          </w:p>
        </w:tc>
      </w:tr>
      <w:tr w:rsidR="00616379">
        <w:trPr>
          <w:trHeight w:val="288"/>
          <w:jc w:val="center"/>
        </w:trPr>
        <w:tc>
          <w:tcPr>
            <w:tcW w:w="1101"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769" w:type="dxa"/>
            <w:gridSpan w:val="5"/>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4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86" w:type="dxa"/>
            <w:gridSpan w:val="5"/>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trHeight w:val="480"/>
          <w:jc w:val="center"/>
        </w:trPr>
        <w:tc>
          <w:tcPr>
            <w:tcW w:w="1101"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487"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7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4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7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5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5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trHeight w:val="440"/>
          <w:jc w:val="center"/>
        </w:trPr>
        <w:tc>
          <w:tcPr>
            <w:tcW w:w="1101" w:type="dxa"/>
            <w:gridSpan w:val="2"/>
            <w:vMerge/>
            <w:vAlign w:val="center"/>
          </w:tcPr>
          <w:p w:rsidR="00616379" w:rsidRDefault="00616379">
            <w:pPr>
              <w:widowControl/>
              <w:jc w:val="left"/>
              <w:rPr>
                <w:rFonts w:ascii="宋体" w:hAnsi="宋体" w:cs="宋体"/>
                <w:color w:val="000000"/>
                <w:kern w:val="0"/>
                <w:sz w:val="20"/>
                <w:szCs w:val="20"/>
              </w:rPr>
            </w:pPr>
          </w:p>
        </w:tc>
        <w:tc>
          <w:tcPr>
            <w:tcW w:w="148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137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104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7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16379">
        <w:trPr>
          <w:trHeight w:val="440"/>
          <w:jc w:val="center"/>
        </w:trPr>
        <w:tc>
          <w:tcPr>
            <w:tcW w:w="1101" w:type="dxa"/>
            <w:gridSpan w:val="2"/>
            <w:vMerge/>
            <w:vAlign w:val="center"/>
          </w:tcPr>
          <w:p w:rsidR="00616379" w:rsidRDefault="00616379">
            <w:pPr>
              <w:widowControl/>
              <w:jc w:val="left"/>
              <w:rPr>
                <w:rFonts w:ascii="宋体" w:hAnsi="宋体" w:cs="宋体"/>
                <w:color w:val="000000"/>
                <w:kern w:val="0"/>
                <w:sz w:val="20"/>
                <w:szCs w:val="20"/>
              </w:rPr>
            </w:pPr>
          </w:p>
        </w:tc>
        <w:tc>
          <w:tcPr>
            <w:tcW w:w="148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137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104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7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440"/>
          <w:jc w:val="center"/>
        </w:trPr>
        <w:tc>
          <w:tcPr>
            <w:tcW w:w="1101" w:type="dxa"/>
            <w:gridSpan w:val="2"/>
            <w:vMerge/>
            <w:vAlign w:val="center"/>
          </w:tcPr>
          <w:p w:rsidR="00616379" w:rsidRDefault="00616379">
            <w:pPr>
              <w:widowControl/>
              <w:jc w:val="left"/>
              <w:rPr>
                <w:rFonts w:ascii="宋体" w:hAnsi="宋体" w:cs="宋体"/>
                <w:color w:val="000000"/>
                <w:kern w:val="0"/>
                <w:sz w:val="20"/>
                <w:szCs w:val="20"/>
              </w:rPr>
            </w:pPr>
          </w:p>
        </w:tc>
        <w:tc>
          <w:tcPr>
            <w:tcW w:w="148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7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4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4"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7"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288"/>
          <w:jc w:val="center"/>
        </w:trPr>
        <w:tc>
          <w:tcPr>
            <w:tcW w:w="501"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69" w:type="dxa"/>
            <w:gridSpan w:val="6"/>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430" w:type="dxa"/>
            <w:gridSpan w:val="7"/>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trHeight w:val="54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4369" w:type="dxa"/>
            <w:gridSpan w:val="6"/>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该笔资金覆盖街道和</w:t>
            </w:r>
            <w:r>
              <w:rPr>
                <w:rFonts w:ascii="宋体" w:hAnsi="宋体" w:cs="宋体" w:hint="eastAsia"/>
                <w:color w:val="000000"/>
                <w:kern w:val="0"/>
                <w:sz w:val="20"/>
                <w:szCs w:val="20"/>
              </w:rPr>
              <w:t>14</w:t>
            </w:r>
            <w:r>
              <w:rPr>
                <w:rFonts w:ascii="宋体" w:hAnsi="宋体" w:cs="宋体" w:hint="eastAsia"/>
                <w:color w:val="000000"/>
                <w:kern w:val="0"/>
                <w:sz w:val="20"/>
                <w:szCs w:val="20"/>
              </w:rPr>
              <w:t>个社区，共计</w:t>
            </w:r>
            <w:r>
              <w:rPr>
                <w:rFonts w:ascii="宋体" w:hAnsi="宋体" w:cs="宋体" w:hint="eastAsia"/>
                <w:color w:val="000000"/>
                <w:kern w:val="0"/>
                <w:sz w:val="20"/>
                <w:szCs w:val="20"/>
              </w:rPr>
              <w:t>5</w:t>
            </w:r>
            <w:r>
              <w:rPr>
                <w:rFonts w:ascii="宋体" w:hAnsi="宋体" w:cs="宋体" w:hint="eastAsia"/>
                <w:color w:val="000000"/>
                <w:kern w:val="0"/>
                <w:sz w:val="20"/>
                <w:szCs w:val="20"/>
              </w:rPr>
              <w:t>万元，各社区和街道各</w:t>
            </w:r>
            <w:r>
              <w:rPr>
                <w:rFonts w:ascii="宋体" w:hAnsi="宋体" w:cs="宋体" w:hint="eastAsia"/>
                <w:color w:val="000000"/>
                <w:kern w:val="0"/>
                <w:sz w:val="20"/>
                <w:szCs w:val="20"/>
              </w:rPr>
              <w:t>0.33</w:t>
            </w:r>
            <w:r>
              <w:rPr>
                <w:rFonts w:ascii="宋体" w:hAnsi="宋体" w:cs="宋体" w:hint="eastAsia"/>
                <w:color w:val="000000"/>
                <w:kern w:val="0"/>
                <w:sz w:val="20"/>
                <w:szCs w:val="20"/>
              </w:rPr>
              <w:t>万元充分保障全国文明城市复验推进工作所涉及的人、财、物等方面的需求，制作及购买材料质量合格率</w:t>
            </w:r>
            <w:r>
              <w:rPr>
                <w:rFonts w:ascii="宋体" w:hAnsi="宋体" w:cs="宋体" w:hint="eastAsia"/>
                <w:color w:val="000000"/>
                <w:kern w:val="0"/>
                <w:sz w:val="20"/>
                <w:szCs w:val="20"/>
              </w:rPr>
              <w:t>100%</w:t>
            </w:r>
            <w:r>
              <w:rPr>
                <w:rFonts w:ascii="宋体" w:hAnsi="宋体" w:cs="宋体" w:hint="eastAsia"/>
                <w:color w:val="000000"/>
                <w:kern w:val="0"/>
                <w:sz w:val="20"/>
                <w:szCs w:val="20"/>
              </w:rPr>
              <w:t>，提升市民文明素质及群众生活质量。</w:t>
            </w:r>
          </w:p>
        </w:tc>
        <w:tc>
          <w:tcPr>
            <w:tcW w:w="3430" w:type="dxa"/>
            <w:gridSpan w:val="7"/>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北京南路街道办事处积极响应市政府号召，利用创城经费对辖区环境问题进行整改，积极组织工作人员对辖区内环境进行监督整治，提高了辖区内城市环境整洁，提升市民文明素质及群众生活质量。</w:t>
            </w:r>
          </w:p>
        </w:tc>
      </w:tr>
      <w:tr w:rsidR="00616379">
        <w:trPr>
          <w:trHeight w:val="312"/>
          <w:jc w:val="center"/>
        </w:trPr>
        <w:tc>
          <w:tcPr>
            <w:tcW w:w="501" w:type="dxa"/>
            <w:vMerge w:val="restart"/>
            <w:shd w:val="clear" w:color="auto" w:fill="auto"/>
            <w:vAlign w:val="center"/>
          </w:tcPr>
          <w:p w:rsidR="00616379" w:rsidRDefault="00616379">
            <w:pPr>
              <w:widowControl/>
              <w:jc w:val="left"/>
              <w:rPr>
                <w:rFonts w:ascii="宋体" w:hAnsi="宋体" w:cs="宋体"/>
                <w:color w:val="000000"/>
                <w:kern w:val="0"/>
                <w:sz w:val="20"/>
                <w:szCs w:val="20"/>
              </w:rPr>
            </w:pPr>
          </w:p>
        </w:tc>
        <w:tc>
          <w:tcPr>
            <w:tcW w:w="60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275"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82" w:type="dxa"/>
            <w:gridSpan w:val="3"/>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2"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9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63"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8"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59"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312"/>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vMerge/>
            <w:vAlign w:val="center"/>
          </w:tcPr>
          <w:p w:rsidR="00616379" w:rsidRDefault="00616379">
            <w:pPr>
              <w:widowControl/>
              <w:jc w:val="left"/>
              <w:rPr>
                <w:rFonts w:ascii="宋体" w:hAnsi="宋体" w:cs="宋体"/>
                <w:color w:val="000000"/>
                <w:kern w:val="0"/>
                <w:sz w:val="20"/>
                <w:szCs w:val="20"/>
              </w:rPr>
            </w:pPr>
          </w:p>
        </w:tc>
        <w:tc>
          <w:tcPr>
            <w:tcW w:w="1682" w:type="dxa"/>
            <w:gridSpan w:val="3"/>
            <w:vMerge/>
            <w:vAlign w:val="center"/>
          </w:tcPr>
          <w:p w:rsidR="00616379" w:rsidRDefault="00616379">
            <w:pPr>
              <w:widowControl/>
              <w:jc w:val="left"/>
              <w:rPr>
                <w:rFonts w:ascii="宋体" w:hAnsi="宋体" w:cs="宋体"/>
                <w:color w:val="000000"/>
                <w:kern w:val="0"/>
                <w:sz w:val="20"/>
                <w:szCs w:val="20"/>
              </w:rPr>
            </w:pPr>
          </w:p>
        </w:tc>
        <w:tc>
          <w:tcPr>
            <w:tcW w:w="812" w:type="dxa"/>
            <w:vMerge/>
            <w:vAlign w:val="center"/>
          </w:tcPr>
          <w:p w:rsidR="00616379" w:rsidRDefault="00616379">
            <w:pPr>
              <w:widowControl/>
              <w:jc w:val="left"/>
              <w:rPr>
                <w:rFonts w:ascii="宋体" w:hAnsi="宋体" w:cs="宋体"/>
                <w:color w:val="000000"/>
                <w:kern w:val="0"/>
                <w:sz w:val="20"/>
                <w:szCs w:val="20"/>
              </w:rPr>
            </w:pPr>
          </w:p>
        </w:tc>
        <w:tc>
          <w:tcPr>
            <w:tcW w:w="790" w:type="dxa"/>
            <w:vMerge/>
            <w:vAlign w:val="center"/>
          </w:tcPr>
          <w:p w:rsidR="00616379" w:rsidRDefault="00616379">
            <w:pPr>
              <w:widowControl/>
              <w:jc w:val="left"/>
              <w:rPr>
                <w:rFonts w:ascii="宋体" w:hAnsi="宋体" w:cs="宋体"/>
                <w:color w:val="000000"/>
                <w:kern w:val="0"/>
                <w:sz w:val="20"/>
                <w:szCs w:val="20"/>
              </w:rPr>
            </w:pPr>
          </w:p>
        </w:tc>
        <w:tc>
          <w:tcPr>
            <w:tcW w:w="663" w:type="dxa"/>
            <w:gridSpan w:val="2"/>
            <w:vMerge/>
            <w:vAlign w:val="center"/>
          </w:tcPr>
          <w:p w:rsidR="00616379" w:rsidRDefault="00616379">
            <w:pPr>
              <w:widowControl/>
              <w:jc w:val="left"/>
              <w:rPr>
                <w:rFonts w:ascii="宋体" w:hAnsi="宋体" w:cs="宋体"/>
                <w:color w:val="000000"/>
                <w:kern w:val="0"/>
                <w:sz w:val="20"/>
                <w:szCs w:val="20"/>
              </w:rPr>
            </w:pPr>
          </w:p>
        </w:tc>
        <w:tc>
          <w:tcPr>
            <w:tcW w:w="818" w:type="dxa"/>
            <w:gridSpan w:val="2"/>
            <w:vMerge/>
            <w:vAlign w:val="center"/>
          </w:tcPr>
          <w:p w:rsidR="00616379" w:rsidRDefault="00616379">
            <w:pPr>
              <w:widowControl/>
              <w:jc w:val="left"/>
              <w:rPr>
                <w:rFonts w:ascii="宋体" w:hAnsi="宋体" w:cs="宋体"/>
                <w:color w:val="000000"/>
                <w:kern w:val="0"/>
                <w:sz w:val="20"/>
                <w:szCs w:val="20"/>
              </w:rPr>
            </w:pPr>
          </w:p>
        </w:tc>
        <w:tc>
          <w:tcPr>
            <w:tcW w:w="1159" w:type="dxa"/>
            <w:gridSpan w:val="2"/>
            <w:vMerge/>
            <w:vAlign w:val="center"/>
          </w:tcPr>
          <w:p w:rsidR="00616379" w:rsidRDefault="00616379">
            <w:pPr>
              <w:widowControl/>
              <w:jc w:val="left"/>
              <w:rPr>
                <w:rFonts w:ascii="宋体" w:hAnsi="宋体" w:cs="宋体"/>
                <w:color w:val="000000"/>
                <w:kern w:val="0"/>
                <w:sz w:val="20"/>
                <w:szCs w:val="20"/>
              </w:rPr>
            </w:pPr>
          </w:p>
        </w:tc>
      </w:tr>
      <w:tr w:rsidR="00616379">
        <w:trPr>
          <w:trHeight w:val="400"/>
          <w:jc w:val="center"/>
        </w:trPr>
        <w:tc>
          <w:tcPr>
            <w:tcW w:w="501"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60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数量指标</w:t>
            </w:r>
          </w:p>
        </w:tc>
        <w:tc>
          <w:tcPr>
            <w:tcW w:w="1682"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资金覆盖街道个数</w:t>
            </w:r>
          </w:p>
        </w:tc>
        <w:tc>
          <w:tcPr>
            <w:tcW w:w="812"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9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82"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w:t>
            </w:r>
            <w:r>
              <w:rPr>
                <w:rFonts w:ascii="宋体" w:hAnsi="宋体" w:cs="宋体" w:hint="eastAsia"/>
                <w:color w:val="000000"/>
                <w:kern w:val="0"/>
                <w:sz w:val="20"/>
                <w:szCs w:val="20"/>
              </w:rPr>
              <w:lastRenderedPageBreak/>
              <w:t>数</w:t>
            </w:r>
          </w:p>
        </w:tc>
        <w:tc>
          <w:tcPr>
            <w:tcW w:w="812"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=14</w:t>
            </w:r>
            <w:r>
              <w:rPr>
                <w:rFonts w:ascii="宋体" w:hAnsi="宋体" w:cs="宋体" w:hint="eastAsia"/>
                <w:color w:val="000000"/>
                <w:kern w:val="0"/>
                <w:sz w:val="20"/>
                <w:szCs w:val="20"/>
              </w:rPr>
              <w:t>个</w:t>
            </w:r>
          </w:p>
        </w:tc>
        <w:tc>
          <w:tcPr>
            <w:tcW w:w="79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82"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812"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82"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购买物品合格率</w:t>
            </w:r>
          </w:p>
        </w:tc>
        <w:tc>
          <w:tcPr>
            <w:tcW w:w="812"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82"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812"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82"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各社区创城工作经费</w:t>
            </w:r>
          </w:p>
        </w:tc>
        <w:tc>
          <w:tcPr>
            <w:tcW w:w="812"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=0.33</w:t>
            </w:r>
            <w:r>
              <w:rPr>
                <w:rFonts w:ascii="宋体" w:hAnsi="宋体" w:cs="宋体" w:hint="eastAsia"/>
                <w:color w:val="000000"/>
                <w:kern w:val="0"/>
                <w:sz w:val="20"/>
                <w:szCs w:val="20"/>
              </w:rPr>
              <w:t>万元</w:t>
            </w:r>
          </w:p>
        </w:tc>
        <w:tc>
          <w:tcPr>
            <w:tcW w:w="79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=0.33</w:t>
            </w:r>
            <w:r>
              <w:rPr>
                <w:rFonts w:ascii="宋体" w:hAnsi="宋体" w:cs="宋体" w:hint="eastAsia"/>
                <w:color w:val="000000"/>
                <w:kern w:val="0"/>
                <w:sz w:val="20"/>
                <w:szCs w:val="20"/>
              </w:rPr>
              <w:t>万元</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82"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shd w:val="clear" w:color="auto" w:fill="auto"/>
            <w:vAlign w:val="center"/>
          </w:tcPr>
          <w:p w:rsidR="00616379" w:rsidRDefault="00616379">
            <w:pPr>
              <w:widowControl/>
              <w:jc w:val="left"/>
              <w:rPr>
                <w:rFonts w:eastAsia="Times New Roman"/>
                <w:kern w:val="0"/>
                <w:sz w:val="20"/>
                <w:szCs w:val="20"/>
              </w:rPr>
            </w:pPr>
          </w:p>
        </w:tc>
        <w:tc>
          <w:tcPr>
            <w:tcW w:w="790" w:type="dxa"/>
            <w:shd w:val="clear" w:color="auto" w:fill="auto"/>
            <w:vAlign w:val="center"/>
          </w:tcPr>
          <w:p w:rsidR="00616379" w:rsidRDefault="00616379">
            <w:pPr>
              <w:widowControl/>
              <w:jc w:val="center"/>
              <w:rPr>
                <w:rFonts w:eastAsia="Times New Roman"/>
                <w:kern w:val="0"/>
                <w:sz w:val="20"/>
                <w:szCs w:val="20"/>
              </w:rPr>
            </w:pPr>
          </w:p>
        </w:tc>
        <w:tc>
          <w:tcPr>
            <w:tcW w:w="663" w:type="dxa"/>
            <w:gridSpan w:val="2"/>
            <w:shd w:val="clear" w:color="auto" w:fill="auto"/>
            <w:vAlign w:val="center"/>
          </w:tcPr>
          <w:p w:rsidR="00616379" w:rsidRDefault="00616379">
            <w:pPr>
              <w:widowControl/>
              <w:jc w:val="center"/>
              <w:rPr>
                <w:rFonts w:eastAsia="Times New Roman"/>
                <w:kern w:val="0"/>
                <w:sz w:val="20"/>
                <w:szCs w:val="20"/>
              </w:rPr>
            </w:pPr>
          </w:p>
        </w:tc>
        <w:tc>
          <w:tcPr>
            <w:tcW w:w="818" w:type="dxa"/>
            <w:gridSpan w:val="2"/>
            <w:shd w:val="clear" w:color="auto" w:fill="auto"/>
            <w:vAlign w:val="center"/>
          </w:tcPr>
          <w:p w:rsidR="00616379" w:rsidRDefault="00616379">
            <w:pPr>
              <w:widowControl/>
              <w:jc w:val="center"/>
              <w:rPr>
                <w:rFonts w:eastAsia="Times New Roman"/>
                <w:kern w:val="0"/>
                <w:sz w:val="20"/>
                <w:szCs w:val="20"/>
              </w:rPr>
            </w:pPr>
          </w:p>
        </w:tc>
        <w:tc>
          <w:tcPr>
            <w:tcW w:w="115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82"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shd w:val="clear" w:color="auto" w:fill="auto"/>
            <w:vAlign w:val="center"/>
          </w:tcPr>
          <w:p w:rsidR="00616379" w:rsidRDefault="00616379">
            <w:pPr>
              <w:widowControl/>
              <w:jc w:val="left"/>
              <w:rPr>
                <w:rFonts w:eastAsia="Times New Roman"/>
                <w:kern w:val="0"/>
                <w:sz w:val="20"/>
                <w:szCs w:val="20"/>
              </w:rPr>
            </w:pPr>
          </w:p>
        </w:tc>
        <w:tc>
          <w:tcPr>
            <w:tcW w:w="790" w:type="dxa"/>
            <w:shd w:val="clear" w:color="auto" w:fill="auto"/>
            <w:vAlign w:val="center"/>
          </w:tcPr>
          <w:p w:rsidR="00616379" w:rsidRDefault="00616379">
            <w:pPr>
              <w:widowControl/>
              <w:jc w:val="center"/>
              <w:rPr>
                <w:rFonts w:eastAsia="Times New Roman"/>
                <w:kern w:val="0"/>
                <w:sz w:val="20"/>
                <w:szCs w:val="20"/>
              </w:rPr>
            </w:pPr>
          </w:p>
        </w:tc>
        <w:tc>
          <w:tcPr>
            <w:tcW w:w="663" w:type="dxa"/>
            <w:gridSpan w:val="2"/>
            <w:shd w:val="clear" w:color="auto" w:fill="auto"/>
            <w:vAlign w:val="center"/>
          </w:tcPr>
          <w:p w:rsidR="00616379" w:rsidRDefault="00616379">
            <w:pPr>
              <w:widowControl/>
              <w:jc w:val="center"/>
              <w:rPr>
                <w:rFonts w:eastAsia="Times New Roman"/>
                <w:kern w:val="0"/>
                <w:sz w:val="20"/>
                <w:szCs w:val="20"/>
              </w:rPr>
            </w:pPr>
          </w:p>
        </w:tc>
        <w:tc>
          <w:tcPr>
            <w:tcW w:w="818" w:type="dxa"/>
            <w:gridSpan w:val="2"/>
            <w:shd w:val="clear" w:color="auto" w:fill="auto"/>
            <w:vAlign w:val="center"/>
          </w:tcPr>
          <w:p w:rsidR="00616379" w:rsidRDefault="00616379">
            <w:pPr>
              <w:widowControl/>
              <w:jc w:val="center"/>
              <w:rPr>
                <w:rFonts w:eastAsia="Times New Roman"/>
                <w:kern w:val="0"/>
                <w:sz w:val="20"/>
                <w:szCs w:val="20"/>
              </w:rPr>
            </w:pPr>
          </w:p>
        </w:tc>
        <w:tc>
          <w:tcPr>
            <w:tcW w:w="115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82"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shd w:val="clear" w:color="auto" w:fill="auto"/>
            <w:vAlign w:val="center"/>
          </w:tcPr>
          <w:p w:rsidR="00616379" w:rsidRDefault="00616379">
            <w:pPr>
              <w:widowControl/>
              <w:jc w:val="left"/>
              <w:rPr>
                <w:rFonts w:eastAsia="Times New Roman"/>
                <w:kern w:val="0"/>
                <w:sz w:val="20"/>
                <w:szCs w:val="20"/>
              </w:rPr>
            </w:pPr>
          </w:p>
        </w:tc>
        <w:tc>
          <w:tcPr>
            <w:tcW w:w="790" w:type="dxa"/>
            <w:shd w:val="clear" w:color="auto" w:fill="auto"/>
            <w:vAlign w:val="center"/>
          </w:tcPr>
          <w:p w:rsidR="00616379" w:rsidRDefault="00616379">
            <w:pPr>
              <w:widowControl/>
              <w:jc w:val="center"/>
              <w:rPr>
                <w:rFonts w:eastAsia="Times New Roman"/>
                <w:kern w:val="0"/>
                <w:sz w:val="20"/>
                <w:szCs w:val="20"/>
              </w:rPr>
            </w:pPr>
          </w:p>
        </w:tc>
        <w:tc>
          <w:tcPr>
            <w:tcW w:w="663" w:type="dxa"/>
            <w:gridSpan w:val="2"/>
            <w:shd w:val="clear" w:color="auto" w:fill="auto"/>
            <w:vAlign w:val="center"/>
          </w:tcPr>
          <w:p w:rsidR="00616379" w:rsidRDefault="00616379">
            <w:pPr>
              <w:widowControl/>
              <w:jc w:val="center"/>
              <w:rPr>
                <w:rFonts w:eastAsia="Times New Roman"/>
                <w:kern w:val="0"/>
                <w:sz w:val="20"/>
                <w:szCs w:val="20"/>
              </w:rPr>
            </w:pPr>
          </w:p>
        </w:tc>
        <w:tc>
          <w:tcPr>
            <w:tcW w:w="818" w:type="dxa"/>
            <w:gridSpan w:val="2"/>
            <w:shd w:val="clear" w:color="auto" w:fill="auto"/>
            <w:vAlign w:val="center"/>
          </w:tcPr>
          <w:p w:rsidR="00616379" w:rsidRDefault="00616379">
            <w:pPr>
              <w:widowControl/>
              <w:jc w:val="center"/>
              <w:rPr>
                <w:rFonts w:eastAsia="Times New Roman"/>
                <w:kern w:val="0"/>
                <w:sz w:val="20"/>
                <w:szCs w:val="20"/>
              </w:rPr>
            </w:pPr>
          </w:p>
        </w:tc>
        <w:tc>
          <w:tcPr>
            <w:tcW w:w="115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82"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提高工作人员积极性</w:t>
            </w:r>
          </w:p>
        </w:tc>
        <w:tc>
          <w:tcPr>
            <w:tcW w:w="812"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79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vMerge/>
            <w:vAlign w:val="center"/>
          </w:tcPr>
          <w:p w:rsidR="00616379" w:rsidRDefault="00616379">
            <w:pPr>
              <w:widowControl/>
              <w:jc w:val="left"/>
              <w:rPr>
                <w:rFonts w:ascii="宋体" w:hAnsi="宋体" w:cs="宋体"/>
                <w:color w:val="000000"/>
                <w:kern w:val="0"/>
                <w:sz w:val="20"/>
                <w:szCs w:val="20"/>
              </w:rPr>
            </w:pP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82"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shd w:val="clear" w:color="auto" w:fill="auto"/>
            <w:vAlign w:val="center"/>
          </w:tcPr>
          <w:p w:rsidR="00616379" w:rsidRDefault="00616379">
            <w:pPr>
              <w:widowControl/>
              <w:jc w:val="left"/>
              <w:rPr>
                <w:rFonts w:eastAsia="Times New Roman"/>
                <w:kern w:val="0"/>
                <w:sz w:val="20"/>
                <w:szCs w:val="20"/>
              </w:rPr>
            </w:pPr>
          </w:p>
        </w:tc>
        <w:tc>
          <w:tcPr>
            <w:tcW w:w="790" w:type="dxa"/>
            <w:shd w:val="clear" w:color="auto" w:fill="auto"/>
            <w:vAlign w:val="center"/>
          </w:tcPr>
          <w:p w:rsidR="00616379" w:rsidRDefault="00616379">
            <w:pPr>
              <w:widowControl/>
              <w:jc w:val="center"/>
              <w:rPr>
                <w:rFonts w:eastAsia="Times New Roman"/>
                <w:kern w:val="0"/>
                <w:sz w:val="20"/>
                <w:szCs w:val="20"/>
              </w:rPr>
            </w:pPr>
          </w:p>
        </w:tc>
        <w:tc>
          <w:tcPr>
            <w:tcW w:w="663" w:type="dxa"/>
            <w:gridSpan w:val="2"/>
            <w:shd w:val="clear" w:color="auto" w:fill="auto"/>
            <w:vAlign w:val="center"/>
          </w:tcPr>
          <w:p w:rsidR="00616379" w:rsidRDefault="00616379">
            <w:pPr>
              <w:widowControl/>
              <w:jc w:val="center"/>
              <w:rPr>
                <w:rFonts w:eastAsia="Times New Roman"/>
                <w:kern w:val="0"/>
                <w:sz w:val="20"/>
                <w:szCs w:val="20"/>
              </w:rPr>
            </w:pPr>
          </w:p>
        </w:tc>
        <w:tc>
          <w:tcPr>
            <w:tcW w:w="818" w:type="dxa"/>
            <w:gridSpan w:val="2"/>
            <w:shd w:val="clear" w:color="auto" w:fill="auto"/>
            <w:vAlign w:val="center"/>
          </w:tcPr>
          <w:p w:rsidR="00616379" w:rsidRDefault="00616379">
            <w:pPr>
              <w:widowControl/>
              <w:jc w:val="center"/>
              <w:rPr>
                <w:rFonts w:eastAsia="Times New Roman"/>
                <w:kern w:val="0"/>
                <w:sz w:val="20"/>
                <w:szCs w:val="20"/>
              </w:rPr>
            </w:pPr>
          </w:p>
        </w:tc>
        <w:tc>
          <w:tcPr>
            <w:tcW w:w="115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1" w:type="dxa"/>
            <w:vMerge/>
            <w:vAlign w:val="center"/>
          </w:tcPr>
          <w:p w:rsidR="00616379" w:rsidRDefault="00616379">
            <w:pPr>
              <w:widowControl/>
              <w:jc w:val="left"/>
              <w:rPr>
                <w:rFonts w:ascii="宋体" w:hAnsi="宋体" w:cs="宋体"/>
                <w:color w:val="000000"/>
                <w:kern w:val="0"/>
                <w:sz w:val="20"/>
                <w:szCs w:val="20"/>
              </w:rPr>
            </w:pPr>
          </w:p>
        </w:tc>
        <w:tc>
          <w:tcPr>
            <w:tcW w:w="60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5"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82"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12" w:type="dxa"/>
            <w:shd w:val="clear" w:color="auto" w:fill="auto"/>
            <w:vAlign w:val="center"/>
          </w:tcPr>
          <w:p w:rsidR="00616379" w:rsidRDefault="00616379">
            <w:pPr>
              <w:widowControl/>
              <w:jc w:val="left"/>
              <w:rPr>
                <w:rFonts w:eastAsia="Times New Roman"/>
                <w:kern w:val="0"/>
                <w:sz w:val="20"/>
                <w:szCs w:val="20"/>
              </w:rPr>
            </w:pPr>
          </w:p>
        </w:tc>
        <w:tc>
          <w:tcPr>
            <w:tcW w:w="790" w:type="dxa"/>
            <w:shd w:val="clear" w:color="auto" w:fill="auto"/>
            <w:vAlign w:val="center"/>
          </w:tcPr>
          <w:p w:rsidR="00616379" w:rsidRDefault="00616379">
            <w:pPr>
              <w:widowControl/>
              <w:jc w:val="center"/>
              <w:rPr>
                <w:rFonts w:eastAsia="Times New Roman"/>
                <w:kern w:val="0"/>
                <w:sz w:val="20"/>
                <w:szCs w:val="20"/>
              </w:rPr>
            </w:pPr>
          </w:p>
        </w:tc>
        <w:tc>
          <w:tcPr>
            <w:tcW w:w="663" w:type="dxa"/>
            <w:gridSpan w:val="2"/>
            <w:shd w:val="clear" w:color="auto" w:fill="auto"/>
            <w:vAlign w:val="center"/>
          </w:tcPr>
          <w:p w:rsidR="00616379" w:rsidRDefault="00616379">
            <w:pPr>
              <w:widowControl/>
              <w:jc w:val="center"/>
              <w:rPr>
                <w:rFonts w:eastAsia="Times New Roman"/>
                <w:kern w:val="0"/>
                <w:sz w:val="20"/>
                <w:szCs w:val="20"/>
              </w:rPr>
            </w:pPr>
          </w:p>
        </w:tc>
        <w:tc>
          <w:tcPr>
            <w:tcW w:w="818" w:type="dxa"/>
            <w:gridSpan w:val="2"/>
            <w:shd w:val="clear" w:color="auto" w:fill="auto"/>
            <w:vAlign w:val="center"/>
          </w:tcPr>
          <w:p w:rsidR="00616379" w:rsidRDefault="00616379">
            <w:pPr>
              <w:widowControl/>
              <w:jc w:val="center"/>
              <w:rPr>
                <w:rFonts w:eastAsia="Times New Roman"/>
                <w:kern w:val="0"/>
                <w:sz w:val="20"/>
                <w:szCs w:val="20"/>
              </w:rPr>
            </w:pPr>
          </w:p>
        </w:tc>
        <w:tc>
          <w:tcPr>
            <w:tcW w:w="115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288"/>
          <w:jc w:val="center"/>
        </w:trPr>
        <w:tc>
          <w:tcPr>
            <w:tcW w:w="5660" w:type="dxa"/>
            <w:gridSpan w:val="8"/>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63"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5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90"/>
        <w:gridCol w:w="490"/>
        <w:gridCol w:w="1113"/>
        <w:gridCol w:w="468"/>
        <w:gridCol w:w="905"/>
        <w:gridCol w:w="565"/>
        <w:gridCol w:w="887"/>
        <w:gridCol w:w="781"/>
        <w:gridCol w:w="242"/>
        <w:gridCol w:w="403"/>
        <w:gridCol w:w="254"/>
        <w:gridCol w:w="553"/>
        <w:gridCol w:w="399"/>
        <w:gridCol w:w="750"/>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2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年亚中社区、油运社区电子大屏安装项目</w:t>
            </w:r>
          </w:p>
        </w:tc>
      </w:tr>
      <w:tr w:rsidR="00616379">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9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9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9.66</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9.66</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9.66</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16379">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9.66</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9.66</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9.66</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为化解亚中社区、油运社区电子大屏安装项目的中小企业欠款，昌吉市商务工信局和财政局协调一部分财政资金用于行政事业单位化解中小企业欠款。亚中社区、油运社区在建设电子大屏过程中欠昌吉市锐步</w:t>
            </w:r>
            <w:r>
              <w:rPr>
                <w:rFonts w:ascii="宋体" w:hAnsi="宋体" w:cs="宋体" w:hint="eastAsia"/>
                <w:color w:val="000000"/>
                <w:kern w:val="0"/>
                <w:sz w:val="20"/>
                <w:szCs w:val="20"/>
              </w:rPr>
              <w:t>9.66</w:t>
            </w:r>
            <w:r>
              <w:rPr>
                <w:rFonts w:ascii="宋体" w:hAnsi="宋体" w:cs="宋体" w:hint="eastAsia"/>
                <w:color w:val="000000"/>
                <w:kern w:val="0"/>
                <w:sz w:val="20"/>
                <w:szCs w:val="20"/>
              </w:rPr>
              <w:t>万元，现予以清偿。</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化解了亚中社区、油运社区电子大屏安装项目的中小企业欠款，亚中社区、油运社区在建设电子大屏过程中欠昌吉市锐步科技</w:t>
            </w:r>
            <w:r>
              <w:rPr>
                <w:rFonts w:ascii="宋体" w:hAnsi="宋体" w:cs="宋体" w:hint="eastAsia"/>
                <w:color w:val="000000"/>
                <w:kern w:val="0"/>
                <w:sz w:val="20"/>
                <w:szCs w:val="20"/>
              </w:rPr>
              <w:t>9.66</w:t>
            </w:r>
            <w:r>
              <w:rPr>
                <w:rFonts w:ascii="宋体" w:hAnsi="宋体" w:cs="宋体" w:hint="eastAsia"/>
                <w:color w:val="000000"/>
                <w:kern w:val="0"/>
                <w:sz w:val="20"/>
                <w:szCs w:val="20"/>
              </w:rPr>
              <w:t>万元，已经全部支付完毕。</w:t>
            </w:r>
          </w:p>
        </w:tc>
      </w:tr>
      <w:tr w:rsidR="00616379">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3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38"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资金覆盖街道个数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亚中社区资金投入金额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&lt;=5.27</w:t>
            </w:r>
            <w:r>
              <w:rPr>
                <w:rFonts w:ascii="宋体" w:hAnsi="宋体" w:cs="宋体" w:hint="eastAsia"/>
                <w:color w:val="000000"/>
                <w:kern w:val="0"/>
                <w:sz w:val="20"/>
                <w:szCs w:val="20"/>
              </w:rPr>
              <w:t>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=5.27</w:t>
            </w:r>
            <w:r>
              <w:rPr>
                <w:rFonts w:ascii="宋体" w:hAnsi="宋体" w:cs="宋体" w:hint="eastAsia"/>
                <w:color w:val="000000"/>
                <w:kern w:val="0"/>
                <w:sz w:val="20"/>
                <w:szCs w:val="20"/>
              </w:rPr>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油运社区资金投入金额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&lt;=4.39</w:t>
            </w:r>
            <w:r>
              <w:rPr>
                <w:rFonts w:ascii="宋体" w:hAnsi="宋体" w:cs="宋体" w:hint="eastAsia"/>
                <w:color w:val="000000"/>
                <w:kern w:val="0"/>
                <w:sz w:val="20"/>
                <w:szCs w:val="20"/>
              </w:rPr>
              <w:t>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=4.39</w:t>
            </w:r>
            <w:r>
              <w:rPr>
                <w:rFonts w:ascii="宋体" w:hAnsi="宋体" w:cs="宋体" w:hint="eastAsia"/>
                <w:color w:val="000000"/>
                <w:kern w:val="0"/>
                <w:sz w:val="20"/>
                <w:szCs w:val="20"/>
              </w:rPr>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保障社区工作运转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工作人员满意度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6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29"/>
        <w:gridCol w:w="672"/>
        <w:gridCol w:w="1559"/>
        <w:gridCol w:w="83"/>
        <w:gridCol w:w="1276"/>
        <w:gridCol w:w="615"/>
        <w:gridCol w:w="730"/>
        <w:gridCol w:w="726"/>
        <w:gridCol w:w="169"/>
        <w:gridCol w:w="369"/>
        <w:gridCol w:w="207"/>
        <w:gridCol w:w="522"/>
        <w:gridCol w:w="320"/>
        <w:gridCol w:w="623"/>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年自治区“为民办实事”驻村工作个人补助专项经费</w:t>
            </w:r>
            <w:r>
              <w:rPr>
                <w:rFonts w:ascii="宋体" w:hAnsi="宋体" w:cs="宋体" w:hint="eastAsia"/>
                <w:color w:val="000000"/>
                <w:kern w:val="0"/>
                <w:sz w:val="20"/>
                <w:szCs w:val="20"/>
              </w:rPr>
              <w:t>(</w:t>
            </w:r>
            <w:r>
              <w:rPr>
                <w:rFonts w:ascii="宋体" w:hAnsi="宋体" w:cs="宋体" w:hint="eastAsia"/>
                <w:color w:val="000000"/>
                <w:kern w:val="0"/>
                <w:sz w:val="20"/>
                <w:szCs w:val="20"/>
              </w:rPr>
              <w:t>上半年）</w:t>
            </w:r>
          </w:p>
        </w:tc>
      </w:tr>
      <w:tr w:rsidR="00616379">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26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0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19.93</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19.93</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14.78</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74.16%</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3.54</w:t>
            </w:r>
          </w:p>
        </w:tc>
      </w:tr>
      <w:tr w:rsidR="00616379">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19.93</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19.93</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14.78</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49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93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35"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”驻村干部提标生活补助</w:t>
            </w:r>
            <w:r>
              <w:rPr>
                <w:rFonts w:ascii="宋体" w:hAnsi="宋体" w:cs="宋体" w:hint="eastAsia"/>
                <w:color w:val="000000"/>
                <w:kern w:val="0"/>
                <w:sz w:val="20"/>
                <w:szCs w:val="20"/>
              </w:rPr>
              <w:t>19.93</w:t>
            </w:r>
            <w:r>
              <w:rPr>
                <w:rFonts w:ascii="宋体" w:hAnsi="宋体" w:cs="宋体" w:hint="eastAsia"/>
                <w:color w:val="000000"/>
                <w:kern w:val="0"/>
                <w:sz w:val="20"/>
                <w:szCs w:val="20"/>
              </w:rPr>
              <w:t>万元，按时发放“</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”驻社区干部</w:t>
            </w:r>
            <w:r>
              <w:rPr>
                <w:rFonts w:ascii="宋体" w:hAnsi="宋体" w:cs="宋体" w:hint="eastAsia"/>
                <w:color w:val="000000"/>
                <w:kern w:val="0"/>
                <w:sz w:val="20"/>
                <w:szCs w:val="20"/>
              </w:rPr>
              <w:t>32</w:t>
            </w:r>
            <w:r>
              <w:rPr>
                <w:rFonts w:ascii="宋体" w:hAnsi="宋体" w:cs="宋体" w:hint="eastAsia"/>
                <w:color w:val="000000"/>
                <w:kern w:val="0"/>
                <w:sz w:val="20"/>
                <w:szCs w:val="20"/>
              </w:rPr>
              <w:t>人生活补助，提高“</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”工作队员积极性，提高居民服务水平，保障社区“</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”工作队扎根基层，为居民更好服务。当年服务群众每天不少于</w:t>
            </w:r>
            <w:r>
              <w:rPr>
                <w:rFonts w:ascii="宋体" w:hAnsi="宋体" w:cs="宋体" w:hint="eastAsia"/>
                <w:color w:val="000000"/>
                <w:kern w:val="0"/>
                <w:sz w:val="20"/>
                <w:szCs w:val="20"/>
              </w:rPr>
              <w:t>150</w:t>
            </w:r>
            <w:r>
              <w:rPr>
                <w:rFonts w:ascii="宋体" w:hAnsi="宋体" w:cs="宋体" w:hint="eastAsia"/>
                <w:color w:val="000000"/>
                <w:kern w:val="0"/>
                <w:sz w:val="20"/>
                <w:szCs w:val="20"/>
              </w:rPr>
              <w:t>人，得到群众认可率要达到</w:t>
            </w:r>
            <w:r>
              <w:rPr>
                <w:rFonts w:ascii="宋体" w:hAnsi="宋体" w:cs="宋体" w:hint="eastAsia"/>
                <w:color w:val="000000"/>
                <w:kern w:val="0"/>
                <w:sz w:val="20"/>
                <w:szCs w:val="20"/>
              </w:rPr>
              <w:t>90%</w:t>
            </w:r>
            <w:r>
              <w:rPr>
                <w:rFonts w:ascii="宋体" w:hAnsi="宋体" w:cs="宋体" w:hint="eastAsia"/>
                <w:color w:val="000000"/>
                <w:kern w:val="0"/>
                <w:sz w:val="20"/>
                <w:szCs w:val="20"/>
              </w:rPr>
              <w:t>，群众满意率</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936"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及时发放“</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”驻社区干部</w:t>
            </w:r>
            <w:r>
              <w:rPr>
                <w:rFonts w:ascii="宋体" w:hAnsi="宋体" w:cs="宋体" w:hint="eastAsia"/>
                <w:color w:val="000000"/>
                <w:kern w:val="0"/>
                <w:sz w:val="20"/>
                <w:szCs w:val="20"/>
              </w:rPr>
              <w:t>32</w:t>
            </w:r>
            <w:r>
              <w:rPr>
                <w:rFonts w:ascii="宋体" w:hAnsi="宋体" w:cs="宋体" w:hint="eastAsia"/>
                <w:color w:val="000000"/>
                <w:kern w:val="0"/>
                <w:sz w:val="20"/>
                <w:szCs w:val="20"/>
              </w:rPr>
              <w:t>人生活补助，提高“</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”工作队员积极性，提高居民服务水平，保障社区“</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”工作队扎根基层，为居民更好服务。</w:t>
            </w:r>
          </w:p>
        </w:tc>
      </w:tr>
      <w:tr w:rsidR="00616379">
        <w:trPr>
          <w:gridAfter w:val="1"/>
          <w:wAfter w:w="222" w:type="dxa"/>
          <w:trHeight w:val="312"/>
          <w:jc w:val="center"/>
        </w:trPr>
        <w:tc>
          <w:tcPr>
            <w:tcW w:w="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7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74"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2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3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2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4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”工作队人数</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r>
              <w:rPr>
                <w:rFonts w:ascii="宋体" w:hAnsi="宋体" w:cs="宋体" w:hint="eastAsia"/>
                <w:color w:val="000000"/>
                <w:kern w:val="0"/>
                <w:sz w:val="20"/>
                <w:szCs w:val="20"/>
              </w:rPr>
              <w:t>人</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r>
              <w:rPr>
                <w:rFonts w:ascii="宋体" w:hAnsi="宋体" w:cs="宋体" w:hint="eastAsia"/>
                <w:color w:val="000000"/>
                <w:kern w:val="0"/>
                <w:sz w:val="20"/>
                <w:szCs w:val="20"/>
              </w:rPr>
              <w:t>人</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经费覆盖社区个数</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补助发放及时率</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5C647C">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为民办实事驻社区干部提标补助人均金额</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r>
              <w:rPr>
                <w:rFonts w:ascii="宋体" w:hAnsi="宋体" w:cs="宋体" w:hint="eastAsia"/>
                <w:color w:val="000000"/>
                <w:kern w:val="0"/>
                <w:sz w:val="20"/>
                <w:szCs w:val="20"/>
              </w:rPr>
              <w:t>万元</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=0.46</w:t>
            </w:r>
            <w:r>
              <w:rPr>
                <w:rFonts w:ascii="宋体" w:hAnsi="宋体" w:cs="宋体" w:hint="eastAsia"/>
                <w:color w:val="000000"/>
                <w:kern w:val="0"/>
                <w:sz w:val="20"/>
                <w:szCs w:val="20"/>
              </w:rPr>
              <w:t>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按照自治区资金发放要求，</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sidR="005C647C">
              <w:rPr>
                <w:rFonts w:ascii="宋体" w:hAnsi="宋体" w:cs="宋体" w:hint="eastAsia"/>
                <w:color w:val="000000"/>
                <w:kern w:val="0"/>
                <w:sz w:val="20"/>
                <w:szCs w:val="20"/>
              </w:rPr>
              <w:t>为民办实事</w:t>
            </w:r>
            <w:r>
              <w:rPr>
                <w:rFonts w:ascii="宋体" w:hAnsi="宋体" w:cs="宋体" w:hint="eastAsia"/>
                <w:color w:val="000000"/>
                <w:kern w:val="0"/>
                <w:sz w:val="20"/>
                <w:szCs w:val="20"/>
              </w:rPr>
              <w:t>人员补贴只发放了</w:t>
            </w:r>
            <w:r>
              <w:rPr>
                <w:rFonts w:ascii="宋体" w:hAnsi="宋体" w:cs="宋体" w:hint="eastAsia"/>
                <w:color w:val="000000"/>
                <w:kern w:val="0"/>
                <w:sz w:val="20"/>
                <w:szCs w:val="20"/>
              </w:rPr>
              <w:t>4</w:t>
            </w:r>
            <w:r>
              <w:rPr>
                <w:rFonts w:ascii="宋体" w:hAnsi="宋体" w:cs="宋体" w:hint="eastAsia"/>
                <w:color w:val="000000"/>
                <w:kern w:val="0"/>
                <w:sz w:val="20"/>
                <w:szCs w:val="20"/>
              </w:rPr>
              <w:t>个月，所以人均金额比预期减少。</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有效提高公共服务水平</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5C647C">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为民办实事驻社区干部满意度</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60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80.54</w:t>
            </w:r>
            <w:r>
              <w:rPr>
                <w:rFonts w:ascii="宋体" w:hAnsi="宋体" w:cs="宋体" w:hint="eastAsia"/>
                <w:color w:val="000000"/>
                <w:kern w:val="0"/>
                <w:sz w:val="20"/>
                <w:szCs w:val="20"/>
              </w:rPr>
              <w:t>分</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514"/>
        <w:gridCol w:w="514"/>
        <w:gridCol w:w="1490"/>
        <w:gridCol w:w="108"/>
        <w:gridCol w:w="905"/>
        <w:gridCol w:w="565"/>
        <w:gridCol w:w="828"/>
        <w:gridCol w:w="802"/>
        <w:gridCol w:w="270"/>
        <w:gridCol w:w="418"/>
        <w:gridCol w:w="307"/>
        <w:gridCol w:w="523"/>
        <w:gridCol w:w="377"/>
        <w:gridCol w:w="679"/>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0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27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办公经费及综治办办公经费</w:t>
            </w:r>
          </w:p>
        </w:tc>
      </w:tr>
      <w:tr w:rsidR="00616379">
        <w:trPr>
          <w:gridAfter w:val="1"/>
          <w:wAfter w:w="222" w:type="dxa"/>
          <w:trHeight w:val="288"/>
          <w:jc w:val="center"/>
        </w:trPr>
        <w:tc>
          <w:tcPr>
            <w:tcW w:w="10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89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0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0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02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16.43</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82.15%</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5.54</w:t>
            </w:r>
          </w:p>
        </w:tc>
      </w:tr>
      <w:tr w:rsidR="00616379">
        <w:trPr>
          <w:gridAfter w:val="1"/>
          <w:wAfter w:w="222" w:type="dxa"/>
          <w:trHeight w:val="440"/>
          <w:jc w:val="center"/>
        </w:trPr>
        <w:tc>
          <w:tcPr>
            <w:tcW w:w="102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16.43</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02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4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7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410"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本年度计划投入街道办办公经费</w:t>
            </w:r>
            <w:r>
              <w:rPr>
                <w:rFonts w:ascii="宋体" w:hAnsi="宋体" w:cs="宋体" w:hint="eastAsia"/>
                <w:color w:val="000000"/>
                <w:kern w:val="0"/>
                <w:sz w:val="20"/>
                <w:szCs w:val="20"/>
              </w:rPr>
              <w:t>10</w:t>
            </w:r>
            <w:r>
              <w:rPr>
                <w:rFonts w:ascii="宋体" w:hAnsi="宋体" w:cs="宋体" w:hint="eastAsia"/>
                <w:color w:val="000000"/>
                <w:kern w:val="0"/>
                <w:sz w:val="20"/>
                <w:szCs w:val="20"/>
              </w:rPr>
              <w:t>万元，综治办办公经费</w:t>
            </w:r>
            <w:r>
              <w:rPr>
                <w:rFonts w:ascii="宋体" w:hAnsi="宋体" w:cs="宋体" w:hint="eastAsia"/>
                <w:color w:val="000000"/>
                <w:kern w:val="0"/>
                <w:sz w:val="20"/>
                <w:szCs w:val="20"/>
              </w:rPr>
              <w:t>10</w:t>
            </w:r>
            <w:r>
              <w:rPr>
                <w:rFonts w:ascii="宋体" w:hAnsi="宋体" w:cs="宋体" w:hint="eastAsia"/>
                <w:color w:val="000000"/>
                <w:kern w:val="0"/>
                <w:sz w:val="20"/>
                <w:szCs w:val="20"/>
              </w:rPr>
              <w:t>万元，要做到专款专用用于办公各项支出，基本保障街道和综治办的支出，不断完善街道运行机制，提高工作人员积极性，提高工作效率。</w:t>
            </w:r>
          </w:p>
        </w:tc>
        <w:tc>
          <w:tcPr>
            <w:tcW w:w="3376"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办公经费和综治工作经费共计</w:t>
            </w:r>
            <w:r>
              <w:rPr>
                <w:rFonts w:ascii="宋体" w:hAnsi="宋体" w:cs="宋体" w:hint="eastAsia"/>
                <w:color w:val="000000"/>
                <w:kern w:val="0"/>
                <w:sz w:val="20"/>
                <w:szCs w:val="20"/>
              </w:rPr>
              <w:t>20</w:t>
            </w:r>
            <w:r>
              <w:rPr>
                <w:rFonts w:ascii="宋体" w:hAnsi="宋体" w:cs="宋体" w:hint="eastAsia"/>
                <w:color w:val="000000"/>
                <w:kern w:val="0"/>
                <w:sz w:val="20"/>
                <w:szCs w:val="20"/>
              </w:rPr>
              <w:t>万元，只要用于昌吉市北京南路街道办事处办公用品采购、综治宣传版面制作等支出，确保了街道和综治办正常运转，基本保障街道和综治办的支出，完善了街道运行机制，提高工作人员积极性，提高工作效率。</w:t>
            </w:r>
          </w:p>
        </w:tc>
      </w:tr>
      <w:tr w:rsidR="00616379">
        <w:trPr>
          <w:gridAfter w:val="1"/>
          <w:wAfter w:w="222" w:type="dxa"/>
          <w:trHeight w:val="312"/>
          <w:jc w:val="center"/>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7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8"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28"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0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8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05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资金覆盖街道数</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资金覆盖综治办数</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街道办公经费</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综治办办公经费</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=6.43</w:t>
            </w:r>
            <w:r>
              <w:rPr>
                <w:rFonts w:ascii="宋体" w:hAnsi="宋体" w:cs="宋体" w:hint="eastAsia"/>
                <w:color w:val="000000"/>
                <w:kern w:val="0"/>
                <w:sz w:val="20"/>
                <w:szCs w:val="20"/>
              </w:rPr>
              <w:t>万元</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1.25</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项目管理人员未提前做好资金使用规划，</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35701</w:t>
            </w:r>
            <w:r>
              <w:rPr>
                <w:rFonts w:ascii="宋体" w:hAnsi="宋体" w:cs="宋体" w:hint="eastAsia"/>
                <w:color w:val="000000"/>
                <w:kern w:val="0"/>
                <w:sz w:val="20"/>
                <w:szCs w:val="20"/>
              </w:rPr>
              <w:t>元综治办工</w:t>
            </w:r>
            <w:r>
              <w:rPr>
                <w:rFonts w:ascii="宋体" w:hAnsi="宋体" w:cs="宋体" w:hint="eastAsia"/>
                <w:color w:val="000000"/>
                <w:kern w:val="0"/>
                <w:sz w:val="20"/>
                <w:szCs w:val="20"/>
              </w:rPr>
              <w:lastRenderedPageBreak/>
              <w:t>作经费被财政收回</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提高工作人员积极性</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1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7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7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86.79</w:t>
            </w:r>
            <w:r>
              <w:rPr>
                <w:rFonts w:ascii="宋体" w:hAnsi="宋体" w:cs="宋体" w:hint="eastAsia"/>
                <w:color w:val="000000"/>
                <w:kern w:val="0"/>
                <w:sz w:val="20"/>
                <w:szCs w:val="20"/>
              </w:rPr>
              <w:t>分</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9"/>
        <w:gridCol w:w="510"/>
        <w:gridCol w:w="1074"/>
        <w:gridCol w:w="522"/>
        <w:gridCol w:w="1179"/>
        <w:gridCol w:w="293"/>
        <w:gridCol w:w="989"/>
        <w:gridCol w:w="798"/>
        <w:gridCol w:w="264"/>
        <w:gridCol w:w="415"/>
        <w:gridCol w:w="276"/>
        <w:gridCol w:w="452"/>
        <w:gridCol w:w="343"/>
        <w:gridCol w:w="676"/>
      </w:tblGrid>
      <w:tr w:rsidR="00616379">
        <w:trPr>
          <w:trHeight w:val="288"/>
          <w:jc w:val="center"/>
        </w:trPr>
        <w:tc>
          <w:tcPr>
            <w:tcW w:w="8300" w:type="dxa"/>
            <w:gridSpan w:val="14"/>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trHeight w:val="288"/>
          <w:jc w:val="center"/>
        </w:trPr>
        <w:tc>
          <w:tcPr>
            <w:tcW w:w="8300" w:type="dxa"/>
            <w:gridSpan w:val="14"/>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trHeight w:val="288"/>
          <w:jc w:val="center"/>
        </w:trPr>
        <w:tc>
          <w:tcPr>
            <w:tcW w:w="101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281" w:type="dxa"/>
            <w:gridSpan w:val="1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北京南路街道五彩新城社区阵地建设资金</w:t>
            </w:r>
          </w:p>
        </w:tc>
      </w:tr>
      <w:tr w:rsidR="00616379">
        <w:trPr>
          <w:trHeight w:val="288"/>
          <w:jc w:val="center"/>
        </w:trPr>
        <w:tc>
          <w:tcPr>
            <w:tcW w:w="101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057" w:type="dxa"/>
            <w:gridSpan w:val="5"/>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6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62" w:type="dxa"/>
            <w:gridSpan w:val="5"/>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trHeight w:val="480"/>
          <w:jc w:val="center"/>
        </w:trPr>
        <w:tc>
          <w:tcPr>
            <w:tcW w:w="1019"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96"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c>
          <w:tcPr>
            <w:tcW w:w="117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28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6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91"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95"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76"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trHeight w:val="440"/>
          <w:jc w:val="center"/>
        </w:trPr>
        <w:tc>
          <w:tcPr>
            <w:tcW w:w="1019" w:type="dxa"/>
            <w:gridSpan w:val="2"/>
            <w:vMerge/>
            <w:vAlign w:val="center"/>
          </w:tcPr>
          <w:p w:rsidR="00616379" w:rsidRDefault="00616379">
            <w:pPr>
              <w:widowControl/>
              <w:jc w:val="left"/>
              <w:rPr>
                <w:rFonts w:ascii="宋体" w:hAnsi="宋体" w:cs="宋体"/>
                <w:color w:val="000000"/>
                <w:kern w:val="0"/>
                <w:sz w:val="20"/>
                <w:szCs w:val="20"/>
              </w:rPr>
            </w:pPr>
          </w:p>
        </w:tc>
        <w:tc>
          <w:tcPr>
            <w:tcW w:w="1596"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7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96.00</w:t>
            </w:r>
          </w:p>
        </w:tc>
        <w:tc>
          <w:tcPr>
            <w:tcW w:w="128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96.00</w:t>
            </w:r>
          </w:p>
        </w:tc>
        <w:tc>
          <w:tcPr>
            <w:tcW w:w="106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1.37</w:t>
            </w:r>
          </w:p>
        </w:tc>
        <w:tc>
          <w:tcPr>
            <w:tcW w:w="691"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5"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676"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16379">
        <w:trPr>
          <w:trHeight w:val="440"/>
          <w:jc w:val="center"/>
        </w:trPr>
        <w:tc>
          <w:tcPr>
            <w:tcW w:w="1019" w:type="dxa"/>
            <w:gridSpan w:val="2"/>
            <w:vMerge/>
            <w:vAlign w:val="center"/>
          </w:tcPr>
          <w:p w:rsidR="00616379" w:rsidRDefault="00616379">
            <w:pPr>
              <w:widowControl/>
              <w:jc w:val="left"/>
              <w:rPr>
                <w:rFonts w:ascii="宋体" w:hAnsi="宋体" w:cs="宋体"/>
                <w:color w:val="000000"/>
                <w:kern w:val="0"/>
                <w:sz w:val="20"/>
                <w:szCs w:val="20"/>
              </w:rPr>
            </w:pPr>
          </w:p>
        </w:tc>
        <w:tc>
          <w:tcPr>
            <w:tcW w:w="1596"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7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96.00</w:t>
            </w:r>
          </w:p>
        </w:tc>
        <w:tc>
          <w:tcPr>
            <w:tcW w:w="128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96.00</w:t>
            </w:r>
          </w:p>
        </w:tc>
        <w:tc>
          <w:tcPr>
            <w:tcW w:w="106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1.37</w:t>
            </w:r>
          </w:p>
        </w:tc>
        <w:tc>
          <w:tcPr>
            <w:tcW w:w="691"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95"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6"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440"/>
          <w:jc w:val="center"/>
        </w:trPr>
        <w:tc>
          <w:tcPr>
            <w:tcW w:w="1019" w:type="dxa"/>
            <w:gridSpan w:val="2"/>
            <w:vMerge/>
            <w:vAlign w:val="center"/>
          </w:tcPr>
          <w:p w:rsidR="00616379" w:rsidRDefault="00616379">
            <w:pPr>
              <w:widowControl/>
              <w:jc w:val="left"/>
              <w:rPr>
                <w:rFonts w:ascii="宋体" w:hAnsi="宋体" w:cs="宋体"/>
                <w:color w:val="000000"/>
                <w:kern w:val="0"/>
                <w:sz w:val="20"/>
                <w:szCs w:val="20"/>
              </w:rPr>
            </w:pPr>
          </w:p>
        </w:tc>
        <w:tc>
          <w:tcPr>
            <w:tcW w:w="1596"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7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28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62"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1"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95"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6"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trHeight w:val="288"/>
          <w:jc w:val="center"/>
        </w:trPr>
        <w:tc>
          <w:tcPr>
            <w:tcW w:w="509"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567" w:type="dxa"/>
            <w:gridSpan w:val="6"/>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224" w:type="dxa"/>
            <w:gridSpan w:val="7"/>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trHeight w:val="54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4567" w:type="dxa"/>
            <w:gridSpan w:val="6"/>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为进一步解决五彩新城社区阵地面积狭小问题，</w:t>
            </w:r>
            <w:r>
              <w:rPr>
                <w:rFonts w:ascii="宋体" w:hAnsi="宋体" w:cs="宋体" w:hint="eastAsia"/>
                <w:color w:val="000000"/>
                <w:kern w:val="0"/>
                <w:sz w:val="20"/>
                <w:szCs w:val="20"/>
              </w:rPr>
              <w:t>2020</w:t>
            </w:r>
            <w:r>
              <w:rPr>
                <w:rFonts w:ascii="宋体" w:hAnsi="宋体" w:cs="宋体" w:hint="eastAsia"/>
                <w:color w:val="000000"/>
                <w:kern w:val="0"/>
                <w:sz w:val="20"/>
                <w:szCs w:val="20"/>
              </w:rPr>
              <w:t>年州党委巡查组将五彩新城社区阵地项目列入问题清单，并要求</w:t>
            </w:r>
            <w:r>
              <w:rPr>
                <w:rFonts w:ascii="宋体" w:hAnsi="宋体" w:cs="宋体" w:hint="eastAsia"/>
                <w:color w:val="000000"/>
                <w:kern w:val="0"/>
                <w:sz w:val="20"/>
                <w:szCs w:val="20"/>
              </w:rPr>
              <w:t>2023</w:t>
            </w:r>
            <w:r>
              <w:rPr>
                <w:rFonts w:ascii="宋体" w:hAnsi="宋体" w:cs="宋体" w:hint="eastAsia"/>
                <w:color w:val="000000"/>
                <w:kern w:val="0"/>
                <w:sz w:val="20"/>
                <w:szCs w:val="20"/>
              </w:rPr>
              <w:t>年必须整改完毕。由市发改委立项批复，市代建局负责实施，项目建设面积为</w:t>
            </w:r>
            <w:r>
              <w:rPr>
                <w:rFonts w:ascii="宋体" w:hAnsi="宋体" w:cs="宋体" w:hint="eastAsia"/>
                <w:color w:val="000000"/>
                <w:kern w:val="0"/>
                <w:sz w:val="20"/>
                <w:szCs w:val="20"/>
              </w:rPr>
              <w:t>1800</w:t>
            </w:r>
            <w:r>
              <w:rPr>
                <w:rFonts w:ascii="宋体" w:hAnsi="宋体" w:cs="宋体" w:hint="eastAsia"/>
                <w:color w:val="000000"/>
                <w:kern w:val="0"/>
                <w:sz w:val="20"/>
                <w:szCs w:val="20"/>
              </w:rPr>
              <w:t>平方米，地上两层，地下一层。</w:t>
            </w:r>
          </w:p>
        </w:tc>
        <w:tc>
          <w:tcPr>
            <w:tcW w:w="3224" w:type="dxa"/>
            <w:gridSpan w:val="7"/>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完成了五彩新城社区阵地项目的图纸设计和审核工作，完成了项目建设选址的检测工作。</w:t>
            </w:r>
          </w:p>
        </w:tc>
      </w:tr>
      <w:tr w:rsidR="00616379">
        <w:trPr>
          <w:trHeight w:val="312"/>
          <w:jc w:val="center"/>
        </w:trPr>
        <w:tc>
          <w:tcPr>
            <w:tcW w:w="509" w:type="dxa"/>
            <w:vMerge w:val="restart"/>
            <w:shd w:val="clear" w:color="auto" w:fill="auto"/>
            <w:vAlign w:val="center"/>
          </w:tcPr>
          <w:p w:rsidR="00616379" w:rsidRDefault="00616379">
            <w:pPr>
              <w:widowControl/>
              <w:jc w:val="left"/>
              <w:rPr>
                <w:rFonts w:ascii="宋体" w:hAnsi="宋体" w:cs="宋体"/>
                <w:color w:val="000000"/>
                <w:kern w:val="0"/>
                <w:sz w:val="20"/>
                <w:szCs w:val="20"/>
              </w:rPr>
            </w:pPr>
          </w:p>
        </w:tc>
        <w:tc>
          <w:tcPr>
            <w:tcW w:w="51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074"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94" w:type="dxa"/>
            <w:gridSpan w:val="3"/>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89"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98"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79"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28"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19" w:type="dxa"/>
            <w:gridSpan w:val="2"/>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312"/>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vMerge/>
            <w:vAlign w:val="center"/>
          </w:tcPr>
          <w:p w:rsidR="00616379" w:rsidRDefault="00616379">
            <w:pPr>
              <w:widowControl/>
              <w:jc w:val="left"/>
              <w:rPr>
                <w:rFonts w:ascii="宋体" w:hAnsi="宋体" w:cs="宋体"/>
                <w:color w:val="000000"/>
                <w:kern w:val="0"/>
                <w:sz w:val="20"/>
                <w:szCs w:val="20"/>
              </w:rPr>
            </w:pPr>
          </w:p>
        </w:tc>
        <w:tc>
          <w:tcPr>
            <w:tcW w:w="1994" w:type="dxa"/>
            <w:gridSpan w:val="3"/>
            <w:vMerge/>
            <w:vAlign w:val="center"/>
          </w:tcPr>
          <w:p w:rsidR="00616379" w:rsidRDefault="00616379">
            <w:pPr>
              <w:widowControl/>
              <w:jc w:val="left"/>
              <w:rPr>
                <w:rFonts w:ascii="宋体" w:hAnsi="宋体" w:cs="宋体"/>
                <w:color w:val="000000"/>
                <w:kern w:val="0"/>
                <w:sz w:val="20"/>
                <w:szCs w:val="20"/>
              </w:rPr>
            </w:pPr>
          </w:p>
        </w:tc>
        <w:tc>
          <w:tcPr>
            <w:tcW w:w="989" w:type="dxa"/>
            <w:vMerge/>
            <w:vAlign w:val="center"/>
          </w:tcPr>
          <w:p w:rsidR="00616379" w:rsidRDefault="00616379">
            <w:pPr>
              <w:widowControl/>
              <w:jc w:val="left"/>
              <w:rPr>
                <w:rFonts w:ascii="宋体" w:hAnsi="宋体" w:cs="宋体"/>
                <w:color w:val="000000"/>
                <w:kern w:val="0"/>
                <w:sz w:val="20"/>
                <w:szCs w:val="20"/>
              </w:rPr>
            </w:pPr>
          </w:p>
        </w:tc>
        <w:tc>
          <w:tcPr>
            <w:tcW w:w="798" w:type="dxa"/>
            <w:vMerge/>
            <w:vAlign w:val="center"/>
          </w:tcPr>
          <w:p w:rsidR="00616379" w:rsidRDefault="00616379">
            <w:pPr>
              <w:widowControl/>
              <w:jc w:val="left"/>
              <w:rPr>
                <w:rFonts w:ascii="宋体" w:hAnsi="宋体" w:cs="宋体"/>
                <w:color w:val="000000"/>
                <w:kern w:val="0"/>
                <w:sz w:val="20"/>
                <w:szCs w:val="20"/>
              </w:rPr>
            </w:pPr>
          </w:p>
        </w:tc>
        <w:tc>
          <w:tcPr>
            <w:tcW w:w="679" w:type="dxa"/>
            <w:gridSpan w:val="2"/>
            <w:vMerge/>
            <w:vAlign w:val="center"/>
          </w:tcPr>
          <w:p w:rsidR="00616379" w:rsidRDefault="00616379">
            <w:pPr>
              <w:widowControl/>
              <w:jc w:val="left"/>
              <w:rPr>
                <w:rFonts w:ascii="宋体" w:hAnsi="宋体" w:cs="宋体"/>
                <w:color w:val="000000"/>
                <w:kern w:val="0"/>
                <w:sz w:val="20"/>
                <w:szCs w:val="20"/>
              </w:rPr>
            </w:pPr>
          </w:p>
        </w:tc>
        <w:tc>
          <w:tcPr>
            <w:tcW w:w="728" w:type="dxa"/>
            <w:gridSpan w:val="2"/>
            <w:vMerge/>
            <w:vAlign w:val="center"/>
          </w:tcPr>
          <w:p w:rsidR="00616379" w:rsidRDefault="00616379">
            <w:pPr>
              <w:widowControl/>
              <w:jc w:val="left"/>
              <w:rPr>
                <w:rFonts w:ascii="宋体" w:hAnsi="宋体" w:cs="宋体"/>
                <w:color w:val="000000"/>
                <w:kern w:val="0"/>
                <w:sz w:val="20"/>
                <w:szCs w:val="20"/>
              </w:rPr>
            </w:pPr>
          </w:p>
        </w:tc>
        <w:tc>
          <w:tcPr>
            <w:tcW w:w="1019" w:type="dxa"/>
            <w:gridSpan w:val="2"/>
            <w:vMerge/>
            <w:vAlign w:val="center"/>
          </w:tcPr>
          <w:p w:rsidR="00616379" w:rsidRDefault="00616379">
            <w:pPr>
              <w:widowControl/>
              <w:jc w:val="left"/>
              <w:rPr>
                <w:rFonts w:ascii="宋体" w:hAnsi="宋体" w:cs="宋体"/>
                <w:color w:val="000000"/>
                <w:kern w:val="0"/>
                <w:sz w:val="20"/>
                <w:szCs w:val="20"/>
              </w:rPr>
            </w:pPr>
          </w:p>
        </w:tc>
      </w:tr>
      <w:tr w:rsidR="00616379">
        <w:trPr>
          <w:trHeight w:val="400"/>
          <w:jc w:val="center"/>
        </w:trPr>
        <w:tc>
          <w:tcPr>
            <w:tcW w:w="509"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51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资金涉及社区阵地建设数量</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1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施工方数量</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家</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家</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因</w:t>
            </w:r>
            <w:r>
              <w:rPr>
                <w:rFonts w:ascii="宋体" w:hAnsi="宋体" w:cs="宋体" w:hint="eastAsia"/>
                <w:color w:val="000000"/>
                <w:kern w:val="0"/>
                <w:sz w:val="20"/>
                <w:szCs w:val="20"/>
              </w:rPr>
              <w:t>2023</w:t>
            </w:r>
            <w:r>
              <w:rPr>
                <w:rFonts w:ascii="宋体" w:hAnsi="宋体" w:cs="宋体" w:hint="eastAsia"/>
                <w:color w:val="000000"/>
                <w:kern w:val="0"/>
                <w:sz w:val="20"/>
                <w:szCs w:val="20"/>
              </w:rPr>
              <w:lastRenderedPageBreak/>
              <w:t>年</w:t>
            </w:r>
            <w:r>
              <w:rPr>
                <w:rFonts w:ascii="宋体" w:hAnsi="宋体" w:cs="宋体" w:hint="eastAsia"/>
                <w:color w:val="000000"/>
                <w:kern w:val="0"/>
                <w:sz w:val="20"/>
                <w:szCs w:val="20"/>
              </w:rPr>
              <w:t>11</w:t>
            </w:r>
            <w:r>
              <w:rPr>
                <w:rFonts w:ascii="宋体" w:hAnsi="宋体" w:cs="宋体" w:hint="eastAsia"/>
                <w:color w:val="000000"/>
                <w:kern w:val="0"/>
                <w:sz w:val="20"/>
                <w:szCs w:val="20"/>
              </w:rPr>
              <w:t>月昌吉市代建局准备招投标手续，昌吉州财政局未出具资金拨付证明，该项目招投标未办理成功，项目未实施，工程款未支付。</w:t>
            </w: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1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1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涉及社区阵地建设审图费</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&lt;=0.47</w:t>
            </w:r>
            <w:r>
              <w:rPr>
                <w:rFonts w:ascii="宋体" w:hAnsi="宋体" w:cs="宋体" w:hint="eastAsia"/>
                <w:color w:val="000000"/>
                <w:kern w:val="0"/>
                <w:sz w:val="20"/>
                <w:szCs w:val="20"/>
              </w:rPr>
              <w:t>万元</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=0.47</w:t>
            </w:r>
            <w:r>
              <w:rPr>
                <w:rFonts w:ascii="宋体" w:hAnsi="宋体" w:cs="宋体" w:hint="eastAsia"/>
                <w:color w:val="000000"/>
                <w:kern w:val="0"/>
                <w:sz w:val="20"/>
                <w:szCs w:val="20"/>
              </w:rPr>
              <w:t>万元</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1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涉及社区阵地建设检测费</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&lt;=0.90</w:t>
            </w:r>
            <w:r>
              <w:rPr>
                <w:rFonts w:ascii="宋体" w:hAnsi="宋体" w:cs="宋体" w:hint="eastAsia"/>
                <w:color w:val="000000"/>
                <w:kern w:val="0"/>
                <w:sz w:val="20"/>
                <w:szCs w:val="20"/>
              </w:rPr>
              <w:t>万元</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r>
              <w:rPr>
                <w:rFonts w:ascii="宋体" w:hAnsi="宋体" w:cs="宋体" w:hint="eastAsia"/>
                <w:color w:val="000000"/>
                <w:kern w:val="0"/>
                <w:sz w:val="20"/>
                <w:szCs w:val="20"/>
              </w:rPr>
              <w:t>万元</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1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涉及社区阵地建设施工费用</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&lt;=94.63</w:t>
            </w:r>
            <w:r>
              <w:rPr>
                <w:rFonts w:ascii="宋体" w:hAnsi="宋体" w:cs="宋体" w:hint="eastAsia"/>
                <w:color w:val="000000"/>
                <w:kern w:val="0"/>
                <w:sz w:val="20"/>
                <w:szCs w:val="20"/>
              </w:rPr>
              <w:t>万元</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因</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月昌吉市代建局准备招投标手续，昌吉州财政局未出具资金拨付证明，该项目招投标未办理成功，项目未实施，工程款未支付。</w:t>
            </w: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94"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89" w:type="dxa"/>
            <w:shd w:val="clear" w:color="auto" w:fill="auto"/>
            <w:vAlign w:val="center"/>
          </w:tcPr>
          <w:p w:rsidR="00616379" w:rsidRDefault="00616379">
            <w:pPr>
              <w:widowControl/>
              <w:jc w:val="left"/>
              <w:rPr>
                <w:rFonts w:eastAsia="Times New Roman"/>
                <w:kern w:val="0"/>
                <w:sz w:val="20"/>
                <w:szCs w:val="20"/>
              </w:rPr>
            </w:pPr>
          </w:p>
        </w:tc>
        <w:tc>
          <w:tcPr>
            <w:tcW w:w="798" w:type="dxa"/>
            <w:shd w:val="clear" w:color="auto" w:fill="auto"/>
            <w:vAlign w:val="center"/>
          </w:tcPr>
          <w:p w:rsidR="00616379" w:rsidRDefault="00616379">
            <w:pPr>
              <w:widowControl/>
              <w:jc w:val="center"/>
              <w:rPr>
                <w:rFonts w:eastAsia="Times New Roman"/>
                <w:kern w:val="0"/>
                <w:sz w:val="20"/>
                <w:szCs w:val="20"/>
              </w:rPr>
            </w:pPr>
          </w:p>
        </w:tc>
        <w:tc>
          <w:tcPr>
            <w:tcW w:w="679" w:type="dxa"/>
            <w:gridSpan w:val="2"/>
            <w:shd w:val="clear" w:color="auto" w:fill="auto"/>
            <w:vAlign w:val="center"/>
          </w:tcPr>
          <w:p w:rsidR="00616379" w:rsidRDefault="00616379">
            <w:pPr>
              <w:widowControl/>
              <w:jc w:val="center"/>
              <w:rPr>
                <w:rFonts w:eastAsia="Times New Roman"/>
                <w:kern w:val="0"/>
                <w:sz w:val="20"/>
                <w:szCs w:val="20"/>
              </w:rPr>
            </w:pPr>
          </w:p>
        </w:tc>
        <w:tc>
          <w:tcPr>
            <w:tcW w:w="728" w:type="dxa"/>
            <w:gridSpan w:val="2"/>
            <w:shd w:val="clear" w:color="auto" w:fill="auto"/>
            <w:vAlign w:val="center"/>
          </w:tcPr>
          <w:p w:rsidR="00616379" w:rsidRDefault="00616379">
            <w:pPr>
              <w:widowControl/>
              <w:jc w:val="center"/>
              <w:rPr>
                <w:rFonts w:eastAsia="Times New Roman"/>
                <w:kern w:val="0"/>
                <w:sz w:val="20"/>
                <w:szCs w:val="20"/>
              </w:rPr>
            </w:pPr>
          </w:p>
        </w:tc>
        <w:tc>
          <w:tcPr>
            <w:tcW w:w="101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94"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89" w:type="dxa"/>
            <w:shd w:val="clear" w:color="auto" w:fill="auto"/>
            <w:vAlign w:val="center"/>
          </w:tcPr>
          <w:p w:rsidR="00616379" w:rsidRDefault="00616379">
            <w:pPr>
              <w:widowControl/>
              <w:jc w:val="left"/>
              <w:rPr>
                <w:rFonts w:eastAsia="Times New Roman"/>
                <w:kern w:val="0"/>
                <w:sz w:val="20"/>
                <w:szCs w:val="20"/>
              </w:rPr>
            </w:pPr>
          </w:p>
        </w:tc>
        <w:tc>
          <w:tcPr>
            <w:tcW w:w="798" w:type="dxa"/>
            <w:shd w:val="clear" w:color="auto" w:fill="auto"/>
            <w:vAlign w:val="center"/>
          </w:tcPr>
          <w:p w:rsidR="00616379" w:rsidRDefault="00616379">
            <w:pPr>
              <w:widowControl/>
              <w:jc w:val="center"/>
              <w:rPr>
                <w:rFonts w:eastAsia="Times New Roman"/>
                <w:kern w:val="0"/>
                <w:sz w:val="20"/>
                <w:szCs w:val="20"/>
              </w:rPr>
            </w:pPr>
          </w:p>
        </w:tc>
        <w:tc>
          <w:tcPr>
            <w:tcW w:w="679" w:type="dxa"/>
            <w:gridSpan w:val="2"/>
            <w:shd w:val="clear" w:color="auto" w:fill="auto"/>
            <w:vAlign w:val="center"/>
          </w:tcPr>
          <w:p w:rsidR="00616379" w:rsidRDefault="00616379">
            <w:pPr>
              <w:widowControl/>
              <w:jc w:val="center"/>
              <w:rPr>
                <w:rFonts w:eastAsia="Times New Roman"/>
                <w:kern w:val="0"/>
                <w:sz w:val="20"/>
                <w:szCs w:val="20"/>
              </w:rPr>
            </w:pPr>
          </w:p>
        </w:tc>
        <w:tc>
          <w:tcPr>
            <w:tcW w:w="728" w:type="dxa"/>
            <w:gridSpan w:val="2"/>
            <w:shd w:val="clear" w:color="auto" w:fill="auto"/>
            <w:vAlign w:val="center"/>
          </w:tcPr>
          <w:p w:rsidR="00616379" w:rsidRDefault="00616379">
            <w:pPr>
              <w:widowControl/>
              <w:jc w:val="center"/>
              <w:rPr>
                <w:rFonts w:eastAsia="Times New Roman"/>
                <w:kern w:val="0"/>
                <w:sz w:val="20"/>
                <w:szCs w:val="20"/>
              </w:rPr>
            </w:pPr>
          </w:p>
        </w:tc>
        <w:tc>
          <w:tcPr>
            <w:tcW w:w="101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restart"/>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经济效益指标</w:t>
            </w:r>
          </w:p>
        </w:tc>
        <w:tc>
          <w:tcPr>
            <w:tcW w:w="1994"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89" w:type="dxa"/>
            <w:shd w:val="clear" w:color="auto" w:fill="auto"/>
            <w:vAlign w:val="center"/>
          </w:tcPr>
          <w:p w:rsidR="00616379" w:rsidRDefault="00616379">
            <w:pPr>
              <w:widowControl/>
              <w:jc w:val="left"/>
              <w:rPr>
                <w:rFonts w:eastAsia="Times New Roman"/>
                <w:kern w:val="0"/>
                <w:sz w:val="20"/>
                <w:szCs w:val="20"/>
              </w:rPr>
            </w:pPr>
          </w:p>
        </w:tc>
        <w:tc>
          <w:tcPr>
            <w:tcW w:w="798" w:type="dxa"/>
            <w:shd w:val="clear" w:color="auto" w:fill="auto"/>
            <w:vAlign w:val="center"/>
          </w:tcPr>
          <w:p w:rsidR="00616379" w:rsidRDefault="00616379">
            <w:pPr>
              <w:widowControl/>
              <w:jc w:val="center"/>
              <w:rPr>
                <w:rFonts w:eastAsia="Times New Roman"/>
                <w:kern w:val="0"/>
                <w:sz w:val="20"/>
                <w:szCs w:val="20"/>
              </w:rPr>
            </w:pPr>
          </w:p>
        </w:tc>
        <w:tc>
          <w:tcPr>
            <w:tcW w:w="679" w:type="dxa"/>
            <w:gridSpan w:val="2"/>
            <w:shd w:val="clear" w:color="auto" w:fill="auto"/>
            <w:vAlign w:val="center"/>
          </w:tcPr>
          <w:p w:rsidR="00616379" w:rsidRDefault="00616379">
            <w:pPr>
              <w:widowControl/>
              <w:jc w:val="center"/>
              <w:rPr>
                <w:rFonts w:eastAsia="Times New Roman"/>
                <w:kern w:val="0"/>
                <w:sz w:val="20"/>
                <w:szCs w:val="20"/>
              </w:rPr>
            </w:pPr>
          </w:p>
        </w:tc>
        <w:tc>
          <w:tcPr>
            <w:tcW w:w="728" w:type="dxa"/>
            <w:gridSpan w:val="2"/>
            <w:shd w:val="clear" w:color="auto" w:fill="auto"/>
            <w:vAlign w:val="center"/>
          </w:tcPr>
          <w:p w:rsidR="00616379" w:rsidRDefault="00616379">
            <w:pPr>
              <w:widowControl/>
              <w:jc w:val="center"/>
              <w:rPr>
                <w:rFonts w:eastAsia="Times New Roman"/>
                <w:kern w:val="0"/>
                <w:sz w:val="20"/>
                <w:szCs w:val="20"/>
              </w:rPr>
            </w:pPr>
          </w:p>
        </w:tc>
        <w:tc>
          <w:tcPr>
            <w:tcW w:w="101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社区服务功能提升率（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大幅提升</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未提升</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因</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月昌吉市代建局准备招投标手续，昌吉州财政局未出具资金拨付证明，该项目招投标未办理成功，项目未实施，工程款未支付。</w:t>
            </w: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vMerge/>
            <w:vAlign w:val="center"/>
          </w:tcPr>
          <w:p w:rsidR="00616379" w:rsidRDefault="00616379">
            <w:pPr>
              <w:widowControl/>
              <w:jc w:val="left"/>
              <w:rPr>
                <w:rFonts w:ascii="宋体" w:hAnsi="宋体" w:cs="宋体"/>
                <w:color w:val="000000"/>
                <w:kern w:val="0"/>
                <w:sz w:val="20"/>
                <w:szCs w:val="20"/>
              </w:rPr>
            </w:pP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94" w:type="dxa"/>
            <w:gridSpan w:val="3"/>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89" w:type="dxa"/>
            <w:shd w:val="clear" w:color="auto" w:fill="auto"/>
            <w:vAlign w:val="center"/>
          </w:tcPr>
          <w:p w:rsidR="00616379" w:rsidRDefault="00616379">
            <w:pPr>
              <w:widowControl/>
              <w:jc w:val="left"/>
              <w:rPr>
                <w:rFonts w:eastAsia="Times New Roman"/>
                <w:kern w:val="0"/>
                <w:sz w:val="20"/>
                <w:szCs w:val="20"/>
              </w:rPr>
            </w:pPr>
          </w:p>
        </w:tc>
        <w:tc>
          <w:tcPr>
            <w:tcW w:w="798" w:type="dxa"/>
            <w:shd w:val="clear" w:color="auto" w:fill="auto"/>
            <w:vAlign w:val="center"/>
          </w:tcPr>
          <w:p w:rsidR="00616379" w:rsidRDefault="00616379">
            <w:pPr>
              <w:widowControl/>
              <w:jc w:val="center"/>
              <w:rPr>
                <w:rFonts w:eastAsia="Times New Roman"/>
                <w:kern w:val="0"/>
                <w:sz w:val="20"/>
                <w:szCs w:val="20"/>
              </w:rPr>
            </w:pPr>
          </w:p>
        </w:tc>
        <w:tc>
          <w:tcPr>
            <w:tcW w:w="679" w:type="dxa"/>
            <w:gridSpan w:val="2"/>
            <w:shd w:val="clear" w:color="auto" w:fill="auto"/>
            <w:vAlign w:val="center"/>
          </w:tcPr>
          <w:p w:rsidR="00616379" w:rsidRDefault="00616379">
            <w:pPr>
              <w:widowControl/>
              <w:jc w:val="center"/>
              <w:rPr>
                <w:rFonts w:eastAsia="Times New Roman"/>
                <w:kern w:val="0"/>
                <w:sz w:val="20"/>
                <w:szCs w:val="20"/>
              </w:rPr>
            </w:pPr>
          </w:p>
        </w:tc>
        <w:tc>
          <w:tcPr>
            <w:tcW w:w="728" w:type="dxa"/>
            <w:gridSpan w:val="2"/>
            <w:shd w:val="clear" w:color="auto" w:fill="auto"/>
            <w:vAlign w:val="center"/>
          </w:tcPr>
          <w:p w:rsidR="00616379" w:rsidRDefault="00616379">
            <w:pPr>
              <w:widowControl/>
              <w:jc w:val="center"/>
              <w:rPr>
                <w:rFonts w:eastAsia="Times New Roman"/>
                <w:kern w:val="0"/>
                <w:sz w:val="20"/>
                <w:szCs w:val="20"/>
              </w:rPr>
            </w:pPr>
          </w:p>
        </w:tc>
        <w:tc>
          <w:tcPr>
            <w:tcW w:w="1019" w:type="dxa"/>
            <w:gridSpan w:val="2"/>
            <w:shd w:val="clear" w:color="auto" w:fill="auto"/>
            <w:vAlign w:val="center"/>
          </w:tcPr>
          <w:p w:rsidR="00616379" w:rsidRDefault="00616379">
            <w:pPr>
              <w:widowControl/>
              <w:jc w:val="center"/>
              <w:rPr>
                <w:rFonts w:eastAsia="Times New Roman"/>
                <w:kern w:val="0"/>
                <w:sz w:val="20"/>
                <w:szCs w:val="20"/>
              </w:rPr>
            </w:pPr>
          </w:p>
        </w:tc>
      </w:tr>
      <w:tr w:rsidR="00616379">
        <w:trPr>
          <w:trHeight w:val="400"/>
          <w:jc w:val="center"/>
        </w:trPr>
        <w:tc>
          <w:tcPr>
            <w:tcW w:w="509" w:type="dxa"/>
            <w:vMerge/>
            <w:vAlign w:val="center"/>
          </w:tcPr>
          <w:p w:rsidR="00616379" w:rsidRDefault="00616379">
            <w:pPr>
              <w:widowControl/>
              <w:jc w:val="left"/>
              <w:rPr>
                <w:rFonts w:ascii="宋体" w:hAnsi="宋体" w:cs="宋体"/>
                <w:color w:val="000000"/>
                <w:kern w:val="0"/>
                <w:sz w:val="20"/>
                <w:szCs w:val="20"/>
              </w:rPr>
            </w:pPr>
          </w:p>
        </w:tc>
        <w:tc>
          <w:tcPr>
            <w:tcW w:w="510"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4"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94" w:type="dxa"/>
            <w:gridSpan w:val="3"/>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89"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98" w:type="dxa"/>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1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因</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月昌吉市代建局准备招投标手续，昌吉州财政局未出具资金拨付证明，该项目招投标未办理成功，项目未实施，工程款未支付。</w:t>
            </w:r>
          </w:p>
        </w:tc>
      </w:tr>
      <w:tr w:rsidR="00616379">
        <w:trPr>
          <w:trHeight w:val="288"/>
          <w:jc w:val="center"/>
        </w:trPr>
        <w:tc>
          <w:tcPr>
            <w:tcW w:w="5874" w:type="dxa"/>
            <w:gridSpan w:val="8"/>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79"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28" w:type="dxa"/>
            <w:gridSpan w:val="2"/>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44</w:t>
            </w:r>
            <w:r>
              <w:rPr>
                <w:rFonts w:ascii="宋体" w:hAnsi="宋体" w:cs="宋体" w:hint="eastAsia"/>
                <w:color w:val="000000"/>
                <w:kern w:val="0"/>
                <w:sz w:val="20"/>
                <w:szCs w:val="20"/>
              </w:rPr>
              <w:t>分</w:t>
            </w:r>
          </w:p>
        </w:tc>
        <w:tc>
          <w:tcPr>
            <w:tcW w:w="1019" w:type="dxa"/>
            <w:gridSpan w:val="2"/>
            <w:shd w:val="clear" w:color="auto" w:fill="auto"/>
            <w:vAlign w:val="center"/>
          </w:tcPr>
          <w:p w:rsidR="00616379" w:rsidRDefault="00616379">
            <w:pPr>
              <w:widowControl/>
              <w:jc w:val="center"/>
              <w:rPr>
                <w:rFonts w:ascii="宋体" w:hAnsi="宋体" w:cs="宋体"/>
                <w:color w:val="000000"/>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504"/>
        <w:gridCol w:w="505"/>
        <w:gridCol w:w="1367"/>
        <w:gridCol w:w="225"/>
        <w:gridCol w:w="1193"/>
        <w:gridCol w:w="277"/>
        <w:gridCol w:w="901"/>
        <w:gridCol w:w="794"/>
        <w:gridCol w:w="259"/>
        <w:gridCol w:w="412"/>
        <w:gridCol w:w="296"/>
        <w:gridCol w:w="522"/>
        <w:gridCol w:w="372"/>
        <w:gridCol w:w="673"/>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0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29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创城工作经费</w:t>
            </w:r>
          </w:p>
        </w:tc>
      </w:tr>
      <w:tr w:rsidR="00616379">
        <w:trPr>
          <w:gridAfter w:val="1"/>
          <w:wAfter w:w="222" w:type="dxa"/>
          <w:trHeight w:val="288"/>
          <w:jc w:val="center"/>
        </w:trPr>
        <w:tc>
          <w:tcPr>
            <w:tcW w:w="10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96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2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0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00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81.50%</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5.38</w:t>
            </w:r>
          </w:p>
        </w:tc>
      </w:tr>
      <w:tr w:rsidR="00616379">
        <w:trPr>
          <w:gridAfter w:val="1"/>
          <w:wAfter w:w="222" w:type="dxa"/>
          <w:trHeight w:val="440"/>
          <w:jc w:val="center"/>
        </w:trPr>
        <w:tc>
          <w:tcPr>
            <w:tcW w:w="100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00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46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468"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该笔资金覆盖街道和</w:t>
            </w:r>
            <w:r>
              <w:rPr>
                <w:rFonts w:ascii="宋体" w:hAnsi="宋体" w:cs="宋体" w:hint="eastAsia"/>
                <w:color w:val="000000"/>
                <w:kern w:val="0"/>
                <w:sz w:val="20"/>
                <w:szCs w:val="20"/>
              </w:rPr>
              <w:t>14</w:t>
            </w:r>
            <w:r>
              <w:rPr>
                <w:rFonts w:ascii="宋体" w:hAnsi="宋体" w:cs="宋体" w:hint="eastAsia"/>
                <w:color w:val="000000"/>
                <w:kern w:val="0"/>
                <w:sz w:val="20"/>
                <w:szCs w:val="20"/>
              </w:rPr>
              <w:t>个社区，共计</w:t>
            </w:r>
            <w:r>
              <w:rPr>
                <w:rFonts w:ascii="宋体" w:hAnsi="宋体" w:cs="宋体" w:hint="eastAsia"/>
                <w:color w:val="000000"/>
                <w:kern w:val="0"/>
                <w:sz w:val="20"/>
                <w:szCs w:val="20"/>
              </w:rPr>
              <w:t>10</w:t>
            </w:r>
            <w:r>
              <w:rPr>
                <w:rFonts w:ascii="宋体" w:hAnsi="宋体" w:cs="宋体" w:hint="eastAsia"/>
                <w:color w:val="000000"/>
                <w:kern w:val="0"/>
                <w:sz w:val="20"/>
                <w:szCs w:val="20"/>
              </w:rPr>
              <w:t>万元，充分保障全国文明城市复验推进工作所涉及的人、财、物等方面的需求，制作及购买材料质量合格率</w:t>
            </w:r>
            <w:r>
              <w:rPr>
                <w:rFonts w:ascii="宋体" w:hAnsi="宋体" w:cs="宋体" w:hint="eastAsia"/>
                <w:color w:val="000000"/>
                <w:kern w:val="0"/>
                <w:sz w:val="20"/>
                <w:szCs w:val="20"/>
              </w:rPr>
              <w:t>100%</w:t>
            </w:r>
            <w:r>
              <w:rPr>
                <w:rFonts w:ascii="宋体" w:hAnsi="宋体" w:cs="宋体" w:hint="eastAsia"/>
                <w:color w:val="000000"/>
                <w:kern w:val="0"/>
                <w:sz w:val="20"/>
                <w:szCs w:val="20"/>
              </w:rPr>
              <w:t>，提升市民文明素质及群众生活质量。</w:t>
            </w:r>
          </w:p>
        </w:tc>
        <w:tc>
          <w:tcPr>
            <w:tcW w:w="3328"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解决辖区信访问题</w:t>
            </w:r>
            <w:r>
              <w:rPr>
                <w:rFonts w:ascii="宋体" w:hAnsi="宋体" w:cs="宋体" w:hint="eastAsia"/>
                <w:color w:val="000000"/>
                <w:kern w:val="0"/>
                <w:sz w:val="20"/>
                <w:szCs w:val="20"/>
              </w:rPr>
              <w:t>3</w:t>
            </w:r>
            <w:r>
              <w:rPr>
                <w:rFonts w:ascii="宋体" w:hAnsi="宋体" w:cs="宋体" w:hint="eastAsia"/>
                <w:color w:val="000000"/>
                <w:kern w:val="0"/>
                <w:sz w:val="20"/>
                <w:szCs w:val="20"/>
              </w:rPr>
              <w:t>件，为社区停车场维修监控</w:t>
            </w:r>
            <w:r>
              <w:rPr>
                <w:rFonts w:ascii="宋体" w:hAnsi="宋体" w:cs="宋体" w:hint="eastAsia"/>
                <w:color w:val="000000"/>
                <w:kern w:val="0"/>
                <w:sz w:val="20"/>
                <w:szCs w:val="20"/>
              </w:rPr>
              <w:t>1</w:t>
            </w:r>
            <w:r>
              <w:rPr>
                <w:rFonts w:ascii="宋体" w:hAnsi="宋体" w:cs="宋体" w:hint="eastAsia"/>
                <w:color w:val="000000"/>
                <w:kern w:val="0"/>
                <w:sz w:val="20"/>
                <w:szCs w:val="20"/>
              </w:rPr>
              <w:t>套，为平房居住群众解决冬季取暖问题，解决消防安全问题</w:t>
            </w:r>
            <w:r>
              <w:rPr>
                <w:rFonts w:ascii="宋体" w:hAnsi="宋体" w:cs="宋体" w:hint="eastAsia"/>
                <w:color w:val="000000"/>
                <w:kern w:val="0"/>
                <w:sz w:val="20"/>
                <w:szCs w:val="20"/>
              </w:rPr>
              <w:t>1</w:t>
            </w:r>
            <w:r>
              <w:rPr>
                <w:rFonts w:ascii="宋体" w:hAnsi="宋体" w:cs="宋体" w:hint="eastAsia"/>
                <w:color w:val="000000"/>
                <w:kern w:val="0"/>
                <w:sz w:val="20"/>
                <w:szCs w:val="20"/>
              </w:rPr>
              <w:t>件，为辖区居民解决了实质性问题</w:t>
            </w:r>
          </w:p>
        </w:tc>
      </w:tr>
      <w:tr w:rsidR="00616379">
        <w:trPr>
          <w:gridAfter w:val="1"/>
          <w:wAfter w:w="222" w:type="dxa"/>
          <w:trHeight w:val="312"/>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3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9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695"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045"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资金覆盖街道个数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个社区创城工作经费</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&lt;=0.70</w:t>
            </w:r>
            <w:r>
              <w:rPr>
                <w:rFonts w:ascii="宋体" w:hAnsi="宋体" w:cs="宋体" w:hint="eastAsia"/>
                <w:color w:val="000000"/>
                <w:kern w:val="0"/>
                <w:sz w:val="20"/>
                <w:szCs w:val="20"/>
              </w:rPr>
              <w:t>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=0.6</w:t>
            </w:r>
            <w:r>
              <w:rPr>
                <w:rFonts w:ascii="宋体" w:hAnsi="宋体" w:cs="宋体" w:hint="eastAsia"/>
                <w:color w:val="000000"/>
                <w:kern w:val="0"/>
                <w:sz w:val="20"/>
                <w:szCs w:val="20"/>
              </w:rPr>
              <w:t>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3.25</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未提前规划创城工作经费支出，</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月剩余</w:t>
            </w:r>
            <w:r>
              <w:rPr>
                <w:rFonts w:ascii="宋体" w:hAnsi="宋体" w:cs="宋体" w:hint="eastAsia"/>
                <w:color w:val="000000"/>
                <w:kern w:val="0"/>
                <w:sz w:val="20"/>
                <w:szCs w:val="20"/>
              </w:rPr>
              <w:t>1.8</w:t>
            </w:r>
            <w:r>
              <w:rPr>
                <w:rFonts w:ascii="宋体" w:hAnsi="宋体" w:cs="宋体" w:hint="eastAsia"/>
                <w:color w:val="000000"/>
                <w:kern w:val="0"/>
                <w:sz w:val="20"/>
                <w:szCs w:val="20"/>
              </w:rPr>
              <w:t>万元创城经费未支付成功，被财政收回</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个社区创城工作经费</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&lt;=0.45</w:t>
            </w:r>
            <w:r>
              <w:rPr>
                <w:rFonts w:ascii="宋体" w:hAnsi="宋体" w:cs="宋体" w:hint="eastAsia"/>
                <w:color w:val="000000"/>
                <w:kern w:val="0"/>
                <w:sz w:val="20"/>
                <w:szCs w:val="20"/>
              </w:rPr>
              <w:t>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=0.35</w:t>
            </w:r>
            <w:r>
              <w:rPr>
                <w:rFonts w:ascii="宋体" w:hAnsi="宋体" w:cs="宋体" w:hint="eastAsia"/>
                <w:color w:val="000000"/>
                <w:kern w:val="0"/>
                <w:sz w:val="20"/>
                <w:szCs w:val="20"/>
              </w:rPr>
              <w:t>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2.13</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未提前规划创城工作经费支出，</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月剩余</w:t>
            </w:r>
            <w:r>
              <w:rPr>
                <w:rFonts w:ascii="宋体" w:hAnsi="宋体" w:cs="宋体" w:hint="eastAsia"/>
                <w:color w:val="000000"/>
                <w:kern w:val="0"/>
                <w:sz w:val="20"/>
                <w:szCs w:val="20"/>
              </w:rPr>
              <w:t>1.8</w:t>
            </w:r>
            <w:r>
              <w:rPr>
                <w:rFonts w:ascii="宋体" w:hAnsi="宋体" w:cs="宋体" w:hint="eastAsia"/>
                <w:color w:val="000000"/>
                <w:kern w:val="0"/>
                <w:sz w:val="20"/>
                <w:szCs w:val="20"/>
              </w:rPr>
              <w:t>万元创城经费未支付成功，</w:t>
            </w:r>
            <w:r>
              <w:rPr>
                <w:rFonts w:ascii="宋体" w:hAnsi="宋体" w:cs="宋体" w:hint="eastAsia"/>
                <w:color w:val="000000"/>
                <w:kern w:val="0"/>
                <w:sz w:val="20"/>
                <w:szCs w:val="20"/>
              </w:rPr>
              <w:lastRenderedPageBreak/>
              <w:t>被财政收回</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街道创城工作经费</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&lt;=1.70</w:t>
            </w:r>
            <w:r>
              <w:rPr>
                <w:rFonts w:ascii="宋体" w:hAnsi="宋体" w:cs="宋体" w:hint="eastAsia"/>
                <w:color w:val="000000"/>
                <w:kern w:val="0"/>
                <w:sz w:val="20"/>
                <w:szCs w:val="20"/>
              </w:rPr>
              <w:t>万元</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=1.25</w:t>
            </w:r>
            <w:r>
              <w:rPr>
                <w:rFonts w:ascii="宋体" w:hAnsi="宋体" w:cs="宋体" w:hint="eastAsia"/>
                <w:color w:val="000000"/>
                <w:kern w:val="0"/>
                <w:sz w:val="20"/>
                <w:szCs w:val="20"/>
              </w:rPr>
              <w:t>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未提前规划创城工作经费支出，</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月剩余</w:t>
            </w:r>
            <w:r>
              <w:rPr>
                <w:rFonts w:ascii="宋体" w:hAnsi="宋体" w:cs="宋体" w:hint="eastAsia"/>
                <w:color w:val="000000"/>
                <w:kern w:val="0"/>
                <w:sz w:val="20"/>
                <w:szCs w:val="20"/>
              </w:rPr>
              <w:t>1.8</w:t>
            </w:r>
            <w:r>
              <w:rPr>
                <w:rFonts w:ascii="宋体" w:hAnsi="宋体" w:cs="宋体" w:hint="eastAsia"/>
                <w:color w:val="000000"/>
                <w:kern w:val="0"/>
                <w:sz w:val="20"/>
                <w:szCs w:val="20"/>
              </w:rPr>
              <w:t>万元创城经费未支付成功，被财政收回</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提高工作人员积极性</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未提前规划创城工作经费支出，</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月剩余</w:t>
            </w:r>
            <w:r>
              <w:rPr>
                <w:rFonts w:ascii="宋体" w:hAnsi="宋体" w:cs="宋体" w:hint="eastAsia"/>
                <w:color w:val="000000"/>
                <w:kern w:val="0"/>
                <w:sz w:val="20"/>
                <w:szCs w:val="20"/>
              </w:rPr>
              <w:t>1.8</w:t>
            </w:r>
            <w:r>
              <w:rPr>
                <w:rFonts w:ascii="宋体" w:hAnsi="宋体" w:cs="宋体" w:hint="eastAsia"/>
                <w:color w:val="000000"/>
                <w:kern w:val="0"/>
                <w:sz w:val="20"/>
                <w:szCs w:val="20"/>
              </w:rPr>
              <w:t>万元创城经费未支付成功，被财政收回</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9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工作人员满意度</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&lt;=90</w:t>
            </w:r>
          </w:p>
        </w:tc>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76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84.26</w:t>
            </w:r>
            <w:r>
              <w:rPr>
                <w:rFonts w:ascii="宋体" w:hAnsi="宋体" w:cs="宋体" w:hint="eastAsia"/>
                <w:color w:val="000000"/>
                <w:kern w:val="0"/>
                <w:sz w:val="20"/>
                <w:szCs w:val="20"/>
              </w:rPr>
              <w:t>分</w:t>
            </w:r>
          </w:p>
        </w:tc>
        <w:tc>
          <w:tcPr>
            <w:tcW w:w="1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91"/>
        <w:gridCol w:w="751"/>
        <w:gridCol w:w="1319"/>
        <w:gridCol w:w="1233"/>
        <w:gridCol w:w="237"/>
        <w:gridCol w:w="887"/>
        <w:gridCol w:w="781"/>
        <w:gridCol w:w="242"/>
        <w:gridCol w:w="403"/>
        <w:gridCol w:w="254"/>
        <w:gridCol w:w="553"/>
        <w:gridCol w:w="399"/>
        <w:gridCol w:w="750"/>
        <w:gridCol w:w="222"/>
      </w:tblGrid>
      <w:tr w:rsidR="0061637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村干部国语培训、党组织书记培训、壮大村集体经济、阵地建设等项目资金（北</w:t>
            </w:r>
            <w:r>
              <w:rPr>
                <w:rFonts w:ascii="宋体" w:hAnsi="宋体" w:cs="宋体" w:hint="eastAsia"/>
                <w:color w:val="000000"/>
                <w:kern w:val="0"/>
                <w:sz w:val="20"/>
                <w:szCs w:val="20"/>
              </w:rPr>
              <w:lastRenderedPageBreak/>
              <w:t>京南路街道新科园社区）</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36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42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427" w:type="dxa"/>
            <w:gridSpan w:val="5"/>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10</w:t>
            </w:r>
            <w:r>
              <w:rPr>
                <w:rFonts w:ascii="宋体" w:hAnsi="宋体" w:cs="宋体" w:hint="eastAsia"/>
                <w:color w:val="000000"/>
                <w:kern w:val="0"/>
                <w:sz w:val="20"/>
                <w:szCs w:val="20"/>
              </w:rPr>
              <w:t>万元，主要计划用于北京南路街道新科园社区阵地建设，本项目计划于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日前完成。通过本项目的实施进一步提高社区区域化党建工作水平，加强社区规范化、制度化、标准化建设，提升社区科学化管理服务能力和综合服务水平。</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昌吉市北京南路街道办事处新科园社区打造党建阵地</w:t>
            </w:r>
            <w:r>
              <w:rPr>
                <w:rFonts w:ascii="宋体" w:hAnsi="宋体" w:cs="宋体" w:hint="eastAsia"/>
                <w:color w:val="000000"/>
                <w:kern w:val="0"/>
                <w:sz w:val="20"/>
                <w:szCs w:val="20"/>
              </w:rPr>
              <w:t>1</w:t>
            </w:r>
            <w:r>
              <w:rPr>
                <w:rFonts w:ascii="宋体" w:hAnsi="宋体" w:cs="宋体" w:hint="eastAsia"/>
                <w:color w:val="000000"/>
                <w:kern w:val="0"/>
                <w:sz w:val="20"/>
                <w:szCs w:val="20"/>
              </w:rPr>
              <w:t>处，主要用于党建阵地的版面制作、固定资产购买支出，新科园社区党建阵地建成后进一步提高了社区区域化党建工作水平，加强社区规范化、制度化、标准化建设，提升社区科学化管理服务能力和综合服务水平。</w:t>
            </w:r>
          </w:p>
        </w:tc>
      </w:tr>
      <w:tr w:rsidR="00616379">
        <w:trPr>
          <w:gridAfter w:val="1"/>
          <w:wAfter w:w="222" w:type="dxa"/>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购买办公家具套数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个</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粉刷墙面成本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&lt;=5.67</w:t>
            </w:r>
            <w:r>
              <w:rPr>
                <w:rFonts w:ascii="宋体" w:hAnsi="宋体" w:cs="宋体" w:hint="eastAsia"/>
                <w:color w:val="000000"/>
                <w:kern w:val="0"/>
                <w:sz w:val="20"/>
                <w:szCs w:val="20"/>
              </w:rPr>
              <w:t>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=5.67</w:t>
            </w:r>
            <w:r>
              <w:rPr>
                <w:rFonts w:ascii="宋体" w:hAnsi="宋体" w:cs="宋体" w:hint="eastAsia"/>
                <w:color w:val="000000"/>
                <w:kern w:val="0"/>
                <w:sz w:val="20"/>
                <w:szCs w:val="20"/>
              </w:rPr>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版面制作等成本</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&lt;=4.33</w:t>
            </w:r>
            <w:r>
              <w:rPr>
                <w:rFonts w:ascii="宋体" w:hAnsi="宋体" w:cs="宋体" w:hint="eastAsia"/>
                <w:color w:val="000000"/>
                <w:kern w:val="0"/>
                <w:sz w:val="20"/>
                <w:szCs w:val="20"/>
              </w:rPr>
              <w:t>万元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=4.33</w:t>
            </w:r>
            <w:r>
              <w:rPr>
                <w:rFonts w:ascii="宋体" w:hAnsi="宋体" w:cs="宋体" w:hint="eastAsia"/>
                <w:color w:val="000000"/>
                <w:kern w:val="0"/>
                <w:sz w:val="20"/>
                <w:szCs w:val="20"/>
              </w:rPr>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保障基层阵地建设</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持续保障</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持续保障</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69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84"/>
        <w:gridCol w:w="484"/>
        <w:gridCol w:w="1576"/>
        <w:gridCol w:w="905"/>
        <w:gridCol w:w="565"/>
        <w:gridCol w:w="969"/>
        <w:gridCol w:w="864"/>
        <w:gridCol w:w="236"/>
        <w:gridCol w:w="400"/>
        <w:gridCol w:w="275"/>
        <w:gridCol w:w="521"/>
        <w:gridCol w:w="361"/>
        <w:gridCol w:w="660"/>
        <w:gridCol w:w="222"/>
      </w:tblGrid>
      <w:tr w:rsidR="0061637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3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社区服务群众专项经费</w:t>
            </w:r>
          </w:p>
        </w:tc>
      </w:tr>
      <w:tr w:rsidR="00616379">
        <w:trPr>
          <w:gridAfter w:val="1"/>
          <w:wAfter w:w="222" w:type="dxa"/>
          <w:trHeight w:val="288"/>
          <w:jc w:val="center"/>
        </w:trPr>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0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2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9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96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107.08</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76.49%</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4.12</w:t>
            </w:r>
          </w:p>
        </w:tc>
      </w:tr>
      <w:tr w:rsidR="00616379">
        <w:trPr>
          <w:gridAfter w:val="1"/>
          <w:wAfter w:w="222" w:type="dxa"/>
          <w:trHeight w:val="440"/>
          <w:jc w:val="center"/>
        </w:trPr>
        <w:tc>
          <w:tcPr>
            <w:tcW w:w="96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107.08</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96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49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499" w:type="dxa"/>
            <w:gridSpan w:val="5"/>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140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主要用于开展社区建设、社区管理、社区服务体系建设。本项目计划于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进一步加强基层服务型社区建设保障，进一步密切社群关系，加强基层服务型社区建设，为联系服务群众提供经费保障，切实解决好辖区群众身边的各类关乎群众切身利益的事情。使群众生活质量提高，获得归属感、幸福感，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及以上。</w:t>
            </w:r>
          </w:p>
        </w:tc>
        <w:tc>
          <w:tcPr>
            <w:tcW w:w="3317"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保障了</w:t>
            </w:r>
            <w:r>
              <w:rPr>
                <w:rFonts w:ascii="宋体" w:hAnsi="宋体" w:cs="宋体" w:hint="eastAsia"/>
                <w:color w:val="000000"/>
                <w:kern w:val="0"/>
                <w:sz w:val="20"/>
                <w:szCs w:val="20"/>
              </w:rPr>
              <w:t>2023</w:t>
            </w:r>
            <w:r>
              <w:rPr>
                <w:rFonts w:ascii="宋体" w:hAnsi="宋体" w:cs="宋体" w:hint="eastAsia"/>
                <w:color w:val="000000"/>
                <w:kern w:val="0"/>
                <w:sz w:val="20"/>
                <w:szCs w:val="20"/>
              </w:rPr>
              <w:t>年全年</w:t>
            </w:r>
            <w:r>
              <w:rPr>
                <w:rFonts w:ascii="宋体" w:hAnsi="宋体" w:cs="宋体" w:hint="eastAsia"/>
                <w:color w:val="000000"/>
                <w:kern w:val="0"/>
                <w:sz w:val="20"/>
                <w:szCs w:val="20"/>
              </w:rPr>
              <w:t>14</w:t>
            </w:r>
            <w:r>
              <w:rPr>
                <w:rFonts w:ascii="宋体" w:hAnsi="宋体" w:cs="宋体" w:hint="eastAsia"/>
                <w:color w:val="000000"/>
                <w:kern w:val="0"/>
                <w:sz w:val="20"/>
                <w:szCs w:val="20"/>
              </w:rPr>
              <w:t>个社区服务群众工作的正常支出，包括活动开展支出、政策宣传版面支出等。更好的服务群众，促进和谐社会的发展，使群众生活质量提高，获得幸福感，使受益居民满意度达到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616379">
        <w:trPr>
          <w:gridAfter w:val="1"/>
          <w:wAfter w:w="222" w:type="dxa"/>
          <w:trHeight w:val="312"/>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8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69"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6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3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9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02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资金拨付周期</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购买物品合格率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任务完成时间</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lastRenderedPageBreak/>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8</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服务群众经费平均每月</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&lt;=23.33</w:t>
            </w:r>
            <w:r>
              <w:rPr>
                <w:rFonts w:ascii="宋体" w:hAnsi="宋体" w:cs="宋体" w:hint="eastAsia"/>
                <w:color w:val="000000"/>
                <w:kern w:val="0"/>
                <w:sz w:val="20"/>
                <w:szCs w:val="20"/>
              </w:rPr>
              <w:t>万元</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=17.84</w:t>
            </w:r>
            <w:r>
              <w:rPr>
                <w:rFonts w:ascii="宋体" w:hAnsi="宋体" w:cs="宋体" w:hint="eastAsia"/>
                <w:color w:val="000000"/>
                <w:kern w:val="0"/>
                <w:sz w:val="20"/>
                <w:szCs w:val="20"/>
              </w:rPr>
              <w:t>万元</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社区报账员资金规划不完善，举办活动经费支出不做预算，报销手续慢，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月财政收回剩余资金。</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提高工作人员积极性</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8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84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82.12</w:t>
            </w:r>
            <w:r>
              <w:rPr>
                <w:rFonts w:ascii="宋体" w:hAnsi="宋体" w:cs="宋体" w:hint="eastAsia"/>
                <w:color w:val="000000"/>
                <w:kern w:val="0"/>
                <w:sz w:val="20"/>
                <w:szCs w:val="20"/>
              </w:rPr>
              <w:t>分</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90"/>
        <w:gridCol w:w="490"/>
        <w:gridCol w:w="1581"/>
        <w:gridCol w:w="905"/>
        <w:gridCol w:w="565"/>
        <w:gridCol w:w="974"/>
        <w:gridCol w:w="867"/>
        <w:gridCol w:w="242"/>
        <w:gridCol w:w="403"/>
        <w:gridCol w:w="253"/>
        <w:gridCol w:w="503"/>
        <w:gridCol w:w="364"/>
        <w:gridCol w:w="663"/>
        <w:gridCol w:w="222"/>
      </w:tblGrid>
      <w:tr w:rsidR="0061637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2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社区运转经费</w:t>
            </w:r>
          </w:p>
        </w:tc>
      </w:tr>
      <w:tr w:rsidR="00616379">
        <w:trPr>
          <w:gridAfter w:val="1"/>
          <w:wAfter w:w="222" w:type="dxa"/>
          <w:trHeight w:val="288"/>
          <w:jc w:val="center"/>
        </w:trPr>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9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280.00</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280.00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229.58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81.99%</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5.50</w:t>
            </w:r>
          </w:p>
        </w:tc>
      </w:tr>
      <w:tr w:rsidR="00616379">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280.00</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280.00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229.58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98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2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515" w:type="dxa"/>
            <w:gridSpan w:val="5"/>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280</w:t>
            </w:r>
            <w:r>
              <w:rPr>
                <w:rFonts w:ascii="宋体" w:hAnsi="宋体" w:cs="宋体" w:hint="eastAsia"/>
                <w:color w:val="000000"/>
                <w:kern w:val="0"/>
                <w:sz w:val="20"/>
                <w:szCs w:val="20"/>
              </w:rPr>
              <w:t>万元用于延安北路街道办事处社区运转经费，主要建设内容为：主要用于北京南路街道</w:t>
            </w:r>
            <w:r>
              <w:rPr>
                <w:rFonts w:ascii="宋体" w:hAnsi="宋体" w:cs="宋体" w:hint="eastAsia"/>
                <w:color w:val="000000"/>
                <w:kern w:val="0"/>
                <w:sz w:val="20"/>
                <w:szCs w:val="20"/>
              </w:rPr>
              <w:t>14</w:t>
            </w:r>
            <w:r>
              <w:rPr>
                <w:rFonts w:ascii="宋体" w:hAnsi="宋体" w:cs="宋体" w:hint="eastAsia"/>
                <w:color w:val="000000"/>
                <w:kern w:val="0"/>
                <w:sz w:val="20"/>
                <w:szCs w:val="20"/>
              </w:rPr>
              <w:t>个社区所需办公用品、水电费及其他服务保障居民事务正常开展运转。于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日前完工，通过本项目的实施保障社区正常运转，日常工作正常开展，更好的服务群众，促进和谐社会的发展，使群众生活质量提高，获得幸福感，使受益居民满意度达到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3295"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保障了</w:t>
            </w:r>
            <w:r>
              <w:rPr>
                <w:rFonts w:ascii="宋体" w:hAnsi="宋体" w:cs="宋体" w:hint="eastAsia"/>
                <w:color w:val="000000"/>
                <w:kern w:val="0"/>
                <w:sz w:val="20"/>
                <w:szCs w:val="20"/>
              </w:rPr>
              <w:t>2023</w:t>
            </w:r>
            <w:r>
              <w:rPr>
                <w:rFonts w:ascii="宋体" w:hAnsi="宋体" w:cs="宋体" w:hint="eastAsia"/>
                <w:color w:val="000000"/>
                <w:kern w:val="0"/>
                <w:sz w:val="20"/>
                <w:szCs w:val="20"/>
              </w:rPr>
              <w:t>年全年</w:t>
            </w:r>
            <w:r>
              <w:rPr>
                <w:rFonts w:ascii="宋体" w:hAnsi="宋体" w:cs="宋体" w:hint="eastAsia"/>
                <w:color w:val="000000"/>
                <w:kern w:val="0"/>
                <w:sz w:val="20"/>
                <w:szCs w:val="20"/>
              </w:rPr>
              <w:t>14</w:t>
            </w:r>
            <w:r>
              <w:rPr>
                <w:rFonts w:ascii="宋体" w:hAnsi="宋体" w:cs="宋体" w:hint="eastAsia"/>
                <w:color w:val="000000"/>
                <w:kern w:val="0"/>
                <w:sz w:val="20"/>
                <w:szCs w:val="20"/>
              </w:rPr>
              <w:t>个社区的办公用品、水电费及其他服务保障居民事务正常开展运转，更好的服务群众，促进和谐社会的发展，使群众生活质量提高，获得幸福感，使受益居民满意度达到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616379">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470"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74"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6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027"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资金拨付周期</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购买物品合格率</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任务完成时间</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社区运转经费平均每月</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&lt;=23.33</w:t>
            </w:r>
            <w:r>
              <w:rPr>
                <w:rFonts w:ascii="宋体" w:hAnsi="宋体" w:cs="宋体" w:hint="eastAsia"/>
                <w:color w:val="000000"/>
                <w:kern w:val="0"/>
                <w:sz w:val="20"/>
                <w:szCs w:val="20"/>
              </w:rPr>
              <w:t>万元</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=19.13</w:t>
            </w:r>
            <w:r>
              <w:rPr>
                <w:rFonts w:ascii="宋体" w:hAnsi="宋体" w:cs="宋体" w:hint="eastAsia"/>
                <w:color w:val="000000"/>
                <w:kern w:val="0"/>
                <w:sz w:val="20"/>
                <w:szCs w:val="20"/>
              </w:rPr>
              <w:t>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提高工作人员积极性</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社区工作人员满意度</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8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95.5</w:t>
            </w:r>
            <w:r>
              <w:rPr>
                <w:rFonts w:ascii="宋体" w:hAnsi="宋体" w:cs="宋体" w:hint="eastAsia"/>
                <w:color w:val="000000"/>
                <w:kern w:val="0"/>
                <w:sz w:val="20"/>
                <w:szCs w:val="20"/>
              </w:rPr>
              <w:t>分</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422"/>
        <w:gridCol w:w="421"/>
        <w:gridCol w:w="1700"/>
        <w:gridCol w:w="259"/>
        <w:gridCol w:w="1266"/>
        <w:gridCol w:w="653"/>
        <w:gridCol w:w="722"/>
        <w:gridCol w:w="720"/>
        <w:gridCol w:w="160"/>
        <w:gridCol w:w="366"/>
        <w:gridCol w:w="173"/>
        <w:gridCol w:w="503"/>
        <w:gridCol w:w="316"/>
        <w:gridCol w:w="619"/>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网格党支部活动经费</w:t>
            </w:r>
          </w:p>
        </w:tc>
      </w:tr>
      <w:tr w:rsidR="00616379">
        <w:trPr>
          <w:gridAfter w:val="1"/>
          <w:wAfter w:w="222" w:type="dxa"/>
          <w:trHeight w:val="288"/>
          <w:jc w:val="center"/>
        </w:trPr>
        <w:tc>
          <w:tcPr>
            <w:tcW w:w="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6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84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26.63</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44.38%</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16379">
        <w:trPr>
          <w:gridAfter w:val="1"/>
          <w:wAfter w:w="222" w:type="dxa"/>
          <w:trHeight w:val="440"/>
          <w:jc w:val="center"/>
        </w:trPr>
        <w:tc>
          <w:tcPr>
            <w:tcW w:w="84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26.63</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843"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3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502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85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021"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60</w:t>
            </w:r>
            <w:r>
              <w:rPr>
                <w:rFonts w:ascii="宋体" w:hAnsi="宋体" w:cs="宋体" w:hint="eastAsia"/>
                <w:color w:val="000000"/>
                <w:kern w:val="0"/>
                <w:sz w:val="20"/>
                <w:szCs w:val="20"/>
              </w:rPr>
              <w:t>万元主要用于：保障</w:t>
            </w:r>
            <w:r>
              <w:rPr>
                <w:rFonts w:ascii="宋体" w:hAnsi="宋体" w:cs="宋体" w:hint="eastAsia"/>
                <w:color w:val="000000"/>
                <w:kern w:val="0"/>
                <w:sz w:val="20"/>
                <w:szCs w:val="20"/>
              </w:rPr>
              <w:t>60</w:t>
            </w:r>
            <w:r>
              <w:rPr>
                <w:rFonts w:ascii="宋体" w:hAnsi="宋体" w:cs="宋体" w:hint="eastAsia"/>
                <w:color w:val="000000"/>
                <w:kern w:val="0"/>
                <w:sz w:val="20"/>
                <w:szCs w:val="20"/>
              </w:rPr>
              <w:t>个网格党支部的正常办公运转及服务群众工作和党建活动的需要。本项目计划于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日前完成。通过本项目的实施保障</w:t>
            </w:r>
            <w:r>
              <w:rPr>
                <w:rFonts w:ascii="宋体" w:hAnsi="宋体" w:cs="宋体" w:hint="eastAsia"/>
                <w:color w:val="000000"/>
                <w:kern w:val="0"/>
                <w:sz w:val="20"/>
                <w:szCs w:val="20"/>
              </w:rPr>
              <w:t>38</w:t>
            </w:r>
            <w:r>
              <w:rPr>
                <w:rFonts w:ascii="宋体" w:hAnsi="宋体" w:cs="宋体" w:hint="eastAsia"/>
                <w:color w:val="000000"/>
                <w:kern w:val="0"/>
                <w:sz w:val="20"/>
                <w:szCs w:val="20"/>
              </w:rPr>
              <w:t>个网格党支部的正常办公运转及服务群众工作和党建活动的需要，进一步加强基层服务型党组织建设保障，进一步密切党群关系，加强基层服务型党组织建设，为联系服务群众提供经费保障，切实解决好辖区群众身边的各类关乎群众切身利益的事情。组织居民开展各项活动，丰富业余文化生活。使群众生活质量提高，获得归属感、幸福感，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及以上。</w:t>
            </w:r>
          </w:p>
        </w:tc>
        <w:tc>
          <w:tcPr>
            <w:tcW w:w="2857"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w:t>
            </w:r>
            <w:r>
              <w:rPr>
                <w:rFonts w:ascii="宋体" w:hAnsi="宋体" w:cs="宋体" w:hint="eastAsia"/>
                <w:color w:val="000000"/>
                <w:kern w:val="0"/>
                <w:sz w:val="20"/>
                <w:szCs w:val="20"/>
              </w:rPr>
              <w:t>60</w:t>
            </w:r>
            <w:r>
              <w:rPr>
                <w:rFonts w:ascii="宋体" w:hAnsi="宋体" w:cs="宋体" w:hint="eastAsia"/>
                <w:color w:val="000000"/>
                <w:kern w:val="0"/>
                <w:sz w:val="20"/>
                <w:szCs w:val="20"/>
              </w:rPr>
              <w:t>个网格</w:t>
            </w:r>
            <w:r>
              <w:rPr>
                <w:rFonts w:ascii="宋体" w:hAnsi="宋体" w:cs="宋体" w:hint="eastAsia"/>
                <w:color w:val="000000"/>
                <w:kern w:val="0"/>
                <w:sz w:val="20"/>
                <w:szCs w:val="20"/>
              </w:rPr>
              <w:t>党支部的正常办公运转及服务群众工作和党建活动的需要，组织居民开展各项活动，丰富业余文化生活。使群众生活质量提高，获得归属感、幸福感，使受益居民满意度达到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16379">
        <w:trPr>
          <w:gridAfter w:val="1"/>
          <w:wAfter w:w="222" w:type="dxa"/>
          <w:trHeight w:val="312"/>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9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19"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20"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52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6"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35"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保障网格党支部正常办公个数</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个</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个</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制作及购买用品合格率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任务完成时间</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网格党支部活动经费平均每个支部</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=0.44</w:t>
            </w:r>
            <w:r>
              <w:rPr>
                <w:rFonts w:ascii="宋体" w:hAnsi="宋体" w:cs="宋体" w:hint="eastAsia"/>
                <w:color w:val="000000"/>
                <w:kern w:val="0"/>
                <w:sz w:val="20"/>
                <w:szCs w:val="20"/>
              </w:rPr>
              <w:t>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网格书记未对活动经</w:t>
            </w:r>
            <w:r>
              <w:rPr>
                <w:rFonts w:ascii="宋体" w:hAnsi="宋体" w:cs="宋体" w:hint="eastAsia"/>
                <w:color w:val="000000"/>
                <w:kern w:val="0"/>
                <w:sz w:val="20"/>
                <w:szCs w:val="20"/>
              </w:rPr>
              <w:lastRenderedPageBreak/>
              <w:t>费进行整体规划，部分费用未支付，</w:t>
            </w:r>
            <w:r>
              <w:rPr>
                <w:rFonts w:ascii="宋体" w:hAnsi="宋体" w:cs="宋体" w:hint="eastAsia"/>
                <w:color w:val="000000"/>
                <w:kern w:val="0"/>
                <w:sz w:val="20"/>
                <w:szCs w:val="20"/>
              </w:rPr>
              <w:t>2023</w:t>
            </w:r>
            <w:r>
              <w:rPr>
                <w:rFonts w:ascii="宋体" w:hAnsi="宋体" w:cs="宋体" w:hint="eastAsia"/>
                <w:color w:val="000000"/>
                <w:kern w:val="0"/>
                <w:sz w:val="20"/>
                <w:szCs w:val="20"/>
              </w:rPr>
              <w:t>年资金结余过多，结余资金被财政局收回</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保障网格党支部正常运转</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党员满意度</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6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tbl>
      <w:tblPr>
        <w:tblW w:w="5000" w:type="pct"/>
        <w:jc w:val="center"/>
        <w:tblLook w:val="04A0"/>
      </w:tblPr>
      <w:tblGrid>
        <w:gridCol w:w="505"/>
        <w:gridCol w:w="737"/>
        <w:gridCol w:w="993"/>
        <w:gridCol w:w="366"/>
        <w:gridCol w:w="905"/>
        <w:gridCol w:w="567"/>
        <w:gridCol w:w="901"/>
        <w:gridCol w:w="793"/>
        <w:gridCol w:w="259"/>
        <w:gridCol w:w="412"/>
        <w:gridCol w:w="296"/>
        <w:gridCol w:w="522"/>
        <w:gridCol w:w="372"/>
        <w:gridCol w:w="672"/>
        <w:gridCol w:w="222"/>
      </w:tblGrid>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16379">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网格党支部书记补助经费</w:t>
            </w:r>
          </w:p>
        </w:tc>
      </w:tr>
      <w:tr w:rsidR="00616379">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7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2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昌吉市北京南路街道办事处</w:t>
            </w:r>
          </w:p>
        </w:tc>
      </w:tr>
      <w:tr w:rsidR="00616379">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72.00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72.00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56.63</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78.65%</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4.66</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72.00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72.00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56.63</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16379">
        <w:trPr>
          <w:gridAfter w:val="1"/>
          <w:wAfter w:w="222" w:type="dxa"/>
          <w:trHeight w:val="288"/>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44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33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16379">
        <w:trPr>
          <w:gridAfter w:val="1"/>
          <w:wAfter w:w="222" w:type="dxa"/>
          <w:trHeight w:val="54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4469" w:type="dxa"/>
            <w:gridSpan w:val="6"/>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72</w:t>
            </w:r>
            <w:r>
              <w:rPr>
                <w:rFonts w:ascii="宋体" w:hAnsi="宋体" w:cs="宋体" w:hint="eastAsia"/>
                <w:color w:val="000000"/>
                <w:kern w:val="0"/>
                <w:sz w:val="20"/>
                <w:szCs w:val="20"/>
              </w:rPr>
              <w:t>万元用于：保障</w:t>
            </w:r>
            <w:r>
              <w:rPr>
                <w:rFonts w:ascii="宋体" w:hAnsi="宋体" w:cs="宋体" w:hint="eastAsia"/>
                <w:color w:val="000000"/>
                <w:kern w:val="0"/>
                <w:sz w:val="20"/>
                <w:szCs w:val="20"/>
              </w:rPr>
              <w:t>60</w:t>
            </w:r>
            <w:r>
              <w:rPr>
                <w:rFonts w:ascii="宋体" w:hAnsi="宋体" w:cs="宋体" w:hint="eastAsia"/>
                <w:color w:val="000000"/>
                <w:kern w:val="0"/>
                <w:sz w:val="20"/>
                <w:szCs w:val="20"/>
              </w:rPr>
              <w:t>个网格党支部书记的正常办公运转及服务群众工作和党建活动的需要，通过本项目的实施保障</w:t>
            </w:r>
            <w:r>
              <w:rPr>
                <w:rFonts w:ascii="宋体" w:hAnsi="宋体" w:cs="宋体" w:hint="eastAsia"/>
                <w:color w:val="000000"/>
                <w:kern w:val="0"/>
                <w:sz w:val="20"/>
                <w:szCs w:val="20"/>
              </w:rPr>
              <w:t>60</w:t>
            </w:r>
            <w:r>
              <w:rPr>
                <w:rFonts w:ascii="宋体" w:hAnsi="宋体" w:cs="宋体" w:hint="eastAsia"/>
                <w:color w:val="000000"/>
                <w:kern w:val="0"/>
                <w:sz w:val="20"/>
                <w:szCs w:val="20"/>
              </w:rPr>
              <w:t>个网格党支</w:t>
            </w:r>
            <w:r>
              <w:rPr>
                <w:rFonts w:ascii="宋体" w:hAnsi="宋体" w:cs="宋体" w:hint="eastAsia"/>
                <w:color w:val="000000"/>
                <w:kern w:val="0"/>
                <w:sz w:val="20"/>
                <w:szCs w:val="20"/>
              </w:rPr>
              <w:lastRenderedPageBreak/>
              <w:t>部的正常办公运转及服务群众工作和党建活动的需要，组织居民开展各项活动，丰富业余文化生活。使受益居民满意度达到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及以上。</w:t>
            </w:r>
          </w:p>
        </w:tc>
        <w:tc>
          <w:tcPr>
            <w:tcW w:w="3326" w:type="dxa"/>
            <w:gridSpan w:val="7"/>
            <w:tcBorders>
              <w:top w:val="single" w:sz="4" w:space="0" w:color="000000"/>
              <w:left w:val="single" w:sz="4" w:space="0" w:color="000000"/>
              <w:bottom w:val="single" w:sz="4" w:space="0" w:color="000000"/>
              <w:right w:val="single" w:sz="4" w:space="0" w:color="000000"/>
            </w:tcBorders>
            <w:shd w:val="clear" w:color="auto" w:fill="auto"/>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保障了</w:t>
            </w:r>
            <w:r>
              <w:rPr>
                <w:rFonts w:ascii="宋体" w:hAnsi="宋体" w:cs="宋体" w:hint="eastAsia"/>
                <w:color w:val="000000"/>
                <w:kern w:val="0"/>
                <w:sz w:val="20"/>
                <w:szCs w:val="20"/>
              </w:rPr>
              <w:t>2023</w:t>
            </w:r>
            <w:r>
              <w:rPr>
                <w:rFonts w:ascii="宋体" w:hAnsi="宋体" w:cs="宋体" w:hint="eastAsia"/>
                <w:color w:val="000000"/>
                <w:kern w:val="0"/>
                <w:sz w:val="20"/>
                <w:szCs w:val="20"/>
              </w:rPr>
              <w:t>年全年</w:t>
            </w:r>
            <w:r>
              <w:rPr>
                <w:rFonts w:ascii="宋体" w:hAnsi="宋体" w:cs="宋体" w:hint="eastAsia"/>
                <w:color w:val="000000"/>
                <w:kern w:val="0"/>
                <w:sz w:val="20"/>
                <w:szCs w:val="20"/>
              </w:rPr>
              <w:t>60</w:t>
            </w:r>
            <w:r>
              <w:rPr>
                <w:rFonts w:ascii="宋体" w:hAnsi="宋体" w:cs="宋体" w:hint="eastAsia"/>
                <w:color w:val="000000"/>
                <w:kern w:val="0"/>
                <w:sz w:val="20"/>
                <w:szCs w:val="20"/>
              </w:rPr>
              <w:t>个网格党支部书记的补助及时发放，保障</w:t>
            </w:r>
            <w:r>
              <w:rPr>
                <w:rFonts w:ascii="宋体" w:hAnsi="宋体" w:cs="宋体" w:hint="eastAsia"/>
                <w:color w:val="000000"/>
                <w:kern w:val="0"/>
                <w:sz w:val="20"/>
                <w:szCs w:val="20"/>
              </w:rPr>
              <w:t>60</w:t>
            </w:r>
            <w:r>
              <w:rPr>
                <w:rFonts w:ascii="宋体" w:hAnsi="宋体" w:cs="宋体" w:hint="eastAsia"/>
                <w:color w:val="000000"/>
                <w:kern w:val="0"/>
                <w:sz w:val="20"/>
                <w:szCs w:val="20"/>
              </w:rPr>
              <w:t>个网格党支部的正常办公运转及服务群</w:t>
            </w:r>
            <w:r>
              <w:rPr>
                <w:rFonts w:ascii="宋体" w:hAnsi="宋体" w:cs="宋体" w:hint="eastAsia"/>
                <w:color w:val="000000"/>
                <w:kern w:val="0"/>
                <w:sz w:val="20"/>
                <w:szCs w:val="20"/>
              </w:rPr>
              <w:lastRenderedPageBreak/>
              <w:t>众工作和党建活动的需要。</w:t>
            </w:r>
          </w:p>
        </w:tc>
      </w:tr>
      <w:tr w:rsidR="00616379">
        <w:trPr>
          <w:gridAfter w:val="1"/>
          <w:wAfter w:w="222" w:type="dxa"/>
          <w:trHeight w:val="312"/>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ascii="宋体" w:hAnsi="宋体" w:cs="宋体"/>
                <w:color w:val="000000"/>
                <w:kern w:val="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83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16379">
        <w:trPr>
          <w:trHeight w:val="288"/>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838" w:type="dxa"/>
            <w:gridSpan w:val="3"/>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01"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93"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1044" w:type="dxa"/>
            <w:gridSpan w:val="2"/>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16379" w:rsidRDefault="00616379">
            <w:pPr>
              <w:widowControl/>
              <w:jc w:val="center"/>
              <w:rPr>
                <w:rFonts w:ascii="宋体" w:hAnsi="宋体" w:cs="宋体"/>
                <w:color w:val="000000"/>
                <w:kern w:val="0"/>
                <w:sz w:val="20"/>
                <w:szCs w:val="20"/>
              </w:rPr>
            </w:pPr>
          </w:p>
        </w:tc>
      </w:tr>
      <w:tr w:rsidR="00616379">
        <w:trPr>
          <w:trHeight w:val="400"/>
          <w:jc w:val="center"/>
        </w:trPr>
        <w:tc>
          <w:tcPr>
            <w:tcW w:w="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资金覆盖网格个数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个</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资金覆盖社区个数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个</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任务完成时间</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网格党支部书记年补助金额</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&lt;</w:t>
            </w:r>
            <w:r>
              <w:rPr>
                <w:rFonts w:ascii="宋体" w:hAnsi="宋体" w:cs="宋体" w:hint="eastAsia"/>
                <w:color w:val="000000"/>
                <w:kern w:val="0"/>
                <w:sz w:val="20"/>
                <w:szCs w:val="20"/>
              </w:rPr>
              <w:t>=0.60</w:t>
            </w:r>
            <w:r>
              <w:rPr>
                <w:rFonts w:ascii="宋体" w:hAnsi="宋体" w:cs="宋体" w:hint="eastAsia"/>
                <w:color w:val="000000"/>
                <w:kern w:val="0"/>
                <w:sz w:val="20"/>
                <w:szCs w:val="20"/>
              </w:rPr>
              <w:t>万元</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=0.32</w:t>
            </w:r>
            <w:r>
              <w:rPr>
                <w:rFonts w:ascii="宋体" w:hAnsi="宋体" w:cs="宋体" w:hint="eastAsia"/>
                <w:color w:val="000000"/>
                <w:kern w:val="0"/>
                <w:sz w:val="20"/>
                <w:szCs w:val="20"/>
              </w:rPr>
              <w:t>万元</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6.25</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项目管理人员对资金规划不到位，</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10</w:t>
            </w:r>
            <w:r>
              <w:rPr>
                <w:rFonts w:ascii="宋体" w:hAnsi="宋体" w:cs="宋体" w:hint="eastAsia"/>
                <w:color w:val="000000"/>
                <w:kern w:val="0"/>
                <w:sz w:val="20"/>
                <w:szCs w:val="20"/>
              </w:rPr>
              <w:t>月</w:t>
            </w:r>
            <w:r>
              <w:rPr>
                <w:rFonts w:ascii="宋体" w:hAnsi="宋体" w:cs="宋体" w:hint="eastAsia"/>
                <w:color w:val="000000"/>
                <w:kern w:val="0"/>
                <w:sz w:val="20"/>
                <w:szCs w:val="20"/>
              </w:rPr>
              <w:t>-12</w:t>
            </w:r>
            <w:r>
              <w:rPr>
                <w:rFonts w:ascii="宋体" w:hAnsi="宋体" w:cs="宋体" w:hint="eastAsia"/>
                <w:color w:val="000000"/>
                <w:kern w:val="0"/>
                <w:sz w:val="20"/>
                <w:szCs w:val="20"/>
              </w:rPr>
              <w:t>月网格书记补贴未发放，资金财政局收回</w:t>
            </w: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提高党员积极性</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616379">
            <w:pPr>
              <w:widowControl/>
              <w:jc w:val="center"/>
              <w:rPr>
                <w:rFonts w:ascii="宋体" w:hAnsi="宋体" w:cs="宋体"/>
                <w:color w:val="000000"/>
                <w:kern w:val="0"/>
                <w:sz w:val="20"/>
                <w:szCs w:val="20"/>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left"/>
              <w:rPr>
                <w:rFonts w:eastAsia="Times New Roman"/>
                <w:kern w:val="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eastAsia="Times New Roman"/>
                <w:kern w:val="0"/>
                <w:sz w:val="20"/>
                <w:szCs w:val="20"/>
              </w:rPr>
            </w:pPr>
          </w:p>
        </w:tc>
        <w:tc>
          <w:tcPr>
            <w:tcW w:w="222" w:type="dxa"/>
            <w:vAlign w:val="center"/>
          </w:tcPr>
          <w:p w:rsidR="00616379" w:rsidRDefault="00616379">
            <w:pPr>
              <w:widowControl/>
              <w:jc w:val="left"/>
              <w:rPr>
                <w:rFonts w:eastAsia="Times New Roman"/>
                <w:kern w:val="0"/>
                <w:sz w:val="20"/>
                <w:szCs w:val="20"/>
              </w:rPr>
            </w:pPr>
          </w:p>
        </w:tc>
      </w:tr>
      <w:tr w:rsidR="00616379">
        <w:trPr>
          <w:trHeight w:val="400"/>
          <w:jc w:val="center"/>
        </w:trPr>
        <w:tc>
          <w:tcPr>
            <w:tcW w:w="505" w:type="dxa"/>
            <w:vMerge/>
            <w:tcBorders>
              <w:top w:val="single" w:sz="4" w:space="0" w:color="000000"/>
              <w:left w:val="single" w:sz="4" w:space="0" w:color="000000"/>
              <w:bottom w:val="single" w:sz="4" w:space="0" w:color="000000"/>
              <w:right w:val="single" w:sz="4" w:space="0" w:color="000000"/>
            </w:tcBorders>
            <w:vAlign w:val="center"/>
          </w:tcPr>
          <w:p w:rsidR="00616379" w:rsidRDefault="00616379">
            <w:pPr>
              <w:widowControl/>
              <w:jc w:val="left"/>
              <w:rPr>
                <w:rFonts w:ascii="宋体" w:hAnsi="宋体" w:cs="宋体"/>
                <w:color w:val="000000"/>
                <w:kern w:val="0"/>
                <w:sz w:val="20"/>
                <w:szCs w:val="20"/>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8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16379" w:rsidRDefault="00B9365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项目管理人员对资金规划不到位，</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10</w:t>
            </w:r>
            <w:r>
              <w:rPr>
                <w:rFonts w:ascii="宋体" w:hAnsi="宋体" w:cs="宋体" w:hint="eastAsia"/>
                <w:color w:val="000000"/>
                <w:kern w:val="0"/>
                <w:sz w:val="20"/>
                <w:szCs w:val="20"/>
              </w:rPr>
              <w:t>月</w:t>
            </w:r>
            <w:r>
              <w:rPr>
                <w:rFonts w:ascii="宋体" w:hAnsi="宋体" w:cs="宋体" w:hint="eastAsia"/>
                <w:color w:val="000000"/>
                <w:kern w:val="0"/>
                <w:sz w:val="20"/>
                <w:szCs w:val="20"/>
              </w:rPr>
              <w:t>-12</w:t>
            </w:r>
            <w:r>
              <w:rPr>
                <w:rFonts w:ascii="宋体" w:hAnsi="宋体" w:cs="宋体" w:hint="eastAsia"/>
                <w:color w:val="000000"/>
                <w:kern w:val="0"/>
                <w:sz w:val="20"/>
                <w:szCs w:val="20"/>
              </w:rPr>
              <w:lastRenderedPageBreak/>
              <w:t>月网格书记补贴未发放，资金财政局收回，网格书记满意度降低</w:t>
            </w:r>
          </w:p>
        </w:tc>
        <w:tc>
          <w:tcPr>
            <w:tcW w:w="222" w:type="dxa"/>
            <w:vAlign w:val="center"/>
          </w:tcPr>
          <w:p w:rsidR="00616379" w:rsidRDefault="00616379">
            <w:pPr>
              <w:widowControl/>
              <w:jc w:val="left"/>
              <w:rPr>
                <w:rFonts w:eastAsia="Times New Roman"/>
                <w:kern w:val="0"/>
                <w:sz w:val="20"/>
                <w:szCs w:val="20"/>
              </w:rPr>
            </w:pPr>
          </w:p>
        </w:tc>
      </w:tr>
      <w:tr w:rsidR="00616379">
        <w:trPr>
          <w:trHeight w:val="288"/>
          <w:jc w:val="center"/>
        </w:trPr>
        <w:tc>
          <w:tcPr>
            <w:tcW w:w="576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B93652">
            <w:pPr>
              <w:widowControl/>
              <w:jc w:val="center"/>
              <w:rPr>
                <w:rFonts w:ascii="宋体" w:hAnsi="宋体" w:cs="宋体"/>
                <w:color w:val="000000"/>
                <w:kern w:val="0"/>
                <w:sz w:val="20"/>
                <w:szCs w:val="20"/>
              </w:rPr>
            </w:pPr>
            <w:r>
              <w:rPr>
                <w:rFonts w:ascii="宋体" w:hAnsi="宋体" w:cs="宋体" w:hint="eastAsia"/>
                <w:color w:val="000000"/>
                <w:kern w:val="0"/>
                <w:sz w:val="20"/>
                <w:szCs w:val="20"/>
              </w:rPr>
              <w:t>86.91</w:t>
            </w:r>
            <w:r>
              <w:rPr>
                <w:rFonts w:ascii="宋体" w:hAnsi="宋体" w:cs="宋体" w:hint="eastAsia"/>
                <w:color w:val="000000"/>
                <w:kern w:val="0"/>
                <w:sz w:val="20"/>
                <w:szCs w:val="20"/>
              </w:rPr>
              <w:t>分</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6379" w:rsidRDefault="00616379">
            <w:pPr>
              <w:widowControl/>
              <w:jc w:val="center"/>
              <w:rPr>
                <w:rFonts w:ascii="宋体" w:hAnsi="宋体" w:cs="宋体"/>
                <w:color w:val="000000"/>
                <w:kern w:val="0"/>
                <w:sz w:val="20"/>
                <w:szCs w:val="20"/>
              </w:rPr>
            </w:pPr>
          </w:p>
        </w:tc>
        <w:tc>
          <w:tcPr>
            <w:tcW w:w="222" w:type="dxa"/>
            <w:vAlign w:val="center"/>
          </w:tcPr>
          <w:p w:rsidR="00616379" w:rsidRDefault="00616379">
            <w:pPr>
              <w:widowControl/>
              <w:jc w:val="left"/>
              <w:rPr>
                <w:rFonts w:eastAsia="Times New Roman"/>
                <w:kern w:val="0"/>
                <w:sz w:val="20"/>
                <w:szCs w:val="20"/>
              </w:rPr>
            </w:pPr>
          </w:p>
        </w:tc>
      </w:tr>
    </w:tbl>
    <w:p w:rsidR="00616379" w:rsidRDefault="00616379">
      <w:pPr>
        <w:ind w:firstLineChars="200" w:firstLine="640"/>
        <w:jc w:val="left"/>
        <w:rPr>
          <w:rFonts w:ascii="仿宋_GB2312" w:eastAsia="仿宋_GB2312"/>
          <w:sz w:val="32"/>
          <w:szCs w:val="32"/>
        </w:rPr>
      </w:pPr>
    </w:p>
    <w:p w:rsidR="00616379" w:rsidRDefault="00B93652">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616379" w:rsidRDefault="00B93652">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616379" w:rsidRDefault="00B93652" w:rsidP="00193931">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int="eastAsia"/>
          <w:sz w:val="32"/>
          <w:szCs w:val="32"/>
        </w:rPr>
        <w:t>收入、其他收入的结转和结余。</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616379" w:rsidRDefault="00B9365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616379" w:rsidRDefault="00B9365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616379" w:rsidRDefault="00B9365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616379" w:rsidRDefault="00B9365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w:t>
      </w:r>
      <w:r>
        <w:rPr>
          <w:rFonts w:ascii="仿宋_GB2312" w:eastAsia="仿宋_GB2312" w:hint="eastAsia"/>
          <w:sz w:val="32"/>
          <w:szCs w:val="32"/>
        </w:rPr>
        <w:t>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16379" w:rsidRDefault="00B93652">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616379" w:rsidRDefault="00B93652">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616379" w:rsidRDefault="00B93652">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616379" w:rsidRDefault="00B93652">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616379" w:rsidRDefault="00B93652">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616379" w:rsidRDefault="00B93652">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616379" w:rsidRDefault="00B93652">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616379" w:rsidRDefault="00B93652">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616379" w:rsidRDefault="00B9365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616379" w:rsidRDefault="00B93652">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616379" w:rsidRDefault="00B9365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616379" w:rsidRDefault="00616379">
      <w:pPr>
        <w:ind w:firstLineChars="200" w:firstLine="640"/>
        <w:rPr>
          <w:rFonts w:ascii="仿宋_GB2312" w:eastAsia="仿宋_GB2312"/>
          <w:sz w:val="32"/>
          <w:szCs w:val="32"/>
        </w:rPr>
      </w:pPr>
    </w:p>
    <w:p w:rsidR="00616379" w:rsidRDefault="00616379">
      <w:pPr>
        <w:ind w:firstLineChars="200" w:firstLine="640"/>
        <w:outlineLvl w:val="1"/>
        <w:rPr>
          <w:rFonts w:ascii="黑体" w:eastAsia="黑体" w:hAnsi="黑体" w:cs="宋体"/>
          <w:bCs/>
          <w:kern w:val="0"/>
          <w:sz w:val="32"/>
          <w:szCs w:val="32"/>
        </w:rPr>
      </w:pPr>
    </w:p>
    <w:sectPr w:rsidR="00616379" w:rsidSect="008C0FA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652" w:rsidRDefault="00B93652">
      <w:r>
        <w:separator/>
      </w:r>
    </w:p>
  </w:endnote>
  <w:endnote w:type="continuationSeparator" w:id="1">
    <w:p w:rsidR="00B93652" w:rsidRDefault="00B93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379" w:rsidRDefault="008C0FA3">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616379" w:rsidRDefault="008C0FA3">
                <w:pPr>
                  <w:pStyle w:val="a4"/>
                </w:pPr>
                <w:r>
                  <w:rPr>
                    <w:rFonts w:hint="eastAsia"/>
                  </w:rPr>
                  <w:fldChar w:fldCharType="begin"/>
                </w:r>
                <w:r w:rsidR="00B93652">
                  <w:rPr>
                    <w:rFonts w:hint="eastAsia"/>
                  </w:rPr>
                  <w:instrText xml:space="preserve"> PAGE  \* MERGEFORMAT </w:instrText>
                </w:r>
                <w:r>
                  <w:rPr>
                    <w:rFonts w:hint="eastAsia"/>
                  </w:rPr>
                  <w:fldChar w:fldCharType="separate"/>
                </w:r>
                <w:r w:rsidR="007039A0">
                  <w:rPr>
                    <w:noProof/>
                  </w:rPr>
                  <w:t>30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652" w:rsidRDefault="00B93652">
      <w:r>
        <w:separator/>
      </w:r>
    </w:p>
  </w:footnote>
  <w:footnote w:type="continuationSeparator" w:id="1">
    <w:p w:rsidR="00B93652" w:rsidRDefault="00B93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360E77"/>
    <w:rsid w:val="000D7026"/>
    <w:rsid w:val="00124B53"/>
    <w:rsid w:val="001865BD"/>
    <w:rsid w:val="00193931"/>
    <w:rsid w:val="00213C59"/>
    <w:rsid w:val="002A716F"/>
    <w:rsid w:val="003210CE"/>
    <w:rsid w:val="00360E77"/>
    <w:rsid w:val="003B7931"/>
    <w:rsid w:val="003F027C"/>
    <w:rsid w:val="004612FC"/>
    <w:rsid w:val="004F5497"/>
    <w:rsid w:val="00536BD9"/>
    <w:rsid w:val="005B7D32"/>
    <w:rsid w:val="005C647C"/>
    <w:rsid w:val="00616379"/>
    <w:rsid w:val="006718BB"/>
    <w:rsid w:val="006A2943"/>
    <w:rsid w:val="007039A0"/>
    <w:rsid w:val="00827507"/>
    <w:rsid w:val="008C0FA3"/>
    <w:rsid w:val="00973685"/>
    <w:rsid w:val="009C45BB"/>
    <w:rsid w:val="009D5E69"/>
    <w:rsid w:val="00A62266"/>
    <w:rsid w:val="00AF0948"/>
    <w:rsid w:val="00B26A57"/>
    <w:rsid w:val="00B70D59"/>
    <w:rsid w:val="00B93652"/>
    <w:rsid w:val="00C47F0F"/>
    <w:rsid w:val="00C5660C"/>
    <w:rsid w:val="00D843B8"/>
    <w:rsid w:val="00DA0A77"/>
    <w:rsid w:val="00DC26BF"/>
    <w:rsid w:val="00DF313E"/>
    <w:rsid w:val="00E054C9"/>
    <w:rsid w:val="00E2746C"/>
    <w:rsid w:val="00E30E33"/>
    <w:rsid w:val="00E34E48"/>
    <w:rsid w:val="00E94E0F"/>
    <w:rsid w:val="00F52A8D"/>
    <w:rsid w:val="00F906B3"/>
    <w:rsid w:val="00FD07DA"/>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6A9559F"/>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0FA3"/>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C0FA3"/>
    <w:pPr>
      <w:jc w:val="left"/>
    </w:pPr>
  </w:style>
  <w:style w:type="paragraph" w:styleId="3">
    <w:name w:val="toc 3"/>
    <w:basedOn w:val="a"/>
    <w:next w:val="a"/>
    <w:qFormat/>
    <w:rsid w:val="008C0FA3"/>
    <w:pPr>
      <w:ind w:leftChars="400" w:left="840"/>
    </w:pPr>
  </w:style>
  <w:style w:type="paragraph" w:styleId="a4">
    <w:name w:val="footer"/>
    <w:basedOn w:val="a"/>
    <w:qFormat/>
    <w:rsid w:val="008C0FA3"/>
    <w:pPr>
      <w:tabs>
        <w:tab w:val="center" w:pos="4153"/>
        <w:tab w:val="right" w:pos="8306"/>
      </w:tabs>
      <w:snapToGrid w:val="0"/>
      <w:jc w:val="left"/>
    </w:pPr>
    <w:rPr>
      <w:sz w:val="18"/>
    </w:rPr>
  </w:style>
  <w:style w:type="paragraph" w:styleId="a5">
    <w:name w:val="header"/>
    <w:basedOn w:val="a"/>
    <w:qFormat/>
    <w:rsid w:val="008C0FA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8C0FA3"/>
  </w:style>
  <w:style w:type="paragraph" w:styleId="2">
    <w:name w:val="toc 2"/>
    <w:basedOn w:val="a"/>
    <w:next w:val="a"/>
    <w:qFormat/>
    <w:rsid w:val="008C0FA3"/>
    <w:pPr>
      <w:ind w:leftChars="200" w:left="420"/>
    </w:pPr>
  </w:style>
  <w:style w:type="paragraph" w:styleId="a6">
    <w:name w:val="Normal (Web)"/>
    <w:basedOn w:val="a"/>
    <w:qFormat/>
    <w:rsid w:val="008C0FA3"/>
    <w:pPr>
      <w:spacing w:before="100" w:beforeAutospacing="1" w:after="100" w:afterAutospacing="1"/>
      <w:jc w:val="left"/>
    </w:pPr>
    <w:rPr>
      <w:kern w:val="0"/>
      <w:sz w:val="24"/>
    </w:rPr>
  </w:style>
  <w:style w:type="character" w:styleId="a7">
    <w:name w:val="Strong"/>
    <w:basedOn w:val="a0"/>
    <w:qFormat/>
    <w:rsid w:val="008C0FA3"/>
    <w:rPr>
      <w:b/>
    </w:rPr>
  </w:style>
  <w:style w:type="paragraph" w:customStyle="1" w:styleId="WPSOffice3">
    <w:name w:val="WPSOffice手动目录 3"/>
    <w:qFormat/>
    <w:rsid w:val="008C0FA3"/>
    <w:pPr>
      <w:ind w:leftChars="400" w:left="400"/>
    </w:pPr>
  </w:style>
  <w:style w:type="paragraph" w:customStyle="1" w:styleId="WPSOffice2">
    <w:name w:val="WPSOffice手动目录 2"/>
    <w:qFormat/>
    <w:rsid w:val="008C0FA3"/>
    <w:pPr>
      <w:ind w:leftChars="200" w:left="200"/>
    </w:pPr>
  </w:style>
  <w:style w:type="paragraph" w:customStyle="1" w:styleId="WPSOffice1">
    <w:name w:val="WPSOffice手动目录 1"/>
    <w:qFormat/>
    <w:rsid w:val="008C0FA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4061</Words>
  <Characters>23149</Characters>
  <Application>Microsoft Office Word</Application>
  <DocSecurity>0</DocSecurity>
  <Lines>192</Lines>
  <Paragraphs>54</Paragraphs>
  <ScaleCrop>false</ScaleCrop>
  <Company/>
  <LinksUpToDate>false</LinksUpToDate>
  <CharactersWithSpaces>27156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23</cp:revision>
  <dcterms:created xsi:type="dcterms:W3CDTF">2014-10-29T12:08:00Z</dcterms:created>
  <dcterms:modified xsi:type="dcterms:W3CDTF">2025-10-28T10:59:00Z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