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F92CDB7">
      <w:pPr>
        <w:spacing w:line="540" w:lineRule="exact"/>
        <w:jc w:val="left"/>
        <w:rPr>
          <w:rFonts w:ascii="仿宋" w:hAnsi="仿宋" w:eastAsia="仿宋" w:cs="宋体"/>
          <w:color w:val="auto"/>
          <w:kern w:val="0"/>
          <w:sz w:val="32"/>
          <w:szCs w:val="32"/>
        </w:rPr>
      </w:pPr>
      <w:r>
        <w:rPr>
          <w:rFonts w:hint="eastAsia" w:ascii="仿宋" w:hAnsi="仿宋" w:eastAsia="仿宋" w:cs="宋体"/>
          <w:color w:val="auto"/>
          <w:kern w:val="0"/>
          <w:sz w:val="32"/>
          <w:szCs w:val="32"/>
        </w:rPr>
        <w:t>附件2：</w:t>
      </w:r>
    </w:p>
    <w:p w14:paraId="055310BD">
      <w:pPr>
        <w:spacing w:line="540" w:lineRule="exact"/>
        <w:jc w:val="center"/>
        <w:rPr>
          <w:rFonts w:ascii="华文中宋" w:hAnsi="华文中宋" w:eastAsia="华文中宋" w:cs="宋体"/>
          <w:b/>
          <w:color w:val="auto"/>
          <w:kern w:val="0"/>
          <w:sz w:val="52"/>
          <w:szCs w:val="52"/>
        </w:rPr>
      </w:pPr>
    </w:p>
    <w:p w14:paraId="4E6563B0">
      <w:pPr>
        <w:spacing w:line="540" w:lineRule="exact"/>
        <w:jc w:val="center"/>
        <w:rPr>
          <w:rFonts w:ascii="华文中宋" w:hAnsi="华文中宋" w:eastAsia="华文中宋" w:cs="宋体"/>
          <w:b/>
          <w:color w:val="auto"/>
          <w:kern w:val="0"/>
          <w:sz w:val="52"/>
          <w:szCs w:val="52"/>
        </w:rPr>
      </w:pPr>
      <w:bookmarkStart w:id="0" w:name="_GoBack"/>
      <w:bookmarkEnd w:id="0"/>
    </w:p>
    <w:p w14:paraId="0ECC4D9F">
      <w:pPr>
        <w:spacing w:line="540" w:lineRule="exact"/>
        <w:jc w:val="center"/>
        <w:rPr>
          <w:rFonts w:ascii="华文中宋" w:hAnsi="华文中宋" w:eastAsia="华文中宋" w:cs="宋体"/>
          <w:b/>
          <w:color w:val="auto"/>
          <w:kern w:val="0"/>
          <w:sz w:val="52"/>
          <w:szCs w:val="52"/>
        </w:rPr>
      </w:pPr>
    </w:p>
    <w:p w14:paraId="616CE2B4">
      <w:pPr>
        <w:spacing w:line="540" w:lineRule="exact"/>
        <w:jc w:val="center"/>
        <w:rPr>
          <w:rFonts w:ascii="华文中宋" w:hAnsi="华文中宋" w:eastAsia="华文中宋" w:cs="宋体"/>
          <w:b/>
          <w:color w:val="auto"/>
          <w:kern w:val="0"/>
          <w:sz w:val="52"/>
          <w:szCs w:val="52"/>
        </w:rPr>
      </w:pPr>
    </w:p>
    <w:p w14:paraId="61335690">
      <w:pPr>
        <w:spacing w:line="540" w:lineRule="exact"/>
        <w:jc w:val="center"/>
        <w:rPr>
          <w:rFonts w:ascii="华文中宋" w:hAnsi="华文中宋" w:eastAsia="华文中宋" w:cs="宋体"/>
          <w:b/>
          <w:color w:val="auto"/>
          <w:kern w:val="0"/>
          <w:sz w:val="52"/>
          <w:szCs w:val="52"/>
        </w:rPr>
      </w:pPr>
    </w:p>
    <w:p w14:paraId="2E3BE15B">
      <w:pPr>
        <w:spacing w:line="540" w:lineRule="exact"/>
        <w:jc w:val="center"/>
        <w:rPr>
          <w:rFonts w:ascii="华文中宋" w:hAnsi="华文中宋" w:eastAsia="华文中宋" w:cs="宋体"/>
          <w:b/>
          <w:color w:val="auto"/>
          <w:kern w:val="0"/>
          <w:sz w:val="52"/>
          <w:szCs w:val="52"/>
        </w:rPr>
      </w:pPr>
    </w:p>
    <w:p w14:paraId="42367FE0">
      <w:pPr>
        <w:spacing w:line="540" w:lineRule="exact"/>
        <w:jc w:val="center"/>
        <w:rPr>
          <w:rFonts w:ascii="方正小标宋_GBK" w:hAnsi="华文中宋" w:eastAsia="方正小标宋_GBK" w:cs="宋体"/>
          <w:b/>
          <w:color w:val="auto"/>
          <w:kern w:val="0"/>
          <w:sz w:val="48"/>
          <w:szCs w:val="48"/>
        </w:rPr>
      </w:pPr>
      <w:r>
        <w:rPr>
          <w:rFonts w:hint="eastAsia" w:ascii="方正小标宋_GBK" w:hAnsi="华文中宋" w:eastAsia="方正小标宋_GBK" w:cs="宋体"/>
          <w:b/>
          <w:color w:val="auto"/>
          <w:kern w:val="0"/>
          <w:sz w:val="48"/>
          <w:szCs w:val="48"/>
        </w:rPr>
        <w:t>项目支出绩效自评报告</w:t>
      </w:r>
    </w:p>
    <w:p w14:paraId="500AF1AB">
      <w:pPr>
        <w:spacing w:line="540" w:lineRule="exact"/>
        <w:jc w:val="center"/>
        <w:rPr>
          <w:rFonts w:ascii="华文中宋" w:hAnsi="华文中宋" w:eastAsia="华文中宋" w:cs="宋体"/>
          <w:b/>
          <w:color w:val="auto"/>
          <w:kern w:val="0"/>
          <w:sz w:val="52"/>
          <w:szCs w:val="52"/>
        </w:rPr>
      </w:pPr>
    </w:p>
    <w:p w14:paraId="36F9D7B9">
      <w:pPr>
        <w:spacing w:line="540" w:lineRule="exact"/>
        <w:jc w:val="center"/>
        <w:rPr>
          <w:rFonts w:hAnsi="宋体" w:eastAsia="仿宋_GB2312" w:cs="宋体"/>
          <w:color w:val="auto"/>
          <w:kern w:val="0"/>
          <w:sz w:val="36"/>
          <w:szCs w:val="36"/>
        </w:rPr>
      </w:pPr>
      <w:r>
        <w:rPr>
          <w:rFonts w:hint="eastAsia" w:hAnsi="宋体" w:eastAsia="仿宋_GB2312" w:cs="宋体"/>
          <w:color w:val="auto"/>
          <w:kern w:val="0"/>
          <w:sz w:val="36"/>
          <w:szCs w:val="36"/>
        </w:rPr>
        <w:t xml:space="preserve">（   </w:t>
      </w:r>
      <w:r>
        <w:rPr>
          <w:rStyle w:val="18"/>
          <w:rFonts w:hint="eastAsia" w:ascii="楷体" w:hAnsi="楷体" w:eastAsia="楷体"/>
          <w:color w:val="auto"/>
          <w:spacing w:val="-4"/>
          <w:sz w:val="32"/>
          <w:szCs w:val="32"/>
        </w:rPr>
        <w:t>2023</w:t>
      </w:r>
      <w:r>
        <w:rPr>
          <w:rFonts w:hint="eastAsia" w:hAnsi="宋体" w:eastAsia="仿宋_GB2312" w:cs="宋体"/>
          <w:color w:val="auto"/>
          <w:kern w:val="0"/>
          <w:sz w:val="36"/>
          <w:szCs w:val="36"/>
        </w:rPr>
        <w:t xml:space="preserve">  年度）</w:t>
      </w:r>
    </w:p>
    <w:p w14:paraId="48AA8ADD">
      <w:pPr>
        <w:spacing w:line="540" w:lineRule="exact"/>
        <w:jc w:val="center"/>
        <w:rPr>
          <w:rFonts w:hAnsi="宋体" w:eastAsia="仿宋_GB2312" w:cs="宋体"/>
          <w:color w:val="auto"/>
          <w:kern w:val="0"/>
          <w:sz w:val="30"/>
          <w:szCs w:val="30"/>
        </w:rPr>
      </w:pPr>
    </w:p>
    <w:p w14:paraId="72555313">
      <w:pPr>
        <w:spacing w:line="540" w:lineRule="exact"/>
        <w:jc w:val="center"/>
        <w:rPr>
          <w:rFonts w:hAnsi="宋体" w:eastAsia="仿宋_GB2312" w:cs="宋体"/>
          <w:color w:val="auto"/>
          <w:kern w:val="0"/>
          <w:sz w:val="30"/>
          <w:szCs w:val="30"/>
        </w:rPr>
      </w:pPr>
    </w:p>
    <w:p w14:paraId="142C1020">
      <w:pPr>
        <w:spacing w:line="540" w:lineRule="exact"/>
        <w:jc w:val="center"/>
        <w:rPr>
          <w:rFonts w:hAnsi="宋体" w:eastAsia="仿宋_GB2312" w:cs="宋体"/>
          <w:color w:val="auto"/>
          <w:kern w:val="0"/>
          <w:sz w:val="30"/>
          <w:szCs w:val="30"/>
        </w:rPr>
      </w:pPr>
    </w:p>
    <w:p w14:paraId="4D40C3B0">
      <w:pPr>
        <w:spacing w:line="540" w:lineRule="exact"/>
        <w:jc w:val="center"/>
        <w:rPr>
          <w:rFonts w:hAnsi="宋体" w:eastAsia="仿宋_GB2312" w:cs="宋体"/>
          <w:color w:val="auto"/>
          <w:kern w:val="0"/>
          <w:sz w:val="30"/>
          <w:szCs w:val="30"/>
        </w:rPr>
      </w:pPr>
    </w:p>
    <w:p w14:paraId="3D6719D6">
      <w:pPr>
        <w:spacing w:line="540" w:lineRule="exact"/>
        <w:jc w:val="center"/>
        <w:rPr>
          <w:rFonts w:hAnsi="宋体" w:eastAsia="仿宋_GB2312" w:cs="宋体"/>
          <w:color w:val="auto"/>
          <w:kern w:val="0"/>
          <w:sz w:val="30"/>
          <w:szCs w:val="30"/>
        </w:rPr>
      </w:pPr>
    </w:p>
    <w:p w14:paraId="36465B91">
      <w:pPr>
        <w:spacing w:line="540" w:lineRule="exact"/>
        <w:jc w:val="center"/>
        <w:rPr>
          <w:rFonts w:hAnsi="宋体" w:eastAsia="仿宋_GB2312" w:cs="宋体"/>
          <w:color w:val="auto"/>
          <w:kern w:val="0"/>
          <w:sz w:val="30"/>
          <w:szCs w:val="30"/>
        </w:rPr>
      </w:pPr>
    </w:p>
    <w:p w14:paraId="3C76E737">
      <w:pPr>
        <w:spacing w:line="540" w:lineRule="exact"/>
        <w:rPr>
          <w:rFonts w:hAnsi="宋体" w:eastAsia="仿宋_GB2312" w:cs="宋体"/>
          <w:color w:val="auto"/>
          <w:kern w:val="0"/>
          <w:sz w:val="30"/>
          <w:szCs w:val="30"/>
        </w:rPr>
      </w:pPr>
    </w:p>
    <w:p w14:paraId="640382EC">
      <w:pPr>
        <w:spacing w:line="700" w:lineRule="exact"/>
        <w:jc w:val="left"/>
        <w:rPr>
          <w:rFonts w:hAnsi="宋体" w:eastAsia="仿宋_GB2312" w:cs="宋体"/>
          <w:color w:val="auto"/>
          <w:kern w:val="0"/>
          <w:sz w:val="36"/>
          <w:szCs w:val="36"/>
        </w:rPr>
      </w:pPr>
      <w:r>
        <w:rPr>
          <w:rFonts w:hint="eastAsia" w:hAnsi="宋体" w:eastAsia="仿宋_GB2312" w:cs="宋体"/>
          <w:color w:val="auto"/>
          <w:kern w:val="0"/>
          <w:sz w:val="36"/>
          <w:szCs w:val="36"/>
        </w:rPr>
        <w:t xml:space="preserve">     </w:t>
      </w:r>
    </w:p>
    <w:p w14:paraId="3677356D">
      <w:pPr>
        <w:spacing w:line="700" w:lineRule="exact"/>
        <w:ind w:firstLine="900" w:firstLineChars="250"/>
        <w:jc w:val="left"/>
        <w:rPr>
          <w:rFonts w:hAnsi="宋体" w:eastAsia="仿宋_GB2312" w:cs="宋体"/>
          <w:color w:val="auto"/>
          <w:kern w:val="0"/>
          <w:sz w:val="36"/>
          <w:szCs w:val="36"/>
        </w:rPr>
      </w:pPr>
      <w:r>
        <w:rPr>
          <w:rFonts w:hint="eastAsia" w:hAnsi="宋体" w:eastAsia="仿宋_GB2312" w:cs="宋体"/>
          <w:color w:val="auto"/>
          <w:kern w:val="0"/>
          <w:sz w:val="36"/>
          <w:szCs w:val="36"/>
        </w:rPr>
        <w:t>项目名称：</w:t>
      </w:r>
      <w:r>
        <w:rPr>
          <w:rStyle w:val="18"/>
          <w:rFonts w:hint="eastAsia" w:ascii="楷体" w:hAnsi="楷体" w:eastAsia="楷体"/>
          <w:color w:val="auto"/>
          <w:spacing w:val="-4"/>
          <w:sz w:val="32"/>
          <w:szCs w:val="32"/>
        </w:rPr>
        <w:t>昌吉州昌吉市2023年燃气设施老化更新改造建设项目</w:t>
      </w:r>
    </w:p>
    <w:p w14:paraId="639152AE">
      <w:pPr>
        <w:spacing w:line="540" w:lineRule="exact"/>
        <w:ind w:firstLine="567"/>
        <w:rPr>
          <w:rFonts w:ascii="楷体" w:hAnsi="楷体" w:eastAsia="楷体"/>
          <w:b/>
          <w:bCs/>
          <w:color w:val="auto"/>
          <w:spacing w:val="-4"/>
          <w:sz w:val="32"/>
          <w:szCs w:val="32"/>
        </w:rPr>
      </w:pPr>
      <w:r>
        <w:rPr>
          <w:rFonts w:hint="eastAsia" w:hAnsi="宋体" w:eastAsia="仿宋_GB2312" w:cs="宋体"/>
          <w:color w:val="auto"/>
          <w:kern w:val="0"/>
          <w:sz w:val="36"/>
          <w:szCs w:val="36"/>
        </w:rPr>
        <w:t xml:space="preserve">  实施单位（公章）：</w:t>
      </w:r>
      <w:r>
        <w:rPr>
          <w:rStyle w:val="18"/>
          <w:rFonts w:hint="eastAsia" w:ascii="楷体" w:hAnsi="楷体" w:eastAsia="楷体"/>
          <w:color w:val="auto"/>
          <w:spacing w:val="-4"/>
          <w:sz w:val="28"/>
          <w:szCs w:val="28"/>
        </w:rPr>
        <w:t>昌吉市城市管理局</w:t>
      </w:r>
    </w:p>
    <w:p w14:paraId="2A6A9A7B">
      <w:pPr>
        <w:spacing w:line="540" w:lineRule="exact"/>
        <w:ind w:firstLine="900" w:firstLineChars="250"/>
        <w:rPr>
          <w:rFonts w:ascii="楷体" w:hAnsi="楷体" w:eastAsia="楷体"/>
          <w:b/>
          <w:bCs/>
          <w:color w:val="auto"/>
          <w:spacing w:val="-4"/>
          <w:sz w:val="28"/>
          <w:szCs w:val="28"/>
        </w:rPr>
      </w:pPr>
      <w:r>
        <w:rPr>
          <w:rFonts w:hint="eastAsia" w:hAnsi="宋体" w:eastAsia="仿宋_GB2312" w:cs="宋体"/>
          <w:color w:val="auto"/>
          <w:kern w:val="0"/>
          <w:sz w:val="36"/>
          <w:szCs w:val="36"/>
        </w:rPr>
        <w:t>主管部门（公章）：</w:t>
      </w:r>
      <w:r>
        <w:rPr>
          <w:rStyle w:val="18"/>
          <w:rFonts w:hint="eastAsia" w:ascii="楷体" w:hAnsi="楷体" w:eastAsia="楷体"/>
          <w:color w:val="auto"/>
          <w:spacing w:val="-4"/>
          <w:sz w:val="28"/>
          <w:szCs w:val="28"/>
        </w:rPr>
        <w:t>昌吉市城市管理局</w:t>
      </w:r>
    </w:p>
    <w:p w14:paraId="748FD577">
      <w:pPr>
        <w:spacing w:line="540" w:lineRule="exact"/>
        <w:ind w:firstLine="900" w:firstLineChars="250"/>
        <w:rPr>
          <w:rFonts w:ascii="楷体" w:hAnsi="楷体" w:eastAsia="楷体"/>
          <w:b/>
          <w:bCs/>
          <w:color w:val="auto"/>
          <w:spacing w:val="-4"/>
          <w:sz w:val="32"/>
          <w:szCs w:val="32"/>
        </w:rPr>
      </w:pPr>
      <w:r>
        <w:rPr>
          <w:rFonts w:hint="eastAsia" w:hAnsi="宋体" w:eastAsia="仿宋_GB2312" w:cs="宋体"/>
          <w:color w:val="auto"/>
          <w:kern w:val="0"/>
          <w:sz w:val="36"/>
          <w:szCs w:val="36"/>
        </w:rPr>
        <w:t>项目负责人（签章）：</w:t>
      </w:r>
      <w:r>
        <w:rPr>
          <w:rStyle w:val="18"/>
          <w:rFonts w:hint="eastAsia" w:ascii="楷体" w:hAnsi="楷体" w:eastAsia="楷体"/>
          <w:color w:val="auto"/>
          <w:spacing w:val="-4"/>
          <w:sz w:val="32"/>
          <w:szCs w:val="32"/>
        </w:rPr>
        <w:t>桑国斌</w:t>
      </w:r>
    </w:p>
    <w:p w14:paraId="13726E83">
      <w:pPr>
        <w:spacing w:line="540" w:lineRule="exact"/>
        <w:ind w:left="273" w:firstLine="567"/>
        <w:rPr>
          <w:rStyle w:val="18"/>
          <w:rFonts w:ascii="楷体" w:hAnsi="楷体" w:eastAsia="楷体"/>
          <w:color w:val="auto"/>
          <w:spacing w:val="-4"/>
          <w:sz w:val="32"/>
          <w:szCs w:val="32"/>
        </w:rPr>
      </w:pPr>
      <w:r>
        <w:rPr>
          <w:rFonts w:hint="eastAsia" w:hAnsi="宋体" w:eastAsia="仿宋_GB2312" w:cs="宋体"/>
          <w:color w:val="auto"/>
          <w:kern w:val="0"/>
          <w:sz w:val="36"/>
          <w:szCs w:val="36"/>
        </w:rPr>
        <w:t>填报时间：</w:t>
      </w:r>
      <w:r>
        <w:rPr>
          <w:rStyle w:val="18"/>
          <w:rFonts w:hint="eastAsia" w:ascii="楷体" w:hAnsi="楷体" w:eastAsia="楷体"/>
          <w:color w:val="auto"/>
          <w:spacing w:val="-4"/>
          <w:sz w:val="32"/>
          <w:szCs w:val="32"/>
        </w:rPr>
        <w:t>2024年04月16日</w:t>
      </w:r>
    </w:p>
    <w:p w14:paraId="3680FD4A">
      <w:pPr>
        <w:spacing w:line="700" w:lineRule="exact"/>
        <w:ind w:firstLine="708" w:firstLineChars="236"/>
        <w:jc w:val="left"/>
        <w:rPr>
          <w:rFonts w:hAnsi="宋体" w:eastAsia="仿宋_GB2312" w:cs="宋体"/>
          <w:color w:val="auto"/>
          <w:kern w:val="0"/>
          <w:sz w:val="30"/>
          <w:szCs w:val="30"/>
        </w:rPr>
      </w:pPr>
    </w:p>
    <w:p w14:paraId="20A2A1DE">
      <w:pPr>
        <w:spacing w:line="540" w:lineRule="exact"/>
        <w:rPr>
          <w:rStyle w:val="18"/>
          <w:rFonts w:ascii="黑体" w:hAnsi="黑体" w:eastAsia="黑体"/>
          <w:b w:val="0"/>
          <w:color w:val="auto"/>
          <w:spacing w:val="-4"/>
          <w:sz w:val="32"/>
          <w:szCs w:val="32"/>
        </w:rPr>
      </w:pPr>
    </w:p>
    <w:p w14:paraId="27590B81">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一、基本情况</w:t>
      </w:r>
    </w:p>
    <w:p w14:paraId="7ED817E2">
      <w:pPr>
        <w:spacing w:line="540" w:lineRule="exact"/>
        <w:ind w:firstLine="567"/>
        <w:rPr>
          <w:rStyle w:val="18"/>
          <w:rFonts w:hint="default" w:ascii="楷体" w:hAnsi="楷体" w:eastAsia="楷体"/>
          <w:color w:val="auto"/>
          <w:spacing w:val="-4"/>
          <w:sz w:val="32"/>
          <w:szCs w:val="32"/>
          <w:lang w:val="en-US" w:eastAsia="zh-CN"/>
        </w:rPr>
      </w:pPr>
      <w:r>
        <w:rPr>
          <w:rStyle w:val="18"/>
          <w:rFonts w:hint="eastAsia" w:ascii="楷体" w:hAnsi="楷体" w:eastAsia="楷体"/>
          <w:color w:val="auto"/>
          <w:spacing w:val="-4"/>
          <w:sz w:val="32"/>
          <w:szCs w:val="32"/>
        </w:rPr>
        <w:t>（一）项目概况</w:t>
      </w:r>
      <w:r>
        <w:rPr>
          <w:rStyle w:val="18"/>
          <w:rFonts w:hint="eastAsia" w:ascii="楷体" w:hAnsi="楷体" w:eastAsia="楷体"/>
          <w:color w:val="auto"/>
          <w:spacing w:val="-4"/>
          <w:sz w:val="32"/>
          <w:szCs w:val="32"/>
          <w:lang w:eastAsia="zh-CN"/>
        </w:rPr>
        <w:t>。</w:t>
      </w:r>
    </w:p>
    <w:p w14:paraId="64EED9C3">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1.项目背景</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2020年6月16日，昌吉回族自治州住房和城乡建设局发布了《关于全州推广使用燃气泄露报警装置的通知》（昌州建执法[2020]6号）。随着昌吉州燃气普及率的不断提高，各类燃气灶具、热水器进入居民生活，由于使用年限不断增加，存在的安全隐患也大幅增多，而燃气泄漏则是近年来燃气闪爆事故的最直接因素。安装室内燃气泄露报警器（以下简称“报警器”），是防止事故发生的重要手段。为保障昌吉州人民群众生命财产，降低燃气事故发生率，根据《城镇燃气管理条例》、《城镇燃气设计规范》（GB50028）、《城镇燃气技术规范》（GB50494）等有关规定，结合昌吉州民用天然气实际，在全州推广安装燃气报警装置。</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在此背景下，昌吉市城市管理局在认真学习国务院相关文件的基础上，结合昌吉市城镇燃气管网建设、管理、运行的实际情况，排查整治小区燃气安全风险和重大隐患，对小区燃气设施进行改造完善，保障人民生命财产安全。</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2.项目主要内容及实施情况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该项目为中长期项目，本项目总体内容为安装燃气泄漏报警器，昌吉市持续推进燃气设施安全设备安装项目，申报了燃气设施老化更新改造中央预算资金项目，计划总投资2300万元持续推进燃气泄漏报警器安装，实施44874户燃气泄漏报警器安装工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2023年，该项目于2023年7月17日资金到位，2023年10月8日在昌吉州公共资源交易中心三厅开标开工实施安装工程。截至目前，已完成31771户安装。通过本项目的实施，有效弥补了城市基础设施建设的短板、降低燃气安全隐患，保护人民群众生命财产安全和基础设施安全，保障城市安全运行，促进城市经济健康、稳步、可持续发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3.项目实施主体</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2023年昌吉州昌吉市燃气设施老化更新改造建设项目的实施主体为昌吉市城市管理局（昌吉市城市管理行政执法局），该单位纳入2023年部门决算编制范围的有5个办公室：党建办、行政办、法规办、综合业务科、供热燃气科。</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编制人数为109人，其中：行政人员编制15人、工勤0人、参公94人、事业编制0人。实有在职人数106人，其中：行政在职17人、工勤45人、参公28人、事业在职16人。离退休人员26人，其中：行政退休人员21人、事业退休5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 资金投入和使用情况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（1）项目资金安排落实、总投入情况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根据《关于下达2023年城市燃气管道等老化更新改造和保障性安居工程专项（城市燃气管道等老化更新改造方向）中央基建投资预算的通知》（昌州财建〔2023〕63号）文件，昌吉州昌吉市燃气设施老化更新改造建设项目预算安排资金总额622.68万元，其中财政资金622.68万元、其他资金0万元，2023年实际收到预算资金622.68万元，预算资金到位率为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（2）项目资金实际使用情况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截至2023年12月31日，本项目实际支付资金622.68万元，预算执行率100%。项目资金主要用于支付更换燃气报警器费用622.68万元。</w:t>
      </w:r>
    </w:p>
    <w:p w14:paraId="793AA3BC">
      <w:pPr>
        <w:spacing w:line="540" w:lineRule="exact"/>
        <w:ind w:firstLine="567"/>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（二）项目绩效目标</w:t>
      </w:r>
    </w:p>
    <w:p w14:paraId="79D52023">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1.总体目标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该项目计划投资2300万元持续推进燃气泄漏报警器安装，实施44874户燃气泄漏报警器安装工程。2023年计划投资622.68万元，用于完成31771户安装燃气报警器。</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2.阶段性目标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根据《预算法》、《关于印发&lt;项目支出绩效评价管理办法&gt;的通知》（财预〔2020〕10号）、《中共中央国务院关于全面实施预算绩效管理的意见》（中发〔2018〕34号）、《自治区党委自治区人民政府关于全面实施预算绩效管理的实施意见》（新党发〔2018〕30号）、《关于加强和规范自治区本级项目支出“全过程”预算绩效管理结果应用的通知》（新财预〔2022〕57号），结合昌吉市城市管理局的规章制度以及财务相关资料，评价小组对项目绩效目标进行了进一步的完善，完善后绩效目标如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（1）项目产出目标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①数量指标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“支持保障性安居工程配套基础设施建设项目”指标，预期指标值为“=1项”；</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“安装燃气报警器”指标，预期指标值为“≥31771户”；</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②质量指标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“资金使用合规率”指标，预期指标值为“=100%”；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③时效指标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“资金拨付及时率”指标，预期指标值为“=100%”；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④成本指标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“该项更换燃气报警器项目总价”指标，预期指标值为“≦622.68万元”；</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（2）项目效益目标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①经济效益指标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无此项指标；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②社会效益指标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“有效提升燃气报警器普及率”指标，预期指标值为“有效提升”；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③生态效益指标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无此项指标；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④可持续影响指标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无此项指标；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（3）相关满意度目标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“安装报警器居民满意度”指标，预期指标值为“≧90%”。</w:t>
      </w:r>
    </w:p>
    <w:p w14:paraId="7528E4A8">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二、绩效评价工作开展情况</w:t>
      </w:r>
    </w:p>
    <w:p w14:paraId="35B56105">
      <w:pPr>
        <w:spacing w:line="540" w:lineRule="exact"/>
        <w:ind w:firstLine="567" w:firstLineChars="181"/>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（一）绩效评价目的、对象和范围</w:t>
      </w:r>
    </w:p>
    <w:p w14:paraId="5431334B">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1.绩效评价的目的</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2.绩效评价的对象和范围</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次绩效评价遵循财政部《关于印发&lt;项目支出绩效评价管理办法&gt;的通知》（财预〔2020〕10号）以及自治区财政厅《自治区财政支出绩效评价管理暂行办法》（新财预〔2018〕189号）等文件规定，对2023年度我单位实施的昌吉州昌吉市燃气设施老化更新改造建设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14:paraId="1AC9BC1D">
      <w:pPr>
        <w:spacing w:line="540" w:lineRule="exact"/>
        <w:ind w:firstLine="567"/>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（二）绩效评价原则、评价指标体系、评价方法、评价标准</w:t>
      </w:r>
    </w:p>
    <w:p w14:paraId="2B95EE3E">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1.绩效评价原则</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依据《中华人民共和国预算法》、《关于印发&lt;项目支出绩效评价管理办法&gt;的通知》（财预〔2020〕10号）等法规和政策文件要求，本次绩效评价秉承科学规范、公正公开、分级分类、绩效相关等原则，按照从投入、过程到产出效果和影响的绩效逻辑路径，结合昌吉州昌吉市燃气设施老化更新改造建设项目实际开展情况，运用定量和定性分析相结合的方法，总结经验做法，反思项目实施和管理中的问题，以切实提升财政资金管理的科学化、规范化和精细化水平。</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根据以上原则，绩效评价遵循如下具体要求：</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（1）在数据采集时，采取客观数据主管部门审查、社会中介组织复查与问卷调查相结合的形式，以保证各项指标的真实性。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（2）保证评价结果的真实性、公正性，提高评价报告的公信力。</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（3）绩效评价报告简明扼要，除对绩效评价的过程、结果描述外，还总结经验、指出问题，并就共性问题提出可操作性改进建议。</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2.绩效评价指标体系及绩效评价标准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绩效评价指标体系根据财政部《关于印发&lt;项目支出绩效评价管理办法&gt;的通知》（财预〔2020〕10号）、自治区财政厅《自治区财政支出绩效评价管理暂行办法》（新财预〔2018〕189号）等文件要求，结合本项目特点，在与专家组充分协商的基础上，评价工作组细化了该项目的绩效评价指标体系（详见附表1）：</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一级指标为：决策、过程、产出、效益。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二级指标为：项目立项、绩效目标、资金投入、资金管理、组织实施、产出数量、产出质量、产出时效、产出成本、项目效益。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3.评价方法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本次评价采取定量与定性评价相结合的方式，采用比较法、公众评判法对项目实施过程以及预期绩效目标完成情况进行全面、系统的评价，总分由各项指标得分汇总形成。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 </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4.评价标准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14:paraId="0CA3636F">
      <w:pPr>
        <w:spacing w:line="540" w:lineRule="exact"/>
        <w:ind w:firstLine="567" w:firstLineChars="181"/>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（三）绩效评价工作过程</w:t>
      </w:r>
    </w:p>
    <w:p w14:paraId="57590DBA">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绩效评价工作过程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第一阶段：前期准备。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我单位绩效评价人员根据《项目支出绩效评价管理办法》（财预〔2020〕10号）文件精神认真学习相关要求与规定，成立绩效评价工作组，作为绩效评价工作具体实施机构。成员构成如下：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邢晓磊任评价组组长，绩效评价工作职责为检查项目绩效指标完成情况、审定项目支出绩效评价结果及项目支出绩效评价报告。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张玉英任评价组副组长，绩效评价工作职责为组织和协调项目工作人员采取实地调查、资料检查等方式，核实项目绩效指标完成情况；组织受益对象对项目工作进行评价等。</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白燕任评价组成员，绩效评价工作职责为做好项目支出绩效评价工作的沟通协调工作，对项目实施情况进行实地调查，编写项目支出绩效评价报告。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第二阶段：组织实施。</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经评价组通过实地调研、查阅资料等方式，采用综合分析法对项目的决策、管理、绩效进行的综合评价分析。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第三阶段：分析评价。</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首先按照指标体系进行定量、定性分析。其次开展量化打分、综合评价工作，形成初步评价结论。最后归纳整体项目情况与存在问题，撰写部门绩效评价报告。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第四阶段：撰写与提交评价报告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项目撰写绩效评价报告，按照财政单位大平台绩效系统中统一格式和文本框架撰写绩效评价报告。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第五阶段：归集档案</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建立和落实档案管理制度，将项目相关资料存档，包括但不限于：评价项目基本情况和相关文件、评价实施方案、项目支付资料等相关档案。</w:t>
      </w:r>
    </w:p>
    <w:p w14:paraId="71472030">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三、综合评价情况及评价结论</w:t>
      </w:r>
    </w:p>
    <w:p w14:paraId="4BF17E98">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综合评价情况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通过昌吉州昌吉市2023年燃气设施老化更新改造建设项目的实施，解决了燃气设施老化问题，实现了更新燃气设施、提高燃气报警器使用效益，该项目预算执行率达100%，项目预期绩效目标及各项具体指标均已全部达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（二）综合评价结论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次评价采取定量与定性评价相结合的方式，对昌吉州昌吉市燃气设施老化更新改造建设项目的绩效目标和各项具体绩效指标实现情况进行了客观评价，最终评分为100分。绩效评级为“优”，具体得分情况为：项目决策20分、项目过程20分、项目产出30分、项目效益30分。</w:t>
      </w:r>
    </w:p>
    <w:p w14:paraId="527A073F">
      <w:pPr>
        <w:spacing w:line="540" w:lineRule="exact"/>
        <w:ind w:firstLine="640"/>
        <w:rPr>
          <w:rStyle w:val="18"/>
          <w:rFonts w:ascii="黑体" w:hAnsi="黑体" w:eastAsia="黑体"/>
          <w:color w:val="auto"/>
        </w:rPr>
      </w:pPr>
      <w:r>
        <w:rPr>
          <w:rStyle w:val="18"/>
          <w:rFonts w:hint="eastAsia" w:ascii="黑体" w:hAnsi="黑体" w:eastAsia="黑体"/>
          <w:b w:val="0"/>
          <w:color w:val="auto"/>
          <w:spacing w:val="-4"/>
          <w:sz w:val="32"/>
          <w:szCs w:val="32"/>
        </w:rPr>
        <w:t>四、绩效评价指标分析</w:t>
      </w:r>
      <w:r>
        <w:rPr>
          <w:rStyle w:val="18"/>
          <w:rFonts w:hint="eastAsia" w:ascii="黑体" w:hAnsi="黑体" w:eastAsia="黑体"/>
          <w:color w:val="auto"/>
        </w:rPr>
        <w:t xml:space="preserve"> </w:t>
      </w:r>
    </w:p>
    <w:p w14:paraId="69F9EA98">
      <w:pPr>
        <w:spacing w:line="540" w:lineRule="exact"/>
        <w:ind w:firstLine="567" w:firstLineChars="181"/>
        <w:rPr>
          <w:rFonts w:ascii="楷体" w:hAnsi="楷体" w:eastAsia="楷体"/>
          <w:b/>
          <w:color w:val="auto"/>
          <w:spacing w:val="-4"/>
          <w:sz w:val="32"/>
          <w:szCs w:val="32"/>
        </w:rPr>
      </w:pPr>
      <w:r>
        <w:rPr>
          <w:rFonts w:hint="eastAsia" w:ascii="楷体" w:hAnsi="楷体" w:eastAsia="楷体"/>
          <w:b/>
          <w:color w:val="auto"/>
          <w:spacing w:val="-4"/>
          <w:sz w:val="32"/>
          <w:szCs w:val="32"/>
        </w:rPr>
        <w:t>（一）</w:t>
      </w:r>
      <w:r>
        <w:rPr>
          <w:rStyle w:val="18"/>
          <w:rFonts w:hint="eastAsia" w:ascii="楷体" w:hAnsi="楷体" w:eastAsia="楷体"/>
          <w:color w:val="auto"/>
          <w:spacing w:val="-4"/>
          <w:sz w:val="32"/>
          <w:szCs w:val="32"/>
        </w:rPr>
        <w:t>项目决策情况</w:t>
      </w:r>
    </w:p>
    <w:p w14:paraId="55E9B3F1">
      <w:pPr>
        <w:tabs>
          <w:tab w:val="center" w:pos="4295"/>
        </w:tabs>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项目决策情况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项目决策类指标从项目立项、绩效目标和资金投入三个方面评价项目前期准备工作，权重分值为 20 分，本项目实际得分20分，得分率为100%。具体各项指标得分如下：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立项依据充分性：本项目是由昌吉市城市管理局提出申报，于2023年9月批复设立，2023年我单位根据《昌吉州发改委关于昌吉州昌吉市2023年燃气设施老化更新改造建设项目初步设计的批复》（昌州发改项目【2023】22号）文件要求组织实施该项目。项目立项符合国家法律法规、自治区和地区行业发展规划和政策要求，属于本部门履职所需。根据评分标准，该指标5分，得5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2.立项程序规范性：根据决策依据编制工作计划和经费预算，经过与部门市政府分管领导进行沟通、筛选确定经费预算计划，上党委会研究确定最终预算方案。根据评分标准，该指标3分，得3分。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3.绩效目标合理性：本项目制定了项目支出绩效目标，明确了项目总体思路及总目标、并对项目任务进行了详细分解，对目标进行了细化。根据评分标准，该指标3分，得3分。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4.绩效指标明确性：本项目已将项目绩效目标细化分解为具体的绩效指标，并通过清晰、可衡量的指标值予以体现，与项目目标任务数或计划数相对应。根据评分标准，该指标2分，得2分。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5.预算编制科学性： 预算编制经过科学论证，内容与项目内容匹配，项目投资额与工作任务相匹配，根据评分标准，该指标5分，得5分。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6.资金分配合理性：本项目资金分配依据充分，资金分配额度合理，与项目地方实际相适应。根据评分标准，该指标2分，得2分。</w:t>
      </w:r>
      <w:r>
        <w:rPr>
          <w:rStyle w:val="18"/>
          <w:rFonts w:hint="eastAsia" w:ascii="楷体" w:hAnsi="楷体" w:eastAsia="楷体"/>
          <w:b w:val="0"/>
          <w:bCs w:val="0"/>
          <w:color w:val="auto"/>
          <w:spacing w:val="-4"/>
          <w:sz w:val="32"/>
          <w:szCs w:val="32"/>
        </w:rPr>
        <w:tab/>
      </w:r>
    </w:p>
    <w:p w14:paraId="778B343D">
      <w:pPr>
        <w:spacing w:line="540" w:lineRule="exact"/>
        <w:ind w:firstLine="567" w:firstLineChars="181"/>
        <w:rPr>
          <w:rStyle w:val="18"/>
          <w:rFonts w:ascii="楷体" w:hAnsi="楷体" w:eastAsia="楷体"/>
          <w:color w:val="auto"/>
          <w:spacing w:val="-4"/>
          <w:sz w:val="32"/>
          <w:szCs w:val="32"/>
        </w:rPr>
      </w:pPr>
      <w:r>
        <w:rPr>
          <w:rFonts w:hint="eastAsia" w:ascii="楷体" w:hAnsi="楷体" w:eastAsia="楷体"/>
          <w:b/>
          <w:color w:val="auto"/>
          <w:spacing w:val="-4"/>
          <w:sz w:val="32"/>
          <w:szCs w:val="32"/>
        </w:rPr>
        <w:t>（二）</w:t>
      </w:r>
      <w:r>
        <w:rPr>
          <w:rStyle w:val="18"/>
          <w:rFonts w:hint="eastAsia" w:ascii="楷体" w:hAnsi="楷体" w:eastAsia="楷体"/>
          <w:color w:val="auto"/>
          <w:spacing w:val="-4"/>
          <w:sz w:val="32"/>
          <w:szCs w:val="32"/>
        </w:rPr>
        <w:t>项目过程情况</w:t>
      </w:r>
    </w:p>
    <w:p w14:paraId="2ED5C9A1">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项目过程情况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项目过程类指标包括资金管理和组织实施两方面的内容，由 5个三级指标构成，权重分值为 20 分，本项目实际得分20分，得分率为100%。具体各项指标得分如下：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 xml:space="preserve">1.资金到位率：该项目所需财政资金能够足额拨付到位，牵头单位能够及时足额按照合同约定将专项资金拨付给单位，根据评分标准，该指标2分，得2分。   </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2.预算执行率：本项目预算编制较为详细，预算资金622.68万元，实际执行622.68万元，预算执行率为100%，项目资金支出总体能够按照预算执行，根据评分标准，该指标5分，得5分。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3.资金使用合规性：项目任务下达后，我单位制定了《财务管理》制度和管理规定对经费使用进行规范管理，财务制度健全、执行严格，根据评分标准，该指标5分，得5分。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4.管理制度健全性：我单位制定了《内控管理》等相关项目管理办法，同时对财政专项资金进行严格管理，基本做到了专款专用，根据评分标准，该指标4分，得4分。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5.制度执行有效性：由部门提出经费预算支出可行性方案，经过与市政府分管领导沟通后，报党委会议研究执行，财务对资金的使用合法合规性进行监督，年底对资金使用效果进行自评，根据评分标准，该指标4分，得4分。</w:t>
      </w:r>
    </w:p>
    <w:p w14:paraId="57F15DE4">
      <w:pPr>
        <w:spacing w:line="540" w:lineRule="exact"/>
        <w:ind w:firstLine="567" w:firstLineChars="181"/>
        <w:rPr>
          <w:rFonts w:ascii="楷体" w:hAnsi="楷体" w:eastAsia="楷体"/>
          <w:b/>
          <w:color w:val="auto"/>
          <w:spacing w:val="-4"/>
          <w:sz w:val="32"/>
          <w:szCs w:val="32"/>
        </w:rPr>
      </w:pPr>
      <w:r>
        <w:rPr>
          <w:rFonts w:hint="eastAsia" w:ascii="楷体" w:hAnsi="楷体" w:eastAsia="楷体"/>
          <w:b/>
          <w:color w:val="auto"/>
          <w:spacing w:val="-4"/>
          <w:sz w:val="32"/>
          <w:szCs w:val="32"/>
        </w:rPr>
        <w:t>（三）</w:t>
      </w:r>
      <w:r>
        <w:rPr>
          <w:rStyle w:val="18"/>
          <w:rFonts w:hint="eastAsia" w:ascii="楷体" w:hAnsi="楷体" w:eastAsia="楷体"/>
          <w:color w:val="auto"/>
          <w:spacing w:val="-4"/>
          <w:sz w:val="32"/>
          <w:szCs w:val="32"/>
        </w:rPr>
        <w:t>项目产出情况</w:t>
      </w:r>
    </w:p>
    <w:p w14:paraId="5447A6A6">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项目产出情况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项目产出类指标包括产出数量、产出质量、产出时效、产出成本共四方面的内容，由5个三级指标构成，权重分为30分，本项目实际得分30分，得分率为100%。具体各项指标得分如下：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 产出数量</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支持保障性安居工程配套基础设施建设项目”指标，预期指标值为“=1项”，根据项目批复记施工开展情况可知，实际完成支持保障性安居工程配套基础设施建设项目1项，与预期目标一致，根据评分标准，该指标4分，得4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“安装燃气报警器”指标，预期指标值为“≥31771户”，根据2023年市区报警器安装工程安装量明细可知，实际完成安装燃气报警器31771户，与预期目标一致，根据评分标准，该指标4分，得4分。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综上所述，产出数量指标合计得8分。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2.产出质量</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“资金使用合规率”指标，预期指标值为“100%”，根据现资金支付凭证可知，资金使用合规率达100%，与预期目标一致，根据评分标准，该指标8分，得8分。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3.产出时效</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“资金支付及时率”指标，预期指标值为“100%”；根据资金支付凭证显示，资金已于2023年12月全部支付完毕，与预期目标指标一致，根据评分标准，该指标6分，得6分。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4.产出成本</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该项更换燃气报警器项目总价”指标，预期指标值为“≤622.68万元”，根据项目合同和资金支付凭证显示，本项目2023年共计支付工程款622.68万元，经费支出能够控制在绩效目标范围内，根据评分标准，该指标8分，得8分。</w:t>
      </w:r>
    </w:p>
    <w:p w14:paraId="21E20CA0">
      <w:pPr>
        <w:spacing w:line="540" w:lineRule="exact"/>
        <w:ind w:firstLine="567" w:firstLineChars="181"/>
        <w:rPr>
          <w:rFonts w:ascii="楷体" w:hAnsi="楷体" w:eastAsia="楷体"/>
          <w:b/>
          <w:color w:val="auto"/>
          <w:spacing w:val="-4"/>
          <w:sz w:val="32"/>
          <w:szCs w:val="32"/>
        </w:rPr>
      </w:pPr>
      <w:r>
        <w:rPr>
          <w:rFonts w:hint="eastAsia" w:ascii="楷体" w:hAnsi="楷体" w:eastAsia="楷体"/>
          <w:b/>
          <w:color w:val="auto"/>
          <w:spacing w:val="-4"/>
          <w:sz w:val="32"/>
          <w:szCs w:val="32"/>
        </w:rPr>
        <w:t>（四）</w:t>
      </w:r>
      <w:r>
        <w:rPr>
          <w:rStyle w:val="18"/>
          <w:rFonts w:hint="eastAsia" w:ascii="楷体" w:hAnsi="楷体" w:eastAsia="楷体"/>
          <w:color w:val="auto"/>
          <w:spacing w:val="-4"/>
          <w:sz w:val="32"/>
          <w:szCs w:val="32"/>
        </w:rPr>
        <w:t>项目效益情况</w:t>
      </w:r>
    </w:p>
    <w:p w14:paraId="720F0220">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项目效益情况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项目效益类指标由2个二级指标和2个三级指标构成，权重分为30分，本项目实际得分30分，得分率为100%。具体各项指标得分如下：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1.实施效益指标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（1）社会效益指标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“有效提升燃气报警器普及率”指标，预期指标值为“有效提升”，根据2023年市区报警器安装工程安装量明细可知，实际完成值为“有效提升”，根据评分标准，该指标20分，得20分。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（2）可持续影响指标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本项目无该项指标。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（3）经济效益指标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本项目无该项指标。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（4）生态效益指标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本项目无该项指标。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2.满意度指标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“安装报警器居民满意度”指标，预期指标值为“≥90%”，根据对安装报警器居民进行满意度问卷调查的结果可知，居民满意度达90%，根据评分标准，该指标10分,得10分。</w:t>
      </w:r>
    </w:p>
    <w:p w14:paraId="12A0B2AF">
      <w:pPr>
        <w:spacing w:line="540" w:lineRule="exact"/>
        <w:ind w:firstLine="567"/>
        <w:rPr>
          <w:rStyle w:val="18"/>
          <w:rFonts w:ascii="楷体" w:hAnsi="楷体" w:eastAsia="楷体"/>
          <w:color w:val="auto"/>
          <w:spacing w:val="-4"/>
          <w:sz w:val="32"/>
          <w:szCs w:val="32"/>
        </w:rPr>
      </w:pPr>
    </w:p>
    <w:p w14:paraId="14782E8A">
      <w:pPr>
        <w:numPr>
          <w:ilvl w:val="0"/>
          <w:numId w:val="1"/>
        </w:numPr>
        <w:spacing w:line="540" w:lineRule="exact"/>
        <w:ind w:firstLine="640"/>
        <w:rPr>
          <w:rStyle w:val="18"/>
          <w:rFonts w:hint="eastAsia" w:ascii="黑体" w:hAnsi="黑体" w:eastAsia="黑体"/>
          <w:b w:val="0"/>
          <w:color w:val="auto"/>
          <w:spacing w:val="-4"/>
          <w:sz w:val="32"/>
          <w:szCs w:val="32"/>
        </w:rPr>
      </w:pPr>
      <w:r>
        <w:rPr>
          <w:rStyle w:val="18"/>
          <w:rFonts w:hint="eastAsia" w:ascii="黑体" w:hAnsi="黑体" w:eastAsia="黑体"/>
          <w:b w:val="0"/>
          <w:color w:val="auto"/>
          <w:spacing w:val="-4"/>
          <w:sz w:val="32"/>
          <w:szCs w:val="32"/>
          <w:lang w:val="en-US" w:eastAsia="zh-CN"/>
        </w:rPr>
        <w:t>预算执行进度与绩效指标偏差</w:t>
      </w:r>
    </w:p>
    <w:p w14:paraId="2B64A802">
      <w:pPr>
        <w:spacing w:line="540" w:lineRule="exact"/>
        <w:ind w:firstLine="567"/>
        <w:rPr>
          <w:rStyle w:val="18"/>
          <w:rFonts w:hint="default" w:ascii="黑体" w:hAnsi="黑体" w:eastAsia="黑体"/>
          <w:b w:val="0"/>
          <w:color w:val="auto"/>
          <w:spacing w:val="-4"/>
          <w:sz w:val="32"/>
          <w:szCs w:val="32"/>
          <w:lang w:val="en-US" w:eastAsia="zh-CN"/>
        </w:rPr>
      </w:pPr>
      <w:r>
        <w:rPr>
          <w:rStyle w:val="18"/>
          <w:rFonts w:hint="eastAsia" w:ascii="楷体" w:hAnsi="楷体" w:eastAsia="楷体"/>
          <w:b w:val="0"/>
          <w:bCs w:val="0"/>
          <w:color w:val="auto"/>
          <w:spacing w:val="-4"/>
          <w:sz w:val="32"/>
          <w:szCs w:val="32"/>
        </w:rPr>
        <w:t>预算执行进度与绩效指标偏差情况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（一）预算执行进度</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昌吉州昌吉市2023年燃气设施老化更新改造建设项目预算金额622.68万元，实际到位622.68万元，实际支出622.68万元，预算执行率为100%。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（二）绩效指标偏差情况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2023年本单位负责实施的昌吉州昌吉市2023年燃气设施老化更新改造建设项目的绩效目标及指标已经全部达成，不存在偏差情况。</w:t>
      </w:r>
    </w:p>
    <w:p w14:paraId="74A40684">
      <w:pPr>
        <w:numPr>
          <w:ilvl w:val="0"/>
          <w:numId w:val="1"/>
        </w:numPr>
        <w:spacing w:line="540" w:lineRule="exact"/>
        <w:ind w:firstLine="640"/>
        <w:rPr>
          <w:rStyle w:val="18"/>
          <w:rFonts w:hint="eastAsia" w:ascii="黑体" w:hAnsi="黑体" w:eastAsia="黑体"/>
          <w:b w:val="0"/>
          <w:color w:val="auto"/>
          <w:spacing w:val="-4"/>
          <w:sz w:val="32"/>
          <w:szCs w:val="32"/>
        </w:rPr>
      </w:pPr>
      <w:r>
        <w:rPr>
          <w:rStyle w:val="18"/>
          <w:rFonts w:hint="eastAsia" w:ascii="黑体" w:hAnsi="黑体" w:eastAsia="黑体"/>
          <w:b w:val="0"/>
          <w:color w:val="auto"/>
          <w:spacing w:val="-4"/>
          <w:sz w:val="32"/>
          <w:szCs w:val="32"/>
        </w:rPr>
        <w:t>主要经验及做法、存在的问题及原因分析</w:t>
      </w:r>
    </w:p>
    <w:p w14:paraId="4A4784AD">
      <w:pPr>
        <w:spacing w:line="540" w:lineRule="exact"/>
        <w:ind w:firstLine="567"/>
        <w:rPr>
          <w:rFonts w:ascii="仿宋_GB2312" w:eastAsia="仿宋_GB2312"/>
          <w:color w:val="auto"/>
          <w:spacing w:val="-4"/>
          <w:sz w:val="32"/>
          <w:szCs w:val="32"/>
        </w:rPr>
      </w:pPr>
      <w:r>
        <w:rPr>
          <w:rStyle w:val="18"/>
          <w:rFonts w:hint="eastAsia" w:ascii="楷体" w:hAnsi="楷体" w:eastAsia="楷体"/>
          <w:b w:val="0"/>
          <w:bCs w:val="0"/>
          <w:color w:val="auto"/>
          <w:spacing w:val="-4"/>
          <w:sz w:val="32"/>
          <w:szCs w:val="32"/>
        </w:rPr>
        <w:t>主要经验及做法、存在的问题及原因分析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（一）主要经验及做法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1.聚焦重点任务，推动项目工作落地落实</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2.坚持问题导向，加强执行监控，提高资金效益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3.强化绩效目标刚性约束，及时对项目进行跟踪问效</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（二）存在问题及原因分析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1.绩效预算认识不够充分，绩效理念有待进一步强化</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2.绩效档案归档工作有待提高</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3.项目支出绩效评价存在单位限，客观性有待加强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支出绩效评价工作还存在自我审定的单位限性，项目支出绩效工作有较大弹性，评价报告多单位限于描述项目实施情况，对问题避重就轻，对项目的打分松紧不一，会影响评价质量，在客观性和公正性上说服力不强。</w:t>
      </w:r>
    </w:p>
    <w:p w14:paraId="6141BD95">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lang w:val="en-US" w:eastAsia="zh-CN"/>
        </w:rPr>
        <w:t>七</w:t>
      </w:r>
      <w:r>
        <w:rPr>
          <w:rStyle w:val="18"/>
          <w:rFonts w:hint="eastAsia" w:ascii="黑体" w:hAnsi="黑体" w:eastAsia="黑体"/>
          <w:b w:val="0"/>
          <w:color w:val="auto"/>
          <w:spacing w:val="-4"/>
          <w:sz w:val="32"/>
          <w:szCs w:val="32"/>
        </w:rPr>
        <w:t>、有关建议</w:t>
      </w:r>
    </w:p>
    <w:p w14:paraId="14B266E2">
      <w:pPr>
        <w:spacing w:line="540" w:lineRule="exact"/>
        <w:ind w:firstLine="567"/>
        <w:rPr>
          <w:rStyle w:val="18"/>
          <w:rFonts w:ascii="楷体" w:hAnsi="楷体" w:eastAsia="楷体"/>
          <w:color w:val="auto"/>
          <w:spacing w:val="-4"/>
          <w:sz w:val="32"/>
          <w:szCs w:val="32"/>
        </w:rPr>
      </w:pPr>
      <w:r>
        <w:rPr>
          <w:rStyle w:val="18"/>
          <w:rFonts w:hint="eastAsia" w:ascii="楷体" w:hAnsi="楷体" w:eastAsia="楷体"/>
          <w:b w:val="0"/>
          <w:bCs w:val="0"/>
          <w:color w:val="auto"/>
          <w:spacing w:val="-4"/>
          <w:sz w:val="32"/>
          <w:szCs w:val="32"/>
        </w:rPr>
        <w:t>有关建议</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1.加强培训，提高相关人员工作水平</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采取多种培训形式对单位财务人员、业务科室人员进行集中培训，进一步树牢绩效观念，提高本单位工作人员的绩效管理能力和工作水平，为预算绩效管理相关工作的顺利开展提供保障。</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2.扎实推进档案规范化建设，提升档案管理水平</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一是进一步完善项目评价资料。项目启动时同步做好档案的归纳与整理，及时整理、收集、汇总，健全档案资料。二是严格落实昌吉市关于绩效管理工作档案资料归档的相关要求，强化收集力度，确保归档资料的完整齐全。</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 高度重视，加强领导</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高度重视，加强领导，精心组织。项目绩效领导小组对绩效评价工作进行指导、监督、检查，确保项目绩效评价反映项目完成真实情况。严格执行项目绩效评价工作要求，切实提高项目绩效报告的客观性和公正性。</w:t>
      </w:r>
    </w:p>
    <w:p w14:paraId="6E3D8A44">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lang w:val="en-US" w:eastAsia="zh-CN"/>
        </w:rPr>
        <w:t>八</w:t>
      </w:r>
      <w:r>
        <w:rPr>
          <w:rStyle w:val="18"/>
          <w:rFonts w:hint="eastAsia" w:ascii="黑体" w:hAnsi="黑体" w:eastAsia="黑体"/>
          <w:b w:val="0"/>
          <w:color w:val="auto"/>
          <w:spacing w:val="-4"/>
          <w:sz w:val="32"/>
          <w:szCs w:val="32"/>
        </w:rPr>
        <w:t>、其他需要说明的问题</w:t>
      </w:r>
    </w:p>
    <w:p w14:paraId="43951B80">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无</w:t>
      </w:r>
    </w:p>
    <w:p w14:paraId="1D00FD44">
      <w:pPr>
        <w:spacing w:line="540" w:lineRule="exact"/>
        <w:ind w:firstLine="567"/>
        <w:rPr>
          <w:rStyle w:val="18"/>
          <w:rFonts w:ascii="仿宋" w:hAnsi="仿宋" w:eastAsia="仿宋"/>
          <w:b w:val="0"/>
          <w:color w:val="auto"/>
          <w:spacing w:val="-4"/>
          <w:sz w:val="32"/>
          <w:szCs w:val="32"/>
        </w:rPr>
      </w:pPr>
    </w:p>
    <w:p w14:paraId="192F5C92">
      <w:pPr>
        <w:spacing w:line="540" w:lineRule="exact"/>
        <w:ind w:firstLine="567"/>
        <w:rPr>
          <w:rStyle w:val="18"/>
          <w:rFonts w:ascii="仿宋" w:hAnsi="仿宋" w:eastAsia="仿宋"/>
          <w:b w:val="0"/>
          <w:color w:val="auto"/>
          <w:spacing w:val="-4"/>
          <w:sz w:val="32"/>
          <w:szCs w:val="32"/>
        </w:rPr>
      </w:pPr>
    </w:p>
    <w:p w14:paraId="28C63909">
      <w:pPr>
        <w:spacing w:line="540" w:lineRule="exact"/>
        <w:ind w:firstLine="567"/>
        <w:rPr>
          <w:rStyle w:val="18"/>
          <w:rFonts w:ascii="仿宋" w:hAnsi="仿宋" w:eastAsia="仿宋"/>
          <w:b w:val="0"/>
          <w:color w:val="auto"/>
          <w:spacing w:val="-4"/>
          <w:sz w:val="32"/>
          <w:szCs w:val="32"/>
        </w:rPr>
      </w:pPr>
    </w:p>
    <w:p w14:paraId="2A774A39">
      <w:pPr>
        <w:spacing w:line="540" w:lineRule="exact"/>
        <w:ind w:firstLine="567"/>
        <w:rPr>
          <w:rStyle w:val="18"/>
          <w:rFonts w:ascii="仿宋" w:hAnsi="仿宋" w:eastAsia="仿宋"/>
          <w:b w:val="0"/>
          <w:color w:val="auto"/>
          <w:spacing w:val="-4"/>
          <w:sz w:val="32"/>
          <w:szCs w:val="32"/>
        </w:rPr>
      </w:pPr>
    </w:p>
    <w:p w14:paraId="6E0D7863">
      <w:pPr>
        <w:spacing w:line="540" w:lineRule="exact"/>
        <w:ind w:firstLine="567"/>
        <w:rPr>
          <w:rStyle w:val="18"/>
          <w:rFonts w:ascii="仿宋" w:hAnsi="仿宋" w:eastAsia="仿宋"/>
          <w:b w:val="0"/>
          <w:color w:val="auto"/>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20F0501E">
        <w:pPr>
          <w:pStyle w:val="12"/>
          <w:jc w:val="center"/>
        </w:pPr>
        <w:r>
          <w:fldChar w:fldCharType="begin"/>
        </w:r>
        <w:r>
          <w:instrText xml:space="preserve">PAGE   \* MERGEFORMAT</w:instrText>
        </w:r>
        <w:r>
          <w:fldChar w:fldCharType="separate"/>
        </w:r>
        <w:r>
          <w:rPr>
            <w:lang w:val="zh-CN"/>
          </w:rPr>
          <w:t>2</w:t>
        </w:r>
        <w:r>
          <w:fldChar w:fldCharType="end"/>
        </w:r>
      </w:p>
    </w:sdtContent>
  </w:sdt>
  <w:p w14:paraId="0490973A">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ZhZGRhY2RiODFjZjAzZDFlMmZkYzIxMjU0YWNlNWY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77103B8"/>
    <w:rsid w:val="0856517C"/>
    <w:rsid w:val="0BFB189F"/>
    <w:rsid w:val="11BD75F7"/>
    <w:rsid w:val="13BE561A"/>
    <w:rsid w:val="15392994"/>
    <w:rsid w:val="18FE139B"/>
    <w:rsid w:val="3029612C"/>
    <w:rsid w:val="32A221C5"/>
    <w:rsid w:val="337D4832"/>
    <w:rsid w:val="33F20F2A"/>
    <w:rsid w:val="34C44675"/>
    <w:rsid w:val="3B5B5607"/>
    <w:rsid w:val="3CE21B3C"/>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21</Pages>
  <Words>7542</Words>
  <Characters>7917</Characters>
  <Lines>4</Lines>
  <Paragraphs>1</Paragraphs>
  <TotalTime>2</TotalTime>
  <ScaleCrop>false</ScaleCrop>
  <LinksUpToDate>false</LinksUpToDate>
  <CharactersWithSpaces>7944</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静待星空</cp:lastModifiedBy>
  <cp:lastPrinted>2018-12-31T10:56:00Z</cp:lastPrinted>
  <dcterms:modified xsi:type="dcterms:W3CDTF">2024-09-24T02:42:51Z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C734C92AAAF24344A0E4232D8EB3359B</vt:lpwstr>
  </property>
</Properties>
</file>