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41A68" w14:textId="77777777" w:rsidR="00AC7203" w:rsidRDefault="00AC7203">
      <w:pPr>
        <w:rPr>
          <w:rFonts w:ascii="黑体" w:eastAsia="黑体" w:hAnsi="黑体" w:hint="eastAsia"/>
          <w:sz w:val="32"/>
          <w:szCs w:val="32"/>
        </w:rPr>
      </w:pPr>
    </w:p>
    <w:p w14:paraId="45E5C359" w14:textId="77777777" w:rsidR="00AC7203" w:rsidRDefault="00AC7203">
      <w:pPr>
        <w:jc w:val="center"/>
        <w:rPr>
          <w:rFonts w:ascii="方正小标宋_GBK" w:eastAsia="方正小标宋_GBK" w:hAnsi="宋体" w:hint="eastAsia"/>
          <w:sz w:val="44"/>
          <w:szCs w:val="44"/>
        </w:rPr>
      </w:pPr>
    </w:p>
    <w:p w14:paraId="1A8416AF" w14:textId="77777777" w:rsidR="00AC720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昌吉市榆树沟镇中心幼儿园</w:t>
      </w:r>
    </w:p>
    <w:p w14:paraId="5866F9E2" w14:textId="77777777" w:rsidR="00AC720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18D49CB" w14:textId="77777777" w:rsidR="00AC720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454996F" w14:textId="77777777" w:rsidR="00AC7203"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C8F0300" w14:textId="77777777" w:rsidR="00AC7203"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5730DDF" w14:textId="77777777" w:rsidR="00AC7203"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C7203">
          <w:rPr>
            <w:rFonts w:ascii="仿宋_GB2312" w:eastAsia="仿宋_GB2312" w:hAnsi="仿宋_GB2312" w:cs="仿宋_GB2312" w:hint="eastAsia"/>
            <w:b/>
            <w:bCs/>
            <w:sz w:val="32"/>
            <w:szCs w:val="32"/>
          </w:rPr>
          <w:t>第一部分 单位概况</w:t>
        </w:r>
      </w:hyperlink>
    </w:p>
    <w:p w14:paraId="59E817B3" w14:textId="77777777" w:rsidR="00AC7203" w:rsidRDefault="00AC7203">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7E21940" w14:textId="77777777" w:rsidR="00AC7203" w:rsidRDefault="00AC7203">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7EF8350" w14:textId="77777777" w:rsidR="00AC7203" w:rsidRDefault="00AC7203">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A8D96D0" w14:textId="77777777" w:rsidR="00AC7203" w:rsidRDefault="00AC7203">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4DF820D" w14:textId="77777777" w:rsidR="00AC7203" w:rsidRDefault="00AC7203">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D8D1A6A" w14:textId="77777777" w:rsidR="00AC7203" w:rsidRDefault="00AC7203">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93B51B6" w14:textId="77777777" w:rsidR="00AC7203" w:rsidRDefault="00AC7203">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3BAA109" w14:textId="77777777" w:rsidR="00AC7203" w:rsidRDefault="00AC7203">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9C0C204" w14:textId="77777777" w:rsidR="00AC7203" w:rsidRDefault="00AC7203">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2DFF4F0" w14:textId="77777777" w:rsidR="00AC7203" w:rsidRDefault="00AC7203">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4C45ABA" w14:textId="77777777" w:rsidR="00AC7203" w:rsidRDefault="00AC7203">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BD96C9D" w14:textId="77777777" w:rsidR="00AC7203" w:rsidRDefault="00AC7203">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F286AC0" w14:textId="77777777" w:rsidR="00AC7203" w:rsidRDefault="00AC7203">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C940591" w14:textId="77777777" w:rsidR="00AC7203" w:rsidRDefault="00AC7203">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5A65FE6" w14:textId="77777777" w:rsidR="00AC7203" w:rsidRDefault="00AC7203">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AB9B453" w14:textId="77777777" w:rsidR="00AC7203" w:rsidRDefault="00AC7203">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147AFB7" w14:textId="77777777" w:rsidR="00AC7203" w:rsidRDefault="00AC7203">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62CD7F9" w14:textId="77777777" w:rsidR="00AC7203"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16632CA" w14:textId="77777777" w:rsidR="00AC7203" w:rsidRDefault="00AC7203">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8B74639" w14:textId="77777777" w:rsidR="00AC7203" w:rsidRDefault="00AC7203">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A0DE68D" w14:textId="77777777" w:rsidR="00AC7203" w:rsidRDefault="00AC7203">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2529400" w14:textId="77777777" w:rsidR="00AC7203" w:rsidRDefault="00AC7203">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504A99B" w14:textId="77777777" w:rsidR="00AC7203" w:rsidRDefault="00AC7203">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EEB5E78" w14:textId="77777777" w:rsidR="00AC7203" w:rsidRDefault="00AC7203">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6942684" w14:textId="77777777" w:rsidR="00AC7203" w:rsidRDefault="00AC7203">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C9678C9" w14:textId="77777777" w:rsidR="00AC7203" w:rsidRDefault="00AC7203">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3A480E7" w14:textId="77777777" w:rsidR="00AC7203" w:rsidRDefault="00AC7203">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8F1D524" w14:textId="77777777" w:rsidR="00AC7203" w:rsidRDefault="00AC7203">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08A9AE5" w14:textId="77777777" w:rsidR="00AC7203"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06534B5" w14:textId="77777777" w:rsidR="00AC7203" w:rsidRDefault="00000000">
      <w:r>
        <w:rPr>
          <w:rFonts w:ascii="仿宋_GB2312" w:eastAsia="仿宋_GB2312" w:hAnsi="仿宋_GB2312" w:cs="仿宋_GB2312" w:hint="eastAsia"/>
          <w:sz w:val="32"/>
          <w:szCs w:val="32"/>
        </w:rPr>
        <w:fldChar w:fldCharType="end"/>
      </w:r>
    </w:p>
    <w:p w14:paraId="75A3E4B5" w14:textId="77777777" w:rsidR="00AC7203" w:rsidRDefault="00000000">
      <w:pPr>
        <w:rPr>
          <w:rFonts w:ascii="仿宋_GB2312" w:eastAsia="仿宋_GB2312"/>
          <w:sz w:val="32"/>
          <w:szCs w:val="32"/>
        </w:rPr>
      </w:pPr>
      <w:r>
        <w:rPr>
          <w:rFonts w:ascii="仿宋_GB2312" w:eastAsia="仿宋_GB2312" w:hint="eastAsia"/>
          <w:sz w:val="32"/>
          <w:szCs w:val="32"/>
        </w:rPr>
        <w:br w:type="page"/>
      </w:r>
    </w:p>
    <w:p w14:paraId="2B89F5C2" w14:textId="77777777" w:rsidR="00AC7203"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66A5CCA5" w14:textId="77777777" w:rsidR="00AC7203"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01A8C67D" w14:textId="5E84B9F9" w:rsidR="00AC7203" w:rsidRDefault="00E01911">
      <w:pPr>
        <w:ind w:firstLineChars="200" w:firstLine="640"/>
        <w:jc w:val="left"/>
        <w:rPr>
          <w:rFonts w:ascii="仿宋_GB2312" w:eastAsia="仿宋_GB2312"/>
          <w:sz w:val="32"/>
          <w:szCs w:val="32"/>
        </w:rPr>
      </w:pPr>
      <w:r w:rsidRPr="00CD09B3">
        <w:rPr>
          <w:rFonts w:ascii="仿宋_GB2312" w:eastAsia="仿宋_GB2312" w:cs="仿宋_GB2312" w:hint="eastAsia"/>
          <w:kern w:val="0"/>
          <w:sz w:val="32"/>
          <w:szCs w:val="32"/>
        </w:rPr>
        <w:t>根据机构改革八定方案，本单位主要负责贯彻执行国家对幼儿保育和教育的路线、方针、政策；负责为学龄前儿童提供保育和教育服务；本着保育和教育结合的原则，对幼儿实施德、智、体、美全面发展的教育，促进其身心和谐健康发展</w:t>
      </w:r>
      <w:r>
        <w:rPr>
          <w:rFonts w:ascii="仿宋_GB2312" w:eastAsia="仿宋_GB2312" w:hint="eastAsia"/>
          <w:sz w:val="32"/>
          <w:szCs w:val="32"/>
        </w:rPr>
        <w:t>。</w:t>
      </w:r>
    </w:p>
    <w:p w14:paraId="42D35624" w14:textId="77777777" w:rsidR="00AC7203"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09C8DC7" w14:textId="77777777" w:rsidR="00AC7203"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昌吉市榆树沟镇中心幼儿园2023年度，实有人数</w:t>
      </w:r>
      <w:r>
        <w:rPr>
          <w:rFonts w:ascii="仿宋_GB2312" w:eastAsia="仿宋_GB2312" w:hint="eastAsia"/>
          <w:sz w:val="32"/>
          <w:szCs w:val="32"/>
          <w:lang w:val="zh-CN"/>
        </w:rPr>
        <w:t>20</w:t>
      </w:r>
      <w:r>
        <w:rPr>
          <w:rFonts w:ascii="仿宋_GB2312" w:eastAsia="仿宋_GB2312" w:hint="eastAsia"/>
          <w:sz w:val="32"/>
          <w:szCs w:val="32"/>
        </w:rPr>
        <w:t>人，其中：在职人员</w:t>
      </w:r>
      <w:r>
        <w:rPr>
          <w:rFonts w:ascii="仿宋_GB2312" w:eastAsia="仿宋_GB2312" w:hint="eastAsia"/>
          <w:sz w:val="32"/>
          <w:szCs w:val="32"/>
          <w:lang w:val="zh-CN"/>
        </w:rPr>
        <w:t>20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4292EDF7" w14:textId="458307C2" w:rsidR="00AC7203" w:rsidRDefault="00000000">
      <w:pPr>
        <w:ind w:firstLineChars="200" w:firstLine="640"/>
        <w:rPr>
          <w:rFonts w:ascii="仿宋_GB2312" w:eastAsia="仿宋_GB2312" w:hAnsi="宋体" w:cs="宋体" w:hint="eastAsia"/>
          <w:kern w:val="0"/>
          <w:sz w:val="32"/>
          <w:szCs w:val="32"/>
        </w:rPr>
        <w:sectPr w:rsidR="00AC7203">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E01911">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E01911">
        <w:rPr>
          <w:rFonts w:ascii="仿宋_GB2312" w:eastAsia="仿宋_GB2312" w:hAnsi="黑体" w:cs="宋体" w:hint="eastAsia"/>
          <w:bCs/>
          <w:kern w:val="0"/>
          <w:sz w:val="32"/>
          <w:szCs w:val="32"/>
        </w:rPr>
        <w:t>保教处、总务处、后勤处、德育处</w:t>
      </w:r>
      <w:r>
        <w:rPr>
          <w:rFonts w:ascii="仿宋_GB2312" w:eastAsia="仿宋_GB2312" w:hAnsi="宋体" w:cs="宋体" w:hint="eastAsia"/>
          <w:kern w:val="0"/>
          <w:sz w:val="32"/>
          <w:szCs w:val="32"/>
        </w:rPr>
        <w:t>。</w:t>
      </w:r>
    </w:p>
    <w:p w14:paraId="19BFE976" w14:textId="77777777" w:rsidR="00AC7203"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26C0757" w14:textId="77777777" w:rsidR="00AC7203"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35628CA4" w14:textId="77777777" w:rsidR="00AC720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2023年度收入总计532.65万元，其中：本年收入合计527.10万元，使用非财政拨款结余0.00万元，年初结转和结余5.55万元。</w:t>
      </w:r>
    </w:p>
    <w:p w14:paraId="20BA491F" w14:textId="77777777" w:rsidR="00AC720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2023年度支出总计532.65万元，其中：本年支出合计524.53万元，结余分配0.00万元，年末结转和结余8.12万元。</w:t>
      </w:r>
    </w:p>
    <w:p w14:paraId="2593E010" w14:textId="6B8D36F0" w:rsidR="00AC7203"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增加1.58万元</w:t>
      </w:r>
      <w:r>
        <w:rPr>
          <w:rFonts w:ascii="仿宋_GB2312" w:eastAsia="仿宋_GB2312" w:hint="eastAsia"/>
          <w:sz w:val="32"/>
          <w:szCs w:val="32"/>
        </w:rPr>
        <w:t>，增长0.30%，主要原因是：</w:t>
      </w:r>
      <w:r w:rsidR="005E1B1B" w:rsidRPr="005E1B1B">
        <w:rPr>
          <w:rFonts w:ascii="仿宋_GB2312" w:eastAsia="仿宋_GB2312" w:hint="eastAsia"/>
          <w:sz w:val="32"/>
          <w:szCs w:val="32"/>
        </w:rPr>
        <w:t>在编人员调资，社保基数调增，人员薪资、社保等增加</w:t>
      </w:r>
      <w:r>
        <w:rPr>
          <w:rFonts w:ascii="仿宋_GB2312" w:eastAsia="仿宋_GB2312" w:hint="eastAsia"/>
          <w:sz w:val="32"/>
          <w:szCs w:val="32"/>
        </w:rPr>
        <w:t>。</w:t>
      </w:r>
    </w:p>
    <w:p w14:paraId="35078953" w14:textId="77777777" w:rsidR="00AC7203"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D2C01E0" w14:textId="77777777" w:rsidR="00AC7203"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本年收入527.10万元，其中：财政拨款收入</w:t>
      </w:r>
      <w:r>
        <w:rPr>
          <w:rFonts w:ascii="仿宋_GB2312" w:eastAsia="仿宋_GB2312" w:hint="eastAsia"/>
          <w:sz w:val="32"/>
          <w:szCs w:val="32"/>
          <w:lang w:val="zh-CN"/>
        </w:rPr>
        <w:t>527.06</w:t>
      </w:r>
      <w:r>
        <w:rPr>
          <w:rFonts w:ascii="仿宋_GB2312" w:eastAsia="仿宋_GB2312" w:hint="eastAsia"/>
          <w:sz w:val="32"/>
          <w:szCs w:val="32"/>
        </w:rPr>
        <w:t>万元，占</w:t>
      </w:r>
      <w:r>
        <w:rPr>
          <w:rFonts w:ascii="仿宋_GB2312" w:eastAsia="仿宋_GB2312" w:hint="eastAsia"/>
          <w:sz w:val="32"/>
          <w:szCs w:val="32"/>
          <w:lang w:val="zh-CN"/>
        </w:rPr>
        <w:t>99.99%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0.03</w:t>
      </w:r>
      <w:r>
        <w:rPr>
          <w:rFonts w:ascii="仿宋_GB2312" w:eastAsia="仿宋_GB2312" w:hint="eastAsia"/>
          <w:sz w:val="32"/>
          <w:szCs w:val="32"/>
        </w:rPr>
        <w:t>万元，占</w:t>
      </w:r>
      <w:r>
        <w:rPr>
          <w:rFonts w:ascii="仿宋_GB2312" w:eastAsia="仿宋_GB2312" w:hint="eastAsia"/>
          <w:sz w:val="32"/>
          <w:szCs w:val="32"/>
          <w:lang w:val="zh-CN"/>
        </w:rPr>
        <w:t>0.01%</w:t>
      </w:r>
      <w:r>
        <w:rPr>
          <w:rFonts w:ascii="仿宋_GB2312" w:eastAsia="仿宋_GB2312" w:hint="eastAsia"/>
          <w:sz w:val="32"/>
          <w:szCs w:val="32"/>
        </w:rPr>
        <w:t>。</w:t>
      </w:r>
    </w:p>
    <w:p w14:paraId="1C50EE94" w14:textId="77777777" w:rsidR="00AC7203"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67DD7583" w14:textId="77777777" w:rsidR="00AC720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本年支出524.53万元，其中：基本支出524.53万元，占100.00%；项目支出0.00万元，占0.00%；上缴上级支出0.00万元，占0.00%；经营支出0.00万元，占0.00%；对附属单位补助支出0.00万元，占0.00%。</w:t>
      </w:r>
    </w:p>
    <w:p w14:paraId="35F202F3" w14:textId="77777777" w:rsidR="00AC7203"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067EE62" w14:textId="77777777" w:rsidR="00AC720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532.62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5.55</w:t>
      </w:r>
      <w:r>
        <w:rPr>
          <w:rFonts w:ascii="仿宋_GB2312" w:eastAsia="仿宋_GB2312" w:hint="eastAsia"/>
          <w:sz w:val="32"/>
          <w:szCs w:val="32"/>
        </w:rPr>
        <w:t>万元，本年财政拨款收入</w:t>
      </w:r>
      <w:r>
        <w:rPr>
          <w:rFonts w:ascii="仿宋_GB2312" w:eastAsia="仿宋_GB2312" w:hint="eastAsia"/>
          <w:sz w:val="32"/>
          <w:szCs w:val="32"/>
          <w:lang w:val="zh-CN"/>
        </w:rPr>
        <w:t>527.06</w:t>
      </w:r>
      <w:r>
        <w:rPr>
          <w:rFonts w:ascii="仿宋_GB2312" w:eastAsia="仿宋_GB2312" w:hint="eastAsia"/>
          <w:sz w:val="32"/>
          <w:szCs w:val="32"/>
        </w:rPr>
        <w:t>万元。财政拨款支出总计</w:t>
      </w:r>
      <w:r>
        <w:rPr>
          <w:rFonts w:ascii="仿宋_GB2312" w:eastAsia="仿宋_GB2312" w:hint="eastAsia"/>
          <w:sz w:val="32"/>
          <w:szCs w:val="32"/>
          <w:lang w:val="zh-CN"/>
        </w:rPr>
        <w:t>532.62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8.09</w:t>
      </w:r>
      <w:r>
        <w:rPr>
          <w:rFonts w:ascii="仿宋_GB2312" w:eastAsia="仿宋_GB2312" w:hint="eastAsia"/>
          <w:sz w:val="32"/>
          <w:szCs w:val="32"/>
        </w:rPr>
        <w:t>万元，本年财政拨款支出</w:t>
      </w:r>
      <w:r>
        <w:rPr>
          <w:rFonts w:ascii="仿宋_GB2312" w:eastAsia="仿宋_GB2312" w:hint="eastAsia"/>
          <w:sz w:val="32"/>
          <w:szCs w:val="32"/>
          <w:lang w:val="zh-CN"/>
        </w:rPr>
        <w:t>524.53</w:t>
      </w:r>
      <w:r>
        <w:rPr>
          <w:rFonts w:ascii="仿宋_GB2312" w:eastAsia="仿宋_GB2312" w:hint="eastAsia"/>
          <w:sz w:val="32"/>
          <w:szCs w:val="32"/>
        </w:rPr>
        <w:t>万元。</w:t>
      </w:r>
    </w:p>
    <w:p w14:paraId="4E30F1BA" w14:textId="59CBB07C" w:rsidR="00AC7203"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增加1.55万元</w:t>
      </w:r>
      <w:r>
        <w:rPr>
          <w:rFonts w:ascii="仿宋_GB2312" w:eastAsia="仿宋_GB2312" w:hint="eastAsia"/>
          <w:sz w:val="32"/>
          <w:szCs w:val="32"/>
        </w:rPr>
        <w:t>，增长0.29%,主要原因是：</w:t>
      </w:r>
      <w:r w:rsidR="005E1B1B" w:rsidRPr="005E1B1B">
        <w:rPr>
          <w:rFonts w:ascii="仿宋_GB2312" w:eastAsia="仿宋_GB2312" w:hint="eastAsia"/>
          <w:sz w:val="32"/>
          <w:szCs w:val="32"/>
        </w:rPr>
        <w:t>在编人员调资，社保基数调增，人员薪资、社保等增加</w:t>
      </w:r>
      <w:r>
        <w:rPr>
          <w:rFonts w:ascii="仿宋_GB2312" w:eastAsia="仿宋_GB2312" w:hint="eastAsia"/>
          <w:sz w:val="32"/>
          <w:szCs w:val="32"/>
        </w:rPr>
        <w:t>。与年初预算相比，年初预算数</w:t>
      </w:r>
      <w:r>
        <w:rPr>
          <w:rFonts w:ascii="仿宋_GB2312" w:eastAsia="仿宋_GB2312" w:hint="eastAsia"/>
          <w:sz w:val="32"/>
          <w:szCs w:val="32"/>
          <w:lang w:val="zh-CN"/>
        </w:rPr>
        <w:t>487.30</w:t>
      </w:r>
      <w:r>
        <w:rPr>
          <w:rFonts w:ascii="仿宋_GB2312" w:eastAsia="仿宋_GB2312" w:hint="eastAsia"/>
          <w:sz w:val="32"/>
          <w:szCs w:val="32"/>
        </w:rPr>
        <w:t>万元，决算数</w:t>
      </w:r>
      <w:r>
        <w:rPr>
          <w:rFonts w:ascii="仿宋_GB2312" w:eastAsia="仿宋_GB2312" w:hint="eastAsia"/>
          <w:sz w:val="32"/>
          <w:szCs w:val="32"/>
          <w:lang w:val="zh-CN"/>
        </w:rPr>
        <w:t>532.62</w:t>
      </w:r>
      <w:r>
        <w:rPr>
          <w:rFonts w:ascii="仿宋_GB2312" w:eastAsia="仿宋_GB2312" w:hint="eastAsia"/>
          <w:sz w:val="32"/>
          <w:szCs w:val="32"/>
        </w:rPr>
        <w:t>万元，预决算差异率9.30%，主要原因是：</w:t>
      </w:r>
      <w:r w:rsidR="005E1B1B" w:rsidRPr="005E1B1B">
        <w:rPr>
          <w:rFonts w:ascii="仿宋_GB2312" w:eastAsia="仿宋_GB2312" w:hint="eastAsia"/>
          <w:sz w:val="32"/>
          <w:szCs w:val="32"/>
        </w:rPr>
        <w:t>在编人员调资，社保基数调增，</w:t>
      </w:r>
      <w:r w:rsidR="00CF0973">
        <w:rPr>
          <w:rFonts w:ascii="仿宋_GB2312" w:eastAsia="仿宋_GB2312" w:hint="eastAsia"/>
          <w:sz w:val="32"/>
          <w:szCs w:val="32"/>
        </w:rPr>
        <w:t>年中</w:t>
      </w:r>
      <w:r w:rsidR="005E1B1B" w:rsidRPr="005E1B1B">
        <w:rPr>
          <w:rFonts w:ascii="仿宋_GB2312" w:eastAsia="仿宋_GB2312" w:hint="eastAsia"/>
          <w:sz w:val="32"/>
          <w:szCs w:val="32"/>
        </w:rPr>
        <w:t>追加人员薪资、社保等</w:t>
      </w:r>
      <w:r>
        <w:rPr>
          <w:rFonts w:ascii="仿宋_GB2312" w:eastAsia="仿宋_GB2312" w:hint="eastAsia"/>
          <w:sz w:val="32"/>
          <w:szCs w:val="32"/>
        </w:rPr>
        <w:t>。</w:t>
      </w:r>
    </w:p>
    <w:p w14:paraId="46B65B64" w14:textId="77777777" w:rsidR="00AC7203"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CDCD79B" w14:textId="77777777" w:rsidR="00AC720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F482BB4" w14:textId="371F3C86" w:rsidR="00AC7203"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2023年度一般公共预算财政拨款支出524.53万元，占本年支出合计的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减少0.98万元</w:t>
      </w:r>
      <w:r>
        <w:rPr>
          <w:rFonts w:ascii="仿宋_GB2312" w:eastAsia="仿宋_GB2312" w:hint="eastAsia"/>
          <w:sz w:val="32"/>
          <w:szCs w:val="32"/>
        </w:rPr>
        <w:t>，下降0.19%,主要原因是：</w:t>
      </w:r>
      <w:r w:rsidR="002F06C2" w:rsidRPr="005E1B1B">
        <w:rPr>
          <w:rFonts w:ascii="仿宋_GB2312" w:eastAsia="仿宋_GB2312" w:hAnsi="仿宋_GB2312" w:cs="仿宋_GB2312" w:hint="eastAsia"/>
          <w:sz w:val="32"/>
          <w:szCs w:val="32"/>
          <w:lang w:val="zh-CN"/>
        </w:rPr>
        <w:t>单位本年</w:t>
      </w:r>
      <w:r w:rsidR="002F06C2">
        <w:rPr>
          <w:rFonts w:ascii="仿宋_GB2312" w:eastAsia="仿宋_GB2312" w:hAnsi="仿宋_GB2312" w:cs="仿宋_GB2312" w:hint="eastAsia"/>
          <w:sz w:val="32"/>
          <w:szCs w:val="32"/>
          <w:lang w:val="zh-CN"/>
        </w:rPr>
        <w:t>校园校舍维修改造项目经费</w:t>
      </w:r>
      <w:r w:rsidR="002F06C2" w:rsidRPr="005E1B1B">
        <w:rPr>
          <w:rFonts w:ascii="仿宋_GB2312" w:eastAsia="仿宋_GB2312" w:hAnsi="仿宋_GB2312" w:cs="仿宋_GB2312" w:hint="eastAsia"/>
          <w:sz w:val="32"/>
          <w:szCs w:val="32"/>
          <w:lang w:val="zh-CN"/>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487.30</w:t>
      </w:r>
      <w:r>
        <w:rPr>
          <w:rFonts w:ascii="仿宋_GB2312" w:eastAsia="仿宋_GB2312" w:hint="eastAsia"/>
          <w:sz w:val="32"/>
          <w:szCs w:val="32"/>
        </w:rPr>
        <w:t>万元，决算数</w:t>
      </w:r>
      <w:r>
        <w:rPr>
          <w:rFonts w:ascii="仿宋_GB2312" w:eastAsia="仿宋_GB2312" w:hint="eastAsia"/>
          <w:sz w:val="32"/>
          <w:szCs w:val="32"/>
          <w:lang w:val="zh-CN"/>
        </w:rPr>
        <w:t>524.53</w:t>
      </w:r>
      <w:r>
        <w:rPr>
          <w:rFonts w:ascii="仿宋_GB2312" w:eastAsia="仿宋_GB2312" w:hint="eastAsia"/>
          <w:sz w:val="32"/>
          <w:szCs w:val="32"/>
        </w:rPr>
        <w:t>万元，预决算差异率</w:t>
      </w:r>
      <w:r>
        <w:rPr>
          <w:rFonts w:ascii="仿宋_GB2312" w:eastAsia="仿宋_GB2312" w:hint="eastAsia"/>
          <w:sz w:val="32"/>
          <w:szCs w:val="32"/>
          <w:lang w:val="zh-CN"/>
        </w:rPr>
        <w:t>7.64%</w:t>
      </w:r>
      <w:r>
        <w:rPr>
          <w:rFonts w:ascii="仿宋_GB2312" w:eastAsia="仿宋_GB2312" w:hint="eastAsia"/>
          <w:sz w:val="32"/>
          <w:szCs w:val="32"/>
        </w:rPr>
        <w:t>，主要原因是：</w:t>
      </w:r>
      <w:r w:rsidR="005E1B1B" w:rsidRPr="005E1B1B">
        <w:rPr>
          <w:rFonts w:ascii="仿宋_GB2312" w:eastAsia="仿宋_GB2312" w:hint="eastAsia"/>
          <w:sz w:val="32"/>
          <w:szCs w:val="32"/>
        </w:rPr>
        <w:t>在编人员调资，社保基数调增，</w:t>
      </w:r>
      <w:r w:rsidR="00CF0973">
        <w:rPr>
          <w:rFonts w:ascii="仿宋_GB2312" w:eastAsia="仿宋_GB2312" w:hint="eastAsia"/>
          <w:sz w:val="32"/>
          <w:szCs w:val="32"/>
        </w:rPr>
        <w:t>年中</w:t>
      </w:r>
      <w:r w:rsidR="005E1B1B" w:rsidRPr="005E1B1B">
        <w:rPr>
          <w:rFonts w:ascii="仿宋_GB2312" w:eastAsia="仿宋_GB2312" w:hint="eastAsia"/>
          <w:sz w:val="32"/>
          <w:szCs w:val="32"/>
        </w:rPr>
        <w:t>追加人员薪资、社保等</w:t>
      </w:r>
      <w:r>
        <w:rPr>
          <w:rFonts w:ascii="仿宋_GB2312" w:eastAsia="仿宋_GB2312" w:hint="eastAsia"/>
          <w:sz w:val="32"/>
          <w:szCs w:val="32"/>
        </w:rPr>
        <w:t>。</w:t>
      </w:r>
    </w:p>
    <w:p w14:paraId="2EC15C6D" w14:textId="77777777" w:rsidR="00AC7203"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931FBDB" w14:textId="7C19E739" w:rsidR="00AC7203" w:rsidRDefault="00E0191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524.53</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58F07422" w14:textId="77777777" w:rsidR="00AC720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BA42541" w14:textId="1BD2E63B" w:rsidR="00AC720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1.教育支出（类）普通教育（款）学前教育（项）:支出决算数为524.53万元，比上年决算减少0.98万元，下降0.19%，主要原因是：</w:t>
      </w:r>
      <w:r w:rsidR="005E1B1B" w:rsidRPr="005E1B1B">
        <w:rPr>
          <w:rFonts w:ascii="仿宋_GB2312" w:eastAsia="仿宋_GB2312" w:hAnsi="仿宋_GB2312" w:cs="仿宋_GB2312" w:hint="eastAsia"/>
          <w:sz w:val="32"/>
          <w:szCs w:val="32"/>
          <w:lang w:val="zh-CN"/>
        </w:rPr>
        <w:t>单位本年</w:t>
      </w:r>
      <w:r w:rsidR="002F06C2">
        <w:rPr>
          <w:rFonts w:ascii="仿宋_GB2312" w:eastAsia="仿宋_GB2312" w:hAnsi="仿宋_GB2312" w:cs="仿宋_GB2312" w:hint="eastAsia"/>
          <w:sz w:val="32"/>
          <w:szCs w:val="32"/>
          <w:lang w:val="zh-CN"/>
        </w:rPr>
        <w:t>校园校舍维修改造项目经费</w:t>
      </w:r>
      <w:r w:rsidR="005E1B1B" w:rsidRPr="005E1B1B">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0335ED7B" w14:textId="77777777" w:rsidR="00AC720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6E44A5F" w14:textId="370D8C7E" w:rsidR="00AC720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524.53万元，其中：人员经费482.51万元，包括：基本工资、津贴补贴、奖金、绩效工资、机关事业单位基本养老保险缴费、职工基本医疗保险缴费、公务员医疗补助缴费、其他社会保障缴费、住房公积金、其他工资福利支出、生活补助。</w:t>
      </w:r>
    </w:p>
    <w:p w14:paraId="612153DF" w14:textId="3250F39F" w:rsidR="00AC7203" w:rsidRDefault="00000000" w:rsidP="005E1B1B">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公用经费42.02万元，包括：办公费、咨询费、手续费、电费、邮电费、取暖费、维修（护）费、委托业务费</w:t>
      </w:r>
      <w:r>
        <w:rPr>
          <w:rFonts w:ascii="仿宋_GB2312" w:eastAsia="仿宋_GB2312" w:hAnsi="宋体" w:cs="宋体" w:hint="eastAsia"/>
          <w:kern w:val="0"/>
          <w:sz w:val="32"/>
          <w:szCs w:val="32"/>
        </w:rPr>
        <w:t>。</w:t>
      </w:r>
    </w:p>
    <w:p w14:paraId="569B7CDC" w14:textId="77777777" w:rsidR="00AC720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611DE83" w14:textId="6788DD27" w:rsidR="00AC720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E1B1B" w:rsidRPr="005E1B1B">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E1B1B" w:rsidRPr="005E1B1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E1B1B" w:rsidRPr="005E1B1B">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E1B1B" w:rsidRPr="005E1B1B">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6921239" w14:textId="77777777" w:rsidR="00AC720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具体情况如下：</w:t>
      </w:r>
    </w:p>
    <w:p w14:paraId="7CD1C4E2" w14:textId="50C6A691" w:rsidR="00AC720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5E1B1B" w:rsidRPr="005E1B1B">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167B0A70" w14:textId="5638E17D" w:rsidR="00AC7203"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5E1B1B" w:rsidRPr="005E1B1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B3021" w:rsidRPr="00FB3021">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094C39BE" w14:textId="58994165" w:rsidR="00AC720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5E1B1B" w:rsidRPr="005E1B1B">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4C4FD356" w14:textId="0B914D0C" w:rsidR="00AC720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E1B1B" w:rsidRPr="005E1B1B">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5E1B1B" w:rsidRPr="005E1B1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E1B1B" w:rsidRPr="005E1B1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E1B1B" w:rsidRPr="005E1B1B">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w:t>
      </w:r>
      <w:r>
        <w:rPr>
          <w:rFonts w:ascii="仿宋_GB2312" w:eastAsia="仿宋_GB2312" w:hint="eastAsia"/>
          <w:sz w:val="32"/>
          <w:szCs w:val="32"/>
          <w:lang w:val="zh-CN"/>
        </w:rPr>
        <w:lastRenderedPageBreak/>
        <w:t>主要原因是：</w:t>
      </w:r>
      <w:r w:rsidR="005E1B1B" w:rsidRPr="005E1B1B">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D6B759E" w14:textId="77777777" w:rsidR="00AC7203"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29116CC7" w14:textId="77777777" w:rsidR="00AC720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63D7A53" w14:textId="77777777" w:rsidR="00AC720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216A1E3" w14:textId="77777777" w:rsidR="00AC720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2D32139" w14:textId="77777777" w:rsidR="00AC7203"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8AE57CF" w14:textId="77777777" w:rsidR="00AC7203"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36B5A58" w14:textId="3E5D9200" w:rsidR="00AC7203"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昌吉市榆树沟镇中心幼儿园（事业单位）公用经费支出42.02万元，</w:t>
      </w:r>
      <w:r>
        <w:rPr>
          <w:rFonts w:ascii="仿宋_GB2312" w:eastAsia="仿宋_GB2312" w:hAnsi="仿宋_GB2312" w:cs="仿宋_GB2312" w:hint="eastAsia"/>
          <w:sz w:val="32"/>
          <w:szCs w:val="32"/>
          <w:lang w:val="zh-CN"/>
        </w:rPr>
        <w:t>比上年增加5.33万元，增长14.53%，主要原因是：</w:t>
      </w:r>
      <w:r w:rsidR="005E1B1B">
        <w:rPr>
          <w:rFonts w:ascii="仿宋_GB2312" w:eastAsia="仿宋_GB2312" w:hint="eastAsia"/>
          <w:sz w:val="32"/>
          <w:szCs w:val="32"/>
        </w:rPr>
        <w:t>办公费</w:t>
      </w:r>
      <w:r w:rsidR="00A54A84">
        <w:rPr>
          <w:rFonts w:ascii="仿宋_GB2312" w:eastAsia="仿宋_GB2312" w:hint="eastAsia"/>
          <w:sz w:val="32"/>
          <w:szCs w:val="32"/>
        </w:rPr>
        <w:t>、</w:t>
      </w:r>
      <w:r w:rsidR="00A8276A" w:rsidRPr="00A8276A">
        <w:rPr>
          <w:rFonts w:ascii="仿宋_GB2312" w:eastAsia="仿宋_GB2312" w:hint="eastAsia"/>
          <w:sz w:val="32"/>
          <w:szCs w:val="32"/>
        </w:rPr>
        <w:t>取暖费</w:t>
      </w:r>
      <w:r w:rsidR="005E1B1B">
        <w:rPr>
          <w:rFonts w:ascii="仿宋_GB2312" w:eastAsia="仿宋_GB2312" w:hint="eastAsia"/>
          <w:sz w:val="32"/>
          <w:szCs w:val="32"/>
        </w:rPr>
        <w:t>、维修（护）费、委托业务费</w:t>
      </w:r>
      <w:r w:rsidR="00A54A84">
        <w:rPr>
          <w:rFonts w:ascii="仿宋_GB2312" w:eastAsia="仿宋_GB2312" w:hint="eastAsia"/>
          <w:sz w:val="32"/>
          <w:szCs w:val="32"/>
        </w:rPr>
        <w:t>较上年增加</w:t>
      </w:r>
      <w:r>
        <w:rPr>
          <w:rFonts w:ascii="仿宋_GB2312" w:eastAsia="仿宋_GB2312" w:hAnsi="仿宋_GB2312" w:cs="仿宋_GB2312" w:hint="eastAsia"/>
          <w:sz w:val="32"/>
          <w:szCs w:val="32"/>
          <w:lang w:val="zh-CN"/>
        </w:rPr>
        <w:t>。</w:t>
      </w:r>
    </w:p>
    <w:p w14:paraId="076DC8FB" w14:textId="77777777" w:rsidR="00AC7203"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9C3E807" w14:textId="77777777" w:rsidR="00AC720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2023年度政府采购支出总额3.87万元，其中：政府采购货物支出2.75万元、政府采购工程支出0.00万元、政府采购服务支出1.12万元。</w:t>
      </w:r>
    </w:p>
    <w:p w14:paraId="0BA919C8" w14:textId="77777777" w:rsidR="00AC7203"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授予中小企业合同金额3.63万元，占政府采购支出总额的93.80%，其中：授予小微企业合同金额3.63万元，占政府采购支出总额的93.80%</w:t>
      </w:r>
      <w:r>
        <w:rPr>
          <w:rFonts w:ascii="仿宋_GB2312" w:eastAsia="仿宋_GB2312" w:hAnsi="仿宋_GB2312" w:cs="仿宋_GB2312" w:hint="eastAsia"/>
          <w:sz w:val="32"/>
          <w:szCs w:val="32"/>
        </w:rPr>
        <w:t>。</w:t>
      </w:r>
    </w:p>
    <w:p w14:paraId="714EBAD6" w14:textId="77777777" w:rsidR="00AC7203" w:rsidRPr="00A54A84" w:rsidRDefault="00000000">
      <w:pPr>
        <w:ind w:firstLineChars="200" w:firstLine="640"/>
        <w:jc w:val="left"/>
        <w:rPr>
          <w:rFonts w:eastAsia="黑体"/>
          <w:sz w:val="32"/>
          <w:szCs w:val="30"/>
          <w:lang w:val="zh-CN"/>
        </w:rPr>
      </w:pPr>
      <w:bookmarkStart w:id="26" w:name="_Toc4591"/>
      <w:bookmarkStart w:id="27" w:name="_Toc8391"/>
      <w:r w:rsidRPr="00A54A84">
        <w:rPr>
          <w:rFonts w:eastAsia="黑体" w:hint="eastAsia"/>
          <w:sz w:val="32"/>
          <w:szCs w:val="30"/>
          <w:lang w:val="zh-CN"/>
        </w:rPr>
        <w:lastRenderedPageBreak/>
        <w:t>（三）国有资产占用情况说明</w:t>
      </w:r>
      <w:bookmarkEnd w:id="26"/>
      <w:bookmarkEnd w:id="27"/>
    </w:p>
    <w:p w14:paraId="746291E2" w14:textId="4E28E076" w:rsidR="00AC720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816.67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屋1,619.97平方米，价值390.90万元。车辆0辆，价值0.00万元，其中：副部（省）级及以上领导用车0辆、主要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A54A84" w:rsidRPr="00A54A84">
        <w:rPr>
          <w:rFonts w:ascii="仿宋_GB2312" w:eastAsia="仿宋_GB2312" w:hAnsi="仿宋_GB2312" w:cs="仿宋_GB2312" w:hint="eastAsia"/>
          <w:sz w:val="32"/>
          <w:szCs w:val="32"/>
          <w:lang w:val="zh-CN"/>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4838BE8" w14:textId="77777777" w:rsidR="00AC7203"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459B000C" w14:textId="0EBD7FF0" w:rsidR="00AC7203"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A54A84" w:rsidRPr="00A54A84">
        <w:rPr>
          <w:rFonts w:ascii="仿宋_GB2312" w:eastAsia="仿宋_GB2312"/>
          <w:sz w:val="32"/>
          <w:szCs w:val="32"/>
        </w:rPr>
        <w:t>532.65</w:t>
      </w:r>
      <w:r>
        <w:rPr>
          <w:rFonts w:ascii="仿宋_GB2312" w:eastAsia="仿宋_GB2312" w:hint="eastAsia"/>
          <w:sz w:val="32"/>
          <w:szCs w:val="32"/>
        </w:rPr>
        <w:t>万元，实际执行总额</w:t>
      </w:r>
      <w:r w:rsidR="00A54A84" w:rsidRPr="00A54A84">
        <w:rPr>
          <w:rFonts w:ascii="仿宋_GB2312" w:eastAsia="仿宋_GB2312"/>
          <w:sz w:val="32"/>
          <w:szCs w:val="32"/>
        </w:rPr>
        <w:t>524.53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A54A84">
        <w:rPr>
          <w:rFonts w:ascii="仿宋_GB2312" w:eastAsia="仿宋_GB2312" w:hint="eastAsia"/>
          <w:sz w:val="32"/>
          <w:szCs w:val="32"/>
        </w:rPr>
        <w:t>0</w:t>
      </w:r>
      <w:r>
        <w:rPr>
          <w:rFonts w:ascii="仿宋_GB2312" w:eastAsia="仿宋_GB2312" w:hint="eastAsia"/>
          <w:sz w:val="32"/>
          <w:szCs w:val="32"/>
        </w:rPr>
        <w:t>个，全年预算数</w:t>
      </w:r>
      <w:r w:rsidR="00A54A84">
        <w:rPr>
          <w:rFonts w:ascii="仿宋_GB2312" w:eastAsia="仿宋_GB2312" w:hint="eastAsia"/>
          <w:sz w:val="32"/>
          <w:szCs w:val="32"/>
        </w:rPr>
        <w:t>0.00</w:t>
      </w:r>
      <w:r>
        <w:rPr>
          <w:rFonts w:ascii="仿宋_GB2312" w:eastAsia="仿宋_GB2312" w:hint="eastAsia"/>
          <w:sz w:val="32"/>
          <w:szCs w:val="32"/>
        </w:rPr>
        <w:t>万元，全年执行数</w:t>
      </w:r>
      <w:r w:rsidR="00A54A84">
        <w:rPr>
          <w:rFonts w:ascii="仿宋_GB2312" w:eastAsia="仿宋_GB2312" w:hint="eastAsia"/>
          <w:sz w:val="32"/>
          <w:szCs w:val="32"/>
        </w:rPr>
        <w:t>0.00</w:t>
      </w:r>
      <w:r>
        <w:rPr>
          <w:rFonts w:ascii="仿宋_GB2312" w:eastAsia="仿宋_GB2312" w:hint="eastAsia"/>
          <w:sz w:val="32"/>
          <w:szCs w:val="32"/>
        </w:rPr>
        <w:t>万元。</w:t>
      </w:r>
      <w:r w:rsidR="00A54A84" w:rsidRPr="00A54A84">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w:t>
      </w:r>
      <w:r w:rsidR="00A54A84" w:rsidRPr="00A54A84">
        <w:rPr>
          <w:rFonts w:ascii="仿宋_GB2312" w:eastAsia="仿宋_GB2312" w:hint="eastAsia"/>
          <w:sz w:val="32"/>
          <w:szCs w:val="32"/>
        </w:rPr>
        <w:lastRenderedPageBreak/>
        <w:t>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tbl>
      <w:tblPr>
        <w:tblW w:w="5000" w:type="pct"/>
        <w:jc w:val="center"/>
        <w:tblLook w:val="04A0" w:firstRow="1" w:lastRow="0" w:firstColumn="1" w:lastColumn="0" w:noHBand="0" w:noVBand="1"/>
      </w:tblPr>
      <w:tblGrid>
        <w:gridCol w:w="1486"/>
        <w:gridCol w:w="1155"/>
        <w:gridCol w:w="1123"/>
        <w:gridCol w:w="1114"/>
        <w:gridCol w:w="966"/>
        <w:gridCol w:w="770"/>
        <w:gridCol w:w="1014"/>
        <w:gridCol w:w="894"/>
      </w:tblGrid>
      <w:tr w:rsidR="00A54A84" w:rsidRPr="00CF0973" w14:paraId="5759CCDF" w14:textId="77777777" w:rsidTr="00A54A84">
        <w:trPr>
          <w:trHeight w:val="522"/>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4C658" w14:textId="77777777" w:rsidR="00A54A84" w:rsidRPr="00CF0973" w:rsidRDefault="00A54A84" w:rsidP="00A54A84">
            <w:pPr>
              <w:widowControl/>
              <w:jc w:val="center"/>
              <w:rPr>
                <w:rFonts w:ascii="宋体" w:hAnsi="宋体" w:cs="宋体" w:hint="eastAsia"/>
                <w:b/>
                <w:bCs/>
                <w:kern w:val="0"/>
                <w:sz w:val="20"/>
                <w:szCs w:val="20"/>
              </w:rPr>
            </w:pPr>
            <w:r w:rsidRPr="00CF0973">
              <w:rPr>
                <w:rFonts w:ascii="宋体" w:hAnsi="宋体" w:cs="宋体" w:hint="eastAsia"/>
                <w:b/>
                <w:bCs/>
                <w:kern w:val="0"/>
                <w:sz w:val="20"/>
                <w:szCs w:val="20"/>
              </w:rPr>
              <w:t>部门（单位）整体支出绩效目标自评表</w:t>
            </w:r>
          </w:p>
        </w:tc>
      </w:tr>
      <w:tr w:rsidR="00A54A84" w:rsidRPr="00A54A84" w14:paraId="7241EE0C" w14:textId="77777777" w:rsidTr="00A54A84">
        <w:trPr>
          <w:trHeight w:val="360"/>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57BFA"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（2023年度）</w:t>
            </w:r>
          </w:p>
        </w:tc>
      </w:tr>
      <w:tr w:rsidR="00A54A84" w:rsidRPr="00A54A84" w14:paraId="3E73821F" w14:textId="77777777" w:rsidTr="00A54A84">
        <w:trPr>
          <w:trHeight w:val="660"/>
          <w:jc w:val="center"/>
        </w:trPr>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64675"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部门（单位）名称</w:t>
            </w:r>
          </w:p>
        </w:tc>
        <w:tc>
          <w:tcPr>
            <w:tcW w:w="7033" w:type="dxa"/>
            <w:gridSpan w:val="7"/>
            <w:tcBorders>
              <w:top w:val="single" w:sz="4" w:space="0" w:color="auto"/>
              <w:left w:val="nil"/>
              <w:bottom w:val="single" w:sz="4" w:space="0" w:color="auto"/>
              <w:right w:val="single" w:sz="4" w:space="0" w:color="auto"/>
            </w:tcBorders>
            <w:shd w:val="clear" w:color="auto" w:fill="auto"/>
            <w:noWrap/>
            <w:vAlign w:val="center"/>
            <w:hideMark/>
          </w:tcPr>
          <w:p w14:paraId="16D9D956"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昌吉市榆树沟镇中心幼儿园</w:t>
            </w:r>
          </w:p>
        </w:tc>
      </w:tr>
      <w:tr w:rsidR="00A54A84" w:rsidRPr="00A54A84" w14:paraId="62DD8256" w14:textId="77777777" w:rsidTr="00A54A84">
        <w:trPr>
          <w:trHeight w:val="570"/>
          <w:jc w:val="center"/>
        </w:trPr>
        <w:tc>
          <w:tcPr>
            <w:tcW w:w="14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53BCD8"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部门资金（万元）</w:t>
            </w:r>
          </w:p>
        </w:tc>
        <w:tc>
          <w:tcPr>
            <w:tcW w:w="1157" w:type="dxa"/>
            <w:tcBorders>
              <w:top w:val="nil"/>
              <w:left w:val="nil"/>
              <w:bottom w:val="single" w:sz="4" w:space="0" w:color="auto"/>
              <w:right w:val="single" w:sz="4" w:space="0" w:color="auto"/>
            </w:tcBorders>
            <w:shd w:val="clear" w:color="auto" w:fill="auto"/>
            <w:vAlign w:val="center"/>
            <w:hideMark/>
          </w:tcPr>
          <w:p w14:paraId="5780A5A6"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资金来源</w:t>
            </w:r>
          </w:p>
        </w:tc>
        <w:tc>
          <w:tcPr>
            <w:tcW w:w="1125" w:type="dxa"/>
            <w:tcBorders>
              <w:top w:val="nil"/>
              <w:left w:val="nil"/>
              <w:bottom w:val="single" w:sz="4" w:space="0" w:color="auto"/>
              <w:right w:val="single" w:sz="4" w:space="0" w:color="auto"/>
            </w:tcBorders>
            <w:shd w:val="clear" w:color="auto" w:fill="auto"/>
            <w:vAlign w:val="center"/>
            <w:hideMark/>
          </w:tcPr>
          <w:p w14:paraId="7D5FC2D1"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年初预算数</w:t>
            </w:r>
          </w:p>
        </w:tc>
        <w:tc>
          <w:tcPr>
            <w:tcW w:w="1108" w:type="dxa"/>
            <w:tcBorders>
              <w:top w:val="nil"/>
              <w:left w:val="nil"/>
              <w:bottom w:val="single" w:sz="4" w:space="0" w:color="auto"/>
              <w:right w:val="single" w:sz="4" w:space="0" w:color="auto"/>
            </w:tcBorders>
            <w:shd w:val="clear" w:color="auto" w:fill="auto"/>
            <w:vAlign w:val="center"/>
            <w:hideMark/>
          </w:tcPr>
          <w:p w14:paraId="5DC1D33F"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全年预算数</w:t>
            </w:r>
          </w:p>
        </w:tc>
        <w:tc>
          <w:tcPr>
            <w:tcW w:w="968" w:type="dxa"/>
            <w:tcBorders>
              <w:top w:val="nil"/>
              <w:left w:val="nil"/>
              <w:bottom w:val="single" w:sz="4" w:space="0" w:color="auto"/>
              <w:right w:val="single" w:sz="4" w:space="0" w:color="auto"/>
            </w:tcBorders>
            <w:shd w:val="clear" w:color="auto" w:fill="auto"/>
            <w:vAlign w:val="center"/>
            <w:hideMark/>
          </w:tcPr>
          <w:p w14:paraId="6FD1F385"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全年执行数</w:t>
            </w:r>
          </w:p>
        </w:tc>
        <w:tc>
          <w:tcPr>
            <w:tcW w:w="771" w:type="dxa"/>
            <w:tcBorders>
              <w:top w:val="nil"/>
              <w:left w:val="nil"/>
              <w:bottom w:val="single" w:sz="4" w:space="0" w:color="auto"/>
              <w:right w:val="single" w:sz="4" w:space="0" w:color="auto"/>
            </w:tcBorders>
            <w:shd w:val="clear" w:color="auto" w:fill="auto"/>
            <w:vAlign w:val="center"/>
            <w:hideMark/>
          </w:tcPr>
          <w:p w14:paraId="64783B23"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分值权重</w:t>
            </w:r>
          </w:p>
        </w:tc>
        <w:tc>
          <w:tcPr>
            <w:tcW w:w="1009" w:type="dxa"/>
            <w:tcBorders>
              <w:top w:val="nil"/>
              <w:left w:val="nil"/>
              <w:bottom w:val="single" w:sz="4" w:space="0" w:color="auto"/>
              <w:right w:val="single" w:sz="4" w:space="0" w:color="auto"/>
            </w:tcBorders>
            <w:shd w:val="clear" w:color="auto" w:fill="auto"/>
            <w:vAlign w:val="center"/>
            <w:hideMark/>
          </w:tcPr>
          <w:p w14:paraId="73819770"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执行率</w:t>
            </w:r>
          </w:p>
        </w:tc>
        <w:tc>
          <w:tcPr>
            <w:tcW w:w="895" w:type="dxa"/>
            <w:tcBorders>
              <w:top w:val="nil"/>
              <w:left w:val="nil"/>
              <w:bottom w:val="single" w:sz="4" w:space="0" w:color="auto"/>
              <w:right w:val="single" w:sz="4" w:space="0" w:color="auto"/>
            </w:tcBorders>
            <w:shd w:val="clear" w:color="auto" w:fill="auto"/>
            <w:vAlign w:val="center"/>
            <w:hideMark/>
          </w:tcPr>
          <w:p w14:paraId="4D9B88D7"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得分</w:t>
            </w:r>
          </w:p>
        </w:tc>
      </w:tr>
      <w:tr w:rsidR="00A54A84" w:rsidRPr="00A54A84" w14:paraId="39BA0516" w14:textId="77777777" w:rsidTr="00A54A84">
        <w:trPr>
          <w:trHeight w:val="879"/>
          <w:jc w:val="center"/>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66DDFC19" w14:textId="77777777" w:rsidR="00A54A84" w:rsidRPr="00A54A84" w:rsidRDefault="00A54A84" w:rsidP="00A54A84">
            <w:pPr>
              <w:widowControl/>
              <w:jc w:val="left"/>
              <w:rPr>
                <w:rFonts w:ascii="宋体" w:hAnsi="宋体" w:cs="宋体" w:hint="eastAsia"/>
                <w:kern w:val="0"/>
                <w:sz w:val="20"/>
                <w:szCs w:val="20"/>
              </w:rPr>
            </w:pPr>
          </w:p>
        </w:tc>
        <w:tc>
          <w:tcPr>
            <w:tcW w:w="1157" w:type="dxa"/>
            <w:tcBorders>
              <w:top w:val="nil"/>
              <w:left w:val="nil"/>
              <w:bottom w:val="single" w:sz="4" w:space="0" w:color="auto"/>
              <w:right w:val="single" w:sz="4" w:space="0" w:color="auto"/>
            </w:tcBorders>
            <w:shd w:val="clear" w:color="auto" w:fill="auto"/>
            <w:noWrap/>
            <w:vAlign w:val="center"/>
            <w:hideMark/>
          </w:tcPr>
          <w:p w14:paraId="6D1D49A2"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中央安排</w:t>
            </w:r>
          </w:p>
        </w:tc>
        <w:tc>
          <w:tcPr>
            <w:tcW w:w="1125" w:type="dxa"/>
            <w:tcBorders>
              <w:top w:val="nil"/>
              <w:left w:val="nil"/>
              <w:bottom w:val="single" w:sz="4" w:space="0" w:color="auto"/>
              <w:right w:val="single" w:sz="4" w:space="0" w:color="auto"/>
            </w:tcBorders>
            <w:shd w:val="clear" w:color="auto" w:fill="auto"/>
            <w:vAlign w:val="center"/>
            <w:hideMark/>
          </w:tcPr>
          <w:p w14:paraId="179EC40A" w14:textId="6B7FDE12"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0</w:t>
            </w:r>
            <w:r w:rsidRPr="003F66D0">
              <w:rPr>
                <w:rFonts w:ascii="宋体" w:hAnsi="宋体" w:cs="宋体" w:hint="eastAsia"/>
                <w:kern w:val="0"/>
                <w:sz w:val="20"/>
                <w:szCs w:val="20"/>
              </w:rPr>
              <w:t>.00</w:t>
            </w:r>
          </w:p>
        </w:tc>
        <w:tc>
          <w:tcPr>
            <w:tcW w:w="1108" w:type="dxa"/>
            <w:tcBorders>
              <w:top w:val="nil"/>
              <w:left w:val="nil"/>
              <w:bottom w:val="single" w:sz="4" w:space="0" w:color="auto"/>
              <w:right w:val="single" w:sz="4" w:space="0" w:color="auto"/>
            </w:tcBorders>
            <w:shd w:val="clear" w:color="auto" w:fill="auto"/>
            <w:vAlign w:val="center"/>
            <w:hideMark/>
          </w:tcPr>
          <w:p w14:paraId="40D37499" w14:textId="1FAD8265"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0</w:t>
            </w:r>
            <w:r w:rsidRPr="003F66D0">
              <w:rPr>
                <w:rFonts w:ascii="宋体" w:hAnsi="宋体" w:cs="宋体" w:hint="eastAsia"/>
                <w:kern w:val="0"/>
                <w:sz w:val="20"/>
                <w:szCs w:val="20"/>
              </w:rPr>
              <w:t>.00</w:t>
            </w:r>
          </w:p>
        </w:tc>
        <w:tc>
          <w:tcPr>
            <w:tcW w:w="968" w:type="dxa"/>
            <w:tcBorders>
              <w:top w:val="nil"/>
              <w:left w:val="nil"/>
              <w:bottom w:val="single" w:sz="4" w:space="0" w:color="auto"/>
              <w:right w:val="single" w:sz="4" w:space="0" w:color="auto"/>
            </w:tcBorders>
            <w:shd w:val="clear" w:color="auto" w:fill="auto"/>
            <w:vAlign w:val="center"/>
            <w:hideMark/>
          </w:tcPr>
          <w:p w14:paraId="0B2CD792" w14:textId="08B497AD"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0</w:t>
            </w:r>
            <w:r w:rsidRPr="003F66D0">
              <w:rPr>
                <w:rFonts w:ascii="宋体" w:hAnsi="宋体" w:cs="宋体" w:hint="eastAsia"/>
                <w:kern w:val="0"/>
                <w:sz w:val="20"/>
                <w:szCs w:val="20"/>
              </w:rPr>
              <w:t>.00</w:t>
            </w:r>
          </w:p>
        </w:tc>
        <w:tc>
          <w:tcPr>
            <w:tcW w:w="771" w:type="dxa"/>
            <w:tcBorders>
              <w:top w:val="nil"/>
              <w:left w:val="nil"/>
              <w:bottom w:val="single" w:sz="4" w:space="0" w:color="auto"/>
              <w:right w:val="single" w:sz="4" w:space="0" w:color="auto"/>
            </w:tcBorders>
            <w:shd w:val="clear" w:color="auto" w:fill="auto"/>
            <w:vAlign w:val="center"/>
            <w:hideMark/>
          </w:tcPr>
          <w:p w14:paraId="5256A22D"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10</w:t>
            </w:r>
          </w:p>
        </w:tc>
        <w:tc>
          <w:tcPr>
            <w:tcW w:w="1009" w:type="dxa"/>
            <w:tcBorders>
              <w:top w:val="nil"/>
              <w:left w:val="nil"/>
              <w:bottom w:val="single" w:sz="4" w:space="0" w:color="auto"/>
              <w:right w:val="single" w:sz="4" w:space="0" w:color="auto"/>
            </w:tcBorders>
            <w:shd w:val="clear" w:color="auto" w:fill="auto"/>
            <w:vAlign w:val="center"/>
            <w:hideMark/>
          </w:tcPr>
          <w:p w14:paraId="609883A5"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98.48%</w:t>
            </w:r>
          </w:p>
        </w:tc>
        <w:tc>
          <w:tcPr>
            <w:tcW w:w="895" w:type="dxa"/>
            <w:tcBorders>
              <w:top w:val="nil"/>
              <w:left w:val="nil"/>
              <w:bottom w:val="single" w:sz="4" w:space="0" w:color="auto"/>
              <w:right w:val="single" w:sz="4" w:space="0" w:color="auto"/>
            </w:tcBorders>
            <w:shd w:val="clear" w:color="auto" w:fill="auto"/>
            <w:vAlign w:val="center"/>
            <w:hideMark/>
          </w:tcPr>
          <w:p w14:paraId="55FF2EFA"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9.8</w:t>
            </w:r>
          </w:p>
        </w:tc>
      </w:tr>
      <w:tr w:rsidR="00A54A84" w:rsidRPr="00A54A84" w14:paraId="33B4899A" w14:textId="77777777" w:rsidTr="00A54A84">
        <w:trPr>
          <w:trHeight w:val="879"/>
          <w:jc w:val="center"/>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3061F5C9" w14:textId="77777777" w:rsidR="00A54A84" w:rsidRPr="00A54A84" w:rsidRDefault="00A54A84" w:rsidP="00A54A84">
            <w:pPr>
              <w:widowControl/>
              <w:jc w:val="left"/>
              <w:rPr>
                <w:rFonts w:ascii="宋体" w:hAnsi="宋体" w:cs="宋体" w:hint="eastAsia"/>
                <w:kern w:val="0"/>
                <w:sz w:val="20"/>
                <w:szCs w:val="20"/>
              </w:rPr>
            </w:pPr>
          </w:p>
        </w:tc>
        <w:tc>
          <w:tcPr>
            <w:tcW w:w="1157" w:type="dxa"/>
            <w:tcBorders>
              <w:top w:val="nil"/>
              <w:left w:val="nil"/>
              <w:bottom w:val="single" w:sz="4" w:space="0" w:color="auto"/>
              <w:right w:val="single" w:sz="4" w:space="0" w:color="auto"/>
            </w:tcBorders>
            <w:shd w:val="clear" w:color="auto" w:fill="auto"/>
            <w:vAlign w:val="center"/>
            <w:hideMark/>
          </w:tcPr>
          <w:p w14:paraId="391EDCDD"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自治区安排</w:t>
            </w:r>
          </w:p>
        </w:tc>
        <w:tc>
          <w:tcPr>
            <w:tcW w:w="1125" w:type="dxa"/>
            <w:tcBorders>
              <w:top w:val="nil"/>
              <w:left w:val="nil"/>
              <w:bottom w:val="single" w:sz="4" w:space="0" w:color="auto"/>
              <w:right w:val="single" w:sz="4" w:space="0" w:color="auto"/>
            </w:tcBorders>
            <w:shd w:val="clear" w:color="auto" w:fill="auto"/>
            <w:vAlign w:val="center"/>
            <w:hideMark/>
          </w:tcPr>
          <w:p w14:paraId="700BD0A4" w14:textId="32583C6F"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0</w:t>
            </w:r>
            <w:r w:rsidRPr="003F66D0">
              <w:rPr>
                <w:rFonts w:ascii="宋体" w:hAnsi="宋体" w:cs="宋体" w:hint="eastAsia"/>
                <w:kern w:val="0"/>
                <w:sz w:val="20"/>
                <w:szCs w:val="20"/>
              </w:rPr>
              <w:t>.00</w:t>
            </w:r>
          </w:p>
        </w:tc>
        <w:tc>
          <w:tcPr>
            <w:tcW w:w="1108" w:type="dxa"/>
            <w:tcBorders>
              <w:top w:val="nil"/>
              <w:left w:val="nil"/>
              <w:bottom w:val="single" w:sz="4" w:space="0" w:color="auto"/>
              <w:right w:val="single" w:sz="4" w:space="0" w:color="auto"/>
            </w:tcBorders>
            <w:shd w:val="clear" w:color="auto" w:fill="auto"/>
            <w:vAlign w:val="center"/>
            <w:hideMark/>
          </w:tcPr>
          <w:p w14:paraId="105012ED" w14:textId="0E39FB80"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0</w:t>
            </w:r>
            <w:r w:rsidRPr="003F66D0">
              <w:rPr>
                <w:rFonts w:ascii="宋体" w:hAnsi="宋体" w:cs="宋体" w:hint="eastAsia"/>
                <w:kern w:val="0"/>
                <w:sz w:val="20"/>
                <w:szCs w:val="20"/>
              </w:rPr>
              <w:t>.00</w:t>
            </w:r>
          </w:p>
        </w:tc>
        <w:tc>
          <w:tcPr>
            <w:tcW w:w="968" w:type="dxa"/>
            <w:tcBorders>
              <w:top w:val="nil"/>
              <w:left w:val="nil"/>
              <w:bottom w:val="single" w:sz="4" w:space="0" w:color="auto"/>
              <w:right w:val="single" w:sz="4" w:space="0" w:color="auto"/>
            </w:tcBorders>
            <w:shd w:val="clear" w:color="auto" w:fill="auto"/>
            <w:vAlign w:val="center"/>
            <w:hideMark/>
          </w:tcPr>
          <w:p w14:paraId="6AF2BE93" w14:textId="082979AE"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0</w:t>
            </w:r>
            <w:r w:rsidRPr="003F66D0">
              <w:rPr>
                <w:rFonts w:ascii="宋体" w:hAnsi="宋体" w:cs="宋体" w:hint="eastAsia"/>
                <w:kern w:val="0"/>
                <w:sz w:val="20"/>
                <w:szCs w:val="20"/>
              </w:rPr>
              <w:t>.00</w:t>
            </w:r>
          </w:p>
        </w:tc>
        <w:tc>
          <w:tcPr>
            <w:tcW w:w="771" w:type="dxa"/>
            <w:tcBorders>
              <w:top w:val="nil"/>
              <w:left w:val="nil"/>
              <w:bottom w:val="single" w:sz="4" w:space="0" w:color="auto"/>
              <w:right w:val="single" w:sz="4" w:space="0" w:color="auto"/>
            </w:tcBorders>
            <w:shd w:val="clear" w:color="auto" w:fill="auto"/>
            <w:vAlign w:val="center"/>
            <w:hideMark/>
          </w:tcPr>
          <w:p w14:paraId="7D85FB3E"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w:t>
            </w:r>
          </w:p>
        </w:tc>
        <w:tc>
          <w:tcPr>
            <w:tcW w:w="1009" w:type="dxa"/>
            <w:tcBorders>
              <w:top w:val="nil"/>
              <w:left w:val="nil"/>
              <w:bottom w:val="single" w:sz="4" w:space="0" w:color="auto"/>
              <w:right w:val="single" w:sz="4" w:space="0" w:color="auto"/>
            </w:tcBorders>
            <w:shd w:val="clear" w:color="auto" w:fill="auto"/>
            <w:vAlign w:val="center"/>
            <w:hideMark/>
          </w:tcPr>
          <w:p w14:paraId="180484D1"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w:t>
            </w:r>
          </w:p>
        </w:tc>
        <w:tc>
          <w:tcPr>
            <w:tcW w:w="895" w:type="dxa"/>
            <w:tcBorders>
              <w:top w:val="nil"/>
              <w:left w:val="nil"/>
              <w:bottom w:val="single" w:sz="4" w:space="0" w:color="auto"/>
              <w:right w:val="single" w:sz="4" w:space="0" w:color="auto"/>
            </w:tcBorders>
            <w:shd w:val="clear" w:color="auto" w:fill="auto"/>
            <w:vAlign w:val="center"/>
            <w:hideMark/>
          </w:tcPr>
          <w:p w14:paraId="0068132E"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w:t>
            </w:r>
          </w:p>
        </w:tc>
      </w:tr>
      <w:tr w:rsidR="00A54A84" w:rsidRPr="00A54A84" w14:paraId="67EEB1EE" w14:textId="77777777" w:rsidTr="00A54A84">
        <w:trPr>
          <w:trHeight w:val="879"/>
          <w:jc w:val="center"/>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300FB423" w14:textId="77777777" w:rsidR="00A54A84" w:rsidRPr="00A54A84" w:rsidRDefault="00A54A84" w:rsidP="00A54A84">
            <w:pPr>
              <w:widowControl/>
              <w:jc w:val="left"/>
              <w:rPr>
                <w:rFonts w:ascii="宋体" w:hAnsi="宋体" w:cs="宋体" w:hint="eastAsia"/>
                <w:kern w:val="0"/>
                <w:sz w:val="20"/>
                <w:szCs w:val="20"/>
              </w:rPr>
            </w:pPr>
          </w:p>
        </w:tc>
        <w:tc>
          <w:tcPr>
            <w:tcW w:w="1157" w:type="dxa"/>
            <w:tcBorders>
              <w:top w:val="nil"/>
              <w:left w:val="nil"/>
              <w:bottom w:val="single" w:sz="4" w:space="0" w:color="auto"/>
              <w:right w:val="single" w:sz="4" w:space="0" w:color="auto"/>
            </w:tcBorders>
            <w:shd w:val="clear" w:color="auto" w:fill="auto"/>
            <w:vAlign w:val="center"/>
            <w:hideMark/>
          </w:tcPr>
          <w:p w14:paraId="657E66BF"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地（州、市）安排</w:t>
            </w:r>
          </w:p>
        </w:tc>
        <w:tc>
          <w:tcPr>
            <w:tcW w:w="1125" w:type="dxa"/>
            <w:tcBorders>
              <w:top w:val="nil"/>
              <w:left w:val="nil"/>
              <w:bottom w:val="single" w:sz="4" w:space="0" w:color="auto"/>
              <w:right w:val="single" w:sz="4" w:space="0" w:color="auto"/>
            </w:tcBorders>
            <w:shd w:val="clear" w:color="auto" w:fill="auto"/>
            <w:vAlign w:val="center"/>
            <w:hideMark/>
          </w:tcPr>
          <w:p w14:paraId="3D38AAE4" w14:textId="411E0EF6"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0</w:t>
            </w:r>
            <w:r w:rsidRPr="003F66D0">
              <w:rPr>
                <w:rFonts w:ascii="宋体" w:hAnsi="宋体" w:cs="宋体" w:hint="eastAsia"/>
                <w:kern w:val="0"/>
                <w:sz w:val="20"/>
                <w:szCs w:val="20"/>
              </w:rPr>
              <w:t>.00</w:t>
            </w:r>
          </w:p>
        </w:tc>
        <w:tc>
          <w:tcPr>
            <w:tcW w:w="1108" w:type="dxa"/>
            <w:tcBorders>
              <w:top w:val="nil"/>
              <w:left w:val="nil"/>
              <w:bottom w:val="single" w:sz="4" w:space="0" w:color="auto"/>
              <w:right w:val="single" w:sz="4" w:space="0" w:color="auto"/>
            </w:tcBorders>
            <w:shd w:val="clear" w:color="auto" w:fill="auto"/>
            <w:vAlign w:val="center"/>
            <w:hideMark/>
          </w:tcPr>
          <w:p w14:paraId="4200D02F" w14:textId="7149C9BF"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0</w:t>
            </w:r>
            <w:r w:rsidRPr="003F66D0">
              <w:rPr>
                <w:rFonts w:ascii="宋体" w:hAnsi="宋体" w:cs="宋体" w:hint="eastAsia"/>
                <w:kern w:val="0"/>
                <w:sz w:val="20"/>
                <w:szCs w:val="20"/>
              </w:rPr>
              <w:t>.00</w:t>
            </w:r>
          </w:p>
        </w:tc>
        <w:tc>
          <w:tcPr>
            <w:tcW w:w="968" w:type="dxa"/>
            <w:tcBorders>
              <w:top w:val="nil"/>
              <w:left w:val="nil"/>
              <w:bottom w:val="single" w:sz="4" w:space="0" w:color="auto"/>
              <w:right w:val="single" w:sz="4" w:space="0" w:color="auto"/>
            </w:tcBorders>
            <w:shd w:val="clear" w:color="auto" w:fill="auto"/>
            <w:vAlign w:val="center"/>
            <w:hideMark/>
          </w:tcPr>
          <w:p w14:paraId="343F6F5F" w14:textId="06249085"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0</w:t>
            </w:r>
            <w:r w:rsidRPr="003F66D0">
              <w:rPr>
                <w:rFonts w:ascii="宋体" w:hAnsi="宋体" w:cs="宋体" w:hint="eastAsia"/>
                <w:kern w:val="0"/>
                <w:sz w:val="20"/>
                <w:szCs w:val="20"/>
              </w:rPr>
              <w:t>.00</w:t>
            </w:r>
          </w:p>
        </w:tc>
        <w:tc>
          <w:tcPr>
            <w:tcW w:w="771" w:type="dxa"/>
            <w:tcBorders>
              <w:top w:val="nil"/>
              <w:left w:val="nil"/>
              <w:bottom w:val="single" w:sz="4" w:space="0" w:color="auto"/>
              <w:right w:val="single" w:sz="4" w:space="0" w:color="auto"/>
            </w:tcBorders>
            <w:shd w:val="clear" w:color="auto" w:fill="auto"/>
            <w:vAlign w:val="center"/>
            <w:hideMark/>
          </w:tcPr>
          <w:p w14:paraId="00A05041"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w:t>
            </w:r>
          </w:p>
        </w:tc>
        <w:tc>
          <w:tcPr>
            <w:tcW w:w="1009" w:type="dxa"/>
            <w:tcBorders>
              <w:top w:val="nil"/>
              <w:left w:val="nil"/>
              <w:bottom w:val="single" w:sz="4" w:space="0" w:color="auto"/>
              <w:right w:val="single" w:sz="4" w:space="0" w:color="auto"/>
            </w:tcBorders>
            <w:shd w:val="clear" w:color="auto" w:fill="auto"/>
            <w:vAlign w:val="center"/>
            <w:hideMark/>
          </w:tcPr>
          <w:p w14:paraId="21337EB2"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w:t>
            </w:r>
          </w:p>
        </w:tc>
        <w:tc>
          <w:tcPr>
            <w:tcW w:w="895" w:type="dxa"/>
            <w:tcBorders>
              <w:top w:val="nil"/>
              <w:left w:val="nil"/>
              <w:bottom w:val="single" w:sz="4" w:space="0" w:color="auto"/>
              <w:right w:val="single" w:sz="4" w:space="0" w:color="auto"/>
            </w:tcBorders>
            <w:shd w:val="clear" w:color="auto" w:fill="auto"/>
            <w:vAlign w:val="center"/>
            <w:hideMark/>
          </w:tcPr>
          <w:p w14:paraId="4F90252B"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w:t>
            </w:r>
          </w:p>
        </w:tc>
      </w:tr>
      <w:tr w:rsidR="00A54A84" w:rsidRPr="00A54A84" w14:paraId="38048F7B" w14:textId="77777777" w:rsidTr="00A54A84">
        <w:trPr>
          <w:trHeight w:val="879"/>
          <w:jc w:val="center"/>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4B2CEEBF" w14:textId="77777777" w:rsidR="00A54A84" w:rsidRPr="00A54A84" w:rsidRDefault="00A54A84" w:rsidP="00A54A84">
            <w:pPr>
              <w:widowControl/>
              <w:jc w:val="left"/>
              <w:rPr>
                <w:rFonts w:ascii="宋体" w:hAnsi="宋体" w:cs="宋体" w:hint="eastAsia"/>
                <w:kern w:val="0"/>
                <w:sz w:val="20"/>
                <w:szCs w:val="20"/>
              </w:rPr>
            </w:pPr>
          </w:p>
        </w:tc>
        <w:tc>
          <w:tcPr>
            <w:tcW w:w="1157" w:type="dxa"/>
            <w:tcBorders>
              <w:top w:val="nil"/>
              <w:left w:val="nil"/>
              <w:bottom w:val="single" w:sz="4" w:space="0" w:color="auto"/>
              <w:right w:val="single" w:sz="4" w:space="0" w:color="auto"/>
            </w:tcBorders>
            <w:shd w:val="clear" w:color="auto" w:fill="auto"/>
            <w:vAlign w:val="center"/>
            <w:hideMark/>
          </w:tcPr>
          <w:p w14:paraId="15CFF5D3"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县（市、区）安排</w:t>
            </w:r>
          </w:p>
        </w:tc>
        <w:tc>
          <w:tcPr>
            <w:tcW w:w="1125" w:type="dxa"/>
            <w:tcBorders>
              <w:top w:val="nil"/>
              <w:left w:val="nil"/>
              <w:bottom w:val="single" w:sz="4" w:space="0" w:color="auto"/>
              <w:right w:val="single" w:sz="4" w:space="0" w:color="auto"/>
            </w:tcBorders>
            <w:shd w:val="clear" w:color="auto" w:fill="auto"/>
            <w:vAlign w:val="center"/>
            <w:hideMark/>
          </w:tcPr>
          <w:p w14:paraId="66164A5C" w14:textId="618B99A0"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487.30</w:t>
            </w:r>
          </w:p>
        </w:tc>
        <w:tc>
          <w:tcPr>
            <w:tcW w:w="1108" w:type="dxa"/>
            <w:tcBorders>
              <w:top w:val="nil"/>
              <w:left w:val="nil"/>
              <w:bottom w:val="single" w:sz="4" w:space="0" w:color="auto"/>
              <w:right w:val="single" w:sz="4" w:space="0" w:color="auto"/>
            </w:tcBorders>
            <w:shd w:val="clear" w:color="auto" w:fill="auto"/>
            <w:vAlign w:val="center"/>
            <w:hideMark/>
          </w:tcPr>
          <w:p w14:paraId="002F99CC"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532.65</w:t>
            </w:r>
          </w:p>
        </w:tc>
        <w:tc>
          <w:tcPr>
            <w:tcW w:w="968" w:type="dxa"/>
            <w:tcBorders>
              <w:top w:val="nil"/>
              <w:left w:val="nil"/>
              <w:bottom w:val="single" w:sz="4" w:space="0" w:color="auto"/>
              <w:right w:val="single" w:sz="4" w:space="0" w:color="auto"/>
            </w:tcBorders>
            <w:shd w:val="clear" w:color="auto" w:fill="auto"/>
            <w:vAlign w:val="center"/>
            <w:hideMark/>
          </w:tcPr>
          <w:p w14:paraId="3D2BC994"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524.53</w:t>
            </w:r>
          </w:p>
        </w:tc>
        <w:tc>
          <w:tcPr>
            <w:tcW w:w="771" w:type="dxa"/>
            <w:tcBorders>
              <w:top w:val="nil"/>
              <w:left w:val="nil"/>
              <w:bottom w:val="single" w:sz="4" w:space="0" w:color="auto"/>
              <w:right w:val="single" w:sz="4" w:space="0" w:color="auto"/>
            </w:tcBorders>
            <w:shd w:val="clear" w:color="auto" w:fill="auto"/>
            <w:vAlign w:val="center"/>
            <w:hideMark/>
          </w:tcPr>
          <w:p w14:paraId="53E0FB86" w14:textId="7831EE88"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w:t>
            </w:r>
          </w:p>
        </w:tc>
        <w:tc>
          <w:tcPr>
            <w:tcW w:w="1009" w:type="dxa"/>
            <w:tcBorders>
              <w:top w:val="nil"/>
              <w:left w:val="nil"/>
              <w:bottom w:val="single" w:sz="4" w:space="0" w:color="auto"/>
              <w:right w:val="single" w:sz="4" w:space="0" w:color="auto"/>
            </w:tcBorders>
            <w:shd w:val="clear" w:color="auto" w:fill="auto"/>
            <w:vAlign w:val="center"/>
            <w:hideMark/>
          </w:tcPr>
          <w:p w14:paraId="791E13DA" w14:textId="396EC39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w:t>
            </w:r>
          </w:p>
        </w:tc>
        <w:tc>
          <w:tcPr>
            <w:tcW w:w="895" w:type="dxa"/>
            <w:tcBorders>
              <w:top w:val="nil"/>
              <w:left w:val="nil"/>
              <w:bottom w:val="single" w:sz="4" w:space="0" w:color="auto"/>
              <w:right w:val="single" w:sz="4" w:space="0" w:color="auto"/>
            </w:tcBorders>
            <w:shd w:val="clear" w:color="auto" w:fill="auto"/>
            <w:vAlign w:val="center"/>
            <w:hideMark/>
          </w:tcPr>
          <w:p w14:paraId="11EC79AD" w14:textId="161D8AF3"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w:t>
            </w:r>
          </w:p>
        </w:tc>
      </w:tr>
      <w:tr w:rsidR="00A54A84" w:rsidRPr="00A54A84" w14:paraId="3E7E107E" w14:textId="77777777" w:rsidTr="00A54A84">
        <w:trPr>
          <w:trHeight w:val="879"/>
          <w:jc w:val="center"/>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22012CEA" w14:textId="77777777" w:rsidR="00A54A84" w:rsidRPr="00A54A84" w:rsidRDefault="00A54A84" w:rsidP="00A54A84">
            <w:pPr>
              <w:widowControl/>
              <w:jc w:val="left"/>
              <w:rPr>
                <w:rFonts w:ascii="宋体" w:hAnsi="宋体" w:cs="宋体" w:hint="eastAsia"/>
                <w:kern w:val="0"/>
                <w:sz w:val="20"/>
                <w:szCs w:val="20"/>
              </w:rPr>
            </w:pPr>
          </w:p>
        </w:tc>
        <w:tc>
          <w:tcPr>
            <w:tcW w:w="1157" w:type="dxa"/>
            <w:tcBorders>
              <w:top w:val="nil"/>
              <w:left w:val="nil"/>
              <w:bottom w:val="single" w:sz="4" w:space="0" w:color="auto"/>
              <w:right w:val="single" w:sz="4" w:space="0" w:color="auto"/>
            </w:tcBorders>
            <w:shd w:val="clear" w:color="auto" w:fill="auto"/>
            <w:vAlign w:val="center"/>
            <w:hideMark/>
          </w:tcPr>
          <w:p w14:paraId="2224CE92"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其他资金</w:t>
            </w:r>
          </w:p>
        </w:tc>
        <w:tc>
          <w:tcPr>
            <w:tcW w:w="1125" w:type="dxa"/>
            <w:tcBorders>
              <w:top w:val="nil"/>
              <w:left w:val="nil"/>
              <w:bottom w:val="single" w:sz="4" w:space="0" w:color="auto"/>
              <w:right w:val="single" w:sz="4" w:space="0" w:color="auto"/>
            </w:tcBorders>
            <w:shd w:val="clear" w:color="auto" w:fill="auto"/>
            <w:vAlign w:val="center"/>
            <w:hideMark/>
          </w:tcPr>
          <w:p w14:paraId="79158E67" w14:textId="0DBA20A3"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0</w:t>
            </w:r>
            <w:r w:rsidRPr="003F66D0">
              <w:rPr>
                <w:rFonts w:ascii="宋体" w:hAnsi="宋体" w:cs="宋体" w:hint="eastAsia"/>
                <w:kern w:val="0"/>
                <w:sz w:val="20"/>
                <w:szCs w:val="20"/>
              </w:rPr>
              <w:t>.00</w:t>
            </w:r>
          </w:p>
        </w:tc>
        <w:tc>
          <w:tcPr>
            <w:tcW w:w="1108" w:type="dxa"/>
            <w:tcBorders>
              <w:top w:val="nil"/>
              <w:left w:val="nil"/>
              <w:bottom w:val="single" w:sz="4" w:space="0" w:color="auto"/>
              <w:right w:val="single" w:sz="4" w:space="0" w:color="auto"/>
            </w:tcBorders>
            <w:shd w:val="clear" w:color="auto" w:fill="auto"/>
            <w:vAlign w:val="center"/>
            <w:hideMark/>
          </w:tcPr>
          <w:p w14:paraId="4B04FDAD" w14:textId="0C3B0B90"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0</w:t>
            </w:r>
            <w:r w:rsidRPr="003F66D0">
              <w:rPr>
                <w:rFonts w:ascii="宋体" w:hAnsi="宋体" w:cs="宋体" w:hint="eastAsia"/>
                <w:kern w:val="0"/>
                <w:sz w:val="20"/>
                <w:szCs w:val="20"/>
              </w:rPr>
              <w:t>.00</w:t>
            </w:r>
          </w:p>
        </w:tc>
        <w:tc>
          <w:tcPr>
            <w:tcW w:w="968" w:type="dxa"/>
            <w:tcBorders>
              <w:top w:val="nil"/>
              <w:left w:val="nil"/>
              <w:bottom w:val="single" w:sz="4" w:space="0" w:color="auto"/>
              <w:right w:val="single" w:sz="4" w:space="0" w:color="auto"/>
            </w:tcBorders>
            <w:shd w:val="clear" w:color="auto" w:fill="auto"/>
            <w:vAlign w:val="center"/>
            <w:hideMark/>
          </w:tcPr>
          <w:p w14:paraId="1984C438" w14:textId="71C65A85"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0</w:t>
            </w:r>
            <w:r w:rsidRPr="003F66D0">
              <w:rPr>
                <w:rFonts w:ascii="宋体" w:hAnsi="宋体" w:cs="宋体" w:hint="eastAsia"/>
                <w:kern w:val="0"/>
                <w:sz w:val="20"/>
                <w:szCs w:val="20"/>
              </w:rPr>
              <w:t>.00</w:t>
            </w:r>
          </w:p>
        </w:tc>
        <w:tc>
          <w:tcPr>
            <w:tcW w:w="771" w:type="dxa"/>
            <w:tcBorders>
              <w:top w:val="nil"/>
              <w:left w:val="nil"/>
              <w:bottom w:val="single" w:sz="4" w:space="0" w:color="auto"/>
              <w:right w:val="single" w:sz="4" w:space="0" w:color="auto"/>
            </w:tcBorders>
            <w:shd w:val="clear" w:color="auto" w:fill="auto"/>
            <w:vAlign w:val="center"/>
            <w:hideMark/>
          </w:tcPr>
          <w:p w14:paraId="1568612D" w14:textId="6C36D4AF"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w:t>
            </w:r>
          </w:p>
        </w:tc>
        <w:tc>
          <w:tcPr>
            <w:tcW w:w="1009" w:type="dxa"/>
            <w:tcBorders>
              <w:top w:val="nil"/>
              <w:left w:val="nil"/>
              <w:bottom w:val="single" w:sz="4" w:space="0" w:color="auto"/>
              <w:right w:val="single" w:sz="4" w:space="0" w:color="auto"/>
            </w:tcBorders>
            <w:shd w:val="clear" w:color="auto" w:fill="auto"/>
            <w:vAlign w:val="center"/>
            <w:hideMark/>
          </w:tcPr>
          <w:p w14:paraId="6064C41A" w14:textId="64BF17A9"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w:t>
            </w:r>
          </w:p>
        </w:tc>
        <w:tc>
          <w:tcPr>
            <w:tcW w:w="895" w:type="dxa"/>
            <w:tcBorders>
              <w:top w:val="nil"/>
              <w:left w:val="nil"/>
              <w:bottom w:val="single" w:sz="4" w:space="0" w:color="auto"/>
              <w:right w:val="single" w:sz="4" w:space="0" w:color="auto"/>
            </w:tcBorders>
            <w:shd w:val="clear" w:color="auto" w:fill="auto"/>
            <w:vAlign w:val="center"/>
            <w:hideMark/>
          </w:tcPr>
          <w:p w14:paraId="14C40199" w14:textId="7DA2A98E"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w:t>
            </w:r>
          </w:p>
        </w:tc>
      </w:tr>
      <w:tr w:rsidR="00A54A84" w:rsidRPr="00A54A84" w14:paraId="4297C707" w14:textId="77777777" w:rsidTr="00A54A84">
        <w:trPr>
          <w:trHeight w:val="879"/>
          <w:jc w:val="center"/>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054B7750" w14:textId="77777777" w:rsidR="00A54A84" w:rsidRPr="00A54A84" w:rsidRDefault="00A54A84" w:rsidP="00A54A84">
            <w:pPr>
              <w:widowControl/>
              <w:jc w:val="left"/>
              <w:rPr>
                <w:rFonts w:ascii="宋体" w:hAnsi="宋体" w:cs="宋体" w:hint="eastAsia"/>
                <w:kern w:val="0"/>
                <w:sz w:val="20"/>
                <w:szCs w:val="20"/>
              </w:rPr>
            </w:pPr>
          </w:p>
        </w:tc>
        <w:tc>
          <w:tcPr>
            <w:tcW w:w="1157" w:type="dxa"/>
            <w:tcBorders>
              <w:top w:val="nil"/>
              <w:left w:val="nil"/>
              <w:bottom w:val="single" w:sz="4" w:space="0" w:color="auto"/>
              <w:right w:val="single" w:sz="4" w:space="0" w:color="auto"/>
            </w:tcBorders>
            <w:shd w:val="clear" w:color="auto" w:fill="auto"/>
            <w:vAlign w:val="center"/>
            <w:hideMark/>
          </w:tcPr>
          <w:p w14:paraId="3B2CDAC1"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合计</w:t>
            </w:r>
          </w:p>
        </w:tc>
        <w:tc>
          <w:tcPr>
            <w:tcW w:w="1125" w:type="dxa"/>
            <w:tcBorders>
              <w:top w:val="nil"/>
              <w:left w:val="nil"/>
              <w:bottom w:val="single" w:sz="4" w:space="0" w:color="auto"/>
              <w:right w:val="single" w:sz="4" w:space="0" w:color="auto"/>
            </w:tcBorders>
            <w:shd w:val="clear" w:color="auto" w:fill="auto"/>
            <w:vAlign w:val="center"/>
            <w:hideMark/>
          </w:tcPr>
          <w:p w14:paraId="42D0FBC6"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 xml:space="preserve">487.30 </w:t>
            </w:r>
          </w:p>
        </w:tc>
        <w:tc>
          <w:tcPr>
            <w:tcW w:w="1108" w:type="dxa"/>
            <w:tcBorders>
              <w:top w:val="nil"/>
              <w:left w:val="nil"/>
              <w:bottom w:val="single" w:sz="4" w:space="0" w:color="auto"/>
              <w:right w:val="single" w:sz="4" w:space="0" w:color="auto"/>
            </w:tcBorders>
            <w:shd w:val="clear" w:color="auto" w:fill="auto"/>
            <w:vAlign w:val="center"/>
            <w:hideMark/>
          </w:tcPr>
          <w:p w14:paraId="6657B6B7"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532.65</w:t>
            </w:r>
          </w:p>
        </w:tc>
        <w:tc>
          <w:tcPr>
            <w:tcW w:w="968" w:type="dxa"/>
            <w:tcBorders>
              <w:top w:val="nil"/>
              <w:left w:val="nil"/>
              <w:bottom w:val="single" w:sz="4" w:space="0" w:color="auto"/>
              <w:right w:val="single" w:sz="4" w:space="0" w:color="auto"/>
            </w:tcBorders>
            <w:shd w:val="clear" w:color="auto" w:fill="auto"/>
            <w:vAlign w:val="center"/>
            <w:hideMark/>
          </w:tcPr>
          <w:p w14:paraId="4E0977E0"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524.53</w:t>
            </w:r>
          </w:p>
        </w:tc>
        <w:tc>
          <w:tcPr>
            <w:tcW w:w="771" w:type="dxa"/>
            <w:tcBorders>
              <w:top w:val="nil"/>
              <w:left w:val="nil"/>
              <w:bottom w:val="single" w:sz="4" w:space="0" w:color="auto"/>
              <w:right w:val="single" w:sz="4" w:space="0" w:color="auto"/>
            </w:tcBorders>
            <w:shd w:val="clear" w:color="auto" w:fill="auto"/>
            <w:vAlign w:val="center"/>
            <w:hideMark/>
          </w:tcPr>
          <w:p w14:paraId="5C48ADB5"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w:t>
            </w:r>
          </w:p>
        </w:tc>
        <w:tc>
          <w:tcPr>
            <w:tcW w:w="1009" w:type="dxa"/>
            <w:tcBorders>
              <w:top w:val="nil"/>
              <w:left w:val="nil"/>
              <w:bottom w:val="single" w:sz="4" w:space="0" w:color="auto"/>
              <w:right w:val="single" w:sz="4" w:space="0" w:color="auto"/>
            </w:tcBorders>
            <w:shd w:val="clear" w:color="auto" w:fill="auto"/>
            <w:vAlign w:val="center"/>
            <w:hideMark/>
          </w:tcPr>
          <w:p w14:paraId="6B3CD0B8"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w:t>
            </w:r>
          </w:p>
        </w:tc>
        <w:tc>
          <w:tcPr>
            <w:tcW w:w="895" w:type="dxa"/>
            <w:tcBorders>
              <w:top w:val="nil"/>
              <w:left w:val="nil"/>
              <w:bottom w:val="single" w:sz="4" w:space="0" w:color="auto"/>
              <w:right w:val="single" w:sz="4" w:space="0" w:color="auto"/>
            </w:tcBorders>
            <w:shd w:val="clear" w:color="auto" w:fill="auto"/>
            <w:vAlign w:val="center"/>
            <w:hideMark/>
          </w:tcPr>
          <w:p w14:paraId="17200620"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w:t>
            </w:r>
          </w:p>
        </w:tc>
      </w:tr>
      <w:tr w:rsidR="00A54A84" w:rsidRPr="00A54A84" w14:paraId="1A712C99" w14:textId="77777777" w:rsidTr="00A54A84">
        <w:trPr>
          <w:trHeight w:val="705"/>
          <w:jc w:val="center"/>
        </w:trPr>
        <w:tc>
          <w:tcPr>
            <w:tcW w:w="14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BB235F"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年度总体目标</w:t>
            </w:r>
          </w:p>
        </w:tc>
        <w:tc>
          <w:tcPr>
            <w:tcW w:w="339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D48C675"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预期目标</w:t>
            </w:r>
          </w:p>
        </w:tc>
        <w:tc>
          <w:tcPr>
            <w:tcW w:w="3643" w:type="dxa"/>
            <w:gridSpan w:val="4"/>
            <w:tcBorders>
              <w:top w:val="single" w:sz="4" w:space="0" w:color="auto"/>
              <w:left w:val="nil"/>
              <w:bottom w:val="single" w:sz="4" w:space="0" w:color="auto"/>
              <w:right w:val="single" w:sz="4" w:space="0" w:color="auto"/>
            </w:tcBorders>
            <w:shd w:val="clear" w:color="auto" w:fill="auto"/>
            <w:noWrap/>
            <w:vAlign w:val="center"/>
            <w:hideMark/>
          </w:tcPr>
          <w:p w14:paraId="7BF25343"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实际完成情况</w:t>
            </w:r>
          </w:p>
        </w:tc>
      </w:tr>
      <w:tr w:rsidR="00A54A84" w:rsidRPr="00A54A84" w14:paraId="0E618F09" w14:textId="77777777" w:rsidTr="00A54A84">
        <w:trPr>
          <w:trHeight w:val="2001"/>
          <w:jc w:val="center"/>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02C8BBC8" w14:textId="77777777" w:rsidR="00A54A84" w:rsidRPr="00A54A84" w:rsidRDefault="00A54A84" w:rsidP="00A54A84">
            <w:pPr>
              <w:widowControl/>
              <w:jc w:val="left"/>
              <w:rPr>
                <w:rFonts w:ascii="宋体" w:hAnsi="宋体" w:cs="宋体" w:hint="eastAsia"/>
                <w:kern w:val="0"/>
                <w:sz w:val="20"/>
                <w:szCs w:val="20"/>
              </w:rPr>
            </w:pPr>
          </w:p>
        </w:tc>
        <w:tc>
          <w:tcPr>
            <w:tcW w:w="3390" w:type="dxa"/>
            <w:gridSpan w:val="3"/>
            <w:tcBorders>
              <w:top w:val="single" w:sz="4" w:space="0" w:color="auto"/>
              <w:left w:val="nil"/>
              <w:bottom w:val="single" w:sz="4" w:space="0" w:color="auto"/>
              <w:right w:val="single" w:sz="4" w:space="0" w:color="auto"/>
            </w:tcBorders>
            <w:shd w:val="clear" w:color="auto" w:fill="auto"/>
            <w:vAlign w:val="center"/>
            <w:hideMark/>
          </w:tcPr>
          <w:p w14:paraId="69D8A518"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2023年昌吉市榆树沟镇中心幼儿园保障教职工人数52人，发放工资福利487.28万元，经费主要支出方向为人员经费427.16万元，及商品服务类支出60.14万元，保障幼儿人数271人，房屋建筑物供暖面积3487.30平方米。保障了学校正常运转，完成教育教学活动，持续提高了学校教育教学质量。让家长满意、学生满意、教职工满意，以确保全年目标的顺利完成。</w:t>
            </w:r>
          </w:p>
        </w:tc>
        <w:tc>
          <w:tcPr>
            <w:tcW w:w="3643" w:type="dxa"/>
            <w:gridSpan w:val="4"/>
            <w:tcBorders>
              <w:top w:val="single" w:sz="4" w:space="0" w:color="auto"/>
              <w:left w:val="nil"/>
              <w:bottom w:val="single" w:sz="4" w:space="0" w:color="auto"/>
              <w:right w:val="single" w:sz="4" w:space="0" w:color="auto"/>
            </w:tcBorders>
            <w:shd w:val="clear" w:color="auto" w:fill="auto"/>
            <w:vAlign w:val="center"/>
            <w:hideMark/>
          </w:tcPr>
          <w:p w14:paraId="374287D4"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2023年昌吉市榆树沟镇中心幼儿园保障教职工人数52人，发放工资福利487.28万元，经费主要支出方向为人员经费427.16万元，及商品服务类支出60.14万元，保障幼儿人数271人，房屋建筑物供暖面积3487.30平方米。保障了学校正常运转，完成教育教学活动，持续提高了学校教育教学质量。让家长满意、学生满意、教职工满意，全年目标的顺利完成。</w:t>
            </w:r>
          </w:p>
        </w:tc>
      </w:tr>
      <w:tr w:rsidR="00A54A84" w:rsidRPr="00A54A84" w14:paraId="7EF15A69" w14:textId="77777777" w:rsidTr="00A54A84">
        <w:trPr>
          <w:trHeight w:val="579"/>
          <w:jc w:val="center"/>
        </w:trPr>
        <w:tc>
          <w:tcPr>
            <w:tcW w:w="14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B8F687"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lastRenderedPageBreak/>
              <w:t>一级指标</w:t>
            </w:r>
          </w:p>
        </w:tc>
        <w:tc>
          <w:tcPr>
            <w:tcW w:w="1157" w:type="dxa"/>
            <w:tcBorders>
              <w:top w:val="nil"/>
              <w:left w:val="nil"/>
              <w:bottom w:val="single" w:sz="4" w:space="0" w:color="auto"/>
              <w:right w:val="single" w:sz="4" w:space="0" w:color="auto"/>
            </w:tcBorders>
            <w:shd w:val="clear" w:color="auto" w:fill="auto"/>
            <w:vAlign w:val="center"/>
            <w:hideMark/>
          </w:tcPr>
          <w:p w14:paraId="05D683F8"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二级指标</w:t>
            </w:r>
          </w:p>
        </w:tc>
        <w:tc>
          <w:tcPr>
            <w:tcW w:w="1125" w:type="dxa"/>
            <w:tcBorders>
              <w:top w:val="nil"/>
              <w:left w:val="nil"/>
              <w:bottom w:val="single" w:sz="4" w:space="0" w:color="auto"/>
              <w:right w:val="single" w:sz="4" w:space="0" w:color="auto"/>
            </w:tcBorders>
            <w:shd w:val="clear" w:color="auto" w:fill="auto"/>
            <w:vAlign w:val="center"/>
            <w:hideMark/>
          </w:tcPr>
          <w:p w14:paraId="11917C4A"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三级指标</w:t>
            </w:r>
          </w:p>
        </w:tc>
        <w:tc>
          <w:tcPr>
            <w:tcW w:w="1108" w:type="dxa"/>
            <w:tcBorders>
              <w:top w:val="nil"/>
              <w:left w:val="nil"/>
              <w:bottom w:val="single" w:sz="4" w:space="0" w:color="auto"/>
              <w:right w:val="single" w:sz="4" w:space="0" w:color="auto"/>
            </w:tcBorders>
            <w:shd w:val="clear" w:color="auto" w:fill="auto"/>
            <w:vAlign w:val="center"/>
            <w:hideMark/>
          </w:tcPr>
          <w:p w14:paraId="1559E965"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预期指标值</w:t>
            </w:r>
          </w:p>
        </w:tc>
        <w:tc>
          <w:tcPr>
            <w:tcW w:w="968" w:type="dxa"/>
            <w:tcBorders>
              <w:top w:val="nil"/>
              <w:left w:val="nil"/>
              <w:bottom w:val="single" w:sz="4" w:space="0" w:color="auto"/>
              <w:right w:val="single" w:sz="4" w:space="0" w:color="auto"/>
            </w:tcBorders>
            <w:shd w:val="clear" w:color="auto" w:fill="auto"/>
            <w:vAlign w:val="center"/>
            <w:hideMark/>
          </w:tcPr>
          <w:p w14:paraId="355B783F"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指标值设定依据</w:t>
            </w:r>
          </w:p>
        </w:tc>
        <w:tc>
          <w:tcPr>
            <w:tcW w:w="771" w:type="dxa"/>
            <w:tcBorders>
              <w:top w:val="nil"/>
              <w:left w:val="nil"/>
              <w:bottom w:val="single" w:sz="4" w:space="0" w:color="auto"/>
              <w:right w:val="single" w:sz="4" w:space="0" w:color="auto"/>
            </w:tcBorders>
            <w:shd w:val="clear" w:color="auto" w:fill="auto"/>
            <w:vAlign w:val="center"/>
            <w:hideMark/>
          </w:tcPr>
          <w:p w14:paraId="1120D757"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分值权重</w:t>
            </w:r>
          </w:p>
        </w:tc>
        <w:tc>
          <w:tcPr>
            <w:tcW w:w="1009" w:type="dxa"/>
            <w:tcBorders>
              <w:top w:val="nil"/>
              <w:left w:val="nil"/>
              <w:bottom w:val="single" w:sz="4" w:space="0" w:color="auto"/>
              <w:right w:val="single" w:sz="4" w:space="0" w:color="auto"/>
            </w:tcBorders>
            <w:shd w:val="clear" w:color="auto" w:fill="auto"/>
            <w:vAlign w:val="center"/>
            <w:hideMark/>
          </w:tcPr>
          <w:p w14:paraId="33F1DEE7"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实际完成指标值</w:t>
            </w:r>
          </w:p>
        </w:tc>
        <w:tc>
          <w:tcPr>
            <w:tcW w:w="895" w:type="dxa"/>
            <w:tcBorders>
              <w:top w:val="nil"/>
              <w:left w:val="nil"/>
              <w:bottom w:val="single" w:sz="4" w:space="0" w:color="auto"/>
              <w:right w:val="single" w:sz="4" w:space="0" w:color="auto"/>
            </w:tcBorders>
            <w:shd w:val="clear" w:color="auto" w:fill="auto"/>
            <w:vAlign w:val="center"/>
            <w:hideMark/>
          </w:tcPr>
          <w:p w14:paraId="61010388"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得分</w:t>
            </w:r>
          </w:p>
        </w:tc>
      </w:tr>
      <w:tr w:rsidR="00A54A84" w:rsidRPr="00A54A84" w14:paraId="4B50D541" w14:textId="77777777" w:rsidTr="00A54A84">
        <w:trPr>
          <w:trHeight w:val="741"/>
          <w:jc w:val="center"/>
        </w:trPr>
        <w:tc>
          <w:tcPr>
            <w:tcW w:w="14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265E77"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运行成本</w:t>
            </w:r>
          </w:p>
        </w:tc>
        <w:tc>
          <w:tcPr>
            <w:tcW w:w="1157" w:type="dxa"/>
            <w:vMerge w:val="restart"/>
            <w:tcBorders>
              <w:top w:val="nil"/>
              <w:left w:val="single" w:sz="4" w:space="0" w:color="auto"/>
              <w:bottom w:val="single" w:sz="4" w:space="0" w:color="auto"/>
              <w:right w:val="single" w:sz="4" w:space="0" w:color="auto"/>
            </w:tcBorders>
            <w:shd w:val="clear" w:color="auto" w:fill="auto"/>
            <w:vAlign w:val="center"/>
            <w:hideMark/>
          </w:tcPr>
          <w:p w14:paraId="3702B97F"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数量指标</w:t>
            </w:r>
          </w:p>
        </w:tc>
        <w:tc>
          <w:tcPr>
            <w:tcW w:w="1125" w:type="dxa"/>
            <w:tcBorders>
              <w:top w:val="nil"/>
              <w:left w:val="nil"/>
              <w:bottom w:val="single" w:sz="4" w:space="0" w:color="auto"/>
              <w:right w:val="single" w:sz="4" w:space="0" w:color="auto"/>
            </w:tcBorders>
            <w:shd w:val="clear" w:color="auto" w:fill="auto"/>
            <w:vAlign w:val="center"/>
            <w:hideMark/>
          </w:tcPr>
          <w:p w14:paraId="7E9314CD"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保障办公人员数量</w:t>
            </w:r>
          </w:p>
        </w:tc>
        <w:tc>
          <w:tcPr>
            <w:tcW w:w="1108" w:type="dxa"/>
            <w:tcBorders>
              <w:top w:val="nil"/>
              <w:left w:val="nil"/>
              <w:bottom w:val="single" w:sz="4" w:space="0" w:color="auto"/>
              <w:right w:val="single" w:sz="4" w:space="0" w:color="auto"/>
            </w:tcBorders>
            <w:shd w:val="clear" w:color="auto" w:fill="auto"/>
            <w:vAlign w:val="center"/>
            <w:hideMark/>
          </w:tcPr>
          <w:p w14:paraId="6B91EA3E"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&gt;=44人</w:t>
            </w:r>
          </w:p>
        </w:tc>
        <w:tc>
          <w:tcPr>
            <w:tcW w:w="968" w:type="dxa"/>
            <w:tcBorders>
              <w:top w:val="nil"/>
              <w:left w:val="nil"/>
              <w:bottom w:val="single" w:sz="4" w:space="0" w:color="auto"/>
              <w:right w:val="single" w:sz="4" w:space="0" w:color="auto"/>
            </w:tcBorders>
            <w:shd w:val="clear" w:color="auto" w:fill="auto"/>
            <w:vAlign w:val="center"/>
            <w:hideMark/>
          </w:tcPr>
          <w:p w14:paraId="57D42A68"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三定方案</w:t>
            </w:r>
          </w:p>
        </w:tc>
        <w:tc>
          <w:tcPr>
            <w:tcW w:w="771" w:type="dxa"/>
            <w:tcBorders>
              <w:top w:val="nil"/>
              <w:left w:val="nil"/>
              <w:bottom w:val="single" w:sz="4" w:space="0" w:color="auto"/>
              <w:right w:val="single" w:sz="4" w:space="0" w:color="auto"/>
            </w:tcBorders>
            <w:shd w:val="clear" w:color="auto" w:fill="auto"/>
            <w:vAlign w:val="center"/>
            <w:hideMark/>
          </w:tcPr>
          <w:p w14:paraId="016BC88D"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18</w:t>
            </w:r>
          </w:p>
        </w:tc>
        <w:tc>
          <w:tcPr>
            <w:tcW w:w="1009" w:type="dxa"/>
            <w:tcBorders>
              <w:top w:val="nil"/>
              <w:left w:val="nil"/>
              <w:bottom w:val="single" w:sz="4" w:space="0" w:color="auto"/>
              <w:right w:val="single" w:sz="4" w:space="0" w:color="auto"/>
            </w:tcBorders>
            <w:shd w:val="clear" w:color="auto" w:fill="auto"/>
            <w:vAlign w:val="center"/>
            <w:hideMark/>
          </w:tcPr>
          <w:p w14:paraId="1EF98ADD"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=44人</w:t>
            </w:r>
          </w:p>
        </w:tc>
        <w:tc>
          <w:tcPr>
            <w:tcW w:w="895" w:type="dxa"/>
            <w:tcBorders>
              <w:top w:val="nil"/>
              <w:left w:val="nil"/>
              <w:bottom w:val="single" w:sz="4" w:space="0" w:color="auto"/>
              <w:right w:val="single" w:sz="4" w:space="0" w:color="auto"/>
            </w:tcBorders>
            <w:shd w:val="clear" w:color="auto" w:fill="auto"/>
            <w:vAlign w:val="center"/>
            <w:hideMark/>
          </w:tcPr>
          <w:p w14:paraId="6650F841"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18</w:t>
            </w:r>
          </w:p>
        </w:tc>
      </w:tr>
      <w:tr w:rsidR="00A54A84" w:rsidRPr="00A54A84" w14:paraId="387D5228" w14:textId="77777777" w:rsidTr="00A54A84">
        <w:trPr>
          <w:trHeight w:val="741"/>
          <w:jc w:val="center"/>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7711F587" w14:textId="77777777" w:rsidR="00A54A84" w:rsidRPr="00A54A84" w:rsidRDefault="00A54A84" w:rsidP="00A54A84">
            <w:pPr>
              <w:widowControl/>
              <w:jc w:val="left"/>
              <w:rPr>
                <w:rFonts w:ascii="宋体" w:hAnsi="宋体" w:cs="宋体" w:hint="eastAsia"/>
                <w:kern w:val="0"/>
                <w:sz w:val="20"/>
                <w:szCs w:val="20"/>
              </w:rPr>
            </w:pPr>
          </w:p>
        </w:tc>
        <w:tc>
          <w:tcPr>
            <w:tcW w:w="1157" w:type="dxa"/>
            <w:vMerge/>
            <w:tcBorders>
              <w:top w:val="nil"/>
              <w:left w:val="single" w:sz="4" w:space="0" w:color="auto"/>
              <w:bottom w:val="single" w:sz="4" w:space="0" w:color="auto"/>
              <w:right w:val="single" w:sz="4" w:space="0" w:color="auto"/>
            </w:tcBorders>
            <w:vAlign w:val="center"/>
            <w:hideMark/>
          </w:tcPr>
          <w:p w14:paraId="070530DC" w14:textId="77777777" w:rsidR="00A54A84" w:rsidRPr="00A54A84" w:rsidRDefault="00A54A84" w:rsidP="00A54A84">
            <w:pPr>
              <w:widowControl/>
              <w:jc w:val="left"/>
              <w:rPr>
                <w:rFonts w:ascii="宋体" w:hAnsi="宋体" w:cs="宋体" w:hint="eastAsia"/>
                <w:kern w:val="0"/>
                <w:sz w:val="20"/>
                <w:szCs w:val="20"/>
              </w:rPr>
            </w:pPr>
          </w:p>
        </w:tc>
        <w:tc>
          <w:tcPr>
            <w:tcW w:w="1125" w:type="dxa"/>
            <w:tcBorders>
              <w:top w:val="nil"/>
              <w:left w:val="nil"/>
              <w:bottom w:val="single" w:sz="4" w:space="0" w:color="auto"/>
              <w:right w:val="single" w:sz="4" w:space="0" w:color="auto"/>
            </w:tcBorders>
            <w:shd w:val="clear" w:color="auto" w:fill="auto"/>
            <w:vAlign w:val="center"/>
            <w:hideMark/>
          </w:tcPr>
          <w:p w14:paraId="6D30224A"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房屋建筑物供暖面积</w:t>
            </w:r>
          </w:p>
        </w:tc>
        <w:tc>
          <w:tcPr>
            <w:tcW w:w="1108" w:type="dxa"/>
            <w:tcBorders>
              <w:top w:val="nil"/>
              <w:left w:val="nil"/>
              <w:bottom w:val="single" w:sz="4" w:space="0" w:color="auto"/>
              <w:right w:val="single" w:sz="4" w:space="0" w:color="auto"/>
            </w:tcBorders>
            <w:shd w:val="clear" w:color="auto" w:fill="auto"/>
            <w:vAlign w:val="center"/>
            <w:hideMark/>
          </w:tcPr>
          <w:p w14:paraId="6AA05DD4"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&gt;=3487.30平方米</w:t>
            </w:r>
          </w:p>
        </w:tc>
        <w:tc>
          <w:tcPr>
            <w:tcW w:w="968" w:type="dxa"/>
            <w:tcBorders>
              <w:top w:val="nil"/>
              <w:left w:val="nil"/>
              <w:bottom w:val="single" w:sz="4" w:space="0" w:color="auto"/>
              <w:right w:val="single" w:sz="4" w:space="0" w:color="auto"/>
            </w:tcBorders>
            <w:shd w:val="clear" w:color="auto" w:fill="auto"/>
            <w:vAlign w:val="center"/>
            <w:hideMark/>
          </w:tcPr>
          <w:p w14:paraId="253C6C0D"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采暖合同</w:t>
            </w:r>
          </w:p>
        </w:tc>
        <w:tc>
          <w:tcPr>
            <w:tcW w:w="771" w:type="dxa"/>
            <w:tcBorders>
              <w:top w:val="nil"/>
              <w:left w:val="nil"/>
              <w:bottom w:val="single" w:sz="4" w:space="0" w:color="auto"/>
              <w:right w:val="single" w:sz="4" w:space="0" w:color="auto"/>
            </w:tcBorders>
            <w:shd w:val="clear" w:color="auto" w:fill="auto"/>
            <w:vAlign w:val="center"/>
            <w:hideMark/>
          </w:tcPr>
          <w:p w14:paraId="1A0A06FE"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18</w:t>
            </w:r>
          </w:p>
        </w:tc>
        <w:tc>
          <w:tcPr>
            <w:tcW w:w="1009" w:type="dxa"/>
            <w:tcBorders>
              <w:top w:val="nil"/>
              <w:left w:val="nil"/>
              <w:bottom w:val="single" w:sz="4" w:space="0" w:color="auto"/>
              <w:right w:val="single" w:sz="4" w:space="0" w:color="auto"/>
            </w:tcBorders>
            <w:shd w:val="clear" w:color="auto" w:fill="auto"/>
            <w:vAlign w:val="center"/>
            <w:hideMark/>
          </w:tcPr>
          <w:p w14:paraId="0DBAF0B4"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=3487.30平方米</w:t>
            </w:r>
          </w:p>
        </w:tc>
        <w:tc>
          <w:tcPr>
            <w:tcW w:w="895" w:type="dxa"/>
            <w:tcBorders>
              <w:top w:val="nil"/>
              <w:left w:val="nil"/>
              <w:bottom w:val="single" w:sz="4" w:space="0" w:color="auto"/>
              <w:right w:val="single" w:sz="4" w:space="0" w:color="auto"/>
            </w:tcBorders>
            <w:shd w:val="clear" w:color="auto" w:fill="auto"/>
            <w:vAlign w:val="center"/>
            <w:hideMark/>
          </w:tcPr>
          <w:p w14:paraId="57B0E63B"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18</w:t>
            </w:r>
          </w:p>
        </w:tc>
      </w:tr>
      <w:tr w:rsidR="00A54A84" w:rsidRPr="00A54A84" w14:paraId="3657E907" w14:textId="77777777" w:rsidTr="00A54A84">
        <w:trPr>
          <w:trHeight w:val="741"/>
          <w:jc w:val="center"/>
        </w:trPr>
        <w:tc>
          <w:tcPr>
            <w:tcW w:w="14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C59183"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管理效率</w:t>
            </w:r>
          </w:p>
        </w:tc>
        <w:tc>
          <w:tcPr>
            <w:tcW w:w="1157" w:type="dxa"/>
            <w:tcBorders>
              <w:top w:val="nil"/>
              <w:left w:val="nil"/>
              <w:bottom w:val="single" w:sz="4" w:space="0" w:color="auto"/>
              <w:right w:val="single" w:sz="4" w:space="0" w:color="auto"/>
            </w:tcBorders>
            <w:shd w:val="clear" w:color="auto" w:fill="auto"/>
            <w:vAlign w:val="center"/>
            <w:hideMark/>
          </w:tcPr>
          <w:p w14:paraId="486C2548"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质量指标</w:t>
            </w:r>
          </w:p>
        </w:tc>
        <w:tc>
          <w:tcPr>
            <w:tcW w:w="1125" w:type="dxa"/>
            <w:tcBorders>
              <w:top w:val="nil"/>
              <w:left w:val="nil"/>
              <w:bottom w:val="single" w:sz="4" w:space="0" w:color="auto"/>
              <w:right w:val="single" w:sz="4" w:space="0" w:color="auto"/>
            </w:tcBorders>
            <w:shd w:val="clear" w:color="auto" w:fill="auto"/>
            <w:vAlign w:val="center"/>
            <w:hideMark/>
          </w:tcPr>
          <w:p w14:paraId="77DF1B10"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资金使用合规率</w:t>
            </w:r>
          </w:p>
        </w:tc>
        <w:tc>
          <w:tcPr>
            <w:tcW w:w="1108" w:type="dxa"/>
            <w:tcBorders>
              <w:top w:val="nil"/>
              <w:left w:val="nil"/>
              <w:bottom w:val="single" w:sz="4" w:space="0" w:color="auto"/>
              <w:right w:val="single" w:sz="4" w:space="0" w:color="auto"/>
            </w:tcBorders>
            <w:shd w:val="clear" w:color="auto" w:fill="auto"/>
            <w:vAlign w:val="center"/>
            <w:hideMark/>
          </w:tcPr>
          <w:p w14:paraId="451E21D5"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=100%</w:t>
            </w:r>
          </w:p>
        </w:tc>
        <w:tc>
          <w:tcPr>
            <w:tcW w:w="968" w:type="dxa"/>
            <w:tcBorders>
              <w:top w:val="nil"/>
              <w:left w:val="nil"/>
              <w:bottom w:val="single" w:sz="4" w:space="0" w:color="auto"/>
              <w:right w:val="single" w:sz="4" w:space="0" w:color="auto"/>
            </w:tcBorders>
            <w:shd w:val="clear" w:color="auto" w:fill="auto"/>
            <w:vAlign w:val="center"/>
            <w:hideMark/>
          </w:tcPr>
          <w:p w14:paraId="3004CD4F"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资金管理办法</w:t>
            </w:r>
          </w:p>
        </w:tc>
        <w:tc>
          <w:tcPr>
            <w:tcW w:w="771" w:type="dxa"/>
            <w:tcBorders>
              <w:top w:val="nil"/>
              <w:left w:val="nil"/>
              <w:bottom w:val="single" w:sz="4" w:space="0" w:color="auto"/>
              <w:right w:val="single" w:sz="4" w:space="0" w:color="auto"/>
            </w:tcBorders>
            <w:shd w:val="clear" w:color="auto" w:fill="auto"/>
            <w:vAlign w:val="center"/>
            <w:hideMark/>
          </w:tcPr>
          <w:p w14:paraId="43451CE0"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18</w:t>
            </w:r>
          </w:p>
        </w:tc>
        <w:tc>
          <w:tcPr>
            <w:tcW w:w="1009" w:type="dxa"/>
            <w:tcBorders>
              <w:top w:val="nil"/>
              <w:left w:val="nil"/>
              <w:bottom w:val="single" w:sz="4" w:space="0" w:color="auto"/>
              <w:right w:val="single" w:sz="4" w:space="0" w:color="auto"/>
            </w:tcBorders>
            <w:shd w:val="clear" w:color="auto" w:fill="auto"/>
            <w:vAlign w:val="center"/>
            <w:hideMark/>
          </w:tcPr>
          <w:p w14:paraId="4D719AA9"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=100%</w:t>
            </w:r>
          </w:p>
        </w:tc>
        <w:tc>
          <w:tcPr>
            <w:tcW w:w="895" w:type="dxa"/>
            <w:tcBorders>
              <w:top w:val="nil"/>
              <w:left w:val="nil"/>
              <w:bottom w:val="single" w:sz="4" w:space="0" w:color="auto"/>
              <w:right w:val="single" w:sz="4" w:space="0" w:color="auto"/>
            </w:tcBorders>
            <w:shd w:val="clear" w:color="auto" w:fill="auto"/>
            <w:vAlign w:val="center"/>
            <w:hideMark/>
          </w:tcPr>
          <w:p w14:paraId="1A4724B5"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18</w:t>
            </w:r>
          </w:p>
        </w:tc>
      </w:tr>
      <w:tr w:rsidR="00A54A84" w:rsidRPr="00A54A84" w14:paraId="43B96FE5" w14:textId="77777777" w:rsidTr="00A54A84">
        <w:trPr>
          <w:trHeight w:val="741"/>
          <w:jc w:val="center"/>
        </w:trPr>
        <w:tc>
          <w:tcPr>
            <w:tcW w:w="14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939100"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履职效能</w:t>
            </w:r>
          </w:p>
        </w:tc>
        <w:tc>
          <w:tcPr>
            <w:tcW w:w="1157" w:type="dxa"/>
            <w:tcBorders>
              <w:top w:val="nil"/>
              <w:left w:val="nil"/>
              <w:bottom w:val="single" w:sz="4" w:space="0" w:color="auto"/>
              <w:right w:val="single" w:sz="4" w:space="0" w:color="auto"/>
            </w:tcBorders>
            <w:shd w:val="clear" w:color="auto" w:fill="auto"/>
            <w:vAlign w:val="center"/>
            <w:hideMark/>
          </w:tcPr>
          <w:p w14:paraId="692E9692"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数量指标</w:t>
            </w:r>
          </w:p>
        </w:tc>
        <w:tc>
          <w:tcPr>
            <w:tcW w:w="1125" w:type="dxa"/>
            <w:tcBorders>
              <w:top w:val="nil"/>
              <w:left w:val="nil"/>
              <w:bottom w:val="single" w:sz="4" w:space="0" w:color="auto"/>
              <w:right w:val="single" w:sz="4" w:space="0" w:color="auto"/>
            </w:tcBorders>
            <w:shd w:val="clear" w:color="auto" w:fill="auto"/>
            <w:vAlign w:val="center"/>
            <w:hideMark/>
          </w:tcPr>
          <w:p w14:paraId="3B535C9F"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享受学前教育资助的幼儿人数</w:t>
            </w:r>
          </w:p>
        </w:tc>
        <w:tc>
          <w:tcPr>
            <w:tcW w:w="1108" w:type="dxa"/>
            <w:tcBorders>
              <w:top w:val="nil"/>
              <w:left w:val="nil"/>
              <w:bottom w:val="single" w:sz="4" w:space="0" w:color="auto"/>
              <w:right w:val="single" w:sz="4" w:space="0" w:color="auto"/>
            </w:tcBorders>
            <w:shd w:val="clear" w:color="auto" w:fill="auto"/>
            <w:vAlign w:val="center"/>
            <w:hideMark/>
          </w:tcPr>
          <w:p w14:paraId="081503BA"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&gt;=271人</w:t>
            </w:r>
          </w:p>
        </w:tc>
        <w:tc>
          <w:tcPr>
            <w:tcW w:w="968" w:type="dxa"/>
            <w:tcBorders>
              <w:top w:val="nil"/>
              <w:left w:val="nil"/>
              <w:bottom w:val="single" w:sz="4" w:space="0" w:color="auto"/>
              <w:right w:val="single" w:sz="4" w:space="0" w:color="auto"/>
            </w:tcBorders>
            <w:shd w:val="clear" w:color="auto" w:fill="auto"/>
            <w:vAlign w:val="center"/>
            <w:hideMark/>
          </w:tcPr>
          <w:p w14:paraId="293CA062"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年度工作计划</w:t>
            </w:r>
          </w:p>
        </w:tc>
        <w:tc>
          <w:tcPr>
            <w:tcW w:w="771" w:type="dxa"/>
            <w:tcBorders>
              <w:top w:val="nil"/>
              <w:left w:val="nil"/>
              <w:bottom w:val="single" w:sz="4" w:space="0" w:color="auto"/>
              <w:right w:val="single" w:sz="4" w:space="0" w:color="auto"/>
            </w:tcBorders>
            <w:shd w:val="clear" w:color="auto" w:fill="auto"/>
            <w:vAlign w:val="center"/>
            <w:hideMark/>
          </w:tcPr>
          <w:p w14:paraId="15E190B8"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18</w:t>
            </w:r>
          </w:p>
        </w:tc>
        <w:tc>
          <w:tcPr>
            <w:tcW w:w="1009" w:type="dxa"/>
            <w:tcBorders>
              <w:top w:val="nil"/>
              <w:left w:val="nil"/>
              <w:bottom w:val="single" w:sz="4" w:space="0" w:color="auto"/>
              <w:right w:val="single" w:sz="4" w:space="0" w:color="auto"/>
            </w:tcBorders>
            <w:shd w:val="clear" w:color="auto" w:fill="auto"/>
            <w:vAlign w:val="center"/>
            <w:hideMark/>
          </w:tcPr>
          <w:p w14:paraId="09799067"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=271人</w:t>
            </w:r>
          </w:p>
        </w:tc>
        <w:tc>
          <w:tcPr>
            <w:tcW w:w="895" w:type="dxa"/>
            <w:tcBorders>
              <w:top w:val="nil"/>
              <w:left w:val="nil"/>
              <w:bottom w:val="single" w:sz="4" w:space="0" w:color="auto"/>
              <w:right w:val="single" w:sz="4" w:space="0" w:color="auto"/>
            </w:tcBorders>
            <w:shd w:val="clear" w:color="auto" w:fill="auto"/>
            <w:vAlign w:val="center"/>
            <w:hideMark/>
          </w:tcPr>
          <w:p w14:paraId="17A583AE"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18</w:t>
            </w:r>
          </w:p>
        </w:tc>
      </w:tr>
      <w:tr w:rsidR="00A54A84" w:rsidRPr="00A54A84" w14:paraId="5374AB23" w14:textId="77777777" w:rsidTr="00A54A84">
        <w:trPr>
          <w:trHeight w:val="741"/>
          <w:jc w:val="center"/>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3C067B2F" w14:textId="77777777" w:rsidR="00A54A84" w:rsidRPr="00A54A84" w:rsidRDefault="00A54A84" w:rsidP="00A54A84">
            <w:pPr>
              <w:widowControl/>
              <w:jc w:val="left"/>
              <w:rPr>
                <w:rFonts w:ascii="宋体" w:hAnsi="宋体" w:cs="宋体" w:hint="eastAsia"/>
                <w:kern w:val="0"/>
                <w:sz w:val="20"/>
                <w:szCs w:val="20"/>
              </w:rPr>
            </w:pPr>
          </w:p>
        </w:tc>
        <w:tc>
          <w:tcPr>
            <w:tcW w:w="1157" w:type="dxa"/>
            <w:tcBorders>
              <w:top w:val="nil"/>
              <w:left w:val="nil"/>
              <w:bottom w:val="single" w:sz="4" w:space="0" w:color="auto"/>
              <w:right w:val="single" w:sz="4" w:space="0" w:color="auto"/>
            </w:tcBorders>
            <w:shd w:val="clear" w:color="auto" w:fill="auto"/>
            <w:vAlign w:val="center"/>
            <w:hideMark/>
          </w:tcPr>
          <w:p w14:paraId="5FB08F7E"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质量指标</w:t>
            </w:r>
          </w:p>
        </w:tc>
        <w:tc>
          <w:tcPr>
            <w:tcW w:w="1125" w:type="dxa"/>
            <w:tcBorders>
              <w:top w:val="nil"/>
              <w:left w:val="nil"/>
              <w:bottom w:val="single" w:sz="4" w:space="0" w:color="auto"/>
              <w:right w:val="single" w:sz="4" w:space="0" w:color="auto"/>
            </w:tcBorders>
            <w:shd w:val="clear" w:color="auto" w:fill="auto"/>
            <w:vAlign w:val="center"/>
            <w:hideMark/>
          </w:tcPr>
          <w:p w14:paraId="137DB150"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入学覆盖率</w:t>
            </w:r>
          </w:p>
        </w:tc>
        <w:tc>
          <w:tcPr>
            <w:tcW w:w="1108" w:type="dxa"/>
            <w:tcBorders>
              <w:top w:val="nil"/>
              <w:left w:val="nil"/>
              <w:bottom w:val="single" w:sz="4" w:space="0" w:color="auto"/>
              <w:right w:val="single" w:sz="4" w:space="0" w:color="auto"/>
            </w:tcBorders>
            <w:shd w:val="clear" w:color="auto" w:fill="auto"/>
            <w:vAlign w:val="center"/>
            <w:hideMark/>
          </w:tcPr>
          <w:p w14:paraId="58080A0D"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&gt;=95%</w:t>
            </w:r>
          </w:p>
        </w:tc>
        <w:tc>
          <w:tcPr>
            <w:tcW w:w="968" w:type="dxa"/>
            <w:tcBorders>
              <w:top w:val="nil"/>
              <w:left w:val="nil"/>
              <w:bottom w:val="single" w:sz="4" w:space="0" w:color="auto"/>
              <w:right w:val="single" w:sz="4" w:space="0" w:color="auto"/>
            </w:tcBorders>
            <w:shd w:val="clear" w:color="auto" w:fill="auto"/>
            <w:vAlign w:val="center"/>
            <w:hideMark/>
          </w:tcPr>
          <w:p w14:paraId="47767335"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年度工作计划</w:t>
            </w:r>
          </w:p>
        </w:tc>
        <w:tc>
          <w:tcPr>
            <w:tcW w:w="771" w:type="dxa"/>
            <w:tcBorders>
              <w:top w:val="nil"/>
              <w:left w:val="nil"/>
              <w:bottom w:val="single" w:sz="4" w:space="0" w:color="auto"/>
              <w:right w:val="single" w:sz="4" w:space="0" w:color="auto"/>
            </w:tcBorders>
            <w:shd w:val="clear" w:color="auto" w:fill="auto"/>
            <w:vAlign w:val="center"/>
            <w:hideMark/>
          </w:tcPr>
          <w:p w14:paraId="262E93F8"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18</w:t>
            </w:r>
          </w:p>
        </w:tc>
        <w:tc>
          <w:tcPr>
            <w:tcW w:w="1009" w:type="dxa"/>
            <w:tcBorders>
              <w:top w:val="nil"/>
              <w:left w:val="nil"/>
              <w:bottom w:val="single" w:sz="4" w:space="0" w:color="auto"/>
              <w:right w:val="single" w:sz="4" w:space="0" w:color="auto"/>
            </w:tcBorders>
            <w:shd w:val="clear" w:color="auto" w:fill="auto"/>
            <w:vAlign w:val="center"/>
            <w:hideMark/>
          </w:tcPr>
          <w:p w14:paraId="63EF5128"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=95%</w:t>
            </w:r>
          </w:p>
        </w:tc>
        <w:tc>
          <w:tcPr>
            <w:tcW w:w="895" w:type="dxa"/>
            <w:tcBorders>
              <w:top w:val="nil"/>
              <w:left w:val="nil"/>
              <w:bottom w:val="single" w:sz="4" w:space="0" w:color="auto"/>
              <w:right w:val="single" w:sz="4" w:space="0" w:color="auto"/>
            </w:tcBorders>
            <w:shd w:val="clear" w:color="auto" w:fill="auto"/>
            <w:vAlign w:val="center"/>
            <w:hideMark/>
          </w:tcPr>
          <w:p w14:paraId="6F0950FB"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18</w:t>
            </w:r>
          </w:p>
        </w:tc>
      </w:tr>
      <w:tr w:rsidR="00A54A84" w:rsidRPr="00A54A84" w14:paraId="22289580" w14:textId="77777777" w:rsidTr="00A54A84">
        <w:trPr>
          <w:trHeight w:val="741"/>
          <w:jc w:val="center"/>
        </w:trPr>
        <w:tc>
          <w:tcPr>
            <w:tcW w:w="14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64498"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社会效益</w:t>
            </w:r>
          </w:p>
        </w:tc>
        <w:tc>
          <w:tcPr>
            <w:tcW w:w="1157" w:type="dxa"/>
            <w:tcBorders>
              <w:top w:val="nil"/>
              <w:left w:val="nil"/>
              <w:bottom w:val="single" w:sz="4" w:space="0" w:color="auto"/>
              <w:right w:val="single" w:sz="4" w:space="0" w:color="auto"/>
            </w:tcBorders>
            <w:shd w:val="clear" w:color="auto" w:fill="auto"/>
            <w:vAlign w:val="center"/>
            <w:hideMark/>
          </w:tcPr>
          <w:p w14:paraId="60123DC1"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 xml:space="preserve">　</w:t>
            </w:r>
          </w:p>
        </w:tc>
        <w:tc>
          <w:tcPr>
            <w:tcW w:w="1125" w:type="dxa"/>
            <w:tcBorders>
              <w:top w:val="nil"/>
              <w:left w:val="nil"/>
              <w:bottom w:val="single" w:sz="4" w:space="0" w:color="auto"/>
              <w:right w:val="single" w:sz="4" w:space="0" w:color="auto"/>
            </w:tcBorders>
            <w:shd w:val="clear" w:color="auto" w:fill="auto"/>
            <w:vAlign w:val="center"/>
            <w:hideMark/>
          </w:tcPr>
          <w:p w14:paraId="36D7FA58"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 xml:space="preserve">　</w:t>
            </w:r>
          </w:p>
        </w:tc>
        <w:tc>
          <w:tcPr>
            <w:tcW w:w="1108" w:type="dxa"/>
            <w:tcBorders>
              <w:top w:val="nil"/>
              <w:left w:val="nil"/>
              <w:bottom w:val="single" w:sz="4" w:space="0" w:color="auto"/>
              <w:right w:val="single" w:sz="4" w:space="0" w:color="auto"/>
            </w:tcBorders>
            <w:shd w:val="clear" w:color="auto" w:fill="auto"/>
            <w:vAlign w:val="center"/>
            <w:hideMark/>
          </w:tcPr>
          <w:p w14:paraId="16ABC4A8"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vAlign w:val="center"/>
            <w:hideMark/>
          </w:tcPr>
          <w:p w14:paraId="56A42DD5"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 xml:space="preserve">　</w:t>
            </w:r>
          </w:p>
        </w:tc>
        <w:tc>
          <w:tcPr>
            <w:tcW w:w="771" w:type="dxa"/>
            <w:tcBorders>
              <w:top w:val="nil"/>
              <w:left w:val="nil"/>
              <w:bottom w:val="single" w:sz="4" w:space="0" w:color="auto"/>
              <w:right w:val="single" w:sz="4" w:space="0" w:color="auto"/>
            </w:tcBorders>
            <w:shd w:val="clear" w:color="auto" w:fill="auto"/>
            <w:vAlign w:val="center"/>
            <w:hideMark/>
          </w:tcPr>
          <w:p w14:paraId="737F252F"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 xml:space="preserve">　</w:t>
            </w:r>
          </w:p>
        </w:tc>
        <w:tc>
          <w:tcPr>
            <w:tcW w:w="1009" w:type="dxa"/>
            <w:tcBorders>
              <w:top w:val="nil"/>
              <w:left w:val="nil"/>
              <w:bottom w:val="single" w:sz="4" w:space="0" w:color="auto"/>
              <w:right w:val="single" w:sz="4" w:space="0" w:color="auto"/>
            </w:tcBorders>
            <w:shd w:val="clear" w:color="auto" w:fill="auto"/>
            <w:vAlign w:val="center"/>
            <w:hideMark/>
          </w:tcPr>
          <w:p w14:paraId="6FC26FFC"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 xml:space="preserve">　</w:t>
            </w:r>
          </w:p>
        </w:tc>
        <w:tc>
          <w:tcPr>
            <w:tcW w:w="895" w:type="dxa"/>
            <w:tcBorders>
              <w:top w:val="nil"/>
              <w:left w:val="nil"/>
              <w:bottom w:val="single" w:sz="4" w:space="0" w:color="auto"/>
              <w:right w:val="single" w:sz="4" w:space="0" w:color="auto"/>
            </w:tcBorders>
            <w:shd w:val="clear" w:color="auto" w:fill="auto"/>
            <w:vAlign w:val="center"/>
            <w:hideMark/>
          </w:tcPr>
          <w:p w14:paraId="114F16C1" w14:textId="77777777" w:rsidR="00A54A84" w:rsidRPr="00A54A84" w:rsidRDefault="00A54A84" w:rsidP="00A54A84">
            <w:pPr>
              <w:widowControl/>
              <w:jc w:val="center"/>
              <w:rPr>
                <w:rFonts w:ascii="宋体" w:hAnsi="宋体" w:cs="宋体" w:hint="eastAsia"/>
                <w:kern w:val="0"/>
                <w:sz w:val="20"/>
                <w:szCs w:val="20"/>
              </w:rPr>
            </w:pPr>
            <w:r w:rsidRPr="00A54A84">
              <w:rPr>
                <w:rFonts w:ascii="宋体" w:hAnsi="宋体" w:cs="宋体" w:hint="eastAsia"/>
                <w:kern w:val="0"/>
                <w:sz w:val="20"/>
                <w:szCs w:val="20"/>
              </w:rPr>
              <w:t xml:space="preserve">　</w:t>
            </w:r>
          </w:p>
        </w:tc>
      </w:tr>
      <w:tr w:rsidR="00A54A84" w:rsidRPr="00A54A84" w14:paraId="6E87AC22" w14:textId="77777777" w:rsidTr="00A54A84">
        <w:trPr>
          <w:trHeight w:val="741"/>
          <w:jc w:val="center"/>
        </w:trPr>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C0980" w14:textId="77777777" w:rsidR="00A54A84" w:rsidRPr="00A54A84" w:rsidRDefault="00A54A84" w:rsidP="00A54A84">
            <w:pPr>
              <w:widowControl/>
              <w:jc w:val="left"/>
              <w:rPr>
                <w:rFonts w:ascii="宋体" w:hAnsi="宋体" w:cs="宋体" w:hint="eastAsia"/>
                <w:kern w:val="0"/>
                <w:sz w:val="20"/>
                <w:szCs w:val="20"/>
              </w:rPr>
            </w:pPr>
            <w:r w:rsidRPr="00A54A84">
              <w:rPr>
                <w:rFonts w:ascii="宋体" w:hAnsi="宋体" w:cs="宋体" w:hint="eastAsia"/>
                <w:kern w:val="0"/>
                <w:sz w:val="20"/>
                <w:szCs w:val="20"/>
              </w:rPr>
              <w:t>可持续发展能力</w:t>
            </w:r>
          </w:p>
        </w:tc>
        <w:tc>
          <w:tcPr>
            <w:tcW w:w="1157" w:type="dxa"/>
            <w:tcBorders>
              <w:top w:val="nil"/>
              <w:left w:val="nil"/>
              <w:bottom w:val="single" w:sz="4" w:space="0" w:color="auto"/>
              <w:right w:val="single" w:sz="4" w:space="0" w:color="auto"/>
            </w:tcBorders>
            <w:shd w:val="clear" w:color="auto" w:fill="auto"/>
            <w:noWrap/>
            <w:vAlign w:val="center"/>
            <w:hideMark/>
          </w:tcPr>
          <w:p w14:paraId="2505173E" w14:textId="77777777" w:rsidR="00A54A84" w:rsidRPr="00A54A84" w:rsidRDefault="00A54A84" w:rsidP="00A54A84">
            <w:pPr>
              <w:widowControl/>
              <w:jc w:val="left"/>
              <w:rPr>
                <w:rFonts w:ascii="宋体" w:hAnsi="宋体" w:cs="宋体" w:hint="eastAsia"/>
                <w:kern w:val="0"/>
                <w:sz w:val="20"/>
                <w:szCs w:val="20"/>
              </w:rPr>
            </w:pPr>
            <w:r w:rsidRPr="00A54A84">
              <w:rPr>
                <w:rFonts w:ascii="宋体" w:hAnsi="宋体" w:cs="宋体" w:hint="eastAsia"/>
                <w:kern w:val="0"/>
                <w:sz w:val="20"/>
                <w:szCs w:val="20"/>
              </w:rPr>
              <w:t xml:space="preserve">　</w:t>
            </w:r>
          </w:p>
        </w:tc>
        <w:tc>
          <w:tcPr>
            <w:tcW w:w="1125" w:type="dxa"/>
            <w:tcBorders>
              <w:top w:val="nil"/>
              <w:left w:val="nil"/>
              <w:bottom w:val="single" w:sz="4" w:space="0" w:color="auto"/>
              <w:right w:val="single" w:sz="4" w:space="0" w:color="auto"/>
            </w:tcBorders>
            <w:shd w:val="clear" w:color="auto" w:fill="auto"/>
            <w:noWrap/>
            <w:vAlign w:val="center"/>
            <w:hideMark/>
          </w:tcPr>
          <w:p w14:paraId="4F5971A6" w14:textId="77777777" w:rsidR="00A54A84" w:rsidRPr="00A54A84" w:rsidRDefault="00A54A84" w:rsidP="00A54A84">
            <w:pPr>
              <w:widowControl/>
              <w:jc w:val="left"/>
              <w:rPr>
                <w:rFonts w:ascii="宋体" w:hAnsi="宋体" w:cs="宋体" w:hint="eastAsia"/>
                <w:kern w:val="0"/>
                <w:sz w:val="20"/>
                <w:szCs w:val="20"/>
              </w:rPr>
            </w:pPr>
            <w:r w:rsidRPr="00A54A84">
              <w:rPr>
                <w:rFonts w:ascii="宋体" w:hAnsi="宋体" w:cs="宋体" w:hint="eastAsia"/>
                <w:kern w:val="0"/>
                <w:sz w:val="20"/>
                <w:szCs w:val="20"/>
              </w:rPr>
              <w:t xml:space="preserve">　</w:t>
            </w:r>
          </w:p>
        </w:tc>
        <w:tc>
          <w:tcPr>
            <w:tcW w:w="1108" w:type="dxa"/>
            <w:tcBorders>
              <w:top w:val="nil"/>
              <w:left w:val="nil"/>
              <w:bottom w:val="single" w:sz="4" w:space="0" w:color="auto"/>
              <w:right w:val="single" w:sz="4" w:space="0" w:color="auto"/>
            </w:tcBorders>
            <w:shd w:val="clear" w:color="auto" w:fill="auto"/>
            <w:noWrap/>
            <w:vAlign w:val="center"/>
            <w:hideMark/>
          </w:tcPr>
          <w:p w14:paraId="3569DC20" w14:textId="77777777" w:rsidR="00A54A84" w:rsidRPr="00A54A84" w:rsidRDefault="00A54A84" w:rsidP="00A54A84">
            <w:pPr>
              <w:widowControl/>
              <w:jc w:val="left"/>
              <w:rPr>
                <w:rFonts w:ascii="宋体" w:hAnsi="宋体" w:cs="宋体" w:hint="eastAsia"/>
                <w:kern w:val="0"/>
                <w:sz w:val="20"/>
                <w:szCs w:val="20"/>
              </w:rPr>
            </w:pPr>
            <w:r w:rsidRPr="00A54A84">
              <w:rPr>
                <w:rFonts w:ascii="宋体" w:hAnsi="宋体"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14:paraId="392E83E7" w14:textId="77777777" w:rsidR="00A54A84" w:rsidRPr="00A54A84" w:rsidRDefault="00A54A84" w:rsidP="00A54A84">
            <w:pPr>
              <w:widowControl/>
              <w:jc w:val="left"/>
              <w:rPr>
                <w:rFonts w:ascii="宋体" w:hAnsi="宋体" w:cs="宋体" w:hint="eastAsia"/>
                <w:kern w:val="0"/>
                <w:sz w:val="20"/>
                <w:szCs w:val="20"/>
              </w:rPr>
            </w:pPr>
            <w:r w:rsidRPr="00A54A84">
              <w:rPr>
                <w:rFonts w:ascii="宋体" w:hAnsi="宋体" w:cs="宋体" w:hint="eastAsia"/>
                <w:kern w:val="0"/>
                <w:sz w:val="20"/>
                <w:szCs w:val="20"/>
              </w:rPr>
              <w:t xml:space="preserve">　</w:t>
            </w:r>
          </w:p>
        </w:tc>
        <w:tc>
          <w:tcPr>
            <w:tcW w:w="771" w:type="dxa"/>
            <w:tcBorders>
              <w:top w:val="nil"/>
              <w:left w:val="nil"/>
              <w:bottom w:val="single" w:sz="4" w:space="0" w:color="auto"/>
              <w:right w:val="single" w:sz="4" w:space="0" w:color="auto"/>
            </w:tcBorders>
            <w:shd w:val="clear" w:color="auto" w:fill="auto"/>
            <w:noWrap/>
            <w:vAlign w:val="center"/>
            <w:hideMark/>
          </w:tcPr>
          <w:p w14:paraId="48870B4F" w14:textId="77777777" w:rsidR="00A54A84" w:rsidRPr="00A54A84" w:rsidRDefault="00A54A84" w:rsidP="00A54A84">
            <w:pPr>
              <w:widowControl/>
              <w:jc w:val="left"/>
              <w:rPr>
                <w:rFonts w:ascii="宋体" w:hAnsi="宋体" w:cs="宋体" w:hint="eastAsia"/>
                <w:kern w:val="0"/>
                <w:sz w:val="20"/>
                <w:szCs w:val="20"/>
              </w:rPr>
            </w:pPr>
            <w:r w:rsidRPr="00A54A84">
              <w:rPr>
                <w:rFonts w:ascii="宋体" w:hAnsi="宋体" w:cs="宋体" w:hint="eastAsia"/>
                <w:kern w:val="0"/>
                <w:sz w:val="20"/>
                <w:szCs w:val="20"/>
              </w:rPr>
              <w:t xml:space="preserve">　</w:t>
            </w:r>
          </w:p>
        </w:tc>
        <w:tc>
          <w:tcPr>
            <w:tcW w:w="1009" w:type="dxa"/>
            <w:tcBorders>
              <w:top w:val="nil"/>
              <w:left w:val="nil"/>
              <w:bottom w:val="single" w:sz="4" w:space="0" w:color="auto"/>
              <w:right w:val="single" w:sz="4" w:space="0" w:color="auto"/>
            </w:tcBorders>
            <w:shd w:val="clear" w:color="auto" w:fill="auto"/>
            <w:noWrap/>
            <w:vAlign w:val="center"/>
            <w:hideMark/>
          </w:tcPr>
          <w:p w14:paraId="7FC9C018" w14:textId="77777777" w:rsidR="00A54A84" w:rsidRPr="00A54A84" w:rsidRDefault="00A54A84" w:rsidP="00A54A84">
            <w:pPr>
              <w:widowControl/>
              <w:jc w:val="left"/>
              <w:rPr>
                <w:rFonts w:ascii="宋体" w:hAnsi="宋体" w:cs="宋体" w:hint="eastAsia"/>
                <w:kern w:val="0"/>
                <w:sz w:val="20"/>
                <w:szCs w:val="20"/>
              </w:rPr>
            </w:pPr>
            <w:r w:rsidRPr="00A54A84">
              <w:rPr>
                <w:rFonts w:ascii="宋体" w:hAnsi="宋体" w:cs="宋体" w:hint="eastAsia"/>
                <w:kern w:val="0"/>
                <w:sz w:val="20"/>
                <w:szCs w:val="20"/>
              </w:rPr>
              <w:t xml:space="preserve">　</w:t>
            </w:r>
          </w:p>
        </w:tc>
        <w:tc>
          <w:tcPr>
            <w:tcW w:w="895" w:type="dxa"/>
            <w:tcBorders>
              <w:top w:val="nil"/>
              <w:left w:val="nil"/>
              <w:bottom w:val="single" w:sz="4" w:space="0" w:color="auto"/>
              <w:right w:val="single" w:sz="4" w:space="0" w:color="auto"/>
            </w:tcBorders>
            <w:shd w:val="clear" w:color="auto" w:fill="auto"/>
            <w:noWrap/>
            <w:vAlign w:val="center"/>
            <w:hideMark/>
          </w:tcPr>
          <w:p w14:paraId="79DB5638" w14:textId="77777777" w:rsidR="00A54A84" w:rsidRPr="00A54A84" w:rsidRDefault="00A54A84" w:rsidP="00A54A84">
            <w:pPr>
              <w:widowControl/>
              <w:jc w:val="left"/>
              <w:rPr>
                <w:rFonts w:ascii="宋体" w:hAnsi="宋体" w:cs="宋体" w:hint="eastAsia"/>
                <w:kern w:val="0"/>
                <w:sz w:val="20"/>
                <w:szCs w:val="20"/>
              </w:rPr>
            </w:pPr>
            <w:r w:rsidRPr="00A54A84">
              <w:rPr>
                <w:rFonts w:ascii="宋体" w:hAnsi="宋体" w:cs="宋体" w:hint="eastAsia"/>
                <w:kern w:val="0"/>
                <w:sz w:val="20"/>
                <w:szCs w:val="20"/>
              </w:rPr>
              <w:t xml:space="preserve">　</w:t>
            </w:r>
          </w:p>
        </w:tc>
      </w:tr>
      <w:tr w:rsidR="00A54A84" w:rsidRPr="00A54A84" w14:paraId="1132A29D" w14:textId="77777777" w:rsidTr="00A54A84">
        <w:trPr>
          <w:trHeight w:val="741"/>
          <w:jc w:val="center"/>
        </w:trPr>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3960D" w14:textId="77777777" w:rsidR="00A54A84" w:rsidRPr="00A54A84" w:rsidRDefault="00A54A84" w:rsidP="00A54A84">
            <w:pPr>
              <w:widowControl/>
              <w:jc w:val="left"/>
              <w:rPr>
                <w:rFonts w:ascii="宋体" w:hAnsi="宋体" w:cs="宋体" w:hint="eastAsia"/>
                <w:kern w:val="0"/>
                <w:sz w:val="20"/>
                <w:szCs w:val="20"/>
              </w:rPr>
            </w:pPr>
            <w:r w:rsidRPr="00A54A84">
              <w:rPr>
                <w:rFonts w:ascii="宋体" w:hAnsi="宋体" w:cs="宋体" w:hint="eastAsia"/>
                <w:kern w:val="0"/>
                <w:sz w:val="20"/>
                <w:szCs w:val="20"/>
              </w:rPr>
              <w:t>服务对象满意度</w:t>
            </w:r>
          </w:p>
        </w:tc>
        <w:tc>
          <w:tcPr>
            <w:tcW w:w="1157" w:type="dxa"/>
            <w:tcBorders>
              <w:top w:val="nil"/>
              <w:left w:val="nil"/>
              <w:bottom w:val="single" w:sz="4" w:space="0" w:color="auto"/>
              <w:right w:val="single" w:sz="4" w:space="0" w:color="auto"/>
            </w:tcBorders>
            <w:shd w:val="clear" w:color="auto" w:fill="auto"/>
            <w:noWrap/>
            <w:vAlign w:val="center"/>
            <w:hideMark/>
          </w:tcPr>
          <w:p w14:paraId="67005ABE" w14:textId="77777777" w:rsidR="00A54A84" w:rsidRPr="00A54A84" w:rsidRDefault="00A54A84" w:rsidP="00A54A84">
            <w:pPr>
              <w:widowControl/>
              <w:jc w:val="left"/>
              <w:rPr>
                <w:rFonts w:ascii="宋体" w:hAnsi="宋体" w:cs="宋体" w:hint="eastAsia"/>
                <w:kern w:val="0"/>
                <w:sz w:val="20"/>
                <w:szCs w:val="20"/>
              </w:rPr>
            </w:pPr>
            <w:r w:rsidRPr="00A54A84">
              <w:rPr>
                <w:rFonts w:ascii="宋体" w:hAnsi="宋体" w:cs="宋体" w:hint="eastAsia"/>
                <w:kern w:val="0"/>
                <w:sz w:val="20"/>
                <w:szCs w:val="20"/>
              </w:rPr>
              <w:t xml:space="preserve">　</w:t>
            </w:r>
          </w:p>
        </w:tc>
        <w:tc>
          <w:tcPr>
            <w:tcW w:w="1125" w:type="dxa"/>
            <w:tcBorders>
              <w:top w:val="nil"/>
              <w:left w:val="nil"/>
              <w:bottom w:val="single" w:sz="4" w:space="0" w:color="auto"/>
              <w:right w:val="single" w:sz="4" w:space="0" w:color="auto"/>
            </w:tcBorders>
            <w:shd w:val="clear" w:color="auto" w:fill="auto"/>
            <w:noWrap/>
            <w:vAlign w:val="center"/>
            <w:hideMark/>
          </w:tcPr>
          <w:p w14:paraId="13A62C0E" w14:textId="77777777" w:rsidR="00A54A84" w:rsidRPr="00A54A84" w:rsidRDefault="00A54A84" w:rsidP="00A54A84">
            <w:pPr>
              <w:widowControl/>
              <w:jc w:val="left"/>
              <w:rPr>
                <w:rFonts w:ascii="宋体" w:hAnsi="宋体" w:cs="宋体" w:hint="eastAsia"/>
                <w:kern w:val="0"/>
                <w:sz w:val="20"/>
                <w:szCs w:val="20"/>
              </w:rPr>
            </w:pPr>
            <w:r w:rsidRPr="00A54A84">
              <w:rPr>
                <w:rFonts w:ascii="宋体" w:hAnsi="宋体" w:cs="宋体" w:hint="eastAsia"/>
                <w:kern w:val="0"/>
                <w:sz w:val="20"/>
                <w:szCs w:val="20"/>
              </w:rPr>
              <w:t xml:space="preserve">　</w:t>
            </w:r>
          </w:p>
        </w:tc>
        <w:tc>
          <w:tcPr>
            <w:tcW w:w="1108" w:type="dxa"/>
            <w:tcBorders>
              <w:top w:val="nil"/>
              <w:left w:val="nil"/>
              <w:bottom w:val="single" w:sz="4" w:space="0" w:color="auto"/>
              <w:right w:val="single" w:sz="4" w:space="0" w:color="auto"/>
            </w:tcBorders>
            <w:shd w:val="clear" w:color="auto" w:fill="auto"/>
            <w:noWrap/>
            <w:vAlign w:val="center"/>
            <w:hideMark/>
          </w:tcPr>
          <w:p w14:paraId="68F4C051" w14:textId="77777777" w:rsidR="00A54A84" w:rsidRPr="00A54A84" w:rsidRDefault="00A54A84" w:rsidP="00A54A84">
            <w:pPr>
              <w:widowControl/>
              <w:jc w:val="left"/>
              <w:rPr>
                <w:rFonts w:ascii="宋体" w:hAnsi="宋体" w:cs="宋体" w:hint="eastAsia"/>
                <w:kern w:val="0"/>
                <w:sz w:val="20"/>
                <w:szCs w:val="20"/>
              </w:rPr>
            </w:pPr>
            <w:r w:rsidRPr="00A54A84">
              <w:rPr>
                <w:rFonts w:ascii="宋体" w:hAnsi="宋体"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noWrap/>
            <w:vAlign w:val="center"/>
            <w:hideMark/>
          </w:tcPr>
          <w:p w14:paraId="1082DC37" w14:textId="77777777" w:rsidR="00A54A84" w:rsidRPr="00A54A84" w:rsidRDefault="00A54A84" w:rsidP="00A54A84">
            <w:pPr>
              <w:widowControl/>
              <w:jc w:val="left"/>
              <w:rPr>
                <w:rFonts w:ascii="宋体" w:hAnsi="宋体" w:cs="宋体" w:hint="eastAsia"/>
                <w:kern w:val="0"/>
                <w:sz w:val="20"/>
                <w:szCs w:val="20"/>
              </w:rPr>
            </w:pPr>
            <w:r w:rsidRPr="00A54A84">
              <w:rPr>
                <w:rFonts w:ascii="宋体" w:hAnsi="宋体" w:cs="宋体" w:hint="eastAsia"/>
                <w:kern w:val="0"/>
                <w:sz w:val="20"/>
                <w:szCs w:val="20"/>
              </w:rPr>
              <w:t xml:space="preserve">　</w:t>
            </w:r>
          </w:p>
        </w:tc>
        <w:tc>
          <w:tcPr>
            <w:tcW w:w="771" w:type="dxa"/>
            <w:tcBorders>
              <w:top w:val="nil"/>
              <w:left w:val="nil"/>
              <w:bottom w:val="single" w:sz="4" w:space="0" w:color="auto"/>
              <w:right w:val="single" w:sz="4" w:space="0" w:color="auto"/>
            </w:tcBorders>
            <w:shd w:val="clear" w:color="auto" w:fill="auto"/>
            <w:noWrap/>
            <w:vAlign w:val="center"/>
            <w:hideMark/>
          </w:tcPr>
          <w:p w14:paraId="0746D5F8" w14:textId="77777777" w:rsidR="00A54A84" w:rsidRPr="00A54A84" w:rsidRDefault="00A54A84" w:rsidP="00A54A84">
            <w:pPr>
              <w:widowControl/>
              <w:jc w:val="left"/>
              <w:rPr>
                <w:rFonts w:ascii="宋体" w:hAnsi="宋体" w:cs="宋体" w:hint="eastAsia"/>
                <w:kern w:val="0"/>
                <w:sz w:val="20"/>
                <w:szCs w:val="20"/>
              </w:rPr>
            </w:pPr>
            <w:r w:rsidRPr="00A54A84">
              <w:rPr>
                <w:rFonts w:ascii="宋体" w:hAnsi="宋体" w:cs="宋体" w:hint="eastAsia"/>
                <w:kern w:val="0"/>
                <w:sz w:val="20"/>
                <w:szCs w:val="20"/>
              </w:rPr>
              <w:t xml:space="preserve">　</w:t>
            </w:r>
          </w:p>
        </w:tc>
        <w:tc>
          <w:tcPr>
            <w:tcW w:w="1009" w:type="dxa"/>
            <w:tcBorders>
              <w:top w:val="nil"/>
              <w:left w:val="nil"/>
              <w:bottom w:val="single" w:sz="4" w:space="0" w:color="auto"/>
              <w:right w:val="single" w:sz="4" w:space="0" w:color="auto"/>
            </w:tcBorders>
            <w:shd w:val="clear" w:color="auto" w:fill="auto"/>
            <w:noWrap/>
            <w:vAlign w:val="center"/>
            <w:hideMark/>
          </w:tcPr>
          <w:p w14:paraId="438B301C" w14:textId="77777777" w:rsidR="00A54A84" w:rsidRPr="00A54A84" w:rsidRDefault="00A54A84" w:rsidP="00A54A84">
            <w:pPr>
              <w:widowControl/>
              <w:jc w:val="left"/>
              <w:rPr>
                <w:rFonts w:ascii="宋体" w:hAnsi="宋体" w:cs="宋体" w:hint="eastAsia"/>
                <w:kern w:val="0"/>
                <w:sz w:val="20"/>
                <w:szCs w:val="20"/>
              </w:rPr>
            </w:pPr>
            <w:r w:rsidRPr="00A54A84">
              <w:rPr>
                <w:rFonts w:ascii="宋体" w:hAnsi="宋体" w:cs="宋体" w:hint="eastAsia"/>
                <w:kern w:val="0"/>
                <w:sz w:val="20"/>
                <w:szCs w:val="20"/>
              </w:rPr>
              <w:t xml:space="preserve">　</w:t>
            </w:r>
          </w:p>
        </w:tc>
        <w:tc>
          <w:tcPr>
            <w:tcW w:w="895" w:type="dxa"/>
            <w:tcBorders>
              <w:top w:val="nil"/>
              <w:left w:val="nil"/>
              <w:bottom w:val="single" w:sz="4" w:space="0" w:color="auto"/>
              <w:right w:val="single" w:sz="4" w:space="0" w:color="auto"/>
            </w:tcBorders>
            <w:shd w:val="clear" w:color="auto" w:fill="auto"/>
            <w:noWrap/>
            <w:vAlign w:val="center"/>
            <w:hideMark/>
          </w:tcPr>
          <w:p w14:paraId="4DC171AC" w14:textId="77777777" w:rsidR="00A54A84" w:rsidRPr="00A54A84" w:rsidRDefault="00A54A84" w:rsidP="00A54A84">
            <w:pPr>
              <w:widowControl/>
              <w:jc w:val="left"/>
              <w:rPr>
                <w:rFonts w:ascii="宋体" w:hAnsi="宋体" w:cs="宋体" w:hint="eastAsia"/>
                <w:kern w:val="0"/>
                <w:sz w:val="20"/>
                <w:szCs w:val="20"/>
              </w:rPr>
            </w:pPr>
            <w:r w:rsidRPr="00A54A84">
              <w:rPr>
                <w:rFonts w:ascii="宋体" w:hAnsi="宋体" w:cs="宋体" w:hint="eastAsia"/>
                <w:kern w:val="0"/>
                <w:sz w:val="20"/>
                <w:szCs w:val="20"/>
              </w:rPr>
              <w:t xml:space="preserve">　</w:t>
            </w:r>
          </w:p>
        </w:tc>
      </w:tr>
    </w:tbl>
    <w:p w14:paraId="3386CFA3" w14:textId="65D36AA4" w:rsidR="00AC7203"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5D87688" w14:textId="28371E99" w:rsidR="00AC7203"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A54A84">
        <w:rPr>
          <w:rFonts w:ascii="仿宋_GB2312" w:eastAsia="仿宋_GB2312" w:hAnsi="仿宋_GB2312" w:cs="仿宋_GB2312" w:hint="eastAsia"/>
          <w:kern w:val="0"/>
          <w:sz w:val="32"/>
          <w:szCs w:val="32"/>
        </w:rPr>
        <w:t>。</w:t>
      </w:r>
    </w:p>
    <w:p w14:paraId="266D4702" w14:textId="77777777" w:rsidR="00AC7203"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949D47E" w14:textId="77777777" w:rsidR="00AC720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069CB87" w14:textId="77777777" w:rsidR="00AC720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5B1C724" w14:textId="77777777" w:rsidR="00AC720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031ACC2" w14:textId="77777777" w:rsidR="00AC720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CBD71E8" w14:textId="77777777" w:rsidR="00AC720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AC7AC9E" w14:textId="77777777" w:rsidR="00AC720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9361358" w14:textId="77777777" w:rsidR="00AC720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A911107" w14:textId="77777777" w:rsidR="00AC720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470F44" w14:textId="77777777" w:rsidR="00AC720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3214F62" w14:textId="77777777" w:rsidR="00AC720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FEF5ED6" w14:textId="77777777" w:rsidR="00AC720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D15F15C" w14:textId="77777777" w:rsidR="00AC720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DD94A68" w14:textId="77777777" w:rsidR="00AC720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087EE1" w14:textId="77777777" w:rsidR="00AC7203"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4F84466" w14:textId="77777777" w:rsidR="00AC7203"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364BB8B" w14:textId="77777777" w:rsidR="00AC7203"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2A7BB012" w14:textId="77777777" w:rsidR="00AC7203"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661E5D95" w14:textId="77777777" w:rsidR="00AC7203"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35F8FC10" w14:textId="77777777" w:rsidR="00AC7203"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2BEAD0F9" w14:textId="77777777" w:rsidR="00AC7203"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6A5FAE28" w14:textId="77777777" w:rsidR="00AC7203"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73A91C3B" w14:textId="77777777" w:rsidR="00AC720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39ACEC42" w14:textId="77777777" w:rsidR="00AC7203"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39F07E50" w14:textId="77777777" w:rsidR="00AC720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A2A90D6" w14:textId="77777777" w:rsidR="00AC7203" w:rsidRDefault="00AC7203">
      <w:pPr>
        <w:ind w:firstLineChars="200" w:firstLine="640"/>
        <w:rPr>
          <w:rFonts w:ascii="仿宋_GB2312" w:eastAsia="仿宋_GB2312"/>
          <w:sz w:val="32"/>
          <w:szCs w:val="32"/>
        </w:rPr>
      </w:pPr>
    </w:p>
    <w:p w14:paraId="2E03506A" w14:textId="77777777" w:rsidR="00AC7203" w:rsidRDefault="00AC7203">
      <w:pPr>
        <w:ind w:firstLineChars="200" w:firstLine="640"/>
        <w:outlineLvl w:val="1"/>
        <w:rPr>
          <w:rFonts w:ascii="黑体" w:eastAsia="黑体" w:hAnsi="黑体" w:cs="宋体" w:hint="eastAsia"/>
          <w:bCs/>
          <w:kern w:val="0"/>
          <w:sz w:val="32"/>
          <w:szCs w:val="32"/>
        </w:rPr>
      </w:pPr>
    </w:p>
    <w:sectPr w:rsidR="00AC720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490E2" w14:textId="77777777" w:rsidR="00D46666" w:rsidRDefault="00D46666">
      <w:r>
        <w:separator/>
      </w:r>
    </w:p>
  </w:endnote>
  <w:endnote w:type="continuationSeparator" w:id="0">
    <w:p w14:paraId="7156D552" w14:textId="77777777" w:rsidR="00D46666" w:rsidRDefault="00D46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ABD57" w14:textId="77777777" w:rsidR="00AC7203" w:rsidRDefault="00000000">
    <w:pPr>
      <w:pStyle w:val="a4"/>
    </w:pPr>
    <w:r>
      <w:rPr>
        <w:noProof/>
      </w:rPr>
      <mc:AlternateContent>
        <mc:Choice Requires="wps">
          <w:drawing>
            <wp:anchor distT="0" distB="0" distL="114300" distR="114300" simplePos="0" relativeHeight="251659264" behindDoc="0" locked="0" layoutInCell="1" allowOverlap="1" wp14:anchorId="336D266C" wp14:editId="7D67CF5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28AB2E6" w14:textId="77777777" w:rsidR="00AC720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36D266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28AB2E6" w14:textId="77777777" w:rsidR="00AC720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F0C6DD" w14:textId="77777777" w:rsidR="00D46666" w:rsidRDefault="00D46666">
      <w:r>
        <w:separator/>
      </w:r>
    </w:p>
  </w:footnote>
  <w:footnote w:type="continuationSeparator" w:id="0">
    <w:p w14:paraId="4B66DB76" w14:textId="77777777" w:rsidR="00D46666" w:rsidRDefault="00D466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478419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C7203"/>
    <w:rsid w:val="000A2A7A"/>
    <w:rsid w:val="00213C59"/>
    <w:rsid w:val="002F06C2"/>
    <w:rsid w:val="003210CE"/>
    <w:rsid w:val="003B7931"/>
    <w:rsid w:val="004949F2"/>
    <w:rsid w:val="004F5997"/>
    <w:rsid w:val="005069E1"/>
    <w:rsid w:val="005347F2"/>
    <w:rsid w:val="005E1B1B"/>
    <w:rsid w:val="007A3DEB"/>
    <w:rsid w:val="00A50A04"/>
    <w:rsid w:val="00A54A84"/>
    <w:rsid w:val="00A7249B"/>
    <w:rsid w:val="00A8276A"/>
    <w:rsid w:val="00AC7203"/>
    <w:rsid w:val="00B63E6F"/>
    <w:rsid w:val="00B70D59"/>
    <w:rsid w:val="00BE3226"/>
    <w:rsid w:val="00C1010D"/>
    <w:rsid w:val="00C14B1B"/>
    <w:rsid w:val="00CF0973"/>
    <w:rsid w:val="00D46666"/>
    <w:rsid w:val="00D7313E"/>
    <w:rsid w:val="00E01911"/>
    <w:rsid w:val="00F15898"/>
    <w:rsid w:val="00F52A8D"/>
    <w:rsid w:val="00FB3021"/>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872A2D"/>
  <w15:docId w15:val="{3C498109-0069-468B-AB8D-C9CA040B5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96602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1025</Words>
  <Characters>5848</Characters>
  <Application>Microsoft Office Word</Application>
  <DocSecurity>0</DocSecurity>
  <Lines>48</Lines>
  <Paragraphs>13</Paragraphs>
  <ScaleCrop>false</ScaleCrop>
  <Company/>
  <LinksUpToDate>false</LinksUpToDate>
  <CharactersWithSpaces>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7</cp:revision>
  <dcterms:created xsi:type="dcterms:W3CDTF">2014-10-29T12:08:00Z</dcterms:created>
  <dcterms:modified xsi:type="dcterms:W3CDTF">2024-12-27T07:33:00Z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