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E6090F" w14:textId="77777777" w:rsidR="000D7938" w:rsidRDefault="000D7938">
      <w:pPr>
        <w:rPr>
          <w:rFonts w:ascii="黑体" w:eastAsia="黑体" w:hAnsi="黑体" w:hint="eastAsia"/>
          <w:sz w:val="32"/>
          <w:szCs w:val="32"/>
        </w:rPr>
      </w:pPr>
    </w:p>
    <w:p w14:paraId="4DF643EA" w14:textId="77777777" w:rsidR="000D7938" w:rsidRDefault="000D7938">
      <w:pPr>
        <w:jc w:val="center"/>
        <w:rPr>
          <w:rFonts w:ascii="方正小标宋_GBK" w:eastAsia="方正小标宋_GBK" w:hAnsi="宋体" w:hint="eastAsia"/>
          <w:sz w:val="44"/>
          <w:szCs w:val="44"/>
        </w:rPr>
      </w:pPr>
    </w:p>
    <w:p w14:paraId="7AB3CABB" w14:textId="77777777" w:rsidR="00CD7A5D" w:rsidRDefault="00000000" w:rsidP="00CD7A5D">
      <w:pPr>
        <w:jc w:val="center"/>
        <w:rPr>
          <w:rFonts w:ascii="方正小标宋_GBK" w:eastAsia="方正小标宋_GBK" w:hAnsi="宋体"/>
          <w:sz w:val="44"/>
          <w:szCs w:val="44"/>
        </w:rPr>
      </w:pPr>
      <w:r>
        <w:rPr>
          <w:rFonts w:ascii="方正小标宋_GBK" w:eastAsia="方正小标宋_GBK" w:hAnsi="宋体" w:hint="eastAsia"/>
          <w:sz w:val="44"/>
          <w:szCs w:val="44"/>
        </w:rPr>
        <w:t>昌吉市第七小学2023年度部门决算</w:t>
      </w:r>
    </w:p>
    <w:p w14:paraId="7F2913F7" w14:textId="268295A6" w:rsidR="000D7938" w:rsidRDefault="00000000" w:rsidP="00CD7A5D">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65EFE9A8" w14:textId="77777777" w:rsidR="000D7938"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3FE3C6D8" w14:textId="77777777" w:rsidR="000D7938"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20502D21" w14:textId="77777777" w:rsidR="000D7938"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0D7938">
          <w:rPr>
            <w:rFonts w:ascii="仿宋_GB2312" w:eastAsia="仿宋_GB2312" w:hAnsi="仿宋_GB2312" w:cs="仿宋_GB2312" w:hint="eastAsia"/>
            <w:b/>
            <w:bCs/>
            <w:sz w:val="32"/>
            <w:szCs w:val="32"/>
          </w:rPr>
          <w:t>第一部分 单位概况</w:t>
        </w:r>
      </w:hyperlink>
    </w:p>
    <w:p w14:paraId="3EE00A9A" w14:textId="77777777" w:rsidR="000D7938" w:rsidRDefault="000D7938">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340397F4" w14:textId="77777777" w:rsidR="000D7938" w:rsidRDefault="000D7938">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08E93599" w14:textId="77777777" w:rsidR="000D7938" w:rsidRDefault="000D7938">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75B9ECC5" w14:textId="77777777" w:rsidR="000D7938" w:rsidRDefault="000D7938">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78BD38A0" w14:textId="77777777" w:rsidR="000D7938" w:rsidRDefault="000D7938">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0E324418" w14:textId="77777777" w:rsidR="000D7938" w:rsidRDefault="000D7938">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396B0AD6" w14:textId="77777777" w:rsidR="000D7938" w:rsidRDefault="000D7938">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5A8B7D78" w14:textId="77777777" w:rsidR="000D7938" w:rsidRDefault="000D7938">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34595A9B" w14:textId="77777777" w:rsidR="000D7938" w:rsidRDefault="000D7938">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62F5C95E" w14:textId="77777777" w:rsidR="000D7938" w:rsidRDefault="000D7938">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0A3B0BEB" w14:textId="77777777" w:rsidR="000D7938" w:rsidRDefault="000D7938">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1644F803" w14:textId="77777777" w:rsidR="000D7938" w:rsidRDefault="000D7938">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6EEB430F" w14:textId="77777777" w:rsidR="000D7938" w:rsidRDefault="000D7938">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52788A96" w14:textId="77777777" w:rsidR="000D7938" w:rsidRDefault="000D7938">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75698B4F" w14:textId="77777777" w:rsidR="000D7938" w:rsidRDefault="000D7938">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6D124856" w14:textId="77777777" w:rsidR="000D7938" w:rsidRDefault="000D7938">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716E0825" w14:textId="77777777" w:rsidR="000D7938" w:rsidRDefault="000D7938">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253B6BDA" w14:textId="77777777" w:rsidR="000D7938"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73A56023" w14:textId="77777777" w:rsidR="000D7938" w:rsidRDefault="000D7938">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2A6605AB" w14:textId="77777777" w:rsidR="000D7938" w:rsidRDefault="000D7938">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26F43AC7" w14:textId="77777777" w:rsidR="000D7938" w:rsidRDefault="000D7938">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027FACFA" w14:textId="77777777" w:rsidR="000D7938" w:rsidRDefault="000D7938">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771BADA3" w14:textId="77777777" w:rsidR="000D7938" w:rsidRDefault="000D7938">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7BE1369B" w14:textId="77777777" w:rsidR="000D7938" w:rsidRDefault="000D7938">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09F8DAEA" w14:textId="77777777" w:rsidR="000D7938" w:rsidRDefault="000D7938">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2AF2E733" w14:textId="77777777" w:rsidR="000D7938" w:rsidRDefault="000D7938">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439C5F1A" w14:textId="77777777" w:rsidR="000D7938" w:rsidRDefault="000D7938">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60F93E89" w14:textId="77777777" w:rsidR="000D7938" w:rsidRDefault="000D7938">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54E102A8" w14:textId="77777777" w:rsidR="000D7938"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572FCEA8" w14:textId="77777777" w:rsidR="000D7938" w:rsidRDefault="00000000">
      <w:r>
        <w:rPr>
          <w:rFonts w:ascii="仿宋_GB2312" w:eastAsia="仿宋_GB2312" w:hAnsi="仿宋_GB2312" w:cs="仿宋_GB2312" w:hint="eastAsia"/>
          <w:sz w:val="32"/>
          <w:szCs w:val="32"/>
        </w:rPr>
        <w:fldChar w:fldCharType="end"/>
      </w:r>
    </w:p>
    <w:p w14:paraId="6017E4E3" w14:textId="77777777" w:rsidR="000D7938" w:rsidRDefault="00000000">
      <w:pPr>
        <w:rPr>
          <w:rFonts w:ascii="仿宋_GB2312" w:eastAsia="仿宋_GB2312"/>
          <w:sz w:val="32"/>
          <w:szCs w:val="32"/>
        </w:rPr>
      </w:pPr>
      <w:r>
        <w:rPr>
          <w:rFonts w:ascii="仿宋_GB2312" w:eastAsia="仿宋_GB2312" w:hint="eastAsia"/>
          <w:sz w:val="32"/>
          <w:szCs w:val="32"/>
        </w:rPr>
        <w:br w:type="page"/>
      </w:r>
    </w:p>
    <w:p w14:paraId="0FB4BAD9" w14:textId="77777777" w:rsidR="000D7938"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2370DD44" w14:textId="77777777" w:rsidR="000D7938"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3BE549A7" w14:textId="77777777" w:rsidR="000D7938" w:rsidRDefault="00000000">
      <w:pPr>
        <w:ind w:firstLineChars="200" w:firstLine="640"/>
        <w:outlineLvl w:val="1"/>
        <w:rPr>
          <w:rFonts w:ascii="仿宋_GB2312" w:eastAsia="仿宋_GB2312"/>
          <w:sz w:val="32"/>
          <w:szCs w:val="32"/>
        </w:rPr>
      </w:pPr>
      <w:bookmarkStart w:id="4" w:name="_Toc31238"/>
      <w:bookmarkStart w:id="5" w:name="_Toc2151"/>
      <w:r>
        <w:rPr>
          <w:rFonts w:ascii="仿宋_GB2312" w:eastAsia="仿宋_GB2312" w:hint="eastAsia"/>
          <w:sz w:val="32"/>
          <w:szCs w:val="32"/>
        </w:rPr>
        <w:t>1、全面贯彻党和国家的路线、方针、政策、法规，全面实施素质教育，认真执行上级党委和教育行政部门的指示，依法治校，努力提高学校的办学水平和办学效益；</w:t>
      </w:r>
    </w:p>
    <w:p w14:paraId="66475E3D" w14:textId="77777777" w:rsidR="000D7938" w:rsidRDefault="00000000">
      <w:pPr>
        <w:ind w:firstLineChars="200" w:firstLine="640"/>
        <w:outlineLvl w:val="1"/>
        <w:rPr>
          <w:rFonts w:ascii="仿宋_GB2312" w:eastAsia="仿宋_GB2312"/>
          <w:sz w:val="32"/>
          <w:szCs w:val="32"/>
        </w:rPr>
      </w:pPr>
      <w:r>
        <w:rPr>
          <w:rFonts w:ascii="仿宋_GB2312" w:eastAsia="仿宋_GB2312" w:hint="eastAsia"/>
          <w:sz w:val="32"/>
          <w:szCs w:val="32"/>
        </w:rPr>
        <w:t>2、全面规划，统一安排学校的各项工作，组织制定和实施学校发展规划、工作计划；</w:t>
      </w:r>
    </w:p>
    <w:p w14:paraId="5AF72A71" w14:textId="77777777" w:rsidR="000D7938" w:rsidRDefault="00000000">
      <w:pPr>
        <w:ind w:firstLineChars="200" w:firstLine="640"/>
        <w:outlineLvl w:val="1"/>
        <w:rPr>
          <w:rFonts w:ascii="仿宋_GB2312" w:eastAsia="仿宋_GB2312"/>
          <w:sz w:val="32"/>
          <w:szCs w:val="32"/>
        </w:rPr>
      </w:pPr>
      <w:r>
        <w:rPr>
          <w:rFonts w:ascii="仿宋_GB2312" w:eastAsia="仿宋_GB2312" w:hint="eastAsia"/>
          <w:sz w:val="32"/>
          <w:szCs w:val="32"/>
        </w:rPr>
        <w:t>3、负责健全学校行政指挥系统，健全各项规章制度，保证学校正常的工作秩序；</w:t>
      </w:r>
    </w:p>
    <w:p w14:paraId="57241A8C" w14:textId="77777777" w:rsidR="000D7938" w:rsidRDefault="00000000">
      <w:pPr>
        <w:ind w:firstLineChars="200" w:firstLine="640"/>
        <w:outlineLvl w:val="1"/>
        <w:rPr>
          <w:rFonts w:ascii="仿宋_GB2312" w:eastAsia="仿宋_GB2312"/>
          <w:sz w:val="32"/>
          <w:szCs w:val="32"/>
        </w:rPr>
      </w:pPr>
      <w:r>
        <w:rPr>
          <w:rFonts w:ascii="仿宋_GB2312" w:eastAsia="仿宋_GB2312" w:hint="eastAsia"/>
          <w:sz w:val="32"/>
          <w:szCs w:val="32"/>
        </w:rPr>
        <w:t>4、按照学校经费使用计划，负责教育教学及办公用品、维修设备的采购、发放和管理工作；</w:t>
      </w:r>
    </w:p>
    <w:p w14:paraId="1F1B6379" w14:textId="77777777" w:rsidR="000D7938" w:rsidRDefault="00000000">
      <w:pPr>
        <w:ind w:firstLineChars="200" w:firstLine="640"/>
        <w:outlineLvl w:val="1"/>
        <w:rPr>
          <w:rFonts w:ascii="仿宋_GB2312" w:eastAsia="仿宋_GB2312"/>
          <w:sz w:val="32"/>
          <w:szCs w:val="32"/>
        </w:rPr>
      </w:pPr>
      <w:r>
        <w:rPr>
          <w:rFonts w:ascii="仿宋_GB2312" w:eastAsia="仿宋_GB2312" w:hint="eastAsia"/>
          <w:sz w:val="32"/>
          <w:szCs w:val="32"/>
        </w:rPr>
        <w:t>5、根据预算安排，拟定收支计划，并组织实施、管理和监督；</w:t>
      </w:r>
    </w:p>
    <w:p w14:paraId="78C3E109" w14:textId="77777777" w:rsidR="000D7938" w:rsidRDefault="00000000">
      <w:pPr>
        <w:ind w:firstLineChars="200" w:firstLine="640"/>
        <w:outlineLvl w:val="1"/>
        <w:rPr>
          <w:rFonts w:ascii="仿宋_GB2312" w:eastAsia="仿宋_GB2312"/>
          <w:sz w:val="32"/>
          <w:szCs w:val="32"/>
        </w:rPr>
      </w:pPr>
      <w:r>
        <w:rPr>
          <w:rFonts w:ascii="仿宋_GB2312" w:eastAsia="仿宋_GB2312" w:hint="eastAsia"/>
          <w:sz w:val="32"/>
          <w:szCs w:val="32"/>
        </w:rPr>
        <w:t>6、规范会计行为；组织执行国家统一的会计制度和自治区相关补充规定；组织管理会计人员的业务培训。</w:t>
      </w:r>
    </w:p>
    <w:p w14:paraId="0D9D0C6F" w14:textId="77777777" w:rsidR="000D7938"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5CF2C308" w14:textId="77777777" w:rsidR="000D7938"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昌吉市第七小学2023年度，实有人数</w:t>
      </w:r>
      <w:r>
        <w:rPr>
          <w:rFonts w:ascii="仿宋_GB2312" w:eastAsia="仿宋_GB2312" w:hint="eastAsia"/>
          <w:sz w:val="32"/>
          <w:szCs w:val="32"/>
          <w:lang w:val="zh-CN"/>
        </w:rPr>
        <w:t>144</w:t>
      </w:r>
      <w:r>
        <w:rPr>
          <w:rFonts w:ascii="仿宋_GB2312" w:eastAsia="仿宋_GB2312" w:hint="eastAsia"/>
          <w:sz w:val="32"/>
          <w:szCs w:val="32"/>
        </w:rPr>
        <w:t>人，其中：在职人员</w:t>
      </w:r>
      <w:r>
        <w:rPr>
          <w:rFonts w:ascii="仿宋_GB2312" w:eastAsia="仿宋_GB2312" w:hint="eastAsia"/>
          <w:sz w:val="32"/>
          <w:szCs w:val="32"/>
          <w:lang w:val="zh-CN"/>
        </w:rPr>
        <w:t>85</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59</w:t>
      </w:r>
      <w:r>
        <w:rPr>
          <w:rFonts w:ascii="仿宋_GB2312" w:eastAsia="仿宋_GB2312" w:hint="eastAsia"/>
          <w:sz w:val="32"/>
          <w:szCs w:val="32"/>
        </w:rPr>
        <w:t>人。</w:t>
      </w:r>
    </w:p>
    <w:p w14:paraId="6830F966" w14:textId="77777777" w:rsidR="000D7938" w:rsidRDefault="00000000">
      <w:pPr>
        <w:ind w:firstLineChars="200" w:firstLine="640"/>
        <w:rPr>
          <w:rFonts w:ascii="仿宋_GB2312" w:eastAsia="仿宋_GB2312" w:hAnsi="宋体" w:cs="宋体" w:hint="eastAsia"/>
          <w:kern w:val="0"/>
          <w:sz w:val="32"/>
          <w:szCs w:val="32"/>
        </w:rPr>
        <w:sectPr w:rsidR="000D7938">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单位无下属预算单位，下设5个处室，分别是：教务处、德育处、总务处、工会、后勤部</w:t>
      </w:r>
      <w:r>
        <w:rPr>
          <w:rFonts w:ascii="仿宋_GB2312" w:eastAsia="仿宋_GB2312" w:hAnsi="宋体" w:cs="宋体" w:hint="eastAsia"/>
          <w:kern w:val="0"/>
          <w:sz w:val="32"/>
          <w:szCs w:val="32"/>
        </w:rPr>
        <w:t>。</w:t>
      </w:r>
    </w:p>
    <w:p w14:paraId="39DCA2AF" w14:textId="77777777" w:rsidR="000D7938"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6059EB3D" w14:textId="77777777" w:rsidR="000D7938"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74A270ED" w14:textId="77777777" w:rsidR="000D7938" w:rsidRDefault="00000000" w:rsidP="00107D2D">
      <w:pPr>
        <w:ind w:firstLineChars="200" w:firstLine="640"/>
        <w:rPr>
          <w:rFonts w:ascii="仿宋_GB2312" w:eastAsia="仿宋_GB2312"/>
          <w:sz w:val="32"/>
          <w:szCs w:val="32"/>
        </w:rPr>
      </w:pPr>
      <w:r>
        <w:rPr>
          <w:rFonts w:ascii="仿宋_GB2312" w:eastAsia="仿宋_GB2312" w:hint="eastAsia"/>
          <w:sz w:val="32"/>
          <w:szCs w:val="32"/>
        </w:rPr>
        <w:t>2023年度收入总计2,184.61万元，其中：本年收入合计2,165.36万元，使用非财政拨款结余0.00万元，年初结转和结余19.25万元。</w:t>
      </w:r>
    </w:p>
    <w:p w14:paraId="16D33846" w14:textId="77777777" w:rsidR="000D7938" w:rsidRDefault="00000000" w:rsidP="00107D2D">
      <w:pPr>
        <w:ind w:firstLineChars="200" w:firstLine="640"/>
        <w:rPr>
          <w:rFonts w:ascii="仿宋_GB2312" w:eastAsia="仿宋_GB2312"/>
          <w:sz w:val="32"/>
          <w:szCs w:val="32"/>
        </w:rPr>
      </w:pPr>
      <w:r>
        <w:rPr>
          <w:rFonts w:ascii="仿宋_GB2312" w:eastAsia="仿宋_GB2312" w:hint="eastAsia"/>
          <w:sz w:val="32"/>
          <w:szCs w:val="32"/>
        </w:rPr>
        <w:t>2023年度支出总计2,184.61万元，其中：本年支出合计2,084.62万元，结余分配0.00万元，年末结转和结余99.99万元。</w:t>
      </w:r>
    </w:p>
    <w:p w14:paraId="402298CA" w14:textId="516A828F" w:rsidR="000D7938" w:rsidRDefault="00000000" w:rsidP="00107D2D">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增加258.36万元</w:t>
      </w:r>
      <w:r>
        <w:rPr>
          <w:rFonts w:ascii="仿宋_GB2312" w:eastAsia="仿宋_GB2312" w:hint="eastAsia"/>
          <w:sz w:val="32"/>
          <w:szCs w:val="32"/>
        </w:rPr>
        <w:t>，增长13.41%，主要原因是：单位本年增加校园环境改造提升项目</w:t>
      </w:r>
      <w:r w:rsidR="00107D2D">
        <w:rPr>
          <w:rFonts w:ascii="仿宋_GB2312" w:eastAsia="仿宋_GB2312" w:hint="eastAsia"/>
          <w:sz w:val="32"/>
          <w:szCs w:val="32"/>
        </w:rPr>
        <w:t>经费</w:t>
      </w:r>
      <w:r>
        <w:rPr>
          <w:rFonts w:ascii="仿宋_GB2312" w:eastAsia="仿宋_GB2312" w:hint="eastAsia"/>
          <w:sz w:val="32"/>
          <w:szCs w:val="32"/>
        </w:rPr>
        <w:t>。</w:t>
      </w:r>
    </w:p>
    <w:p w14:paraId="0A4C628A" w14:textId="77777777" w:rsidR="000D7938"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2F6D03DA" w14:textId="77777777" w:rsidR="000D7938"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本年收入2,165.36万元，其中：财政拨款收入</w:t>
      </w:r>
      <w:r>
        <w:rPr>
          <w:rFonts w:ascii="仿宋_GB2312" w:eastAsia="仿宋_GB2312" w:hint="eastAsia"/>
          <w:sz w:val="32"/>
          <w:szCs w:val="32"/>
          <w:lang w:val="zh-CN"/>
        </w:rPr>
        <w:t>2,055.02</w:t>
      </w:r>
      <w:r>
        <w:rPr>
          <w:rFonts w:ascii="仿宋_GB2312" w:eastAsia="仿宋_GB2312" w:hint="eastAsia"/>
          <w:sz w:val="32"/>
          <w:szCs w:val="32"/>
        </w:rPr>
        <w:t>万元，占</w:t>
      </w:r>
      <w:r>
        <w:rPr>
          <w:rFonts w:ascii="仿宋_GB2312" w:eastAsia="仿宋_GB2312" w:hint="eastAsia"/>
          <w:sz w:val="32"/>
          <w:szCs w:val="32"/>
          <w:lang w:val="zh-CN"/>
        </w:rPr>
        <w:t>94.90%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110.34</w:t>
      </w:r>
      <w:r>
        <w:rPr>
          <w:rFonts w:ascii="仿宋_GB2312" w:eastAsia="仿宋_GB2312" w:hint="eastAsia"/>
          <w:sz w:val="32"/>
          <w:szCs w:val="32"/>
        </w:rPr>
        <w:t>万元，占</w:t>
      </w:r>
      <w:r>
        <w:rPr>
          <w:rFonts w:ascii="仿宋_GB2312" w:eastAsia="仿宋_GB2312" w:hint="eastAsia"/>
          <w:sz w:val="32"/>
          <w:szCs w:val="32"/>
          <w:lang w:val="zh-CN"/>
        </w:rPr>
        <w:t>5.10%</w:t>
      </w:r>
      <w:r>
        <w:rPr>
          <w:rFonts w:ascii="仿宋_GB2312" w:eastAsia="仿宋_GB2312" w:hint="eastAsia"/>
          <w:sz w:val="32"/>
          <w:szCs w:val="32"/>
        </w:rPr>
        <w:t>。</w:t>
      </w:r>
    </w:p>
    <w:p w14:paraId="0439931F" w14:textId="77777777" w:rsidR="000D7938"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FCDC655" w14:textId="77777777" w:rsidR="000D7938"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本年支出2,084.62万元，其中：基本支出2,047.06万元，占98.20%；项目支出37.56万元，占1.80%；上缴上级支出0.00万元，占0.00%；经营支出0.00万元，占0.00%；对附属单位补助支出0.00万元，占0.00%。</w:t>
      </w:r>
    </w:p>
    <w:p w14:paraId="043E7BF5" w14:textId="77777777" w:rsidR="000D7938" w:rsidRDefault="00000000">
      <w:pPr>
        <w:ind w:firstLineChars="200" w:firstLine="640"/>
        <w:jc w:val="left"/>
        <w:outlineLvl w:val="1"/>
        <w:rPr>
          <w:rFonts w:ascii="黑体" w:eastAsia="黑体" w:hAnsi="黑体" w:cs="宋体" w:hint="eastAsia"/>
          <w:bCs/>
          <w:kern w:val="0"/>
          <w:sz w:val="32"/>
          <w:szCs w:val="32"/>
        </w:rPr>
      </w:pPr>
      <w:bookmarkStart w:id="14" w:name="_Toc4393"/>
      <w:bookmarkStart w:id="15" w:name="_Toc26564"/>
      <w:r>
        <w:rPr>
          <w:rFonts w:ascii="黑体" w:eastAsia="黑体" w:hAnsi="黑体" w:cs="宋体" w:hint="eastAsia"/>
          <w:bCs/>
          <w:kern w:val="0"/>
          <w:sz w:val="32"/>
          <w:szCs w:val="32"/>
        </w:rPr>
        <w:lastRenderedPageBreak/>
        <w:t>四、财政拨款收入支出决算总体情况说明</w:t>
      </w:r>
      <w:bookmarkEnd w:id="14"/>
      <w:bookmarkEnd w:id="15"/>
    </w:p>
    <w:p w14:paraId="6C2607A5" w14:textId="77777777" w:rsidR="000D7938"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2,074.27</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19.25</w:t>
      </w:r>
      <w:r>
        <w:rPr>
          <w:rFonts w:ascii="仿宋_GB2312" w:eastAsia="仿宋_GB2312" w:hint="eastAsia"/>
          <w:sz w:val="32"/>
          <w:szCs w:val="32"/>
        </w:rPr>
        <w:t>万元，本年财政拨款收入</w:t>
      </w:r>
      <w:r>
        <w:rPr>
          <w:rFonts w:ascii="仿宋_GB2312" w:eastAsia="仿宋_GB2312" w:hint="eastAsia"/>
          <w:sz w:val="32"/>
          <w:szCs w:val="32"/>
          <w:lang w:val="zh-CN"/>
        </w:rPr>
        <w:t>2,055.02</w:t>
      </w:r>
      <w:r>
        <w:rPr>
          <w:rFonts w:ascii="仿宋_GB2312" w:eastAsia="仿宋_GB2312" w:hint="eastAsia"/>
          <w:sz w:val="32"/>
          <w:szCs w:val="32"/>
        </w:rPr>
        <w:t>万元。财政拨款支出总计</w:t>
      </w:r>
      <w:r>
        <w:rPr>
          <w:rFonts w:ascii="仿宋_GB2312" w:eastAsia="仿宋_GB2312" w:hint="eastAsia"/>
          <w:sz w:val="32"/>
          <w:szCs w:val="32"/>
          <w:lang w:val="zh-CN"/>
        </w:rPr>
        <w:t>2,074.27</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31.24</w:t>
      </w:r>
      <w:r>
        <w:rPr>
          <w:rFonts w:ascii="仿宋_GB2312" w:eastAsia="仿宋_GB2312" w:hint="eastAsia"/>
          <w:sz w:val="32"/>
          <w:szCs w:val="32"/>
        </w:rPr>
        <w:t>万元，本年财政拨款支出</w:t>
      </w:r>
      <w:r>
        <w:rPr>
          <w:rFonts w:ascii="仿宋_GB2312" w:eastAsia="仿宋_GB2312" w:hint="eastAsia"/>
          <w:sz w:val="32"/>
          <w:szCs w:val="32"/>
          <w:lang w:val="zh-CN"/>
        </w:rPr>
        <w:t>2,043.03</w:t>
      </w:r>
      <w:r>
        <w:rPr>
          <w:rFonts w:ascii="仿宋_GB2312" w:eastAsia="仿宋_GB2312" w:hint="eastAsia"/>
          <w:sz w:val="32"/>
          <w:szCs w:val="32"/>
        </w:rPr>
        <w:t>万元。</w:t>
      </w:r>
    </w:p>
    <w:p w14:paraId="0A003423" w14:textId="1742DDD9" w:rsidR="000D7938"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增加148.02万元</w:t>
      </w:r>
      <w:r>
        <w:rPr>
          <w:rFonts w:ascii="仿宋_GB2312" w:eastAsia="仿宋_GB2312" w:hint="eastAsia"/>
          <w:sz w:val="32"/>
          <w:szCs w:val="32"/>
        </w:rPr>
        <w:t>，增长7.68%,主要原因是：</w:t>
      </w:r>
      <w:r w:rsidR="00107D2D">
        <w:rPr>
          <w:rFonts w:ascii="仿宋_GB2312" w:eastAsia="仿宋_GB2312" w:hint="eastAsia"/>
          <w:sz w:val="32"/>
          <w:szCs w:val="32"/>
        </w:rPr>
        <w:t>单位本年增加校园环境改造提升项目经费</w:t>
      </w:r>
      <w:r>
        <w:rPr>
          <w:rFonts w:ascii="仿宋_GB2312" w:eastAsia="仿宋_GB2312" w:hint="eastAsia"/>
          <w:sz w:val="32"/>
          <w:szCs w:val="32"/>
        </w:rPr>
        <w:t>。与年初预算相比，年初预算数</w:t>
      </w:r>
      <w:r>
        <w:rPr>
          <w:rFonts w:ascii="仿宋_GB2312" w:eastAsia="仿宋_GB2312" w:hint="eastAsia"/>
          <w:sz w:val="32"/>
          <w:szCs w:val="32"/>
          <w:lang w:val="zh-CN"/>
        </w:rPr>
        <w:t>1,670.99</w:t>
      </w:r>
      <w:r>
        <w:rPr>
          <w:rFonts w:ascii="仿宋_GB2312" w:eastAsia="仿宋_GB2312" w:hint="eastAsia"/>
          <w:sz w:val="32"/>
          <w:szCs w:val="32"/>
        </w:rPr>
        <w:t>万元，决算数</w:t>
      </w:r>
      <w:r>
        <w:rPr>
          <w:rFonts w:ascii="仿宋_GB2312" w:eastAsia="仿宋_GB2312" w:hint="eastAsia"/>
          <w:sz w:val="32"/>
          <w:szCs w:val="32"/>
          <w:lang w:val="zh-CN"/>
        </w:rPr>
        <w:t>2,074.27</w:t>
      </w:r>
      <w:r>
        <w:rPr>
          <w:rFonts w:ascii="仿宋_GB2312" w:eastAsia="仿宋_GB2312" w:hint="eastAsia"/>
          <w:sz w:val="32"/>
          <w:szCs w:val="32"/>
        </w:rPr>
        <w:t>万元，预决算差异率24.13%，主要原因是：年中追加</w:t>
      </w:r>
      <w:r w:rsidR="00107D2D">
        <w:rPr>
          <w:rFonts w:ascii="仿宋_GB2312" w:eastAsia="仿宋_GB2312" w:hint="eastAsia"/>
          <w:sz w:val="32"/>
          <w:szCs w:val="32"/>
        </w:rPr>
        <w:t>校园环境改造提升项目经费</w:t>
      </w:r>
      <w:r>
        <w:rPr>
          <w:rFonts w:ascii="仿宋_GB2312" w:eastAsia="仿宋_GB2312" w:hint="eastAsia"/>
          <w:sz w:val="32"/>
          <w:szCs w:val="32"/>
        </w:rPr>
        <w:t>。</w:t>
      </w:r>
    </w:p>
    <w:p w14:paraId="44DCEB78" w14:textId="77777777" w:rsidR="000D7938"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6A4242BE" w14:textId="77777777" w:rsidR="000D7938"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0B075F4C" w14:textId="5FA5BC01" w:rsidR="000D7938"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2023年度一般公共预算财政拨款支出2,043.03万元，占本年支出合计的</w:t>
      </w:r>
      <w:r>
        <w:rPr>
          <w:rFonts w:ascii="仿宋_GB2312" w:eastAsia="仿宋_GB2312" w:hint="eastAsia"/>
          <w:sz w:val="32"/>
          <w:szCs w:val="32"/>
          <w:lang w:val="zh-CN"/>
        </w:rPr>
        <w:t>98.00%</w:t>
      </w:r>
      <w:r>
        <w:rPr>
          <w:rFonts w:ascii="仿宋_GB2312" w:eastAsia="仿宋_GB2312" w:hint="eastAsia"/>
          <w:sz w:val="32"/>
          <w:szCs w:val="32"/>
        </w:rPr>
        <w:t>。与上年相比，</w:t>
      </w:r>
      <w:r>
        <w:rPr>
          <w:rFonts w:ascii="仿宋_GB2312" w:eastAsia="仿宋_GB2312" w:hint="eastAsia"/>
          <w:sz w:val="32"/>
          <w:szCs w:val="32"/>
          <w:lang w:val="zh-CN"/>
        </w:rPr>
        <w:t>增加136.03万元</w:t>
      </w:r>
      <w:r>
        <w:rPr>
          <w:rFonts w:ascii="仿宋_GB2312" w:eastAsia="仿宋_GB2312" w:hint="eastAsia"/>
          <w:sz w:val="32"/>
          <w:szCs w:val="32"/>
        </w:rPr>
        <w:t>，增长7.13%,主要原因是：</w:t>
      </w:r>
      <w:r w:rsidR="00107D2D">
        <w:rPr>
          <w:rFonts w:ascii="仿宋_GB2312" w:eastAsia="仿宋_GB2312" w:hint="eastAsia"/>
          <w:sz w:val="32"/>
          <w:szCs w:val="32"/>
        </w:rPr>
        <w:t>单位本年增加校园环境改造提升项目经费</w:t>
      </w:r>
      <w:r>
        <w:rPr>
          <w:rFonts w:ascii="仿宋_GB2312" w:eastAsia="仿宋_GB2312" w:hint="eastAsia"/>
          <w:sz w:val="32"/>
          <w:szCs w:val="32"/>
        </w:rPr>
        <w:t>。与年初预算相比，年初预算数</w:t>
      </w:r>
      <w:r>
        <w:rPr>
          <w:rFonts w:ascii="仿宋_GB2312" w:eastAsia="仿宋_GB2312" w:hint="eastAsia"/>
          <w:sz w:val="32"/>
          <w:szCs w:val="32"/>
          <w:lang w:val="zh-CN"/>
        </w:rPr>
        <w:t>1,670.99</w:t>
      </w:r>
      <w:r>
        <w:rPr>
          <w:rFonts w:ascii="仿宋_GB2312" w:eastAsia="仿宋_GB2312" w:hint="eastAsia"/>
          <w:sz w:val="32"/>
          <w:szCs w:val="32"/>
        </w:rPr>
        <w:t>万元，决算数</w:t>
      </w:r>
      <w:r>
        <w:rPr>
          <w:rFonts w:ascii="仿宋_GB2312" w:eastAsia="仿宋_GB2312" w:hint="eastAsia"/>
          <w:sz w:val="32"/>
          <w:szCs w:val="32"/>
          <w:lang w:val="zh-CN"/>
        </w:rPr>
        <w:t>2,043.03</w:t>
      </w:r>
      <w:r>
        <w:rPr>
          <w:rFonts w:ascii="仿宋_GB2312" w:eastAsia="仿宋_GB2312" w:hint="eastAsia"/>
          <w:sz w:val="32"/>
          <w:szCs w:val="32"/>
        </w:rPr>
        <w:t>万元，预决算差异率</w:t>
      </w:r>
      <w:r>
        <w:rPr>
          <w:rFonts w:ascii="仿宋_GB2312" w:eastAsia="仿宋_GB2312" w:hint="eastAsia"/>
          <w:sz w:val="32"/>
          <w:szCs w:val="32"/>
          <w:lang w:val="zh-CN"/>
        </w:rPr>
        <w:t>22.26%</w:t>
      </w:r>
      <w:r>
        <w:rPr>
          <w:rFonts w:ascii="仿宋_GB2312" w:eastAsia="仿宋_GB2312" w:hint="eastAsia"/>
          <w:sz w:val="32"/>
          <w:szCs w:val="32"/>
        </w:rPr>
        <w:t>，主要原因是：年中追加</w:t>
      </w:r>
      <w:r w:rsidR="00107D2D">
        <w:rPr>
          <w:rFonts w:ascii="仿宋_GB2312" w:eastAsia="仿宋_GB2312" w:hint="eastAsia"/>
          <w:sz w:val="32"/>
          <w:szCs w:val="32"/>
        </w:rPr>
        <w:t>校园环境改造提升项目经费</w:t>
      </w:r>
      <w:r>
        <w:rPr>
          <w:rFonts w:ascii="仿宋_GB2312" w:eastAsia="仿宋_GB2312" w:hint="eastAsia"/>
          <w:sz w:val="32"/>
          <w:szCs w:val="32"/>
        </w:rPr>
        <w:t>。</w:t>
      </w:r>
    </w:p>
    <w:p w14:paraId="34DFAC25" w14:textId="77777777" w:rsidR="000D7938"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03DBD080" w14:textId="77777777" w:rsidR="000D7938"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1</w:t>
      </w:r>
      <w:r>
        <w:rPr>
          <w:rFonts w:ascii="仿宋_GB2312" w:eastAsia="仿宋_GB2312"/>
          <w:kern w:val="2"/>
          <w:sz w:val="32"/>
          <w:szCs w:val="32"/>
          <w:lang w:val="zh-CN"/>
        </w:rPr>
        <w:t>.教育支出（类）</w:t>
      </w:r>
      <w:r>
        <w:rPr>
          <w:rFonts w:ascii="仿宋_GB2312" w:eastAsia="仿宋_GB2312" w:hint="eastAsia"/>
          <w:kern w:val="2"/>
          <w:sz w:val="32"/>
          <w:szCs w:val="32"/>
          <w:lang w:val="zh-CN"/>
        </w:rPr>
        <w:t>1,984.16</w:t>
      </w:r>
      <w:r>
        <w:rPr>
          <w:rFonts w:ascii="仿宋_GB2312" w:eastAsia="仿宋_GB2312"/>
          <w:kern w:val="2"/>
          <w:sz w:val="32"/>
          <w:szCs w:val="32"/>
          <w:lang w:val="zh-CN"/>
        </w:rPr>
        <w:t>万元，占</w:t>
      </w:r>
      <w:r>
        <w:rPr>
          <w:rFonts w:ascii="仿宋_GB2312" w:eastAsia="仿宋_GB2312" w:hint="eastAsia"/>
          <w:kern w:val="2"/>
          <w:sz w:val="32"/>
          <w:szCs w:val="32"/>
          <w:lang w:val="zh-CN"/>
        </w:rPr>
        <w:t>97.12%</w:t>
      </w:r>
      <w:r>
        <w:rPr>
          <w:rFonts w:ascii="仿宋_GB2312" w:eastAsia="仿宋_GB2312"/>
          <w:kern w:val="2"/>
          <w:sz w:val="32"/>
          <w:szCs w:val="32"/>
          <w:lang w:val="zh-CN"/>
        </w:rPr>
        <w:t>；</w:t>
      </w:r>
    </w:p>
    <w:p w14:paraId="22DA75CD" w14:textId="77777777" w:rsidR="000D7938"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58.86</w:t>
      </w:r>
      <w:r>
        <w:rPr>
          <w:rFonts w:ascii="仿宋_GB2312" w:eastAsia="仿宋_GB2312"/>
          <w:kern w:val="2"/>
          <w:sz w:val="32"/>
          <w:szCs w:val="32"/>
          <w:lang w:val="zh-CN"/>
        </w:rPr>
        <w:t>万元，占</w:t>
      </w:r>
      <w:r>
        <w:rPr>
          <w:rFonts w:ascii="仿宋_GB2312" w:eastAsia="仿宋_GB2312" w:hint="eastAsia"/>
          <w:kern w:val="2"/>
          <w:sz w:val="32"/>
          <w:szCs w:val="32"/>
          <w:lang w:val="zh-CN"/>
        </w:rPr>
        <w:t>2.88%。</w:t>
      </w:r>
    </w:p>
    <w:p w14:paraId="50B0128A" w14:textId="77777777" w:rsidR="00CC2F40" w:rsidRDefault="00CC2F40" w:rsidP="00CC2F4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lastRenderedPageBreak/>
        <w:t>（三）一般公共预算财政拨款支出决算具体情况</w:t>
      </w:r>
    </w:p>
    <w:p w14:paraId="0DC413B3" w14:textId="77777777" w:rsidR="00CC2F40" w:rsidRDefault="00CC2F40" w:rsidP="00CC2F4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1.教育支出（类）普通教育（款）小学教育（项）:支出决算数为1,984.16万元，比上年决算增加109.81万元，增长5.86%，主要原因是：单位本年</w:t>
      </w:r>
      <w:r>
        <w:rPr>
          <w:rFonts w:ascii="仿宋_GB2312" w:eastAsia="仿宋_GB2312" w:hAnsi="仿宋_GB2312" w:cs="仿宋_GB2312" w:hint="eastAsia"/>
          <w:sz w:val="32"/>
          <w:szCs w:val="32"/>
          <w:lang w:val="zh-CN"/>
        </w:rPr>
        <w:t>补发以前年度绩效补贴奖金。</w:t>
      </w:r>
    </w:p>
    <w:p w14:paraId="36346C28" w14:textId="77777777" w:rsidR="00CC2F40" w:rsidRDefault="00CC2F40" w:rsidP="00CC2F4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2.社会保障和就业支出（类）行政事业单位养老支出（款）机关事业单位职业年金缴费支出（项）:支出决算数为58.86万元，比上年决算增加31.29万元，增长113.49%，主要原因是：</w:t>
      </w:r>
      <w:r w:rsidRPr="00107D2D">
        <w:rPr>
          <w:rFonts w:ascii="仿宋_GB2312" w:eastAsia="仿宋_GB2312" w:hAnsi="仿宋_GB2312" w:cs="仿宋_GB2312" w:hint="eastAsia"/>
          <w:sz w:val="32"/>
          <w:szCs w:val="32"/>
        </w:rPr>
        <w:t>单位本年补缴以前年度职业年金费用</w:t>
      </w:r>
      <w:r>
        <w:rPr>
          <w:rFonts w:ascii="仿宋_GB2312" w:eastAsia="仿宋_GB2312" w:hAnsi="仿宋_GB2312" w:cs="仿宋_GB2312" w:hint="eastAsia"/>
          <w:sz w:val="32"/>
          <w:szCs w:val="32"/>
          <w:lang w:val="zh-CN"/>
        </w:rPr>
        <w:t>。</w:t>
      </w:r>
    </w:p>
    <w:p w14:paraId="142601DE" w14:textId="76C415F3" w:rsidR="00CC2F40" w:rsidRDefault="00CC2F40" w:rsidP="00CC2F4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3.社会保障和就业支出（类）行政事业单位养老支出（款）事业单位离退休（项）:支出决算数为0.00万元，比上年决算减少5.08万元，下降100%，主要原因是：</w:t>
      </w:r>
      <w:r w:rsidR="00CD7A5D" w:rsidRPr="00CD7A5D">
        <w:rPr>
          <w:rFonts w:ascii="仿宋_GB2312" w:eastAsia="仿宋_GB2312" w:hAnsi="仿宋_GB2312" w:cs="仿宋_GB2312" w:hint="eastAsia"/>
          <w:sz w:val="32"/>
          <w:szCs w:val="32"/>
        </w:rPr>
        <w:t>单位本年功能科目调整，此科目本年</w:t>
      </w:r>
      <w:proofErr w:type="gramStart"/>
      <w:r w:rsidR="00CD7A5D" w:rsidRPr="00CD7A5D">
        <w:rPr>
          <w:rFonts w:ascii="仿宋_GB2312" w:eastAsia="仿宋_GB2312" w:hAnsi="仿宋_GB2312" w:cs="仿宋_GB2312" w:hint="eastAsia"/>
          <w:sz w:val="32"/>
          <w:szCs w:val="32"/>
        </w:rPr>
        <w:t>合并至主款</w:t>
      </w:r>
      <w:proofErr w:type="gramEnd"/>
      <w:r w:rsidR="00CD7A5D" w:rsidRPr="00CD7A5D">
        <w:rPr>
          <w:rFonts w:ascii="仿宋_GB2312" w:eastAsia="仿宋_GB2312" w:hAnsi="仿宋_GB2312" w:cs="仿宋_GB2312" w:hint="eastAsia"/>
          <w:sz w:val="32"/>
          <w:szCs w:val="32"/>
        </w:rPr>
        <w:t>科目反映，导致此经费减少</w:t>
      </w:r>
      <w:r>
        <w:rPr>
          <w:rFonts w:ascii="仿宋_GB2312" w:eastAsia="仿宋_GB2312" w:hAnsi="仿宋_GB2312" w:cs="仿宋_GB2312" w:hint="eastAsia"/>
          <w:sz w:val="32"/>
          <w:szCs w:val="32"/>
          <w:lang w:val="zh-CN"/>
        </w:rPr>
        <w:t>。</w:t>
      </w:r>
    </w:p>
    <w:p w14:paraId="6B9665D3" w14:textId="77777777" w:rsidR="000D7938"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03CD515B" w14:textId="77777777" w:rsidR="000D7938"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2,005.47万元，其中：人员经费1,855.57万元，包括：基本工资、津贴补贴、奖金、绩效工资、机关事业单位基本养老保险缴费、职业年金缴费、职工基本医疗保险缴费、其他社会保障缴费、住房公积金、其他工资福利支出、退休费、生活补助、助学金、奖励金。</w:t>
      </w:r>
    </w:p>
    <w:p w14:paraId="76B6D3B7" w14:textId="77777777" w:rsidR="000D7938"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公用经费149.90万元，包括：办公费、印刷费、咨询</w:t>
      </w:r>
      <w:r>
        <w:rPr>
          <w:rFonts w:ascii="仿宋_GB2312" w:eastAsia="仿宋_GB2312" w:hint="eastAsia"/>
          <w:sz w:val="32"/>
          <w:szCs w:val="32"/>
        </w:rPr>
        <w:lastRenderedPageBreak/>
        <w:t>费、手续费、水费、电费、邮电费、取暖费、物业管理费、维修（护）费、劳务费、公务用车运行维护费、其他交通费用、税金及附加费用、其他商品和服务支出。</w:t>
      </w:r>
    </w:p>
    <w:p w14:paraId="5EE51481" w14:textId="77777777" w:rsidR="000D7938"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155090FA" w14:textId="7CCEE742" w:rsidR="000D793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“三公”经费支出0.52万元，</w:t>
      </w:r>
      <w:r>
        <w:rPr>
          <w:rFonts w:ascii="仿宋_GB2312" w:eastAsia="仿宋_GB2312" w:hint="eastAsia"/>
          <w:sz w:val="32"/>
          <w:szCs w:val="32"/>
        </w:rPr>
        <w:t>比上年</w:t>
      </w:r>
      <w:r>
        <w:rPr>
          <w:rFonts w:ascii="仿宋_GB2312" w:eastAsia="仿宋_GB2312" w:hint="eastAsia"/>
          <w:sz w:val="32"/>
          <w:szCs w:val="32"/>
          <w:lang w:val="zh-CN"/>
        </w:rPr>
        <w:t>减少0.04万元，</w:t>
      </w:r>
      <w:r>
        <w:rPr>
          <w:rFonts w:ascii="仿宋_GB2312" w:eastAsia="仿宋_GB2312" w:hint="eastAsia"/>
          <w:sz w:val="32"/>
          <w:szCs w:val="32"/>
        </w:rPr>
        <w:t>下降7.14%,</w:t>
      </w:r>
      <w:r>
        <w:rPr>
          <w:rFonts w:ascii="仿宋_GB2312" w:eastAsia="仿宋_GB2312" w:hint="eastAsia"/>
          <w:sz w:val="32"/>
          <w:szCs w:val="32"/>
          <w:lang w:val="zh-CN"/>
        </w:rPr>
        <w:t>主要原因是：</w:t>
      </w:r>
      <w:r w:rsidR="00107D2D">
        <w:rPr>
          <w:rFonts w:ascii="仿宋_GB2312" w:eastAsia="仿宋_GB2312" w:hint="eastAsia"/>
          <w:sz w:val="32"/>
          <w:szCs w:val="32"/>
          <w:lang w:val="zh-CN"/>
        </w:rPr>
        <w:t>车辆出行次数减少，车辆</w:t>
      </w:r>
      <w:r>
        <w:rPr>
          <w:rFonts w:ascii="仿宋_GB2312" w:eastAsia="仿宋_GB2312" w:hint="eastAsia"/>
          <w:sz w:val="32"/>
          <w:szCs w:val="32"/>
          <w:lang w:val="zh-CN"/>
        </w:rPr>
        <w:t>燃油费</w:t>
      </w:r>
      <w:r w:rsidR="00107D2D">
        <w:rPr>
          <w:rFonts w:ascii="仿宋_GB2312" w:eastAsia="仿宋_GB2312" w:hint="eastAsia"/>
          <w:sz w:val="32"/>
          <w:szCs w:val="32"/>
          <w:lang w:val="zh-CN"/>
        </w:rPr>
        <w:t>、保险费</w:t>
      </w:r>
      <w:r>
        <w:rPr>
          <w:rFonts w:ascii="仿宋_GB2312" w:eastAsia="仿宋_GB2312" w:hint="eastAsia"/>
          <w:sz w:val="32"/>
          <w:szCs w:val="32"/>
          <w:lang w:val="zh-CN"/>
        </w:rPr>
        <w:t>减少。其中：因公出国（境）费支出0.00万元，占0.00%，比上年增加0.00万元，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int="eastAsia"/>
          <w:sz w:val="32"/>
          <w:szCs w:val="32"/>
        </w:rPr>
        <w:t>单位本年无此</w:t>
      </w:r>
      <w:r w:rsidR="00107D2D">
        <w:rPr>
          <w:rFonts w:ascii="仿宋_GB2312" w:eastAsia="仿宋_GB2312" w:hint="eastAsia"/>
          <w:sz w:val="32"/>
          <w:szCs w:val="32"/>
        </w:rPr>
        <w:t>项</w:t>
      </w:r>
      <w:r>
        <w:rPr>
          <w:rFonts w:ascii="仿宋_GB2312" w:eastAsia="仿宋_GB2312" w:hint="eastAsia"/>
          <w:sz w:val="32"/>
          <w:szCs w:val="32"/>
        </w:rPr>
        <w:t>经费</w:t>
      </w:r>
      <w:r>
        <w:rPr>
          <w:rFonts w:ascii="仿宋_GB2312" w:eastAsia="仿宋_GB2312" w:hint="eastAsia"/>
          <w:sz w:val="32"/>
          <w:szCs w:val="32"/>
          <w:lang w:val="zh-CN"/>
        </w:rPr>
        <w:t>；公务用车购置及运行维护费支出0.52万元，占100.00%，比上年减少0.04万元，</w:t>
      </w:r>
      <w:r>
        <w:rPr>
          <w:rFonts w:ascii="仿宋_GB2312" w:eastAsia="仿宋_GB2312" w:hint="eastAsia"/>
          <w:sz w:val="32"/>
          <w:szCs w:val="32"/>
        </w:rPr>
        <w:t>下降7.14%,</w:t>
      </w:r>
      <w:r>
        <w:rPr>
          <w:rFonts w:ascii="仿宋_GB2312" w:eastAsia="仿宋_GB2312" w:hint="eastAsia"/>
          <w:sz w:val="32"/>
          <w:szCs w:val="32"/>
          <w:lang w:val="zh-CN"/>
        </w:rPr>
        <w:t>主要原因是：</w:t>
      </w:r>
      <w:r w:rsidR="00107D2D">
        <w:rPr>
          <w:rFonts w:ascii="仿宋_GB2312" w:eastAsia="仿宋_GB2312" w:hint="eastAsia"/>
          <w:sz w:val="32"/>
          <w:szCs w:val="32"/>
          <w:lang w:val="zh-CN"/>
        </w:rPr>
        <w:t>车辆出行次数减少，车辆燃油费、保险费减少</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w:t>
      </w:r>
      <w:r w:rsidR="00107D2D">
        <w:rPr>
          <w:rFonts w:ascii="仿宋_GB2312" w:eastAsia="仿宋_GB2312" w:hint="eastAsia"/>
          <w:sz w:val="32"/>
          <w:szCs w:val="32"/>
          <w:lang w:val="zh-CN"/>
        </w:rPr>
        <w:t>项</w:t>
      </w:r>
      <w:r>
        <w:rPr>
          <w:rFonts w:ascii="仿宋_GB2312" w:eastAsia="仿宋_GB2312" w:hint="eastAsia"/>
          <w:sz w:val="32"/>
          <w:szCs w:val="32"/>
          <w:lang w:val="zh-CN"/>
        </w:rPr>
        <w:t>经费。</w:t>
      </w:r>
    </w:p>
    <w:p w14:paraId="4ED680D0" w14:textId="77777777" w:rsidR="000D793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16189C08" w14:textId="0E433FC1" w:rsidR="000D793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因公出国（境）费支出0.00万元，开支内容包括单位本年无此</w:t>
      </w:r>
      <w:r w:rsidR="00107D2D">
        <w:rPr>
          <w:rFonts w:ascii="仿宋_GB2312" w:eastAsia="仿宋_GB2312" w:hint="eastAsia"/>
          <w:sz w:val="32"/>
          <w:szCs w:val="32"/>
          <w:lang w:val="zh-CN"/>
        </w:rPr>
        <w:t>项</w:t>
      </w:r>
      <w:r>
        <w:rPr>
          <w:rFonts w:ascii="仿宋_GB2312" w:eastAsia="仿宋_GB2312" w:hint="eastAsia"/>
          <w:sz w:val="32"/>
          <w:szCs w:val="32"/>
          <w:lang w:val="zh-CN"/>
        </w:rPr>
        <w:t>经费。单位全年安排的因公出国（境）团组0个，因公出国（境）0人次。</w:t>
      </w:r>
    </w:p>
    <w:p w14:paraId="4926AB08" w14:textId="09B12634" w:rsidR="000D7938"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0.52万元，其中：公务用车购置费0.00万元，公务用车运行维护费0.52万元。公务用车运行维护费开支内容包括公务用车燃油费、保险费、过路费、维修费等。公务用车购置数0辆，公务用车保有量1</w:t>
      </w:r>
      <w:r>
        <w:rPr>
          <w:rFonts w:ascii="仿宋_GB2312" w:eastAsia="仿宋_GB2312" w:hint="eastAsia"/>
          <w:sz w:val="32"/>
          <w:szCs w:val="32"/>
          <w:lang w:val="zh-CN"/>
        </w:rPr>
        <w:lastRenderedPageBreak/>
        <w:t>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DA24C9" w:rsidRPr="00DA24C9">
        <w:rPr>
          <w:rFonts w:ascii="仿宋_GB2312" w:eastAsia="仿宋_GB2312" w:hint="eastAsia"/>
          <w:sz w:val="32"/>
          <w:szCs w:val="32"/>
        </w:rPr>
        <w:t>本单位固定资产车辆与公务用车保有量一致无差异</w:t>
      </w:r>
      <w:r>
        <w:rPr>
          <w:rFonts w:ascii="仿宋_GB2312" w:eastAsia="仿宋_GB2312" w:hint="eastAsia"/>
          <w:sz w:val="32"/>
          <w:szCs w:val="32"/>
          <w:lang w:val="zh-CN"/>
        </w:rPr>
        <w:t>。</w:t>
      </w:r>
    </w:p>
    <w:p w14:paraId="6B7C40B9" w14:textId="44F189B5" w:rsidR="000D793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公务接待费0.00万元，开支内容包括单位本年无此</w:t>
      </w:r>
      <w:r w:rsidR="00107D2D">
        <w:rPr>
          <w:rFonts w:ascii="仿宋_GB2312" w:eastAsia="仿宋_GB2312" w:hint="eastAsia"/>
          <w:sz w:val="32"/>
          <w:szCs w:val="32"/>
          <w:lang w:val="zh-CN"/>
        </w:rPr>
        <w:t>项</w:t>
      </w:r>
      <w:r>
        <w:rPr>
          <w:rFonts w:ascii="仿宋_GB2312" w:eastAsia="仿宋_GB2312" w:hint="eastAsia"/>
          <w:sz w:val="32"/>
          <w:szCs w:val="32"/>
          <w:lang w:val="zh-CN"/>
        </w:rPr>
        <w:t>经费。单位全年安排的国内公务接待0批次，0人次。</w:t>
      </w:r>
    </w:p>
    <w:p w14:paraId="18CBEBDA" w14:textId="43995787" w:rsidR="000D793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预算数2.40万元，决算数0.52万元，预决算差异率-78.33%，主要原因是：</w:t>
      </w:r>
      <w:proofErr w:type="gramStart"/>
      <w:r w:rsidR="00CD7A5D">
        <w:rPr>
          <w:rFonts w:ascii="仿宋_GB2312" w:eastAsia="仿宋_GB2312" w:hint="eastAsia"/>
          <w:sz w:val="32"/>
          <w:szCs w:val="32"/>
          <w:lang w:val="zh-CN"/>
        </w:rPr>
        <w:t>较预算</w:t>
      </w:r>
      <w:proofErr w:type="gramEnd"/>
      <w:r w:rsidR="00CD7A5D">
        <w:rPr>
          <w:rFonts w:ascii="仿宋_GB2312" w:eastAsia="仿宋_GB2312" w:hint="eastAsia"/>
          <w:sz w:val="32"/>
          <w:szCs w:val="32"/>
          <w:lang w:val="zh-CN"/>
        </w:rPr>
        <w:t>减少</w:t>
      </w:r>
      <w:r w:rsidR="00107D2D" w:rsidRPr="00107D2D">
        <w:rPr>
          <w:rFonts w:ascii="仿宋_GB2312" w:eastAsia="仿宋_GB2312" w:hint="eastAsia"/>
          <w:sz w:val="32"/>
          <w:szCs w:val="32"/>
          <w:lang w:val="zh-CN"/>
        </w:rPr>
        <w:t>车辆燃油费、维修费等</w:t>
      </w:r>
      <w:r w:rsidR="00CD7A5D">
        <w:rPr>
          <w:rFonts w:ascii="仿宋_GB2312" w:eastAsia="仿宋_GB2312" w:hint="eastAsia"/>
          <w:sz w:val="32"/>
          <w:szCs w:val="32"/>
          <w:lang w:val="zh-CN"/>
        </w:rPr>
        <w:t>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0.00万元，决算数0.00万元，预决算差异率0.00%，主要原因是：单位本年无此</w:t>
      </w:r>
      <w:r w:rsidR="00107D2D">
        <w:rPr>
          <w:rFonts w:ascii="仿宋_GB2312" w:eastAsia="仿宋_GB2312" w:hint="eastAsia"/>
          <w:sz w:val="32"/>
          <w:szCs w:val="32"/>
          <w:lang w:val="zh-CN"/>
        </w:rPr>
        <w:t>项</w:t>
      </w:r>
      <w:r>
        <w:rPr>
          <w:rFonts w:ascii="仿宋_GB2312" w:eastAsia="仿宋_GB2312" w:hint="eastAsia"/>
          <w:sz w:val="32"/>
          <w:szCs w:val="32"/>
          <w:lang w:val="zh-CN"/>
        </w:rPr>
        <w:t>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预算数0.00万元，决算数0.00万元，预决算差异率0.00%，主要原因是：单位本年无此经费；公务用车运行费</w:t>
      </w:r>
      <w:r>
        <w:rPr>
          <w:rFonts w:ascii="仿宋_GB2312" w:eastAsia="仿宋_GB2312" w:hint="eastAsia"/>
          <w:sz w:val="32"/>
          <w:szCs w:val="32"/>
        </w:rPr>
        <w:t>全年</w:t>
      </w:r>
      <w:r>
        <w:rPr>
          <w:rFonts w:ascii="仿宋_GB2312" w:eastAsia="仿宋_GB2312" w:hint="eastAsia"/>
          <w:sz w:val="32"/>
          <w:szCs w:val="32"/>
          <w:lang w:val="zh-CN"/>
        </w:rPr>
        <w:t>预算数2.40万元，决算数0.52万元，预决算差异率-78.33%，主要原因是：</w:t>
      </w:r>
      <w:proofErr w:type="gramStart"/>
      <w:r w:rsidR="00CD7A5D">
        <w:rPr>
          <w:rFonts w:ascii="仿宋_GB2312" w:eastAsia="仿宋_GB2312" w:hint="eastAsia"/>
          <w:sz w:val="32"/>
          <w:szCs w:val="32"/>
          <w:lang w:val="zh-CN"/>
        </w:rPr>
        <w:t>较预算</w:t>
      </w:r>
      <w:proofErr w:type="gramEnd"/>
      <w:r w:rsidR="00CD7A5D">
        <w:rPr>
          <w:rFonts w:ascii="仿宋_GB2312" w:eastAsia="仿宋_GB2312" w:hint="eastAsia"/>
          <w:sz w:val="32"/>
          <w:szCs w:val="32"/>
          <w:lang w:val="zh-CN"/>
        </w:rPr>
        <w:t>减少</w:t>
      </w:r>
      <w:r w:rsidR="00CD7A5D" w:rsidRPr="00107D2D">
        <w:rPr>
          <w:rFonts w:ascii="仿宋_GB2312" w:eastAsia="仿宋_GB2312" w:hint="eastAsia"/>
          <w:sz w:val="32"/>
          <w:szCs w:val="32"/>
          <w:lang w:val="zh-CN"/>
        </w:rPr>
        <w:t>车辆燃油费、维修费等</w:t>
      </w:r>
      <w:r w:rsidR="00CD7A5D">
        <w:rPr>
          <w:rFonts w:ascii="仿宋_GB2312" w:eastAsia="仿宋_GB2312" w:hint="eastAsia"/>
          <w:sz w:val="32"/>
          <w:szCs w:val="32"/>
          <w:lang w:val="zh-CN"/>
        </w:rPr>
        <w:t>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w:t>
      </w:r>
      <w:r w:rsidR="00107D2D">
        <w:rPr>
          <w:rFonts w:ascii="仿宋_GB2312" w:eastAsia="仿宋_GB2312" w:hint="eastAsia"/>
          <w:sz w:val="32"/>
          <w:szCs w:val="32"/>
          <w:lang w:val="zh-CN"/>
        </w:rPr>
        <w:t>项</w:t>
      </w:r>
      <w:r>
        <w:rPr>
          <w:rFonts w:ascii="仿宋_GB2312" w:eastAsia="仿宋_GB2312" w:hint="eastAsia"/>
          <w:sz w:val="32"/>
          <w:szCs w:val="32"/>
          <w:lang w:val="zh-CN"/>
        </w:rPr>
        <w:t>经费。</w:t>
      </w:r>
    </w:p>
    <w:p w14:paraId="6223BA5F" w14:textId="77777777" w:rsidR="000D7938"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0FB1C6DA" w14:textId="77777777" w:rsidR="000D7938"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322641BC" w14:textId="77777777" w:rsidR="000D7938"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00B4870B" w14:textId="77777777" w:rsidR="000D7938"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我单位本年度无国有资本经营预算财政拨款收入、支出及结转和结余，国有资本经营预算财政拨款收入支出决算表为空表。</w:t>
      </w:r>
    </w:p>
    <w:p w14:paraId="28AD57E3" w14:textId="77777777" w:rsidR="000D7938"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1D115D5C" w14:textId="77777777" w:rsidR="000D7938"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3E3752C0" w14:textId="77777777" w:rsidR="000D7938"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昌吉市第七小学（事业单位）公用经费支出149.90万元，</w:t>
      </w:r>
      <w:r>
        <w:rPr>
          <w:rFonts w:ascii="仿宋_GB2312" w:eastAsia="仿宋_GB2312" w:hAnsi="仿宋_GB2312" w:cs="仿宋_GB2312" w:hint="eastAsia"/>
          <w:sz w:val="32"/>
          <w:szCs w:val="32"/>
          <w:lang w:val="zh-CN"/>
        </w:rPr>
        <w:t>比上年增加18.01万元，增长13.66%，主要原因是：</w:t>
      </w:r>
      <w:r>
        <w:rPr>
          <w:rFonts w:ascii="仿宋_GB2312" w:eastAsia="仿宋_GB2312" w:hAnsi="仿宋_GB2312" w:cs="仿宋_GB2312" w:hint="eastAsia"/>
          <w:sz w:val="32"/>
          <w:szCs w:val="32"/>
        </w:rPr>
        <w:t>单位本年办公费、取暖费、维修费较上年增加</w:t>
      </w:r>
      <w:r>
        <w:rPr>
          <w:rFonts w:ascii="仿宋_GB2312" w:eastAsia="仿宋_GB2312" w:hAnsi="仿宋_GB2312" w:cs="仿宋_GB2312" w:hint="eastAsia"/>
          <w:sz w:val="32"/>
          <w:szCs w:val="32"/>
          <w:lang w:val="zh-CN"/>
        </w:rPr>
        <w:t>。</w:t>
      </w:r>
    </w:p>
    <w:p w14:paraId="6B6E540B" w14:textId="77777777" w:rsidR="000D7938"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029B2CAD" w14:textId="77777777" w:rsidR="000D7938"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2023年度政府采购支出总额89.75万元，其中：政府采购货物支出67.83万元、政府采购工程支出1.38万元、政府采购服务支出20.53万元。</w:t>
      </w:r>
    </w:p>
    <w:p w14:paraId="160D93EF" w14:textId="77777777" w:rsidR="000D7938"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授予中小企业合同金额68.83万元，占政府采购支出总额的76.69%，其中：授予小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合同金额68.83万元，占政府采购支出总额的76.69%</w:t>
      </w:r>
      <w:r>
        <w:rPr>
          <w:rFonts w:ascii="仿宋_GB2312" w:eastAsia="仿宋_GB2312" w:hAnsi="仿宋_GB2312" w:cs="仿宋_GB2312" w:hint="eastAsia"/>
          <w:sz w:val="32"/>
          <w:szCs w:val="32"/>
        </w:rPr>
        <w:t>。</w:t>
      </w:r>
    </w:p>
    <w:p w14:paraId="21F0FC50" w14:textId="77777777" w:rsidR="000D7938" w:rsidRDefault="00000000">
      <w:pPr>
        <w:ind w:firstLineChars="200" w:firstLine="640"/>
        <w:jc w:val="left"/>
        <w:rPr>
          <w:rFonts w:eastAsia="黑体"/>
          <w:sz w:val="32"/>
          <w:szCs w:val="30"/>
          <w:lang w:val="zh-CN"/>
        </w:rPr>
      </w:pPr>
      <w:bookmarkStart w:id="26" w:name="_Toc4591"/>
      <w:bookmarkStart w:id="27" w:name="_Toc8391"/>
      <w:r>
        <w:rPr>
          <w:rFonts w:eastAsia="黑体" w:hint="eastAsia"/>
          <w:sz w:val="32"/>
          <w:szCs w:val="30"/>
          <w:lang w:val="zh-CN"/>
        </w:rPr>
        <w:t>（三）国有资产占用情况说明</w:t>
      </w:r>
      <w:bookmarkEnd w:id="26"/>
      <w:bookmarkEnd w:id="27"/>
    </w:p>
    <w:p w14:paraId="350C544B" w14:textId="77777777" w:rsidR="000D7938"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2,177.68</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屋11,263.96平方米，价值1,366.47万元。车辆1辆，价值8.00万元，其中：副部（省）级及以上领导用车0辆、主要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w:t>
      </w:r>
      <w:r>
        <w:rPr>
          <w:rFonts w:ascii="仿宋_GB2312" w:eastAsia="仿宋_GB2312" w:hAnsi="仿宋_GB2312" w:cs="仿宋_GB2312" w:hint="eastAsia"/>
          <w:sz w:val="32"/>
          <w:szCs w:val="32"/>
        </w:rPr>
        <w:t>校车</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lang w:val="zh-CN"/>
        </w:rPr>
        <w:lastRenderedPageBreak/>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350A82CF" w14:textId="77777777" w:rsidR="000D7938"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6F491690" w14:textId="2DD7101A" w:rsidR="000D7938"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预算总额2,184.61万元，实际执行总额2,084.62万元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1个，全年预算数3.00万元，全年执行数3.00万元。预算绩效管理取得的成效：一是在项目执行预算过程中，认真贯彻落实“三重一大”制度，只要是涉及项目的工作，讨论研究，重大财务事项经集中研究决策；二是严格资金支出范围和审批程序，严肃财经纪律、规范财政支出行为和细化部门预算支出，资金使用无截留、挤占、挪用、虚列支出等情况。发现的问题及原因：一是工作机制有待进一步完善，在平时工作中需要加强绩效监控工作的重视；二是绩效监控工作容易滞后，未形成对绩效目标进行监控的习惯。下一步改进措施：一是加强项目负责人员和财务人员的沟通，建立良好的沟通机制，统一思想认识，共同做好项目绩效工作；二是加强项目绩效业务知识学习，真正了解项目绩效工作实质，准确填报相关信息，促进相关工作同步进行。具体项目自评情况附绩效自评表及自评报告。</w:t>
      </w:r>
    </w:p>
    <w:tbl>
      <w:tblPr>
        <w:tblW w:w="5000" w:type="pct"/>
        <w:jc w:val="center"/>
        <w:tblLayout w:type="fixed"/>
        <w:tblLook w:val="04A0" w:firstRow="1" w:lastRow="0" w:firstColumn="1" w:lastColumn="0" w:noHBand="0" w:noVBand="1"/>
      </w:tblPr>
      <w:tblGrid>
        <w:gridCol w:w="1440"/>
        <w:gridCol w:w="1131"/>
        <w:gridCol w:w="1160"/>
        <w:gridCol w:w="1077"/>
        <w:gridCol w:w="1083"/>
        <w:gridCol w:w="793"/>
        <w:gridCol w:w="916"/>
        <w:gridCol w:w="922"/>
      </w:tblGrid>
      <w:tr w:rsidR="000D7938" w14:paraId="5717F168" w14:textId="77777777">
        <w:trPr>
          <w:trHeight w:val="522"/>
          <w:jc w:val="center"/>
        </w:trPr>
        <w:tc>
          <w:tcPr>
            <w:tcW w:w="8522"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F38A92"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部门（单位）整体支出绩效目标自评表</w:t>
            </w:r>
          </w:p>
        </w:tc>
      </w:tr>
      <w:tr w:rsidR="000D7938" w14:paraId="0DDF6C94" w14:textId="77777777">
        <w:trPr>
          <w:trHeight w:val="360"/>
          <w:jc w:val="center"/>
        </w:trPr>
        <w:tc>
          <w:tcPr>
            <w:tcW w:w="8522"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9511F9"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（2023年度）</w:t>
            </w:r>
          </w:p>
        </w:tc>
      </w:tr>
      <w:tr w:rsidR="000D7938" w14:paraId="440A49AC" w14:textId="77777777">
        <w:trPr>
          <w:trHeight w:val="660"/>
          <w:jc w:val="center"/>
        </w:trPr>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552B8D"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部门（单位）名称</w:t>
            </w:r>
          </w:p>
        </w:tc>
        <w:tc>
          <w:tcPr>
            <w:tcW w:w="7082" w:type="dxa"/>
            <w:gridSpan w:val="7"/>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74AC7F"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昌吉市第七小学</w:t>
            </w:r>
          </w:p>
        </w:tc>
      </w:tr>
      <w:tr w:rsidR="000D7938" w14:paraId="67C800EE" w14:textId="77777777">
        <w:trPr>
          <w:trHeight w:val="570"/>
          <w:jc w:val="center"/>
        </w:trPr>
        <w:tc>
          <w:tcPr>
            <w:tcW w:w="14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9B9148A"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部门资金（万元）</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55CFCB"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资金来源</w:t>
            </w:r>
          </w:p>
        </w:tc>
        <w:tc>
          <w:tcPr>
            <w:tcW w:w="11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117A88"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年初预算数</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96A0CE"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全年预算数</w:t>
            </w:r>
          </w:p>
        </w:tc>
        <w:tc>
          <w:tcPr>
            <w:tcW w:w="10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A3B9CE"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全年执行数</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1BEBCD"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分值权重</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320641"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执行率</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26C7B4"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r>
      <w:tr w:rsidR="000D7938" w14:paraId="7A0551E8" w14:textId="77777777">
        <w:trPr>
          <w:trHeight w:val="880"/>
          <w:jc w:val="center"/>
        </w:trPr>
        <w:tc>
          <w:tcPr>
            <w:tcW w:w="14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D8A1AB" w14:textId="77777777" w:rsidR="000D7938" w:rsidRDefault="000D7938">
            <w:pPr>
              <w:jc w:val="center"/>
              <w:rPr>
                <w:rFonts w:ascii="宋体" w:hAnsi="宋体" w:cs="宋体" w:hint="eastAsia"/>
                <w:color w:val="000000"/>
                <w:sz w:val="20"/>
                <w:szCs w:val="20"/>
              </w:rPr>
            </w:pP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BF1CF3"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中央安排</w:t>
            </w:r>
          </w:p>
        </w:tc>
        <w:tc>
          <w:tcPr>
            <w:tcW w:w="11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C66B9F"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1B8855"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0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49E8FD"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7C1006"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7F6F0E"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95.42%</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D41A65"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9.5</w:t>
            </w:r>
          </w:p>
        </w:tc>
      </w:tr>
      <w:tr w:rsidR="000D7938" w14:paraId="5689595D" w14:textId="77777777">
        <w:trPr>
          <w:trHeight w:val="880"/>
          <w:jc w:val="center"/>
        </w:trPr>
        <w:tc>
          <w:tcPr>
            <w:tcW w:w="14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241A7B" w14:textId="77777777" w:rsidR="000D7938" w:rsidRDefault="000D7938">
            <w:pPr>
              <w:jc w:val="center"/>
              <w:rPr>
                <w:rFonts w:ascii="宋体" w:hAnsi="宋体" w:cs="宋体" w:hint="eastAsia"/>
                <w:color w:val="000000"/>
                <w:sz w:val="20"/>
                <w:szCs w:val="20"/>
              </w:rPr>
            </w:pP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18BB6C"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自治区安排</w:t>
            </w:r>
          </w:p>
        </w:tc>
        <w:tc>
          <w:tcPr>
            <w:tcW w:w="11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DAF6CE"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3AE4C5"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0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6752A6"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DA9887"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1A2E04"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64010E"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0D7938" w14:paraId="411DC7A8" w14:textId="77777777">
        <w:trPr>
          <w:trHeight w:val="880"/>
          <w:jc w:val="center"/>
        </w:trPr>
        <w:tc>
          <w:tcPr>
            <w:tcW w:w="14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363879" w14:textId="77777777" w:rsidR="000D7938" w:rsidRDefault="000D7938">
            <w:pPr>
              <w:jc w:val="center"/>
              <w:rPr>
                <w:rFonts w:ascii="宋体" w:hAnsi="宋体" w:cs="宋体" w:hint="eastAsia"/>
                <w:color w:val="000000"/>
                <w:sz w:val="20"/>
                <w:szCs w:val="20"/>
              </w:rPr>
            </w:pP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21652E"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地（州、市）安排</w:t>
            </w:r>
          </w:p>
        </w:tc>
        <w:tc>
          <w:tcPr>
            <w:tcW w:w="11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336CDA"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E3CA8C"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37.56</w:t>
            </w:r>
          </w:p>
        </w:tc>
        <w:tc>
          <w:tcPr>
            <w:tcW w:w="10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DE5784"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37.56</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D04A22"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B8B266"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A0C7CC"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0D7938" w14:paraId="08690F59" w14:textId="77777777">
        <w:trPr>
          <w:trHeight w:val="880"/>
          <w:jc w:val="center"/>
        </w:trPr>
        <w:tc>
          <w:tcPr>
            <w:tcW w:w="14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815D1C" w14:textId="77777777" w:rsidR="000D7938" w:rsidRDefault="000D7938">
            <w:pPr>
              <w:jc w:val="center"/>
              <w:rPr>
                <w:rFonts w:ascii="宋体" w:hAnsi="宋体" w:cs="宋体" w:hint="eastAsia"/>
                <w:color w:val="000000"/>
                <w:sz w:val="20"/>
                <w:szCs w:val="20"/>
              </w:rPr>
            </w:pP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DDD649"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县（市、区）安排</w:t>
            </w:r>
          </w:p>
        </w:tc>
        <w:tc>
          <w:tcPr>
            <w:tcW w:w="11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728390"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1,670.99</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2E0B5F"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2,147.05</w:t>
            </w:r>
          </w:p>
        </w:tc>
        <w:tc>
          <w:tcPr>
            <w:tcW w:w="10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77101C"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2,047.06</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B1B86C" w14:textId="77777777" w:rsidR="000D7938" w:rsidRDefault="00000000">
            <w:pPr>
              <w:jc w:val="center"/>
              <w:rPr>
                <w:rFonts w:ascii="宋体" w:hAnsi="宋体" w:cs="宋体" w:hint="eastAsia"/>
                <w:color w:val="000000"/>
                <w:sz w:val="20"/>
                <w:szCs w:val="20"/>
              </w:rPr>
            </w:pPr>
            <w:r>
              <w:rPr>
                <w:rFonts w:ascii="宋体" w:hAnsi="宋体" w:cs="宋体" w:hint="eastAsia"/>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FCCE32" w14:textId="77777777" w:rsidR="000D7938" w:rsidRDefault="00000000">
            <w:pPr>
              <w:jc w:val="center"/>
              <w:rPr>
                <w:rFonts w:ascii="宋体" w:hAnsi="宋体" w:cs="宋体" w:hint="eastAsia"/>
                <w:color w:val="000000"/>
                <w:sz w:val="20"/>
                <w:szCs w:val="20"/>
              </w:rPr>
            </w:pPr>
            <w:r>
              <w:rPr>
                <w:rFonts w:ascii="宋体" w:hAnsi="宋体" w:cs="宋体" w:hint="eastAsia"/>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7F082A" w14:textId="77777777" w:rsidR="000D7938" w:rsidRDefault="00000000">
            <w:pPr>
              <w:jc w:val="center"/>
              <w:rPr>
                <w:rFonts w:ascii="宋体" w:hAnsi="宋体" w:cs="宋体" w:hint="eastAsia"/>
                <w:color w:val="000000"/>
                <w:sz w:val="20"/>
                <w:szCs w:val="20"/>
              </w:rPr>
            </w:pPr>
            <w:r>
              <w:rPr>
                <w:rFonts w:ascii="宋体" w:hAnsi="宋体" w:cs="宋体" w:hint="eastAsia"/>
              </w:rPr>
              <w:t>-</w:t>
            </w:r>
          </w:p>
        </w:tc>
      </w:tr>
      <w:tr w:rsidR="000D7938" w14:paraId="57693F62" w14:textId="77777777">
        <w:trPr>
          <w:trHeight w:val="880"/>
          <w:jc w:val="center"/>
        </w:trPr>
        <w:tc>
          <w:tcPr>
            <w:tcW w:w="14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7E85E0" w14:textId="77777777" w:rsidR="000D7938" w:rsidRDefault="000D7938">
            <w:pPr>
              <w:jc w:val="center"/>
              <w:rPr>
                <w:rFonts w:ascii="宋体" w:hAnsi="宋体" w:cs="宋体" w:hint="eastAsia"/>
                <w:color w:val="000000"/>
                <w:sz w:val="20"/>
                <w:szCs w:val="20"/>
              </w:rPr>
            </w:pP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E2B339"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其他资金</w:t>
            </w:r>
          </w:p>
        </w:tc>
        <w:tc>
          <w:tcPr>
            <w:tcW w:w="11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026B2B"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D64C2E"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0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35486C"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280430" w14:textId="77777777" w:rsidR="000D7938" w:rsidRDefault="00000000">
            <w:pPr>
              <w:jc w:val="center"/>
              <w:rPr>
                <w:rFonts w:ascii="宋体" w:hAnsi="宋体" w:cs="宋体" w:hint="eastAsia"/>
                <w:color w:val="000000"/>
                <w:sz w:val="20"/>
                <w:szCs w:val="20"/>
              </w:rPr>
            </w:pPr>
            <w:r>
              <w:rPr>
                <w:rFonts w:ascii="宋体" w:hAnsi="宋体" w:cs="宋体" w:hint="eastAsia"/>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35A50A" w14:textId="77777777" w:rsidR="000D7938" w:rsidRDefault="00000000">
            <w:pPr>
              <w:jc w:val="center"/>
              <w:rPr>
                <w:rFonts w:ascii="宋体" w:hAnsi="宋体" w:cs="宋体" w:hint="eastAsia"/>
                <w:color w:val="000000"/>
                <w:sz w:val="20"/>
                <w:szCs w:val="20"/>
              </w:rPr>
            </w:pPr>
            <w:r>
              <w:rPr>
                <w:rFonts w:ascii="宋体" w:hAnsi="宋体" w:cs="宋体" w:hint="eastAsia"/>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09575C" w14:textId="77777777" w:rsidR="000D7938" w:rsidRDefault="00000000">
            <w:pPr>
              <w:jc w:val="center"/>
              <w:rPr>
                <w:rFonts w:ascii="宋体" w:hAnsi="宋体" w:cs="宋体" w:hint="eastAsia"/>
                <w:color w:val="000000"/>
                <w:sz w:val="20"/>
                <w:szCs w:val="20"/>
              </w:rPr>
            </w:pPr>
            <w:r>
              <w:rPr>
                <w:rFonts w:ascii="宋体" w:hAnsi="宋体" w:cs="宋体" w:hint="eastAsia"/>
              </w:rPr>
              <w:t>-</w:t>
            </w:r>
          </w:p>
        </w:tc>
      </w:tr>
      <w:tr w:rsidR="000D7938" w14:paraId="3D7B7E86" w14:textId="77777777">
        <w:trPr>
          <w:trHeight w:val="880"/>
          <w:jc w:val="center"/>
        </w:trPr>
        <w:tc>
          <w:tcPr>
            <w:tcW w:w="14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B18012" w14:textId="77777777" w:rsidR="000D7938" w:rsidRDefault="000D7938">
            <w:pPr>
              <w:jc w:val="center"/>
              <w:rPr>
                <w:rFonts w:ascii="宋体" w:hAnsi="宋体" w:cs="宋体" w:hint="eastAsia"/>
                <w:color w:val="000000"/>
                <w:sz w:val="20"/>
                <w:szCs w:val="20"/>
              </w:rPr>
            </w:pP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8B1AD6"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合计</w:t>
            </w:r>
          </w:p>
        </w:tc>
        <w:tc>
          <w:tcPr>
            <w:tcW w:w="11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917DF3"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1,670.99</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99B6EE"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2,184.61</w:t>
            </w:r>
          </w:p>
        </w:tc>
        <w:tc>
          <w:tcPr>
            <w:tcW w:w="10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0BB8A1"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2,084.62</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B6CF1B"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3417C0"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7FEB87"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0D7938" w14:paraId="48354E9A" w14:textId="77777777">
        <w:trPr>
          <w:trHeight w:val="705"/>
          <w:jc w:val="center"/>
        </w:trPr>
        <w:tc>
          <w:tcPr>
            <w:tcW w:w="14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5B1A469"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年度总体目标</w:t>
            </w:r>
          </w:p>
        </w:tc>
        <w:tc>
          <w:tcPr>
            <w:tcW w:w="336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FD1FCB"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预期目标</w:t>
            </w:r>
          </w:p>
        </w:tc>
        <w:tc>
          <w:tcPr>
            <w:tcW w:w="3714"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B98BCE"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实际完成情况</w:t>
            </w:r>
          </w:p>
        </w:tc>
      </w:tr>
      <w:tr w:rsidR="000D7938" w14:paraId="71D07417" w14:textId="77777777">
        <w:trPr>
          <w:trHeight w:val="2000"/>
          <w:jc w:val="center"/>
        </w:trPr>
        <w:tc>
          <w:tcPr>
            <w:tcW w:w="14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155205" w14:textId="77777777" w:rsidR="000D7938" w:rsidRDefault="000D7938">
            <w:pPr>
              <w:jc w:val="center"/>
              <w:rPr>
                <w:rFonts w:ascii="宋体" w:hAnsi="宋体" w:cs="宋体" w:hint="eastAsia"/>
                <w:color w:val="000000"/>
                <w:sz w:val="20"/>
                <w:szCs w:val="20"/>
              </w:rPr>
            </w:pPr>
          </w:p>
        </w:tc>
        <w:tc>
          <w:tcPr>
            <w:tcW w:w="336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CF86F1F" w14:textId="77777777" w:rsidR="000D7938"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 xml:space="preserve">目标1:保障部门单位人员137人，发放工资福利1584.15万元，办公经费86.83万元，使教育教学得到保障； </w:t>
            </w:r>
          </w:p>
          <w:p w14:paraId="31CBC1EB" w14:textId="77777777" w:rsidR="000D7938"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 xml:space="preserve">目标2:通过完成在校学生教育1735人，提高昌吉市教育水平。 </w:t>
            </w:r>
          </w:p>
          <w:p w14:paraId="70DB1D0D" w14:textId="77777777" w:rsidR="000D7938"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 xml:space="preserve">目标3:通过完成学年内小学结业学生322人，达成义务教育的目标，解决升学问题。 </w:t>
            </w:r>
          </w:p>
          <w:p w14:paraId="20F65CE8"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目标4：通过完成学年内新入学学生189人，达成义务教育的目的，解决就学问题。</w:t>
            </w:r>
          </w:p>
        </w:tc>
        <w:tc>
          <w:tcPr>
            <w:tcW w:w="371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656FA63"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截止评价日，已按年度计划完成人员工资福利的发放，合理合</w:t>
            </w:r>
            <w:proofErr w:type="gramStart"/>
            <w:r>
              <w:rPr>
                <w:rFonts w:ascii="宋体" w:hAnsi="宋体" w:cs="宋体" w:hint="eastAsia"/>
                <w:color w:val="000000"/>
                <w:kern w:val="0"/>
                <w:sz w:val="20"/>
                <w:szCs w:val="20"/>
                <w:lang w:bidi="ar"/>
              </w:rPr>
              <w:t>规</w:t>
            </w:r>
            <w:proofErr w:type="gramEnd"/>
            <w:r>
              <w:rPr>
                <w:rFonts w:ascii="宋体" w:hAnsi="宋体" w:cs="宋体" w:hint="eastAsia"/>
                <w:color w:val="000000"/>
                <w:kern w:val="0"/>
                <w:sz w:val="20"/>
                <w:szCs w:val="20"/>
                <w:lang w:bidi="ar"/>
              </w:rPr>
              <w:t>使用办公经费，有效保障了教育教学活动的开展。</w:t>
            </w:r>
          </w:p>
        </w:tc>
      </w:tr>
      <w:tr w:rsidR="000D7938" w14:paraId="034A8830" w14:textId="77777777">
        <w:trPr>
          <w:trHeight w:val="580"/>
          <w:jc w:val="center"/>
        </w:trPr>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02852C"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一级指标</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BBDBB3"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二级指标</w:t>
            </w:r>
          </w:p>
        </w:tc>
        <w:tc>
          <w:tcPr>
            <w:tcW w:w="11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E83F63"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三级指标</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D49F3F"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预期指标值</w:t>
            </w:r>
          </w:p>
        </w:tc>
        <w:tc>
          <w:tcPr>
            <w:tcW w:w="10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EDE50B"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指标值设定依据</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789077"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分值权重</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B0B49"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实际完成指标值</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FCB222"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r>
      <w:tr w:rsidR="000D7938" w14:paraId="0DC8DD17" w14:textId="77777777">
        <w:trPr>
          <w:trHeight w:val="740"/>
          <w:jc w:val="center"/>
        </w:trPr>
        <w:tc>
          <w:tcPr>
            <w:tcW w:w="14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D575800"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运行成本</w:t>
            </w:r>
          </w:p>
        </w:tc>
        <w:tc>
          <w:tcPr>
            <w:tcW w:w="113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AD7EB8A"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11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74016C"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保障办公人员数量</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67627B"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=137人</w:t>
            </w:r>
          </w:p>
        </w:tc>
        <w:tc>
          <w:tcPr>
            <w:tcW w:w="10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39BEC9"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58DE0A"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4B083D"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97人</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87E780"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8.5</w:t>
            </w:r>
          </w:p>
        </w:tc>
      </w:tr>
      <w:tr w:rsidR="000D7938" w14:paraId="74B594F5" w14:textId="77777777">
        <w:trPr>
          <w:trHeight w:val="740"/>
          <w:jc w:val="center"/>
        </w:trPr>
        <w:tc>
          <w:tcPr>
            <w:tcW w:w="14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D668AF" w14:textId="77777777" w:rsidR="000D7938" w:rsidRDefault="000D7938">
            <w:pPr>
              <w:jc w:val="center"/>
              <w:rPr>
                <w:rFonts w:ascii="宋体" w:hAnsi="宋体" w:cs="宋体" w:hint="eastAsia"/>
                <w:color w:val="000000"/>
                <w:sz w:val="20"/>
                <w:szCs w:val="20"/>
              </w:rPr>
            </w:pPr>
          </w:p>
        </w:tc>
        <w:tc>
          <w:tcPr>
            <w:tcW w:w="113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57AFDA8" w14:textId="77777777" w:rsidR="000D7938" w:rsidRDefault="000D7938">
            <w:pPr>
              <w:jc w:val="center"/>
              <w:rPr>
                <w:rFonts w:ascii="宋体" w:hAnsi="宋体" w:cs="宋体" w:hint="eastAsia"/>
                <w:color w:val="000000"/>
                <w:sz w:val="20"/>
                <w:szCs w:val="20"/>
              </w:rPr>
            </w:pPr>
          </w:p>
        </w:tc>
        <w:tc>
          <w:tcPr>
            <w:tcW w:w="11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61E813"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公务保障用车数量</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111D22"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=1辆</w:t>
            </w:r>
          </w:p>
        </w:tc>
        <w:tc>
          <w:tcPr>
            <w:tcW w:w="10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978156"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定编情况</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498DDE"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D45E63"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359C30"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w:t>
            </w:r>
          </w:p>
        </w:tc>
      </w:tr>
      <w:tr w:rsidR="000D7938" w14:paraId="50372BAB" w14:textId="77777777">
        <w:trPr>
          <w:trHeight w:val="740"/>
          <w:jc w:val="center"/>
        </w:trPr>
        <w:tc>
          <w:tcPr>
            <w:tcW w:w="14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206BB1" w14:textId="77777777" w:rsidR="000D7938" w:rsidRDefault="000D7938">
            <w:pPr>
              <w:jc w:val="center"/>
              <w:rPr>
                <w:rFonts w:ascii="宋体" w:hAnsi="宋体" w:cs="宋体" w:hint="eastAsia"/>
                <w:color w:val="000000"/>
                <w:sz w:val="20"/>
                <w:szCs w:val="20"/>
              </w:rPr>
            </w:pPr>
          </w:p>
        </w:tc>
        <w:tc>
          <w:tcPr>
            <w:tcW w:w="113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D06CB1" w14:textId="77777777" w:rsidR="000D7938" w:rsidRDefault="000D7938">
            <w:pPr>
              <w:jc w:val="center"/>
              <w:rPr>
                <w:rFonts w:ascii="宋体" w:hAnsi="宋体" w:cs="宋体" w:hint="eastAsia"/>
                <w:color w:val="000000"/>
                <w:sz w:val="20"/>
                <w:szCs w:val="20"/>
              </w:rPr>
            </w:pPr>
          </w:p>
        </w:tc>
        <w:tc>
          <w:tcPr>
            <w:tcW w:w="11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E6CB33"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房屋建筑物供暖面积</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0E119B"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=10824.95平方米</w:t>
            </w:r>
          </w:p>
        </w:tc>
        <w:tc>
          <w:tcPr>
            <w:tcW w:w="10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C65C58"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采暖缴费发票</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D19188"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C8E805"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10824.95平方米</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79EAF3"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0D7938" w14:paraId="48D8B069" w14:textId="77777777">
        <w:trPr>
          <w:trHeight w:val="740"/>
          <w:jc w:val="center"/>
        </w:trPr>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930C38"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管理效率</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48BD05"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质量指标</w:t>
            </w:r>
          </w:p>
        </w:tc>
        <w:tc>
          <w:tcPr>
            <w:tcW w:w="11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8729C"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资金使用合</w:t>
            </w:r>
            <w:proofErr w:type="gramStart"/>
            <w:r>
              <w:rPr>
                <w:rFonts w:ascii="宋体" w:hAnsi="宋体" w:cs="宋体" w:hint="eastAsia"/>
                <w:color w:val="000000"/>
                <w:kern w:val="0"/>
                <w:sz w:val="20"/>
                <w:szCs w:val="20"/>
                <w:lang w:bidi="ar"/>
              </w:rPr>
              <w:t>规</w:t>
            </w:r>
            <w:proofErr w:type="gramEnd"/>
            <w:r>
              <w:rPr>
                <w:rFonts w:ascii="宋体" w:hAnsi="宋体" w:cs="宋体" w:hint="eastAsia"/>
                <w:color w:val="000000"/>
                <w:kern w:val="0"/>
                <w:sz w:val="20"/>
                <w:szCs w:val="20"/>
                <w:lang w:bidi="ar"/>
              </w:rPr>
              <w:t>率</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A1A602"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10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6A84AD"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资金管理办法</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70B48A"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CB0E36"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ED2606"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0D7938" w14:paraId="6DC1A710" w14:textId="77777777">
        <w:trPr>
          <w:trHeight w:val="740"/>
          <w:jc w:val="center"/>
        </w:trPr>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F48C47"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履职效能</w:t>
            </w:r>
          </w:p>
        </w:tc>
        <w:tc>
          <w:tcPr>
            <w:tcW w:w="113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FB65B5B"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11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DB8A8E"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完成在校学生教育数量</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5F0A8E"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=1735人</w:t>
            </w:r>
          </w:p>
        </w:tc>
        <w:tc>
          <w:tcPr>
            <w:tcW w:w="10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24C06D"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71A72"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BE6335"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1754</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F088EB"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0D7938" w14:paraId="770E8B07" w14:textId="77777777">
        <w:trPr>
          <w:trHeight w:val="740"/>
          <w:jc w:val="center"/>
        </w:trPr>
        <w:tc>
          <w:tcPr>
            <w:tcW w:w="14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9330F38"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社会效益</w:t>
            </w:r>
          </w:p>
        </w:tc>
        <w:tc>
          <w:tcPr>
            <w:tcW w:w="113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DB9B4D" w14:textId="77777777" w:rsidR="000D7938" w:rsidRDefault="000D7938">
            <w:pPr>
              <w:jc w:val="center"/>
              <w:rPr>
                <w:rFonts w:ascii="宋体" w:hAnsi="宋体" w:cs="宋体" w:hint="eastAsia"/>
                <w:color w:val="000000"/>
                <w:sz w:val="20"/>
                <w:szCs w:val="20"/>
              </w:rPr>
            </w:pPr>
          </w:p>
        </w:tc>
        <w:tc>
          <w:tcPr>
            <w:tcW w:w="11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E1CF82"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完成学年内小学结业学生人数</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E295DB"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=322人</w:t>
            </w:r>
          </w:p>
        </w:tc>
        <w:tc>
          <w:tcPr>
            <w:tcW w:w="10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9BAE0D"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710B1C"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3D13F"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320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3F0778"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0D7938" w14:paraId="414406F8" w14:textId="77777777">
        <w:trPr>
          <w:trHeight w:val="740"/>
          <w:jc w:val="center"/>
        </w:trPr>
        <w:tc>
          <w:tcPr>
            <w:tcW w:w="14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F87A84" w14:textId="77777777" w:rsidR="000D7938" w:rsidRDefault="000D7938">
            <w:pPr>
              <w:jc w:val="center"/>
              <w:rPr>
                <w:rFonts w:ascii="宋体" w:hAnsi="宋体" w:cs="宋体" w:hint="eastAsia"/>
                <w:color w:val="000000"/>
                <w:sz w:val="20"/>
                <w:szCs w:val="20"/>
              </w:rPr>
            </w:pP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80CDE0"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质量指标</w:t>
            </w:r>
          </w:p>
        </w:tc>
        <w:tc>
          <w:tcPr>
            <w:tcW w:w="11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6705DB"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结业完成率</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588996"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10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A30FF7"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A853B8"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A07D49"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F2F8EA"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0D7938" w14:paraId="6CBDD274" w14:textId="77777777">
        <w:trPr>
          <w:trHeight w:val="740"/>
          <w:jc w:val="center"/>
        </w:trPr>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CC4064"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可持续发展能力</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CF3689"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11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6C096D"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学年内新入学学生人数</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B26467"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=189人</w:t>
            </w:r>
          </w:p>
        </w:tc>
        <w:tc>
          <w:tcPr>
            <w:tcW w:w="10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C29A09"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9C2435"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25F666"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251</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6A6552"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7.39</w:t>
            </w:r>
          </w:p>
        </w:tc>
      </w:tr>
      <w:tr w:rsidR="000D7938" w14:paraId="337BE2D5" w14:textId="77777777">
        <w:trPr>
          <w:trHeight w:val="740"/>
          <w:jc w:val="center"/>
        </w:trPr>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3F99E9" w14:textId="77777777" w:rsidR="000D7938"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服务对象满意度</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005D88" w14:textId="77777777" w:rsidR="000D7938" w:rsidRDefault="000D7938">
            <w:pPr>
              <w:jc w:val="center"/>
              <w:rPr>
                <w:rFonts w:ascii="宋体" w:hAnsi="宋体" w:cs="宋体" w:hint="eastAsia"/>
                <w:color w:val="000000"/>
                <w:sz w:val="20"/>
                <w:szCs w:val="20"/>
              </w:rPr>
            </w:pPr>
          </w:p>
        </w:tc>
        <w:tc>
          <w:tcPr>
            <w:tcW w:w="11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10F4BD" w14:textId="77777777" w:rsidR="000D7938" w:rsidRDefault="000D7938">
            <w:pPr>
              <w:jc w:val="center"/>
              <w:rPr>
                <w:rFonts w:ascii="宋体" w:hAnsi="宋体" w:cs="宋体" w:hint="eastAsia"/>
                <w:color w:val="000000"/>
                <w:sz w:val="20"/>
                <w:szCs w:val="20"/>
              </w:rPr>
            </w:pP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89B154" w14:textId="77777777" w:rsidR="000D7938" w:rsidRDefault="000D7938">
            <w:pPr>
              <w:jc w:val="center"/>
              <w:rPr>
                <w:rFonts w:ascii="宋体" w:hAnsi="宋体" w:cs="宋体" w:hint="eastAsia"/>
                <w:color w:val="000000"/>
                <w:sz w:val="20"/>
                <w:szCs w:val="20"/>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64C5F9" w14:textId="77777777" w:rsidR="000D7938" w:rsidRDefault="000D7938">
            <w:pPr>
              <w:jc w:val="center"/>
              <w:rPr>
                <w:rFonts w:ascii="宋体" w:hAnsi="宋体" w:cs="宋体" w:hint="eastAsia"/>
                <w:color w:val="000000"/>
                <w:sz w:val="20"/>
                <w:szCs w:val="20"/>
              </w:rPr>
            </w:pP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0BAF02" w14:textId="77777777" w:rsidR="000D7938" w:rsidRDefault="000D7938">
            <w:pPr>
              <w:jc w:val="center"/>
              <w:rPr>
                <w:rFonts w:ascii="宋体" w:hAnsi="宋体" w:cs="宋体" w:hint="eastAsia"/>
                <w:color w:val="00000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45B97E" w14:textId="77777777" w:rsidR="000D7938" w:rsidRDefault="000D7938">
            <w:pPr>
              <w:jc w:val="center"/>
              <w:rPr>
                <w:rFonts w:ascii="宋体" w:hAnsi="宋体" w:cs="宋体" w:hint="eastAsia"/>
                <w:color w:val="000000"/>
                <w:sz w:val="20"/>
                <w:szCs w:val="20"/>
              </w:rPr>
            </w:pP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E9E179" w14:textId="77777777" w:rsidR="000D7938" w:rsidRDefault="000D7938">
            <w:pPr>
              <w:jc w:val="center"/>
              <w:rPr>
                <w:rFonts w:ascii="宋体" w:hAnsi="宋体" w:cs="宋体" w:hint="eastAsia"/>
                <w:color w:val="000000"/>
                <w:sz w:val="20"/>
                <w:szCs w:val="20"/>
              </w:rPr>
            </w:pPr>
          </w:p>
        </w:tc>
      </w:tr>
    </w:tbl>
    <w:p w14:paraId="32B9D33B" w14:textId="77777777" w:rsidR="000D7938" w:rsidRDefault="000D7938">
      <w:pPr>
        <w:jc w:val="left"/>
        <w:rPr>
          <w:rFonts w:ascii="宋体" w:hAnsi="宋体" w:cs="宋体" w:hint="eastAsia"/>
          <w:b/>
          <w:bCs/>
          <w:kern w:val="0"/>
          <w:sz w:val="18"/>
          <w:szCs w:val="18"/>
        </w:rPr>
      </w:pPr>
    </w:p>
    <w:p w14:paraId="1DE94DB6" w14:textId="77777777" w:rsidR="000D7938"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1A56F957" w14:textId="77777777" w:rsidR="000D7938"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5000" w:type="pct"/>
        <w:jc w:val="center"/>
        <w:tblLayout w:type="fixed"/>
        <w:tblLook w:val="04A0" w:firstRow="1" w:lastRow="0" w:firstColumn="1" w:lastColumn="0" w:noHBand="0" w:noVBand="1"/>
      </w:tblPr>
      <w:tblGrid>
        <w:gridCol w:w="489"/>
        <w:gridCol w:w="567"/>
        <w:gridCol w:w="574"/>
        <w:gridCol w:w="618"/>
        <w:gridCol w:w="1239"/>
        <w:gridCol w:w="1125"/>
        <w:gridCol w:w="1229"/>
        <w:gridCol w:w="46"/>
        <w:gridCol w:w="555"/>
        <w:gridCol w:w="334"/>
        <w:gridCol w:w="234"/>
        <w:gridCol w:w="542"/>
        <w:gridCol w:w="970"/>
      </w:tblGrid>
      <w:tr w:rsidR="000D7938" w14:paraId="0382EAD2" w14:textId="77777777">
        <w:trPr>
          <w:cantSplit/>
          <w:trHeight w:val="500"/>
          <w:jc w:val="center"/>
        </w:trPr>
        <w:tc>
          <w:tcPr>
            <w:tcW w:w="105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A83741" w14:textId="77777777" w:rsidR="000D7938"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466" w:type="dxa"/>
            <w:gridSpan w:val="11"/>
            <w:tcBorders>
              <w:top w:val="single" w:sz="4" w:space="0" w:color="auto"/>
              <w:left w:val="nil"/>
              <w:bottom w:val="single" w:sz="4" w:space="0" w:color="auto"/>
              <w:right w:val="single" w:sz="4" w:space="0" w:color="000000"/>
            </w:tcBorders>
            <w:shd w:val="clear" w:color="auto" w:fill="auto"/>
            <w:vAlign w:val="center"/>
          </w:tcPr>
          <w:p w14:paraId="715C7860" w14:textId="77777777" w:rsidR="000D7938"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2023年教育系统州级人才工作室和“庭州名师”育才专项经费</w:t>
            </w:r>
          </w:p>
        </w:tc>
      </w:tr>
      <w:tr w:rsidR="000D7938" w14:paraId="382C0E90" w14:textId="77777777">
        <w:trPr>
          <w:cantSplit/>
          <w:trHeight w:val="500"/>
          <w:jc w:val="center"/>
        </w:trPr>
        <w:tc>
          <w:tcPr>
            <w:tcW w:w="105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0773C26" w14:textId="77777777" w:rsidR="000D7938"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556" w:type="dxa"/>
            <w:gridSpan w:val="4"/>
            <w:tcBorders>
              <w:top w:val="single" w:sz="4" w:space="0" w:color="auto"/>
              <w:left w:val="nil"/>
              <w:bottom w:val="single" w:sz="4" w:space="0" w:color="auto"/>
              <w:right w:val="single" w:sz="4" w:space="0" w:color="000000"/>
            </w:tcBorders>
            <w:shd w:val="clear" w:color="auto" w:fill="auto"/>
            <w:vAlign w:val="center"/>
          </w:tcPr>
          <w:p w14:paraId="094B710C" w14:textId="77777777" w:rsidR="000D7938"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昌吉市第七小学</w:t>
            </w:r>
          </w:p>
        </w:tc>
        <w:tc>
          <w:tcPr>
            <w:tcW w:w="1275" w:type="dxa"/>
            <w:gridSpan w:val="2"/>
            <w:tcBorders>
              <w:top w:val="nil"/>
              <w:left w:val="nil"/>
              <w:bottom w:val="single" w:sz="4" w:space="0" w:color="auto"/>
              <w:right w:val="single" w:sz="4" w:space="0" w:color="000000"/>
            </w:tcBorders>
            <w:shd w:val="clear" w:color="auto" w:fill="auto"/>
            <w:vAlign w:val="center"/>
          </w:tcPr>
          <w:p w14:paraId="2E3C9AC6" w14:textId="77777777" w:rsidR="000D7938"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635" w:type="dxa"/>
            <w:gridSpan w:val="5"/>
            <w:tcBorders>
              <w:top w:val="nil"/>
              <w:left w:val="nil"/>
              <w:bottom w:val="single" w:sz="4" w:space="0" w:color="auto"/>
              <w:right w:val="single" w:sz="4" w:space="0" w:color="000000"/>
            </w:tcBorders>
            <w:shd w:val="clear" w:color="auto" w:fill="auto"/>
            <w:vAlign w:val="center"/>
          </w:tcPr>
          <w:p w14:paraId="660A675B" w14:textId="77777777" w:rsidR="000D7938"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昌吉市第七小学</w:t>
            </w:r>
          </w:p>
        </w:tc>
      </w:tr>
      <w:tr w:rsidR="000D7938" w14:paraId="4C1A41BA" w14:textId="77777777">
        <w:trPr>
          <w:cantSplit/>
          <w:trHeight w:val="500"/>
          <w:jc w:val="center"/>
        </w:trPr>
        <w:tc>
          <w:tcPr>
            <w:tcW w:w="105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D37717F" w14:textId="77777777" w:rsidR="000D7938"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项目资金（万元）</w:t>
            </w:r>
          </w:p>
        </w:tc>
        <w:tc>
          <w:tcPr>
            <w:tcW w:w="1192" w:type="dxa"/>
            <w:gridSpan w:val="2"/>
            <w:tcBorders>
              <w:top w:val="single" w:sz="4" w:space="0" w:color="auto"/>
              <w:left w:val="nil"/>
              <w:bottom w:val="single" w:sz="4" w:space="0" w:color="auto"/>
              <w:right w:val="single" w:sz="4" w:space="0" w:color="auto"/>
            </w:tcBorders>
            <w:shd w:val="clear" w:color="auto" w:fill="auto"/>
            <w:vAlign w:val="center"/>
          </w:tcPr>
          <w:p w14:paraId="2309DE0B" w14:textId="77777777" w:rsidR="000D7938" w:rsidRDefault="000D7938">
            <w:pPr>
              <w:widowControl/>
              <w:jc w:val="center"/>
              <w:rPr>
                <w:rFonts w:ascii="宋体" w:hAnsi="宋体" w:cs="宋体" w:hint="eastAsia"/>
                <w:color w:val="000000"/>
                <w:kern w:val="0"/>
                <w:sz w:val="20"/>
                <w:szCs w:val="20"/>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4C981BB8" w14:textId="77777777" w:rsidR="000D7938"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125" w:type="dxa"/>
            <w:tcBorders>
              <w:top w:val="nil"/>
              <w:left w:val="nil"/>
              <w:bottom w:val="single" w:sz="4" w:space="0" w:color="auto"/>
              <w:right w:val="single" w:sz="4" w:space="0" w:color="auto"/>
            </w:tcBorders>
            <w:shd w:val="clear" w:color="auto" w:fill="auto"/>
            <w:vAlign w:val="center"/>
          </w:tcPr>
          <w:p w14:paraId="026C45E1" w14:textId="77777777" w:rsidR="000D7938"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0EC168A9" w14:textId="77777777" w:rsidR="000D7938"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889" w:type="dxa"/>
            <w:gridSpan w:val="2"/>
            <w:tcBorders>
              <w:top w:val="single" w:sz="4" w:space="0" w:color="auto"/>
              <w:left w:val="nil"/>
              <w:bottom w:val="single" w:sz="4" w:space="0" w:color="auto"/>
              <w:right w:val="single" w:sz="4" w:space="0" w:color="auto"/>
            </w:tcBorders>
            <w:shd w:val="clear" w:color="auto" w:fill="auto"/>
            <w:vAlign w:val="center"/>
          </w:tcPr>
          <w:p w14:paraId="2CD8DD69" w14:textId="77777777" w:rsidR="000D7938"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76" w:type="dxa"/>
            <w:gridSpan w:val="2"/>
            <w:tcBorders>
              <w:top w:val="single" w:sz="4" w:space="0" w:color="auto"/>
              <w:left w:val="nil"/>
              <w:bottom w:val="single" w:sz="4" w:space="0" w:color="auto"/>
              <w:right w:val="single" w:sz="4" w:space="0" w:color="auto"/>
            </w:tcBorders>
            <w:shd w:val="clear" w:color="auto" w:fill="auto"/>
            <w:vAlign w:val="center"/>
          </w:tcPr>
          <w:p w14:paraId="16B2D09A" w14:textId="77777777" w:rsidR="000D7938"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970" w:type="dxa"/>
            <w:tcBorders>
              <w:top w:val="nil"/>
              <w:left w:val="nil"/>
              <w:bottom w:val="single" w:sz="4" w:space="0" w:color="auto"/>
              <w:right w:val="single" w:sz="4" w:space="0" w:color="auto"/>
            </w:tcBorders>
            <w:shd w:val="clear" w:color="auto" w:fill="auto"/>
            <w:vAlign w:val="center"/>
          </w:tcPr>
          <w:p w14:paraId="64F9540C" w14:textId="77777777" w:rsidR="000D7938"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0D7938" w14:paraId="339DDC61" w14:textId="77777777">
        <w:trPr>
          <w:cantSplit/>
          <w:trHeight w:val="500"/>
          <w:jc w:val="center"/>
        </w:trPr>
        <w:tc>
          <w:tcPr>
            <w:tcW w:w="1056" w:type="dxa"/>
            <w:gridSpan w:val="2"/>
            <w:vMerge/>
            <w:tcBorders>
              <w:top w:val="single" w:sz="4" w:space="0" w:color="auto"/>
              <w:left w:val="single" w:sz="4" w:space="0" w:color="auto"/>
              <w:bottom w:val="single" w:sz="4" w:space="0" w:color="auto"/>
              <w:right w:val="single" w:sz="4" w:space="0" w:color="auto"/>
            </w:tcBorders>
            <w:vAlign w:val="center"/>
          </w:tcPr>
          <w:p w14:paraId="26584F98" w14:textId="77777777" w:rsidR="000D7938" w:rsidRDefault="000D7938">
            <w:pPr>
              <w:widowControl/>
              <w:jc w:val="left"/>
              <w:rPr>
                <w:rFonts w:ascii="宋体" w:hAnsi="宋体" w:cs="宋体" w:hint="eastAsia"/>
                <w:color w:val="000000"/>
                <w:kern w:val="0"/>
                <w:sz w:val="20"/>
                <w:szCs w:val="20"/>
              </w:rPr>
            </w:pPr>
          </w:p>
        </w:tc>
        <w:tc>
          <w:tcPr>
            <w:tcW w:w="1192" w:type="dxa"/>
            <w:gridSpan w:val="2"/>
            <w:tcBorders>
              <w:top w:val="single" w:sz="4" w:space="0" w:color="auto"/>
              <w:left w:val="nil"/>
              <w:bottom w:val="single" w:sz="4" w:space="0" w:color="auto"/>
              <w:right w:val="single" w:sz="4" w:space="0" w:color="auto"/>
            </w:tcBorders>
            <w:shd w:val="clear" w:color="auto" w:fill="auto"/>
            <w:vAlign w:val="center"/>
          </w:tcPr>
          <w:p w14:paraId="24F23796" w14:textId="77777777" w:rsidR="000D7938"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B4B4643" w14:textId="77777777" w:rsidR="000D7938"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3.00</w:t>
            </w:r>
          </w:p>
        </w:tc>
        <w:tc>
          <w:tcPr>
            <w:tcW w:w="1125" w:type="dxa"/>
            <w:tcBorders>
              <w:top w:val="nil"/>
              <w:left w:val="nil"/>
              <w:bottom w:val="single" w:sz="4" w:space="0" w:color="auto"/>
              <w:right w:val="single" w:sz="4" w:space="0" w:color="auto"/>
            </w:tcBorders>
            <w:shd w:val="clear" w:color="auto" w:fill="auto"/>
            <w:noWrap/>
            <w:vAlign w:val="center"/>
          </w:tcPr>
          <w:p w14:paraId="11D37134" w14:textId="77777777" w:rsidR="000D7938"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3.00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7AA8AEA" w14:textId="77777777" w:rsidR="000D7938"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3.00</w:t>
            </w:r>
          </w:p>
        </w:tc>
        <w:tc>
          <w:tcPr>
            <w:tcW w:w="889" w:type="dxa"/>
            <w:gridSpan w:val="2"/>
            <w:tcBorders>
              <w:top w:val="single" w:sz="4" w:space="0" w:color="auto"/>
              <w:left w:val="nil"/>
              <w:bottom w:val="single" w:sz="4" w:space="0" w:color="auto"/>
              <w:right w:val="single" w:sz="4" w:space="0" w:color="auto"/>
            </w:tcBorders>
            <w:shd w:val="clear" w:color="auto" w:fill="auto"/>
            <w:vAlign w:val="center"/>
          </w:tcPr>
          <w:p w14:paraId="64A02798" w14:textId="77777777" w:rsidR="000D7938"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10</w:t>
            </w:r>
          </w:p>
        </w:tc>
        <w:tc>
          <w:tcPr>
            <w:tcW w:w="776" w:type="dxa"/>
            <w:gridSpan w:val="2"/>
            <w:tcBorders>
              <w:top w:val="single" w:sz="4" w:space="0" w:color="auto"/>
              <w:left w:val="nil"/>
              <w:bottom w:val="single" w:sz="4" w:space="0" w:color="auto"/>
              <w:right w:val="single" w:sz="4" w:space="0" w:color="auto"/>
            </w:tcBorders>
            <w:shd w:val="clear" w:color="auto" w:fill="auto"/>
            <w:vAlign w:val="center"/>
          </w:tcPr>
          <w:p w14:paraId="6F1BE455" w14:textId="77777777" w:rsidR="000D7938"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100.00%</w:t>
            </w:r>
          </w:p>
        </w:tc>
        <w:tc>
          <w:tcPr>
            <w:tcW w:w="970" w:type="dxa"/>
            <w:tcBorders>
              <w:top w:val="nil"/>
              <w:left w:val="nil"/>
              <w:bottom w:val="single" w:sz="4" w:space="0" w:color="auto"/>
              <w:right w:val="single" w:sz="4" w:space="0" w:color="auto"/>
            </w:tcBorders>
            <w:shd w:val="clear" w:color="auto" w:fill="auto"/>
            <w:vAlign w:val="center"/>
          </w:tcPr>
          <w:p w14:paraId="1C138339" w14:textId="77777777" w:rsidR="000D7938"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10.00</w:t>
            </w:r>
          </w:p>
        </w:tc>
      </w:tr>
      <w:tr w:rsidR="000D7938" w14:paraId="0E750245" w14:textId="77777777">
        <w:trPr>
          <w:cantSplit/>
          <w:trHeight w:val="500"/>
          <w:jc w:val="center"/>
        </w:trPr>
        <w:tc>
          <w:tcPr>
            <w:tcW w:w="1056" w:type="dxa"/>
            <w:gridSpan w:val="2"/>
            <w:vMerge/>
            <w:tcBorders>
              <w:top w:val="single" w:sz="4" w:space="0" w:color="auto"/>
              <w:left w:val="single" w:sz="4" w:space="0" w:color="auto"/>
              <w:bottom w:val="single" w:sz="4" w:space="0" w:color="auto"/>
              <w:right w:val="single" w:sz="4" w:space="0" w:color="auto"/>
            </w:tcBorders>
            <w:vAlign w:val="center"/>
          </w:tcPr>
          <w:p w14:paraId="4A1C3155" w14:textId="77777777" w:rsidR="000D7938" w:rsidRDefault="000D7938">
            <w:pPr>
              <w:widowControl/>
              <w:jc w:val="left"/>
              <w:rPr>
                <w:rFonts w:ascii="宋体" w:hAnsi="宋体" w:cs="宋体" w:hint="eastAsia"/>
                <w:color w:val="000000"/>
                <w:kern w:val="0"/>
                <w:sz w:val="20"/>
                <w:szCs w:val="20"/>
              </w:rPr>
            </w:pPr>
          </w:p>
        </w:tc>
        <w:tc>
          <w:tcPr>
            <w:tcW w:w="1192" w:type="dxa"/>
            <w:gridSpan w:val="2"/>
            <w:tcBorders>
              <w:top w:val="single" w:sz="4" w:space="0" w:color="auto"/>
              <w:left w:val="nil"/>
              <w:bottom w:val="single" w:sz="4" w:space="0" w:color="auto"/>
              <w:right w:val="single" w:sz="4" w:space="0" w:color="auto"/>
            </w:tcBorders>
            <w:shd w:val="clear" w:color="auto" w:fill="auto"/>
            <w:vAlign w:val="center"/>
          </w:tcPr>
          <w:p w14:paraId="369D5748" w14:textId="77777777" w:rsidR="000D7938"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D2A30FC" w14:textId="77777777" w:rsidR="000D7938"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3.00</w:t>
            </w:r>
          </w:p>
        </w:tc>
        <w:tc>
          <w:tcPr>
            <w:tcW w:w="1125" w:type="dxa"/>
            <w:tcBorders>
              <w:top w:val="nil"/>
              <w:left w:val="nil"/>
              <w:bottom w:val="single" w:sz="4" w:space="0" w:color="auto"/>
              <w:right w:val="single" w:sz="4" w:space="0" w:color="auto"/>
            </w:tcBorders>
            <w:shd w:val="clear" w:color="auto" w:fill="auto"/>
            <w:noWrap/>
            <w:vAlign w:val="center"/>
          </w:tcPr>
          <w:p w14:paraId="66A6067E" w14:textId="77777777" w:rsidR="000D7938"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3.00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A53EC8A" w14:textId="77777777" w:rsidR="000D7938"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3.00</w:t>
            </w:r>
          </w:p>
        </w:tc>
        <w:tc>
          <w:tcPr>
            <w:tcW w:w="889" w:type="dxa"/>
            <w:gridSpan w:val="2"/>
            <w:tcBorders>
              <w:top w:val="single" w:sz="4" w:space="0" w:color="auto"/>
              <w:left w:val="nil"/>
              <w:bottom w:val="single" w:sz="4" w:space="0" w:color="auto"/>
              <w:right w:val="single" w:sz="4" w:space="0" w:color="auto"/>
            </w:tcBorders>
            <w:shd w:val="clear" w:color="auto" w:fill="auto"/>
            <w:vAlign w:val="center"/>
          </w:tcPr>
          <w:p w14:paraId="50A618AA" w14:textId="77777777" w:rsidR="000D7938"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76" w:type="dxa"/>
            <w:gridSpan w:val="2"/>
            <w:tcBorders>
              <w:top w:val="single" w:sz="4" w:space="0" w:color="auto"/>
              <w:left w:val="nil"/>
              <w:bottom w:val="single" w:sz="4" w:space="0" w:color="auto"/>
              <w:right w:val="single" w:sz="4" w:space="0" w:color="auto"/>
            </w:tcBorders>
            <w:shd w:val="clear" w:color="auto" w:fill="auto"/>
            <w:vAlign w:val="center"/>
          </w:tcPr>
          <w:p w14:paraId="0F0D03E2" w14:textId="77777777" w:rsidR="000D7938"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70" w:type="dxa"/>
            <w:tcBorders>
              <w:top w:val="nil"/>
              <w:left w:val="nil"/>
              <w:bottom w:val="single" w:sz="4" w:space="0" w:color="auto"/>
              <w:right w:val="single" w:sz="4" w:space="0" w:color="auto"/>
            </w:tcBorders>
            <w:shd w:val="clear" w:color="auto" w:fill="auto"/>
            <w:vAlign w:val="center"/>
          </w:tcPr>
          <w:p w14:paraId="015AAB94" w14:textId="77777777" w:rsidR="000D7938"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0D7938" w14:paraId="07B97AED" w14:textId="77777777">
        <w:trPr>
          <w:cantSplit/>
          <w:trHeight w:val="500"/>
          <w:jc w:val="center"/>
        </w:trPr>
        <w:tc>
          <w:tcPr>
            <w:tcW w:w="1056" w:type="dxa"/>
            <w:gridSpan w:val="2"/>
            <w:vMerge/>
            <w:tcBorders>
              <w:top w:val="single" w:sz="4" w:space="0" w:color="auto"/>
              <w:left w:val="single" w:sz="4" w:space="0" w:color="auto"/>
              <w:bottom w:val="single" w:sz="4" w:space="0" w:color="auto"/>
              <w:right w:val="single" w:sz="4" w:space="0" w:color="auto"/>
            </w:tcBorders>
            <w:vAlign w:val="center"/>
          </w:tcPr>
          <w:p w14:paraId="39E4B8B5" w14:textId="77777777" w:rsidR="000D7938" w:rsidRDefault="000D7938">
            <w:pPr>
              <w:widowControl/>
              <w:jc w:val="left"/>
              <w:rPr>
                <w:rFonts w:ascii="宋体" w:hAnsi="宋体" w:cs="宋体" w:hint="eastAsia"/>
                <w:color w:val="000000"/>
                <w:kern w:val="0"/>
                <w:sz w:val="20"/>
                <w:szCs w:val="20"/>
              </w:rPr>
            </w:pPr>
          </w:p>
        </w:tc>
        <w:tc>
          <w:tcPr>
            <w:tcW w:w="1192" w:type="dxa"/>
            <w:gridSpan w:val="2"/>
            <w:tcBorders>
              <w:top w:val="single" w:sz="4" w:space="0" w:color="auto"/>
              <w:left w:val="nil"/>
              <w:bottom w:val="single" w:sz="4" w:space="0" w:color="auto"/>
              <w:right w:val="single" w:sz="4" w:space="0" w:color="auto"/>
            </w:tcBorders>
            <w:shd w:val="clear" w:color="auto" w:fill="auto"/>
            <w:vAlign w:val="center"/>
          </w:tcPr>
          <w:p w14:paraId="168EBA1B" w14:textId="77777777" w:rsidR="000D7938"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C865E65" w14:textId="77777777" w:rsidR="000D7938"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0.00</w:t>
            </w:r>
          </w:p>
        </w:tc>
        <w:tc>
          <w:tcPr>
            <w:tcW w:w="1125" w:type="dxa"/>
            <w:tcBorders>
              <w:top w:val="nil"/>
              <w:left w:val="nil"/>
              <w:bottom w:val="single" w:sz="4" w:space="0" w:color="auto"/>
              <w:right w:val="single" w:sz="4" w:space="0" w:color="auto"/>
            </w:tcBorders>
            <w:shd w:val="clear" w:color="auto" w:fill="auto"/>
            <w:noWrap/>
            <w:vAlign w:val="center"/>
          </w:tcPr>
          <w:p w14:paraId="49E0388F" w14:textId="77777777" w:rsidR="000D7938"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9E6A722" w14:textId="77777777" w:rsidR="000D7938"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0.00</w:t>
            </w:r>
          </w:p>
        </w:tc>
        <w:tc>
          <w:tcPr>
            <w:tcW w:w="889" w:type="dxa"/>
            <w:gridSpan w:val="2"/>
            <w:tcBorders>
              <w:top w:val="single" w:sz="4" w:space="0" w:color="auto"/>
              <w:left w:val="nil"/>
              <w:bottom w:val="single" w:sz="4" w:space="0" w:color="auto"/>
              <w:right w:val="single" w:sz="4" w:space="0" w:color="auto"/>
            </w:tcBorders>
            <w:shd w:val="clear" w:color="auto" w:fill="auto"/>
            <w:vAlign w:val="center"/>
          </w:tcPr>
          <w:p w14:paraId="60A68D61" w14:textId="77777777" w:rsidR="000D7938"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76" w:type="dxa"/>
            <w:gridSpan w:val="2"/>
            <w:tcBorders>
              <w:top w:val="single" w:sz="4" w:space="0" w:color="auto"/>
              <w:left w:val="nil"/>
              <w:bottom w:val="single" w:sz="4" w:space="0" w:color="auto"/>
              <w:right w:val="single" w:sz="4" w:space="0" w:color="auto"/>
            </w:tcBorders>
            <w:shd w:val="clear" w:color="auto" w:fill="auto"/>
            <w:vAlign w:val="center"/>
          </w:tcPr>
          <w:p w14:paraId="708AADC2" w14:textId="77777777" w:rsidR="000D7938"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70" w:type="dxa"/>
            <w:tcBorders>
              <w:top w:val="nil"/>
              <w:left w:val="nil"/>
              <w:bottom w:val="single" w:sz="4" w:space="0" w:color="auto"/>
              <w:right w:val="single" w:sz="4" w:space="0" w:color="auto"/>
            </w:tcBorders>
            <w:shd w:val="clear" w:color="auto" w:fill="auto"/>
            <w:vAlign w:val="center"/>
          </w:tcPr>
          <w:p w14:paraId="1338DE6B" w14:textId="77777777" w:rsidR="000D7938"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0D7938" w14:paraId="52F63942" w14:textId="77777777">
        <w:trPr>
          <w:cantSplit/>
          <w:trHeight w:val="500"/>
          <w:jc w:val="center"/>
        </w:trPr>
        <w:tc>
          <w:tcPr>
            <w:tcW w:w="489" w:type="dxa"/>
            <w:vMerge w:val="restart"/>
            <w:tcBorders>
              <w:top w:val="nil"/>
              <w:left w:val="single" w:sz="4" w:space="0" w:color="auto"/>
              <w:bottom w:val="single" w:sz="4" w:space="0" w:color="auto"/>
              <w:right w:val="single" w:sz="4" w:space="0" w:color="auto"/>
            </w:tcBorders>
            <w:shd w:val="clear" w:color="auto" w:fill="auto"/>
            <w:vAlign w:val="center"/>
          </w:tcPr>
          <w:p w14:paraId="71AD9795" w14:textId="77777777" w:rsidR="000D7938"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123" w:type="dxa"/>
            <w:gridSpan w:val="5"/>
            <w:tcBorders>
              <w:top w:val="single" w:sz="4" w:space="0" w:color="auto"/>
              <w:left w:val="nil"/>
              <w:bottom w:val="single" w:sz="4" w:space="0" w:color="auto"/>
              <w:right w:val="single" w:sz="4" w:space="0" w:color="auto"/>
            </w:tcBorders>
            <w:shd w:val="clear" w:color="auto" w:fill="auto"/>
            <w:vAlign w:val="center"/>
          </w:tcPr>
          <w:p w14:paraId="2B9D25E4" w14:textId="77777777" w:rsidR="000D7938"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910" w:type="dxa"/>
            <w:gridSpan w:val="7"/>
            <w:tcBorders>
              <w:top w:val="single" w:sz="4" w:space="0" w:color="auto"/>
              <w:left w:val="nil"/>
              <w:bottom w:val="single" w:sz="4" w:space="0" w:color="auto"/>
              <w:right w:val="single" w:sz="4" w:space="0" w:color="auto"/>
            </w:tcBorders>
            <w:shd w:val="clear" w:color="auto" w:fill="auto"/>
            <w:vAlign w:val="center"/>
          </w:tcPr>
          <w:p w14:paraId="46C371EC" w14:textId="77777777" w:rsidR="000D7938"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0D7938" w14:paraId="2BFA66FE" w14:textId="77777777">
        <w:trPr>
          <w:cantSplit/>
          <w:trHeight w:val="703"/>
          <w:jc w:val="center"/>
        </w:trPr>
        <w:tc>
          <w:tcPr>
            <w:tcW w:w="489" w:type="dxa"/>
            <w:vMerge/>
            <w:tcBorders>
              <w:top w:val="nil"/>
              <w:left w:val="single" w:sz="4" w:space="0" w:color="auto"/>
              <w:bottom w:val="single" w:sz="4" w:space="0" w:color="auto"/>
              <w:right w:val="single" w:sz="4" w:space="0" w:color="auto"/>
            </w:tcBorders>
            <w:vAlign w:val="center"/>
          </w:tcPr>
          <w:p w14:paraId="4AFF809A" w14:textId="77777777" w:rsidR="000D7938" w:rsidRDefault="000D7938">
            <w:pPr>
              <w:widowControl/>
              <w:jc w:val="left"/>
              <w:rPr>
                <w:rFonts w:ascii="宋体" w:hAnsi="宋体" w:cs="宋体" w:hint="eastAsia"/>
                <w:color w:val="000000"/>
                <w:kern w:val="0"/>
                <w:sz w:val="20"/>
                <w:szCs w:val="20"/>
              </w:rPr>
            </w:pPr>
          </w:p>
        </w:tc>
        <w:tc>
          <w:tcPr>
            <w:tcW w:w="4123" w:type="dxa"/>
            <w:gridSpan w:val="5"/>
            <w:tcBorders>
              <w:top w:val="single" w:sz="4" w:space="0" w:color="auto"/>
              <w:left w:val="nil"/>
              <w:bottom w:val="single" w:sz="4" w:space="0" w:color="auto"/>
              <w:right w:val="single" w:sz="4" w:space="0" w:color="000000"/>
            </w:tcBorders>
            <w:shd w:val="clear" w:color="auto" w:fill="auto"/>
          </w:tcPr>
          <w:p w14:paraId="46F575CD" w14:textId="77777777" w:rsidR="000D7938" w:rsidRDefault="00000000">
            <w:pPr>
              <w:jc w:val="left"/>
              <w:rPr>
                <w:rFonts w:ascii="宋体" w:hAnsi="宋体" w:cs="宋体" w:hint="eastAsia"/>
                <w:sz w:val="20"/>
                <w:szCs w:val="20"/>
                <w14:ligatures w14:val="standardContextual"/>
              </w:rPr>
            </w:pPr>
            <w:r>
              <w:rPr>
                <w:rFonts w:ascii="宋体" w:hAnsi="宋体" w:cs="宋体" w:hint="eastAsia"/>
                <w:sz w:val="20"/>
                <w:szCs w:val="20"/>
                <w14:ligatures w14:val="standardContextual"/>
              </w:rPr>
              <w:t>本项目拟投入资金3万元，为2023年教育系统州级人才工作室和“庭州名师”育才专项经费，主要用于培养教师人才（内含个人补助30%），另外购买办公设备等一批，项目的实施有助于促进昌吉市教育水平的提升。</w:t>
            </w:r>
          </w:p>
        </w:tc>
        <w:tc>
          <w:tcPr>
            <w:tcW w:w="3910" w:type="dxa"/>
            <w:gridSpan w:val="7"/>
            <w:tcBorders>
              <w:top w:val="single" w:sz="4" w:space="0" w:color="auto"/>
              <w:left w:val="nil"/>
              <w:bottom w:val="single" w:sz="4" w:space="0" w:color="auto"/>
              <w:right w:val="single" w:sz="4" w:space="0" w:color="000000"/>
            </w:tcBorders>
            <w:shd w:val="clear" w:color="auto" w:fill="auto"/>
          </w:tcPr>
          <w:p w14:paraId="51B51BDA" w14:textId="77777777" w:rsidR="000D7938" w:rsidRDefault="00000000">
            <w:pPr>
              <w:jc w:val="left"/>
              <w:rPr>
                <w:rFonts w:ascii="宋体" w:hAnsi="宋体" w:cs="宋体" w:hint="eastAsia"/>
                <w:sz w:val="20"/>
                <w:szCs w:val="20"/>
                <w14:ligatures w14:val="standardContextual"/>
              </w:rPr>
            </w:pPr>
            <w:r>
              <w:rPr>
                <w:rFonts w:ascii="宋体" w:hAnsi="宋体" w:cs="宋体" w:hint="eastAsia"/>
                <w:sz w:val="20"/>
                <w:szCs w:val="20"/>
                <w14:ligatures w14:val="standardContextual"/>
              </w:rPr>
              <w:t>该项目截止2023年12月31日已完成，项目执行资金3万元，资金执行率100%。项目中培养教师人数达到1人，购买相关设备及办公设备达到1批，资金拨付及时率达到100%，项目完成及时率达到100%，项目的实施达到促进昌吉市教育水平的提升。</w:t>
            </w:r>
          </w:p>
        </w:tc>
      </w:tr>
      <w:tr w:rsidR="000D7938" w14:paraId="162B4416" w14:textId="77777777">
        <w:trPr>
          <w:cantSplit/>
          <w:trHeight w:val="312"/>
          <w:jc w:val="center"/>
        </w:trPr>
        <w:tc>
          <w:tcPr>
            <w:tcW w:w="489" w:type="dxa"/>
            <w:vMerge w:val="restart"/>
            <w:tcBorders>
              <w:top w:val="nil"/>
              <w:left w:val="single" w:sz="4" w:space="0" w:color="auto"/>
              <w:bottom w:val="single" w:sz="4" w:space="0" w:color="auto"/>
              <w:right w:val="single" w:sz="4" w:space="0" w:color="auto"/>
            </w:tcBorders>
            <w:shd w:val="clear" w:color="auto" w:fill="auto"/>
            <w:vAlign w:val="center"/>
          </w:tcPr>
          <w:p w14:paraId="404DEE39" w14:textId="77777777" w:rsidR="000D7938" w:rsidRDefault="000D7938">
            <w:pPr>
              <w:widowControl/>
              <w:jc w:val="center"/>
              <w:rPr>
                <w:rFonts w:ascii="宋体" w:hAnsi="宋体" w:cs="宋体" w:hint="eastAsia"/>
                <w:color w:val="000000"/>
                <w:kern w:val="0"/>
                <w:sz w:val="20"/>
                <w:szCs w:val="20"/>
              </w:rPr>
            </w:pPr>
          </w:p>
        </w:tc>
        <w:tc>
          <w:tcPr>
            <w:tcW w:w="567" w:type="dxa"/>
            <w:vMerge w:val="restart"/>
            <w:tcBorders>
              <w:top w:val="nil"/>
              <w:left w:val="single" w:sz="4" w:space="0" w:color="auto"/>
              <w:bottom w:val="single" w:sz="4" w:space="0" w:color="auto"/>
              <w:right w:val="single" w:sz="4" w:space="0" w:color="auto"/>
            </w:tcBorders>
            <w:shd w:val="clear" w:color="auto" w:fill="auto"/>
            <w:vAlign w:val="center"/>
          </w:tcPr>
          <w:p w14:paraId="08B8D348" w14:textId="77777777" w:rsidR="000D7938"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w:t>
            </w:r>
            <w:r>
              <w:rPr>
                <w:rFonts w:ascii="宋体" w:hAnsi="宋体" w:cs="宋体" w:hint="eastAsia"/>
                <w:color w:val="000000"/>
                <w:kern w:val="0"/>
                <w:sz w:val="20"/>
                <w:szCs w:val="20"/>
              </w:rPr>
              <w:lastRenderedPageBreak/>
              <w:t>级指标</w:t>
            </w:r>
          </w:p>
        </w:tc>
        <w:tc>
          <w:tcPr>
            <w:tcW w:w="574" w:type="dxa"/>
            <w:vMerge w:val="restart"/>
            <w:tcBorders>
              <w:top w:val="nil"/>
              <w:left w:val="single" w:sz="4" w:space="0" w:color="auto"/>
              <w:bottom w:val="single" w:sz="4" w:space="0" w:color="auto"/>
              <w:right w:val="single" w:sz="4" w:space="0" w:color="auto"/>
            </w:tcBorders>
            <w:shd w:val="clear" w:color="auto" w:fill="auto"/>
            <w:vAlign w:val="center"/>
          </w:tcPr>
          <w:p w14:paraId="358E2B14" w14:textId="77777777" w:rsidR="000D7938"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二</w:t>
            </w:r>
            <w:r>
              <w:rPr>
                <w:rFonts w:ascii="宋体" w:hAnsi="宋体" w:cs="宋体" w:hint="eastAsia"/>
                <w:color w:val="000000"/>
                <w:kern w:val="0"/>
                <w:sz w:val="20"/>
                <w:szCs w:val="20"/>
              </w:rPr>
              <w:lastRenderedPageBreak/>
              <w:t>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A176167" w14:textId="77777777" w:rsidR="000D7938"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5E007CAA" w14:textId="77777777" w:rsidR="000D7938"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w:t>
            </w:r>
            <w:r>
              <w:rPr>
                <w:rFonts w:ascii="宋体" w:hAnsi="宋体" w:cs="宋体" w:hint="eastAsia"/>
                <w:color w:val="000000"/>
                <w:kern w:val="0"/>
                <w:sz w:val="20"/>
                <w:szCs w:val="20"/>
              </w:rPr>
              <w:lastRenderedPageBreak/>
              <w:t>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53BB7434" w14:textId="77777777" w:rsidR="000D7938"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实际完成值</w:t>
            </w:r>
          </w:p>
        </w:tc>
        <w:tc>
          <w:tcPr>
            <w:tcW w:w="60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965BEB0" w14:textId="77777777" w:rsidR="000D7938"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w:t>
            </w:r>
            <w:r>
              <w:rPr>
                <w:rFonts w:ascii="宋体" w:hAnsi="宋体" w:cs="宋体" w:hint="eastAsia"/>
                <w:color w:val="000000"/>
                <w:kern w:val="0"/>
                <w:sz w:val="20"/>
                <w:szCs w:val="20"/>
              </w:rPr>
              <w:lastRenderedPageBreak/>
              <w:t>值</w:t>
            </w:r>
          </w:p>
        </w:tc>
        <w:tc>
          <w:tcPr>
            <w:tcW w:w="56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F5150F0" w14:textId="77777777" w:rsidR="000D7938"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得</w:t>
            </w:r>
            <w:r>
              <w:rPr>
                <w:rFonts w:ascii="宋体" w:hAnsi="宋体" w:cs="宋体" w:hint="eastAsia"/>
                <w:color w:val="000000"/>
                <w:kern w:val="0"/>
                <w:sz w:val="20"/>
                <w:szCs w:val="20"/>
              </w:rPr>
              <w:lastRenderedPageBreak/>
              <w:t>分</w:t>
            </w:r>
          </w:p>
        </w:tc>
        <w:tc>
          <w:tcPr>
            <w:tcW w:w="151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D9AC959" w14:textId="77777777" w:rsidR="000D7938"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偏差原因分析</w:t>
            </w:r>
            <w:r>
              <w:rPr>
                <w:rFonts w:ascii="宋体" w:hAnsi="宋体" w:cs="宋体" w:hint="eastAsia"/>
                <w:color w:val="000000"/>
                <w:kern w:val="0"/>
                <w:sz w:val="20"/>
                <w:szCs w:val="20"/>
              </w:rPr>
              <w:lastRenderedPageBreak/>
              <w:t>及改进措施</w:t>
            </w:r>
          </w:p>
        </w:tc>
      </w:tr>
      <w:tr w:rsidR="000D7938" w14:paraId="07AB93EC" w14:textId="77777777">
        <w:trPr>
          <w:cantSplit/>
          <w:trHeight w:val="345"/>
          <w:jc w:val="center"/>
        </w:trPr>
        <w:tc>
          <w:tcPr>
            <w:tcW w:w="489" w:type="dxa"/>
            <w:vMerge/>
            <w:tcBorders>
              <w:top w:val="nil"/>
              <w:left w:val="single" w:sz="4" w:space="0" w:color="auto"/>
              <w:bottom w:val="single" w:sz="4" w:space="0" w:color="auto"/>
              <w:right w:val="single" w:sz="4" w:space="0" w:color="auto"/>
            </w:tcBorders>
            <w:vAlign w:val="center"/>
          </w:tcPr>
          <w:p w14:paraId="14DFB0EC" w14:textId="77777777" w:rsidR="000D7938" w:rsidRDefault="000D7938">
            <w:pPr>
              <w:widowControl/>
              <w:jc w:val="left"/>
              <w:rPr>
                <w:rFonts w:ascii="宋体" w:hAnsi="宋体" w:cs="宋体" w:hint="eastAsia"/>
                <w:color w:val="000000"/>
                <w:kern w:val="0"/>
                <w:sz w:val="20"/>
                <w:szCs w:val="20"/>
              </w:rPr>
            </w:pPr>
          </w:p>
        </w:tc>
        <w:tc>
          <w:tcPr>
            <w:tcW w:w="567" w:type="dxa"/>
            <w:vMerge/>
            <w:tcBorders>
              <w:top w:val="nil"/>
              <w:left w:val="single" w:sz="4" w:space="0" w:color="auto"/>
              <w:bottom w:val="single" w:sz="4" w:space="0" w:color="auto"/>
              <w:right w:val="single" w:sz="4" w:space="0" w:color="auto"/>
            </w:tcBorders>
            <w:vAlign w:val="center"/>
          </w:tcPr>
          <w:p w14:paraId="649318A9" w14:textId="77777777" w:rsidR="000D7938" w:rsidRDefault="000D7938">
            <w:pPr>
              <w:widowControl/>
              <w:jc w:val="left"/>
              <w:rPr>
                <w:rFonts w:ascii="宋体" w:hAnsi="宋体" w:cs="宋体" w:hint="eastAsia"/>
                <w:color w:val="000000"/>
                <w:kern w:val="0"/>
                <w:sz w:val="20"/>
                <w:szCs w:val="20"/>
              </w:rPr>
            </w:pPr>
          </w:p>
        </w:tc>
        <w:tc>
          <w:tcPr>
            <w:tcW w:w="574" w:type="dxa"/>
            <w:vMerge/>
            <w:tcBorders>
              <w:top w:val="nil"/>
              <w:left w:val="single" w:sz="4" w:space="0" w:color="auto"/>
              <w:bottom w:val="single" w:sz="4" w:space="0" w:color="auto"/>
              <w:right w:val="single" w:sz="4" w:space="0" w:color="auto"/>
            </w:tcBorders>
            <w:vAlign w:val="center"/>
          </w:tcPr>
          <w:p w14:paraId="7A25FDCF" w14:textId="77777777" w:rsidR="000D7938" w:rsidRDefault="000D7938">
            <w:pPr>
              <w:widowControl/>
              <w:jc w:val="left"/>
              <w:rPr>
                <w:rFonts w:ascii="宋体" w:hAnsi="宋体" w:cs="宋体" w:hint="eastAsia"/>
                <w:color w:val="000000"/>
                <w:kern w:val="0"/>
                <w:sz w:val="20"/>
                <w:szCs w:val="20"/>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1E86D60D" w14:textId="77777777" w:rsidR="000D7938" w:rsidRDefault="000D7938">
            <w:pPr>
              <w:widowControl/>
              <w:jc w:val="left"/>
              <w:rPr>
                <w:rFonts w:ascii="宋体" w:hAnsi="宋体" w:cs="宋体" w:hint="eastAsia"/>
                <w:color w:val="000000"/>
                <w:kern w:val="0"/>
                <w:sz w:val="20"/>
                <w:szCs w:val="20"/>
              </w:rPr>
            </w:pPr>
          </w:p>
        </w:tc>
        <w:tc>
          <w:tcPr>
            <w:tcW w:w="1125" w:type="dxa"/>
            <w:vMerge/>
            <w:tcBorders>
              <w:top w:val="nil"/>
              <w:left w:val="single" w:sz="4" w:space="0" w:color="auto"/>
              <w:bottom w:val="single" w:sz="4" w:space="0" w:color="auto"/>
              <w:right w:val="single" w:sz="4" w:space="0" w:color="auto"/>
            </w:tcBorders>
            <w:vAlign w:val="center"/>
          </w:tcPr>
          <w:p w14:paraId="35CE8146" w14:textId="77777777" w:rsidR="000D7938" w:rsidRDefault="000D7938">
            <w:pPr>
              <w:widowControl/>
              <w:jc w:val="left"/>
              <w:rPr>
                <w:rFonts w:ascii="宋体" w:hAnsi="宋体" w:cs="宋体" w:hint="eastAsia"/>
                <w:color w:val="000000"/>
                <w:kern w:val="0"/>
                <w:sz w:val="20"/>
                <w:szCs w:val="20"/>
              </w:rPr>
            </w:pPr>
          </w:p>
        </w:tc>
        <w:tc>
          <w:tcPr>
            <w:tcW w:w="1229" w:type="dxa"/>
            <w:vMerge/>
            <w:tcBorders>
              <w:top w:val="nil"/>
              <w:left w:val="single" w:sz="4" w:space="0" w:color="auto"/>
              <w:bottom w:val="single" w:sz="4" w:space="0" w:color="auto"/>
              <w:right w:val="single" w:sz="4" w:space="0" w:color="auto"/>
            </w:tcBorders>
            <w:vAlign w:val="center"/>
          </w:tcPr>
          <w:p w14:paraId="4E421805" w14:textId="77777777" w:rsidR="000D7938" w:rsidRDefault="000D7938">
            <w:pPr>
              <w:widowControl/>
              <w:jc w:val="left"/>
              <w:rPr>
                <w:rFonts w:ascii="宋体" w:hAnsi="宋体" w:cs="宋体" w:hint="eastAsia"/>
                <w:color w:val="000000"/>
                <w:kern w:val="0"/>
                <w:sz w:val="20"/>
                <w:szCs w:val="20"/>
              </w:rPr>
            </w:pPr>
          </w:p>
        </w:tc>
        <w:tc>
          <w:tcPr>
            <w:tcW w:w="601" w:type="dxa"/>
            <w:gridSpan w:val="2"/>
            <w:vMerge/>
            <w:tcBorders>
              <w:top w:val="single" w:sz="4" w:space="0" w:color="auto"/>
              <w:left w:val="single" w:sz="4" w:space="0" w:color="auto"/>
              <w:bottom w:val="single" w:sz="4" w:space="0" w:color="auto"/>
              <w:right w:val="single" w:sz="4" w:space="0" w:color="auto"/>
            </w:tcBorders>
            <w:vAlign w:val="center"/>
          </w:tcPr>
          <w:p w14:paraId="58A05D7E" w14:textId="77777777" w:rsidR="000D7938" w:rsidRDefault="000D7938">
            <w:pPr>
              <w:widowControl/>
              <w:jc w:val="left"/>
              <w:rPr>
                <w:rFonts w:ascii="宋体" w:hAnsi="宋体" w:cs="宋体" w:hint="eastAsia"/>
                <w:color w:val="000000"/>
                <w:kern w:val="0"/>
                <w:sz w:val="20"/>
                <w:szCs w:val="20"/>
              </w:rPr>
            </w:pPr>
          </w:p>
        </w:tc>
        <w:tc>
          <w:tcPr>
            <w:tcW w:w="568" w:type="dxa"/>
            <w:gridSpan w:val="2"/>
            <w:vMerge/>
            <w:tcBorders>
              <w:top w:val="single" w:sz="4" w:space="0" w:color="auto"/>
              <w:left w:val="single" w:sz="4" w:space="0" w:color="auto"/>
              <w:bottom w:val="single" w:sz="4" w:space="0" w:color="auto"/>
              <w:right w:val="single" w:sz="4" w:space="0" w:color="auto"/>
            </w:tcBorders>
            <w:vAlign w:val="center"/>
          </w:tcPr>
          <w:p w14:paraId="1B2F9746" w14:textId="77777777" w:rsidR="000D7938" w:rsidRDefault="000D7938">
            <w:pPr>
              <w:widowControl/>
              <w:jc w:val="left"/>
              <w:rPr>
                <w:rFonts w:ascii="宋体" w:hAnsi="宋体" w:cs="宋体" w:hint="eastAsia"/>
                <w:color w:val="000000"/>
                <w:kern w:val="0"/>
                <w:sz w:val="20"/>
                <w:szCs w:val="20"/>
              </w:rPr>
            </w:pPr>
          </w:p>
        </w:tc>
        <w:tc>
          <w:tcPr>
            <w:tcW w:w="1512" w:type="dxa"/>
            <w:gridSpan w:val="2"/>
            <w:vMerge/>
            <w:tcBorders>
              <w:top w:val="single" w:sz="4" w:space="0" w:color="auto"/>
              <w:left w:val="single" w:sz="4" w:space="0" w:color="auto"/>
              <w:bottom w:val="single" w:sz="4" w:space="0" w:color="auto"/>
              <w:right w:val="single" w:sz="4" w:space="0" w:color="auto"/>
            </w:tcBorders>
            <w:vAlign w:val="center"/>
          </w:tcPr>
          <w:p w14:paraId="0BCB0C82" w14:textId="77777777" w:rsidR="000D7938" w:rsidRDefault="000D7938">
            <w:pPr>
              <w:widowControl/>
              <w:jc w:val="left"/>
              <w:rPr>
                <w:rFonts w:ascii="宋体" w:hAnsi="宋体" w:cs="宋体" w:hint="eastAsia"/>
                <w:color w:val="000000"/>
                <w:kern w:val="0"/>
                <w:sz w:val="20"/>
                <w:szCs w:val="20"/>
              </w:rPr>
            </w:pPr>
          </w:p>
        </w:tc>
      </w:tr>
      <w:tr w:rsidR="000D7938" w14:paraId="2E488E93" w14:textId="77777777">
        <w:trPr>
          <w:cantSplit/>
          <w:trHeight w:val="600"/>
          <w:jc w:val="center"/>
        </w:trPr>
        <w:tc>
          <w:tcPr>
            <w:tcW w:w="489" w:type="dxa"/>
            <w:vMerge w:val="restart"/>
            <w:tcBorders>
              <w:top w:val="nil"/>
              <w:left w:val="single" w:sz="4" w:space="0" w:color="auto"/>
              <w:bottom w:val="single" w:sz="4" w:space="0" w:color="auto"/>
              <w:right w:val="single" w:sz="4" w:space="0" w:color="auto"/>
            </w:tcBorders>
            <w:shd w:val="clear" w:color="auto" w:fill="auto"/>
            <w:vAlign w:val="center"/>
          </w:tcPr>
          <w:p w14:paraId="5C567D27" w14:textId="77777777" w:rsidR="000D7938"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年度绩效指标完成情况</w:t>
            </w:r>
          </w:p>
        </w:tc>
        <w:tc>
          <w:tcPr>
            <w:tcW w:w="567" w:type="dxa"/>
            <w:vMerge w:val="restart"/>
            <w:tcBorders>
              <w:top w:val="nil"/>
              <w:left w:val="nil"/>
              <w:bottom w:val="single" w:sz="4" w:space="0" w:color="auto"/>
              <w:right w:val="single" w:sz="4" w:space="0" w:color="auto"/>
            </w:tcBorders>
            <w:shd w:val="clear" w:color="auto" w:fill="auto"/>
            <w:vAlign w:val="center"/>
          </w:tcPr>
          <w:p w14:paraId="7D0C38C0" w14:textId="77777777" w:rsidR="000D7938"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产出指标</w:t>
            </w:r>
          </w:p>
        </w:tc>
        <w:tc>
          <w:tcPr>
            <w:tcW w:w="574" w:type="dxa"/>
            <w:tcBorders>
              <w:top w:val="nil"/>
              <w:left w:val="nil"/>
              <w:bottom w:val="single" w:sz="4" w:space="0" w:color="auto"/>
              <w:right w:val="single" w:sz="4" w:space="0" w:color="auto"/>
            </w:tcBorders>
            <w:shd w:val="clear" w:color="auto" w:fill="auto"/>
            <w:vAlign w:val="center"/>
          </w:tcPr>
          <w:p w14:paraId="58EA1A0E" w14:textId="77777777" w:rsidR="000D7938"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7F6721D" w14:textId="77777777" w:rsidR="000D7938"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培养教师人数</w:t>
            </w:r>
          </w:p>
        </w:tc>
        <w:tc>
          <w:tcPr>
            <w:tcW w:w="1125" w:type="dxa"/>
            <w:tcBorders>
              <w:top w:val="nil"/>
              <w:left w:val="nil"/>
              <w:bottom w:val="single" w:sz="4" w:space="0" w:color="auto"/>
              <w:right w:val="single" w:sz="4" w:space="0" w:color="auto"/>
            </w:tcBorders>
            <w:shd w:val="clear" w:color="auto" w:fill="auto"/>
            <w:vAlign w:val="center"/>
          </w:tcPr>
          <w:p w14:paraId="34849302" w14:textId="77777777" w:rsidR="000D7938"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=1人</w:t>
            </w:r>
          </w:p>
        </w:tc>
        <w:tc>
          <w:tcPr>
            <w:tcW w:w="1229" w:type="dxa"/>
            <w:tcBorders>
              <w:top w:val="nil"/>
              <w:left w:val="nil"/>
              <w:bottom w:val="single" w:sz="4" w:space="0" w:color="auto"/>
              <w:right w:val="single" w:sz="4" w:space="0" w:color="auto"/>
            </w:tcBorders>
            <w:shd w:val="clear" w:color="auto" w:fill="auto"/>
            <w:vAlign w:val="center"/>
          </w:tcPr>
          <w:p w14:paraId="5D0890B6" w14:textId="77777777" w:rsidR="000D7938"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=1人</w:t>
            </w:r>
          </w:p>
        </w:tc>
        <w:tc>
          <w:tcPr>
            <w:tcW w:w="601" w:type="dxa"/>
            <w:gridSpan w:val="2"/>
            <w:tcBorders>
              <w:top w:val="single" w:sz="4" w:space="0" w:color="auto"/>
              <w:left w:val="nil"/>
              <w:bottom w:val="single" w:sz="4" w:space="0" w:color="auto"/>
              <w:right w:val="single" w:sz="4" w:space="0" w:color="000000"/>
            </w:tcBorders>
            <w:shd w:val="clear" w:color="auto" w:fill="auto"/>
            <w:vAlign w:val="center"/>
          </w:tcPr>
          <w:p w14:paraId="2CA47FEB" w14:textId="77777777" w:rsidR="000D7938"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10</w:t>
            </w:r>
          </w:p>
        </w:tc>
        <w:tc>
          <w:tcPr>
            <w:tcW w:w="568" w:type="dxa"/>
            <w:gridSpan w:val="2"/>
            <w:tcBorders>
              <w:top w:val="single" w:sz="4" w:space="0" w:color="auto"/>
              <w:left w:val="nil"/>
              <w:bottom w:val="single" w:sz="4" w:space="0" w:color="auto"/>
              <w:right w:val="single" w:sz="4" w:space="0" w:color="000000"/>
            </w:tcBorders>
            <w:shd w:val="clear" w:color="auto" w:fill="auto"/>
            <w:vAlign w:val="center"/>
          </w:tcPr>
          <w:p w14:paraId="3DCC2021" w14:textId="77777777" w:rsidR="000D7938"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10</w:t>
            </w:r>
          </w:p>
        </w:tc>
        <w:tc>
          <w:tcPr>
            <w:tcW w:w="1512" w:type="dxa"/>
            <w:gridSpan w:val="2"/>
            <w:tcBorders>
              <w:top w:val="single" w:sz="4" w:space="0" w:color="auto"/>
              <w:left w:val="nil"/>
              <w:bottom w:val="single" w:sz="4" w:space="0" w:color="auto"/>
              <w:right w:val="single" w:sz="4" w:space="0" w:color="auto"/>
            </w:tcBorders>
            <w:shd w:val="clear" w:color="auto" w:fill="auto"/>
            <w:vAlign w:val="center"/>
          </w:tcPr>
          <w:p w14:paraId="5AF96FF2" w14:textId="77777777" w:rsidR="000D7938" w:rsidRDefault="000D7938">
            <w:pPr>
              <w:jc w:val="center"/>
              <w:rPr>
                <w:rFonts w:ascii="宋体" w:hAnsi="宋体" w:cs="宋体" w:hint="eastAsia"/>
                <w:sz w:val="20"/>
                <w:szCs w:val="20"/>
                <w14:ligatures w14:val="standardContextual"/>
              </w:rPr>
            </w:pPr>
          </w:p>
        </w:tc>
      </w:tr>
      <w:tr w:rsidR="000D7938" w14:paraId="3C0097E6" w14:textId="77777777">
        <w:trPr>
          <w:cantSplit/>
          <w:trHeight w:val="600"/>
          <w:jc w:val="center"/>
        </w:trPr>
        <w:tc>
          <w:tcPr>
            <w:tcW w:w="489" w:type="dxa"/>
            <w:vMerge/>
            <w:tcBorders>
              <w:top w:val="nil"/>
              <w:left w:val="single" w:sz="4" w:space="0" w:color="auto"/>
              <w:bottom w:val="single" w:sz="4" w:space="0" w:color="auto"/>
              <w:right w:val="single" w:sz="4" w:space="0" w:color="auto"/>
            </w:tcBorders>
            <w:vAlign w:val="center"/>
          </w:tcPr>
          <w:p w14:paraId="30927A51" w14:textId="77777777" w:rsidR="000D7938" w:rsidRDefault="000D7938">
            <w:pPr>
              <w:widowControl/>
              <w:jc w:val="left"/>
              <w:rPr>
                <w:rFonts w:ascii="宋体" w:hAnsi="宋体" w:cs="宋体" w:hint="eastAsia"/>
                <w:color w:val="000000"/>
                <w:kern w:val="0"/>
                <w:sz w:val="20"/>
                <w:szCs w:val="20"/>
              </w:rPr>
            </w:pPr>
          </w:p>
        </w:tc>
        <w:tc>
          <w:tcPr>
            <w:tcW w:w="567" w:type="dxa"/>
            <w:vMerge/>
            <w:tcBorders>
              <w:top w:val="nil"/>
              <w:left w:val="nil"/>
              <w:bottom w:val="single" w:sz="4" w:space="0" w:color="auto"/>
              <w:right w:val="single" w:sz="4" w:space="0" w:color="auto"/>
            </w:tcBorders>
            <w:shd w:val="clear" w:color="auto" w:fill="auto"/>
            <w:vAlign w:val="center"/>
          </w:tcPr>
          <w:p w14:paraId="7E6B31E4" w14:textId="77777777" w:rsidR="000D7938" w:rsidRDefault="000D7938">
            <w:pPr>
              <w:widowControl/>
              <w:jc w:val="center"/>
              <w:rPr>
                <w:rFonts w:ascii="宋体" w:hAnsi="宋体" w:cs="宋体" w:hint="eastAsia"/>
                <w:color w:val="000000"/>
                <w:kern w:val="0"/>
                <w:sz w:val="20"/>
                <w:szCs w:val="20"/>
              </w:rPr>
            </w:pPr>
          </w:p>
        </w:tc>
        <w:tc>
          <w:tcPr>
            <w:tcW w:w="574" w:type="dxa"/>
            <w:tcBorders>
              <w:top w:val="nil"/>
              <w:left w:val="nil"/>
              <w:bottom w:val="single" w:sz="4" w:space="0" w:color="auto"/>
              <w:right w:val="single" w:sz="4" w:space="0" w:color="auto"/>
            </w:tcBorders>
            <w:shd w:val="clear" w:color="auto" w:fill="auto"/>
            <w:vAlign w:val="center"/>
          </w:tcPr>
          <w:p w14:paraId="7165E811" w14:textId="77777777" w:rsidR="000D7938"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D84D846" w14:textId="77777777" w:rsidR="000D7938"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购买设备及办公用品</w:t>
            </w:r>
          </w:p>
        </w:tc>
        <w:tc>
          <w:tcPr>
            <w:tcW w:w="1125" w:type="dxa"/>
            <w:tcBorders>
              <w:top w:val="nil"/>
              <w:left w:val="nil"/>
              <w:bottom w:val="single" w:sz="4" w:space="0" w:color="auto"/>
              <w:right w:val="single" w:sz="4" w:space="0" w:color="auto"/>
            </w:tcBorders>
            <w:shd w:val="clear" w:color="auto" w:fill="auto"/>
            <w:vAlign w:val="center"/>
          </w:tcPr>
          <w:p w14:paraId="1C69D843" w14:textId="77777777" w:rsidR="000D7938"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=1批</w:t>
            </w:r>
          </w:p>
        </w:tc>
        <w:tc>
          <w:tcPr>
            <w:tcW w:w="1229" w:type="dxa"/>
            <w:tcBorders>
              <w:top w:val="nil"/>
              <w:left w:val="nil"/>
              <w:bottom w:val="single" w:sz="4" w:space="0" w:color="auto"/>
              <w:right w:val="single" w:sz="4" w:space="0" w:color="auto"/>
            </w:tcBorders>
            <w:shd w:val="clear" w:color="auto" w:fill="auto"/>
            <w:vAlign w:val="center"/>
          </w:tcPr>
          <w:p w14:paraId="239A4C4C" w14:textId="77777777" w:rsidR="000D7938"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=1批</w:t>
            </w:r>
          </w:p>
        </w:tc>
        <w:tc>
          <w:tcPr>
            <w:tcW w:w="601" w:type="dxa"/>
            <w:gridSpan w:val="2"/>
            <w:tcBorders>
              <w:top w:val="single" w:sz="4" w:space="0" w:color="auto"/>
              <w:left w:val="nil"/>
              <w:bottom w:val="single" w:sz="4" w:space="0" w:color="auto"/>
              <w:right w:val="single" w:sz="4" w:space="0" w:color="000000"/>
            </w:tcBorders>
            <w:shd w:val="clear" w:color="auto" w:fill="auto"/>
            <w:vAlign w:val="center"/>
          </w:tcPr>
          <w:p w14:paraId="716DBDCC" w14:textId="77777777" w:rsidR="000D7938"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10</w:t>
            </w:r>
          </w:p>
        </w:tc>
        <w:tc>
          <w:tcPr>
            <w:tcW w:w="568" w:type="dxa"/>
            <w:gridSpan w:val="2"/>
            <w:tcBorders>
              <w:top w:val="single" w:sz="4" w:space="0" w:color="auto"/>
              <w:left w:val="nil"/>
              <w:bottom w:val="single" w:sz="4" w:space="0" w:color="auto"/>
              <w:right w:val="single" w:sz="4" w:space="0" w:color="000000"/>
            </w:tcBorders>
            <w:shd w:val="clear" w:color="auto" w:fill="auto"/>
            <w:vAlign w:val="center"/>
          </w:tcPr>
          <w:p w14:paraId="1A17322C" w14:textId="77777777" w:rsidR="000D7938"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10</w:t>
            </w:r>
          </w:p>
        </w:tc>
        <w:tc>
          <w:tcPr>
            <w:tcW w:w="1512" w:type="dxa"/>
            <w:gridSpan w:val="2"/>
            <w:tcBorders>
              <w:top w:val="single" w:sz="4" w:space="0" w:color="auto"/>
              <w:left w:val="nil"/>
              <w:bottom w:val="single" w:sz="4" w:space="0" w:color="auto"/>
              <w:right w:val="single" w:sz="4" w:space="0" w:color="auto"/>
            </w:tcBorders>
            <w:shd w:val="clear" w:color="auto" w:fill="auto"/>
            <w:vAlign w:val="center"/>
          </w:tcPr>
          <w:p w14:paraId="06EC8D97" w14:textId="77777777" w:rsidR="000D7938" w:rsidRDefault="000D7938">
            <w:pPr>
              <w:jc w:val="center"/>
              <w:rPr>
                <w:rFonts w:ascii="宋体" w:hAnsi="宋体" w:cs="宋体" w:hint="eastAsia"/>
                <w:sz w:val="20"/>
                <w:szCs w:val="20"/>
                <w14:ligatures w14:val="standardContextual"/>
              </w:rPr>
            </w:pPr>
          </w:p>
        </w:tc>
      </w:tr>
      <w:tr w:rsidR="000D7938" w14:paraId="482ABB4D" w14:textId="77777777">
        <w:trPr>
          <w:cantSplit/>
          <w:trHeight w:val="600"/>
          <w:jc w:val="center"/>
        </w:trPr>
        <w:tc>
          <w:tcPr>
            <w:tcW w:w="489" w:type="dxa"/>
            <w:vMerge/>
            <w:tcBorders>
              <w:top w:val="nil"/>
              <w:left w:val="single" w:sz="4" w:space="0" w:color="auto"/>
              <w:bottom w:val="single" w:sz="4" w:space="0" w:color="auto"/>
              <w:right w:val="single" w:sz="4" w:space="0" w:color="auto"/>
            </w:tcBorders>
            <w:vAlign w:val="center"/>
          </w:tcPr>
          <w:p w14:paraId="7DD01550" w14:textId="77777777" w:rsidR="000D7938" w:rsidRDefault="000D7938">
            <w:pPr>
              <w:widowControl/>
              <w:jc w:val="left"/>
              <w:rPr>
                <w:rFonts w:ascii="宋体" w:hAnsi="宋体" w:cs="宋体" w:hint="eastAsia"/>
                <w:color w:val="000000"/>
                <w:kern w:val="0"/>
                <w:sz w:val="20"/>
                <w:szCs w:val="20"/>
              </w:rPr>
            </w:pPr>
          </w:p>
        </w:tc>
        <w:tc>
          <w:tcPr>
            <w:tcW w:w="567" w:type="dxa"/>
            <w:vMerge/>
            <w:tcBorders>
              <w:top w:val="nil"/>
              <w:left w:val="nil"/>
              <w:bottom w:val="single" w:sz="4" w:space="0" w:color="auto"/>
              <w:right w:val="single" w:sz="4" w:space="0" w:color="auto"/>
            </w:tcBorders>
            <w:shd w:val="clear" w:color="auto" w:fill="auto"/>
            <w:vAlign w:val="center"/>
          </w:tcPr>
          <w:p w14:paraId="32CE9832" w14:textId="77777777" w:rsidR="000D7938" w:rsidRDefault="000D7938">
            <w:pPr>
              <w:widowControl/>
              <w:jc w:val="center"/>
              <w:rPr>
                <w:rFonts w:ascii="宋体" w:hAnsi="宋体" w:cs="宋体" w:hint="eastAsia"/>
                <w:color w:val="000000"/>
                <w:kern w:val="0"/>
                <w:sz w:val="20"/>
                <w:szCs w:val="20"/>
              </w:rPr>
            </w:pPr>
          </w:p>
        </w:tc>
        <w:tc>
          <w:tcPr>
            <w:tcW w:w="574" w:type="dxa"/>
            <w:tcBorders>
              <w:top w:val="nil"/>
              <w:left w:val="nil"/>
              <w:bottom w:val="single" w:sz="4" w:space="0" w:color="auto"/>
              <w:right w:val="single" w:sz="4" w:space="0" w:color="auto"/>
            </w:tcBorders>
            <w:shd w:val="clear" w:color="auto" w:fill="auto"/>
            <w:vAlign w:val="center"/>
          </w:tcPr>
          <w:p w14:paraId="3AB19300" w14:textId="77777777" w:rsidR="000D7938"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96142DD" w14:textId="77777777" w:rsidR="000D7938"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资金拨付及时率（%）</w:t>
            </w:r>
          </w:p>
        </w:tc>
        <w:tc>
          <w:tcPr>
            <w:tcW w:w="1125" w:type="dxa"/>
            <w:tcBorders>
              <w:top w:val="nil"/>
              <w:left w:val="nil"/>
              <w:bottom w:val="single" w:sz="4" w:space="0" w:color="auto"/>
              <w:right w:val="single" w:sz="4" w:space="0" w:color="auto"/>
            </w:tcBorders>
            <w:shd w:val="clear" w:color="auto" w:fill="auto"/>
            <w:vAlign w:val="center"/>
          </w:tcPr>
          <w:p w14:paraId="334EE649" w14:textId="77777777" w:rsidR="000D7938"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=100%</w:t>
            </w:r>
          </w:p>
        </w:tc>
        <w:tc>
          <w:tcPr>
            <w:tcW w:w="1229" w:type="dxa"/>
            <w:tcBorders>
              <w:top w:val="nil"/>
              <w:left w:val="nil"/>
              <w:bottom w:val="single" w:sz="4" w:space="0" w:color="auto"/>
              <w:right w:val="single" w:sz="4" w:space="0" w:color="auto"/>
            </w:tcBorders>
            <w:shd w:val="clear" w:color="auto" w:fill="auto"/>
            <w:vAlign w:val="center"/>
          </w:tcPr>
          <w:p w14:paraId="74E55BBA" w14:textId="77777777" w:rsidR="000D7938"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=100%</w:t>
            </w:r>
          </w:p>
        </w:tc>
        <w:tc>
          <w:tcPr>
            <w:tcW w:w="601" w:type="dxa"/>
            <w:gridSpan w:val="2"/>
            <w:tcBorders>
              <w:top w:val="single" w:sz="4" w:space="0" w:color="auto"/>
              <w:left w:val="nil"/>
              <w:bottom w:val="single" w:sz="4" w:space="0" w:color="auto"/>
              <w:right w:val="single" w:sz="4" w:space="0" w:color="000000"/>
            </w:tcBorders>
            <w:shd w:val="clear" w:color="auto" w:fill="auto"/>
            <w:vAlign w:val="center"/>
          </w:tcPr>
          <w:p w14:paraId="1DFCED47" w14:textId="77777777" w:rsidR="000D7938"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10</w:t>
            </w:r>
          </w:p>
        </w:tc>
        <w:tc>
          <w:tcPr>
            <w:tcW w:w="568" w:type="dxa"/>
            <w:gridSpan w:val="2"/>
            <w:tcBorders>
              <w:top w:val="single" w:sz="4" w:space="0" w:color="auto"/>
              <w:left w:val="nil"/>
              <w:bottom w:val="single" w:sz="4" w:space="0" w:color="auto"/>
              <w:right w:val="single" w:sz="4" w:space="0" w:color="000000"/>
            </w:tcBorders>
            <w:shd w:val="clear" w:color="auto" w:fill="auto"/>
            <w:vAlign w:val="center"/>
          </w:tcPr>
          <w:p w14:paraId="0B277644" w14:textId="77777777" w:rsidR="000D7938"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10</w:t>
            </w:r>
          </w:p>
        </w:tc>
        <w:tc>
          <w:tcPr>
            <w:tcW w:w="1512" w:type="dxa"/>
            <w:gridSpan w:val="2"/>
            <w:tcBorders>
              <w:top w:val="single" w:sz="4" w:space="0" w:color="auto"/>
              <w:left w:val="nil"/>
              <w:bottom w:val="single" w:sz="4" w:space="0" w:color="auto"/>
              <w:right w:val="single" w:sz="4" w:space="0" w:color="auto"/>
            </w:tcBorders>
            <w:shd w:val="clear" w:color="auto" w:fill="auto"/>
            <w:vAlign w:val="center"/>
          </w:tcPr>
          <w:p w14:paraId="03F0CE65" w14:textId="77777777" w:rsidR="000D7938" w:rsidRDefault="000D7938">
            <w:pPr>
              <w:jc w:val="center"/>
              <w:rPr>
                <w:rFonts w:ascii="宋体" w:hAnsi="宋体" w:cs="宋体" w:hint="eastAsia"/>
                <w:sz w:val="20"/>
                <w:szCs w:val="20"/>
                <w14:ligatures w14:val="standardContextual"/>
              </w:rPr>
            </w:pPr>
          </w:p>
        </w:tc>
      </w:tr>
      <w:tr w:rsidR="000D7938" w14:paraId="5C9CF4B6" w14:textId="77777777">
        <w:trPr>
          <w:cantSplit/>
          <w:trHeight w:val="600"/>
          <w:jc w:val="center"/>
        </w:trPr>
        <w:tc>
          <w:tcPr>
            <w:tcW w:w="489" w:type="dxa"/>
            <w:vMerge/>
            <w:tcBorders>
              <w:top w:val="nil"/>
              <w:left w:val="single" w:sz="4" w:space="0" w:color="auto"/>
              <w:bottom w:val="single" w:sz="4" w:space="0" w:color="auto"/>
              <w:right w:val="single" w:sz="4" w:space="0" w:color="auto"/>
            </w:tcBorders>
            <w:vAlign w:val="center"/>
          </w:tcPr>
          <w:p w14:paraId="2A60652C" w14:textId="77777777" w:rsidR="000D7938" w:rsidRDefault="000D7938">
            <w:pPr>
              <w:widowControl/>
              <w:jc w:val="left"/>
              <w:rPr>
                <w:rFonts w:ascii="宋体" w:hAnsi="宋体" w:cs="宋体" w:hint="eastAsia"/>
                <w:color w:val="000000"/>
                <w:kern w:val="0"/>
                <w:sz w:val="20"/>
                <w:szCs w:val="20"/>
              </w:rPr>
            </w:pPr>
          </w:p>
        </w:tc>
        <w:tc>
          <w:tcPr>
            <w:tcW w:w="567" w:type="dxa"/>
            <w:vMerge/>
            <w:tcBorders>
              <w:top w:val="nil"/>
              <w:left w:val="nil"/>
              <w:bottom w:val="single" w:sz="4" w:space="0" w:color="auto"/>
              <w:right w:val="single" w:sz="4" w:space="0" w:color="auto"/>
            </w:tcBorders>
            <w:shd w:val="clear" w:color="auto" w:fill="auto"/>
            <w:vAlign w:val="center"/>
          </w:tcPr>
          <w:p w14:paraId="4F16078D" w14:textId="77777777" w:rsidR="000D7938" w:rsidRDefault="000D7938">
            <w:pPr>
              <w:widowControl/>
              <w:jc w:val="center"/>
              <w:rPr>
                <w:rFonts w:ascii="宋体" w:hAnsi="宋体" w:cs="宋体" w:hint="eastAsia"/>
                <w:color w:val="000000"/>
                <w:kern w:val="0"/>
                <w:sz w:val="20"/>
                <w:szCs w:val="20"/>
              </w:rPr>
            </w:pPr>
          </w:p>
        </w:tc>
        <w:tc>
          <w:tcPr>
            <w:tcW w:w="574" w:type="dxa"/>
            <w:tcBorders>
              <w:top w:val="nil"/>
              <w:left w:val="nil"/>
              <w:bottom w:val="single" w:sz="4" w:space="0" w:color="auto"/>
              <w:right w:val="single" w:sz="4" w:space="0" w:color="auto"/>
            </w:tcBorders>
            <w:shd w:val="clear" w:color="auto" w:fill="auto"/>
            <w:vAlign w:val="center"/>
          </w:tcPr>
          <w:p w14:paraId="1B2C7967" w14:textId="77777777" w:rsidR="000D7938"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43A1B58" w14:textId="77777777" w:rsidR="000D7938"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项目完成及时率（%）</w:t>
            </w:r>
          </w:p>
        </w:tc>
        <w:tc>
          <w:tcPr>
            <w:tcW w:w="1125" w:type="dxa"/>
            <w:tcBorders>
              <w:top w:val="nil"/>
              <w:left w:val="nil"/>
              <w:bottom w:val="single" w:sz="4" w:space="0" w:color="auto"/>
              <w:right w:val="single" w:sz="4" w:space="0" w:color="auto"/>
            </w:tcBorders>
            <w:shd w:val="clear" w:color="auto" w:fill="auto"/>
            <w:vAlign w:val="center"/>
          </w:tcPr>
          <w:p w14:paraId="1437B7EB" w14:textId="77777777" w:rsidR="000D7938"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=100%</w:t>
            </w:r>
          </w:p>
        </w:tc>
        <w:tc>
          <w:tcPr>
            <w:tcW w:w="1229" w:type="dxa"/>
            <w:tcBorders>
              <w:top w:val="nil"/>
              <w:left w:val="nil"/>
              <w:bottom w:val="single" w:sz="4" w:space="0" w:color="auto"/>
              <w:right w:val="single" w:sz="4" w:space="0" w:color="auto"/>
            </w:tcBorders>
            <w:shd w:val="clear" w:color="auto" w:fill="auto"/>
            <w:vAlign w:val="center"/>
          </w:tcPr>
          <w:p w14:paraId="389767A5" w14:textId="77777777" w:rsidR="000D7938"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=100%</w:t>
            </w:r>
          </w:p>
        </w:tc>
        <w:tc>
          <w:tcPr>
            <w:tcW w:w="601" w:type="dxa"/>
            <w:gridSpan w:val="2"/>
            <w:tcBorders>
              <w:top w:val="single" w:sz="4" w:space="0" w:color="auto"/>
              <w:left w:val="nil"/>
              <w:bottom w:val="single" w:sz="4" w:space="0" w:color="auto"/>
              <w:right w:val="single" w:sz="4" w:space="0" w:color="000000"/>
            </w:tcBorders>
            <w:shd w:val="clear" w:color="auto" w:fill="auto"/>
            <w:vAlign w:val="center"/>
          </w:tcPr>
          <w:p w14:paraId="23700467" w14:textId="77777777" w:rsidR="000D7938"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10</w:t>
            </w:r>
          </w:p>
        </w:tc>
        <w:tc>
          <w:tcPr>
            <w:tcW w:w="568" w:type="dxa"/>
            <w:gridSpan w:val="2"/>
            <w:tcBorders>
              <w:top w:val="single" w:sz="4" w:space="0" w:color="auto"/>
              <w:left w:val="nil"/>
              <w:bottom w:val="single" w:sz="4" w:space="0" w:color="auto"/>
              <w:right w:val="single" w:sz="4" w:space="0" w:color="000000"/>
            </w:tcBorders>
            <w:shd w:val="clear" w:color="auto" w:fill="auto"/>
            <w:vAlign w:val="center"/>
          </w:tcPr>
          <w:p w14:paraId="1B65A6A2" w14:textId="77777777" w:rsidR="000D7938"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10</w:t>
            </w:r>
          </w:p>
        </w:tc>
        <w:tc>
          <w:tcPr>
            <w:tcW w:w="1512" w:type="dxa"/>
            <w:gridSpan w:val="2"/>
            <w:tcBorders>
              <w:top w:val="single" w:sz="4" w:space="0" w:color="auto"/>
              <w:left w:val="nil"/>
              <w:bottom w:val="single" w:sz="4" w:space="0" w:color="auto"/>
              <w:right w:val="single" w:sz="4" w:space="0" w:color="auto"/>
            </w:tcBorders>
            <w:shd w:val="clear" w:color="auto" w:fill="auto"/>
            <w:vAlign w:val="center"/>
          </w:tcPr>
          <w:p w14:paraId="25B645B5" w14:textId="77777777" w:rsidR="000D7938" w:rsidRDefault="000D7938">
            <w:pPr>
              <w:jc w:val="center"/>
              <w:rPr>
                <w:rFonts w:ascii="宋体" w:hAnsi="宋体" w:cs="宋体" w:hint="eastAsia"/>
                <w:sz w:val="20"/>
                <w:szCs w:val="20"/>
                <w14:ligatures w14:val="standardContextual"/>
              </w:rPr>
            </w:pPr>
          </w:p>
        </w:tc>
      </w:tr>
      <w:tr w:rsidR="000D7938" w14:paraId="6E2FA85E" w14:textId="77777777">
        <w:trPr>
          <w:cantSplit/>
          <w:trHeight w:val="600"/>
          <w:jc w:val="center"/>
        </w:trPr>
        <w:tc>
          <w:tcPr>
            <w:tcW w:w="489" w:type="dxa"/>
            <w:vMerge/>
            <w:tcBorders>
              <w:top w:val="nil"/>
              <w:left w:val="single" w:sz="4" w:space="0" w:color="auto"/>
              <w:bottom w:val="single" w:sz="4" w:space="0" w:color="auto"/>
              <w:right w:val="single" w:sz="4" w:space="0" w:color="auto"/>
            </w:tcBorders>
            <w:vAlign w:val="center"/>
          </w:tcPr>
          <w:p w14:paraId="0C64E0A8" w14:textId="77777777" w:rsidR="000D7938" w:rsidRDefault="000D7938">
            <w:pPr>
              <w:widowControl/>
              <w:jc w:val="left"/>
              <w:rPr>
                <w:rFonts w:ascii="宋体" w:hAnsi="宋体" w:cs="宋体" w:hint="eastAsia"/>
                <w:color w:val="000000"/>
                <w:kern w:val="0"/>
                <w:sz w:val="20"/>
                <w:szCs w:val="20"/>
              </w:rPr>
            </w:pPr>
          </w:p>
        </w:tc>
        <w:tc>
          <w:tcPr>
            <w:tcW w:w="567" w:type="dxa"/>
            <w:vMerge w:val="restart"/>
            <w:tcBorders>
              <w:top w:val="nil"/>
              <w:left w:val="nil"/>
              <w:bottom w:val="single" w:sz="4" w:space="0" w:color="auto"/>
              <w:right w:val="single" w:sz="4" w:space="0" w:color="auto"/>
            </w:tcBorders>
            <w:shd w:val="clear" w:color="auto" w:fill="auto"/>
            <w:vAlign w:val="center"/>
          </w:tcPr>
          <w:p w14:paraId="150B4E26" w14:textId="77777777" w:rsidR="000D7938"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成本指标</w:t>
            </w:r>
          </w:p>
        </w:tc>
        <w:tc>
          <w:tcPr>
            <w:tcW w:w="574" w:type="dxa"/>
            <w:tcBorders>
              <w:top w:val="nil"/>
              <w:left w:val="nil"/>
              <w:bottom w:val="single" w:sz="4" w:space="0" w:color="auto"/>
              <w:right w:val="single" w:sz="4" w:space="0" w:color="auto"/>
            </w:tcBorders>
            <w:shd w:val="clear" w:color="auto" w:fill="auto"/>
            <w:vAlign w:val="center"/>
          </w:tcPr>
          <w:p w14:paraId="6DC1B55C" w14:textId="77777777" w:rsidR="000D7938"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B57750C" w14:textId="77777777" w:rsidR="000D7938"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对个人补助金额</w:t>
            </w:r>
          </w:p>
        </w:tc>
        <w:tc>
          <w:tcPr>
            <w:tcW w:w="1125" w:type="dxa"/>
            <w:tcBorders>
              <w:top w:val="nil"/>
              <w:left w:val="nil"/>
              <w:bottom w:val="single" w:sz="4" w:space="0" w:color="auto"/>
              <w:right w:val="single" w:sz="4" w:space="0" w:color="auto"/>
            </w:tcBorders>
            <w:shd w:val="clear" w:color="auto" w:fill="auto"/>
            <w:vAlign w:val="center"/>
          </w:tcPr>
          <w:p w14:paraId="2532131F" w14:textId="77777777" w:rsidR="000D7938"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&lt;=0.90万元</w:t>
            </w:r>
          </w:p>
        </w:tc>
        <w:tc>
          <w:tcPr>
            <w:tcW w:w="1229" w:type="dxa"/>
            <w:tcBorders>
              <w:top w:val="nil"/>
              <w:left w:val="nil"/>
              <w:bottom w:val="single" w:sz="4" w:space="0" w:color="auto"/>
              <w:right w:val="single" w:sz="4" w:space="0" w:color="auto"/>
            </w:tcBorders>
            <w:shd w:val="clear" w:color="auto" w:fill="auto"/>
            <w:vAlign w:val="center"/>
          </w:tcPr>
          <w:p w14:paraId="0D1443DD" w14:textId="77777777" w:rsidR="000D7938"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=0.9万元</w:t>
            </w:r>
          </w:p>
        </w:tc>
        <w:tc>
          <w:tcPr>
            <w:tcW w:w="601" w:type="dxa"/>
            <w:gridSpan w:val="2"/>
            <w:tcBorders>
              <w:top w:val="single" w:sz="4" w:space="0" w:color="auto"/>
              <w:left w:val="nil"/>
              <w:bottom w:val="single" w:sz="4" w:space="0" w:color="auto"/>
              <w:right w:val="single" w:sz="4" w:space="0" w:color="000000"/>
            </w:tcBorders>
            <w:shd w:val="clear" w:color="auto" w:fill="auto"/>
            <w:vAlign w:val="center"/>
          </w:tcPr>
          <w:p w14:paraId="5D7C2038" w14:textId="77777777" w:rsidR="000D7938"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10</w:t>
            </w:r>
          </w:p>
        </w:tc>
        <w:tc>
          <w:tcPr>
            <w:tcW w:w="568" w:type="dxa"/>
            <w:gridSpan w:val="2"/>
            <w:tcBorders>
              <w:top w:val="single" w:sz="4" w:space="0" w:color="auto"/>
              <w:left w:val="nil"/>
              <w:bottom w:val="single" w:sz="4" w:space="0" w:color="auto"/>
              <w:right w:val="single" w:sz="4" w:space="0" w:color="000000"/>
            </w:tcBorders>
            <w:shd w:val="clear" w:color="auto" w:fill="auto"/>
            <w:vAlign w:val="center"/>
          </w:tcPr>
          <w:p w14:paraId="7DECE140" w14:textId="77777777" w:rsidR="000D7938"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10</w:t>
            </w:r>
          </w:p>
        </w:tc>
        <w:tc>
          <w:tcPr>
            <w:tcW w:w="1512" w:type="dxa"/>
            <w:gridSpan w:val="2"/>
            <w:tcBorders>
              <w:top w:val="single" w:sz="4" w:space="0" w:color="auto"/>
              <w:left w:val="nil"/>
              <w:bottom w:val="single" w:sz="4" w:space="0" w:color="auto"/>
              <w:right w:val="single" w:sz="4" w:space="0" w:color="auto"/>
            </w:tcBorders>
            <w:shd w:val="clear" w:color="auto" w:fill="auto"/>
            <w:vAlign w:val="center"/>
          </w:tcPr>
          <w:p w14:paraId="038A5D73" w14:textId="77777777" w:rsidR="000D7938" w:rsidRDefault="000D7938">
            <w:pPr>
              <w:jc w:val="center"/>
              <w:rPr>
                <w:rFonts w:ascii="宋体" w:hAnsi="宋体" w:cs="宋体" w:hint="eastAsia"/>
                <w:sz w:val="20"/>
                <w:szCs w:val="20"/>
                <w14:ligatures w14:val="standardContextual"/>
              </w:rPr>
            </w:pPr>
          </w:p>
        </w:tc>
      </w:tr>
      <w:tr w:rsidR="000D7938" w14:paraId="30776A02" w14:textId="77777777">
        <w:trPr>
          <w:cantSplit/>
          <w:trHeight w:val="600"/>
          <w:jc w:val="center"/>
        </w:trPr>
        <w:tc>
          <w:tcPr>
            <w:tcW w:w="489" w:type="dxa"/>
            <w:vMerge/>
            <w:tcBorders>
              <w:top w:val="nil"/>
              <w:left w:val="single" w:sz="4" w:space="0" w:color="auto"/>
              <w:bottom w:val="single" w:sz="4" w:space="0" w:color="auto"/>
              <w:right w:val="single" w:sz="4" w:space="0" w:color="auto"/>
            </w:tcBorders>
            <w:vAlign w:val="center"/>
          </w:tcPr>
          <w:p w14:paraId="355B02B4" w14:textId="77777777" w:rsidR="000D7938" w:rsidRDefault="000D7938">
            <w:pPr>
              <w:widowControl/>
              <w:jc w:val="left"/>
              <w:rPr>
                <w:rFonts w:ascii="宋体" w:hAnsi="宋体" w:cs="宋体" w:hint="eastAsia"/>
                <w:color w:val="000000"/>
                <w:kern w:val="0"/>
                <w:sz w:val="20"/>
                <w:szCs w:val="20"/>
              </w:rPr>
            </w:pPr>
          </w:p>
        </w:tc>
        <w:tc>
          <w:tcPr>
            <w:tcW w:w="567" w:type="dxa"/>
            <w:vMerge/>
            <w:tcBorders>
              <w:top w:val="nil"/>
              <w:left w:val="nil"/>
              <w:bottom w:val="single" w:sz="4" w:space="0" w:color="auto"/>
              <w:right w:val="single" w:sz="4" w:space="0" w:color="auto"/>
            </w:tcBorders>
            <w:shd w:val="clear" w:color="auto" w:fill="auto"/>
            <w:vAlign w:val="center"/>
          </w:tcPr>
          <w:p w14:paraId="7F83843C" w14:textId="77777777" w:rsidR="000D7938" w:rsidRDefault="000D7938">
            <w:pPr>
              <w:widowControl/>
              <w:jc w:val="center"/>
              <w:rPr>
                <w:rFonts w:ascii="宋体" w:hAnsi="宋体" w:cs="宋体" w:hint="eastAsia"/>
                <w:color w:val="000000"/>
                <w:kern w:val="0"/>
                <w:sz w:val="20"/>
                <w:szCs w:val="20"/>
              </w:rPr>
            </w:pPr>
          </w:p>
        </w:tc>
        <w:tc>
          <w:tcPr>
            <w:tcW w:w="574" w:type="dxa"/>
            <w:tcBorders>
              <w:top w:val="nil"/>
              <w:left w:val="nil"/>
              <w:bottom w:val="single" w:sz="4" w:space="0" w:color="auto"/>
              <w:right w:val="single" w:sz="4" w:space="0" w:color="auto"/>
            </w:tcBorders>
            <w:shd w:val="clear" w:color="auto" w:fill="auto"/>
            <w:vAlign w:val="center"/>
          </w:tcPr>
          <w:p w14:paraId="7374F19F" w14:textId="77777777" w:rsidR="000D7938"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8665C77" w14:textId="77777777" w:rsidR="000D7938"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购买设备及办公用品金额</w:t>
            </w:r>
          </w:p>
        </w:tc>
        <w:tc>
          <w:tcPr>
            <w:tcW w:w="1125" w:type="dxa"/>
            <w:tcBorders>
              <w:top w:val="nil"/>
              <w:left w:val="nil"/>
              <w:bottom w:val="single" w:sz="4" w:space="0" w:color="auto"/>
              <w:right w:val="single" w:sz="4" w:space="0" w:color="auto"/>
            </w:tcBorders>
            <w:shd w:val="clear" w:color="auto" w:fill="auto"/>
            <w:vAlign w:val="center"/>
          </w:tcPr>
          <w:p w14:paraId="39F63D3D" w14:textId="77777777" w:rsidR="000D7938"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&lt;=2.10万元</w:t>
            </w:r>
          </w:p>
        </w:tc>
        <w:tc>
          <w:tcPr>
            <w:tcW w:w="1229" w:type="dxa"/>
            <w:tcBorders>
              <w:top w:val="nil"/>
              <w:left w:val="nil"/>
              <w:bottom w:val="single" w:sz="4" w:space="0" w:color="auto"/>
              <w:right w:val="single" w:sz="4" w:space="0" w:color="auto"/>
            </w:tcBorders>
            <w:shd w:val="clear" w:color="auto" w:fill="auto"/>
            <w:vAlign w:val="center"/>
          </w:tcPr>
          <w:p w14:paraId="3698183D" w14:textId="77777777" w:rsidR="000D7938"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=2.1万元</w:t>
            </w:r>
          </w:p>
        </w:tc>
        <w:tc>
          <w:tcPr>
            <w:tcW w:w="601" w:type="dxa"/>
            <w:gridSpan w:val="2"/>
            <w:tcBorders>
              <w:top w:val="single" w:sz="4" w:space="0" w:color="auto"/>
              <w:left w:val="nil"/>
              <w:bottom w:val="single" w:sz="4" w:space="0" w:color="auto"/>
              <w:right w:val="single" w:sz="4" w:space="0" w:color="000000"/>
            </w:tcBorders>
            <w:shd w:val="clear" w:color="auto" w:fill="auto"/>
            <w:vAlign w:val="center"/>
          </w:tcPr>
          <w:p w14:paraId="03E6B627" w14:textId="77777777" w:rsidR="000D7938"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10</w:t>
            </w:r>
          </w:p>
        </w:tc>
        <w:tc>
          <w:tcPr>
            <w:tcW w:w="568" w:type="dxa"/>
            <w:gridSpan w:val="2"/>
            <w:tcBorders>
              <w:top w:val="single" w:sz="4" w:space="0" w:color="auto"/>
              <w:left w:val="nil"/>
              <w:bottom w:val="single" w:sz="4" w:space="0" w:color="auto"/>
              <w:right w:val="single" w:sz="4" w:space="0" w:color="000000"/>
            </w:tcBorders>
            <w:shd w:val="clear" w:color="auto" w:fill="auto"/>
            <w:vAlign w:val="center"/>
          </w:tcPr>
          <w:p w14:paraId="44E6AF6A" w14:textId="77777777" w:rsidR="000D7938"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10</w:t>
            </w:r>
          </w:p>
        </w:tc>
        <w:tc>
          <w:tcPr>
            <w:tcW w:w="1512" w:type="dxa"/>
            <w:gridSpan w:val="2"/>
            <w:tcBorders>
              <w:top w:val="single" w:sz="4" w:space="0" w:color="auto"/>
              <w:left w:val="nil"/>
              <w:bottom w:val="single" w:sz="4" w:space="0" w:color="auto"/>
              <w:right w:val="single" w:sz="4" w:space="0" w:color="auto"/>
            </w:tcBorders>
            <w:shd w:val="clear" w:color="auto" w:fill="auto"/>
            <w:vAlign w:val="center"/>
          </w:tcPr>
          <w:p w14:paraId="60E446A7" w14:textId="77777777" w:rsidR="000D7938" w:rsidRDefault="000D7938">
            <w:pPr>
              <w:jc w:val="center"/>
              <w:rPr>
                <w:rFonts w:ascii="宋体" w:hAnsi="宋体" w:cs="宋体" w:hint="eastAsia"/>
                <w:sz w:val="20"/>
                <w:szCs w:val="20"/>
                <w14:ligatures w14:val="standardContextual"/>
              </w:rPr>
            </w:pPr>
          </w:p>
        </w:tc>
      </w:tr>
      <w:tr w:rsidR="000D7938" w14:paraId="7FF65149" w14:textId="77777777">
        <w:trPr>
          <w:cantSplit/>
          <w:trHeight w:val="600"/>
          <w:jc w:val="center"/>
        </w:trPr>
        <w:tc>
          <w:tcPr>
            <w:tcW w:w="489" w:type="dxa"/>
            <w:vMerge/>
            <w:tcBorders>
              <w:top w:val="nil"/>
              <w:left w:val="single" w:sz="4" w:space="0" w:color="auto"/>
              <w:bottom w:val="single" w:sz="4" w:space="0" w:color="auto"/>
              <w:right w:val="single" w:sz="4" w:space="0" w:color="auto"/>
            </w:tcBorders>
            <w:vAlign w:val="center"/>
          </w:tcPr>
          <w:p w14:paraId="702A936F" w14:textId="77777777" w:rsidR="000D7938" w:rsidRDefault="000D7938">
            <w:pPr>
              <w:widowControl/>
              <w:jc w:val="left"/>
              <w:rPr>
                <w:rFonts w:ascii="宋体" w:hAnsi="宋体" w:cs="宋体" w:hint="eastAsia"/>
                <w:color w:val="000000"/>
                <w:kern w:val="0"/>
                <w:sz w:val="20"/>
                <w:szCs w:val="20"/>
              </w:rPr>
            </w:pPr>
          </w:p>
        </w:tc>
        <w:tc>
          <w:tcPr>
            <w:tcW w:w="567" w:type="dxa"/>
            <w:tcBorders>
              <w:top w:val="nil"/>
              <w:left w:val="nil"/>
              <w:bottom w:val="single" w:sz="4" w:space="0" w:color="auto"/>
              <w:right w:val="single" w:sz="4" w:space="0" w:color="auto"/>
            </w:tcBorders>
            <w:shd w:val="clear" w:color="auto" w:fill="auto"/>
            <w:vAlign w:val="center"/>
          </w:tcPr>
          <w:p w14:paraId="2C66F8D2" w14:textId="77777777" w:rsidR="000D7938"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效益指标</w:t>
            </w:r>
          </w:p>
        </w:tc>
        <w:tc>
          <w:tcPr>
            <w:tcW w:w="574" w:type="dxa"/>
            <w:tcBorders>
              <w:top w:val="nil"/>
              <w:left w:val="nil"/>
              <w:bottom w:val="single" w:sz="4" w:space="0" w:color="auto"/>
              <w:right w:val="single" w:sz="4" w:space="0" w:color="auto"/>
            </w:tcBorders>
            <w:shd w:val="clear" w:color="auto" w:fill="auto"/>
            <w:vAlign w:val="center"/>
          </w:tcPr>
          <w:p w14:paraId="05644E8F" w14:textId="77777777" w:rsidR="000D7938"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4267540" w14:textId="77777777" w:rsidR="000D7938"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促进昌吉市教育水平提升</w:t>
            </w:r>
          </w:p>
        </w:tc>
        <w:tc>
          <w:tcPr>
            <w:tcW w:w="1125" w:type="dxa"/>
            <w:tcBorders>
              <w:top w:val="nil"/>
              <w:left w:val="nil"/>
              <w:bottom w:val="single" w:sz="4" w:space="0" w:color="auto"/>
              <w:right w:val="single" w:sz="4" w:space="0" w:color="auto"/>
            </w:tcBorders>
            <w:shd w:val="clear" w:color="auto" w:fill="auto"/>
            <w:vAlign w:val="center"/>
          </w:tcPr>
          <w:p w14:paraId="026D0606" w14:textId="77777777" w:rsidR="000D7938"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有效促进</w:t>
            </w:r>
          </w:p>
        </w:tc>
        <w:tc>
          <w:tcPr>
            <w:tcW w:w="1229" w:type="dxa"/>
            <w:tcBorders>
              <w:top w:val="nil"/>
              <w:left w:val="nil"/>
              <w:bottom w:val="single" w:sz="4" w:space="0" w:color="auto"/>
              <w:right w:val="single" w:sz="4" w:space="0" w:color="auto"/>
            </w:tcBorders>
            <w:shd w:val="clear" w:color="auto" w:fill="auto"/>
            <w:vAlign w:val="center"/>
          </w:tcPr>
          <w:p w14:paraId="2B8CCBB4" w14:textId="77777777" w:rsidR="000D7938"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=100%</w:t>
            </w:r>
          </w:p>
        </w:tc>
        <w:tc>
          <w:tcPr>
            <w:tcW w:w="601" w:type="dxa"/>
            <w:gridSpan w:val="2"/>
            <w:tcBorders>
              <w:top w:val="single" w:sz="4" w:space="0" w:color="auto"/>
              <w:left w:val="nil"/>
              <w:bottom w:val="single" w:sz="4" w:space="0" w:color="auto"/>
              <w:right w:val="single" w:sz="4" w:space="0" w:color="000000"/>
            </w:tcBorders>
            <w:shd w:val="clear" w:color="auto" w:fill="auto"/>
            <w:vAlign w:val="center"/>
          </w:tcPr>
          <w:p w14:paraId="536F82B9" w14:textId="77777777" w:rsidR="000D7938"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30</w:t>
            </w:r>
          </w:p>
        </w:tc>
        <w:tc>
          <w:tcPr>
            <w:tcW w:w="568" w:type="dxa"/>
            <w:gridSpan w:val="2"/>
            <w:tcBorders>
              <w:top w:val="single" w:sz="4" w:space="0" w:color="auto"/>
              <w:left w:val="nil"/>
              <w:bottom w:val="single" w:sz="4" w:space="0" w:color="auto"/>
              <w:right w:val="single" w:sz="4" w:space="0" w:color="000000"/>
            </w:tcBorders>
            <w:shd w:val="clear" w:color="auto" w:fill="auto"/>
            <w:vAlign w:val="center"/>
          </w:tcPr>
          <w:p w14:paraId="77F6C4E0" w14:textId="77777777" w:rsidR="000D7938"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30</w:t>
            </w:r>
          </w:p>
        </w:tc>
        <w:tc>
          <w:tcPr>
            <w:tcW w:w="1512" w:type="dxa"/>
            <w:gridSpan w:val="2"/>
            <w:tcBorders>
              <w:top w:val="single" w:sz="4" w:space="0" w:color="auto"/>
              <w:left w:val="nil"/>
              <w:bottom w:val="single" w:sz="4" w:space="0" w:color="auto"/>
              <w:right w:val="single" w:sz="4" w:space="0" w:color="auto"/>
            </w:tcBorders>
            <w:shd w:val="clear" w:color="auto" w:fill="auto"/>
            <w:vAlign w:val="center"/>
          </w:tcPr>
          <w:p w14:paraId="50EBC521" w14:textId="77777777" w:rsidR="000D7938" w:rsidRDefault="000D7938">
            <w:pPr>
              <w:jc w:val="center"/>
              <w:rPr>
                <w:rFonts w:ascii="宋体" w:hAnsi="宋体" w:cs="宋体" w:hint="eastAsia"/>
                <w:sz w:val="20"/>
                <w:szCs w:val="20"/>
                <w14:ligatures w14:val="standardContextual"/>
              </w:rPr>
            </w:pPr>
          </w:p>
        </w:tc>
      </w:tr>
      <w:tr w:rsidR="000D7938" w14:paraId="1F2F55AE" w14:textId="77777777">
        <w:trPr>
          <w:cantSplit/>
          <w:trHeight w:val="500"/>
          <w:jc w:val="center"/>
        </w:trPr>
        <w:tc>
          <w:tcPr>
            <w:tcW w:w="584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2799569B" w14:textId="77777777" w:rsidR="000D7938"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总分</w:t>
            </w:r>
          </w:p>
        </w:tc>
        <w:tc>
          <w:tcPr>
            <w:tcW w:w="601" w:type="dxa"/>
            <w:gridSpan w:val="2"/>
            <w:tcBorders>
              <w:top w:val="single" w:sz="4" w:space="0" w:color="auto"/>
              <w:left w:val="nil"/>
              <w:bottom w:val="single" w:sz="4" w:space="0" w:color="auto"/>
              <w:right w:val="single" w:sz="4" w:space="0" w:color="auto"/>
            </w:tcBorders>
            <w:shd w:val="clear" w:color="auto" w:fill="auto"/>
            <w:vAlign w:val="center"/>
          </w:tcPr>
          <w:p w14:paraId="409C402A" w14:textId="77777777" w:rsidR="000D7938"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100</w:t>
            </w:r>
          </w:p>
        </w:tc>
        <w:tc>
          <w:tcPr>
            <w:tcW w:w="568" w:type="dxa"/>
            <w:gridSpan w:val="2"/>
            <w:tcBorders>
              <w:top w:val="single" w:sz="4" w:space="0" w:color="auto"/>
              <w:left w:val="nil"/>
              <w:bottom w:val="single" w:sz="4" w:space="0" w:color="auto"/>
              <w:right w:val="single" w:sz="4" w:space="0" w:color="auto"/>
            </w:tcBorders>
            <w:shd w:val="clear" w:color="auto" w:fill="auto"/>
            <w:vAlign w:val="center"/>
          </w:tcPr>
          <w:p w14:paraId="45566C84" w14:textId="77777777" w:rsidR="000D7938" w:rsidRDefault="00000000">
            <w:pPr>
              <w:jc w:val="center"/>
              <w:rPr>
                <w:rFonts w:ascii="宋体" w:hAnsi="宋体" w:cs="宋体" w:hint="eastAsia"/>
                <w:sz w:val="20"/>
                <w:szCs w:val="20"/>
                <w14:ligatures w14:val="standardContextual"/>
              </w:rPr>
            </w:pPr>
            <w:r>
              <w:rPr>
                <w:rFonts w:ascii="宋体" w:hAnsi="宋体" w:cs="宋体" w:hint="eastAsia"/>
                <w:sz w:val="20"/>
                <w:szCs w:val="20"/>
                <w14:ligatures w14:val="standardContextual"/>
              </w:rPr>
              <w:t>100分</w:t>
            </w:r>
          </w:p>
        </w:tc>
        <w:tc>
          <w:tcPr>
            <w:tcW w:w="1512" w:type="dxa"/>
            <w:gridSpan w:val="2"/>
            <w:tcBorders>
              <w:top w:val="single" w:sz="4" w:space="0" w:color="auto"/>
              <w:left w:val="nil"/>
              <w:bottom w:val="single" w:sz="4" w:space="0" w:color="auto"/>
              <w:right w:val="single" w:sz="4" w:space="0" w:color="auto"/>
            </w:tcBorders>
            <w:shd w:val="clear" w:color="auto" w:fill="auto"/>
            <w:vAlign w:val="center"/>
          </w:tcPr>
          <w:p w14:paraId="1F8DD4F4" w14:textId="77777777" w:rsidR="000D7938" w:rsidRDefault="000D7938">
            <w:pPr>
              <w:jc w:val="center"/>
              <w:rPr>
                <w:rFonts w:ascii="宋体" w:hAnsi="宋体" w:cs="宋体" w:hint="eastAsia"/>
                <w:sz w:val="20"/>
                <w:szCs w:val="20"/>
                <w14:ligatures w14:val="standardContextual"/>
              </w:rPr>
            </w:pPr>
          </w:p>
        </w:tc>
      </w:tr>
    </w:tbl>
    <w:p w14:paraId="75F6C129" w14:textId="77777777" w:rsidR="000D7938" w:rsidRDefault="000D7938">
      <w:pPr>
        <w:ind w:firstLineChars="200" w:firstLine="640"/>
        <w:jc w:val="left"/>
        <w:rPr>
          <w:rFonts w:ascii="仿宋_GB2312" w:eastAsia="仿宋_GB2312"/>
          <w:sz w:val="32"/>
          <w:szCs w:val="32"/>
        </w:rPr>
      </w:pPr>
    </w:p>
    <w:p w14:paraId="165D30A4" w14:textId="77777777" w:rsidR="000D7938"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101FC90A" w14:textId="77777777" w:rsidR="000D7938" w:rsidRDefault="00000000">
      <w:pPr>
        <w:ind w:firstLineChars="200" w:firstLine="640"/>
        <w:jc w:val="left"/>
        <w:rPr>
          <w:rFonts w:ascii="黑体" w:eastAsia="黑体" w:hAnsi="黑体" w:hint="eastAsia"/>
          <w:sz w:val="32"/>
          <w:szCs w:val="32"/>
        </w:rPr>
      </w:pPr>
      <w:r>
        <w:rPr>
          <w:rFonts w:ascii="仿宋_GB2312" w:eastAsia="仿宋_GB2312" w:hAnsi="仿宋_GB2312" w:cs="仿宋_GB2312" w:hint="eastAsia"/>
          <w:kern w:val="0"/>
          <w:sz w:val="32"/>
          <w:szCs w:val="32"/>
        </w:rPr>
        <w:lastRenderedPageBreak/>
        <w:t>本单位无其他需说明事项</w:t>
      </w:r>
      <w:bookmarkStart w:id="30" w:name="_Toc3250"/>
      <w:bookmarkStart w:id="31" w:name="_Toc24143"/>
      <w:r>
        <w:rPr>
          <w:rFonts w:ascii="仿宋_GB2312" w:eastAsia="仿宋_GB2312" w:hAnsi="仿宋_GB2312" w:cs="仿宋_GB2312" w:hint="eastAsia"/>
          <w:kern w:val="0"/>
          <w:sz w:val="32"/>
          <w:szCs w:val="32"/>
        </w:rPr>
        <w:t>。</w:t>
      </w:r>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2E7046B9" w14:textId="77777777" w:rsidR="000D793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2455E2A1" w14:textId="77777777" w:rsidR="000D793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0DE3EF8A" w14:textId="77777777" w:rsidR="000D793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7C694BAF" w14:textId="77777777" w:rsidR="000D793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6E896E82" w14:textId="77777777" w:rsidR="000D793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29616DD6" w14:textId="77777777" w:rsidR="000D793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19BF60EB" w14:textId="77777777" w:rsidR="000D793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5DF5D75C" w14:textId="77777777" w:rsidR="000D793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B53C2E8" w14:textId="77777777" w:rsidR="000D793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176919FF" w14:textId="77777777" w:rsidR="000D793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36170BB4" w14:textId="77777777" w:rsidR="000D7938"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2D28B77B" w14:textId="77777777" w:rsidR="000D7938"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0E13C147" w14:textId="77777777" w:rsidR="000D7938"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26EA813C" w14:textId="77777777" w:rsidR="000D7938"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0D6C965E" w14:textId="77777777" w:rsidR="000D7938"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19D15723" w14:textId="77777777" w:rsidR="000D7938" w:rsidRDefault="00000000">
      <w:pPr>
        <w:ind w:firstLineChars="200" w:firstLine="640"/>
        <w:outlineLvl w:val="1"/>
        <w:rPr>
          <w:rFonts w:ascii="黑体" w:eastAsia="仿宋_GB2312" w:hAnsi="黑体" w:cs="宋体" w:hint="eastAsia"/>
          <w:bCs/>
          <w:kern w:val="0"/>
          <w:sz w:val="32"/>
          <w:szCs w:val="32"/>
        </w:rPr>
      </w:pPr>
      <w:bookmarkStart w:id="32" w:name="_Toc2183"/>
      <w:bookmarkStart w:id="33" w:name="_Toc6062"/>
      <w:r>
        <w:rPr>
          <w:rFonts w:ascii="黑体" w:eastAsia="仿宋_GB2312" w:hAnsi="黑体" w:cs="宋体" w:hint="eastAsia"/>
          <w:bCs/>
          <w:kern w:val="0"/>
          <w:sz w:val="32"/>
          <w:szCs w:val="32"/>
        </w:rPr>
        <w:t>一、《收入支出决算总表》</w:t>
      </w:r>
      <w:bookmarkEnd w:id="32"/>
      <w:bookmarkEnd w:id="33"/>
    </w:p>
    <w:p w14:paraId="0F089C08" w14:textId="77777777" w:rsidR="000D7938"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585688DD" w14:textId="77777777" w:rsidR="000D7938" w:rsidRDefault="00000000">
      <w:pPr>
        <w:ind w:firstLineChars="200" w:firstLine="640"/>
        <w:outlineLvl w:val="1"/>
        <w:rPr>
          <w:rFonts w:ascii="黑体" w:eastAsia="仿宋_GB2312" w:hAnsi="黑体" w:cs="宋体" w:hint="eastAsia"/>
          <w:bCs/>
          <w:kern w:val="0"/>
          <w:sz w:val="32"/>
          <w:szCs w:val="32"/>
        </w:rPr>
      </w:pPr>
      <w:bookmarkStart w:id="36" w:name="_Toc21304"/>
      <w:bookmarkStart w:id="37" w:name="_Toc32434"/>
      <w:r>
        <w:rPr>
          <w:rFonts w:ascii="黑体" w:eastAsia="仿宋_GB2312" w:hAnsi="黑体" w:cs="宋体" w:hint="eastAsia"/>
          <w:bCs/>
          <w:kern w:val="0"/>
          <w:sz w:val="32"/>
          <w:szCs w:val="32"/>
        </w:rPr>
        <w:t>三、《支出决算表》</w:t>
      </w:r>
      <w:bookmarkEnd w:id="36"/>
      <w:bookmarkEnd w:id="37"/>
    </w:p>
    <w:p w14:paraId="0ACD7BB4" w14:textId="77777777" w:rsidR="000D7938"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080F4DB5" w14:textId="77777777" w:rsidR="000D7938" w:rsidRDefault="00000000">
      <w:pPr>
        <w:ind w:firstLineChars="200" w:firstLine="640"/>
        <w:outlineLvl w:val="1"/>
        <w:rPr>
          <w:rFonts w:ascii="黑体" w:eastAsia="仿宋_GB2312" w:hAnsi="黑体" w:cs="宋体" w:hint="eastAsia"/>
          <w:bCs/>
          <w:kern w:val="0"/>
          <w:sz w:val="32"/>
          <w:szCs w:val="32"/>
        </w:rPr>
      </w:pPr>
      <w:bookmarkStart w:id="40" w:name="_Toc14869"/>
      <w:bookmarkStart w:id="41" w:name="_Toc10347"/>
      <w:r>
        <w:rPr>
          <w:rFonts w:ascii="黑体" w:eastAsia="仿宋_GB2312" w:hAnsi="黑体" w:cs="宋体" w:hint="eastAsia"/>
          <w:bCs/>
          <w:kern w:val="0"/>
          <w:sz w:val="32"/>
          <w:szCs w:val="32"/>
        </w:rPr>
        <w:t>五、《一般公共预算财政拨款支出决算表》</w:t>
      </w:r>
      <w:bookmarkEnd w:id="40"/>
      <w:bookmarkEnd w:id="41"/>
    </w:p>
    <w:p w14:paraId="4E24DDC3" w14:textId="77777777" w:rsidR="000D7938"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775C66D7" w14:textId="77777777" w:rsidR="000D7938"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29106"/>
      <w:bookmarkStart w:id="45" w:name="_Toc32663"/>
      <w:r>
        <w:rPr>
          <w:rFonts w:ascii="黑体" w:eastAsia="仿宋_GB2312" w:hAnsi="黑体" w:cs="宋体" w:hint="eastAsia"/>
          <w:bCs/>
          <w:kern w:val="0"/>
          <w:sz w:val="32"/>
          <w:szCs w:val="32"/>
        </w:rPr>
        <w:t>《财政拨款“三公”经费支出决算表》</w:t>
      </w:r>
      <w:bookmarkEnd w:id="44"/>
      <w:bookmarkEnd w:id="45"/>
    </w:p>
    <w:p w14:paraId="2EE2409D" w14:textId="77777777" w:rsidR="000D7938"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38D5A047" w14:textId="77777777" w:rsidR="000D7938"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76728414" w14:textId="77777777" w:rsidR="000D7938" w:rsidRDefault="000D7938">
      <w:pPr>
        <w:ind w:firstLineChars="200" w:firstLine="640"/>
        <w:rPr>
          <w:rFonts w:ascii="仿宋_GB2312" w:eastAsia="仿宋_GB2312"/>
          <w:sz w:val="32"/>
          <w:szCs w:val="32"/>
        </w:rPr>
      </w:pPr>
    </w:p>
    <w:p w14:paraId="2241EDA0" w14:textId="77777777" w:rsidR="000D7938" w:rsidRDefault="000D7938">
      <w:pPr>
        <w:ind w:firstLineChars="200" w:firstLine="640"/>
        <w:outlineLvl w:val="1"/>
        <w:rPr>
          <w:rFonts w:ascii="黑体" w:eastAsia="黑体" w:hAnsi="黑体" w:cs="宋体" w:hint="eastAsia"/>
          <w:bCs/>
          <w:kern w:val="0"/>
          <w:sz w:val="32"/>
          <w:szCs w:val="32"/>
        </w:rPr>
      </w:pPr>
    </w:p>
    <w:sectPr w:rsidR="000D793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4E24E1" w14:textId="77777777" w:rsidR="005F1043" w:rsidRDefault="005F1043">
      <w:r>
        <w:separator/>
      </w:r>
    </w:p>
  </w:endnote>
  <w:endnote w:type="continuationSeparator" w:id="0">
    <w:p w14:paraId="122ADAC5" w14:textId="77777777" w:rsidR="005F1043" w:rsidRDefault="005F10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8826F0" w14:textId="77777777" w:rsidR="000D7938" w:rsidRDefault="00000000">
    <w:pPr>
      <w:pStyle w:val="a4"/>
    </w:pPr>
    <w:r>
      <w:rPr>
        <w:noProof/>
      </w:rPr>
      <mc:AlternateContent>
        <mc:Choice Requires="wps">
          <w:drawing>
            <wp:anchor distT="0" distB="0" distL="114300" distR="114300" simplePos="0" relativeHeight="251659264" behindDoc="0" locked="0" layoutInCell="1" allowOverlap="1" wp14:anchorId="5D0EC198" wp14:editId="1A25DE48">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9CD1F83" w14:textId="77777777" w:rsidR="000D7938"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5D0EC198"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39CD1F83" w14:textId="77777777" w:rsidR="000D7938"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506FF4" w14:textId="77777777" w:rsidR="005F1043" w:rsidRDefault="005F1043">
      <w:r>
        <w:separator/>
      </w:r>
    </w:p>
  </w:footnote>
  <w:footnote w:type="continuationSeparator" w:id="0">
    <w:p w14:paraId="5F5CBDBB" w14:textId="77777777" w:rsidR="005F1043" w:rsidRDefault="005F10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2609187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zYzZDQ1MzgxMjczNzMwZjc0NmVkMzY5NzhjMWY5MmQifQ=="/>
    <w:docVar w:name="KSO_WPS_MARK_KEY" w:val="41ee2a61-2d54-4f93-83be-afdb9a40d732"/>
  </w:docVars>
  <w:rsids>
    <w:rsidRoot w:val="000D7938"/>
    <w:rsid w:val="0004737B"/>
    <w:rsid w:val="000D7938"/>
    <w:rsid w:val="00107D2D"/>
    <w:rsid w:val="00153B9D"/>
    <w:rsid w:val="00213C59"/>
    <w:rsid w:val="002D20B0"/>
    <w:rsid w:val="003210CE"/>
    <w:rsid w:val="005F1043"/>
    <w:rsid w:val="00B70D59"/>
    <w:rsid w:val="00C64F68"/>
    <w:rsid w:val="00CC2F40"/>
    <w:rsid w:val="00CD7A5D"/>
    <w:rsid w:val="00DA24C9"/>
    <w:rsid w:val="00F52A8D"/>
    <w:rsid w:val="00F76AFF"/>
    <w:rsid w:val="019404F8"/>
    <w:rsid w:val="01ED22F2"/>
    <w:rsid w:val="02BD3108"/>
    <w:rsid w:val="02EA3D99"/>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097292"/>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AA3355A"/>
    <w:rsid w:val="0B584F06"/>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0FA4224E"/>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CD1190"/>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95124E"/>
    <w:rsid w:val="2AF5378F"/>
    <w:rsid w:val="2B815776"/>
    <w:rsid w:val="2BB94DBF"/>
    <w:rsid w:val="2BF37410"/>
    <w:rsid w:val="2C6F314E"/>
    <w:rsid w:val="2CC206BE"/>
    <w:rsid w:val="2D1136DF"/>
    <w:rsid w:val="2D20606D"/>
    <w:rsid w:val="2D6729FE"/>
    <w:rsid w:val="2DB87198"/>
    <w:rsid w:val="2DB93C54"/>
    <w:rsid w:val="2E3D144C"/>
    <w:rsid w:val="2E891204"/>
    <w:rsid w:val="2EB55A65"/>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4C71A6F"/>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D81975"/>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4FED5CDE"/>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183B64"/>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4A1B6B"/>
    <w:rsid w:val="689C6793"/>
    <w:rsid w:val="68DB0208"/>
    <w:rsid w:val="68FB170C"/>
    <w:rsid w:val="691B3D98"/>
    <w:rsid w:val="693748F0"/>
    <w:rsid w:val="69392234"/>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61D1D"/>
    <w:rsid w:val="6E6733A0"/>
    <w:rsid w:val="6E6E3938"/>
    <w:rsid w:val="6E9C74ED"/>
    <w:rsid w:val="6EF72976"/>
    <w:rsid w:val="6F795A80"/>
    <w:rsid w:val="6F7C1D2E"/>
    <w:rsid w:val="6F8E0407"/>
    <w:rsid w:val="6FDD069F"/>
    <w:rsid w:val="702B4D16"/>
    <w:rsid w:val="70AA6621"/>
    <w:rsid w:val="70F96E79"/>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0128FA"/>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D64EA9"/>
  <w15:docId w15:val="{0D2E2BD1-68B5-4705-B772-85B4D8D92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11438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18</Pages>
  <Words>1222</Words>
  <Characters>6972</Characters>
  <Application>Microsoft Office Word</Application>
  <DocSecurity>0</DocSecurity>
  <Lines>58</Lines>
  <Paragraphs>16</Paragraphs>
  <ScaleCrop>false</ScaleCrop>
  <Company/>
  <LinksUpToDate>false</LinksUpToDate>
  <CharactersWithSpaces>8178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4</cp:revision>
  <dcterms:created xsi:type="dcterms:W3CDTF">2014-10-29T12:08:00Z</dcterms:created>
  <dcterms:modified xsi:type="dcterms:W3CDTF">2024-11-25T07:36:00Z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D624B15633CD43C8BF9435464A96BF70</vt:lpwstr>
  </property>
</Properties>
</file>