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F0176">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20462845">
      <w:pPr>
        <w:spacing w:line="540" w:lineRule="exact"/>
        <w:jc w:val="center"/>
        <w:rPr>
          <w:rFonts w:ascii="华文中宋" w:hAnsi="华文中宋" w:eastAsia="华文中宋" w:cs="宋体"/>
          <w:b/>
          <w:color w:val="auto"/>
          <w:kern w:val="0"/>
          <w:sz w:val="52"/>
          <w:szCs w:val="52"/>
        </w:rPr>
      </w:pPr>
    </w:p>
    <w:p w14:paraId="650527F1">
      <w:pPr>
        <w:spacing w:line="540" w:lineRule="exact"/>
        <w:jc w:val="center"/>
        <w:rPr>
          <w:rFonts w:ascii="华文中宋" w:hAnsi="华文中宋" w:eastAsia="华文中宋" w:cs="宋体"/>
          <w:b/>
          <w:color w:val="auto"/>
          <w:kern w:val="0"/>
          <w:sz w:val="52"/>
          <w:szCs w:val="52"/>
        </w:rPr>
      </w:pPr>
      <w:bookmarkStart w:id="0" w:name="_GoBack"/>
      <w:bookmarkEnd w:id="0"/>
    </w:p>
    <w:p w14:paraId="4D661E05">
      <w:pPr>
        <w:spacing w:line="540" w:lineRule="exact"/>
        <w:jc w:val="center"/>
        <w:rPr>
          <w:rFonts w:ascii="华文中宋" w:hAnsi="华文中宋" w:eastAsia="华文中宋" w:cs="宋体"/>
          <w:b/>
          <w:color w:val="auto"/>
          <w:kern w:val="0"/>
          <w:sz w:val="52"/>
          <w:szCs w:val="52"/>
        </w:rPr>
      </w:pPr>
    </w:p>
    <w:p w14:paraId="6B978F04">
      <w:pPr>
        <w:spacing w:line="540" w:lineRule="exact"/>
        <w:jc w:val="center"/>
        <w:rPr>
          <w:rFonts w:ascii="华文中宋" w:hAnsi="华文中宋" w:eastAsia="华文中宋" w:cs="宋体"/>
          <w:b/>
          <w:color w:val="auto"/>
          <w:kern w:val="0"/>
          <w:sz w:val="52"/>
          <w:szCs w:val="52"/>
        </w:rPr>
      </w:pPr>
    </w:p>
    <w:p w14:paraId="06F0211E">
      <w:pPr>
        <w:spacing w:line="540" w:lineRule="exact"/>
        <w:jc w:val="center"/>
        <w:rPr>
          <w:rFonts w:ascii="华文中宋" w:hAnsi="华文中宋" w:eastAsia="华文中宋" w:cs="宋体"/>
          <w:b/>
          <w:color w:val="auto"/>
          <w:kern w:val="0"/>
          <w:sz w:val="52"/>
          <w:szCs w:val="52"/>
        </w:rPr>
      </w:pPr>
    </w:p>
    <w:p w14:paraId="78B1742B">
      <w:pPr>
        <w:spacing w:line="540" w:lineRule="exact"/>
        <w:jc w:val="center"/>
        <w:rPr>
          <w:rFonts w:ascii="华文中宋" w:hAnsi="华文中宋" w:eastAsia="华文中宋" w:cs="宋体"/>
          <w:b/>
          <w:color w:val="auto"/>
          <w:kern w:val="0"/>
          <w:sz w:val="52"/>
          <w:szCs w:val="52"/>
        </w:rPr>
      </w:pPr>
    </w:p>
    <w:p w14:paraId="3B3D9980">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3E747654">
      <w:pPr>
        <w:spacing w:line="540" w:lineRule="exact"/>
        <w:jc w:val="center"/>
        <w:rPr>
          <w:rFonts w:ascii="华文中宋" w:hAnsi="华文中宋" w:eastAsia="华文中宋" w:cs="宋体"/>
          <w:b/>
          <w:color w:val="auto"/>
          <w:kern w:val="0"/>
          <w:sz w:val="52"/>
          <w:szCs w:val="52"/>
        </w:rPr>
      </w:pPr>
    </w:p>
    <w:p w14:paraId="3DD32CA7">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3149D22C">
      <w:pPr>
        <w:spacing w:line="540" w:lineRule="exact"/>
        <w:jc w:val="center"/>
        <w:rPr>
          <w:rFonts w:hAnsi="宋体" w:eastAsia="仿宋_GB2312" w:cs="宋体"/>
          <w:color w:val="auto"/>
          <w:kern w:val="0"/>
          <w:sz w:val="30"/>
          <w:szCs w:val="30"/>
        </w:rPr>
      </w:pPr>
    </w:p>
    <w:p w14:paraId="3FD09F9B">
      <w:pPr>
        <w:spacing w:line="540" w:lineRule="exact"/>
        <w:jc w:val="center"/>
        <w:rPr>
          <w:rFonts w:hAnsi="宋体" w:eastAsia="仿宋_GB2312" w:cs="宋体"/>
          <w:color w:val="auto"/>
          <w:kern w:val="0"/>
          <w:sz w:val="30"/>
          <w:szCs w:val="30"/>
        </w:rPr>
      </w:pPr>
    </w:p>
    <w:p w14:paraId="5530220E">
      <w:pPr>
        <w:spacing w:line="540" w:lineRule="exact"/>
        <w:jc w:val="center"/>
        <w:rPr>
          <w:rFonts w:hAnsi="宋体" w:eastAsia="仿宋_GB2312" w:cs="宋体"/>
          <w:color w:val="auto"/>
          <w:kern w:val="0"/>
          <w:sz w:val="30"/>
          <w:szCs w:val="30"/>
        </w:rPr>
      </w:pPr>
    </w:p>
    <w:p w14:paraId="6B2CAA66">
      <w:pPr>
        <w:spacing w:line="540" w:lineRule="exact"/>
        <w:jc w:val="center"/>
        <w:rPr>
          <w:rFonts w:hAnsi="宋体" w:eastAsia="仿宋_GB2312" w:cs="宋体"/>
          <w:color w:val="auto"/>
          <w:kern w:val="0"/>
          <w:sz w:val="30"/>
          <w:szCs w:val="30"/>
        </w:rPr>
      </w:pPr>
    </w:p>
    <w:p w14:paraId="4741BEB3">
      <w:pPr>
        <w:spacing w:line="540" w:lineRule="exact"/>
        <w:jc w:val="center"/>
        <w:rPr>
          <w:rFonts w:hAnsi="宋体" w:eastAsia="仿宋_GB2312" w:cs="宋体"/>
          <w:color w:val="auto"/>
          <w:kern w:val="0"/>
          <w:sz w:val="30"/>
          <w:szCs w:val="30"/>
        </w:rPr>
      </w:pPr>
    </w:p>
    <w:p w14:paraId="3BC76AA6">
      <w:pPr>
        <w:spacing w:line="540" w:lineRule="exact"/>
        <w:jc w:val="center"/>
        <w:rPr>
          <w:rFonts w:hAnsi="宋体" w:eastAsia="仿宋_GB2312" w:cs="宋体"/>
          <w:color w:val="auto"/>
          <w:kern w:val="0"/>
          <w:sz w:val="30"/>
          <w:szCs w:val="30"/>
        </w:rPr>
      </w:pPr>
    </w:p>
    <w:p w14:paraId="4B3F81BD">
      <w:pPr>
        <w:spacing w:line="540" w:lineRule="exact"/>
        <w:rPr>
          <w:rFonts w:hAnsi="宋体" w:eastAsia="仿宋_GB2312" w:cs="宋体"/>
          <w:color w:val="auto"/>
          <w:kern w:val="0"/>
          <w:sz w:val="30"/>
          <w:szCs w:val="30"/>
        </w:rPr>
      </w:pPr>
    </w:p>
    <w:p w14:paraId="4AFD84D6">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2EE36511">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提前下达2023年自治区基本公共卫生服务补助资金</w:t>
      </w:r>
    </w:p>
    <w:p w14:paraId="32AC6531">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昌吉市绿洲路社区卫生服务中心</w:t>
      </w:r>
    </w:p>
    <w:p w14:paraId="0C2138DC">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昌吉市绿洲路社区卫生服务中心</w:t>
      </w:r>
    </w:p>
    <w:p w14:paraId="5BB9A978">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麦嘉娜·苏里唐汉</w:t>
      </w:r>
    </w:p>
    <w:p w14:paraId="776D588C">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2024年03月21日</w:t>
      </w:r>
    </w:p>
    <w:p w14:paraId="5435DE4C">
      <w:pPr>
        <w:spacing w:line="700" w:lineRule="exact"/>
        <w:ind w:firstLine="708" w:firstLineChars="236"/>
        <w:jc w:val="left"/>
        <w:rPr>
          <w:rFonts w:hAnsi="宋体" w:eastAsia="仿宋_GB2312" w:cs="宋体"/>
          <w:color w:val="auto"/>
          <w:kern w:val="0"/>
          <w:sz w:val="30"/>
          <w:szCs w:val="30"/>
        </w:rPr>
      </w:pPr>
    </w:p>
    <w:p w14:paraId="506EF8D4">
      <w:pPr>
        <w:spacing w:line="540" w:lineRule="exact"/>
        <w:rPr>
          <w:rStyle w:val="18"/>
          <w:rFonts w:ascii="黑体" w:hAnsi="黑体" w:eastAsia="黑体"/>
          <w:b w:val="0"/>
          <w:color w:val="auto"/>
          <w:spacing w:val="-4"/>
          <w:sz w:val="32"/>
          <w:szCs w:val="32"/>
        </w:rPr>
      </w:pPr>
    </w:p>
    <w:p w14:paraId="2225403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635ACB82">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4C51964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绿洲路街道辖区摸底人数为46090人。为了深入以深化医改为主线，以提高辖区人民健康水平为目标，突出抓好基本公共卫生和全民体检服务工作，努力完成上级交给的工作任务，使各项工作再上一个新的台阶，落实好党的民生工程，2023年经调研后开展此项目，为辖区居民提供免费健康体检服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州财社（2022）51号文件要求，为了解决看病难看病贵解决基本民生问题化解社会矛盾问题，达到减少健康危险因素预防控制传染病效果，我单位申报实施了提前下达2023年自治区基本公共卫生服务补助资金项目。同时，为了确保该项目的顺利实施，昌吉市卫生健康委员会于2023年制定印发了,《昌吉市2023年基本公共卫生服务项目绩效考核资金核拨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昌吉市绿洲路社区卫生服务中心系全额拨款事业单位，公益一类，执行事业单位会计制度，是集预防保健科、全科诊疗科、中医康复科、医学检验科、医学影像科、为一体的新型医疗保健单位。中心内设有床位20张，人员编制35人，现到位各类职称卫技在编人员32人，聘用34人，退休人员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12月已全部完成验收，通过本项目的实施，为广大群众提供了优质、便捷的医疗服务，提高了广大群众的卫生健康意识，提倡广大居民自觉养成良好的卫生习惯，增强了孕产妇、精神病人、传染病人员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绿洲路社区卫生服务中心系全额拨款事业单位，公益一类，执行事业单位会计制度，是集预防保健科、全科诊疗科、中医康复科、医学检验科、医学影像科、为一体的新型医疗保健单位。中心内设有床位20张，人员编制35，现到位各类职称卫技在编人员32人，聘用34人，退休人员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中央基本公共卫生服务项目的实施主体为昌吉市绿洲路社区卫生服务中心，该单位纳入2023年部门决算编制范围的有8个办公室：预防保健科、全科诊疗科、中医康复科、医学检验科、医学影像科、公共卫生科、药剂科、行政办为一体的新型医疗保健单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编制人数为35人，实有在职人数32人，其中：事业在职30人，均为专业技术人员。退休人员1人，其中：行政退休人员0人、事业退休1人。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项目资金安排落实、总投入80.79万元。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1、健康教育工作。制作健康教育音响播放资料14种，每天巡回播放，发放宣传资料1500余份。开展健康教育讲座中心10期，下设站75次，针对不同人群开展个性化宣教610人。开展宣传活动24次，共计811余人。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2、居民健康档案管理。辖区常住居民96408人，以老年人、高血压、糖尿病、儿童、孕产妇、残疾人为重点，年度共建立并录入居民健康档案74167人，电子档案建档率76.93%，档案使用率54.6%。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3、老年人健康档案管理。中心共登记管理65岁以上老年人11967人，免费体检10635人，健康管理率86.9%。</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4、慢性病患者健康档案管理。中心管理高血压患者8432人，完成体检7973人，体检率94.56%，规范管理率85.55%；建档管理糖尿病患者4098人，完成体检3857人，体检完成率94.12%，规范管理率84.06%。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5、严重精神障碍患者管理。辖区在管严重精神障碍患者169人，完成录入随访169人，规范管理率93％；在册患者规律服药率79%；精神分裂症患者127人，108人长期规律服药，规律服药率85%。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6、中医药健康管理：完成0-3岁儿童中医指导2348人，老年人中医指导10849人，中医药健康管理率88.74%。</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预防接种。出生建卡558人,建卡及时率为100%，辖区0-6岁儿童7701人，完成免疫规划类疫苗21531剂次，非免疫规划类疫苗17586剂次，免疫规划类疫苗各剂次接种率均在95%以上。对辖区28所学校及托幼机构秋季入托入学查验证工作进行培训，指导，并持续开展查漏补种工作，按照昌吉市疾控中心要求，顺利完成辖区2023年度脊灰补充免疫活动，累计接种4876剂次，完成新冠接种1184剂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8、孕产妇、0-6岁儿童健康管理：1-10月户籍产妇562人 ，早孕建卡率、健康管理率、产后访视率均在95%以上，本季度无孕产妇死亡。户籍活产567人 ，辖区内0-3岁儿童2410人，0-6岁儿童7118人，各项健康管理及系统管理率均在95%以上，5岁以下儿童死亡2人。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9、结核、艾滋病管理。共计管理：62人（其中涂阳：36人，涂阴：26人），服药率100%；完成登记在册重点人员结核病筛查13058人，中小学校新入校一年级新生结核菌素试验7519人；全民健康体检艾滋病检测39330人，初筛阳性15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10、传染病及突发公共卫生事件处理。本年度未发生突发公共卫生事件，包虫病人共计管理6人。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11、卫生监督协管工作。对15家社区服务站，53家个体诊所及3家放射机构？、3家民营医院、15所托幼机构、9所学校、9家职业病卫生单位建立一户一档，监督检查570余次，巡查覆盖率100%；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12、家庭医生签约服务。建立家庭医生团队15个，家庭医生56人，常住人口签约39286人，签约率40.75%。重点人群签约29980人，签约率90.5%；其中计划生育特殊人员98人、结核病58人、严重精神障碍患者142人均已完成年度签约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13、全民健康体检工作完成情况：2016年起，我中心每年开展全民健康体检1次，按照年初既定目标在每年1月全面启动体检工作，全体职工全力以赴能够保质保量按时完成目标任务。本年已完成体检数：28991人，其中0-6岁儿童5950人，15-64周岁人员11654人，65-79周岁人员8667人，80周岁以上人员1733人，公职人员、事业单位人员（退休人员）、企业职工974人，流动人口13人；辖区中小学生体检已完成14755人。A类阳性67例67人次，B类阳性240例240人次。均已完成跟踪随访，并做好记录；有传染病的及时上报并反馈相应社区卫生服务站纳入管理及追踪随访。</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2023年基本公共卫生服务项目绩效考核资金核拨办法》（昌州财社〔2022〕51号）文件，2023年中央基本公共卫生服务项目预算安排资金总额659.99万元，其中财政资金659.99万元、其他资金0万元，2023年实际收到预算资金659.99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截至2023年12月31日，本项目实际支付资金80.79万元，预算执行率100%。项目资金主要用于支付人员工资费用80.79万元。</w:t>
      </w:r>
    </w:p>
    <w:p w14:paraId="39D3C72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190483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项目投入80.79万元，做好基本公共卫生服务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基本公共卫生服务政策的认可度，使辖区居民健康意识不断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卫生健康委员会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“健康档案建档人数”指标，预期指标值为“&gt;=60000人次”；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“早孕建册人数”指标，预期指标值为“&gt;=800人次”；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“适龄儿童基础免疫接种人次”指标，预期指标值为“&gt;=20000人次”；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“高血压患者规范管理率”指标，预期指标值为“&gt;=61%”；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“资金拨付及时率”指标，预期指标值为“&gt;=100%”。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“人员成本”指标，预期指标值为“&gt;=68.69万元”；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“辖区居民健康意识逐步增强”指标，预期指标值为“逐步增强”。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“目标群体满意度”指标，预期指标值为“&gt;=90.00%”。</w:t>
      </w:r>
    </w:p>
    <w:p w14:paraId="45851AA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4482127E">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0CB9AFA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中央基本公共卫生服务项目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ADC572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66835A9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12月已全部完成验收，通过本项目的实施，为广大群众提供了优质、便捷的医疗服务，提高了广大群众的卫生健康意识，提倡广大居民自觉养成良好的卫生习惯，增强了孕产妇、精神病人、传染病人员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A70719B">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6C17C44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朱雅莉任评价组组长，绩效评价工作职责为检查项目绩效指标完成情况、审定项目支出绩效评价结果及项目支出绩效评价报告。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麦嘉娜任评价组副组长，绩效评价工作职责为组织和协调项目工作人员采取实地调查、资料检查等方式，核实项目绩效指标完成情况；组织受益对象对项目工作进行评价等。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林倩倩任评价组成员，绩效评价工作职责为做好项目支出绩效评价工作的沟通协调工作，对项目实施情况进行实地调查，编写项目支出绩效评价报告。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5DCCACC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5FDEECF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通过组论证的评价指标体系及评分标准，采用的方法比较法、公众评判法，对提前下达2023年自治区基本公共卫生服务补助资金项目绩效进行客观评价，最终评分结果：总分为100分，绩效评级为“优秀”。各部分权重和绩效汇总分值如下表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附件2：项目综合得分表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指标</w:t>
      </w:r>
      <w:r>
        <w:rPr>
          <w:rStyle w:val="18"/>
          <w:rFonts w:hint="eastAsia" w:ascii="楷体" w:hAnsi="楷体" w:eastAsia="楷体"/>
          <w:b w:val="0"/>
          <w:bCs w:val="0"/>
          <w:color w:val="auto"/>
          <w:spacing w:val="-4"/>
          <w:sz w:val="32"/>
          <w:szCs w:val="32"/>
        </w:rPr>
        <w:tab/>
        <w:t>项目决策类</w:t>
      </w:r>
      <w:r>
        <w:rPr>
          <w:rStyle w:val="18"/>
          <w:rFonts w:hint="eastAsia" w:ascii="楷体" w:hAnsi="楷体" w:eastAsia="楷体"/>
          <w:b w:val="0"/>
          <w:bCs w:val="0"/>
          <w:color w:val="auto"/>
          <w:spacing w:val="-4"/>
          <w:sz w:val="32"/>
          <w:szCs w:val="32"/>
        </w:rPr>
        <w:tab/>
        <w:t>项目过程类</w:t>
      </w:r>
      <w:r>
        <w:rPr>
          <w:rStyle w:val="18"/>
          <w:rFonts w:hint="eastAsia" w:ascii="楷体" w:hAnsi="楷体" w:eastAsia="楷体"/>
          <w:b w:val="0"/>
          <w:bCs w:val="0"/>
          <w:color w:val="auto"/>
          <w:spacing w:val="-4"/>
          <w:sz w:val="32"/>
          <w:szCs w:val="32"/>
        </w:rPr>
        <w:tab/>
        <w:t>项目产出类</w:t>
      </w:r>
      <w:r>
        <w:rPr>
          <w:rStyle w:val="18"/>
          <w:rFonts w:hint="eastAsia" w:ascii="楷体" w:hAnsi="楷体" w:eastAsia="楷体"/>
          <w:b w:val="0"/>
          <w:bCs w:val="0"/>
          <w:color w:val="auto"/>
          <w:spacing w:val="-4"/>
          <w:sz w:val="32"/>
          <w:szCs w:val="32"/>
        </w:rPr>
        <w:tab/>
        <w:t>项目效益类</w:t>
      </w:r>
      <w:r>
        <w:rPr>
          <w:rStyle w:val="18"/>
          <w:rFonts w:hint="eastAsia" w:ascii="楷体" w:hAnsi="楷体" w:eastAsia="楷体"/>
          <w:b w:val="0"/>
          <w:bCs w:val="0"/>
          <w:color w:val="auto"/>
          <w:spacing w:val="-4"/>
          <w:sz w:val="32"/>
          <w:szCs w:val="32"/>
        </w:rPr>
        <w:tab/>
        <w:t>合计分值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权重</w:t>
      </w:r>
      <w:r>
        <w:rPr>
          <w:rStyle w:val="18"/>
          <w:rFonts w:hint="eastAsia" w:ascii="楷体" w:hAnsi="楷体" w:eastAsia="楷体"/>
          <w:b w:val="0"/>
          <w:bCs w:val="0"/>
          <w:color w:val="auto"/>
          <w:spacing w:val="-4"/>
          <w:sz w:val="32"/>
          <w:szCs w:val="32"/>
        </w:rPr>
        <w:tab/>
        <w:t>20.0</w:t>
      </w:r>
      <w:r>
        <w:rPr>
          <w:rStyle w:val="18"/>
          <w:rFonts w:hint="eastAsia" w:ascii="楷体" w:hAnsi="楷体" w:eastAsia="楷体"/>
          <w:b w:val="0"/>
          <w:bCs w:val="0"/>
          <w:color w:val="auto"/>
          <w:spacing w:val="-4"/>
          <w:sz w:val="32"/>
          <w:szCs w:val="32"/>
        </w:rPr>
        <w:tab/>
        <w:t>20.0</w:t>
      </w:r>
      <w:r>
        <w:rPr>
          <w:rStyle w:val="18"/>
          <w:rFonts w:hint="eastAsia" w:ascii="楷体" w:hAnsi="楷体" w:eastAsia="楷体"/>
          <w:b w:val="0"/>
          <w:bCs w:val="0"/>
          <w:color w:val="auto"/>
          <w:spacing w:val="-4"/>
          <w:sz w:val="32"/>
          <w:szCs w:val="32"/>
        </w:rPr>
        <w:tab/>
        <w:t>30.0</w:t>
      </w:r>
      <w:r>
        <w:rPr>
          <w:rStyle w:val="18"/>
          <w:rFonts w:hint="eastAsia" w:ascii="楷体" w:hAnsi="楷体" w:eastAsia="楷体"/>
          <w:b w:val="0"/>
          <w:bCs w:val="0"/>
          <w:color w:val="auto"/>
          <w:spacing w:val="-4"/>
          <w:sz w:val="32"/>
          <w:szCs w:val="32"/>
        </w:rPr>
        <w:tab/>
        <w:t>30.0</w:t>
      </w:r>
      <w:r>
        <w:rPr>
          <w:rStyle w:val="18"/>
          <w:rFonts w:hint="eastAsia" w:ascii="楷体" w:hAnsi="楷体" w:eastAsia="楷体"/>
          <w:b w:val="0"/>
          <w:bCs w:val="0"/>
          <w:color w:val="auto"/>
          <w:spacing w:val="-4"/>
          <w:sz w:val="32"/>
          <w:szCs w:val="32"/>
        </w:rPr>
        <w:tab/>
        <w:t>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得分</w:t>
      </w:r>
      <w:r>
        <w:rPr>
          <w:rStyle w:val="18"/>
          <w:rFonts w:hint="eastAsia" w:ascii="楷体" w:hAnsi="楷体" w:eastAsia="楷体"/>
          <w:b w:val="0"/>
          <w:bCs w:val="0"/>
          <w:color w:val="auto"/>
          <w:spacing w:val="-4"/>
          <w:sz w:val="32"/>
          <w:szCs w:val="32"/>
        </w:rPr>
        <w:tab/>
        <w:t>20.0</w:t>
      </w:r>
      <w:r>
        <w:rPr>
          <w:rStyle w:val="18"/>
          <w:rFonts w:hint="eastAsia" w:ascii="楷体" w:hAnsi="楷体" w:eastAsia="楷体"/>
          <w:b w:val="0"/>
          <w:bCs w:val="0"/>
          <w:color w:val="auto"/>
          <w:spacing w:val="-4"/>
          <w:sz w:val="32"/>
          <w:szCs w:val="32"/>
        </w:rPr>
        <w:tab/>
        <w:t>20.0</w:t>
      </w:r>
      <w:r>
        <w:rPr>
          <w:rStyle w:val="18"/>
          <w:rFonts w:hint="eastAsia" w:ascii="楷体" w:hAnsi="楷体" w:eastAsia="楷体"/>
          <w:b w:val="0"/>
          <w:bCs w:val="0"/>
          <w:color w:val="auto"/>
          <w:spacing w:val="-4"/>
          <w:sz w:val="32"/>
          <w:szCs w:val="32"/>
        </w:rPr>
        <w:tab/>
        <w:t>30.0</w:t>
      </w:r>
      <w:r>
        <w:rPr>
          <w:rStyle w:val="18"/>
          <w:rFonts w:hint="eastAsia" w:ascii="楷体" w:hAnsi="楷体" w:eastAsia="楷体"/>
          <w:b w:val="0"/>
          <w:bCs w:val="0"/>
          <w:color w:val="auto"/>
          <w:spacing w:val="-4"/>
          <w:sz w:val="32"/>
          <w:szCs w:val="32"/>
        </w:rPr>
        <w:tab/>
        <w:t>30</w:t>
      </w:r>
      <w:r>
        <w:rPr>
          <w:rStyle w:val="18"/>
          <w:rFonts w:hint="eastAsia" w:ascii="楷体" w:hAnsi="楷体" w:eastAsia="楷体"/>
          <w:b w:val="0"/>
          <w:bCs w:val="0"/>
          <w:color w:val="auto"/>
          <w:spacing w:val="-4"/>
          <w:sz w:val="32"/>
          <w:szCs w:val="32"/>
        </w:rPr>
        <w:tab/>
        <w:t>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得分率</w:t>
      </w:r>
      <w:r>
        <w:rPr>
          <w:rStyle w:val="18"/>
          <w:rFonts w:hint="eastAsia" w:ascii="楷体" w:hAnsi="楷体" w:eastAsia="楷体"/>
          <w:b w:val="0"/>
          <w:bCs w:val="0"/>
          <w:color w:val="auto"/>
          <w:spacing w:val="-4"/>
          <w:sz w:val="32"/>
          <w:szCs w:val="32"/>
        </w:rPr>
        <w:tab/>
        <w:t>100.0%</w:t>
      </w:r>
      <w:r>
        <w:rPr>
          <w:rStyle w:val="18"/>
          <w:rFonts w:hint="eastAsia" w:ascii="楷体" w:hAnsi="楷体" w:eastAsia="楷体"/>
          <w:b w:val="0"/>
          <w:bCs w:val="0"/>
          <w:color w:val="auto"/>
          <w:spacing w:val="-4"/>
          <w:sz w:val="32"/>
          <w:szCs w:val="32"/>
        </w:rPr>
        <w:tab/>
        <w:t>100.0%</w:t>
      </w:r>
      <w:r>
        <w:rPr>
          <w:rStyle w:val="18"/>
          <w:rFonts w:hint="eastAsia" w:ascii="楷体" w:hAnsi="楷体" w:eastAsia="楷体"/>
          <w:b w:val="0"/>
          <w:bCs w:val="0"/>
          <w:color w:val="auto"/>
          <w:spacing w:val="-4"/>
          <w:sz w:val="32"/>
          <w:szCs w:val="32"/>
        </w:rPr>
        <w:tab/>
        <w:t>100.0%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tab/>
        <w:t>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通过绩效评价项目的实施，解决了一系列重要公共卫生问题问题，实现了减少健康危险因素效益，该项目预算执行率达100%，项目预期绩效目标及各项具体指标均已全部达成。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中央基本公共卫生服务项目的绩效目标和各项具体绩效指标实现情况进行了客观评价，最终评分为100分。绩效评级为“优”，具体得分情况为：项目决策20分、项目过程20分、项目产出30分、项目效益30分。</w:t>
      </w:r>
    </w:p>
    <w:p w14:paraId="5B848A5B">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5BE2CC6C">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35D86FA">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卫生健康委员会提出申报，于2023年1月批复设立，2023年我单位根据《昌州财社2022年文件》（51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4BC00A5E">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155EE10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6个三级指标构成，权重分值为20分，本项目实际得分20分，得分率为100%。具体各项指标得分如下：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1.资金到位率：本项目实际到位资金80.79万元，预算资金80.79万元，资金到位率100.0%。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该项目所需财政资金能够足额拨付到位，牵头单位能够及时足额按照合同约定将专项资金拨付给单位，根据评分标准，该指标2分，得2分。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2.预算执行率：本项目预算编制较为详细，预算资金80.79万元，实际执行80.79万元，预算执行率为100%，项目资金支出总体能够按照预算执行，根据评分标准，该指标5分，得5分。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本项目资金严格按照昌市政办发【2015】63号《昌吉市财政专项资金管理暂行办法》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项目任务下达后，我单位制定了《昌吉市2023年基本公共卫生服务项目绩效考核资金核拨办法》对经费使用进行规范管理，财务制度健全、执行严格，根据评分标准，该指标5分，得5分。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4.管理制度健全性：我单位制定了《昌吉市绿洲路社区卫生服务中心专项资金管理办法》等相关项目管理办法，同时对财政专项资金进行严格管理，基本做到了专款专用，根据评分标准，该指标4分，得4分。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由部门提出经费预算支出可行性方案，经过与市政府分管领导沟通后，报党委会议研究执行，财务对资金的使用合法合规性进行监督，年底对资金使用效果进行自评，根据评分标准，该指标4分，得4分。</w:t>
      </w:r>
    </w:p>
    <w:p w14:paraId="420495B7">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079FA1E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表4-3项目产出指标及分值情况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年度指标值</w:t>
      </w:r>
      <w:r>
        <w:rPr>
          <w:rStyle w:val="18"/>
          <w:rFonts w:hint="eastAsia" w:ascii="楷体" w:hAnsi="楷体" w:eastAsia="楷体"/>
          <w:b w:val="0"/>
          <w:bCs w:val="0"/>
          <w:color w:val="auto"/>
          <w:spacing w:val="-4"/>
          <w:sz w:val="32"/>
          <w:szCs w:val="32"/>
        </w:rPr>
        <w:tab/>
        <w:t>标杆分值</w:t>
      </w:r>
      <w:r>
        <w:rPr>
          <w:rStyle w:val="18"/>
          <w:rFonts w:hint="eastAsia" w:ascii="楷体" w:hAnsi="楷体" w:eastAsia="楷体"/>
          <w:b w:val="0"/>
          <w:bCs w:val="0"/>
          <w:color w:val="auto"/>
          <w:spacing w:val="-4"/>
          <w:sz w:val="32"/>
          <w:szCs w:val="32"/>
        </w:rPr>
        <w:tab/>
        <w:t>全年实际完成值</w:t>
      </w:r>
      <w:r>
        <w:rPr>
          <w:rStyle w:val="18"/>
          <w:rFonts w:hint="eastAsia" w:ascii="楷体" w:hAnsi="楷体" w:eastAsia="楷体"/>
          <w:b w:val="0"/>
          <w:bCs w:val="0"/>
          <w:color w:val="auto"/>
          <w:spacing w:val="-4"/>
          <w:sz w:val="32"/>
          <w:szCs w:val="32"/>
        </w:rPr>
        <w:tab/>
        <w:t>指标得分</w:t>
      </w:r>
      <w:r>
        <w:rPr>
          <w:rStyle w:val="18"/>
          <w:rFonts w:hint="eastAsia" w:ascii="楷体" w:hAnsi="楷体" w:eastAsia="楷体"/>
          <w:b w:val="0"/>
          <w:bCs w:val="0"/>
          <w:color w:val="auto"/>
          <w:spacing w:val="-4"/>
          <w:sz w:val="32"/>
          <w:szCs w:val="32"/>
        </w:rPr>
        <w:tab/>
        <w:t>备注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数量指标</w:t>
      </w:r>
      <w:r>
        <w:rPr>
          <w:rStyle w:val="18"/>
          <w:rFonts w:hint="eastAsia" w:ascii="楷体" w:hAnsi="楷体" w:eastAsia="楷体"/>
          <w:b w:val="0"/>
          <w:bCs w:val="0"/>
          <w:color w:val="auto"/>
          <w:spacing w:val="-4"/>
          <w:sz w:val="32"/>
          <w:szCs w:val="32"/>
        </w:rPr>
        <w:tab/>
        <w:t>健康档案建档人数</w:t>
      </w:r>
      <w:r>
        <w:rPr>
          <w:rStyle w:val="18"/>
          <w:rFonts w:hint="eastAsia" w:ascii="楷体" w:hAnsi="楷体" w:eastAsia="楷体"/>
          <w:b w:val="0"/>
          <w:bCs w:val="0"/>
          <w:color w:val="auto"/>
          <w:spacing w:val="-4"/>
          <w:sz w:val="32"/>
          <w:szCs w:val="32"/>
        </w:rPr>
        <w:tab/>
        <w:t>&gt;=60000人</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74846人</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早孕建册人数</w:t>
      </w:r>
      <w:r>
        <w:rPr>
          <w:rStyle w:val="18"/>
          <w:rFonts w:hint="eastAsia" w:ascii="楷体" w:hAnsi="楷体" w:eastAsia="楷体"/>
          <w:b w:val="0"/>
          <w:bCs w:val="0"/>
          <w:color w:val="auto"/>
          <w:spacing w:val="-4"/>
          <w:sz w:val="32"/>
          <w:szCs w:val="32"/>
        </w:rPr>
        <w:tab/>
        <w:t>&gt;=800人次</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848人次</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适龄儿童基础免疫接种人次</w:t>
      </w:r>
      <w:r>
        <w:rPr>
          <w:rStyle w:val="18"/>
          <w:rFonts w:hint="eastAsia" w:ascii="楷体" w:hAnsi="楷体" w:eastAsia="楷体"/>
          <w:b w:val="0"/>
          <w:bCs w:val="0"/>
          <w:color w:val="auto"/>
          <w:spacing w:val="-4"/>
          <w:sz w:val="32"/>
          <w:szCs w:val="32"/>
        </w:rPr>
        <w:tab/>
        <w:t>&gt;=20000人</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23980人次</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质量指标</w:t>
      </w:r>
      <w:r>
        <w:rPr>
          <w:rStyle w:val="18"/>
          <w:rFonts w:hint="eastAsia" w:ascii="楷体" w:hAnsi="楷体" w:eastAsia="楷体"/>
          <w:b w:val="0"/>
          <w:bCs w:val="0"/>
          <w:color w:val="auto"/>
          <w:spacing w:val="-4"/>
          <w:sz w:val="32"/>
          <w:szCs w:val="32"/>
        </w:rPr>
        <w:tab/>
        <w:t>高血压患者规范管理率</w:t>
      </w:r>
      <w:r>
        <w:rPr>
          <w:rStyle w:val="18"/>
          <w:rFonts w:hint="eastAsia" w:ascii="楷体" w:hAnsi="楷体" w:eastAsia="楷体"/>
          <w:b w:val="0"/>
          <w:bCs w:val="0"/>
          <w:color w:val="auto"/>
          <w:spacing w:val="-4"/>
          <w:sz w:val="32"/>
          <w:szCs w:val="32"/>
        </w:rPr>
        <w:tab/>
        <w:t>&gt;=61%</w:t>
      </w:r>
      <w:r>
        <w:rPr>
          <w:rStyle w:val="18"/>
          <w:rFonts w:hint="eastAsia" w:ascii="楷体" w:hAnsi="楷体" w:eastAsia="楷体"/>
          <w:b w:val="0"/>
          <w:bCs w:val="0"/>
          <w:color w:val="auto"/>
          <w:spacing w:val="-4"/>
          <w:sz w:val="32"/>
          <w:szCs w:val="32"/>
        </w:rPr>
        <w:tab/>
        <w:t>8</w:t>
      </w:r>
      <w:r>
        <w:rPr>
          <w:rStyle w:val="18"/>
          <w:rFonts w:hint="eastAsia" w:ascii="楷体" w:hAnsi="楷体" w:eastAsia="楷体"/>
          <w:b w:val="0"/>
          <w:bCs w:val="0"/>
          <w:color w:val="auto"/>
          <w:spacing w:val="-4"/>
          <w:sz w:val="32"/>
          <w:szCs w:val="32"/>
        </w:rPr>
        <w:tab/>
        <w:t>79.86%</w:t>
      </w:r>
      <w:r>
        <w:rPr>
          <w:rStyle w:val="18"/>
          <w:rFonts w:hint="eastAsia" w:ascii="楷体" w:hAnsi="楷体" w:eastAsia="楷体"/>
          <w:b w:val="0"/>
          <w:bCs w:val="0"/>
          <w:color w:val="auto"/>
          <w:spacing w:val="-4"/>
          <w:sz w:val="32"/>
          <w:szCs w:val="32"/>
        </w:rPr>
        <w:tab/>
        <w:t>8</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时效指标</w:t>
      </w:r>
      <w:r>
        <w:rPr>
          <w:rStyle w:val="18"/>
          <w:rFonts w:hint="eastAsia" w:ascii="楷体" w:hAnsi="楷体" w:eastAsia="楷体"/>
          <w:b w:val="0"/>
          <w:bCs w:val="0"/>
          <w:color w:val="auto"/>
          <w:spacing w:val="-4"/>
          <w:sz w:val="32"/>
          <w:szCs w:val="32"/>
        </w:rPr>
        <w:tab/>
        <w:t>资金拨付及时率</w:t>
      </w:r>
      <w:r>
        <w:rPr>
          <w:rStyle w:val="18"/>
          <w:rFonts w:hint="eastAsia" w:ascii="楷体" w:hAnsi="楷体" w:eastAsia="楷体"/>
          <w:b w:val="0"/>
          <w:bCs w:val="0"/>
          <w:color w:val="auto"/>
          <w:spacing w:val="-4"/>
          <w:sz w:val="32"/>
          <w:szCs w:val="32"/>
        </w:rPr>
        <w:tab/>
        <w:t>&gt;=100%</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成本指标</w:t>
      </w:r>
      <w:r>
        <w:rPr>
          <w:rStyle w:val="18"/>
          <w:rFonts w:hint="eastAsia" w:ascii="楷体" w:hAnsi="楷体" w:eastAsia="楷体"/>
          <w:b w:val="0"/>
          <w:bCs w:val="0"/>
          <w:color w:val="auto"/>
          <w:spacing w:val="-4"/>
          <w:sz w:val="32"/>
          <w:szCs w:val="32"/>
        </w:rPr>
        <w:tab/>
        <w:t>人员成本</w:t>
      </w:r>
      <w:r>
        <w:rPr>
          <w:rStyle w:val="18"/>
          <w:rFonts w:hint="eastAsia" w:ascii="楷体" w:hAnsi="楷体" w:eastAsia="楷体"/>
          <w:b w:val="0"/>
          <w:bCs w:val="0"/>
          <w:color w:val="auto"/>
          <w:spacing w:val="-4"/>
          <w:sz w:val="32"/>
          <w:szCs w:val="32"/>
        </w:rPr>
        <w:tab/>
        <w:t>&lt;=68.69万元</w:t>
      </w:r>
      <w:r>
        <w:rPr>
          <w:rStyle w:val="18"/>
          <w:rFonts w:hint="eastAsia" w:ascii="楷体" w:hAnsi="楷体" w:eastAsia="楷体"/>
          <w:b w:val="0"/>
          <w:bCs w:val="0"/>
          <w:color w:val="auto"/>
          <w:spacing w:val="-4"/>
          <w:sz w:val="32"/>
          <w:szCs w:val="32"/>
        </w:rPr>
        <w:tab/>
        <w:t>8</w:t>
      </w:r>
      <w:r>
        <w:rPr>
          <w:rStyle w:val="18"/>
          <w:rFonts w:hint="eastAsia" w:ascii="楷体" w:hAnsi="楷体" w:eastAsia="楷体"/>
          <w:b w:val="0"/>
          <w:bCs w:val="0"/>
          <w:color w:val="auto"/>
          <w:spacing w:val="-4"/>
          <w:sz w:val="32"/>
          <w:szCs w:val="32"/>
        </w:rPr>
        <w:tab/>
        <w:t>73.37万元</w:t>
      </w:r>
      <w:r>
        <w:rPr>
          <w:rStyle w:val="18"/>
          <w:rFonts w:hint="eastAsia" w:ascii="楷体" w:hAnsi="楷体" w:eastAsia="楷体"/>
          <w:b w:val="0"/>
          <w:bCs w:val="0"/>
          <w:color w:val="auto"/>
          <w:spacing w:val="-4"/>
          <w:sz w:val="32"/>
          <w:szCs w:val="32"/>
        </w:rPr>
        <w:tab/>
        <w:t>8</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合计</w:t>
      </w:r>
      <w:r>
        <w:rPr>
          <w:rStyle w:val="18"/>
          <w:rFonts w:hint="eastAsia" w:ascii="楷体" w:hAnsi="楷体" w:eastAsia="楷体"/>
          <w:b w:val="0"/>
          <w:bCs w:val="0"/>
          <w:color w:val="auto"/>
          <w:spacing w:val="-4"/>
          <w:sz w:val="32"/>
          <w:szCs w:val="32"/>
        </w:rPr>
        <w:tab/>
        <w:t>30</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30</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（1）健康档案建档人数（得分3分）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根据昌吉市绿洲路街道各社区工作人员入户摸底统计，我辖区建立健康档案人次人数为60000人以上，以此作为基本公共卫生建档人数指标合情合理，因此得3分。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（2）早孕建册人数（得分3分）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根据昌吉市绿洲路街道各社区工作人员入户摸底统计，我辖区老年人建档人数为800人以上，以此作为基本公共卫生服务人数指标合情合理，因此得3分。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（3）适龄儿童基础免疫接种人次（得分2分）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根据昌吉市绿洲路街道各社区工作人员入户摸底统计，我辖区适龄儿童基础免疫接种人次20000人以上，以此作为基本公共卫生服务人数指标合情合理，因此得2分。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（3）高血压患者规范管理率（得分8分）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根据昌吉市卫健委考核要求，结合我辖区健康档案较多的实际情况，以“高血压患者规范管理率”作为指标设置合理，因此得8分。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（1）项目完成时限（得分6分）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“资金支付及时率”指标，预期指标值为“100%”；根据资金支付凭证显示，该项目于2023年12月完成，按合同约定，资金已于2023年10月全部支付完毕，与预期目标指标一致，根据评分标准，该指标6分，得6分。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“人员成本”指标，预期指标值为“≧68.69万元”，根据项目合同和资金支付凭证显示，经费支出能够控制在绩效目标范围内，根据评分标准，该指标8分，得8分。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14:paraId="5E5BC5F4">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01D93F5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项目效益类指标由2个二级指标和2个三级指标构成，权重分30分，实际得分30分，各指标业绩值和绩效分值如表4-4所示：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表4-4项目效益指标及分值情况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年度指标值</w:t>
      </w:r>
      <w:r>
        <w:rPr>
          <w:rStyle w:val="18"/>
          <w:rFonts w:hint="eastAsia" w:ascii="楷体" w:hAnsi="楷体" w:eastAsia="楷体"/>
          <w:b w:val="0"/>
          <w:bCs w:val="0"/>
          <w:color w:val="auto"/>
          <w:spacing w:val="-4"/>
          <w:sz w:val="32"/>
          <w:szCs w:val="32"/>
        </w:rPr>
        <w:tab/>
        <w:t>标杆分值</w:t>
      </w:r>
      <w:r>
        <w:rPr>
          <w:rStyle w:val="18"/>
          <w:rFonts w:hint="eastAsia" w:ascii="楷体" w:hAnsi="楷体" w:eastAsia="楷体"/>
          <w:b w:val="0"/>
          <w:bCs w:val="0"/>
          <w:color w:val="auto"/>
          <w:spacing w:val="-4"/>
          <w:sz w:val="32"/>
          <w:szCs w:val="32"/>
        </w:rPr>
        <w:tab/>
        <w:t>全年实际完成值</w:t>
      </w:r>
      <w:r>
        <w:rPr>
          <w:rStyle w:val="18"/>
          <w:rFonts w:hint="eastAsia" w:ascii="楷体" w:hAnsi="楷体" w:eastAsia="楷体"/>
          <w:b w:val="0"/>
          <w:bCs w:val="0"/>
          <w:color w:val="auto"/>
          <w:spacing w:val="-4"/>
          <w:sz w:val="32"/>
          <w:szCs w:val="32"/>
        </w:rPr>
        <w:tab/>
        <w:t>指标得分</w:t>
      </w:r>
      <w:r>
        <w:rPr>
          <w:rStyle w:val="18"/>
          <w:rFonts w:hint="eastAsia" w:ascii="楷体" w:hAnsi="楷体" w:eastAsia="楷体"/>
          <w:b w:val="0"/>
          <w:bCs w:val="0"/>
          <w:color w:val="auto"/>
          <w:spacing w:val="-4"/>
          <w:sz w:val="32"/>
          <w:szCs w:val="32"/>
        </w:rPr>
        <w:tab/>
        <w:t>备注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经济效益指标</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辖区居民健康意识逐步增强</w:t>
      </w:r>
      <w:r>
        <w:rPr>
          <w:rStyle w:val="18"/>
          <w:rFonts w:hint="eastAsia" w:ascii="楷体" w:hAnsi="楷体" w:eastAsia="楷体"/>
          <w:b w:val="0"/>
          <w:bCs w:val="0"/>
          <w:color w:val="auto"/>
          <w:spacing w:val="-4"/>
          <w:sz w:val="32"/>
          <w:szCs w:val="32"/>
        </w:rPr>
        <w:tab/>
        <w:t>&gt;=90.00%</w:t>
      </w:r>
      <w:r>
        <w:rPr>
          <w:rStyle w:val="18"/>
          <w:rFonts w:hint="eastAsia" w:ascii="楷体" w:hAnsi="楷体" w:eastAsia="楷体"/>
          <w:b w:val="0"/>
          <w:bCs w:val="0"/>
          <w:color w:val="auto"/>
          <w:spacing w:val="-4"/>
          <w:sz w:val="32"/>
          <w:szCs w:val="32"/>
        </w:rPr>
        <w:tab/>
        <w:t>20</w:t>
      </w:r>
      <w:r>
        <w:rPr>
          <w:rStyle w:val="18"/>
          <w:rFonts w:hint="eastAsia" w:ascii="楷体" w:hAnsi="楷体" w:eastAsia="楷体"/>
          <w:b w:val="0"/>
          <w:bCs w:val="0"/>
          <w:color w:val="auto"/>
          <w:spacing w:val="-4"/>
          <w:sz w:val="32"/>
          <w:szCs w:val="32"/>
        </w:rPr>
        <w:tab/>
        <w:t>91%</w:t>
      </w:r>
      <w:r>
        <w:rPr>
          <w:rStyle w:val="18"/>
          <w:rFonts w:hint="eastAsia" w:ascii="楷体" w:hAnsi="楷体" w:eastAsia="楷体"/>
          <w:b w:val="0"/>
          <w:bCs w:val="0"/>
          <w:color w:val="auto"/>
          <w:spacing w:val="-4"/>
          <w:sz w:val="32"/>
          <w:szCs w:val="32"/>
        </w:rPr>
        <w:tab/>
        <w:t>20</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生态效益指标</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可持续影响指标</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目标群体满意度</w:t>
      </w:r>
      <w:r>
        <w:rPr>
          <w:rStyle w:val="18"/>
          <w:rFonts w:hint="eastAsia" w:ascii="楷体" w:hAnsi="楷体" w:eastAsia="楷体"/>
          <w:b w:val="0"/>
          <w:bCs w:val="0"/>
          <w:color w:val="auto"/>
          <w:spacing w:val="-4"/>
          <w:sz w:val="32"/>
          <w:szCs w:val="32"/>
        </w:rPr>
        <w:tab/>
        <w:t>&gt;=90.00%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94.0%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合计</w:t>
      </w:r>
      <w:r>
        <w:rPr>
          <w:rStyle w:val="18"/>
          <w:rFonts w:hint="eastAsia" w:ascii="楷体" w:hAnsi="楷体" w:eastAsia="楷体"/>
          <w:b w:val="0"/>
          <w:bCs w:val="0"/>
          <w:color w:val="auto"/>
          <w:spacing w:val="-4"/>
          <w:sz w:val="32"/>
          <w:szCs w:val="32"/>
        </w:rPr>
        <w:tab/>
        <w:t>30</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30</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健康意识逐步增强”指标，预期指标值为“≥90%“，广大群众提供了优质、便捷的医疗服务，提高了广大群众的卫生健康意识，提倡广大居民自觉养成良好的卫生习惯，辖区居民健康意识不断提高根据本单位年度考核情况可知，实际完成值为“90%”，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“目标群体满意度”指标，预期指标值为“≥90%”，根据对慢性病人及时进行随访，使辖区居民满意度达94.0%以上，因此得10分。该指标10分,得10分。</w:t>
      </w:r>
    </w:p>
    <w:p w14:paraId="640E099E">
      <w:pPr>
        <w:spacing w:line="540" w:lineRule="exact"/>
        <w:ind w:firstLine="567"/>
        <w:rPr>
          <w:rStyle w:val="18"/>
          <w:rFonts w:ascii="楷体" w:hAnsi="楷体" w:eastAsia="楷体"/>
          <w:color w:val="auto"/>
          <w:spacing w:val="-4"/>
          <w:sz w:val="32"/>
          <w:szCs w:val="32"/>
        </w:rPr>
      </w:pPr>
    </w:p>
    <w:p w14:paraId="71B03CD6">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61BC8D65">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昌吉市绿洲路社区卫生服务中心提前下达2023年自治区基本公共卫生服务补助资金项目预算金额80.79万元，实际到位80.79万元，实际支出80.79万元，预算执行率为100%。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2023年本项目指标及目标已全部完成，指标不存在偏差情况。</w:t>
      </w:r>
    </w:p>
    <w:p w14:paraId="6015BC90">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38AAB0E5">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4456D7A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67924B2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71F50D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5DA5D8B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6F773D00">
      <w:pPr>
        <w:spacing w:line="540" w:lineRule="exact"/>
        <w:ind w:firstLine="567"/>
        <w:rPr>
          <w:rStyle w:val="18"/>
          <w:rFonts w:ascii="仿宋" w:hAnsi="仿宋" w:eastAsia="仿宋"/>
          <w:b w:val="0"/>
          <w:color w:val="auto"/>
          <w:spacing w:val="-4"/>
          <w:sz w:val="32"/>
          <w:szCs w:val="32"/>
        </w:rPr>
      </w:pPr>
    </w:p>
    <w:p w14:paraId="3E038D0F">
      <w:pPr>
        <w:spacing w:line="540" w:lineRule="exact"/>
        <w:ind w:firstLine="567"/>
        <w:rPr>
          <w:rStyle w:val="18"/>
          <w:rFonts w:ascii="仿宋" w:hAnsi="仿宋" w:eastAsia="仿宋"/>
          <w:b w:val="0"/>
          <w:color w:val="auto"/>
          <w:spacing w:val="-4"/>
          <w:sz w:val="32"/>
          <w:szCs w:val="32"/>
        </w:rPr>
      </w:pPr>
    </w:p>
    <w:p w14:paraId="7AC1060A">
      <w:pPr>
        <w:spacing w:line="540" w:lineRule="exact"/>
        <w:ind w:firstLine="567"/>
        <w:rPr>
          <w:rStyle w:val="18"/>
          <w:rFonts w:ascii="仿宋" w:hAnsi="仿宋" w:eastAsia="仿宋"/>
          <w:b w:val="0"/>
          <w:color w:val="auto"/>
          <w:spacing w:val="-4"/>
          <w:sz w:val="32"/>
          <w:szCs w:val="32"/>
        </w:rPr>
      </w:pPr>
    </w:p>
    <w:p w14:paraId="7B616AD2">
      <w:pPr>
        <w:spacing w:line="540" w:lineRule="exact"/>
        <w:ind w:firstLine="567"/>
        <w:rPr>
          <w:rStyle w:val="18"/>
          <w:rFonts w:ascii="仿宋" w:hAnsi="仿宋" w:eastAsia="仿宋"/>
          <w:b w:val="0"/>
          <w:color w:val="auto"/>
          <w:spacing w:val="-4"/>
          <w:sz w:val="32"/>
          <w:szCs w:val="32"/>
        </w:rPr>
      </w:pPr>
    </w:p>
    <w:p w14:paraId="6819B858">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AC32497">
        <w:pPr>
          <w:pStyle w:val="12"/>
          <w:jc w:val="center"/>
        </w:pPr>
        <w:r>
          <w:fldChar w:fldCharType="begin"/>
        </w:r>
        <w:r>
          <w:instrText xml:space="preserve">PAGE   \* MERGEFORMAT</w:instrText>
        </w:r>
        <w:r>
          <w:fldChar w:fldCharType="separate"/>
        </w:r>
        <w:r>
          <w:rPr>
            <w:lang w:val="zh-CN"/>
          </w:rPr>
          <w:t>2</w:t>
        </w:r>
        <w:r>
          <w:fldChar w:fldCharType="end"/>
        </w:r>
      </w:p>
    </w:sdtContent>
  </w:sdt>
  <w:p w14:paraId="6F5FCD5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9247678"/>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9494</Words>
  <Characters>10261</Characters>
  <Lines>4</Lines>
  <Paragraphs>1</Paragraphs>
  <TotalTime>2</TotalTime>
  <ScaleCrop>false</ScaleCrop>
  <LinksUpToDate>false</LinksUpToDate>
  <CharactersWithSpaces>10407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2024-09-24T02:57:37Z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