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7573D" w14:textId="77777777" w:rsidR="007F0955" w:rsidRDefault="007F0955">
      <w:pPr>
        <w:rPr>
          <w:rFonts w:ascii="黑体" w:eastAsia="黑体" w:hAnsi="黑体" w:hint="eastAsia"/>
          <w:sz w:val="32"/>
          <w:szCs w:val="32"/>
        </w:rPr>
      </w:pPr>
    </w:p>
    <w:p w14:paraId="5A6AAF8D" w14:textId="77777777" w:rsidR="007F0955" w:rsidRDefault="007F0955">
      <w:pPr>
        <w:jc w:val="center"/>
        <w:rPr>
          <w:rFonts w:ascii="方正小标宋_GBK" w:eastAsia="方正小标宋_GBK" w:hAnsi="宋体" w:hint="eastAsia"/>
          <w:sz w:val="44"/>
          <w:szCs w:val="44"/>
        </w:rPr>
      </w:pPr>
    </w:p>
    <w:p w14:paraId="49DD9FBF" w14:textId="77777777" w:rsidR="007F095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昌吉市阿什里哈萨克民族乡中心幼儿园</w:t>
      </w:r>
    </w:p>
    <w:p w14:paraId="56462EF6" w14:textId="77777777" w:rsidR="007F095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D8485A2" w14:textId="77777777" w:rsidR="007F095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00771C4" w14:textId="77777777" w:rsidR="007F095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8A444D7" w14:textId="77777777" w:rsidR="007F095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0F1E7BD" w14:textId="77777777" w:rsidR="007F095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F0955">
          <w:rPr>
            <w:rFonts w:ascii="仿宋_GB2312" w:eastAsia="仿宋_GB2312" w:hAnsi="仿宋_GB2312" w:cs="仿宋_GB2312" w:hint="eastAsia"/>
            <w:b/>
            <w:bCs/>
            <w:sz w:val="32"/>
            <w:szCs w:val="32"/>
          </w:rPr>
          <w:t>第一部分 单位概况</w:t>
        </w:r>
      </w:hyperlink>
    </w:p>
    <w:p w14:paraId="6B540C68"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26CEE51"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7FF48B4" w14:textId="77777777" w:rsidR="007F0955" w:rsidRDefault="007F095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79512D6"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D004F84"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FF76880"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170BF67"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D6BC882"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AF7E0E4"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27B777A"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5A3457C"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3AD6870" w14:textId="77777777" w:rsidR="007F0955" w:rsidRDefault="007F095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E8C419E"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5BE1553" w14:textId="77777777" w:rsidR="007F0955" w:rsidRDefault="007F095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8450391" w14:textId="77777777" w:rsidR="007F0955" w:rsidRDefault="007F095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AA6B988" w14:textId="77777777" w:rsidR="007F0955" w:rsidRDefault="007F095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9284097"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842C4CF" w14:textId="77777777" w:rsidR="007F095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4851EE1" w14:textId="77777777" w:rsidR="007F0955" w:rsidRDefault="007F095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1FE63DF" w14:textId="77777777" w:rsidR="007F0955" w:rsidRDefault="007F095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74A3C74"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5FDEAD5"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926CC29"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073387B"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F4A9CA1"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C678D14"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B9C01C4" w14:textId="77777777" w:rsidR="007F0955" w:rsidRDefault="007F095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AFCC3AD" w14:textId="77777777" w:rsidR="007F0955" w:rsidRDefault="007F095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DEB86E9" w14:textId="77777777" w:rsidR="007F095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FA361ED" w14:textId="77777777" w:rsidR="007F0955" w:rsidRDefault="00000000">
      <w:r>
        <w:rPr>
          <w:rFonts w:ascii="仿宋_GB2312" w:eastAsia="仿宋_GB2312" w:hAnsi="仿宋_GB2312" w:cs="仿宋_GB2312" w:hint="eastAsia"/>
          <w:sz w:val="32"/>
          <w:szCs w:val="32"/>
        </w:rPr>
        <w:fldChar w:fldCharType="end"/>
      </w:r>
    </w:p>
    <w:p w14:paraId="09F08D4E" w14:textId="77777777" w:rsidR="007F0955" w:rsidRDefault="00000000">
      <w:pPr>
        <w:rPr>
          <w:rFonts w:ascii="仿宋_GB2312" w:eastAsia="仿宋_GB2312"/>
          <w:sz w:val="32"/>
          <w:szCs w:val="32"/>
        </w:rPr>
      </w:pPr>
      <w:r>
        <w:rPr>
          <w:rFonts w:ascii="仿宋_GB2312" w:eastAsia="仿宋_GB2312" w:hint="eastAsia"/>
          <w:sz w:val="32"/>
          <w:szCs w:val="32"/>
        </w:rPr>
        <w:br w:type="page"/>
      </w:r>
    </w:p>
    <w:p w14:paraId="6C699265" w14:textId="77777777" w:rsidR="007F0955"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9221B36" w14:textId="77777777" w:rsidR="007F0955"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C7ABD76" w14:textId="58542BE8" w:rsidR="007F0955" w:rsidRDefault="002B5C0D">
      <w:pPr>
        <w:ind w:firstLineChars="200" w:firstLine="640"/>
        <w:jc w:val="left"/>
        <w:rPr>
          <w:rFonts w:ascii="仿宋_GB2312" w:eastAsia="仿宋_GB2312"/>
          <w:sz w:val="32"/>
          <w:szCs w:val="32"/>
        </w:rPr>
      </w:pPr>
      <w:r w:rsidRPr="002B5C0D">
        <w:rPr>
          <w:rFonts w:ascii="仿宋_GB2312" w:eastAsia="仿宋_GB2312" w:hint="eastAsia"/>
          <w:sz w:val="32"/>
          <w:szCs w:val="32"/>
        </w:rPr>
        <w:t>负责贯彻执行国家对幼儿保育和教育的路线、方针、政策；负责为学龄前儿童提供保育和教育服务；本着保育和教育结合的原则，对幼儿实施德、智、体、美全面发展的教育，促进其身心和谐健康发展。认真贯彻执行幼儿教育《纲要》和《幼儿园工作规程》精神,执行上级主管部门的指示,从严治园,以促进幼儿体、智、德、美全面发展为各项工作的目标,坚持改革,不断提高教育质量</w:t>
      </w:r>
      <w:r>
        <w:rPr>
          <w:rFonts w:ascii="仿宋_GB2312" w:eastAsia="仿宋_GB2312" w:hint="eastAsia"/>
          <w:sz w:val="32"/>
          <w:szCs w:val="32"/>
        </w:rPr>
        <w:t>。</w:t>
      </w:r>
    </w:p>
    <w:p w14:paraId="2BC31F5A" w14:textId="77777777" w:rsidR="007F095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7967E1C" w14:textId="77777777" w:rsidR="007F095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昌吉市阿什里哈萨克民族乡中心幼儿园2023年度，实有人数</w:t>
      </w:r>
      <w:r>
        <w:rPr>
          <w:rFonts w:ascii="仿宋_GB2312" w:eastAsia="仿宋_GB2312" w:hint="eastAsia"/>
          <w:sz w:val="32"/>
          <w:szCs w:val="32"/>
          <w:lang w:val="zh-CN"/>
        </w:rPr>
        <w:t>15</w:t>
      </w:r>
      <w:r>
        <w:rPr>
          <w:rFonts w:ascii="仿宋_GB2312" w:eastAsia="仿宋_GB2312" w:hint="eastAsia"/>
          <w:sz w:val="32"/>
          <w:szCs w:val="32"/>
        </w:rPr>
        <w:t>人，其中：在职人员</w:t>
      </w:r>
      <w:r>
        <w:rPr>
          <w:rFonts w:ascii="仿宋_GB2312" w:eastAsia="仿宋_GB2312" w:hint="eastAsia"/>
          <w:sz w:val="32"/>
          <w:szCs w:val="32"/>
          <w:lang w:val="zh-CN"/>
        </w:rPr>
        <w:t>15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655F1051" w14:textId="08A66296" w:rsidR="007F0955" w:rsidRDefault="00000000">
      <w:pPr>
        <w:ind w:firstLineChars="200" w:firstLine="640"/>
        <w:rPr>
          <w:rFonts w:ascii="仿宋_GB2312" w:eastAsia="仿宋_GB2312" w:hAnsi="宋体" w:cs="宋体" w:hint="eastAsia"/>
          <w:kern w:val="0"/>
          <w:sz w:val="32"/>
          <w:szCs w:val="32"/>
        </w:rPr>
        <w:sectPr w:rsidR="007F095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2B5C0D">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2B5C0D" w:rsidRPr="008B556C">
        <w:rPr>
          <w:rFonts w:ascii="仿宋_GB2312" w:eastAsia="仿宋_GB2312" w:hAnsi="宋体" w:cs="宋体" w:hint="eastAsia"/>
          <w:kern w:val="0"/>
          <w:sz w:val="32"/>
          <w:szCs w:val="32"/>
        </w:rPr>
        <w:t>办公室，教务处，保健室，活动室</w:t>
      </w:r>
      <w:r>
        <w:rPr>
          <w:rFonts w:ascii="仿宋_GB2312" w:eastAsia="仿宋_GB2312" w:hAnsi="宋体" w:cs="宋体" w:hint="eastAsia"/>
          <w:kern w:val="0"/>
          <w:sz w:val="32"/>
          <w:szCs w:val="32"/>
        </w:rPr>
        <w:t>。</w:t>
      </w:r>
    </w:p>
    <w:p w14:paraId="0B01D463" w14:textId="77777777" w:rsidR="007F095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03D8F16" w14:textId="77777777" w:rsidR="007F095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4A736E1" w14:textId="77777777" w:rsidR="007F095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2023年度收入总计408.03万元，其中：本年收入合计397.44万元，使用非财政拨款结余0.00万元，年初结转和结余10.59万元。</w:t>
      </w:r>
    </w:p>
    <w:p w14:paraId="0DF12132" w14:textId="77777777" w:rsidR="007F095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2023年度支出总计408.03万元，其中：本年支出合计395.91万元，结余分配0.00万元，年末结转和结余12.11万元。</w:t>
      </w:r>
    </w:p>
    <w:p w14:paraId="76932B44" w14:textId="25CA8055" w:rsidR="007F095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减少30.03万元</w:t>
      </w:r>
      <w:r>
        <w:rPr>
          <w:rFonts w:ascii="仿宋_GB2312" w:eastAsia="仿宋_GB2312" w:hint="eastAsia"/>
          <w:sz w:val="32"/>
          <w:szCs w:val="32"/>
        </w:rPr>
        <w:t>，下降6.86%，主要原因是：</w:t>
      </w:r>
      <w:r w:rsidR="0014538C">
        <w:rPr>
          <w:rFonts w:ascii="仿宋_GB2312" w:eastAsia="仿宋_GB2312" w:hAnsi="仿宋_GB2312" w:cs="仿宋_GB2312" w:hint="eastAsia"/>
          <w:sz w:val="32"/>
          <w:szCs w:val="32"/>
          <w:lang w:val="zh-CN"/>
        </w:rPr>
        <w:t>本年单位人员减少，相应减少人员薪资、津贴补贴、奖金等</w:t>
      </w:r>
      <w:r>
        <w:rPr>
          <w:rFonts w:ascii="仿宋_GB2312" w:eastAsia="仿宋_GB2312" w:hint="eastAsia"/>
          <w:sz w:val="32"/>
          <w:szCs w:val="32"/>
        </w:rPr>
        <w:t>。</w:t>
      </w:r>
    </w:p>
    <w:p w14:paraId="06EFC113" w14:textId="77777777" w:rsidR="007F095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6CEA2A3" w14:textId="77777777" w:rsidR="007F095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本年收入397.44万元，其中：财政拨款收入</w:t>
      </w:r>
      <w:r>
        <w:rPr>
          <w:rFonts w:ascii="仿宋_GB2312" w:eastAsia="仿宋_GB2312" w:hint="eastAsia"/>
          <w:sz w:val="32"/>
          <w:szCs w:val="32"/>
          <w:lang w:val="zh-CN"/>
        </w:rPr>
        <w:t>397.44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0420B8D" w14:textId="77777777" w:rsidR="007F095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0C1ECDF" w14:textId="77777777" w:rsidR="007F095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本年支出395.91万元，其中：基本支出395.91万元，占100.00%；项目支出0.00万元，占0.00%；上缴上级支出0.00万元，占0.00%；经营支出0.00万元，占0.00%；对附属单位补助支出0.00万元，占0.00%。</w:t>
      </w:r>
    </w:p>
    <w:p w14:paraId="5AA9203F" w14:textId="77777777" w:rsidR="007F095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546E6D5" w14:textId="77777777" w:rsidR="007F095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408.03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10.59</w:t>
      </w:r>
      <w:r>
        <w:rPr>
          <w:rFonts w:ascii="仿宋_GB2312" w:eastAsia="仿宋_GB2312" w:hint="eastAsia"/>
          <w:sz w:val="32"/>
          <w:szCs w:val="32"/>
        </w:rPr>
        <w:t>万元，本年财政拨款收入</w:t>
      </w:r>
      <w:r>
        <w:rPr>
          <w:rFonts w:ascii="仿宋_GB2312" w:eastAsia="仿宋_GB2312" w:hint="eastAsia"/>
          <w:sz w:val="32"/>
          <w:szCs w:val="32"/>
          <w:lang w:val="zh-CN"/>
        </w:rPr>
        <w:t>397.44</w:t>
      </w:r>
      <w:r>
        <w:rPr>
          <w:rFonts w:ascii="仿宋_GB2312" w:eastAsia="仿宋_GB2312" w:hint="eastAsia"/>
          <w:sz w:val="32"/>
          <w:szCs w:val="32"/>
        </w:rPr>
        <w:t>万元。财政拨款支出总计</w:t>
      </w:r>
      <w:r>
        <w:rPr>
          <w:rFonts w:ascii="仿宋_GB2312" w:eastAsia="仿宋_GB2312" w:hint="eastAsia"/>
          <w:sz w:val="32"/>
          <w:szCs w:val="32"/>
          <w:lang w:val="zh-CN"/>
        </w:rPr>
        <w:t>408.03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12.11</w:t>
      </w:r>
      <w:r>
        <w:rPr>
          <w:rFonts w:ascii="仿宋_GB2312" w:eastAsia="仿宋_GB2312" w:hint="eastAsia"/>
          <w:sz w:val="32"/>
          <w:szCs w:val="32"/>
        </w:rPr>
        <w:t>万元，本年财政拨款支出</w:t>
      </w:r>
      <w:r>
        <w:rPr>
          <w:rFonts w:ascii="仿宋_GB2312" w:eastAsia="仿宋_GB2312" w:hint="eastAsia"/>
          <w:sz w:val="32"/>
          <w:szCs w:val="32"/>
          <w:lang w:val="zh-CN"/>
        </w:rPr>
        <w:t>395.91</w:t>
      </w:r>
      <w:r>
        <w:rPr>
          <w:rFonts w:ascii="仿宋_GB2312" w:eastAsia="仿宋_GB2312" w:hint="eastAsia"/>
          <w:sz w:val="32"/>
          <w:szCs w:val="32"/>
        </w:rPr>
        <w:t>万元。</w:t>
      </w:r>
    </w:p>
    <w:p w14:paraId="2C1239F8" w14:textId="2CDE9EFB" w:rsidR="007F095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减少30.03万元</w:t>
      </w:r>
      <w:r>
        <w:rPr>
          <w:rFonts w:ascii="仿宋_GB2312" w:eastAsia="仿宋_GB2312" w:hint="eastAsia"/>
          <w:sz w:val="32"/>
          <w:szCs w:val="32"/>
        </w:rPr>
        <w:t>，下降6.86%,主要原因是：</w:t>
      </w:r>
      <w:r w:rsidR="0014538C">
        <w:rPr>
          <w:rFonts w:ascii="仿宋_GB2312" w:eastAsia="仿宋_GB2312" w:hAnsi="仿宋_GB2312" w:cs="仿宋_GB2312" w:hint="eastAsia"/>
          <w:sz w:val="32"/>
          <w:szCs w:val="32"/>
          <w:lang w:val="zh-CN"/>
        </w:rPr>
        <w:t>本年单位人员减少，相应减少人员薪资、津贴补贴、奖金等</w:t>
      </w:r>
      <w:r>
        <w:rPr>
          <w:rFonts w:ascii="仿宋_GB2312" w:eastAsia="仿宋_GB2312" w:hint="eastAsia"/>
          <w:sz w:val="32"/>
          <w:szCs w:val="32"/>
        </w:rPr>
        <w:t>。与年初预算相比，年初预算数</w:t>
      </w:r>
      <w:r>
        <w:rPr>
          <w:rFonts w:ascii="仿宋_GB2312" w:eastAsia="仿宋_GB2312" w:hint="eastAsia"/>
          <w:sz w:val="32"/>
          <w:szCs w:val="32"/>
          <w:lang w:val="zh-CN"/>
        </w:rPr>
        <w:t>382.15</w:t>
      </w:r>
      <w:r>
        <w:rPr>
          <w:rFonts w:ascii="仿宋_GB2312" w:eastAsia="仿宋_GB2312" w:hint="eastAsia"/>
          <w:sz w:val="32"/>
          <w:szCs w:val="32"/>
        </w:rPr>
        <w:t>万元，决算数</w:t>
      </w:r>
      <w:r>
        <w:rPr>
          <w:rFonts w:ascii="仿宋_GB2312" w:eastAsia="仿宋_GB2312" w:hint="eastAsia"/>
          <w:sz w:val="32"/>
          <w:szCs w:val="32"/>
          <w:lang w:val="zh-CN"/>
        </w:rPr>
        <w:t>408.03</w:t>
      </w:r>
      <w:r>
        <w:rPr>
          <w:rFonts w:ascii="仿宋_GB2312" w:eastAsia="仿宋_GB2312" w:hint="eastAsia"/>
          <w:sz w:val="32"/>
          <w:szCs w:val="32"/>
        </w:rPr>
        <w:t>万元，预决算差异率6.77%，主要原因是：</w:t>
      </w:r>
      <w:r w:rsidR="00670102">
        <w:rPr>
          <w:rFonts w:ascii="仿宋_GB2312" w:eastAsia="仿宋_GB2312" w:hint="eastAsia"/>
          <w:sz w:val="32"/>
          <w:szCs w:val="32"/>
        </w:rPr>
        <w:t>年中</w:t>
      </w:r>
      <w:r w:rsidR="0014538C">
        <w:rPr>
          <w:rFonts w:ascii="仿宋_GB2312" w:eastAsia="仿宋_GB2312" w:hint="eastAsia"/>
          <w:sz w:val="32"/>
          <w:szCs w:val="32"/>
        </w:rPr>
        <w:t>追加</w:t>
      </w:r>
      <w:r w:rsidR="00670102">
        <w:rPr>
          <w:rFonts w:ascii="仿宋_GB2312" w:eastAsia="仿宋_GB2312" w:hint="eastAsia"/>
          <w:sz w:val="32"/>
          <w:szCs w:val="32"/>
        </w:rPr>
        <w:t>校园校舍围墙、栅栏维修经费</w:t>
      </w:r>
      <w:r>
        <w:rPr>
          <w:rFonts w:ascii="仿宋_GB2312" w:eastAsia="仿宋_GB2312" w:hint="eastAsia"/>
          <w:sz w:val="32"/>
          <w:szCs w:val="32"/>
        </w:rPr>
        <w:t>。</w:t>
      </w:r>
    </w:p>
    <w:p w14:paraId="5246A899" w14:textId="77777777" w:rsidR="007F095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BBED6B0" w14:textId="77777777" w:rsidR="007F095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33F075C" w14:textId="7C22F979" w:rsidR="007F095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2023年度一般公共预算财政拨款支出395.91万元，占本年支出合计的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减少31.56万元</w:t>
      </w:r>
      <w:r>
        <w:rPr>
          <w:rFonts w:ascii="仿宋_GB2312" w:eastAsia="仿宋_GB2312" w:hint="eastAsia"/>
          <w:sz w:val="32"/>
          <w:szCs w:val="32"/>
        </w:rPr>
        <w:t>，下降7.38%,主要原因是：</w:t>
      </w:r>
      <w:r w:rsidR="0014538C">
        <w:rPr>
          <w:rFonts w:ascii="仿宋_GB2312" w:eastAsia="仿宋_GB2312" w:hAnsi="仿宋_GB2312" w:cs="仿宋_GB2312" w:hint="eastAsia"/>
          <w:sz w:val="32"/>
          <w:szCs w:val="32"/>
          <w:lang w:val="zh-CN"/>
        </w:rPr>
        <w:t>本年单位人员减少，相应减少人员薪资、津贴补贴、奖金等</w:t>
      </w:r>
      <w:r>
        <w:rPr>
          <w:rFonts w:ascii="仿宋_GB2312" w:eastAsia="仿宋_GB2312" w:hint="eastAsia"/>
          <w:sz w:val="32"/>
          <w:szCs w:val="32"/>
        </w:rPr>
        <w:t>。与年初预算相比，年初预算数</w:t>
      </w:r>
      <w:r>
        <w:rPr>
          <w:rFonts w:ascii="仿宋_GB2312" w:eastAsia="仿宋_GB2312" w:hint="eastAsia"/>
          <w:sz w:val="32"/>
          <w:szCs w:val="32"/>
          <w:lang w:val="zh-CN"/>
        </w:rPr>
        <w:t>382.15</w:t>
      </w:r>
      <w:r>
        <w:rPr>
          <w:rFonts w:ascii="仿宋_GB2312" w:eastAsia="仿宋_GB2312" w:hint="eastAsia"/>
          <w:sz w:val="32"/>
          <w:szCs w:val="32"/>
        </w:rPr>
        <w:t>万元，决算数</w:t>
      </w:r>
      <w:r>
        <w:rPr>
          <w:rFonts w:ascii="仿宋_GB2312" w:eastAsia="仿宋_GB2312" w:hint="eastAsia"/>
          <w:sz w:val="32"/>
          <w:szCs w:val="32"/>
          <w:lang w:val="zh-CN"/>
        </w:rPr>
        <w:t>395.91</w:t>
      </w:r>
      <w:r>
        <w:rPr>
          <w:rFonts w:ascii="仿宋_GB2312" w:eastAsia="仿宋_GB2312" w:hint="eastAsia"/>
          <w:sz w:val="32"/>
          <w:szCs w:val="32"/>
        </w:rPr>
        <w:t>万元，预决算差异率</w:t>
      </w:r>
      <w:r>
        <w:rPr>
          <w:rFonts w:ascii="仿宋_GB2312" w:eastAsia="仿宋_GB2312" w:hint="eastAsia"/>
          <w:sz w:val="32"/>
          <w:szCs w:val="32"/>
          <w:lang w:val="zh-CN"/>
        </w:rPr>
        <w:t>3.60%</w:t>
      </w:r>
      <w:r>
        <w:rPr>
          <w:rFonts w:ascii="仿宋_GB2312" w:eastAsia="仿宋_GB2312" w:hint="eastAsia"/>
          <w:sz w:val="32"/>
          <w:szCs w:val="32"/>
        </w:rPr>
        <w:t>，主要原因是：</w:t>
      </w:r>
      <w:r w:rsidR="00670102">
        <w:rPr>
          <w:rFonts w:ascii="仿宋_GB2312" w:eastAsia="仿宋_GB2312" w:hint="eastAsia"/>
          <w:sz w:val="32"/>
          <w:szCs w:val="32"/>
        </w:rPr>
        <w:t>年中追加校园校舍围墙、栅栏维修经费</w:t>
      </w:r>
      <w:r>
        <w:rPr>
          <w:rFonts w:ascii="仿宋_GB2312" w:eastAsia="仿宋_GB2312" w:hint="eastAsia"/>
          <w:sz w:val="32"/>
          <w:szCs w:val="32"/>
        </w:rPr>
        <w:t>。</w:t>
      </w:r>
    </w:p>
    <w:p w14:paraId="040A4425" w14:textId="77777777" w:rsidR="007F095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DF04DB7" w14:textId="5A045039" w:rsidR="007F0955" w:rsidRDefault="0014538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395.91</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4F52A3BA" w14:textId="77777777" w:rsidR="007F095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05FEFBC" w14:textId="2B1863A3" w:rsidR="007F095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w:t>
      </w:r>
      <w:r>
        <w:rPr>
          <w:rFonts w:ascii="仿宋_GB2312" w:eastAsia="仿宋_GB2312" w:hAnsi="仿宋_GB2312" w:cs="仿宋_GB2312" w:hint="eastAsia"/>
          <w:sz w:val="32"/>
          <w:szCs w:val="32"/>
        </w:rPr>
        <w:lastRenderedPageBreak/>
        <w:t>出决算数为395.91万元，比上年决算减少</w:t>
      </w:r>
      <w:r w:rsidR="00B218CC">
        <w:rPr>
          <w:rFonts w:ascii="仿宋_GB2312" w:eastAsia="仿宋_GB2312" w:hAnsi="仿宋_GB2312" w:cs="仿宋_GB2312" w:hint="eastAsia"/>
          <w:sz w:val="32"/>
          <w:szCs w:val="32"/>
        </w:rPr>
        <w:t>31.56</w:t>
      </w:r>
      <w:r>
        <w:rPr>
          <w:rFonts w:ascii="仿宋_GB2312" w:eastAsia="仿宋_GB2312" w:hAnsi="仿宋_GB2312" w:cs="仿宋_GB2312" w:hint="eastAsia"/>
          <w:sz w:val="32"/>
          <w:szCs w:val="32"/>
        </w:rPr>
        <w:t>万元，下降7.38%，主要原因是：</w:t>
      </w:r>
      <w:r w:rsidR="0014538C">
        <w:rPr>
          <w:rFonts w:ascii="仿宋_GB2312" w:eastAsia="仿宋_GB2312" w:hAnsi="仿宋_GB2312" w:cs="仿宋_GB2312" w:hint="eastAsia"/>
          <w:sz w:val="32"/>
          <w:szCs w:val="32"/>
          <w:lang w:val="zh-CN"/>
        </w:rPr>
        <w:t>本年单位人员减少，相应减少人员薪资、津贴补贴、奖金等</w:t>
      </w:r>
      <w:r>
        <w:rPr>
          <w:rFonts w:ascii="仿宋_GB2312" w:eastAsia="仿宋_GB2312" w:hAnsi="仿宋_GB2312" w:cs="仿宋_GB2312" w:hint="eastAsia"/>
          <w:sz w:val="32"/>
          <w:szCs w:val="32"/>
          <w:lang w:val="zh-CN"/>
        </w:rPr>
        <w:t>。</w:t>
      </w:r>
    </w:p>
    <w:p w14:paraId="6B7CDEFA" w14:textId="77777777" w:rsidR="007F095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0831B4D" w14:textId="064EA8EC" w:rsidR="007F095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395.91万元，其中：人员经费348.65万元，包括：基本工资、津贴补贴、奖金、机关事业单位基本养老保险缴费、职工基本医疗保险缴费、其他社会保障缴费、住房公积金、其他工资福利支出。</w:t>
      </w:r>
    </w:p>
    <w:p w14:paraId="165A411A" w14:textId="6706AE03" w:rsidR="007F0955" w:rsidRDefault="00000000" w:rsidP="0014538C">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公用经费47.27万元，包括：办公费、手续费、水费、电费、邮电费、取暖费、维修（护）费、劳务费、办公设备购置</w:t>
      </w:r>
      <w:r>
        <w:rPr>
          <w:rFonts w:ascii="仿宋_GB2312" w:eastAsia="仿宋_GB2312" w:hAnsi="宋体" w:cs="宋体" w:hint="eastAsia"/>
          <w:kern w:val="0"/>
          <w:sz w:val="32"/>
          <w:szCs w:val="32"/>
        </w:rPr>
        <w:t>。</w:t>
      </w:r>
    </w:p>
    <w:p w14:paraId="1F80480E" w14:textId="77777777" w:rsidR="007F095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759111D" w14:textId="0B32C8A7" w:rsidR="007F095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EF238B6" w14:textId="77777777" w:rsidR="007F095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D767A48" w14:textId="24810F28" w:rsidR="007F095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53DDFAC" w14:textId="79F4F818" w:rsidR="007F095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72EB4" w:rsidRPr="00E72EB4">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1BA6FD9" w14:textId="3E815F74" w:rsidR="007F095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861B1AB" w14:textId="55501ED2" w:rsidR="007F095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4538C" w:rsidRPr="0014538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6E9E528" w14:textId="77777777" w:rsidR="007F0955"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lastRenderedPageBreak/>
        <w:t>八、政府性基金预算财政拨款收入支出决算情况说明</w:t>
      </w:r>
      <w:bookmarkEnd w:id="18"/>
      <w:bookmarkEnd w:id="19"/>
    </w:p>
    <w:p w14:paraId="63A813F5" w14:textId="77777777" w:rsidR="007F095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6B435AA" w14:textId="77777777" w:rsidR="007F095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C468535" w14:textId="77777777" w:rsidR="007F095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3D4ED8B" w14:textId="77777777" w:rsidR="007F0955"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AA9C6A8" w14:textId="77777777" w:rsidR="007F0955"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E372114" w14:textId="41BD1DD7" w:rsidR="007F0955"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昌吉市阿什里哈萨克民族乡中心幼儿园（事业单位）公用经费支出47.27万元，</w:t>
      </w:r>
      <w:r>
        <w:rPr>
          <w:rFonts w:ascii="仿宋_GB2312" w:eastAsia="仿宋_GB2312" w:hAnsi="仿宋_GB2312" w:cs="仿宋_GB2312" w:hint="eastAsia"/>
          <w:sz w:val="32"/>
          <w:szCs w:val="32"/>
          <w:lang w:val="zh-CN"/>
        </w:rPr>
        <w:t>比上年减少19.84万元，下降29.56%，主要原因是：</w:t>
      </w:r>
      <w:r w:rsidR="0014538C">
        <w:rPr>
          <w:rFonts w:ascii="仿宋_GB2312" w:eastAsia="仿宋_GB2312" w:hAnsi="仿宋_GB2312" w:cs="仿宋_GB2312" w:hint="eastAsia"/>
          <w:sz w:val="32"/>
          <w:szCs w:val="32"/>
          <w:lang w:val="zh-CN"/>
        </w:rPr>
        <w:t>本年单位</w:t>
      </w:r>
      <w:r w:rsidR="0014538C">
        <w:rPr>
          <w:rFonts w:ascii="仿宋_GB2312" w:eastAsia="仿宋_GB2312" w:hint="eastAsia"/>
          <w:sz w:val="32"/>
          <w:szCs w:val="32"/>
        </w:rPr>
        <w:t>办公费、手续费、邮电费、取暖费</w:t>
      </w:r>
      <w:r w:rsidR="00670102">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156F5E54" w14:textId="77777777" w:rsidR="007F095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C827D7A" w14:textId="77777777" w:rsidR="007F095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2023年度政府采购支出总额4.15万元，其中：政府采购货物支出2.34万元、政府采购工程支出0.00万元、政府采购服务支出1.82万元。</w:t>
      </w:r>
    </w:p>
    <w:p w14:paraId="65149DAA" w14:textId="77777777" w:rsidR="007F095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授予中小企业合同金额4.15万元，占政府采购支出总额的100.00%，其中：授予小微企业合同金额4.15万元，占政府采购支出总额的100.00%</w:t>
      </w:r>
      <w:r>
        <w:rPr>
          <w:rFonts w:ascii="仿宋_GB2312" w:eastAsia="仿宋_GB2312" w:hAnsi="仿宋_GB2312" w:cs="仿宋_GB2312" w:hint="eastAsia"/>
          <w:sz w:val="32"/>
          <w:szCs w:val="32"/>
        </w:rPr>
        <w:t>。</w:t>
      </w:r>
    </w:p>
    <w:p w14:paraId="62F175C5" w14:textId="77777777" w:rsidR="007F0955" w:rsidRPr="0014538C" w:rsidRDefault="00000000">
      <w:pPr>
        <w:ind w:firstLineChars="200" w:firstLine="640"/>
        <w:jc w:val="left"/>
        <w:rPr>
          <w:rFonts w:eastAsia="黑体"/>
          <w:sz w:val="32"/>
          <w:szCs w:val="30"/>
          <w:lang w:val="zh-CN"/>
        </w:rPr>
      </w:pPr>
      <w:bookmarkStart w:id="26" w:name="_Toc4591"/>
      <w:bookmarkStart w:id="27" w:name="_Toc8391"/>
      <w:r w:rsidRPr="0014538C">
        <w:rPr>
          <w:rFonts w:eastAsia="黑体" w:hint="eastAsia"/>
          <w:sz w:val="32"/>
          <w:szCs w:val="30"/>
          <w:lang w:val="zh-CN"/>
        </w:rPr>
        <w:t>（三）国有资产占用情况说明</w:t>
      </w:r>
      <w:bookmarkEnd w:id="26"/>
      <w:bookmarkEnd w:id="27"/>
    </w:p>
    <w:p w14:paraId="643FFFCC" w14:textId="026424FB" w:rsidR="007F095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913.91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屋2,423.70平方米，价值761.50万元。车辆0辆，价值0.00万元，其中：副部（省）级及以上领导用车0辆、主要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14538C" w:rsidRPr="0014538C">
        <w:rPr>
          <w:rFonts w:ascii="仿宋_GB2312" w:eastAsia="仿宋_GB2312" w:hAnsi="仿宋_GB2312" w:cs="仿宋_GB2312" w:hint="eastAsia"/>
          <w:sz w:val="32"/>
          <w:szCs w:val="32"/>
          <w:lang w:val="zh-CN"/>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6453145" w14:textId="77777777" w:rsidR="007F0955"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77FD6B8" w14:textId="0A17C64C" w:rsidR="007F095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4538C" w:rsidRPr="0014538C">
        <w:rPr>
          <w:rFonts w:ascii="仿宋_GB2312" w:eastAsia="仿宋_GB2312"/>
          <w:sz w:val="32"/>
          <w:szCs w:val="32"/>
        </w:rPr>
        <w:t>408.03</w:t>
      </w:r>
      <w:r>
        <w:rPr>
          <w:rFonts w:ascii="仿宋_GB2312" w:eastAsia="仿宋_GB2312" w:hint="eastAsia"/>
          <w:sz w:val="32"/>
          <w:szCs w:val="32"/>
        </w:rPr>
        <w:t>万元，实际执行总额</w:t>
      </w:r>
      <w:r w:rsidR="0014538C" w:rsidRPr="0014538C">
        <w:rPr>
          <w:rFonts w:ascii="仿宋_GB2312" w:eastAsia="仿宋_GB2312"/>
          <w:sz w:val="32"/>
          <w:szCs w:val="32"/>
        </w:rPr>
        <w:t>395.91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4538C">
        <w:rPr>
          <w:rFonts w:ascii="仿宋_GB2312" w:eastAsia="仿宋_GB2312" w:hint="eastAsia"/>
          <w:sz w:val="32"/>
          <w:szCs w:val="32"/>
        </w:rPr>
        <w:t>0</w:t>
      </w:r>
      <w:r>
        <w:rPr>
          <w:rFonts w:ascii="仿宋_GB2312" w:eastAsia="仿宋_GB2312" w:hint="eastAsia"/>
          <w:sz w:val="32"/>
          <w:szCs w:val="32"/>
        </w:rPr>
        <w:t>个，全年预算数</w:t>
      </w:r>
      <w:r w:rsidR="0014538C">
        <w:rPr>
          <w:rFonts w:ascii="仿宋_GB2312" w:eastAsia="仿宋_GB2312" w:hint="eastAsia"/>
          <w:sz w:val="32"/>
          <w:szCs w:val="32"/>
        </w:rPr>
        <w:t>0.00</w:t>
      </w:r>
      <w:r>
        <w:rPr>
          <w:rFonts w:ascii="仿宋_GB2312" w:eastAsia="仿宋_GB2312" w:hint="eastAsia"/>
          <w:sz w:val="32"/>
          <w:szCs w:val="32"/>
        </w:rPr>
        <w:t>万元，全年执行数</w:t>
      </w:r>
      <w:r w:rsidR="0014538C">
        <w:rPr>
          <w:rFonts w:ascii="仿宋_GB2312" w:eastAsia="仿宋_GB2312" w:hint="eastAsia"/>
          <w:sz w:val="32"/>
          <w:szCs w:val="32"/>
        </w:rPr>
        <w:t>0.00</w:t>
      </w:r>
      <w:r>
        <w:rPr>
          <w:rFonts w:ascii="仿宋_GB2312" w:eastAsia="仿宋_GB2312" w:hint="eastAsia"/>
          <w:sz w:val="32"/>
          <w:szCs w:val="32"/>
        </w:rPr>
        <w:t>万元。</w:t>
      </w:r>
      <w:r w:rsidR="0014538C" w:rsidRPr="0014538C">
        <w:rPr>
          <w:rFonts w:ascii="仿宋_GB2312" w:eastAsia="仿宋_GB2312" w:hint="eastAsia"/>
          <w:sz w:val="32"/>
          <w:szCs w:val="32"/>
        </w:rPr>
        <w:t>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w:t>
      </w:r>
      <w:r w:rsidR="00670102">
        <w:rPr>
          <w:rFonts w:ascii="仿宋_GB2312" w:eastAsia="仿宋_GB2312" w:hint="eastAsia"/>
          <w:sz w:val="32"/>
          <w:szCs w:val="32"/>
        </w:rPr>
        <w:t>；</w:t>
      </w:r>
      <w:r w:rsidR="0014538C" w:rsidRPr="0014538C">
        <w:rPr>
          <w:rFonts w:ascii="仿宋_GB2312" w:eastAsia="仿宋_GB2312" w:hint="eastAsia"/>
          <w:sz w:val="32"/>
          <w:szCs w:val="32"/>
        </w:rPr>
        <w:t>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w:t>
      </w:r>
      <w:r w:rsidR="0014538C" w:rsidRPr="0014538C">
        <w:rPr>
          <w:rFonts w:ascii="仿宋_GB2312" w:eastAsia="仿宋_GB2312" w:hint="eastAsia"/>
          <w:sz w:val="32"/>
          <w:szCs w:val="32"/>
        </w:rPr>
        <w:lastRenderedPageBreak/>
        <w:t>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tbl>
      <w:tblPr>
        <w:tblW w:w="5000" w:type="pct"/>
        <w:jc w:val="center"/>
        <w:tblLook w:val="04A0" w:firstRow="1" w:lastRow="0" w:firstColumn="1" w:lastColumn="0" w:noHBand="0" w:noVBand="1"/>
      </w:tblPr>
      <w:tblGrid>
        <w:gridCol w:w="1512"/>
        <w:gridCol w:w="1173"/>
        <w:gridCol w:w="1497"/>
        <w:gridCol w:w="1112"/>
        <w:gridCol w:w="982"/>
        <w:gridCol w:w="612"/>
        <w:gridCol w:w="913"/>
        <w:gridCol w:w="721"/>
      </w:tblGrid>
      <w:tr w:rsidR="0014538C" w:rsidRPr="0014538C" w14:paraId="7A1AF14B" w14:textId="77777777" w:rsidTr="0014538C">
        <w:trPr>
          <w:trHeight w:val="522"/>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A9F37"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部门（单位）整体支出绩效目标自评表</w:t>
            </w:r>
          </w:p>
        </w:tc>
      </w:tr>
      <w:tr w:rsidR="0014538C" w:rsidRPr="0014538C" w14:paraId="1FA97D1C" w14:textId="77777777" w:rsidTr="0014538C">
        <w:trPr>
          <w:trHeight w:val="360"/>
          <w:jc w:val="center"/>
        </w:trPr>
        <w:tc>
          <w:tcPr>
            <w:tcW w:w="852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7D529"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（2023年度）</w:t>
            </w:r>
          </w:p>
        </w:tc>
      </w:tr>
      <w:tr w:rsidR="0014538C" w:rsidRPr="0014538C" w14:paraId="7A5C33A5" w14:textId="77777777" w:rsidTr="0014538C">
        <w:trPr>
          <w:trHeight w:val="660"/>
          <w:jc w:val="center"/>
        </w:trPr>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14E59"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部门（单位）名称</w:t>
            </w:r>
          </w:p>
        </w:tc>
        <w:tc>
          <w:tcPr>
            <w:tcW w:w="7003" w:type="dxa"/>
            <w:gridSpan w:val="7"/>
            <w:tcBorders>
              <w:top w:val="single" w:sz="4" w:space="0" w:color="auto"/>
              <w:left w:val="nil"/>
              <w:bottom w:val="single" w:sz="4" w:space="0" w:color="auto"/>
              <w:right w:val="single" w:sz="4" w:space="0" w:color="auto"/>
            </w:tcBorders>
            <w:shd w:val="clear" w:color="auto" w:fill="auto"/>
            <w:noWrap/>
            <w:vAlign w:val="center"/>
            <w:hideMark/>
          </w:tcPr>
          <w:p w14:paraId="3297887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昌吉市阿什里乡中心幼儿园</w:t>
            </w:r>
          </w:p>
        </w:tc>
      </w:tr>
      <w:tr w:rsidR="0014538C" w:rsidRPr="0014538C" w14:paraId="4E829DD1" w14:textId="77777777" w:rsidTr="0014538C">
        <w:trPr>
          <w:trHeight w:val="570"/>
          <w:jc w:val="center"/>
        </w:trPr>
        <w:tc>
          <w:tcPr>
            <w:tcW w:w="1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363408"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部门资金（万元）</w:t>
            </w:r>
          </w:p>
        </w:tc>
        <w:tc>
          <w:tcPr>
            <w:tcW w:w="1178" w:type="dxa"/>
            <w:tcBorders>
              <w:top w:val="nil"/>
              <w:left w:val="nil"/>
              <w:bottom w:val="single" w:sz="4" w:space="0" w:color="auto"/>
              <w:right w:val="single" w:sz="4" w:space="0" w:color="auto"/>
            </w:tcBorders>
            <w:shd w:val="clear" w:color="auto" w:fill="auto"/>
            <w:vAlign w:val="center"/>
            <w:hideMark/>
          </w:tcPr>
          <w:p w14:paraId="4076F0B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资金来源</w:t>
            </w:r>
          </w:p>
        </w:tc>
        <w:tc>
          <w:tcPr>
            <w:tcW w:w="1503" w:type="dxa"/>
            <w:tcBorders>
              <w:top w:val="nil"/>
              <w:left w:val="nil"/>
              <w:bottom w:val="single" w:sz="4" w:space="0" w:color="auto"/>
              <w:right w:val="single" w:sz="4" w:space="0" w:color="auto"/>
            </w:tcBorders>
            <w:shd w:val="clear" w:color="auto" w:fill="auto"/>
            <w:vAlign w:val="center"/>
            <w:hideMark/>
          </w:tcPr>
          <w:p w14:paraId="2DFEA10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年初预算数</w:t>
            </w:r>
          </w:p>
        </w:tc>
        <w:tc>
          <w:tcPr>
            <w:tcW w:w="1097" w:type="dxa"/>
            <w:tcBorders>
              <w:top w:val="nil"/>
              <w:left w:val="nil"/>
              <w:bottom w:val="single" w:sz="4" w:space="0" w:color="auto"/>
              <w:right w:val="single" w:sz="4" w:space="0" w:color="auto"/>
            </w:tcBorders>
            <w:shd w:val="clear" w:color="auto" w:fill="auto"/>
            <w:vAlign w:val="center"/>
            <w:hideMark/>
          </w:tcPr>
          <w:p w14:paraId="1C7595D7"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全年预算数</w:t>
            </w:r>
          </w:p>
        </w:tc>
        <w:tc>
          <w:tcPr>
            <w:tcW w:w="986" w:type="dxa"/>
            <w:tcBorders>
              <w:top w:val="nil"/>
              <w:left w:val="nil"/>
              <w:bottom w:val="single" w:sz="4" w:space="0" w:color="auto"/>
              <w:right w:val="single" w:sz="4" w:space="0" w:color="auto"/>
            </w:tcBorders>
            <w:shd w:val="clear" w:color="auto" w:fill="auto"/>
            <w:vAlign w:val="center"/>
            <w:hideMark/>
          </w:tcPr>
          <w:p w14:paraId="66022754"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全年执行数</w:t>
            </w:r>
          </w:p>
        </w:tc>
        <w:tc>
          <w:tcPr>
            <w:tcW w:w="614" w:type="dxa"/>
            <w:tcBorders>
              <w:top w:val="nil"/>
              <w:left w:val="nil"/>
              <w:bottom w:val="single" w:sz="4" w:space="0" w:color="auto"/>
              <w:right w:val="single" w:sz="4" w:space="0" w:color="auto"/>
            </w:tcBorders>
            <w:shd w:val="clear" w:color="auto" w:fill="auto"/>
            <w:vAlign w:val="center"/>
            <w:hideMark/>
          </w:tcPr>
          <w:p w14:paraId="7BABB3A1"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分值权重</w:t>
            </w:r>
          </w:p>
        </w:tc>
        <w:tc>
          <w:tcPr>
            <w:tcW w:w="901" w:type="dxa"/>
            <w:tcBorders>
              <w:top w:val="nil"/>
              <w:left w:val="nil"/>
              <w:bottom w:val="single" w:sz="4" w:space="0" w:color="auto"/>
              <w:right w:val="single" w:sz="4" w:space="0" w:color="auto"/>
            </w:tcBorders>
            <w:shd w:val="clear" w:color="auto" w:fill="auto"/>
            <w:vAlign w:val="center"/>
            <w:hideMark/>
          </w:tcPr>
          <w:p w14:paraId="051719D5"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执行率</w:t>
            </w:r>
          </w:p>
        </w:tc>
        <w:tc>
          <w:tcPr>
            <w:tcW w:w="724" w:type="dxa"/>
            <w:tcBorders>
              <w:top w:val="nil"/>
              <w:left w:val="nil"/>
              <w:bottom w:val="single" w:sz="4" w:space="0" w:color="auto"/>
              <w:right w:val="single" w:sz="4" w:space="0" w:color="auto"/>
            </w:tcBorders>
            <w:shd w:val="clear" w:color="auto" w:fill="auto"/>
            <w:vAlign w:val="center"/>
            <w:hideMark/>
          </w:tcPr>
          <w:p w14:paraId="6246BB0C"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得分</w:t>
            </w:r>
          </w:p>
        </w:tc>
      </w:tr>
      <w:tr w:rsidR="0014538C" w:rsidRPr="0014538C" w14:paraId="52A55140" w14:textId="77777777" w:rsidTr="0014538C">
        <w:trPr>
          <w:trHeight w:val="879"/>
          <w:jc w:val="center"/>
        </w:trPr>
        <w:tc>
          <w:tcPr>
            <w:tcW w:w="1519" w:type="dxa"/>
            <w:vMerge/>
            <w:tcBorders>
              <w:top w:val="single" w:sz="4" w:space="0" w:color="auto"/>
              <w:left w:val="single" w:sz="4" w:space="0" w:color="auto"/>
              <w:bottom w:val="single" w:sz="4" w:space="0" w:color="auto"/>
              <w:right w:val="single" w:sz="4" w:space="0" w:color="auto"/>
            </w:tcBorders>
            <w:vAlign w:val="center"/>
            <w:hideMark/>
          </w:tcPr>
          <w:p w14:paraId="03ED2855" w14:textId="77777777" w:rsidR="0014538C" w:rsidRPr="0014538C" w:rsidRDefault="0014538C" w:rsidP="0014538C">
            <w:pPr>
              <w:widowControl/>
              <w:jc w:val="left"/>
              <w:rPr>
                <w:rFonts w:ascii="宋体" w:hAnsi="宋体" w:cs="宋体" w:hint="eastAsia"/>
                <w:kern w:val="0"/>
                <w:sz w:val="20"/>
                <w:szCs w:val="20"/>
              </w:rPr>
            </w:pPr>
          </w:p>
        </w:tc>
        <w:tc>
          <w:tcPr>
            <w:tcW w:w="1178" w:type="dxa"/>
            <w:tcBorders>
              <w:top w:val="nil"/>
              <w:left w:val="nil"/>
              <w:bottom w:val="single" w:sz="4" w:space="0" w:color="auto"/>
              <w:right w:val="single" w:sz="4" w:space="0" w:color="auto"/>
            </w:tcBorders>
            <w:shd w:val="clear" w:color="auto" w:fill="auto"/>
            <w:noWrap/>
            <w:vAlign w:val="center"/>
            <w:hideMark/>
          </w:tcPr>
          <w:p w14:paraId="3C30EA58"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中央安排</w:t>
            </w:r>
          </w:p>
        </w:tc>
        <w:tc>
          <w:tcPr>
            <w:tcW w:w="1503" w:type="dxa"/>
            <w:tcBorders>
              <w:top w:val="nil"/>
              <w:left w:val="nil"/>
              <w:bottom w:val="single" w:sz="4" w:space="0" w:color="auto"/>
              <w:right w:val="single" w:sz="4" w:space="0" w:color="auto"/>
            </w:tcBorders>
            <w:shd w:val="clear" w:color="auto" w:fill="auto"/>
            <w:vAlign w:val="center"/>
            <w:hideMark/>
          </w:tcPr>
          <w:p w14:paraId="3B9B04EA" w14:textId="20512686"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1097" w:type="dxa"/>
            <w:tcBorders>
              <w:top w:val="nil"/>
              <w:left w:val="nil"/>
              <w:bottom w:val="single" w:sz="4" w:space="0" w:color="auto"/>
              <w:right w:val="single" w:sz="4" w:space="0" w:color="auto"/>
            </w:tcBorders>
            <w:shd w:val="clear" w:color="auto" w:fill="auto"/>
            <w:vAlign w:val="center"/>
            <w:hideMark/>
          </w:tcPr>
          <w:p w14:paraId="451861C5" w14:textId="664DAC3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986" w:type="dxa"/>
            <w:tcBorders>
              <w:top w:val="nil"/>
              <w:left w:val="nil"/>
              <w:bottom w:val="single" w:sz="4" w:space="0" w:color="auto"/>
              <w:right w:val="single" w:sz="4" w:space="0" w:color="auto"/>
            </w:tcBorders>
            <w:shd w:val="clear" w:color="auto" w:fill="auto"/>
            <w:vAlign w:val="center"/>
            <w:hideMark/>
          </w:tcPr>
          <w:p w14:paraId="536B9776" w14:textId="0EAAAB56"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614" w:type="dxa"/>
            <w:tcBorders>
              <w:top w:val="nil"/>
              <w:left w:val="nil"/>
              <w:bottom w:val="single" w:sz="4" w:space="0" w:color="auto"/>
              <w:right w:val="single" w:sz="4" w:space="0" w:color="auto"/>
            </w:tcBorders>
            <w:shd w:val="clear" w:color="auto" w:fill="auto"/>
            <w:vAlign w:val="center"/>
            <w:hideMark/>
          </w:tcPr>
          <w:p w14:paraId="619E5BFD"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10</w:t>
            </w:r>
          </w:p>
        </w:tc>
        <w:tc>
          <w:tcPr>
            <w:tcW w:w="901" w:type="dxa"/>
            <w:tcBorders>
              <w:top w:val="nil"/>
              <w:left w:val="nil"/>
              <w:bottom w:val="single" w:sz="4" w:space="0" w:color="auto"/>
              <w:right w:val="single" w:sz="4" w:space="0" w:color="auto"/>
            </w:tcBorders>
            <w:shd w:val="clear" w:color="auto" w:fill="auto"/>
            <w:vAlign w:val="center"/>
            <w:hideMark/>
          </w:tcPr>
          <w:p w14:paraId="133BD5C0"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97.03%</w:t>
            </w:r>
          </w:p>
        </w:tc>
        <w:tc>
          <w:tcPr>
            <w:tcW w:w="724" w:type="dxa"/>
            <w:tcBorders>
              <w:top w:val="nil"/>
              <w:left w:val="nil"/>
              <w:bottom w:val="single" w:sz="4" w:space="0" w:color="auto"/>
              <w:right w:val="single" w:sz="4" w:space="0" w:color="auto"/>
            </w:tcBorders>
            <w:shd w:val="clear" w:color="auto" w:fill="auto"/>
            <w:vAlign w:val="center"/>
            <w:hideMark/>
          </w:tcPr>
          <w:p w14:paraId="7983DC3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9.73</w:t>
            </w:r>
          </w:p>
        </w:tc>
      </w:tr>
      <w:tr w:rsidR="0014538C" w:rsidRPr="0014538C" w14:paraId="1F142397" w14:textId="77777777" w:rsidTr="0014538C">
        <w:trPr>
          <w:trHeight w:val="879"/>
          <w:jc w:val="center"/>
        </w:trPr>
        <w:tc>
          <w:tcPr>
            <w:tcW w:w="1519" w:type="dxa"/>
            <w:vMerge/>
            <w:tcBorders>
              <w:top w:val="single" w:sz="4" w:space="0" w:color="auto"/>
              <w:left w:val="single" w:sz="4" w:space="0" w:color="auto"/>
              <w:bottom w:val="single" w:sz="4" w:space="0" w:color="auto"/>
              <w:right w:val="single" w:sz="4" w:space="0" w:color="auto"/>
            </w:tcBorders>
            <w:vAlign w:val="center"/>
            <w:hideMark/>
          </w:tcPr>
          <w:p w14:paraId="2B2AE18A" w14:textId="77777777" w:rsidR="0014538C" w:rsidRPr="0014538C" w:rsidRDefault="0014538C" w:rsidP="0014538C">
            <w:pPr>
              <w:widowControl/>
              <w:jc w:val="left"/>
              <w:rPr>
                <w:rFonts w:ascii="宋体" w:hAnsi="宋体" w:cs="宋体" w:hint="eastAsia"/>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271B2415"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自治区安排</w:t>
            </w:r>
          </w:p>
        </w:tc>
        <w:tc>
          <w:tcPr>
            <w:tcW w:w="1503" w:type="dxa"/>
            <w:tcBorders>
              <w:top w:val="nil"/>
              <w:left w:val="nil"/>
              <w:bottom w:val="single" w:sz="4" w:space="0" w:color="auto"/>
              <w:right w:val="single" w:sz="4" w:space="0" w:color="auto"/>
            </w:tcBorders>
            <w:shd w:val="clear" w:color="auto" w:fill="auto"/>
            <w:vAlign w:val="center"/>
            <w:hideMark/>
          </w:tcPr>
          <w:p w14:paraId="5743EEE7" w14:textId="40F9F16B"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1097" w:type="dxa"/>
            <w:tcBorders>
              <w:top w:val="nil"/>
              <w:left w:val="nil"/>
              <w:bottom w:val="single" w:sz="4" w:space="0" w:color="auto"/>
              <w:right w:val="single" w:sz="4" w:space="0" w:color="auto"/>
            </w:tcBorders>
            <w:shd w:val="clear" w:color="auto" w:fill="auto"/>
            <w:vAlign w:val="center"/>
            <w:hideMark/>
          </w:tcPr>
          <w:p w14:paraId="6430F360" w14:textId="18F8A3CF"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986" w:type="dxa"/>
            <w:tcBorders>
              <w:top w:val="nil"/>
              <w:left w:val="nil"/>
              <w:bottom w:val="single" w:sz="4" w:space="0" w:color="auto"/>
              <w:right w:val="single" w:sz="4" w:space="0" w:color="auto"/>
            </w:tcBorders>
            <w:shd w:val="clear" w:color="auto" w:fill="auto"/>
            <w:vAlign w:val="center"/>
            <w:hideMark/>
          </w:tcPr>
          <w:p w14:paraId="44F59373" w14:textId="40FB851B"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614" w:type="dxa"/>
            <w:tcBorders>
              <w:top w:val="nil"/>
              <w:left w:val="nil"/>
              <w:bottom w:val="single" w:sz="4" w:space="0" w:color="auto"/>
              <w:right w:val="single" w:sz="4" w:space="0" w:color="auto"/>
            </w:tcBorders>
            <w:shd w:val="clear" w:color="auto" w:fill="auto"/>
            <w:vAlign w:val="center"/>
            <w:hideMark/>
          </w:tcPr>
          <w:p w14:paraId="1C2679F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c>
          <w:tcPr>
            <w:tcW w:w="901" w:type="dxa"/>
            <w:tcBorders>
              <w:top w:val="nil"/>
              <w:left w:val="nil"/>
              <w:bottom w:val="single" w:sz="4" w:space="0" w:color="auto"/>
              <w:right w:val="single" w:sz="4" w:space="0" w:color="auto"/>
            </w:tcBorders>
            <w:shd w:val="clear" w:color="auto" w:fill="auto"/>
            <w:vAlign w:val="center"/>
            <w:hideMark/>
          </w:tcPr>
          <w:p w14:paraId="0B22EF9A"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c>
          <w:tcPr>
            <w:tcW w:w="724" w:type="dxa"/>
            <w:tcBorders>
              <w:top w:val="nil"/>
              <w:left w:val="nil"/>
              <w:bottom w:val="single" w:sz="4" w:space="0" w:color="auto"/>
              <w:right w:val="single" w:sz="4" w:space="0" w:color="auto"/>
            </w:tcBorders>
            <w:shd w:val="clear" w:color="auto" w:fill="auto"/>
            <w:vAlign w:val="center"/>
            <w:hideMark/>
          </w:tcPr>
          <w:p w14:paraId="564E90C1"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r>
      <w:tr w:rsidR="0014538C" w:rsidRPr="0014538C" w14:paraId="77397996" w14:textId="77777777" w:rsidTr="0014538C">
        <w:trPr>
          <w:trHeight w:val="879"/>
          <w:jc w:val="center"/>
        </w:trPr>
        <w:tc>
          <w:tcPr>
            <w:tcW w:w="1519" w:type="dxa"/>
            <w:vMerge/>
            <w:tcBorders>
              <w:top w:val="single" w:sz="4" w:space="0" w:color="auto"/>
              <w:left w:val="single" w:sz="4" w:space="0" w:color="auto"/>
              <w:bottom w:val="single" w:sz="4" w:space="0" w:color="auto"/>
              <w:right w:val="single" w:sz="4" w:space="0" w:color="auto"/>
            </w:tcBorders>
            <w:vAlign w:val="center"/>
            <w:hideMark/>
          </w:tcPr>
          <w:p w14:paraId="62A62BC6" w14:textId="77777777" w:rsidR="0014538C" w:rsidRPr="0014538C" w:rsidRDefault="0014538C" w:rsidP="0014538C">
            <w:pPr>
              <w:widowControl/>
              <w:jc w:val="left"/>
              <w:rPr>
                <w:rFonts w:ascii="宋体" w:hAnsi="宋体" w:cs="宋体" w:hint="eastAsia"/>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1BEA358E"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地（州、市）安排</w:t>
            </w:r>
          </w:p>
        </w:tc>
        <w:tc>
          <w:tcPr>
            <w:tcW w:w="1503" w:type="dxa"/>
            <w:tcBorders>
              <w:top w:val="nil"/>
              <w:left w:val="nil"/>
              <w:bottom w:val="single" w:sz="4" w:space="0" w:color="auto"/>
              <w:right w:val="single" w:sz="4" w:space="0" w:color="auto"/>
            </w:tcBorders>
            <w:shd w:val="clear" w:color="auto" w:fill="auto"/>
            <w:vAlign w:val="center"/>
            <w:hideMark/>
          </w:tcPr>
          <w:p w14:paraId="03154E46" w14:textId="62162571"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1097" w:type="dxa"/>
            <w:tcBorders>
              <w:top w:val="nil"/>
              <w:left w:val="nil"/>
              <w:bottom w:val="single" w:sz="4" w:space="0" w:color="auto"/>
              <w:right w:val="single" w:sz="4" w:space="0" w:color="auto"/>
            </w:tcBorders>
            <w:shd w:val="clear" w:color="auto" w:fill="auto"/>
            <w:vAlign w:val="center"/>
            <w:hideMark/>
          </w:tcPr>
          <w:p w14:paraId="6368840E" w14:textId="5D1BFB2F"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986" w:type="dxa"/>
            <w:tcBorders>
              <w:top w:val="nil"/>
              <w:left w:val="nil"/>
              <w:bottom w:val="single" w:sz="4" w:space="0" w:color="auto"/>
              <w:right w:val="single" w:sz="4" w:space="0" w:color="auto"/>
            </w:tcBorders>
            <w:shd w:val="clear" w:color="auto" w:fill="auto"/>
            <w:vAlign w:val="center"/>
            <w:hideMark/>
          </w:tcPr>
          <w:p w14:paraId="3B9F08DF" w14:textId="6CCB1236"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614" w:type="dxa"/>
            <w:tcBorders>
              <w:top w:val="nil"/>
              <w:left w:val="nil"/>
              <w:bottom w:val="single" w:sz="4" w:space="0" w:color="auto"/>
              <w:right w:val="single" w:sz="4" w:space="0" w:color="auto"/>
            </w:tcBorders>
            <w:shd w:val="clear" w:color="auto" w:fill="auto"/>
            <w:vAlign w:val="center"/>
            <w:hideMark/>
          </w:tcPr>
          <w:p w14:paraId="5F242030"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c>
          <w:tcPr>
            <w:tcW w:w="901" w:type="dxa"/>
            <w:tcBorders>
              <w:top w:val="nil"/>
              <w:left w:val="nil"/>
              <w:bottom w:val="single" w:sz="4" w:space="0" w:color="auto"/>
              <w:right w:val="single" w:sz="4" w:space="0" w:color="auto"/>
            </w:tcBorders>
            <w:shd w:val="clear" w:color="auto" w:fill="auto"/>
            <w:vAlign w:val="center"/>
            <w:hideMark/>
          </w:tcPr>
          <w:p w14:paraId="07F3AEBA"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c>
          <w:tcPr>
            <w:tcW w:w="724" w:type="dxa"/>
            <w:tcBorders>
              <w:top w:val="nil"/>
              <w:left w:val="nil"/>
              <w:bottom w:val="single" w:sz="4" w:space="0" w:color="auto"/>
              <w:right w:val="single" w:sz="4" w:space="0" w:color="auto"/>
            </w:tcBorders>
            <w:shd w:val="clear" w:color="auto" w:fill="auto"/>
            <w:vAlign w:val="center"/>
            <w:hideMark/>
          </w:tcPr>
          <w:p w14:paraId="2A82CE84"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r>
      <w:tr w:rsidR="0014538C" w:rsidRPr="0014538C" w14:paraId="2662F069" w14:textId="77777777" w:rsidTr="0014538C">
        <w:trPr>
          <w:trHeight w:val="879"/>
          <w:jc w:val="center"/>
        </w:trPr>
        <w:tc>
          <w:tcPr>
            <w:tcW w:w="1519" w:type="dxa"/>
            <w:vMerge/>
            <w:tcBorders>
              <w:top w:val="single" w:sz="4" w:space="0" w:color="auto"/>
              <w:left w:val="single" w:sz="4" w:space="0" w:color="auto"/>
              <w:bottom w:val="single" w:sz="4" w:space="0" w:color="auto"/>
              <w:right w:val="single" w:sz="4" w:space="0" w:color="auto"/>
            </w:tcBorders>
            <w:vAlign w:val="center"/>
            <w:hideMark/>
          </w:tcPr>
          <w:p w14:paraId="72FA7550" w14:textId="77777777" w:rsidR="0014538C" w:rsidRPr="0014538C" w:rsidRDefault="0014538C" w:rsidP="0014538C">
            <w:pPr>
              <w:widowControl/>
              <w:jc w:val="left"/>
              <w:rPr>
                <w:rFonts w:ascii="宋体" w:hAnsi="宋体" w:cs="宋体" w:hint="eastAsia"/>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0D7367CA"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县（市、区）安排</w:t>
            </w:r>
          </w:p>
        </w:tc>
        <w:tc>
          <w:tcPr>
            <w:tcW w:w="1503" w:type="dxa"/>
            <w:tcBorders>
              <w:top w:val="nil"/>
              <w:left w:val="nil"/>
              <w:bottom w:val="single" w:sz="4" w:space="0" w:color="auto"/>
              <w:right w:val="single" w:sz="4" w:space="0" w:color="auto"/>
            </w:tcBorders>
            <w:shd w:val="clear" w:color="auto" w:fill="auto"/>
            <w:vAlign w:val="center"/>
            <w:hideMark/>
          </w:tcPr>
          <w:p w14:paraId="1F616F40"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382.15</w:t>
            </w:r>
          </w:p>
        </w:tc>
        <w:tc>
          <w:tcPr>
            <w:tcW w:w="1097" w:type="dxa"/>
            <w:tcBorders>
              <w:top w:val="nil"/>
              <w:left w:val="nil"/>
              <w:bottom w:val="single" w:sz="4" w:space="0" w:color="auto"/>
              <w:right w:val="single" w:sz="4" w:space="0" w:color="auto"/>
            </w:tcBorders>
            <w:shd w:val="clear" w:color="auto" w:fill="auto"/>
            <w:vAlign w:val="center"/>
            <w:hideMark/>
          </w:tcPr>
          <w:p w14:paraId="77F5ACE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408.03</w:t>
            </w:r>
          </w:p>
        </w:tc>
        <w:tc>
          <w:tcPr>
            <w:tcW w:w="986" w:type="dxa"/>
            <w:tcBorders>
              <w:top w:val="nil"/>
              <w:left w:val="nil"/>
              <w:bottom w:val="single" w:sz="4" w:space="0" w:color="auto"/>
              <w:right w:val="single" w:sz="4" w:space="0" w:color="auto"/>
            </w:tcBorders>
            <w:shd w:val="clear" w:color="auto" w:fill="auto"/>
            <w:vAlign w:val="center"/>
            <w:hideMark/>
          </w:tcPr>
          <w:p w14:paraId="26F83FFE"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395.91</w:t>
            </w:r>
          </w:p>
        </w:tc>
        <w:tc>
          <w:tcPr>
            <w:tcW w:w="614" w:type="dxa"/>
            <w:tcBorders>
              <w:top w:val="nil"/>
              <w:left w:val="nil"/>
              <w:bottom w:val="single" w:sz="4" w:space="0" w:color="auto"/>
              <w:right w:val="single" w:sz="4" w:space="0" w:color="auto"/>
            </w:tcBorders>
            <w:shd w:val="clear" w:color="auto" w:fill="auto"/>
            <w:vAlign w:val="center"/>
            <w:hideMark/>
          </w:tcPr>
          <w:p w14:paraId="1CBBADCB" w14:textId="7D285980"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c>
          <w:tcPr>
            <w:tcW w:w="901" w:type="dxa"/>
            <w:tcBorders>
              <w:top w:val="nil"/>
              <w:left w:val="nil"/>
              <w:bottom w:val="single" w:sz="4" w:space="0" w:color="auto"/>
              <w:right w:val="single" w:sz="4" w:space="0" w:color="auto"/>
            </w:tcBorders>
            <w:shd w:val="clear" w:color="auto" w:fill="auto"/>
            <w:vAlign w:val="center"/>
            <w:hideMark/>
          </w:tcPr>
          <w:p w14:paraId="67071943" w14:textId="2EA86940"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c>
          <w:tcPr>
            <w:tcW w:w="724" w:type="dxa"/>
            <w:tcBorders>
              <w:top w:val="nil"/>
              <w:left w:val="nil"/>
              <w:bottom w:val="single" w:sz="4" w:space="0" w:color="auto"/>
              <w:right w:val="single" w:sz="4" w:space="0" w:color="auto"/>
            </w:tcBorders>
            <w:shd w:val="clear" w:color="auto" w:fill="auto"/>
            <w:vAlign w:val="center"/>
            <w:hideMark/>
          </w:tcPr>
          <w:p w14:paraId="16611B59" w14:textId="131380AE"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r>
      <w:tr w:rsidR="0014538C" w:rsidRPr="0014538C" w14:paraId="7663604C" w14:textId="77777777" w:rsidTr="0014538C">
        <w:trPr>
          <w:trHeight w:val="879"/>
          <w:jc w:val="center"/>
        </w:trPr>
        <w:tc>
          <w:tcPr>
            <w:tcW w:w="1519" w:type="dxa"/>
            <w:vMerge/>
            <w:tcBorders>
              <w:top w:val="single" w:sz="4" w:space="0" w:color="auto"/>
              <w:left w:val="single" w:sz="4" w:space="0" w:color="auto"/>
              <w:bottom w:val="single" w:sz="4" w:space="0" w:color="auto"/>
              <w:right w:val="single" w:sz="4" w:space="0" w:color="auto"/>
            </w:tcBorders>
            <w:vAlign w:val="center"/>
            <w:hideMark/>
          </w:tcPr>
          <w:p w14:paraId="3CADC622" w14:textId="77777777" w:rsidR="0014538C" w:rsidRPr="0014538C" w:rsidRDefault="0014538C" w:rsidP="0014538C">
            <w:pPr>
              <w:widowControl/>
              <w:jc w:val="left"/>
              <w:rPr>
                <w:rFonts w:ascii="宋体" w:hAnsi="宋体" w:cs="宋体" w:hint="eastAsia"/>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7196E5F5"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其他资金</w:t>
            </w:r>
          </w:p>
        </w:tc>
        <w:tc>
          <w:tcPr>
            <w:tcW w:w="1503" w:type="dxa"/>
            <w:tcBorders>
              <w:top w:val="nil"/>
              <w:left w:val="nil"/>
              <w:bottom w:val="single" w:sz="4" w:space="0" w:color="auto"/>
              <w:right w:val="single" w:sz="4" w:space="0" w:color="auto"/>
            </w:tcBorders>
            <w:shd w:val="clear" w:color="auto" w:fill="auto"/>
            <w:vAlign w:val="center"/>
            <w:hideMark/>
          </w:tcPr>
          <w:p w14:paraId="4500DF84" w14:textId="46F608F9"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1097" w:type="dxa"/>
            <w:tcBorders>
              <w:top w:val="nil"/>
              <w:left w:val="nil"/>
              <w:bottom w:val="single" w:sz="4" w:space="0" w:color="auto"/>
              <w:right w:val="single" w:sz="4" w:space="0" w:color="auto"/>
            </w:tcBorders>
            <w:shd w:val="clear" w:color="auto" w:fill="auto"/>
            <w:vAlign w:val="center"/>
            <w:hideMark/>
          </w:tcPr>
          <w:p w14:paraId="4D8B9A01" w14:textId="5DE4E15A"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986" w:type="dxa"/>
            <w:tcBorders>
              <w:top w:val="nil"/>
              <w:left w:val="nil"/>
              <w:bottom w:val="single" w:sz="4" w:space="0" w:color="auto"/>
              <w:right w:val="single" w:sz="4" w:space="0" w:color="auto"/>
            </w:tcBorders>
            <w:shd w:val="clear" w:color="auto" w:fill="auto"/>
            <w:vAlign w:val="center"/>
            <w:hideMark/>
          </w:tcPr>
          <w:p w14:paraId="7F9FE40A" w14:textId="4556C175"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0</w:t>
            </w:r>
            <w:r>
              <w:rPr>
                <w:rFonts w:ascii="宋体" w:hAnsi="宋体" w:cs="宋体" w:hint="eastAsia"/>
                <w:kern w:val="0"/>
                <w:sz w:val="20"/>
                <w:szCs w:val="20"/>
              </w:rPr>
              <w:t>.00</w:t>
            </w:r>
          </w:p>
        </w:tc>
        <w:tc>
          <w:tcPr>
            <w:tcW w:w="614" w:type="dxa"/>
            <w:tcBorders>
              <w:top w:val="nil"/>
              <w:left w:val="nil"/>
              <w:bottom w:val="single" w:sz="4" w:space="0" w:color="auto"/>
              <w:right w:val="single" w:sz="4" w:space="0" w:color="auto"/>
            </w:tcBorders>
            <w:shd w:val="clear" w:color="auto" w:fill="auto"/>
            <w:vAlign w:val="center"/>
            <w:hideMark/>
          </w:tcPr>
          <w:p w14:paraId="33FC3F02" w14:textId="1C02E1FF"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c>
          <w:tcPr>
            <w:tcW w:w="901" w:type="dxa"/>
            <w:tcBorders>
              <w:top w:val="nil"/>
              <w:left w:val="nil"/>
              <w:bottom w:val="single" w:sz="4" w:space="0" w:color="auto"/>
              <w:right w:val="single" w:sz="4" w:space="0" w:color="auto"/>
            </w:tcBorders>
            <w:shd w:val="clear" w:color="auto" w:fill="auto"/>
            <w:vAlign w:val="center"/>
            <w:hideMark/>
          </w:tcPr>
          <w:p w14:paraId="6F09EE70" w14:textId="0AEABB58"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c>
          <w:tcPr>
            <w:tcW w:w="724" w:type="dxa"/>
            <w:tcBorders>
              <w:top w:val="nil"/>
              <w:left w:val="nil"/>
              <w:bottom w:val="single" w:sz="4" w:space="0" w:color="auto"/>
              <w:right w:val="single" w:sz="4" w:space="0" w:color="auto"/>
            </w:tcBorders>
            <w:shd w:val="clear" w:color="auto" w:fill="auto"/>
            <w:vAlign w:val="center"/>
            <w:hideMark/>
          </w:tcPr>
          <w:p w14:paraId="6B0D4029" w14:textId="3178CFB9"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r>
      <w:tr w:rsidR="0014538C" w:rsidRPr="0014538C" w14:paraId="174347F1" w14:textId="77777777" w:rsidTr="0014538C">
        <w:trPr>
          <w:trHeight w:val="879"/>
          <w:jc w:val="center"/>
        </w:trPr>
        <w:tc>
          <w:tcPr>
            <w:tcW w:w="1519" w:type="dxa"/>
            <w:vMerge/>
            <w:tcBorders>
              <w:top w:val="single" w:sz="4" w:space="0" w:color="auto"/>
              <w:left w:val="single" w:sz="4" w:space="0" w:color="auto"/>
              <w:bottom w:val="single" w:sz="4" w:space="0" w:color="auto"/>
              <w:right w:val="single" w:sz="4" w:space="0" w:color="auto"/>
            </w:tcBorders>
            <w:vAlign w:val="center"/>
            <w:hideMark/>
          </w:tcPr>
          <w:p w14:paraId="5D724A1B" w14:textId="77777777" w:rsidR="0014538C" w:rsidRPr="0014538C" w:rsidRDefault="0014538C" w:rsidP="0014538C">
            <w:pPr>
              <w:widowControl/>
              <w:jc w:val="left"/>
              <w:rPr>
                <w:rFonts w:ascii="宋体" w:hAnsi="宋体" w:cs="宋体" w:hint="eastAsia"/>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0491C973"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合计</w:t>
            </w:r>
          </w:p>
        </w:tc>
        <w:tc>
          <w:tcPr>
            <w:tcW w:w="1503" w:type="dxa"/>
            <w:tcBorders>
              <w:top w:val="nil"/>
              <w:left w:val="nil"/>
              <w:bottom w:val="single" w:sz="4" w:space="0" w:color="auto"/>
              <w:right w:val="single" w:sz="4" w:space="0" w:color="auto"/>
            </w:tcBorders>
            <w:shd w:val="clear" w:color="auto" w:fill="auto"/>
            <w:vAlign w:val="center"/>
            <w:hideMark/>
          </w:tcPr>
          <w:p w14:paraId="67E9F9D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382.15</w:t>
            </w:r>
          </w:p>
        </w:tc>
        <w:tc>
          <w:tcPr>
            <w:tcW w:w="1097" w:type="dxa"/>
            <w:tcBorders>
              <w:top w:val="nil"/>
              <w:left w:val="nil"/>
              <w:bottom w:val="single" w:sz="4" w:space="0" w:color="auto"/>
              <w:right w:val="single" w:sz="4" w:space="0" w:color="auto"/>
            </w:tcBorders>
            <w:shd w:val="clear" w:color="auto" w:fill="auto"/>
            <w:vAlign w:val="center"/>
            <w:hideMark/>
          </w:tcPr>
          <w:p w14:paraId="1623C997"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408.03</w:t>
            </w:r>
          </w:p>
        </w:tc>
        <w:tc>
          <w:tcPr>
            <w:tcW w:w="986" w:type="dxa"/>
            <w:tcBorders>
              <w:top w:val="nil"/>
              <w:left w:val="nil"/>
              <w:bottom w:val="single" w:sz="4" w:space="0" w:color="auto"/>
              <w:right w:val="single" w:sz="4" w:space="0" w:color="auto"/>
            </w:tcBorders>
            <w:shd w:val="clear" w:color="auto" w:fill="auto"/>
            <w:vAlign w:val="center"/>
            <w:hideMark/>
          </w:tcPr>
          <w:p w14:paraId="75F956B5"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395.91</w:t>
            </w:r>
          </w:p>
        </w:tc>
        <w:tc>
          <w:tcPr>
            <w:tcW w:w="614" w:type="dxa"/>
            <w:tcBorders>
              <w:top w:val="nil"/>
              <w:left w:val="nil"/>
              <w:bottom w:val="single" w:sz="4" w:space="0" w:color="auto"/>
              <w:right w:val="single" w:sz="4" w:space="0" w:color="auto"/>
            </w:tcBorders>
            <w:shd w:val="clear" w:color="auto" w:fill="auto"/>
            <w:vAlign w:val="center"/>
            <w:hideMark/>
          </w:tcPr>
          <w:p w14:paraId="79804813"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c>
          <w:tcPr>
            <w:tcW w:w="901" w:type="dxa"/>
            <w:tcBorders>
              <w:top w:val="nil"/>
              <w:left w:val="nil"/>
              <w:bottom w:val="single" w:sz="4" w:space="0" w:color="auto"/>
              <w:right w:val="single" w:sz="4" w:space="0" w:color="auto"/>
            </w:tcBorders>
            <w:shd w:val="clear" w:color="auto" w:fill="auto"/>
            <w:vAlign w:val="center"/>
            <w:hideMark/>
          </w:tcPr>
          <w:p w14:paraId="4959F783"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c>
          <w:tcPr>
            <w:tcW w:w="724" w:type="dxa"/>
            <w:tcBorders>
              <w:top w:val="nil"/>
              <w:left w:val="nil"/>
              <w:bottom w:val="single" w:sz="4" w:space="0" w:color="auto"/>
              <w:right w:val="single" w:sz="4" w:space="0" w:color="auto"/>
            </w:tcBorders>
            <w:shd w:val="clear" w:color="auto" w:fill="auto"/>
            <w:vAlign w:val="center"/>
            <w:hideMark/>
          </w:tcPr>
          <w:p w14:paraId="1B794B1D"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w:t>
            </w:r>
          </w:p>
        </w:tc>
      </w:tr>
      <w:tr w:rsidR="0014538C" w:rsidRPr="0014538C" w14:paraId="4B904305" w14:textId="77777777" w:rsidTr="0014538C">
        <w:trPr>
          <w:trHeight w:val="705"/>
          <w:jc w:val="center"/>
        </w:trPr>
        <w:tc>
          <w:tcPr>
            <w:tcW w:w="1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2BA911"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年度总体目标</w:t>
            </w:r>
          </w:p>
        </w:tc>
        <w:tc>
          <w:tcPr>
            <w:tcW w:w="377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01B3B7"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预期目标</w:t>
            </w:r>
          </w:p>
        </w:tc>
        <w:tc>
          <w:tcPr>
            <w:tcW w:w="3225" w:type="dxa"/>
            <w:gridSpan w:val="4"/>
            <w:tcBorders>
              <w:top w:val="single" w:sz="4" w:space="0" w:color="auto"/>
              <w:left w:val="nil"/>
              <w:bottom w:val="single" w:sz="4" w:space="0" w:color="auto"/>
              <w:right w:val="single" w:sz="4" w:space="0" w:color="auto"/>
            </w:tcBorders>
            <w:shd w:val="clear" w:color="auto" w:fill="auto"/>
            <w:noWrap/>
            <w:vAlign w:val="center"/>
            <w:hideMark/>
          </w:tcPr>
          <w:p w14:paraId="4D583258"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实际完成情况</w:t>
            </w:r>
          </w:p>
        </w:tc>
      </w:tr>
      <w:tr w:rsidR="0014538C" w:rsidRPr="0014538C" w14:paraId="60D1AB99" w14:textId="77777777" w:rsidTr="0014538C">
        <w:trPr>
          <w:trHeight w:val="2001"/>
          <w:jc w:val="center"/>
        </w:trPr>
        <w:tc>
          <w:tcPr>
            <w:tcW w:w="1519" w:type="dxa"/>
            <w:vMerge/>
            <w:tcBorders>
              <w:top w:val="single" w:sz="4" w:space="0" w:color="auto"/>
              <w:left w:val="single" w:sz="4" w:space="0" w:color="auto"/>
              <w:bottom w:val="single" w:sz="4" w:space="0" w:color="auto"/>
              <w:right w:val="single" w:sz="4" w:space="0" w:color="auto"/>
            </w:tcBorders>
            <w:vAlign w:val="center"/>
            <w:hideMark/>
          </w:tcPr>
          <w:p w14:paraId="7867E39D" w14:textId="77777777" w:rsidR="0014538C" w:rsidRPr="0014538C" w:rsidRDefault="0014538C" w:rsidP="0014538C">
            <w:pPr>
              <w:widowControl/>
              <w:jc w:val="left"/>
              <w:rPr>
                <w:rFonts w:ascii="宋体" w:hAnsi="宋体" w:cs="宋体" w:hint="eastAsia"/>
                <w:kern w:val="0"/>
                <w:sz w:val="20"/>
                <w:szCs w:val="20"/>
              </w:rPr>
            </w:pPr>
          </w:p>
        </w:tc>
        <w:tc>
          <w:tcPr>
            <w:tcW w:w="3778" w:type="dxa"/>
            <w:gridSpan w:val="3"/>
            <w:tcBorders>
              <w:top w:val="single" w:sz="4" w:space="0" w:color="auto"/>
              <w:left w:val="nil"/>
              <w:bottom w:val="single" w:sz="4" w:space="0" w:color="auto"/>
              <w:right w:val="single" w:sz="4" w:space="0" w:color="auto"/>
            </w:tcBorders>
            <w:shd w:val="clear" w:color="auto" w:fill="auto"/>
            <w:vAlign w:val="center"/>
            <w:hideMark/>
          </w:tcPr>
          <w:p w14:paraId="44940535"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保障部门单位人员43人，发放工资福利336.72万元，运转支出分为商品服务支出11.41万元和其他商品服务支出34.03万元。其中办公经费34.03万元，业务经费0万元。使业务保障能力有效提升；本年度预算金额382.15万元，主要用于完成享受教育资助的三所幼儿园及194名幼儿。有效保障学校正常运转完成教学活动，提高教育水平，按时有效发放教职工工资及福利，资金执行完成时间2023年12月31日，使教职工及幼儿家长满意。</w:t>
            </w:r>
          </w:p>
        </w:tc>
        <w:tc>
          <w:tcPr>
            <w:tcW w:w="3225" w:type="dxa"/>
            <w:gridSpan w:val="4"/>
            <w:tcBorders>
              <w:top w:val="single" w:sz="4" w:space="0" w:color="auto"/>
              <w:left w:val="nil"/>
              <w:bottom w:val="single" w:sz="4" w:space="0" w:color="auto"/>
              <w:right w:val="single" w:sz="4" w:space="0" w:color="auto"/>
            </w:tcBorders>
            <w:shd w:val="clear" w:color="auto" w:fill="auto"/>
            <w:vAlign w:val="center"/>
            <w:hideMark/>
          </w:tcPr>
          <w:p w14:paraId="7D988FCD" w14:textId="77777777" w:rsidR="0014538C" w:rsidRPr="0014538C" w:rsidRDefault="0014538C" w:rsidP="00695380">
            <w:pPr>
              <w:widowControl/>
              <w:jc w:val="left"/>
              <w:rPr>
                <w:rFonts w:ascii="宋体" w:hAnsi="宋体" w:cs="宋体" w:hint="eastAsia"/>
                <w:kern w:val="0"/>
                <w:sz w:val="20"/>
                <w:szCs w:val="20"/>
              </w:rPr>
            </w:pPr>
            <w:r w:rsidRPr="0014538C">
              <w:rPr>
                <w:rFonts w:ascii="宋体" w:hAnsi="宋体" w:cs="宋体" w:hint="eastAsia"/>
                <w:kern w:val="0"/>
                <w:sz w:val="20"/>
                <w:szCs w:val="20"/>
              </w:rPr>
              <w:t>保障部门单位人员43人，发放工资福利395.91万元，人员经费348.65万元，公用经费47.27万元。使业务保障能力有效提升；本年度预算金额382.15万元，主要用于完成享受教育资助的三所幼儿园及194名幼儿。有效保障学校正常运转完成教学活动，提高教育水平，按时有效发放教职工工资及福利，资金执行完成时间2023年12月31日，使教职工及幼儿家长满意。</w:t>
            </w:r>
          </w:p>
        </w:tc>
      </w:tr>
      <w:tr w:rsidR="0014538C" w:rsidRPr="0014538C" w14:paraId="267ADF45" w14:textId="77777777" w:rsidTr="0014538C">
        <w:trPr>
          <w:trHeight w:val="579"/>
          <w:jc w:val="center"/>
        </w:trPr>
        <w:tc>
          <w:tcPr>
            <w:tcW w:w="1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0FDCC"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一级指标</w:t>
            </w:r>
          </w:p>
        </w:tc>
        <w:tc>
          <w:tcPr>
            <w:tcW w:w="1178" w:type="dxa"/>
            <w:tcBorders>
              <w:top w:val="nil"/>
              <w:left w:val="nil"/>
              <w:bottom w:val="single" w:sz="4" w:space="0" w:color="auto"/>
              <w:right w:val="single" w:sz="4" w:space="0" w:color="auto"/>
            </w:tcBorders>
            <w:shd w:val="clear" w:color="auto" w:fill="auto"/>
            <w:vAlign w:val="center"/>
            <w:hideMark/>
          </w:tcPr>
          <w:p w14:paraId="2F05668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二级指标</w:t>
            </w:r>
          </w:p>
        </w:tc>
        <w:tc>
          <w:tcPr>
            <w:tcW w:w="1503" w:type="dxa"/>
            <w:tcBorders>
              <w:top w:val="nil"/>
              <w:left w:val="nil"/>
              <w:bottom w:val="single" w:sz="4" w:space="0" w:color="auto"/>
              <w:right w:val="single" w:sz="4" w:space="0" w:color="auto"/>
            </w:tcBorders>
            <w:shd w:val="clear" w:color="auto" w:fill="auto"/>
            <w:vAlign w:val="center"/>
            <w:hideMark/>
          </w:tcPr>
          <w:p w14:paraId="7D3C418E"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三级指标</w:t>
            </w:r>
          </w:p>
        </w:tc>
        <w:tc>
          <w:tcPr>
            <w:tcW w:w="1097" w:type="dxa"/>
            <w:tcBorders>
              <w:top w:val="nil"/>
              <w:left w:val="nil"/>
              <w:bottom w:val="single" w:sz="4" w:space="0" w:color="auto"/>
              <w:right w:val="single" w:sz="4" w:space="0" w:color="auto"/>
            </w:tcBorders>
            <w:shd w:val="clear" w:color="auto" w:fill="auto"/>
            <w:vAlign w:val="center"/>
            <w:hideMark/>
          </w:tcPr>
          <w:p w14:paraId="0BABDAFA"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预期指标值</w:t>
            </w:r>
          </w:p>
        </w:tc>
        <w:tc>
          <w:tcPr>
            <w:tcW w:w="986" w:type="dxa"/>
            <w:tcBorders>
              <w:top w:val="nil"/>
              <w:left w:val="nil"/>
              <w:bottom w:val="single" w:sz="4" w:space="0" w:color="auto"/>
              <w:right w:val="single" w:sz="4" w:space="0" w:color="auto"/>
            </w:tcBorders>
            <w:shd w:val="clear" w:color="auto" w:fill="auto"/>
            <w:vAlign w:val="center"/>
            <w:hideMark/>
          </w:tcPr>
          <w:p w14:paraId="5AFC5BF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指标值设定依据</w:t>
            </w:r>
          </w:p>
        </w:tc>
        <w:tc>
          <w:tcPr>
            <w:tcW w:w="614" w:type="dxa"/>
            <w:tcBorders>
              <w:top w:val="nil"/>
              <w:left w:val="nil"/>
              <w:bottom w:val="single" w:sz="4" w:space="0" w:color="auto"/>
              <w:right w:val="single" w:sz="4" w:space="0" w:color="auto"/>
            </w:tcBorders>
            <w:shd w:val="clear" w:color="auto" w:fill="auto"/>
            <w:vAlign w:val="center"/>
            <w:hideMark/>
          </w:tcPr>
          <w:p w14:paraId="1E6221CD"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分值权重</w:t>
            </w:r>
          </w:p>
        </w:tc>
        <w:tc>
          <w:tcPr>
            <w:tcW w:w="901" w:type="dxa"/>
            <w:tcBorders>
              <w:top w:val="nil"/>
              <w:left w:val="nil"/>
              <w:bottom w:val="single" w:sz="4" w:space="0" w:color="auto"/>
              <w:right w:val="single" w:sz="4" w:space="0" w:color="auto"/>
            </w:tcBorders>
            <w:shd w:val="clear" w:color="auto" w:fill="auto"/>
            <w:vAlign w:val="center"/>
            <w:hideMark/>
          </w:tcPr>
          <w:p w14:paraId="35B778FC"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实际完成指标值</w:t>
            </w:r>
          </w:p>
        </w:tc>
        <w:tc>
          <w:tcPr>
            <w:tcW w:w="724" w:type="dxa"/>
            <w:tcBorders>
              <w:top w:val="nil"/>
              <w:left w:val="nil"/>
              <w:bottom w:val="single" w:sz="4" w:space="0" w:color="auto"/>
              <w:right w:val="single" w:sz="4" w:space="0" w:color="auto"/>
            </w:tcBorders>
            <w:shd w:val="clear" w:color="auto" w:fill="auto"/>
            <w:vAlign w:val="center"/>
            <w:hideMark/>
          </w:tcPr>
          <w:p w14:paraId="5AA92846"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得分</w:t>
            </w:r>
          </w:p>
        </w:tc>
      </w:tr>
      <w:tr w:rsidR="0014538C" w:rsidRPr="0014538C" w14:paraId="4A445BAA" w14:textId="77777777" w:rsidTr="0014538C">
        <w:trPr>
          <w:trHeight w:val="741"/>
          <w:jc w:val="center"/>
        </w:trPr>
        <w:tc>
          <w:tcPr>
            <w:tcW w:w="1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D42BBD"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运行成本</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hideMark/>
          </w:tcPr>
          <w:p w14:paraId="309ECB0D"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数量指标</w:t>
            </w:r>
          </w:p>
        </w:tc>
        <w:tc>
          <w:tcPr>
            <w:tcW w:w="1503" w:type="dxa"/>
            <w:tcBorders>
              <w:top w:val="nil"/>
              <w:left w:val="nil"/>
              <w:bottom w:val="single" w:sz="4" w:space="0" w:color="auto"/>
              <w:right w:val="single" w:sz="4" w:space="0" w:color="auto"/>
            </w:tcBorders>
            <w:shd w:val="clear" w:color="auto" w:fill="auto"/>
            <w:vAlign w:val="center"/>
            <w:hideMark/>
          </w:tcPr>
          <w:p w14:paraId="56E07FF2"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保障办公人员数量</w:t>
            </w:r>
          </w:p>
        </w:tc>
        <w:tc>
          <w:tcPr>
            <w:tcW w:w="1097" w:type="dxa"/>
            <w:tcBorders>
              <w:top w:val="nil"/>
              <w:left w:val="nil"/>
              <w:bottom w:val="single" w:sz="4" w:space="0" w:color="auto"/>
              <w:right w:val="single" w:sz="4" w:space="0" w:color="auto"/>
            </w:tcBorders>
            <w:shd w:val="clear" w:color="auto" w:fill="auto"/>
            <w:vAlign w:val="center"/>
            <w:hideMark/>
          </w:tcPr>
          <w:p w14:paraId="7D995907"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&gt;=43人</w:t>
            </w:r>
          </w:p>
        </w:tc>
        <w:tc>
          <w:tcPr>
            <w:tcW w:w="986" w:type="dxa"/>
            <w:tcBorders>
              <w:top w:val="nil"/>
              <w:left w:val="nil"/>
              <w:bottom w:val="single" w:sz="4" w:space="0" w:color="auto"/>
              <w:right w:val="single" w:sz="4" w:space="0" w:color="auto"/>
            </w:tcBorders>
            <w:shd w:val="clear" w:color="auto" w:fill="auto"/>
            <w:vAlign w:val="center"/>
            <w:hideMark/>
          </w:tcPr>
          <w:p w14:paraId="7EF953E1"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三定方案</w:t>
            </w:r>
          </w:p>
        </w:tc>
        <w:tc>
          <w:tcPr>
            <w:tcW w:w="614" w:type="dxa"/>
            <w:tcBorders>
              <w:top w:val="nil"/>
              <w:left w:val="nil"/>
              <w:bottom w:val="single" w:sz="4" w:space="0" w:color="auto"/>
              <w:right w:val="single" w:sz="4" w:space="0" w:color="auto"/>
            </w:tcBorders>
            <w:shd w:val="clear" w:color="auto" w:fill="auto"/>
            <w:vAlign w:val="center"/>
            <w:hideMark/>
          </w:tcPr>
          <w:p w14:paraId="3E13E622"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13</w:t>
            </w:r>
          </w:p>
        </w:tc>
        <w:tc>
          <w:tcPr>
            <w:tcW w:w="901" w:type="dxa"/>
            <w:tcBorders>
              <w:top w:val="nil"/>
              <w:left w:val="nil"/>
              <w:bottom w:val="single" w:sz="4" w:space="0" w:color="auto"/>
              <w:right w:val="single" w:sz="4" w:space="0" w:color="auto"/>
            </w:tcBorders>
            <w:shd w:val="clear" w:color="auto" w:fill="auto"/>
            <w:vAlign w:val="center"/>
            <w:hideMark/>
          </w:tcPr>
          <w:p w14:paraId="1C7088E2"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=43人</w:t>
            </w:r>
          </w:p>
        </w:tc>
        <w:tc>
          <w:tcPr>
            <w:tcW w:w="724" w:type="dxa"/>
            <w:tcBorders>
              <w:top w:val="nil"/>
              <w:left w:val="nil"/>
              <w:bottom w:val="single" w:sz="4" w:space="0" w:color="auto"/>
              <w:right w:val="single" w:sz="4" w:space="0" w:color="auto"/>
            </w:tcBorders>
            <w:shd w:val="clear" w:color="auto" w:fill="auto"/>
            <w:vAlign w:val="center"/>
            <w:hideMark/>
          </w:tcPr>
          <w:p w14:paraId="24401A79"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13</w:t>
            </w:r>
          </w:p>
        </w:tc>
      </w:tr>
      <w:tr w:rsidR="0014538C" w:rsidRPr="0014538C" w14:paraId="29B5C63D" w14:textId="77777777" w:rsidTr="0014538C">
        <w:trPr>
          <w:trHeight w:val="741"/>
          <w:jc w:val="center"/>
        </w:trPr>
        <w:tc>
          <w:tcPr>
            <w:tcW w:w="1519" w:type="dxa"/>
            <w:vMerge/>
            <w:tcBorders>
              <w:top w:val="single" w:sz="4" w:space="0" w:color="auto"/>
              <w:left w:val="single" w:sz="4" w:space="0" w:color="auto"/>
              <w:bottom w:val="single" w:sz="4" w:space="0" w:color="auto"/>
              <w:right w:val="single" w:sz="4" w:space="0" w:color="auto"/>
            </w:tcBorders>
            <w:vAlign w:val="center"/>
            <w:hideMark/>
          </w:tcPr>
          <w:p w14:paraId="3B7D5C14" w14:textId="77777777" w:rsidR="0014538C" w:rsidRPr="0014538C" w:rsidRDefault="0014538C" w:rsidP="0014538C">
            <w:pPr>
              <w:widowControl/>
              <w:jc w:val="left"/>
              <w:rPr>
                <w:rFonts w:ascii="宋体" w:hAnsi="宋体" w:cs="宋体" w:hint="eastAsia"/>
                <w:kern w:val="0"/>
                <w:sz w:val="20"/>
                <w:szCs w:val="20"/>
              </w:rPr>
            </w:pPr>
          </w:p>
        </w:tc>
        <w:tc>
          <w:tcPr>
            <w:tcW w:w="1178" w:type="dxa"/>
            <w:vMerge/>
            <w:tcBorders>
              <w:top w:val="nil"/>
              <w:left w:val="single" w:sz="4" w:space="0" w:color="auto"/>
              <w:bottom w:val="single" w:sz="4" w:space="0" w:color="auto"/>
              <w:right w:val="single" w:sz="4" w:space="0" w:color="auto"/>
            </w:tcBorders>
            <w:vAlign w:val="center"/>
            <w:hideMark/>
          </w:tcPr>
          <w:p w14:paraId="53424481" w14:textId="77777777" w:rsidR="0014538C" w:rsidRPr="0014538C" w:rsidRDefault="0014538C" w:rsidP="0014538C">
            <w:pPr>
              <w:widowControl/>
              <w:jc w:val="left"/>
              <w:rPr>
                <w:rFonts w:ascii="宋体" w:hAnsi="宋体" w:cs="宋体" w:hint="eastAsia"/>
                <w:kern w:val="0"/>
                <w:sz w:val="20"/>
                <w:szCs w:val="20"/>
              </w:rPr>
            </w:pPr>
          </w:p>
        </w:tc>
        <w:tc>
          <w:tcPr>
            <w:tcW w:w="1503" w:type="dxa"/>
            <w:tcBorders>
              <w:top w:val="nil"/>
              <w:left w:val="nil"/>
              <w:bottom w:val="single" w:sz="4" w:space="0" w:color="auto"/>
              <w:right w:val="single" w:sz="4" w:space="0" w:color="auto"/>
            </w:tcBorders>
            <w:shd w:val="clear" w:color="auto" w:fill="auto"/>
            <w:vAlign w:val="center"/>
            <w:hideMark/>
          </w:tcPr>
          <w:p w14:paraId="304AEF84"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房屋建筑物供暖面积</w:t>
            </w:r>
          </w:p>
        </w:tc>
        <w:tc>
          <w:tcPr>
            <w:tcW w:w="1097" w:type="dxa"/>
            <w:tcBorders>
              <w:top w:val="nil"/>
              <w:left w:val="nil"/>
              <w:bottom w:val="single" w:sz="4" w:space="0" w:color="auto"/>
              <w:right w:val="single" w:sz="4" w:space="0" w:color="auto"/>
            </w:tcBorders>
            <w:shd w:val="clear" w:color="auto" w:fill="auto"/>
            <w:vAlign w:val="center"/>
            <w:hideMark/>
          </w:tcPr>
          <w:p w14:paraId="45D36EF3"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&gt;=3708.65平方米</w:t>
            </w:r>
          </w:p>
        </w:tc>
        <w:tc>
          <w:tcPr>
            <w:tcW w:w="986" w:type="dxa"/>
            <w:tcBorders>
              <w:top w:val="nil"/>
              <w:left w:val="nil"/>
              <w:bottom w:val="single" w:sz="4" w:space="0" w:color="auto"/>
              <w:right w:val="single" w:sz="4" w:space="0" w:color="auto"/>
            </w:tcBorders>
            <w:shd w:val="clear" w:color="auto" w:fill="auto"/>
            <w:vAlign w:val="center"/>
            <w:hideMark/>
          </w:tcPr>
          <w:p w14:paraId="5B542B81"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采暖合同</w:t>
            </w:r>
          </w:p>
        </w:tc>
        <w:tc>
          <w:tcPr>
            <w:tcW w:w="614" w:type="dxa"/>
            <w:tcBorders>
              <w:top w:val="nil"/>
              <w:left w:val="nil"/>
              <w:bottom w:val="single" w:sz="4" w:space="0" w:color="auto"/>
              <w:right w:val="single" w:sz="4" w:space="0" w:color="auto"/>
            </w:tcBorders>
            <w:shd w:val="clear" w:color="auto" w:fill="auto"/>
            <w:vAlign w:val="center"/>
            <w:hideMark/>
          </w:tcPr>
          <w:p w14:paraId="4715DBCA"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13</w:t>
            </w:r>
          </w:p>
        </w:tc>
        <w:tc>
          <w:tcPr>
            <w:tcW w:w="901" w:type="dxa"/>
            <w:tcBorders>
              <w:top w:val="nil"/>
              <w:left w:val="nil"/>
              <w:bottom w:val="single" w:sz="4" w:space="0" w:color="auto"/>
              <w:right w:val="single" w:sz="4" w:space="0" w:color="auto"/>
            </w:tcBorders>
            <w:shd w:val="clear" w:color="auto" w:fill="auto"/>
            <w:vAlign w:val="center"/>
            <w:hideMark/>
          </w:tcPr>
          <w:p w14:paraId="2C9DABC0"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3708.65平方米</w:t>
            </w:r>
          </w:p>
        </w:tc>
        <w:tc>
          <w:tcPr>
            <w:tcW w:w="724" w:type="dxa"/>
            <w:tcBorders>
              <w:top w:val="nil"/>
              <w:left w:val="nil"/>
              <w:bottom w:val="single" w:sz="4" w:space="0" w:color="auto"/>
              <w:right w:val="single" w:sz="4" w:space="0" w:color="auto"/>
            </w:tcBorders>
            <w:shd w:val="clear" w:color="auto" w:fill="auto"/>
            <w:vAlign w:val="center"/>
            <w:hideMark/>
          </w:tcPr>
          <w:p w14:paraId="37D2B6A6"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13</w:t>
            </w:r>
          </w:p>
        </w:tc>
      </w:tr>
      <w:tr w:rsidR="0014538C" w:rsidRPr="0014538C" w14:paraId="2C61F11F" w14:textId="77777777" w:rsidTr="0014538C">
        <w:trPr>
          <w:trHeight w:val="741"/>
          <w:jc w:val="center"/>
        </w:trPr>
        <w:tc>
          <w:tcPr>
            <w:tcW w:w="1519" w:type="dxa"/>
            <w:vMerge/>
            <w:tcBorders>
              <w:top w:val="single" w:sz="4" w:space="0" w:color="auto"/>
              <w:left w:val="single" w:sz="4" w:space="0" w:color="auto"/>
              <w:bottom w:val="single" w:sz="4" w:space="0" w:color="auto"/>
              <w:right w:val="single" w:sz="4" w:space="0" w:color="auto"/>
            </w:tcBorders>
            <w:vAlign w:val="center"/>
            <w:hideMark/>
          </w:tcPr>
          <w:p w14:paraId="3D82D406" w14:textId="77777777" w:rsidR="0014538C" w:rsidRPr="0014538C" w:rsidRDefault="0014538C" w:rsidP="0014538C">
            <w:pPr>
              <w:widowControl/>
              <w:jc w:val="left"/>
              <w:rPr>
                <w:rFonts w:ascii="宋体" w:hAnsi="宋体" w:cs="宋体" w:hint="eastAsia"/>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5F0CB70E"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时效指标</w:t>
            </w:r>
          </w:p>
        </w:tc>
        <w:tc>
          <w:tcPr>
            <w:tcW w:w="1503" w:type="dxa"/>
            <w:tcBorders>
              <w:top w:val="nil"/>
              <w:left w:val="nil"/>
              <w:bottom w:val="single" w:sz="4" w:space="0" w:color="auto"/>
              <w:right w:val="single" w:sz="4" w:space="0" w:color="auto"/>
            </w:tcBorders>
            <w:shd w:val="clear" w:color="auto" w:fill="auto"/>
            <w:vAlign w:val="center"/>
            <w:hideMark/>
          </w:tcPr>
          <w:p w14:paraId="05D77BDE"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公用经费支付及时率</w:t>
            </w:r>
          </w:p>
        </w:tc>
        <w:tc>
          <w:tcPr>
            <w:tcW w:w="1097" w:type="dxa"/>
            <w:tcBorders>
              <w:top w:val="nil"/>
              <w:left w:val="nil"/>
              <w:bottom w:val="single" w:sz="4" w:space="0" w:color="auto"/>
              <w:right w:val="single" w:sz="4" w:space="0" w:color="auto"/>
            </w:tcBorders>
            <w:shd w:val="clear" w:color="auto" w:fill="auto"/>
            <w:vAlign w:val="center"/>
            <w:hideMark/>
          </w:tcPr>
          <w:p w14:paraId="36B796B7"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&gt;=100%</w:t>
            </w:r>
          </w:p>
        </w:tc>
        <w:tc>
          <w:tcPr>
            <w:tcW w:w="986" w:type="dxa"/>
            <w:tcBorders>
              <w:top w:val="nil"/>
              <w:left w:val="nil"/>
              <w:bottom w:val="single" w:sz="4" w:space="0" w:color="auto"/>
              <w:right w:val="single" w:sz="4" w:space="0" w:color="auto"/>
            </w:tcBorders>
            <w:shd w:val="clear" w:color="auto" w:fill="auto"/>
            <w:vAlign w:val="center"/>
            <w:hideMark/>
          </w:tcPr>
          <w:p w14:paraId="3C1DC49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资金管理办法</w:t>
            </w:r>
          </w:p>
        </w:tc>
        <w:tc>
          <w:tcPr>
            <w:tcW w:w="614" w:type="dxa"/>
            <w:tcBorders>
              <w:top w:val="nil"/>
              <w:left w:val="nil"/>
              <w:bottom w:val="single" w:sz="4" w:space="0" w:color="auto"/>
              <w:right w:val="single" w:sz="4" w:space="0" w:color="auto"/>
            </w:tcBorders>
            <w:shd w:val="clear" w:color="auto" w:fill="auto"/>
            <w:vAlign w:val="center"/>
            <w:hideMark/>
          </w:tcPr>
          <w:p w14:paraId="5D0CCEF1"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12</w:t>
            </w:r>
          </w:p>
        </w:tc>
        <w:tc>
          <w:tcPr>
            <w:tcW w:w="901" w:type="dxa"/>
            <w:tcBorders>
              <w:top w:val="nil"/>
              <w:left w:val="nil"/>
              <w:bottom w:val="single" w:sz="4" w:space="0" w:color="auto"/>
              <w:right w:val="single" w:sz="4" w:space="0" w:color="auto"/>
            </w:tcBorders>
            <w:shd w:val="clear" w:color="auto" w:fill="auto"/>
            <w:vAlign w:val="center"/>
            <w:hideMark/>
          </w:tcPr>
          <w:p w14:paraId="4F6BE2D2"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100%</w:t>
            </w:r>
          </w:p>
        </w:tc>
        <w:tc>
          <w:tcPr>
            <w:tcW w:w="724" w:type="dxa"/>
            <w:tcBorders>
              <w:top w:val="nil"/>
              <w:left w:val="nil"/>
              <w:bottom w:val="single" w:sz="4" w:space="0" w:color="auto"/>
              <w:right w:val="single" w:sz="4" w:space="0" w:color="auto"/>
            </w:tcBorders>
            <w:shd w:val="clear" w:color="auto" w:fill="auto"/>
            <w:vAlign w:val="center"/>
            <w:hideMark/>
          </w:tcPr>
          <w:p w14:paraId="78E96202"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12</w:t>
            </w:r>
          </w:p>
        </w:tc>
      </w:tr>
      <w:tr w:rsidR="0014538C" w:rsidRPr="0014538C" w14:paraId="054B3040" w14:textId="77777777" w:rsidTr="0014538C">
        <w:trPr>
          <w:trHeight w:val="741"/>
          <w:jc w:val="center"/>
        </w:trPr>
        <w:tc>
          <w:tcPr>
            <w:tcW w:w="1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BF89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管理效率</w:t>
            </w:r>
          </w:p>
        </w:tc>
        <w:tc>
          <w:tcPr>
            <w:tcW w:w="1178" w:type="dxa"/>
            <w:tcBorders>
              <w:top w:val="nil"/>
              <w:left w:val="nil"/>
              <w:bottom w:val="single" w:sz="4" w:space="0" w:color="auto"/>
              <w:right w:val="single" w:sz="4" w:space="0" w:color="auto"/>
            </w:tcBorders>
            <w:shd w:val="clear" w:color="auto" w:fill="auto"/>
            <w:vAlign w:val="center"/>
            <w:hideMark/>
          </w:tcPr>
          <w:p w14:paraId="7D2DB4BD"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质量指标</w:t>
            </w:r>
          </w:p>
        </w:tc>
        <w:tc>
          <w:tcPr>
            <w:tcW w:w="1503" w:type="dxa"/>
            <w:tcBorders>
              <w:top w:val="nil"/>
              <w:left w:val="nil"/>
              <w:bottom w:val="single" w:sz="4" w:space="0" w:color="auto"/>
              <w:right w:val="single" w:sz="4" w:space="0" w:color="auto"/>
            </w:tcBorders>
            <w:shd w:val="clear" w:color="auto" w:fill="auto"/>
            <w:vAlign w:val="center"/>
            <w:hideMark/>
          </w:tcPr>
          <w:p w14:paraId="5D7BB3B7"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资金使用合规率</w:t>
            </w:r>
          </w:p>
        </w:tc>
        <w:tc>
          <w:tcPr>
            <w:tcW w:w="1097" w:type="dxa"/>
            <w:tcBorders>
              <w:top w:val="nil"/>
              <w:left w:val="nil"/>
              <w:bottom w:val="single" w:sz="4" w:space="0" w:color="auto"/>
              <w:right w:val="single" w:sz="4" w:space="0" w:color="auto"/>
            </w:tcBorders>
            <w:shd w:val="clear" w:color="auto" w:fill="auto"/>
            <w:vAlign w:val="center"/>
            <w:hideMark/>
          </w:tcPr>
          <w:p w14:paraId="6DAA5376"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=100%</w:t>
            </w:r>
          </w:p>
        </w:tc>
        <w:tc>
          <w:tcPr>
            <w:tcW w:w="986" w:type="dxa"/>
            <w:tcBorders>
              <w:top w:val="nil"/>
              <w:left w:val="nil"/>
              <w:bottom w:val="single" w:sz="4" w:space="0" w:color="auto"/>
              <w:right w:val="single" w:sz="4" w:space="0" w:color="auto"/>
            </w:tcBorders>
            <w:shd w:val="clear" w:color="auto" w:fill="auto"/>
            <w:vAlign w:val="center"/>
            <w:hideMark/>
          </w:tcPr>
          <w:p w14:paraId="3A50C9DB"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资金管理办法</w:t>
            </w:r>
          </w:p>
        </w:tc>
        <w:tc>
          <w:tcPr>
            <w:tcW w:w="614" w:type="dxa"/>
            <w:tcBorders>
              <w:top w:val="nil"/>
              <w:left w:val="nil"/>
              <w:bottom w:val="single" w:sz="4" w:space="0" w:color="auto"/>
              <w:right w:val="single" w:sz="4" w:space="0" w:color="auto"/>
            </w:tcBorders>
            <w:shd w:val="clear" w:color="auto" w:fill="auto"/>
            <w:vAlign w:val="center"/>
            <w:hideMark/>
          </w:tcPr>
          <w:p w14:paraId="485CB74A"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13</w:t>
            </w:r>
          </w:p>
        </w:tc>
        <w:tc>
          <w:tcPr>
            <w:tcW w:w="901" w:type="dxa"/>
            <w:tcBorders>
              <w:top w:val="nil"/>
              <w:left w:val="nil"/>
              <w:bottom w:val="single" w:sz="4" w:space="0" w:color="auto"/>
              <w:right w:val="single" w:sz="4" w:space="0" w:color="auto"/>
            </w:tcBorders>
            <w:shd w:val="clear" w:color="auto" w:fill="auto"/>
            <w:vAlign w:val="center"/>
            <w:hideMark/>
          </w:tcPr>
          <w:p w14:paraId="27F07ED5"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100%</w:t>
            </w:r>
          </w:p>
        </w:tc>
        <w:tc>
          <w:tcPr>
            <w:tcW w:w="724" w:type="dxa"/>
            <w:tcBorders>
              <w:top w:val="nil"/>
              <w:left w:val="nil"/>
              <w:bottom w:val="single" w:sz="4" w:space="0" w:color="auto"/>
              <w:right w:val="single" w:sz="4" w:space="0" w:color="auto"/>
            </w:tcBorders>
            <w:shd w:val="clear" w:color="auto" w:fill="auto"/>
            <w:vAlign w:val="center"/>
            <w:hideMark/>
          </w:tcPr>
          <w:p w14:paraId="503E68E6"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13</w:t>
            </w:r>
          </w:p>
        </w:tc>
      </w:tr>
      <w:tr w:rsidR="0014538C" w:rsidRPr="0014538C" w14:paraId="33D34FFE" w14:textId="77777777" w:rsidTr="0014538C">
        <w:trPr>
          <w:trHeight w:val="741"/>
          <w:jc w:val="center"/>
        </w:trPr>
        <w:tc>
          <w:tcPr>
            <w:tcW w:w="1519" w:type="dxa"/>
            <w:vMerge/>
            <w:tcBorders>
              <w:top w:val="single" w:sz="4" w:space="0" w:color="auto"/>
              <w:left w:val="single" w:sz="4" w:space="0" w:color="auto"/>
              <w:bottom w:val="single" w:sz="4" w:space="0" w:color="auto"/>
              <w:right w:val="single" w:sz="4" w:space="0" w:color="auto"/>
            </w:tcBorders>
            <w:vAlign w:val="center"/>
            <w:hideMark/>
          </w:tcPr>
          <w:p w14:paraId="3086C1EC" w14:textId="77777777" w:rsidR="0014538C" w:rsidRPr="0014538C" w:rsidRDefault="0014538C" w:rsidP="0014538C">
            <w:pPr>
              <w:widowControl/>
              <w:jc w:val="left"/>
              <w:rPr>
                <w:rFonts w:ascii="宋体" w:hAnsi="宋体" w:cs="宋体" w:hint="eastAsia"/>
                <w:kern w:val="0"/>
                <w:sz w:val="20"/>
                <w:szCs w:val="20"/>
              </w:rPr>
            </w:pPr>
          </w:p>
        </w:tc>
        <w:tc>
          <w:tcPr>
            <w:tcW w:w="1178" w:type="dxa"/>
            <w:tcBorders>
              <w:top w:val="nil"/>
              <w:left w:val="nil"/>
              <w:bottom w:val="single" w:sz="4" w:space="0" w:color="auto"/>
              <w:right w:val="single" w:sz="4" w:space="0" w:color="auto"/>
            </w:tcBorders>
            <w:shd w:val="clear" w:color="auto" w:fill="auto"/>
            <w:vAlign w:val="center"/>
            <w:hideMark/>
          </w:tcPr>
          <w:p w14:paraId="3CCA36D4"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时效指标</w:t>
            </w:r>
          </w:p>
        </w:tc>
        <w:tc>
          <w:tcPr>
            <w:tcW w:w="1503" w:type="dxa"/>
            <w:tcBorders>
              <w:top w:val="nil"/>
              <w:left w:val="nil"/>
              <w:bottom w:val="single" w:sz="4" w:space="0" w:color="auto"/>
              <w:right w:val="single" w:sz="4" w:space="0" w:color="auto"/>
            </w:tcBorders>
            <w:shd w:val="clear" w:color="auto" w:fill="auto"/>
            <w:vAlign w:val="center"/>
            <w:hideMark/>
          </w:tcPr>
          <w:p w14:paraId="34A6306B"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年度工作任务按时完成率</w:t>
            </w:r>
          </w:p>
        </w:tc>
        <w:tc>
          <w:tcPr>
            <w:tcW w:w="1097" w:type="dxa"/>
            <w:tcBorders>
              <w:top w:val="nil"/>
              <w:left w:val="nil"/>
              <w:bottom w:val="single" w:sz="4" w:space="0" w:color="auto"/>
              <w:right w:val="single" w:sz="4" w:space="0" w:color="auto"/>
            </w:tcBorders>
            <w:shd w:val="clear" w:color="auto" w:fill="auto"/>
            <w:vAlign w:val="center"/>
            <w:hideMark/>
          </w:tcPr>
          <w:p w14:paraId="669C44B2"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&gt;=100%</w:t>
            </w:r>
          </w:p>
        </w:tc>
        <w:tc>
          <w:tcPr>
            <w:tcW w:w="986" w:type="dxa"/>
            <w:tcBorders>
              <w:top w:val="nil"/>
              <w:left w:val="nil"/>
              <w:bottom w:val="single" w:sz="4" w:space="0" w:color="auto"/>
              <w:right w:val="single" w:sz="4" w:space="0" w:color="auto"/>
            </w:tcBorders>
            <w:shd w:val="clear" w:color="auto" w:fill="auto"/>
            <w:vAlign w:val="center"/>
            <w:hideMark/>
          </w:tcPr>
          <w:p w14:paraId="140459FA"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年度工作计划</w:t>
            </w:r>
          </w:p>
        </w:tc>
        <w:tc>
          <w:tcPr>
            <w:tcW w:w="614" w:type="dxa"/>
            <w:tcBorders>
              <w:top w:val="nil"/>
              <w:left w:val="nil"/>
              <w:bottom w:val="single" w:sz="4" w:space="0" w:color="auto"/>
              <w:right w:val="single" w:sz="4" w:space="0" w:color="auto"/>
            </w:tcBorders>
            <w:shd w:val="clear" w:color="auto" w:fill="auto"/>
            <w:vAlign w:val="center"/>
            <w:hideMark/>
          </w:tcPr>
          <w:p w14:paraId="05FC8239"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13</w:t>
            </w:r>
          </w:p>
        </w:tc>
        <w:tc>
          <w:tcPr>
            <w:tcW w:w="901" w:type="dxa"/>
            <w:tcBorders>
              <w:top w:val="nil"/>
              <w:left w:val="nil"/>
              <w:bottom w:val="single" w:sz="4" w:space="0" w:color="auto"/>
              <w:right w:val="single" w:sz="4" w:space="0" w:color="auto"/>
            </w:tcBorders>
            <w:shd w:val="clear" w:color="auto" w:fill="auto"/>
            <w:vAlign w:val="center"/>
            <w:hideMark/>
          </w:tcPr>
          <w:p w14:paraId="431C733D"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100%</w:t>
            </w:r>
          </w:p>
        </w:tc>
        <w:tc>
          <w:tcPr>
            <w:tcW w:w="724" w:type="dxa"/>
            <w:tcBorders>
              <w:top w:val="nil"/>
              <w:left w:val="nil"/>
              <w:bottom w:val="single" w:sz="4" w:space="0" w:color="auto"/>
              <w:right w:val="single" w:sz="4" w:space="0" w:color="auto"/>
            </w:tcBorders>
            <w:shd w:val="clear" w:color="auto" w:fill="auto"/>
            <w:vAlign w:val="center"/>
            <w:hideMark/>
          </w:tcPr>
          <w:p w14:paraId="357DBD48"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13</w:t>
            </w:r>
          </w:p>
        </w:tc>
      </w:tr>
      <w:tr w:rsidR="0014538C" w:rsidRPr="0014538C" w14:paraId="618F4834" w14:textId="77777777" w:rsidTr="0014538C">
        <w:trPr>
          <w:trHeight w:val="741"/>
          <w:jc w:val="center"/>
        </w:trPr>
        <w:tc>
          <w:tcPr>
            <w:tcW w:w="1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09F23"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履职效能</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hideMark/>
          </w:tcPr>
          <w:p w14:paraId="2ED5CFB7"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数量指标</w:t>
            </w:r>
          </w:p>
        </w:tc>
        <w:tc>
          <w:tcPr>
            <w:tcW w:w="1503" w:type="dxa"/>
            <w:tcBorders>
              <w:top w:val="nil"/>
              <w:left w:val="nil"/>
              <w:bottom w:val="single" w:sz="4" w:space="0" w:color="auto"/>
              <w:right w:val="single" w:sz="4" w:space="0" w:color="auto"/>
            </w:tcBorders>
            <w:shd w:val="clear" w:color="auto" w:fill="auto"/>
            <w:vAlign w:val="center"/>
            <w:hideMark/>
          </w:tcPr>
          <w:p w14:paraId="5B8E7CB1"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入学覆盖率</w:t>
            </w:r>
          </w:p>
        </w:tc>
        <w:tc>
          <w:tcPr>
            <w:tcW w:w="1097" w:type="dxa"/>
            <w:tcBorders>
              <w:top w:val="nil"/>
              <w:left w:val="nil"/>
              <w:bottom w:val="single" w:sz="4" w:space="0" w:color="auto"/>
              <w:right w:val="single" w:sz="4" w:space="0" w:color="auto"/>
            </w:tcBorders>
            <w:shd w:val="clear" w:color="auto" w:fill="auto"/>
            <w:vAlign w:val="center"/>
            <w:hideMark/>
          </w:tcPr>
          <w:p w14:paraId="04526AA5"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&gt;=95%</w:t>
            </w:r>
          </w:p>
        </w:tc>
        <w:tc>
          <w:tcPr>
            <w:tcW w:w="986" w:type="dxa"/>
            <w:tcBorders>
              <w:top w:val="nil"/>
              <w:left w:val="nil"/>
              <w:bottom w:val="single" w:sz="4" w:space="0" w:color="auto"/>
              <w:right w:val="single" w:sz="4" w:space="0" w:color="auto"/>
            </w:tcBorders>
            <w:shd w:val="clear" w:color="auto" w:fill="auto"/>
            <w:vAlign w:val="center"/>
            <w:hideMark/>
          </w:tcPr>
          <w:p w14:paraId="68D1F556"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年度工作计划</w:t>
            </w:r>
          </w:p>
        </w:tc>
        <w:tc>
          <w:tcPr>
            <w:tcW w:w="614" w:type="dxa"/>
            <w:tcBorders>
              <w:top w:val="nil"/>
              <w:left w:val="nil"/>
              <w:bottom w:val="single" w:sz="4" w:space="0" w:color="auto"/>
              <w:right w:val="single" w:sz="4" w:space="0" w:color="auto"/>
            </w:tcBorders>
            <w:shd w:val="clear" w:color="auto" w:fill="auto"/>
            <w:vAlign w:val="center"/>
            <w:hideMark/>
          </w:tcPr>
          <w:p w14:paraId="59BDC353"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13</w:t>
            </w:r>
          </w:p>
        </w:tc>
        <w:tc>
          <w:tcPr>
            <w:tcW w:w="901" w:type="dxa"/>
            <w:tcBorders>
              <w:top w:val="nil"/>
              <w:left w:val="nil"/>
              <w:bottom w:val="single" w:sz="4" w:space="0" w:color="auto"/>
              <w:right w:val="single" w:sz="4" w:space="0" w:color="auto"/>
            </w:tcBorders>
            <w:shd w:val="clear" w:color="auto" w:fill="auto"/>
            <w:vAlign w:val="center"/>
            <w:hideMark/>
          </w:tcPr>
          <w:p w14:paraId="5FFB343F"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95%</w:t>
            </w:r>
          </w:p>
        </w:tc>
        <w:tc>
          <w:tcPr>
            <w:tcW w:w="724" w:type="dxa"/>
            <w:tcBorders>
              <w:top w:val="nil"/>
              <w:left w:val="nil"/>
              <w:bottom w:val="single" w:sz="4" w:space="0" w:color="auto"/>
              <w:right w:val="single" w:sz="4" w:space="0" w:color="auto"/>
            </w:tcBorders>
            <w:shd w:val="clear" w:color="auto" w:fill="auto"/>
            <w:vAlign w:val="center"/>
            <w:hideMark/>
          </w:tcPr>
          <w:p w14:paraId="431040B5" w14:textId="77777777" w:rsidR="0014538C" w:rsidRPr="0014538C" w:rsidRDefault="0014538C" w:rsidP="0014538C">
            <w:pPr>
              <w:widowControl/>
              <w:jc w:val="center"/>
              <w:rPr>
                <w:rFonts w:ascii="宋体" w:hAnsi="宋体" w:cs="宋体" w:hint="eastAsia"/>
                <w:kern w:val="0"/>
                <w:sz w:val="20"/>
                <w:szCs w:val="20"/>
              </w:rPr>
            </w:pPr>
            <w:r w:rsidRPr="0014538C">
              <w:rPr>
                <w:rFonts w:ascii="宋体" w:hAnsi="宋体" w:cs="宋体" w:hint="eastAsia"/>
                <w:kern w:val="0"/>
                <w:sz w:val="20"/>
                <w:szCs w:val="20"/>
              </w:rPr>
              <w:t>13</w:t>
            </w:r>
          </w:p>
        </w:tc>
      </w:tr>
      <w:tr w:rsidR="0014538C" w:rsidRPr="0014538C" w14:paraId="2F34749A" w14:textId="77777777" w:rsidTr="0014538C">
        <w:trPr>
          <w:trHeight w:val="741"/>
          <w:jc w:val="center"/>
        </w:trPr>
        <w:tc>
          <w:tcPr>
            <w:tcW w:w="1519" w:type="dxa"/>
            <w:vMerge/>
            <w:tcBorders>
              <w:top w:val="single" w:sz="4" w:space="0" w:color="auto"/>
              <w:left w:val="single" w:sz="4" w:space="0" w:color="auto"/>
              <w:bottom w:val="single" w:sz="4" w:space="0" w:color="auto"/>
              <w:right w:val="single" w:sz="4" w:space="0" w:color="auto"/>
            </w:tcBorders>
            <w:vAlign w:val="center"/>
            <w:hideMark/>
          </w:tcPr>
          <w:p w14:paraId="50D1D4AC" w14:textId="77777777" w:rsidR="0014538C" w:rsidRPr="0014538C" w:rsidRDefault="0014538C" w:rsidP="0014538C">
            <w:pPr>
              <w:widowControl/>
              <w:jc w:val="left"/>
              <w:rPr>
                <w:rFonts w:ascii="宋体" w:hAnsi="宋体" w:cs="宋体" w:hint="eastAsia"/>
                <w:kern w:val="0"/>
                <w:sz w:val="20"/>
                <w:szCs w:val="20"/>
              </w:rPr>
            </w:pPr>
          </w:p>
        </w:tc>
        <w:tc>
          <w:tcPr>
            <w:tcW w:w="1178" w:type="dxa"/>
            <w:vMerge/>
            <w:tcBorders>
              <w:top w:val="nil"/>
              <w:left w:val="single" w:sz="4" w:space="0" w:color="auto"/>
              <w:bottom w:val="single" w:sz="4" w:space="0" w:color="auto"/>
              <w:right w:val="single" w:sz="4" w:space="0" w:color="auto"/>
            </w:tcBorders>
            <w:vAlign w:val="center"/>
            <w:hideMark/>
          </w:tcPr>
          <w:p w14:paraId="1CD8A5E6" w14:textId="77777777" w:rsidR="0014538C" w:rsidRPr="0014538C" w:rsidRDefault="0014538C" w:rsidP="0014538C">
            <w:pPr>
              <w:widowControl/>
              <w:jc w:val="left"/>
              <w:rPr>
                <w:rFonts w:ascii="宋体" w:hAnsi="宋体" w:cs="宋体" w:hint="eastAsia"/>
                <w:kern w:val="0"/>
                <w:sz w:val="20"/>
                <w:szCs w:val="20"/>
              </w:rPr>
            </w:pPr>
          </w:p>
        </w:tc>
        <w:tc>
          <w:tcPr>
            <w:tcW w:w="1503" w:type="dxa"/>
            <w:tcBorders>
              <w:top w:val="nil"/>
              <w:left w:val="nil"/>
              <w:bottom w:val="single" w:sz="4" w:space="0" w:color="auto"/>
              <w:right w:val="single" w:sz="4" w:space="0" w:color="auto"/>
            </w:tcBorders>
            <w:shd w:val="clear" w:color="auto" w:fill="auto"/>
            <w:noWrap/>
            <w:vAlign w:val="center"/>
            <w:hideMark/>
          </w:tcPr>
          <w:p w14:paraId="3E61331C"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享受学前教育资助的幼儿人数</w:t>
            </w:r>
          </w:p>
        </w:tc>
        <w:tc>
          <w:tcPr>
            <w:tcW w:w="1097" w:type="dxa"/>
            <w:tcBorders>
              <w:top w:val="nil"/>
              <w:left w:val="nil"/>
              <w:bottom w:val="single" w:sz="4" w:space="0" w:color="auto"/>
              <w:right w:val="single" w:sz="4" w:space="0" w:color="auto"/>
            </w:tcBorders>
            <w:shd w:val="clear" w:color="auto" w:fill="auto"/>
            <w:noWrap/>
            <w:vAlign w:val="center"/>
            <w:hideMark/>
          </w:tcPr>
          <w:p w14:paraId="31F288BF"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=194人</w:t>
            </w:r>
          </w:p>
        </w:tc>
        <w:tc>
          <w:tcPr>
            <w:tcW w:w="986" w:type="dxa"/>
            <w:tcBorders>
              <w:top w:val="nil"/>
              <w:left w:val="nil"/>
              <w:bottom w:val="single" w:sz="4" w:space="0" w:color="auto"/>
              <w:right w:val="single" w:sz="4" w:space="0" w:color="auto"/>
            </w:tcBorders>
            <w:shd w:val="clear" w:color="auto" w:fill="auto"/>
            <w:noWrap/>
            <w:vAlign w:val="center"/>
            <w:hideMark/>
          </w:tcPr>
          <w:p w14:paraId="4074DD7B"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年度工作计划</w:t>
            </w:r>
          </w:p>
        </w:tc>
        <w:tc>
          <w:tcPr>
            <w:tcW w:w="614" w:type="dxa"/>
            <w:tcBorders>
              <w:top w:val="nil"/>
              <w:left w:val="nil"/>
              <w:bottom w:val="single" w:sz="4" w:space="0" w:color="auto"/>
              <w:right w:val="single" w:sz="4" w:space="0" w:color="auto"/>
            </w:tcBorders>
            <w:shd w:val="clear" w:color="auto" w:fill="auto"/>
            <w:noWrap/>
            <w:vAlign w:val="center"/>
            <w:hideMark/>
          </w:tcPr>
          <w:p w14:paraId="5E618635"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13</w:t>
            </w:r>
          </w:p>
        </w:tc>
        <w:tc>
          <w:tcPr>
            <w:tcW w:w="901" w:type="dxa"/>
            <w:tcBorders>
              <w:top w:val="nil"/>
              <w:left w:val="nil"/>
              <w:bottom w:val="single" w:sz="4" w:space="0" w:color="auto"/>
              <w:right w:val="single" w:sz="4" w:space="0" w:color="auto"/>
            </w:tcBorders>
            <w:shd w:val="clear" w:color="auto" w:fill="auto"/>
            <w:noWrap/>
            <w:vAlign w:val="center"/>
            <w:hideMark/>
          </w:tcPr>
          <w:p w14:paraId="5E6686E1"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194人</w:t>
            </w:r>
          </w:p>
        </w:tc>
        <w:tc>
          <w:tcPr>
            <w:tcW w:w="724" w:type="dxa"/>
            <w:tcBorders>
              <w:top w:val="nil"/>
              <w:left w:val="nil"/>
              <w:bottom w:val="single" w:sz="4" w:space="0" w:color="auto"/>
              <w:right w:val="single" w:sz="4" w:space="0" w:color="auto"/>
            </w:tcBorders>
            <w:shd w:val="clear" w:color="auto" w:fill="auto"/>
            <w:noWrap/>
            <w:vAlign w:val="center"/>
            <w:hideMark/>
          </w:tcPr>
          <w:p w14:paraId="1E514799"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13</w:t>
            </w:r>
          </w:p>
        </w:tc>
      </w:tr>
      <w:tr w:rsidR="0014538C" w:rsidRPr="0014538C" w14:paraId="6046E590" w14:textId="77777777" w:rsidTr="0014538C">
        <w:trPr>
          <w:trHeight w:val="741"/>
          <w:jc w:val="center"/>
        </w:trPr>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9FE62"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社会效益</w:t>
            </w:r>
          </w:p>
        </w:tc>
        <w:tc>
          <w:tcPr>
            <w:tcW w:w="1178" w:type="dxa"/>
            <w:tcBorders>
              <w:top w:val="nil"/>
              <w:left w:val="nil"/>
              <w:bottom w:val="single" w:sz="4" w:space="0" w:color="auto"/>
              <w:right w:val="single" w:sz="4" w:space="0" w:color="auto"/>
            </w:tcBorders>
            <w:shd w:val="clear" w:color="auto" w:fill="auto"/>
            <w:noWrap/>
            <w:vAlign w:val="center"/>
            <w:hideMark/>
          </w:tcPr>
          <w:p w14:paraId="1F509F30"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1503" w:type="dxa"/>
            <w:tcBorders>
              <w:top w:val="nil"/>
              <w:left w:val="nil"/>
              <w:bottom w:val="single" w:sz="4" w:space="0" w:color="auto"/>
              <w:right w:val="single" w:sz="4" w:space="0" w:color="auto"/>
            </w:tcBorders>
            <w:shd w:val="clear" w:color="auto" w:fill="auto"/>
            <w:noWrap/>
            <w:vAlign w:val="center"/>
            <w:hideMark/>
          </w:tcPr>
          <w:p w14:paraId="72F7C701"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1097" w:type="dxa"/>
            <w:tcBorders>
              <w:top w:val="nil"/>
              <w:left w:val="nil"/>
              <w:bottom w:val="single" w:sz="4" w:space="0" w:color="auto"/>
              <w:right w:val="single" w:sz="4" w:space="0" w:color="auto"/>
            </w:tcBorders>
            <w:shd w:val="clear" w:color="auto" w:fill="auto"/>
            <w:noWrap/>
            <w:vAlign w:val="center"/>
            <w:hideMark/>
          </w:tcPr>
          <w:p w14:paraId="269A7803"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986" w:type="dxa"/>
            <w:tcBorders>
              <w:top w:val="nil"/>
              <w:left w:val="nil"/>
              <w:bottom w:val="single" w:sz="4" w:space="0" w:color="auto"/>
              <w:right w:val="single" w:sz="4" w:space="0" w:color="auto"/>
            </w:tcBorders>
            <w:shd w:val="clear" w:color="auto" w:fill="auto"/>
            <w:noWrap/>
            <w:vAlign w:val="center"/>
            <w:hideMark/>
          </w:tcPr>
          <w:p w14:paraId="0EFACE4E"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614" w:type="dxa"/>
            <w:tcBorders>
              <w:top w:val="nil"/>
              <w:left w:val="nil"/>
              <w:bottom w:val="single" w:sz="4" w:space="0" w:color="auto"/>
              <w:right w:val="single" w:sz="4" w:space="0" w:color="auto"/>
            </w:tcBorders>
            <w:shd w:val="clear" w:color="auto" w:fill="auto"/>
            <w:noWrap/>
            <w:vAlign w:val="center"/>
            <w:hideMark/>
          </w:tcPr>
          <w:p w14:paraId="46C93730"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901" w:type="dxa"/>
            <w:tcBorders>
              <w:top w:val="nil"/>
              <w:left w:val="nil"/>
              <w:bottom w:val="single" w:sz="4" w:space="0" w:color="auto"/>
              <w:right w:val="single" w:sz="4" w:space="0" w:color="auto"/>
            </w:tcBorders>
            <w:shd w:val="clear" w:color="auto" w:fill="auto"/>
            <w:noWrap/>
            <w:vAlign w:val="center"/>
            <w:hideMark/>
          </w:tcPr>
          <w:p w14:paraId="305716C3"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14:paraId="18110704"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r>
      <w:tr w:rsidR="0014538C" w:rsidRPr="0014538C" w14:paraId="76EE3226" w14:textId="77777777" w:rsidTr="0014538C">
        <w:trPr>
          <w:trHeight w:val="741"/>
          <w:jc w:val="center"/>
        </w:trPr>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1BF99"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可持续发展能力</w:t>
            </w:r>
          </w:p>
        </w:tc>
        <w:tc>
          <w:tcPr>
            <w:tcW w:w="1178" w:type="dxa"/>
            <w:tcBorders>
              <w:top w:val="nil"/>
              <w:left w:val="nil"/>
              <w:bottom w:val="single" w:sz="4" w:space="0" w:color="auto"/>
              <w:right w:val="single" w:sz="4" w:space="0" w:color="auto"/>
            </w:tcBorders>
            <w:shd w:val="clear" w:color="auto" w:fill="auto"/>
            <w:noWrap/>
            <w:vAlign w:val="center"/>
            <w:hideMark/>
          </w:tcPr>
          <w:p w14:paraId="618014D7"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1503" w:type="dxa"/>
            <w:tcBorders>
              <w:top w:val="nil"/>
              <w:left w:val="nil"/>
              <w:bottom w:val="single" w:sz="4" w:space="0" w:color="auto"/>
              <w:right w:val="single" w:sz="4" w:space="0" w:color="auto"/>
            </w:tcBorders>
            <w:shd w:val="clear" w:color="auto" w:fill="auto"/>
            <w:noWrap/>
            <w:vAlign w:val="center"/>
            <w:hideMark/>
          </w:tcPr>
          <w:p w14:paraId="09AC6828"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1097" w:type="dxa"/>
            <w:tcBorders>
              <w:top w:val="nil"/>
              <w:left w:val="nil"/>
              <w:bottom w:val="single" w:sz="4" w:space="0" w:color="auto"/>
              <w:right w:val="single" w:sz="4" w:space="0" w:color="auto"/>
            </w:tcBorders>
            <w:shd w:val="clear" w:color="auto" w:fill="auto"/>
            <w:noWrap/>
            <w:vAlign w:val="center"/>
            <w:hideMark/>
          </w:tcPr>
          <w:p w14:paraId="36247729"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986" w:type="dxa"/>
            <w:tcBorders>
              <w:top w:val="nil"/>
              <w:left w:val="nil"/>
              <w:bottom w:val="single" w:sz="4" w:space="0" w:color="auto"/>
              <w:right w:val="single" w:sz="4" w:space="0" w:color="auto"/>
            </w:tcBorders>
            <w:shd w:val="clear" w:color="auto" w:fill="auto"/>
            <w:noWrap/>
            <w:vAlign w:val="center"/>
            <w:hideMark/>
          </w:tcPr>
          <w:p w14:paraId="2FFC3550"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614" w:type="dxa"/>
            <w:tcBorders>
              <w:top w:val="nil"/>
              <w:left w:val="nil"/>
              <w:bottom w:val="single" w:sz="4" w:space="0" w:color="auto"/>
              <w:right w:val="single" w:sz="4" w:space="0" w:color="auto"/>
            </w:tcBorders>
            <w:shd w:val="clear" w:color="auto" w:fill="auto"/>
            <w:noWrap/>
            <w:vAlign w:val="center"/>
            <w:hideMark/>
          </w:tcPr>
          <w:p w14:paraId="79961A99"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901" w:type="dxa"/>
            <w:tcBorders>
              <w:top w:val="nil"/>
              <w:left w:val="nil"/>
              <w:bottom w:val="single" w:sz="4" w:space="0" w:color="auto"/>
              <w:right w:val="single" w:sz="4" w:space="0" w:color="auto"/>
            </w:tcBorders>
            <w:shd w:val="clear" w:color="auto" w:fill="auto"/>
            <w:noWrap/>
            <w:vAlign w:val="center"/>
            <w:hideMark/>
          </w:tcPr>
          <w:p w14:paraId="0E8745F0"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14:paraId="7692C075"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r>
      <w:tr w:rsidR="0014538C" w:rsidRPr="0014538C" w14:paraId="02845A8E" w14:textId="77777777" w:rsidTr="0014538C">
        <w:trPr>
          <w:trHeight w:val="741"/>
          <w:jc w:val="center"/>
        </w:trPr>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6E081"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服务对象满意度</w:t>
            </w:r>
          </w:p>
        </w:tc>
        <w:tc>
          <w:tcPr>
            <w:tcW w:w="1178" w:type="dxa"/>
            <w:tcBorders>
              <w:top w:val="nil"/>
              <w:left w:val="nil"/>
              <w:bottom w:val="single" w:sz="4" w:space="0" w:color="auto"/>
              <w:right w:val="single" w:sz="4" w:space="0" w:color="auto"/>
            </w:tcBorders>
            <w:shd w:val="clear" w:color="auto" w:fill="auto"/>
            <w:noWrap/>
            <w:vAlign w:val="center"/>
            <w:hideMark/>
          </w:tcPr>
          <w:p w14:paraId="41DF82B7"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1503" w:type="dxa"/>
            <w:tcBorders>
              <w:top w:val="nil"/>
              <w:left w:val="nil"/>
              <w:bottom w:val="single" w:sz="4" w:space="0" w:color="auto"/>
              <w:right w:val="single" w:sz="4" w:space="0" w:color="auto"/>
            </w:tcBorders>
            <w:shd w:val="clear" w:color="auto" w:fill="auto"/>
            <w:noWrap/>
            <w:vAlign w:val="center"/>
            <w:hideMark/>
          </w:tcPr>
          <w:p w14:paraId="36A675C1"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1097" w:type="dxa"/>
            <w:tcBorders>
              <w:top w:val="nil"/>
              <w:left w:val="nil"/>
              <w:bottom w:val="single" w:sz="4" w:space="0" w:color="auto"/>
              <w:right w:val="single" w:sz="4" w:space="0" w:color="auto"/>
            </w:tcBorders>
            <w:shd w:val="clear" w:color="auto" w:fill="auto"/>
            <w:noWrap/>
            <w:vAlign w:val="center"/>
            <w:hideMark/>
          </w:tcPr>
          <w:p w14:paraId="2B004DB3"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986" w:type="dxa"/>
            <w:tcBorders>
              <w:top w:val="nil"/>
              <w:left w:val="nil"/>
              <w:bottom w:val="single" w:sz="4" w:space="0" w:color="auto"/>
              <w:right w:val="single" w:sz="4" w:space="0" w:color="auto"/>
            </w:tcBorders>
            <w:shd w:val="clear" w:color="auto" w:fill="auto"/>
            <w:noWrap/>
            <w:vAlign w:val="center"/>
            <w:hideMark/>
          </w:tcPr>
          <w:p w14:paraId="45B184AC"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614" w:type="dxa"/>
            <w:tcBorders>
              <w:top w:val="nil"/>
              <w:left w:val="nil"/>
              <w:bottom w:val="single" w:sz="4" w:space="0" w:color="auto"/>
              <w:right w:val="single" w:sz="4" w:space="0" w:color="auto"/>
            </w:tcBorders>
            <w:shd w:val="clear" w:color="auto" w:fill="auto"/>
            <w:noWrap/>
            <w:vAlign w:val="center"/>
            <w:hideMark/>
          </w:tcPr>
          <w:p w14:paraId="463BA09D"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901" w:type="dxa"/>
            <w:tcBorders>
              <w:top w:val="nil"/>
              <w:left w:val="nil"/>
              <w:bottom w:val="single" w:sz="4" w:space="0" w:color="auto"/>
              <w:right w:val="single" w:sz="4" w:space="0" w:color="auto"/>
            </w:tcBorders>
            <w:shd w:val="clear" w:color="auto" w:fill="auto"/>
            <w:noWrap/>
            <w:vAlign w:val="center"/>
            <w:hideMark/>
          </w:tcPr>
          <w:p w14:paraId="788D709D"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c>
          <w:tcPr>
            <w:tcW w:w="724" w:type="dxa"/>
            <w:tcBorders>
              <w:top w:val="nil"/>
              <w:left w:val="nil"/>
              <w:bottom w:val="single" w:sz="4" w:space="0" w:color="auto"/>
              <w:right w:val="single" w:sz="4" w:space="0" w:color="auto"/>
            </w:tcBorders>
            <w:shd w:val="clear" w:color="auto" w:fill="auto"/>
            <w:noWrap/>
            <w:vAlign w:val="center"/>
            <w:hideMark/>
          </w:tcPr>
          <w:p w14:paraId="65261F1C" w14:textId="77777777" w:rsidR="0014538C" w:rsidRPr="0014538C" w:rsidRDefault="0014538C" w:rsidP="0014538C">
            <w:pPr>
              <w:widowControl/>
              <w:jc w:val="left"/>
              <w:rPr>
                <w:rFonts w:ascii="宋体" w:hAnsi="宋体" w:cs="宋体" w:hint="eastAsia"/>
                <w:kern w:val="0"/>
                <w:sz w:val="20"/>
                <w:szCs w:val="20"/>
              </w:rPr>
            </w:pPr>
            <w:r w:rsidRPr="0014538C">
              <w:rPr>
                <w:rFonts w:ascii="宋体" w:hAnsi="宋体" w:cs="宋体" w:hint="eastAsia"/>
                <w:kern w:val="0"/>
                <w:sz w:val="20"/>
                <w:szCs w:val="20"/>
              </w:rPr>
              <w:t xml:space="preserve">　</w:t>
            </w:r>
          </w:p>
        </w:tc>
      </w:tr>
    </w:tbl>
    <w:p w14:paraId="0604DB38" w14:textId="1FD87843" w:rsidR="007F095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35A973D" w14:textId="56EB50E1" w:rsidR="007F095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14538C">
        <w:rPr>
          <w:rFonts w:ascii="仿宋_GB2312" w:eastAsia="仿宋_GB2312" w:hAnsi="仿宋_GB2312" w:cs="仿宋_GB2312" w:hint="eastAsia"/>
          <w:kern w:val="0"/>
          <w:sz w:val="32"/>
          <w:szCs w:val="32"/>
        </w:rPr>
        <w:t>。</w:t>
      </w:r>
    </w:p>
    <w:p w14:paraId="5CA2887F" w14:textId="77777777" w:rsidR="007F0955"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25B6386" w14:textId="77777777" w:rsidR="007F095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7060164" w14:textId="77777777" w:rsidR="007F095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C7040E0" w14:textId="77777777" w:rsidR="007F095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975D2A1" w14:textId="77777777" w:rsidR="007F095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81E2AB4" w14:textId="77777777" w:rsidR="007F095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859086B" w14:textId="77777777" w:rsidR="007F095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AA4C038" w14:textId="77777777" w:rsidR="007F095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D6F0BE6" w14:textId="77777777" w:rsidR="007F095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282B3B" w14:textId="77777777" w:rsidR="007F095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80F4482" w14:textId="77777777" w:rsidR="007F095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CC41369" w14:textId="77777777" w:rsidR="007F095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9295100" w14:textId="77777777" w:rsidR="007F095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1154D23" w14:textId="77777777" w:rsidR="007F095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3CECEA" w14:textId="77777777" w:rsidR="007F095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159A580" w14:textId="77777777" w:rsidR="007F095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72EE6D5" w14:textId="77777777" w:rsidR="007F0955"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4D5A5038" w14:textId="77777777" w:rsidR="007F0955"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CC46231" w14:textId="77777777" w:rsidR="007F0955"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4F7B038" w14:textId="77777777" w:rsidR="007F0955"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D301396" w14:textId="77777777" w:rsidR="007F0955"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86C20A8" w14:textId="77777777" w:rsidR="007F0955"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72DAB97" w14:textId="77777777" w:rsidR="007F095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E1CA289" w14:textId="77777777" w:rsidR="007F0955"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6B944413" w14:textId="77777777" w:rsidR="007F095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20472BB" w14:textId="77777777" w:rsidR="007F0955" w:rsidRDefault="007F0955">
      <w:pPr>
        <w:ind w:firstLineChars="200" w:firstLine="640"/>
        <w:rPr>
          <w:rFonts w:ascii="仿宋_GB2312" w:eastAsia="仿宋_GB2312"/>
          <w:sz w:val="32"/>
          <w:szCs w:val="32"/>
        </w:rPr>
      </w:pPr>
    </w:p>
    <w:p w14:paraId="6FB24413" w14:textId="77777777" w:rsidR="007F0955" w:rsidRDefault="007F0955">
      <w:pPr>
        <w:ind w:firstLineChars="200" w:firstLine="640"/>
        <w:outlineLvl w:val="1"/>
        <w:rPr>
          <w:rFonts w:ascii="黑体" w:eastAsia="黑体" w:hAnsi="黑体" w:cs="宋体" w:hint="eastAsia"/>
          <w:bCs/>
          <w:kern w:val="0"/>
          <w:sz w:val="32"/>
          <w:szCs w:val="32"/>
        </w:rPr>
      </w:pPr>
    </w:p>
    <w:sectPr w:rsidR="007F095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26D847" w14:textId="77777777" w:rsidR="00D86A5A" w:rsidRDefault="00D86A5A">
      <w:r>
        <w:separator/>
      </w:r>
    </w:p>
  </w:endnote>
  <w:endnote w:type="continuationSeparator" w:id="0">
    <w:p w14:paraId="5EE5D409" w14:textId="77777777" w:rsidR="00D86A5A" w:rsidRDefault="00D86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5DE2D" w14:textId="77777777" w:rsidR="007F0955" w:rsidRDefault="00000000">
    <w:pPr>
      <w:pStyle w:val="a4"/>
    </w:pPr>
    <w:r>
      <w:rPr>
        <w:noProof/>
      </w:rPr>
      <mc:AlternateContent>
        <mc:Choice Requires="wps">
          <w:drawing>
            <wp:anchor distT="0" distB="0" distL="114300" distR="114300" simplePos="0" relativeHeight="251659264" behindDoc="0" locked="0" layoutInCell="1" allowOverlap="1" wp14:anchorId="6EA0D65C" wp14:editId="2B4C71B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B47CA3" w14:textId="77777777" w:rsidR="007F095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EA0D65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EB47CA3" w14:textId="77777777" w:rsidR="007F095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60828" w14:textId="77777777" w:rsidR="00D86A5A" w:rsidRDefault="00D86A5A">
      <w:r>
        <w:separator/>
      </w:r>
    </w:p>
  </w:footnote>
  <w:footnote w:type="continuationSeparator" w:id="0">
    <w:p w14:paraId="726CF696" w14:textId="77777777" w:rsidR="00D86A5A" w:rsidRDefault="00D86A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31147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7F0955"/>
    <w:rsid w:val="00064DD5"/>
    <w:rsid w:val="0014538C"/>
    <w:rsid w:val="001E0505"/>
    <w:rsid w:val="001E5D9C"/>
    <w:rsid w:val="00213C59"/>
    <w:rsid w:val="00224583"/>
    <w:rsid w:val="002944EF"/>
    <w:rsid w:val="002B5C0D"/>
    <w:rsid w:val="003210CE"/>
    <w:rsid w:val="0036490C"/>
    <w:rsid w:val="00371AD5"/>
    <w:rsid w:val="004322EF"/>
    <w:rsid w:val="00606B3B"/>
    <w:rsid w:val="00670102"/>
    <w:rsid w:val="00695380"/>
    <w:rsid w:val="007F0955"/>
    <w:rsid w:val="007F34C4"/>
    <w:rsid w:val="0082708A"/>
    <w:rsid w:val="009A647E"/>
    <w:rsid w:val="00B218CC"/>
    <w:rsid w:val="00B70D59"/>
    <w:rsid w:val="00BF06CC"/>
    <w:rsid w:val="00C41526"/>
    <w:rsid w:val="00CA44E6"/>
    <w:rsid w:val="00D350F3"/>
    <w:rsid w:val="00D727EB"/>
    <w:rsid w:val="00D86A5A"/>
    <w:rsid w:val="00E72EB4"/>
    <w:rsid w:val="00F046BC"/>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8B8AD1"/>
  <w15:docId w15:val="{29CB92F4-BA56-47F4-8042-37DB65D6D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874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1066</Words>
  <Characters>6082</Characters>
  <Application>Microsoft Office Word</Application>
  <DocSecurity>0</DocSecurity>
  <Lines>50</Lines>
  <Paragraphs>14</Paragraphs>
  <ScaleCrop>false</ScaleCrop>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9</cp:revision>
  <dcterms:created xsi:type="dcterms:W3CDTF">2014-10-29T12:08:00Z</dcterms:created>
  <dcterms:modified xsi:type="dcterms:W3CDTF">2024-11-25T03:56:00Z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