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AD0BA">
      <w:pPr>
        <w:spacing w:after="0" w:line="240" w:lineRule="auto"/>
        <w:rPr>
          <w:rFonts w:hint="eastAsia" w:ascii="宋体" w:eastAsia="宋体"/>
          <w:sz w:val="32"/>
          <w:szCs w:val="32"/>
        </w:rPr>
      </w:pPr>
    </w:p>
    <w:p w14:paraId="0E064BBC">
      <w:pPr>
        <w:spacing w:after="0" w:line="240" w:lineRule="auto"/>
        <w:rPr>
          <w:rFonts w:hint="eastAsia" w:ascii="宋体" w:eastAsia="宋体"/>
          <w:sz w:val="44"/>
          <w:szCs w:val="44"/>
        </w:rPr>
      </w:pPr>
    </w:p>
    <w:p w14:paraId="22942ECF">
      <w:pPr>
        <w:spacing w:after="0" w:line="240" w:lineRule="auto"/>
        <w:rPr>
          <w:rFonts w:hint="eastAsia" w:ascii="宋体" w:eastAsia="宋体"/>
          <w:sz w:val="44"/>
          <w:szCs w:val="44"/>
        </w:rPr>
      </w:pPr>
    </w:p>
    <w:p w14:paraId="29D487ED">
      <w:pPr>
        <w:spacing w:after="0" w:line="240" w:lineRule="auto"/>
        <w:rPr>
          <w:rFonts w:hint="eastAsia" w:ascii="宋体" w:eastAsia="宋体"/>
          <w:sz w:val="44"/>
          <w:szCs w:val="44"/>
        </w:rPr>
      </w:pPr>
    </w:p>
    <w:p w14:paraId="596F68EF">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昌吉市大西渠镇中心学校</w:t>
      </w:r>
    </w:p>
    <w:p w14:paraId="221990DD">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9D72150">
      <w:pPr>
        <w:rPr>
          <w:rFonts w:hint="eastAsia"/>
          <w:lang w:eastAsia="zh-CN"/>
        </w:rPr>
      </w:pPr>
      <w:r>
        <w:rPr>
          <w:sz w:val="0"/>
          <w:szCs w:val="0"/>
          <w:lang w:eastAsia="zh-CN"/>
        </w:rPr>
        <w:br w:type="page"/>
      </w:r>
    </w:p>
    <w:p w14:paraId="5D25C849">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D818AA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DB05B3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1A747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7975D91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391643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262311F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2A7405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3FF637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3CC76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5FD6D0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64B6F7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700199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9E2D59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E2958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33BB59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4B367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418D28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F4F8C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9CE00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EFF1E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C38D4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0B4666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26C9939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E2F4B1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17607F4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BFFC36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4DF7FC8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3D9F33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F870C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AFACF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30887F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9554E7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B04AD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1E337CD0">
      <w:pPr>
        <w:rPr>
          <w:rFonts w:hint="eastAsia"/>
          <w:lang w:eastAsia="zh-CN"/>
        </w:rPr>
      </w:pPr>
      <w:r>
        <w:rPr>
          <w:sz w:val="0"/>
          <w:szCs w:val="0"/>
          <w:lang w:eastAsia="zh-CN"/>
        </w:rPr>
        <w:br w:type="page"/>
      </w:r>
    </w:p>
    <w:p w14:paraId="3847EA4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val="en-US" w:eastAsia="zh-CN"/>
        </w:rPr>
        <w:t xml:space="preserve"> </w:t>
      </w:r>
      <w:r>
        <w:rPr>
          <w:rFonts w:ascii="黑体" w:eastAsia="黑体"/>
          <w:sz w:val="32"/>
          <w:szCs w:val="32"/>
          <w:lang w:eastAsia="zh-CN"/>
        </w:rPr>
        <w:t>单位概况</w:t>
      </w:r>
    </w:p>
    <w:p w14:paraId="39F3F19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一、主要职能</w:t>
      </w:r>
    </w:p>
    <w:p w14:paraId="5E8856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坚持社会主义办学方向，全面贯彻党的教育方针，全面提高教育教学质量，对学生进行德育、智育、体育、美育和劳动教育，培养德、智、体等全面发展社会主义建设者和接班人，贯彻执行国家教育政策、法规。实施小学义务教育，促进基础教育发展。小学学历教育（相关社会服务）。</w:t>
      </w:r>
    </w:p>
    <w:p w14:paraId="2F7780C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693CE2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昌吉市大西渠镇中心学校2024年度，实有人数84人，其中：在职人员32人，减少3人；离休人员0人，较上年无变化；退休人员52人，增加2人。</w:t>
      </w:r>
    </w:p>
    <w:p w14:paraId="3F5948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昌吉市大西渠镇中心学校无下属预算单位，下设4个</w:t>
      </w:r>
      <w:r>
        <w:rPr>
          <w:rFonts w:hint="eastAsia" w:ascii="仿宋_GB2312" w:eastAsia="仿宋_GB2312"/>
          <w:sz w:val="32"/>
          <w:szCs w:val="32"/>
          <w:lang w:eastAsia="zh-CN"/>
        </w:rPr>
        <w:t>科</w:t>
      </w:r>
      <w:r>
        <w:rPr>
          <w:rFonts w:ascii="仿宋_GB2312" w:eastAsia="仿宋_GB2312"/>
          <w:sz w:val="32"/>
          <w:szCs w:val="32"/>
          <w:lang w:eastAsia="zh-CN"/>
        </w:rPr>
        <w:t>室，分别是：教务处、德育处、总务处、安全办。</w:t>
      </w:r>
    </w:p>
    <w:p w14:paraId="5F339AAD">
      <w:pPr>
        <w:rPr>
          <w:rFonts w:hint="eastAsia"/>
          <w:lang w:eastAsia="zh-CN"/>
        </w:rPr>
      </w:pPr>
      <w:r>
        <w:rPr>
          <w:sz w:val="0"/>
          <w:szCs w:val="0"/>
          <w:lang w:eastAsia="zh-CN"/>
        </w:rPr>
        <w:br w:type="page"/>
      </w:r>
    </w:p>
    <w:p w14:paraId="59C1C9F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A6F0B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1220BC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2024年度收入总计933.77万元，其中：本年收入合计922.35万元，使用非财政拨款结余（含专用结余）0.00万元，年初结转和结余11.42万元。</w:t>
      </w:r>
    </w:p>
    <w:p w14:paraId="622BB5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2024年度支出总计933.77万元，其中：本年支出合计925.24万元，结余分配0.00万元，年末结转和结余8.54万元。</w:t>
      </w:r>
    </w:p>
    <w:p w14:paraId="41ED3CA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收入支出总体与上年相比，减少89.45万元，下降8.74%，主要原因是：单位本年在职人员减少3人，本年办公费、维修（护）费、专用材料费较</w:t>
      </w:r>
      <w:r>
        <w:rPr>
          <w:rFonts w:hint="eastAsia" w:ascii="仿宋_GB2312" w:eastAsia="仿宋_GB2312"/>
          <w:sz w:val="32"/>
          <w:szCs w:val="32"/>
          <w:lang w:val="en-US" w:eastAsia="zh-CN"/>
        </w:rPr>
        <w:t>上年</w:t>
      </w:r>
      <w:r>
        <w:rPr>
          <w:rFonts w:ascii="仿宋_GB2312" w:eastAsia="仿宋_GB2312"/>
          <w:sz w:val="32"/>
          <w:szCs w:val="32"/>
          <w:lang w:eastAsia="zh-CN"/>
        </w:rPr>
        <w:t>减少。</w:t>
      </w:r>
    </w:p>
    <w:p w14:paraId="453B8F5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18F675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本年收入922.35万元，其中：财政拨款收入901.73万元,占97.76%；上级补助收入0.00万元,占0.00%；事业收入0.00万元，占0.00%；经营收入0.00万元,占0.00%；附属单位上缴收入0.00万元，占0.00%；其他收入20.62万元，占2.24%。</w:t>
      </w:r>
    </w:p>
    <w:p w14:paraId="41F7AD1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5B7C66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本年支出925.24万元，其中：基本支出854.33万元，占92.34%；项目支出70.90万元，占7.66%；上缴上级支出0.00万元，占0.00%；经营支出0.00万元，占0.00%；对附属单位补助支出0.00万元，占0.00%。</w:t>
      </w:r>
    </w:p>
    <w:p w14:paraId="0643847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73C6B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2024年度财政拨款收入总计901.73万元，其中：年初财政拨款结转和结余0.00万元，本年财政拨款收入901.73万元。财政拨款支出总计901.73万元，其中：年末财政拨款结转和结余0.00万元，本年财政拨款支出901.73万元。</w:t>
      </w:r>
    </w:p>
    <w:p w14:paraId="13F2B51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财政拨款收入支出总体与上年相比，减少99.12万元，下降9.90%，主要原因是：单位本年在职人员减少3人，本年办公费、维修（护）费、专用材料费较</w:t>
      </w:r>
      <w:r>
        <w:rPr>
          <w:rFonts w:hint="eastAsia" w:ascii="仿宋_GB2312" w:eastAsia="仿宋_GB2312"/>
          <w:sz w:val="32"/>
          <w:szCs w:val="32"/>
          <w:lang w:val="en-US" w:eastAsia="zh-CN"/>
        </w:rPr>
        <w:t>上年</w:t>
      </w:r>
      <w:r>
        <w:rPr>
          <w:rFonts w:ascii="仿宋_GB2312" w:eastAsia="仿宋_GB2312"/>
          <w:sz w:val="32"/>
          <w:szCs w:val="32"/>
          <w:lang w:eastAsia="zh-CN"/>
        </w:rPr>
        <w:t>减少。与年初预算相比，年初预算数810.82万元，决算数901.73万元，预决算差异率11.21%，主要原因是：年中追加校舍安全项目经费、能力提升资金项目经费。</w:t>
      </w:r>
    </w:p>
    <w:p w14:paraId="611990B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2CD27FA6">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2277C6B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2024年度一般公共预算财政拨款支出901.73万元，占本年支出合计的97.46%。与上年相比，减少38.80万元，下降4.13%，主要原因是：单位本年在职人员减少3人，本年办公费、维修（护）费、专用材料费较</w:t>
      </w:r>
      <w:r>
        <w:rPr>
          <w:rFonts w:hint="eastAsia" w:ascii="仿宋_GB2312" w:eastAsia="仿宋_GB2312"/>
          <w:sz w:val="32"/>
          <w:szCs w:val="32"/>
          <w:lang w:val="en-US" w:eastAsia="zh-CN"/>
        </w:rPr>
        <w:t>上年</w:t>
      </w:r>
      <w:r>
        <w:rPr>
          <w:rFonts w:ascii="仿宋_GB2312" w:eastAsia="仿宋_GB2312"/>
          <w:sz w:val="32"/>
          <w:szCs w:val="32"/>
          <w:lang w:eastAsia="zh-CN"/>
        </w:rPr>
        <w:t>减少。与年初预算相比，年初预算数810.82万元，决算数901.73万元，预决算差异率11.21%，主要原因是：年中追加校舍安全项目经费、能力提升资金项目经费。</w:t>
      </w:r>
    </w:p>
    <w:p w14:paraId="68102CC8">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4F92D29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教育支出（类）885.92万元，占98.25%。</w:t>
      </w:r>
    </w:p>
    <w:p w14:paraId="4EA6C8B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社会保障和就业支出（类）15.81万元，占1.75%。</w:t>
      </w:r>
    </w:p>
    <w:p w14:paraId="6F6E3193">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7170B73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1、教育支出（类）教育管理事务（款）一般行政管理事务（项）：支出决算数为0.00万元，比上年决算减少0.30万元，下降100.00%，主要原因是：单位本年购置办公用品经费减少。</w:t>
      </w:r>
    </w:p>
    <w:p w14:paraId="0C3242C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2、教育支出（类）普通教育（款）小学教育（项）：支出决算数为885.92万元，比上年决算减少36.32万元，下降3.94%，主要原因是：单位本年在职人员减少3人，本年办公费、维修（护）费、专用材料费较</w:t>
      </w:r>
      <w:r>
        <w:rPr>
          <w:rFonts w:hint="eastAsia" w:ascii="仿宋_GB2312" w:eastAsia="仿宋_GB2312"/>
          <w:sz w:val="32"/>
          <w:szCs w:val="32"/>
          <w:lang w:val="en-US" w:eastAsia="zh-CN"/>
        </w:rPr>
        <w:t>上年</w:t>
      </w:r>
      <w:r>
        <w:rPr>
          <w:rFonts w:ascii="仿宋_GB2312" w:eastAsia="仿宋_GB2312"/>
          <w:sz w:val="32"/>
          <w:szCs w:val="32"/>
          <w:lang w:eastAsia="zh-CN"/>
        </w:rPr>
        <w:t>减少。</w:t>
      </w:r>
    </w:p>
    <w:p w14:paraId="7F37A46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15.81万元，比上年决算减少2.18万元，下降12.12%，主要原因是：单位本年一次性职业年金缴费较上年减少。</w:t>
      </w:r>
    </w:p>
    <w:p w14:paraId="14A9F4E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7252FD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830.82万元，其中：人员经费807.26万元，包括：基本工资、津贴补贴、奖金、机关事业单位基本养老保险缴费、职业年金缴费、职工基本医疗保险缴费、公务员医疗补助缴费、其他社会保障缴费、住房公积金、其他工资福利支出、退休费、抚恤金、生活补助和奖励金。</w:t>
      </w:r>
    </w:p>
    <w:p w14:paraId="48A9107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公用经费23.56万元，包括：办公费、水费、电费、邮电费、取暖费、物业管理费、维修（护）费、专用材料费、劳务费、其他交通费用和其他商品和服务支出。</w:t>
      </w:r>
    </w:p>
    <w:p w14:paraId="18EA6C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74604CB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D6C7CF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36032A9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286677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693BC3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本年与上年均</w:t>
      </w:r>
      <w:r>
        <w:rPr>
          <w:rFonts w:ascii="仿宋_GB2312" w:eastAsia="仿宋_GB2312"/>
          <w:sz w:val="32"/>
          <w:szCs w:val="32"/>
          <w:lang w:eastAsia="zh-CN"/>
        </w:rPr>
        <w:t>无“三公”经费支出。其中：因公出国（境）费支出0.00万元,占0.00%，与上年相比无变化，主要原因是：</w:t>
      </w:r>
      <w:r>
        <w:rPr>
          <w:rFonts w:hint="eastAsia" w:ascii="仿宋_GB2312" w:eastAsia="仿宋_GB2312"/>
          <w:sz w:val="32"/>
          <w:szCs w:val="32"/>
          <w:lang w:eastAsia="zh-CN"/>
        </w:rPr>
        <w:t>本年与上年均</w:t>
      </w:r>
      <w:r>
        <w:rPr>
          <w:rFonts w:ascii="仿宋_GB2312" w:eastAsia="仿宋_GB2312"/>
          <w:sz w:val="32"/>
          <w:szCs w:val="32"/>
          <w:lang w:eastAsia="zh-CN"/>
        </w:rPr>
        <w:t>无因公出国（境）费支出；公务用车购置及运行维护费支出0.00万元，占0.00%，与上年相比无变化，主要原因是：</w:t>
      </w:r>
      <w:r>
        <w:rPr>
          <w:rFonts w:hint="eastAsia" w:ascii="仿宋_GB2312" w:eastAsia="仿宋_GB2312"/>
          <w:sz w:val="32"/>
          <w:szCs w:val="32"/>
          <w:lang w:eastAsia="zh-CN"/>
        </w:rPr>
        <w:t>本年与上年均</w:t>
      </w:r>
      <w:r>
        <w:rPr>
          <w:rFonts w:ascii="仿宋_GB2312" w:eastAsia="仿宋_GB2312"/>
          <w:sz w:val="32"/>
          <w:szCs w:val="32"/>
          <w:lang w:eastAsia="zh-CN"/>
        </w:rPr>
        <w:t>无公务用车购置及运行维护费支出；公务接待费支出0.00万元，占0.00%，与上年相比无变化，主要原因是：</w:t>
      </w:r>
      <w:r>
        <w:rPr>
          <w:rFonts w:hint="eastAsia" w:ascii="仿宋_GB2312" w:eastAsia="仿宋_GB2312"/>
          <w:sz w:val="32"/>
          <w:szCs w:val="32"/>
          <w:lang w:eastAsia="zh-CN"/>
        </w:rPr>
        <w:t>本年与上年均</w:t>
      </w:r>
      <w:r>
        <w:rPr>
          <w:rFonts w:ascii="仿宋_GB2312" w:eastAsia="仿宋_GB2312"/>
          <w:sz w:val="32"/>
          <w:szCs w:val="32"/>
          <w:lang w:eastAsia="zh-CN"/>
        </w:rPr>
        <w:t>无公务接待费支出。</w:t>
      </w:r>
    </w:p>
    <w:p w14:paraId="34CBCB7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0948F9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4F8C43F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1" w:name="_GoBack"/>
      <w:bookmarkEnd w:id="1"/>
      <w:r>
        <w:rPr>
          <w:rFonts w:ascii="仿宋_GB2312" w:eastAsia="仿宋_GB2312"/>
          <w:sz w:val="32"/>
          <w:szCs w:val="32"/>
          <w:lang w:eastAsia="zh-CN"/>
        </w:rPr>
        <w:t>单位本年无公务用车运行维护费。公务用车购置数0辆，公务用车保有量0辆。国有资产占用情况中固定资产车辆1辆，与公务用车保有量差异原因是：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差异车辆为一般业务用车1辆，预算未安排公务用车运行维护费</w:t>
      </w:r>
      <w:r>
        <w:rPr>
          <w:rFonts w:ascii="仿宋_GB2312" w:eastAsia="仿宋_GB2312"/>
          <w:sz w:val="32"/>
          <w:szCs w:val="32"/>
          <w:lang w:eastAsia="zh-CN"/>
        </w:rPr>
        <w:t>。</w:t>
      </w:r>
    </w:p>
    <w:p w14:paraId="5317FD9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5A67B5A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57B001C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6405DA0">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3E5477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2024年度昌吉市大西渠镇中心学校单位（事业单位）公用经费支出23.56万元，比上年减少32.79万元，下降58.19%，主要原因是：本年办公费、维修（护）费、专用材料费较少年减少。</w:t>
      </w:r>
    </w:p>
    <w:p w14:paraId="496802D7">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3641D92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2024年度政府采购支出总额36.50万元，其中：政府采购货物支出25.50万元、政府采购工程支出11.00万元、政府采购服务支出0.00万元。</w:t>
      </w:r>
    </w:p>
    <w:p w14:paraId="1733BDD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授予中小企业合同金额36.50万元，占政府采购支出总额的100.00%，其中：授予小微企业合同金额36.50万元，占政府采购支出总额的100.00%。</w:t>
      </w:r>
    </w:p>
    <w:p w14:paraId="370624A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01B86B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截至2024年12月31日，房屋8,788.20平方米，价值1,433.18万元。</w:t>
      </w:r>
      <w:r>
        <w:rPr>
          <w:rFonts w:ascii="仿宋_GB2312" w:eastAsia="仿宋_GB2312"/>
          <w:sz w:val="32"/>
          <w:szCs w:val="32"/>
          <w:lang w:eastAsia="zh-CN"/>
        </w:rPr>
        <w:t>车辆1辆，价值15.61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1台（套）。</w:t>
      </w:r>
    </w:p>
    <w:p w14:paraId="1AEE3E3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E8E732B">
      <w:pPr>
        <w:rPr>
          <w:rFonts w:hint="eastAsia" w:ascii="宋体" w:hAnsi="宋体" w:eastAsia="宋体" w:cs="宋体"/>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根据预算绩效管理要求，本单位2024年度预算绩效管理形成整体支出绩效自评表1个，全年预算总额933.77万元，实际执行总额925.24万元；预算绩效评价项目0个，全年预算数0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w:t>
      </w:r>
      <w:bookmarkStart w:id="0" w:name="_Hlk174962300"/>
    </w:p>
    <w:p w14:paraId="39E534EE">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292C4F2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5091C494">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3E44F1A">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8BB4F12">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昌吉市大西渠镇中心学校</w:t>
            </w:r>
          </w:p>
        </w:tc>
        <w:tc>
          <w:tcPr>
            <w:tcW w:w="284" w:type="dxa"/>
            <w:tcBorders>
              <w:top w:val="nil"/>
              <w:left w:val="nil"/>
              <w:bottom w:val="nil"/>
              <w:right w:val="nil"/>
            </w:tcBorders>
            <w:noWrap/>
            <w:vAlign w:val="center"/>
          </w:tcPr>
          <w:p w14:paraId="14D528FA">
            <w:pPr>
              <w:rPr>
                <w:rFonts w:hint="eastAsia" w:ascii="宋体" w:hAnsi="宋体" w:eastAsia="宋体" w:cs="宋体"/>
                <w:b/>
                <w:bCs/>
                <w:sz w:val="18"/>
                <w:szCs w:val="18"/>
                <w:lang w:eastAsia="zh-CN"/>
              </w:rPr>
            </w:pPr>
          </w:p>
        </w:tc>
      </w:tr>
      <w:tr w14:paraId="5C96D4ED">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32F3FBB">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46AC93D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5B1888F">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66D0CFC8">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73C012D4">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2A9F53C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3D5E4121">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3F5532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584A410">
            <w:pPr>
              <w:jc w:val="center"/>
              <w:rPr>
                <w:rFonts w:hint="eastAsia" w:ascii="宋体" w:hAnsi="宋体" w:eastAsia="宋体" w:cs="宋体"/>
                <w:b/>
                <w:bCs/>
                <w:sz w:val="18"/>
                <w:szCs w:val="18"/>
              </w:rPr>
            </w:pPr>
          </w:p>
        </w:tc>
      </w:tr>
      <w:tr w14:paraId="163EF255">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1735D2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1C90E22">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7930294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47AD984F">
            <w:pPr>
              <w:jc w:val="center"/>
              <w:rPr>
                <w:rFonts w:hint="eastAsia" w:ascii="宋体" w:hAnsi="宋体" w:eastAsia="宋体" w:cs="宋体"/>
                <w:sz w:val="18"/>
                <w:szCs w:val="18"/>
              </w:rPr>
            </w:pPr>
            <w:r>
              <w:rPr>
                <w:rFonts w:hint="eastAsia" w:ascii="宋体" w:hAnsi="宋体" w:eastAsia="宋体" w:cs="宋体"/>
                <w:sz w:val="18"/>
                <w:szCs w:val="18"/>
              </w:rPr>
              <w:t>70.90</w:t>
            </w:r>
          </w:p>
        </w:tc>
        <w:tc>
          <w:tcPr>
            <w:tcW w:w="1842" w:type="dxa"/>
            <w:tcBorders>
              <w:top w:val="nil"/>
              <w:left w:val="nil"/>
              <w:bottom w:val="single" w:color="auto" w:sz="4" w:space="0"/>
              <w:right w:val="single" w:color="auto" w:sz="4" w:space="0"/>
            </w:tcBorders>
            <w:vAlign w:val="center"/>
          </w:tcPr>
          <w:p w14:paraId="69B8FC04">
            <w:pPr>
              <w:jc w:val="center"/>
              <w:rPr>
                <w:rFonts w:hint="eastAsia" w:ascii="宋体" w:hAnsi="宋体" w:eastAsia="宋体" w:cs="宋体"/>
                <w:sz w:val="18"/>
                <w:szCs w:val="18"/>
              </w:rPr>
            </w:pPr>
            <w:r>
              <w:rPr>
                <w:rFonts w:hint="eastAsia" w:ascii="宋体" w:hAnsi="宋体" w:eastAsia="宋体" w:cs="宋体"/>
                <w:sz w:val="18"/>
                <w:szCs w:val="18"/>
              </w:rPr>
              <w:t>70.90</w:t>
            </w:r>
          </w:p>
        </w:tc>
        <w:tc>
          <w:tcPr>
            <w:tcW w:w="993" w:type="dxa"/>
            <w:tcBorders>
              <w:top w:val="nil"/>
              <w:left w:val="nil"/>
              <w:bottom w:val="single" w:color="auto" w:sz="4" w:space="0"/>
              <w:right w:val="single" w:color="auto" w:sz="4" w:space="0"/>
            </w:tcBorders>
            <w:vAlign w:val="center"/>
          </w:tcPr>
          <w:p w14:paraId="78A9262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C2A8ECD">
            <w:pPr>
              <w:jc w:val="center"/>
              <w:rPr>
                <w:rFonts w:hint="eastAsia" w:ascii="宋体" w:hAnsi="宋体" w:eastAsia="宋体" w:cs="宋体"/>
                <w:sz w:val="18"/>
                <w:szCs w:val="18"/>
              </w:rPr>
            </w:pPr>
            <w:r>
              <w:rPr>
                <w:rFonts w:hint="eastAsia" w:ascii="宋体" w:hAnsi="宋体" w:eastAsia="宋体" w:cs="宋体"/>
                <w:sz w:val="18"/>
                <w:szCs w:val="18"/>
              </w:rPr>
              <w:t>99.09%</w:t>
            </w:r>
          </w:p>
        </w:tc>
        <w:tc>
          <w:tcPr>
            <w:tcW w:w="720" w:type="dxa"/>
            <w:tcBorders>
              <w:top w:val="nil"/>
              <w:left w:val="nil"/>
              <w:bottom w:val="single" w:color="auto" w:sz="4" w:space="0"/>
              <w:right w:val="single" w:color="auto" w:sz="4" w:space="0"/>
            </w:tcBorders>
            <w:vAlign w:val="center"/>
          </w:tcPr>
          <w:p w14:paraId="57B50B17">
            <w:pPr>
              <w:jc w:val="center"/>
              <w:rPr>
                <w:rFonts w:hint="eastAsia" w:ascii="宋体" w:hAnsi="宋体" w:eastAsia="宋体" w:cs="宋体"/>
                <w:sz w:val="18"/>
                <w:szCs w:val="18"/>
              </w:rPr>
            </w:pPr>
            <w:r>
              <w:rPr>
                <w:rFonts w:hint="eastAsia" w:ascii="宋体" w:hAnsi="宋体" w:eastAsia="宋体" w:cs="宋体"/>
                <w:sz w:val="18"/>
                <w:szCs w:val="18"/>
              </w:rPr>
              <w:t>9.9</w:t>
            </w:r>
          </w:p>
        </w:tc>
        <w:tc>
          <w:tcPr>
            <w:tcW w:w="284" w:type="dxa"/>
            <w:tcBorders>
              <w:top w:val="nil"/>
              <w:left w:val="nil"/>
              <w:bottom w:val="nil"/>
              <w:right w:val="nil"/>
            </w:tcBorders>
            <w:noWrap/>
            <w:vAlign w:val="center"/>
          </w:tcPr>
          <w:p w14:paraId="5777492C">
            <w:pPr>
              <w:jc w:val="center"/>
              <w:rPr>
                <w:rFonts w:hint="eastAsia" w:ascii="宋体" w:hAnsi="宋体" w:eastAsia="宋体" w:cs="宋体"/>
                <w:b/>
                <w:bCs/>
                <w:sz w:val="18"/>
                <w:szCs w:val="18"/>
              </w:rPr>
            </w:pPr>
          </w:p>
        </w:tc>
      </w:tr>
      <w:tr w14:paraId="72FFF402">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7E3561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76A4E1A">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0443198F">
            <w:pPr>
              <w:jc w:val="center"/>
              <w:rPr>
                <w:rFonts w:hint="eastAsia" w:ascii="宋体" w:hAnsi="宋体" w:eastAsia="宋体" w:cs="宋体"/>
                <w:sz w:val="18"/>
                <w:szCs w:val="18"/>
              </w:rPr>
            </w:pPr>
            <w:r>
              <w:rPr>
                <w:rFonts w:hint="eastAsia" w:ascii="宋体" w:hAnsi="宋体" w:eastAsia="宋体" w:cs="宋体"/>
                <w:sz w:val="18"/>
                <w:szCs w:val="18"/>
              </w:rPr>
              <w:t>810.82</w:t>
            </w:r>
          </w:p>
        </w:tc>
        <w:tc>
          <w:tcPr>
            <w:tcW w:w="1276" w:type="dxa"/>
            <w:tcBorders>
              <w:top w:val="nil"/>
              <w:left w:val="nil"/>
              <w:bottom w:val="single" w:color="auto" w:sz="4" w:space="0"/>
              <w:right w:val="single" w:color="auto" w:sz="4" w:space="0"/>
            </w:tcBorders>
            <w:vAlign w:val="center"/>
          </w:tcPr>
          <w:p w14:paraId="1D383BD2">
            <w:pPr>
              <w:jc w:val="center"/>
              <w:rPr>
                <w:rFonts w:hint="eastAsia" w:ascii="宋体" w:hAnsi="宋体" w:eastAsia="宋体" w:cs="宋体"/>
                <w:sz w:val="18"/>
                <w:szCs w:val="18"/>
              </w:rPr>
            </w:pPr>
            <w:r>
              <w:rPr>
                <w:rFonts w:hint="eastAsia" w:ascii="宋体" w:hAnsi="宋体" w:eastAsia="宋体" w:cs="宋体"/>
                <w:sz w:val="18"/>
                <w:szCs w:val="18"/>
              </w:rPr>
              <w:t>862.87</w:t>
            </w:r>
          </w:p>
        </w:tc>
        <w:tc>
          <w:tcPr>
            <w:tcW w:w="1842" w:type="dxa"/>
            <w:tcBorders>
              <w:top w:val="nil"/>
              <w:left w:val="nil"/>
              <w:bottom w:val="single" w:color="auto" w:sz="4" w:space="0"/>
              <w:right w:val="single" w:color="auto" w:sz="4" w:space="0"/>
            </w:tcBorders>
            <w:vAlign w:val="center"/>
          </w:tcPr>
          <w:p w14:paraId="115BBBF6">
            <w:pPr>
              <w:jc w:val="center"/>
              <w:rPr>
                <w:rFonts w:hint="eastAsia" w:ascii="宋体" w:hAnsi="宋体" w:eastAsia="宋体" w:cs="宋体"/>
                <w:sz w:val="18"/>
                <w:szCs w:val="18"/>
              </w:rPr>
            </w:pPr>
            <w:r>
              <w:rPr>
                <w:rFonts w:hint="eastAsia" w:ascii="宋体" w:hAnsi="宋体" w:eastAsia="宋体" w:cs="宋体"/>
                <w:sz w:val="18"/>
                <w:szCs w:val="18"/>
              </w:rPr>
              <w:t>854.34</w:t>
            </w:r>
          </w:p>
        </w:tc>
        <w:tc>
          <w:tcPr>
            <w:tcW w:w="993" w:type="dxa"/>
            <w:tcBorders>
              <w:top w:val="nil"/>
              <w:left w:val="nil"/>
              <w:bottom w:val="single" w:color="auto" w:sz="4" w:space="0"/>
              <w:right w:val="single" w:color="auto" w:sz="4" w:space="0"/>
            </w:tcBorders>
            <w:vAlign w:val="center"/>
          </w:tcPr>
          <w:p w14:paraId="07468996">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8190254">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27B2B41">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A37352E">
            <w:pPr>
              <w:jc w:val="center"/>
              <w:rPr>
                <w:rFonts w:hint="eastAsia" w:ascii="宋体" w:hAnsi="宋体" w:eastAsia="宋体" w:cs="宋体"/>
                <w:sz w:val="18"/>
                <w:szCs w:val="18"/>
              </w:rPr>
            </w:pPr>
          </w:p>
        </w:tc>
      </w:tr>
      <w:tr w14:paraId="559A1B60">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040E9C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556986B">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5622222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76841CF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4558D6F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7C3AF53A">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CDEA0D0">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3CC3763">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C759320">
            <w:pPr>
              <w:jc w:val="center"/>
              <w:rPr>
                <w:rFonts w:hint="eastAsia" w:ascii="宋体" w:hAnsi="宋体" w:eastAsia="宋体" w:cs="宋体"/>
                <w:sz w:val="18"/>
                <w:szCs w:val="18"/>
              </w:rPr>
            </w:pPr>
          </w:p>
        </w:tc>
      </w:tr>
      <w:tr w14:paraId="23398CF2">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419092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F81818D">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4653CA46">
            <w:pPr>
              <w:jc w:val="center"/>
              <w:rPr>
                <w:rFonts w:hint="eastAsia" w:ascii="宋体" w:hAnsi="宋体" w:eastAsia="宋体" w:cs="宋体"/>
                <w:sz w:val="18"/>
                <w:szCs w:val="18"/>
              </w:rPr>
            </w:pPr>
            <w:r>
              <w:rPr>
                <w:rFonts w:hint="eastAsia" w:ascii="宋体" w:hAnsi="宋体" w:eastAsia="宋体" w:cs="宋体"/>
                <w:sz w:val="18"/>
                <w:szCs w:val="18"/>
              </w:rPr>
              <w:t>810.82</w:t>
            </w:r>
          </w:p>
        </w:tc>
        <w:tc>
          <w:tcPr>
            <w:tcW w:w="1276" w:type="dxa"/>
            <w:tcBorders>
              <w:top w:val="nil"/>
              <w:left w:val="nil"/>
              <w:bottom w:val="single" w:color="auto" w:sz="4" w:space="0"/>
              <w:right w:val="single" w:color="auto" w:sz="4" w:space="0"/>
            </w:tcBorders>
            <w:vAlign w:val="center"/>
          </w:tcPr>
          <w:p w14:paraId="1783C748">
            <w:pPr>
              <w:jc w:val="center"/>
              <w:rPr>
                <w:rFonts w:hint="eastAsia" w:ascii="宋体" w:hAnsi="宋体" w:eastAsia="宋体" w:cs="宋体"/>
                <w:sz w:val="18"/>
                <w:szCs w:val="18"/>
              </w:rPr>
            </w:pPr>
            <w:r>
              <w:rPr>
                <w:rFonts w:hint="eastAsia" w:ascii="宋体" w:hAnsi="宋体" w:eastAsia="宋体" w:cs="宋体"/>
                <w:sz w:val="18"/>
                <w:szCs w:val="18"/>
              </w:rPr>
              <w:t>933.77</w:t>
            </w:r>
          </w:p>
        </w:tc>
        <w:tc>
          <w:tcPr>
            <w:tcW w:w="1842" w:type="dxa"/>
            <w:tcBorders>
              <w:top w:val="nil"/>
              <w:left w:val="nil"/>
              <w:bottom w:val="single" w:color="auto" w:sz="4" w:space="0"/>
              <w:right w:val="single" w:color="auto" w:sz="4" w:space="0"/>
            </w:tcBorders>
            <w:vAlign w:val="center"/>
          </w:tcPr>
          <w:p w14:paraId="3580E58E">
            <w:pPr>
              <w:jc w:val="center"/>
              <w:rPr>
                <w:rFonts w:hint="eastAsia" w:ascii="宋体" w:hAnsi="宋体" w:eastAsia="宋体" w:cs="宋体"/>
                <w:sz w:val="18"/>
                <w:szCs w:val="18"/>
              </w:rPr>
            </w:pPr>
            <w:r>
              <w:rPr>
                <w:rFonts w:hint="eastAsia" w:ascii="宋体" w:hAnsi="宋体" w:eastAsia="宋体" w:cs="宋体"/>
                <w:sz w:val="18"/>
                <w:szCs w:val="18"/>
              </w:rPr>
              <w:t>925.24</w:t>
            </w:r>
          </w:p>
        </w:tc>
        <w:tc>
          <w:tcPr>
            <w:tcW w:w="993" w:type="dxa"/>
            <w:tcBorders>
              <w:top w:val="nil"/>
              <w:left w:val="nil"/>
              <w:bottom w:val="single" w:color="auto" w:sz="4" w:space="0"/>
              <w:right w:val="single" w:color="auto" w:sz="4" w:space="0"/>
            </w:tcBorders>
            <w:vAlign w:val="center"/>
          </w:tcPr>
          <w:p w14:paraId="2CF34E9B">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0D1B57DE">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6D06A508">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32F60564">
            <w:pPr>
              <w:jc w:val="center"/>
              <w:rPr>
                <w:rFonts w:hint="eastAsia" w:ascii="宋体" w:hAnsi="宋体" w:eastAsia="宋体" w:cs="宋体"/>
                <w:sz w:val="18"/>
                <w:szCs w:val="18"/>
              </w:rPr>
            </w:pPr>
          </w:p>
        </w:tc>
      </w:tr>
      <w:tr w14:paraId="4D303C73">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1E0DB8E">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5A53C6E7">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5B02708C">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07A48287">
            <w:pPr>
              <w:rPr>
                <w:rFonts w:hint="eastAsia" w:ascii="宋体" w:hAnsi="宋体" w:eastAsia="宋体" w:cs="宋体"/>
                <w:b/>
                <w:bCs/>
                <w:sz w:val="18"/>
                <w:szCs w:val="18"/>
              </w:rPr>
            </w:pPr>
          </w:p>
        </w:tc>
      </w:tr>
      <w:tr w14:paraId="3A5AA93F">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E8BE596">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67F39537">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昌吉市大西渠镇中心学校保障教职工人数43人，学生人数417人，预计本年度保障适龄残疾儿童义务教育入学率达到98%，义务教育毛入学率98%，义务教有巩固率达98%，青年教师培养考核覆盖率达到95%，教师培训合格率达到95%及以上，办学条件达标率达到100%，家长满意度达到95%及以上。进一步优化结构、深化改革、强化监管，花好每一份钱，把教育经费用到最关键处，切实提高教育经费使用效益，以确保全年目标的顺利完成。</w:t>
            </w:r>
          </w:p>
        </w:tc>
        <w:tc>
          <w:tcPr>
            <w:tcW w:w="4547" w:type="dxa"/>
            <w:gridSpan w:val="4"/>
            <w:tcBorders>
              <w:top w:val="single" w:color="auto" w:sz="4" w:space="0"/>
              <w:left w:val="nil"/>
              <w:bottom w:val="single" w:color="auto" w:sz="4" w:space="0"/>
              <w:right w:val="single" w:color="auto" w:sz="4" w:space="0"/>
            </w:tcBorders>
          </w:tcPr>
          <w:p w14:paraId="06B04423">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昌吉市大西渠镇中小学校保障教职工人数43人，学生人数417人，本年度保障适龄残疾儿童义务教育入学率达98%，义务教育毛入学率98%，义务教育功固率达98%，青年教师培养考核覆养率达到98%、教师培训合格率达到95%及以上，办学条件达标率达到10%，家长满意度达到95%及以上。进一步优化了结构、深化改革、强化监营，合理分配资金，把教育经费用到了最关键处，切实提高了教育经费使用效益，从而确保了全年目标的顺利完成。</w:t>
            </w:r>
          </w:p>
        </w:tc>
        <w:tc>
          <w:tcPr>
            <w:tcW w:w="284" w:type="dxa"/>
            <w:tcBorders>
              <w:top w:val="nil"/>
              <w:left w:val="nil"/>
              <w:bottom w:val="nil"/>
              <w:right w:val="nil"/>
            </w:tcBorders>
            <w:noWrap/>
            <w:vAlign w:val="center"/>
          </w:tcPr>
          <w:p w14:paraId="3332AE6F">
            <w:pPr>
              <w:rPr>
                <w:rFonts w:hint="eastAsia" w:ascii="宋体" w:hAnsi="宋体" w:eastAsia="宋体" w:cs="宋体"/>
                <w:sz w:val="18"/>
                <w:szCs w:val="18"/>
                <w:lang w:eastAsia="zh-CN"/>
              </w:rPr>
            </w:pPr>
          </w:p>
        </w:tc>
      </w:tr>
      <w:tr w14:paraId="7FA6B3B3">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31BB652">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192E38DD">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D483E4B">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778A8C1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192CA406">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609D3C0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B153EE0">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4919D8CA">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F9E86CF">
            <w:pPr>
              <w:rPr>
                <w:rFonts w:hint="eastAsia" w:ascii="宋体" w:hAnsi="宋体" w:eastAsia="宋体" w:cs="宋体"/>
                <w:b/>
                <w:bCs/>
                <w:sz w:val="18"/>
                <w:szCs w:val="18"/>
              </w:rPr>
            </w:pPr>
          </w:p>
        </w:tc>
      </w:tr>
      <w:tr w14:paraId="737BBB61">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948C7A6">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81FFB41">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3DF6BF2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适龄残疾儿童义务教育入学率</w:t>
            </w:r>
          </w:p>
        </w:tc>
        <w:tc>
          <w:tcPr>
            <w:tcW w:w="1276" w:type="dxa"/>
            <w:tcBorders>
              <w:top w:val="nil"/>
              <w:left w:val="nil"/>
              <w:bottom w:val="single" w:color="auto" w:sz="4" w:space="0"/>
              <w:right w:val="single" w:color="auto" w:sz="4" w:space="0"/>
            </w:tcBorders>
            <w:noWrap/>
            <w:vAlign w:val="center"/>
          </w:tcPr>
          <w:p w14:paraId="3E114E5C">
            <w:pPr>
              <w:jc w:val="center"/>
              <w:rPr>
                <w:rFonts w:hint="eastAsia" w:ascii="宋体" w:hAnsi="宋体" w:eastAsia="宋体" w:cs="宋体"/>
                <w:sz w:val="18"/>
                <w:szCs w:val="18"/>
              </w:rPr>
            </w:pPr>
            <w:r>
              <w:rPr>
                <w:rFonts w:hint="eastAsia" w:ascii="宋体" w:hAnsi="宋体" w:eastAsia="宋体" w:cs="宋体"/>
                <w:sz w:val="18"/>
                <w:szCs w:val="18"/>
              </w:rPr>
              <w:t>&gt;=98%</w:t>
            </w:r>
          </w:p>
        </w:tc>
        <w:tc>
          <w:tcPr>
            <w:tcW w:w="1842" w:type="dxa"/>
            <w:tcBorders>
              <w:top w:val="nil"/>
              <w:left w:val="nil"/>
              <w:bottom w:val="single" w:color="auto" w:sz="4" w:space="0"/>
              <w:right w:val="single" w:color="auto" w:sz="4" w:space="0"/>
            </w:tcBorders>
            <w:noWrap/>
            <w:vAlign w:val="center"/>
          </w:tcPr>
          <w:p w14:paraId="38F7E28F">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18BB5833">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6633649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CA78478">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2191DA98">
            <w:pPr>
              <w:jc w:val="center"/>
              <w:rPr>
                <w:rFonts w:hint="eastAsia" w:ascii="宋体" w:hAnsi="宋体" w:eastAsia="宋体" w:cs="宋体"/>
                <w:sz w:val="18"/>
                <w:szCs w:val="18"/>
              </w:rPr>
            </w:pPr>
          </w:p>
        </w:tc>
      </w:tr>
      <w:tr w14:paraId="76E0397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CD060F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125A15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BABD2A2">
            <w:pPr>
              <w:jc w:val="center"/>
              <w:rPr>
                <w:rFonts w:hint="eastAsia" w:ascii="宋体" w:hAnsi="宋体" w:eastAsia="宋体" w:cs="宋体"/>
                <w:sz w:val="18"/>
                <w:szCs w:val="18"/>
              </w:rPr>
            </w:pPr>
            <w:r>
              <w:rPr>
                <w:rFonts w:hint="eastAsia" w:ascii="宋体" w:hAnsi="宋体" w:eastAsia="宋体" w:cs="宋体"/>
                <w:sz w:val="18"/>
                <w:szCs w:val="18"/>
              </w:rPr>
              <w:t>义务教育毛入学率</w:t>
            </w:r>
          </w:p>
        </w:tc>
        <w:tc>
          <w:tcPr>
            <w:tcW w:w="1276" w:type="dxa"/>
            <w:tcBorders>
              <w:top w:val="nil"/>
              <w:left w:val="nil"/>
              <w:bottom w:val="single" w:color="auto" w:sz="4" w:space="0"/>
              <w:right w:val="single" w:color="auto" w:sz="4" w:space="0"/>
            </w:tcBorders>
            <w:noWrap/>
            <w:vAlign w:val="center"/>
          </w:tcPr>
          <w:p w14:paraId="39BC81FE">
            <w:pPr>
              <w:jc w:val="center"/>
              <w:rPr>
                <w:rFonts w:hint="eastAsia" w:ascii="宋体" w:hAnsi="宋体" w:eastAsia="宋体" w:cs="宋体"/>
                <w:sz w:val="18"/>
                <w:szCs w:val="18"/>
              </w:rPr>
            </w:pPr>
            <w:r>
              <w:rPr>
                <w:rFonts w:hint="eastAsia" w:ascii="宋体" w:hAnsi="宋体" w:eastAsia="宋体" w:cs="宋体"/>
                <w:sz w:val="18"/>
                <w:szCs w:val="18"/>
              </w:rPr>
              <w:t>&gt;=98%</w:t>
            </w:r>
          </w:p>
        </w:tc>
        <w:tc>
          <w:tcPr>
            <w:tcW w:w="1842" w:type="dxa"/>
            <w:tcBorders>
              <w:top w:val="nil"/>
              <w:left w:val="nil"/>
              <w:bottom w:val="single" w:color="auto" w:sz="4" w:space="0"/>
              <w:right w:val="single" w:color="auto" w:sz="4" w:space="0"/>
            </w:tcBorders>
            <w:noWrap/>
            <w:vAlign w:val="center"/>
          </w:tcPr>
          <w:p w14:paraId="0FD3D1E8">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4C286295">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445ADBE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6CB2E45D">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25EFAD83">
            <w:pPr>
              <w:jc w:val="center"/>
              <w:rPr>
                <w:rFonts w:hint="eastAsia" w:ascii="宋体" w:hAnsi="宋体" w:eastAsia="宋体" w:cs="宋体"/>
                <w:sz w:val="18"/>
                <w:szCs w:val="18"/>
              </w:rPr>
            </w:pPr>
          </w:p>
        </w:tc>
      </w:tr>
      <w:tr w14:paraId="629EF75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3090031">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B5924C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5E3C87F">
            <w:pPr>
              <w:jc w:val="center"/>
              <w:rPr>
                <w:rFonts w:hint="eastAsia" w:ascii="宋体" w:hAnsi="宋体" w:eastAsia="宋体" w:cs="宋体"/>
                <w:sz w:val="18"/>
                <w:szCs w:val="18"/>
              </w:rPr>
            </w:pPr>
            <w:r>
              <w:rPr>
                <w:rFonts w:hint="eastAsia" w:ascii="宋体" w:hAnsi="宋体" w:eastAsia="宋体" w:cs="宋体"/>
                <w:sz w:val="18"/>
                <w:szCs w:val="18"/>
              </w:rPr>
              <w:t>义务教育巩固率</w:t>
            </w:r>
          </w:p>
        </w:tc>
        <w:tc>
          <w:tcPr>
            <w:tcW w:w="1276" w:type="dxa"/>
            <w:tcBorders>
              <w:top w:val="nil"/>
              <w:left w:val="nil"/>
              <w:bottom w:val="single" w:color="auto" w:sz="4" w:space="0"/>
              <w:right w:val="single" w:color="auto" w:sz="4" w:space="0"/>
            </w:tcBorders>
            <w:noWrap/>
            <w:vAlign w:val="center"/>
          </w:tcPr>
          <w:p w14:paraId="0E8F7573">
            <w:pPr>
              <w:jc w:val="center"/>
              <w:rPr>
                <w:rFonts w:hint="eastAsia" w:ascii="宋体" w:hAnsi="宋体" w:eastAsia="宋体" w:cs="宋体"/>
                <w:sz w:val="18"/>
                <w:szCs w:val="18"/>
              </w:rPr>
            </w:pPr>
            <w:r>
              <w:rPr>
                <w:rFonts w:hint="eastAsia" w:ascii="宋体" w:hAnsi="宋体" w:eastAsia="宋体" w:cs="宋体"/>
                <w:sz w:val="18"/>
                <w:szCs w:val="18"/>
              </w:rPr>
              <w:t>&gt;=98%</w:t>
            </w:r>
          </w:p>
        </w:tc>
        <w:tc>
          <w:tcPr>
            <w:tcW w:w="1842" w:type="dxa"/>
            <w:tcBorders>
              <w:top w:val="nil"/>
              <w:left w:val="nil"/>
              <w:bottom w:val="single" w:color="auto" w:sz="4" w:space="0"/>
              <w:right w:val="single" w:color="auto" w:sz="4" w:space="0"/>
            </w:tcBorders>
            <w:noWrap/>
            <w:vAlign w:val="center"/>
          </w:tcPr>
          <w:p w14:paraId="309970EE">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098E1E20">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2C2665E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82106B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060AAD17">
            <w:pPr>
              <w:jc w:val="center"/>
              <w:rPr>
                <w:rFonts w:hint="eastAsia" w:ascii="宋体" w:hAnsi="宋体" w:eastAsia="宋体" w:cs="宋体"/>
                <w:sz w:val="18"/>
                <w:szCs w:val="18"/>
              </w:rPr>
            </w:pPr>
          </w:p>
        </w:tc>
      </w:tr>
      <w:tr w14:paraId="00738AD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7838FFD">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D37860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61E497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青年教师培养考核覆盖率</w:t>
            </w:r>
          </w:p>
        </w:tc>
        <w:tc>
          <w:tcPr>
            <w:tcW w:w="1276" w:type="dxa"/>
            <w:tcBorders>
              <w:top w:val="nil"/>
              <w:left w:val="nil"/>
              <w:bottom w:val="single" w:color="auto" w:sz="4" w:space="0"/>
              <w:right w:val="single" w:color="auto" w:sz="4" w:space="0"/>
            </w:tcBorders>
            <w:noWrap/>
            <w:vAlign w:val="center"/>
          </w:tcPr>
          <w:p w14:paraId="42F5ECB1">
            <w:pPr>
              <w:jc w:val="center"/>
              <w:rPr>
                <w:rFonts w:hint="eastAsia" w:ascii="宋体" w:hAnsi="宋体" w:eastAsia="宋体" w:cs="宋体"/>
                <w:sz w:val="18"/>
                <w:szCs w:val="18"/>
              </w:rPr>
            </w:pPr>
            <w:r>
              <w:rPr>
                <w:rFonts w:hint="eastAsia" w:ascii="宋体" w:hAnsi="宋体" w:eastAsia="宋体" w:cs="宋体"/>
                <w:sz w:val="18"/>
                <w:szCs w:val="18"/>
              </w:rPr>
              <w:t>=95%</w:t>
            </w:r>
          </w:p>
        </w:tc>
        <w:tc>
          <w:tcPr>
            <w:tcW w:w="1842" w:type="dxa"/>
            <w:tcBorders>
              <w:top w:val="nil"/>
              <w:left w:val="nil"/>
              <w:bottom w:val="single" w:color="auto" w:sz="4" w:space="0"/>
              <w:right w:val="single" w:color="auto" w:sz="4" w:space="0"/>
            </w:tcBorders>
            <w:noWrap/>
            <w:vAlign w:val="center"/>
          </w:tcPr>
          <w:p w14:paraId="6F86298D">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08F4EB9B">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36FF43A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9D2DC77">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2960C508">
            <w:pPr>
              <w:jc w:val="center"/>
              <w:rPr>
                <w:rFonts w:hint="eastAsia" w:ascii="宋体" w:hAnsi="宋体" w:eastAsia="宋体" w:cs="宋体"/>
                <w:sz w:val="18"/>
                <w:szCs w:val="18"/>
              </w:rPr>
            </w:pPr>
          </w:p>
        </w:tc>
      </w:tr>
      <w:tr w14:paraId="617BCF9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BA31AA5">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B422E6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4FAA0D8">
            <w:pPr>
              <w:jc w:val="center"/>
              <w:rPr>
                <w:rFonts w:hint="eastAsia" w:ascii="宋体" w:hAnsi="宋体" w:eastAsia="宋体" w:cs="宋体"/>
                <w:sz w:val="18"/>
                <w:szCs w:val="18"/>
              </w:rPr>
            </w:pPr>
            <w:r>
              <w:rPr>
                <w:rFonts w:hint="eastAsia" w:ascii="宋体" w:hAnsi="宋体" w:eastAsia="宋体" w:cs="宋体"/>
                <w:sz w:val="18"/>
                <w:szCs w:val="18"/>
              </w:rPr>
              <w:t>数师培训合格率</w:t>
            </w:r>
          </w:p>
        </w:tc>
        <w:tc>
          <w:tcPr>
            <w:tcW w:w="1276" w:type="dxa"/>
            <w:tcBorders>
              <w:top w:val="nil"/>
              <w:left w:val="nil"/>
              <w:bottom w:val="single" w:color="auto" w:sz="4" w:space="0"/>
              <w:right w:val="single" w:color="auto" w:sz="4" w:space="0"/>
            </w:tcBorders>
            <w:noWrap/>
            <w:vAlign w:val="center"/>
          </w:tcPr>
          <w:p w14:paraId="7DF97BAC">
            <w:pPr>
              <w:jc w:val="center"/>
              <w:rPr>
                <w:rFonts w:hint="eastAsia" w:ascii="宋体" w:hAnsi="宋体" w:eastAsia="宋体" w:cs="宋体"/>
                <w:sz w:val="18"/>
                <w:szCs w:val="18"/>
              </w:rPr>
            </w:pPr>
            <w:r>
              <w:rPr>
                <w:rFonts w:hint="eastAsia" w:ascii="宋体" w:hAnsi="宋体" w:eastAsia="宋体" w:cs="宋体"/>
                <w:sz w:val="18"/>
                <w:szCs w:val="18"/>
              </w:rPr>
              <w:t>=95%</w:t>
            </w:r>
          </w:p>
        </w:tc>
        <w:tc>
          <w:tcPr>
            <w:tcW w:w="1842" w:type="dxa"/>
            <w:tcBorders>
              <w:top w:val="nil"/>
              <w:left w:val="nil"/>
              <w:bottom w:val="single" w:color="auto" w:sz="4" w:space="0"/>
              <w:right w:val="single" w:color="auto" w:sz="4" w:space="0"/>
            </w:tcBorders>
            <w:noWrap/>
            <w:vAlign w:val="center"/>
          </w:tcPr>
          <w:p w14:paraId="670A6354">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14917272">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2AE04C9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9E71A23">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31E2B663">
            <w:pPr>
              <w:jc w:val="center"/>
              <w:rPr>
                <w:rFonts w:hint="eastAsia" w:ascii="宋体" w:hAnsi="宋体" w:eastAsia="宋体" w:cs="宋体"/>
                <w:sz w:val="18"/>
                <w:szCs w:val="18"/>
              </w:rPr>
            </w:pPr>
          </w:p>
        </w:tc>
      </w:tr>
      <w:tr w14:paraId="3C5C52B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65D82667">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04626FE">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E52B57E">
            <w:pPr>
              <w:jc w:val="center"/>
              <w:rPr>
                <w:rFonts w:hint="eastAsia" w:ascii="宋体" w:hAnsi="宋体" w:eastAsia="宋体" w:cs="宋体"/>
                <w:sz w:val="18"/>
                <w:szCs w:val="18"/>
              </w:rPr>
            </w:pPr>
            <w:r>
              <w:rPr>
                <w:rFonts w:hint="eastAsia" w:ascii="宋体" w:hAnsi="宋体" w:eastAsia="宋体" w:cs="宋体"/>
                <w:sz w:val="18"/>
                <w:szCs w:val="18"/>
              </w:rPr>
              <w:t>办学条件达标率</w:t>
            </w:r>
          </w:p>
        </w:tc>
        <w:tc>
          <w:tcPr>
            <w:tcW w:w="1276" w:type="dxa"/>
            <w:tcBorders>
              <w:top w:val="nil"/>
              <w:left w:val="nil"/>
              <w:bottom w:val="single" w:color="auto" w:sz="4" w:space="0"/>
              <w:right w:val="single" w:color="auto" w:sz="4" w:space="0"/>
            </w:tcBorders>
            <w:noWrap/>
            <w:vAlign w:val="center"/>
          </w:tcPr>
          <w:p w14:paraId="160966B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01B70A79">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6619851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7C12D775">
            <w:pPr>
              <w:jc w:val="center"/>
              <w:rPr>
                <w:rFonts w:hint="eastAsia" w:ascii="宋体" w:hAnsi="宋体" w:eastAsia="宋体" w:cs="宋体"/>
                <w:sz w:val="18"/>
                <w:szCs w:val="18"/>
              </w:rPr>
            </w:pPr>
            <w:r>
              <w:rPr>
                <w:rFonts w:hint="eastAsia" w:ascii="宋体" w:hAnsi="宋体" w:eastAsia="宋体" w:cs="宋体"/>
                <w:sz w:val="18"/>
                <w:szCs w:val="18"/>
              </w:rPr>
              <w:tab/>
            </w: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9E0A520">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3A2BC61E">
            <w:pPr>
              <w:jc w:val="center"/>
              <w:rPr>
                <w:rFonts w:hint="eastAsia" w:ascii="宋体" w:hAnsi="宋体" w:eastAsia="宋体" w:cs="宋体"/>
                <w:sz w:val="18"/>
                <w:szCs w:val="18"/>
              </w:rPr>
            </w:pPr>
          </w:p>
        </w:tc>
      </w:tr>
      <w:tr w14:paraId="50F1567D">
        <w:tblPrEx>
          <w:tblCellMar>
            <w:top w:w="0" w:type="dxa"/>
            <w:left w:w="108" w:type="dxa"/>
            <w:bottom w:w="0" w:type="dxa"/>
            <w:right w:w="108" w:type="dxa"/>
          </w:tblCellMar>
        </w:tblPrEx>
        <w:trPr>
          <w:cantSplit/>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CDE7DA4">
            <w:pPr>
              <w:jc w:val="center"/>
              <w:rPr>
                <w:rFonts w:hint="eastAsia" w:ascii="宋体" w:hAnsi="宋体" w:eastAsia="宋体" w:cs="宋体"/>
                <w:sz w:val="18"/>
                <w:szCs w:val="18"/>
              </w:rPr>
            </w:pPr>
            <w:r>
              <w:rPr>
                <w:rFonts w:hint="eastAsia" w:ascii="宋体" w:hAnsi="宋体" w:eastAsia="宋体" w:cs="宋体"/>
                <w:sz w:val="18"/>
                <w:szCs w:val="18"/>
              </w:rPr>
              <w:t>服务对象满意度</w:t>
            </w:r>
          </w:p>
        </w:tc>
        <w:tc>
          <w:tcPr>
            <w:tcW w:w="1417" w:type="dxa"/>
            <w:tcBorders>
              <w:top w:val="nil"/>
              <w:left w:val="nil"/>
              <w:bottom w:val="single" w:color="auto" w:sz="4" w:space="0"/>
              <w:right w:val="single" w:color="auto" w:sz="4" w:space="0"/>
            </w:tcBorders>
            <w:noWrap/>
            <w:vAlign w:val="center"/>
          </w:tcPr>
          <w:p w14:paraId="3E86CEC6">
            <w:pPr>
              <w:jc w:val="center"/>
              <w:rPr>
                <w:rFonts w:hint="eastAsia" w:ascii="宋体" w:hAnsi="宋体" w:eastAsia="宋体" w:cs="宋体"/>
                <w:sz w:val="18"/>
                <w:szCs w:val="18"/>
              </w:rPr>
            </w:pPr>
            <w:r>
              <w:rPr>
                <w:rFonts w:hint="eastAsia" w:ascii="宋体" w:hAnsi="宋体" w:eastAsia="宋体" w:cs="宋体"/>
                <w:sz w:val="18"/>
                <w:szCs w:val="18"/>
              </w:rPr>
              <w:t>满意度指标</w:t>
            </w:r>
          </w:p>
        </w:tc>
        <w:tc>
          <w:tcPr>
            <w:tcW w:w="1418" w:type="dxa"/>
            <w:tcBorders>
              <w:top w:val="nil"/>
              <w:left w:val="nil"/>
              <w:bottom w:val="single" w:color="auto" w:sz="4" w:space="0"/>
              <w:right w:val="single" w:color="auto" w:sz="4" w:space="0"/>
            </w:tcBorders>
            <w:noWrap/>
            <w:vAlign w:val="center"/>
          </w:tcPr>
          <w:p w14:paraId="54B765BC">
            <w:pPr>
              <w:jc w:val="center"/>
              <w:rPr>
                <w:rFonts w:hint="eastAsia" w:ascii="宋体" w:hAnsi="宋体" w:eastAsia="宋体" w:cs="宋体"/>
                <w:sz w:val="18"/>
                <w:szCs w:val="18"/>
              </w:rPr>
            </w:pPr>
            <w:r>
              <w:rPr>
                <w:rFonts w:hint="eastAsia" w:ascii="宋体" w:hAnsi="宋体" w:eastAsia="宋体" w:cs="宋体"/>
                <w:sz w:val="18"/>
                <w:szCs w:val="18"/>
              </w:rPr>
              <w:t>家长满意度</w:t>
            </w:r>
          </w:p>
        </w:tc>
        <w:tc>
          <w:tcPr>
            <w:tcW w:w="1276" w:type="dxa"/>
            <w:tcBorders>
              <w:top w:val="nil"/>
              <w:left w:val="nil"/>
              <w:bottom w:val="single" w:color="auto" w:sz="4" w:space="0"/>
              <w:right w:val="single" w:color="auto" w:sz="4" w:space="0"/>
            </w:tcBorders>
            <w:noWrap/>
            <w:vAlign w:val="center"/>
          </w:tcPr>
          <w:p w14:paraId="1AC6B50A">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842" w:type="dxa"/>
            <w:tcBorders>
              <w:top w:val="nil"/>
              <w:left w:val="nil"/>
              <w:bottom w:val="single" w:color="auto" w:sz="4" w:space="0"/>
              <w:right w:val="single" w:color="auto" w:sz="4" w:space="0"/>
            </w:tcBorders>
            <w:noWrap/>
            <w:vAlign w:val="center"/>
          </w:tcPr>
          <w:p w14:paraId="541C0F02">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5378996A">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54A2619B">
            <w:pPr>
              <w:jc w:val="center"/>
              <w:rPr>
                <w:rFonts w:hint="eastAsia" w:ascii="宋体" w:hAnsi="宋体" w:eastAsia="宋体" w:cs="宋体"/>
                <w:sz w:val="18"/>
                <w:szCs w:val="18"/>
              </w:rPr>
            </w:pPr>
            <w:r>
              <w:rPr>
                <w:rFonts w:hint="eastAsia" w:ascii="宋体" w:hAnsi="宋体" w:eastAsia="宋体" w:cs="宋体"/>
                <w:sz w:val="18"/>
                <w:szCs w:val="18"/>
              </w:rPr>
              <w:tab/>
            </w:r>
            <w:r>
              <w:rPr>
                <w:rFonts w:hint="eastAsia" w:ascii="宋体" w:hAnsi="宋体" w:eastAsia="宋体" w:cs="宋体"/>
                <w:sz w:val="18"/>
                <w:szCs w:val="18"/>
              </w:rPr>
              <w:t>=95%</w:t>
            </w:r>
          </w:p>
        </w:tc>
        <w:tc>
          <w:tcPr>
            <w:tcW w:w="720" w:type="dxa"/>
            <w:tcBorders>
              <w:top w:val="nil"/>
              <w:left w:val="nil"/>
              <w:bottom w:val="single" w:color="auto" w:sz="4" w:space="0"/>
              <w:right w:val="single" w:color="auto" w:sz="4" w:space="0"/>
            </w:tcBorders>
            <w:noWrap/>
            <w:vAlign w:val="center"/>
          </w:tcPr>
          <w:p w14:paraId="748758F0">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076BE308">
            <w:pPr>
              <w:jc w:val="center"/>
              <w:rPr>
                <w:rFonts w:hint="eastAsia" w:ascii="宋体" w:hAnsi="宋体" w:eastAsia="宋体" w:cs="宋体"/>
                <w:sz w:val="18"/>
                <w:szCs w:val="18"/>
              </w:rPr>
            </w:pPr>
          </w:p>
        </w:tc>
      </w:tr>
      <w:bookmarkEnd w:id="0"/>
    </w:tbl>
    <w:p w14:paraId="40D57B94">
      <w:pPr>
        <w:spacing w:after="0" w:line="240" w:lineRule="auto"/>
        <w:ind w:firstLine="640" w:firstLineChars="200"/>
        <w:jc w:val="both"/>
        <w:rPr>
          <w:rFonts w:hint="eastAsia" w:ascii="仿宋_GB2312" w:eastAsia="仿宋_GB2312"/>
          <w:sz w:val="32"/>
          <w:szCs w:val="32"/>
          <w:lang w:eastAsia="zh-CN"/>
        </w:rPr>
      </w:pPr>
    </w:p>
    <w:p w14:paraId="58F2C51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47EF1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44F13079">
      <w:pPr>
        <w:spacing w:after="0" w:line="240" w:lineRule="auto"/>
        <w:ind w:firstLine="640" w:firstLineChars="200"/>
        <w:rPr>
          <w:rFonts w:hint="eastAsia" w:ascii="仿宋_GB2312" w:eastAsia="仿宋_GB2312"/>
          <w:sz w:val="32"/>
          <w:szCs w:val="32"/>
          <w:lang w:eastAsia="zh-CN"/>
        </w:rPr>
      </w:pPr>
    </w:p>
    <w:p w14:paraId="73DD5BE9">
      <w:pPr>
        <w:rPr>
          <w:rFonts w:hint="eastAsia"/>
          <w:lang w:eastAsia="zh-CN"/>
        </w:rPr>
      </w:pPr>
      <w:r>
        <w:rPr>
          <w:sz w:val="0"/>
          <w:szCs w:val="0"/>
          <w:lang w:eastAsia="zh-CN"/>
        </w:rPr>
        <w:br w:type="page"/>
      </w:r>
    </w:p>
    <w:p w14:paraId="0E1BDE3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5E281B6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AF0B5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D52DDC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F13C91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516DD2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92F4B4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666E2E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41B1C5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1B3BC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2D20D8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F5DB6A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93510F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3D7B32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500FBE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1CD3FEA">
      <w:pPr>
        <w:rPr>
          <w:rFonts w:hint="eastAsia"/>
          <w:lang w:eastAsia="zh-CN"/>
        </w:rPr>
      </w:pPr>
      <w:r>
        <w:rPr>
          <w:sz w:val="0"/>
          <w:szCs w:val="0"/>
          <w:lang w:eastAsia="zh-CN"/>
        </w:rPr>
        <w:br w:type="page"/>
      </w:r>
    </w:p>
    <w:p w14:paraId="5A19A9C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5942DB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0AA6BD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4F8174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1CA3036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4C52CE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B58682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9A01F3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ED98D2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B087EF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896925"/>
    <w:rsid w:val="000F18B2"/>
    <w:rsid w:val="003D200E"/>
    <w:rsid w:val="00652EE6"/>
    <w:rsid w:val="00896925"/>
    <w:rsid w:val="00C201E8"/>
    <w:rsid w:val="00CD5B92"/>
    <w:rsid w:val="00E53792"/>
    <w:rsid w:val="00FB2700"/>
    <w:rsid w:val="2A6C6E4F"/>
    <w:rsid w:val="4C6D4268"/>
    <w:rsid w:val="6F5F3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4432</Words>
  <Characters>5038</Characters>
  <Lines>231</Lines>
  <Paragraphs>219</Paragraphs>
  <TotalTime>4</TotalTime>
  <ScaleCrop>false</ScaleCrop>
  <LinksUpToDate>false</LinksUpToDate>
  <CharactersWithSpaces>5045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2025-09-02T02:59:00Z</dcterms:created>
  <dc:creator>ldan</dc:creator>
  <cp:lastModifiedBy>11点28分不打烊</cp:lastModifiedBy>
  <dcterms:modified xsi:type="dcterms:W3CDTF">2025-11-20T04:28:26Z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877889FCFC534E919D991FFF2B44EC31_12</vt:lpwstr>
  </property>
  <property fmtid="{D5CDD505-2E9C-101B-9397-08002B2CF9AE}" pid="4" name="KSOTemplateDocerSaveRecord">
    <vt:lpwstr>eyJoZGlkIjoiNTlkZWQ3ZWZiOGVhYTk1OTExMjBmYWQ4ZjAxNTk5MTciLCJ1c2VySWQiOiI5MTU3NDI2MDkifQ==</vt:lpwstr>
  </property>
</Properties>
</file>