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5A4E3">
      <w:pPr>
        <w:spacing w:after="0" w:line="240" w:lineRule="auto"/>
        <w:rPr>
          <w:rFonts w:hint="eastAsia" w:ascii="宋体" w:eastAsia="宋体"/>
          <w:sz w:val="32"/>
          <w:szCs w:val="32"/>
        </w:rPr>
      </w:pPr>
    </w:p>
    <w:p w14:paraId="34A36711">
      <w:pPr>
        <w:spacing w:after="0" w:line="240" w:lineRule="auto"/>
        <w:rPr>
          <w:rFonts w:hint="eastAsia" w:ascii="宋体" w:eastAsia="宋体"/>
          <w:sz w:val="44"/>
          <w:szCs w:val="44"/>
        </w:rPr>
      </w:pPr>
    </w:p>
    <w:p w14:paraId="7BB5BF67">
      <w:pPr>
        <w:spacing w:after="0" w:line="240" w:lineRule="auto"/>
        <w:rPr>
          <w:rFonts w:hint="eastAsia" w:ascii="宋体" w:eastAsia="宋体"/>
          <w:sz w:val="44"/>
          <w:szCs w:val="44"/>
        </w:rPr>
      </w:pPr>
    </w:p>
    <w:p w14:paraId="067CD685">
      <w:pPr>
        <w:spacing w:after="0" w:line="240" w:lineRule="auto"/>
        <w:rPr>
          <w:rFonts w:hint="eastAsia" w:ascii="宋体" w:eastAsia="宋体"/>
          <w:sz w:val="44"/>
          <w:szCs w:val="44"/>
        </w:rPr>
      </w:pPr>
    </w:p>
    <w:p w14:paraId="7E3E68C8">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昌吉市大西渠镇中心幼儿园</w:t>
      </w:r>
    </w:p>
    <w:p w14:paraId="3B46B0E6">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21FD454B">
      <w:pPr>
        <w:rPr>
          <w:rFonts w:hint="eastAsia"/>
          <w:lang w:eastAsia="zh-CN"/>
        </w:rPr>
      </w:pPr>
      <w:r>
        <w:rPr>
          <w:sz w:val="0"/>
          <w:szCs w:val="0"/>
          <w:lang w:eastAsia="zh-CN"/>
        </w:rPr>
        <w:br w:type="page"/>
      </w:r>
    </w:p>
    <w:p w14:paraId="0C580AA4">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89CF87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8F5B5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532145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D4342A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386083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999956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44069E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CF064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D3DBF5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4E180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A024B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509F59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A1F03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2D67CC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97D9D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2FD30D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6477D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7F98FAD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2ADCC4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7279C8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50ACB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A2EA9E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B399F3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6C9D208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2F67D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53AF98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28303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725BCE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DCD2F9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3A721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DABB2D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EF9722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29DCA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A5DBDF9">
      <w:pPr>
        <w:rPr>
          <w:rFonts w:hint="eastAsia"/>
          <w:lang w:eastAsia="zh-CN"/>
        </w:rPr>
      </w:pPr>
      <w:r>
        <w:rPr>
          <w:sz w:val="0"/>
          <w:szCs w:val="0"/>
          <w:lang w:eastAsia="zh-CN"/>
        </w:rPr>
        <w:br w:type="page"/>
      </w:r>
    </w:p>
    <w:p w14:paraId="594DE47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1C421EA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F9F488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 原则,对幼儿实施德、智、体、美全面发展的教育,促进其身心和谐健康发展（相关社会服务）。</w:t>
      </w:r>
    </w:p>
    <w:p w14:paraId="0CAD7A8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76420B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昌吉市大西渠镇中心幼儿园2024年度，实有人数26人，其中：在职人员26人，较上年无变化；离休人员0人，较上年无变化；退休人员0人，较上年无变化</w:t>
      </w:r>
      <w:r>
        <w:rPr>
          <w:rFonts w:hint="eastAsia" w:ascii="仿宋_GB2312" w:eastAsia="仿宋_GB2312"/>
          <w:sz w:val="32"/>
          <w:szCs w:val="32"/>
          <w:lang w:eastAsia="zh-CN"/>
        </w:rPr>
        <w:t>。</w:t>
      </w:r>
    </w:p>
    <w:p w14:paraId="5EB63BF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昌吉市大西渠镇中心幼儿园无下属预算单位，下设3个</w:t>
      </w:r>
      <w:r>
        <w:rPr>
          <w:rFonts w:hint="eastAsia" w:ascii="仿宋_GB2312" w:eastAsia="仿宋_GB2312"/>
          <w:sz w:val="32"/>
          <w:szCs w:val="32"/>
          <w:lang w:eastAsia="zh-CN"/>
        </w:rPr>
        <w:t>科室</w:t>
      </w:r>
      <w:r>
        <w:rPr>
          <w:rFonts w:ascii="仿宋_GB2312" w:eastAsia="仿宋_GB2312"/>
          <w:sz w:val="32"/>
          <w:szCs w:val="32"/>
          <w:lang w:eastAsia="zh-CN"/>
        </w:rPr>
        <w:t>，分别是：教研室、总务处、保教处。</w:t>
      </w:r>
    </w:p>
    <w:p w14:paraId="10264E1E">
      <w:pPr>
        <w:rPr>
          <w:rFonts w:hint="eastAsia"/>
          <w:lang w:eastAsia="zh-CN"/>
        </w:rPr>
      </w:pPr>
      <w:r>
        <w:rPr>
          <w:sz w:val="0"/>
          <w:szCs w:val="0"/>
          <w:lang w:eastAsia="zh-CN"/>
        </w:rPr>
        <w:br w:type="page"/>
      </w:r>
    </w:p>
    <w:p w14:paraId="288F85E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510C0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EC1D9D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2024年度收入总计773.91万元，其中：本年收入合计773.91万元，使用非财政拨款结余（含专用结余）0.00万元，年初结转和结余0.00万元。</w:t>
      </w:r>
    </w:p>
    <w:p w14:paraId="3DCF8E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2024年度支出总计773.91万元，其中：本年支出合计773.91万元，结余分配0.00万元，年末结转和结余0.00万元。</w:t>
      </w:r>
    </w:p>
    <w:p w14:paraId="5EA581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收入支出总体与上年相比，增加30.11万元，增长4.05%，主要原因是：单位本年增加新疆西藏等地区教育特殊补助资金学前三年保障资金项目经费、中央财政支持学前教育发展资金项目经费。</w:t>
      </w:r>
    </w:p>
    <w:p w14:paraId="0E7515F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3CD894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本年收入773.91万元，其中：财政拨款收入773.91万元,占100.00%；上级补助收入0.00万元,占0.00%；事业收入0.00万元，占0.00%；经营收入0.00万元,占0.00%；附属单位上缴收入0.00万元，占0.00%；其他收入0.00万元，占0.00%。</w:t>
      </w:r>
    </w:p>
    <w:p w14:paraId="5BC6B2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70C6E9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本年支出773.91万元，其中：基本支出653.38万元，占84.43%；项目支出120.53万元，占15.57%；上缴上级支出0.00万元，占0.00%；经营支出0.00万元，占0.00%；对附属单位补助支出0.00万元，占0.00%。</w:t>
      </w:r>
    </w:p>
    <w:p w14:paraId="19F78FD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4956E1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2024年度财政拨款收入总计773.91万元，其中：年初财政拨款结转和结余0.00万元，本年财政拨款收入773.91万元。财政拨款支出总计773.91万元，其中：年末财政拨款结转和结余0.00万元，本年财政拨款支出773.91万元。</w:t>
      </w:r>
    </w:p>
    <w:p w14:paraId="2505CDA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30.11万元，增长4.05%，主要原因是：单位本年增加新疆西藏等地区教育特殊补助资金学前三年保障资金项目经费、中央财政支持学前教育发展资金项目经费。与年初预算相比，年初预算数642.82万元，决算数773.91万元，预决算差异率20.39%，主要原因是：年中追加新疆西藏等地区教育特殊补助资金学前三年保障资金项目经费、中央财政支持学前教育发展资金项目经费。</w:t>
      </w:r>
    </w:p>
    <w:p w14:paraId="6AAE5BA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DFED80E">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74B368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773.91万元，占本年支出合计的100.00%。与上年相比，增加37.77万元，增长5.13%，主要原因是：单位本年增加新疆西藏等地区教育特殊补助资金学前三年保障资金项目经费、中央财政支持学前教育发展资金项目经费。与年初预算相比，年初预算数642.82万元，决算数773.91万元，预决算差异率20.39%，主要原因是：年中追加新疆西藏等地区教育特殊补助资金学前三年保障资金项目经费、中央财政支持学前教育发展资金项目经费。</w:t>
      </w:r>
    </w:p>
    <w:p w14:paraId="21B81C2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2F1D69A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教育支出（类）773.91万元，占100.00%。</w:t>
      </w:r>
    </w:p>
    <w:p w14:paraId="166BD356">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41975AA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学前教育（项）：支出决算数为763.41万元，比上年决算增加29.91万元，增长4.08%，主要原因是：单位本年增加新疆西藏等地区教育特殊补助资金学前三年保障资金项目经费、中央财政支持学前教育发展资金项目经费。</w:t>
      </w:r>
    </w:p>
    <w:p w14:paraId="667D1B9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2、教育支出（类）教育费附加安排的支出（款）其他教育费附加安排的支出（项）：支出决算数为10.50万元，比上年决算增加10.50万元，增长100.00%，主要原因是：单位本年增加农村幼儿园项目经费。</w:t>
      </w:r>
    </w:p>
    <w:p w14:paraId="6898842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3、社会保障和就业支出（类）行政事业单位养老支出（款）机关事业单位职业年金缴费支出（项）：支出决算数为0.00万元，比上年决算减少2.64万元，下降100.00%，主要原因是：</w:t>
      </w:r>
      <w:r>
        <w:rPr>
          <w:rFonts w:hint="eastAsia" w:ascii="仿宋_GB2312" w:eastAsia="仿宋_GB2312"/>
          <w:sz w:val="32"/>
          <w:szCs w:val="32"/>
          <w:lang w:eastAsia="zh-CN"/>
        </w:rPr>
        <w:t>单位本年未发放退休人员一次性</w:t>
      </w:r>
      <w:r>
        <w:rPr>
          <w:rFonts w:ascii="仿宋_GB2312" w:eastAsia="仿宋_GB2312"/>
          <w:sz w:val="32"/>
          <w:szCs w:val="32"/>
          <w:lang w:eastAsia="zh-CN"/>
        </w:rPr>
        <w:t>职业年金</w:t>
      </w:r>
      <w:r>
        <w:rPr>
          <w:rFonts w:hint="eastAsia" w:ascii="仿宋_GB2312" w:eastAsia="仿宋_GB2312"/>
          <w:sz w:val="32"/>
          <w:szCs w:val="32"/>
          <w:lang w:eastAsia="zh-CN"/>
        </w:rPr>
        <w:t>缴费</w:t>
      </w:r>
      <w:r>
        <w:rPr>
          <w:rFonts w:ascii="仿宋_GB2312" w:eastAsia="仿宋_GB2312"/>
          <w:sz w:val="32"/>
          <w:szCs w:val="32"/>
          <w:lang w:eastAsia="zh-CN"/>
        </w:rPr>
        <w:t>。</w:t>
      </w:r>
    </w:p>
    <w:p w14:paraId="3E121E7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827765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653.38万元，其中：人员经费615.30万元，包括：基本工资、津贴补贴、奖金、绩效工资、机关事业单位基本养老保险缴费、职工基本医疗保险缴费、其他社会保障缴费、住房公积金、其他工资福利支出和生活补助。</w:t>
      </w:r>
    </w:p>
    <w:p w14:paraId="7CF41A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公用经费38.08万元，包括：办公费、水费、电费、邮电费、取暖费、维修（护）费、劳务费、其他商品和服务支出和办公设备购置。</w:t>
      </w:r>
    </w:p>
    <w:p w14:paraId="3B9F4AD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906C1E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34932F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A3570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F39C7E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06B5DAC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我单位上年度与本年度均无此项经费</w:t>
      </w:r>
      <w:bookmarkEnd w:id="0"/>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996EE8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7E4A13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7AE2A59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4" w:name="_GoBack"/>
      <w:bookmarkEnd w:id="4"/>
      <w:r>
        <w:rPr>
          <w:rFonts w:ascii="仿宋_GB2312" w:eastAsia="仿宋_GB2312"/>
          <w:sz w:val="32"/>
          <w:szCs w:val="32"/>
          <w:lang w:eastAsia="zh-CN"/>
        </w:rPr>
        <w:t>单位本年无公务用车运行维护费。公务用车购置数0辆，公务用车保有量0辆。国有资产占用情况中固定资产车辆0辆，与公务用车保有量差异原因是：</w:t>
      </w:r>
      <w:bookmarkStart w:id="1" w:name="_Hlk207143898"/>
      <w:r>
        <w:rPr>
          <w:rFonts w:hint="eastAsia" w:ascii="仿宋_GB2312" w:eastAsia="仿宋_GB2312"/>
          <w:sz w:val="32"/>
          <w:szCs w:val="32"/>
          <w:lang w:eastAsia="zh-CN"/>
        </w:rPr>
        <w:t>本单位固定资产车辆与公务用车保有量一致无差异</w:t>
      </w:r>
      <w:bookmarkEnd w:id="1"/>
      <w:r>
        <w:rPr>
          <w:rFonts w:ascii="仿宋_GB2312" w:eastAsia="仿宋_GB2312"/>
          <w:sz w:val="32"/>
          <w:szCs w:val="32"/>
          <w:lang w:eastAsia="zh-CN"/>
        </w:rPr>
        <w:t>。</w:t>
      </w:r>
    </w:p>
    <w:p w14:paraId="63F8BE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58B794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15C2AED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8BB2548">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6E9222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2024年度昌吉市大西渠镇中心幼儿园单位（事业单位）公用经费支出38.08万元，比上年减少27.72万元，下降42.13%，主要原因是：单位本年办公费、取暖费、劳务费较上年减少。</w:t>
      </w:r>
    </w:p>
    <w:p w14:paraId="774494E6">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1D112A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2024年度政府采购支出总额51.34万元，其中：政府采购货物支出22.15万元、政府采购工程支出0.00万元、政府采购服务支出29.19万元。</w:t>
      </w:r>
    </w:p>
    <w:p w14:paraId="369371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授予中小企业合同金额51.34万元，占政府采购支出总额的100.00%，其中：授予小微企业合同金额51.34万元，占政府采购支出总额的100.00%。</w:t>
      </w:r>
    </w:p>
    <w:p w14:paraId="516B9B6E">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2836B1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截至2024年12月31日，房屋6,434.04平方米，价值1,834.84万元。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w:t>
      </w:r>
      <w:r>
        <w:rPr>
          <w:rFonts w:ascii="仿宋_GB2312" w:eastAsia="仿宋_GB2312"/>
          <w:sz w:val="32"/>
          <w:szCs w:val="32"/>
          <w:lang w:eastAsia="zh-CN"/>
        </w:rPr>
        <w:t>无其他用车;单价100万元（含）以上设备（不含车辆）0台（套）。</w:t>
      </w:r>
    </w:p>
    <w:p w14:paraId="553A48A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802F4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根据预算绩效管理要求，本单位2024年度预算绩效管理形成整体支出绩效自评表1个，全年预算总额773.91万元，实际执行总额773.91万元；预算绩效评价项目0个，全年预算数0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w:t>
      </w:r>
      <w:bookmarkStart w:id="2" w:name="_Hlk207704196"/>
      <w:r>
        <w:rPr>
          <w:rFonts w:hint="eastAsia" w:ascii="仿宋_GB2312" w:eastAsia="仿宋_GB2312"/>
          <w:sz w:val="32"/>
          <w:szCs w:val="32"/>
          <w:lang w:eastAsia="zh-CN"/>
        </w:rPr>
        <w:t>科</w:t>
      </w:r>
      <w:r>
        <w:rPr>
          <w:rFonts w:ascii="仿宋_GB2312" w:eastAsia="仿宋_GB2312"/>
          <w:sz w:val="32"/>
          <w:szCs w:val="32"/>
          <w:lang w:eastAsia="zh-CN"/>
        </w:rPr>
        <w:t>室</w:t>
      </w:r>
      <w:bookmarkEnd w:id="2"/>
      <w:r>
        <w:rPr>
          <w:rFonts w:ascii="仿宋_GB2312" w:eastAsia="仿宋_GB2312"/>
          <w:sz w:val="32"/>
          <w:szCs w:val="32"/>
          <w:lang w:eastAsia="zh-CN"/>
        </w:rPr>
        <w:t>对部门中长期规划的重视程度，增强相关规划的落地性、导向性。具体附部门整体支出绩效自评表。</w:t>
      </w:r>
    </w:p>
    <w:p w14:paraId="4F0A5837">
      <w:pPr>
        <w:rPr>
          <w:rFonts w:hint="eastAsia" w:ascii="宋体" w:hAnsi="宋体" w:eastAsia="宋体" w:cs="宋体"/>
          <w:b/>
          <w:bCs/>
          <w:sz w:val="18"/>
          <w:szCs w:val="18"/>
          <w:lang w:eastAsia="zh-CN"/>
        </w:rPr>
      </w:pPr>
      <w:bookmarkStart w:id="3" w:name="_Hlk174962300"/>
    </w:p>
    <w:p w14:paraId="5AE7252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7089F81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3E08026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7FFE598">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F17E4A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昌吉市大西渠镇中心幼儿园</w:t>
            </w:r>
          </w:p>
        </w:tc>
        <w:tc>
          <w:tcPr>
            <w:tcW w:w="284" w:type="dxa"/>
            <w:tcBorders>
              <w:top w:val="nil"/>
              <w:left w:val="nil"/>
              <w:bottom w:val="nil"/>
              <w:right w:val="nil"/>
            </w:tcBorders>
            <w:noWrap/>
            <w:vAlign w:val="center"/>
          </w:tcPr>
          <w:p w14:paraId="42AB3B20">
            <w:pPr>
              <w:rPr>
                <w:rFonts w:hint="eastAsia" w:ascii="宋体" w:hAnsi="宋体" w:eastAsia="宋体" w:cs="宋体"/>
                <w:b/>
                <w:bCs/>
                <w:sz w:val="18"/>
                <w:szCs w:val="18"/>
                <w:lang w:eastAsia="zh-CN"/>
              </w:rPr>
            </w:pPr>
          </w:p>
        </w:tc>
      </w:tr>
      <w:tr w14:paraId="49B1DA2A">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4512A1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8C7C9A8">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390190F">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3A1E24EC">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317B4EB9">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6287D2A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FA8C9B4">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94EB5F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BA87C35">
            <w:pPr>
              <w:jc w:val="center"/>
              <w:rPr>
                <w:rFonts w:hint="eastAsia" w:ascii="宋体" w:hAnsi="宋体" w:eastAsia="宋体" w:cs="宋体"/>
                <w:b/>
                <w:bCs/>
                <w:sz w:val="18"/>
                <w:szCs w:val="18"/>
              </w:rPr>
            </w:pPr>
          </w:p>
        </w:tc>
      </w:tr>
      <w:tr w14:paraId="797FF6D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70B601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A721C3D">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26B2076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16D20F6C">
            <w:pPr>
              <w:jc w:val="center"/>
              <w:rPr>
                <w:rFonts w:hint="eastAsia" w:ascii="宋体" w:hAnsi="宋体" w:eastAsia="宋体" w:cs="宋体"/>
                <w:sz w:val="18"/>
                <w:szCs w:val="18"/>
              </w:rPr>
            </w:pPr>
            <w:r>
              <w:rPr>
                <w:rFonts w:hint="eastAsia" w:ascii="宋体" w:hAnsi="宋体" w:eastAsia="宋体" w:cs="宋体"/>
                <w:sz w:val="18"/>
                <w:szCs w:val="18"/>
              </w:rPr>
              <w:t>110.03</w:t>
            </w:r>
          </w:p>
        </w:tc>
        <w:tc>
          <w:tcPr>
            <w:tcW w:w="1842" w:type="dxa"/>
            <w:tcBorders>
              <w:top w:val="nil"/>
              <w:left w:val="nil"/>
              <w:bottom w:val="single" w:color="auto" w:sz="4" w:space="0"/>
              <w:right w:val="single" w:color="auto" w:sz="4" w:space="0"/>
            </w:tcBorders>
            <w:vAlign w:val="center"/>
          </w:tcPr>
          <w:p w14:paraId="13A66D64">
            <w:pPr>
              <w:jc w:val="center"/>
              <w:rPr>
                <w:rFonts w:hint="eastAsia" w:ascii="宋体" w:hAnsi="宋体" w:eastAsia="宋体" w:cs="宋体"/>
                <w:sz w:val="18"/>
                <w:szCs w:val="18"/>
              </w:rPr>
            </w:pPr>
            <w:r>
              <w:rPr>
                <w:rFonts w:hint="eastAsia" w:ascii="宋体" w:hAnsi="宋体" w:eastAsia="宋体" w:cs="宋体"/>
                <w:sz w:val="18"/>
                <w:szCs w:val="18"/>
              </w:rPr>
              <w:t>110.03</w:t>
            </w:r>
          </w:p>
        </w:tc>
        <w:tc>
          <w:tcPr>
            <w:tcW w:w="993" w:type="dxa"/>
            <w:tcBorders>
              <w:top w:val="nil"/>
              <w:left w:val="nil"/>
              <w:bottom w:val="single" w:color="auto" w:sz="4" w:space="0"/>
              <w:right w:val="single" w:color="auto" w:sz="4" w:space="0"/>
            </w:tcBorders>
            <w:vAlign w:val="center"/>
          </w:tcPr>
          <w:p w14:paraId="72BF4FE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3069EC3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A98184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67E93AC1">
            <w:pPr>
              <w:jc w:val="center"/>
              <w:rPr>
                <w:rFonts w:hint="eastAsia" w:ascii="宋体" w:hAnsi="宋体" w:eastAsia="宋体" w:cs="宋体"/>
                <w:b/>
                <w:bCs/>
                <w:sz w:val="18"/>
                <w:szCs w:val="18"/>
              </w:rPr>
            </w:pPr>
          </w:p>
        </w:tc>
      </w:tr>
      <w:tr w14:paraId="1F1D1F99">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D2CC80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A02AA8D">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355E6A5">
            <w:pPr>
              <w:jc w:val="center"/>
              <w:rPr>
                <w:rFonts w:hint="eastAsia" w:ascii="宋体" w:hAnsi="宋体" w:eastAsia="宋体" w:cs="宋体"/>
                <w:sz w:val="18"/>
                <w:szCs w:val="18"/>
              </w:rPr>
            </w:pPr>
            <w:r>
              <w:rPr>
                <w:rFonts w:hint="eastAsia" w:ascii="宋体" w:hAnsi="宋体" w:eastAsia="宋体" w:cs="宋体"/>
                <w:sz w:val="18"/>
                <w:szCs w:val="18"/>
              </w:rPr>
              <w:t>642.82</w:t>
            </w:r>
          </w:p>
        </w:tc>
        <w:tc>
          <w:tcPr>
            <w:tcW w:w="1276" w:type="dxa"/>
            <w:tcBorders>
              <w:top w:val="nil"/>
              <w:left w:val="nil"/>
              <w:bottom w:val="single" w:color="auto" w:sz="4" w:space="0"/>
              <w:right w:val="single" w:color="auto" w:sz="4" w:space="0"/>
            </w:tcBorders>
            <w:vAlign w:val="center"/>
          </w:tcPr>
          <w:p w14:paraId="217E38DC">
            <w:pPr>
              <w:jc w:val="center"/>
              <w:rPr>
                <w:rFonts w:hint="eastAsia" w:ascii="宋体" w:hAnsi="宋体" w:eastAsia="宋体" w:cs="宋体"/>
                <w:sz w:val="18"/>
                <w:szCs w:val="18"/>
              </w:rPr>
            </w:pPr>
            <w:r>
              <w:rPr>
                <w:rFonts w:hint="eastAsia" w:ascii="宋体" w:hAnsi="宋体" w:eastAsia="宋体" w:cs="宋体"/>
                <w:sz w:val="18"/>
                <w:szCs w:val="18"/>
              </w:rPr>
              <w:t>663.88</w:t>
            </w:r>
          </w:p>
        </w:tc>
        <w:tc>
          <w:tcPr>
            <w:tcW w:w="1842" w:type="dxa"/>
            <w:tcBorders>
              <w:top w:val="nil"/>
              <w:left w:val="nil"/>
              <w:bottom w:val="single" w:color="auto" w:sz="4" w:space="0"/>
              <w:right w:val="single" w:color="auto" w:sz="4" w:space="0"/>
            </w:tcBorders>
            <w:vAlign w:val="center"/>
          </w:tcPr>
          <w:p w14:paraId="02581F80">
            <w:pPr>
              <w:jc w:val="center"/>
              <w:rPr>
                <w:rFonts w:hint="eastAsia" w:ascii="宋体" w:hAnsi="宋体" w:eastAsia="宋体" w:cs="宋体"/>
                <w:sz w:val="18"/>
                <w:szCs w:val="18"/>
              </w:rPr>
            </w:pPr>
            <w:r>
              <w:rPr>
                <w:rFonts w:hint="eastAsia" w:ascii="宋体" w:hAnsi="宋体" w:eastAsia="宋体" w:cs="宋体"/>
                <w:sz w:val="18"/>
                <w:szCs w:val="18"/>
              </w:rPr>
              <w:t>663.88</w:t>
            </w:r>
          </w:p>
        </w:tc>
        <w:tc>
          <w:tcPr>
            <w:tcW w:w="993" w:type="dxa"/>
            <w:tcBorders>
              <w:top w:val="nil"/>
              <w:left w:val="nil"/>
              <w:bottom w:val="single" w:color="auto" w:sz="4" w:space="0"/>
              <w:right w:val="single" w:color="auto" w:sz="4" w:space="0"/>
            </w:tcBorders>
            <w:vAlign w:val="center"/>
          </w:tcPr>
          <w:p w14:paraId="09BD213C">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7B0A2F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E688FA0">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C5AB6A1">
            <w:pPr>
              <w:jc w:val="center"/>
              <w:rPr>
                <w:rFonts w:hint="eastAsia" w:ascii="宋体" w:hAnsi="宋体" w:eastAsia="宋体" w:cs="宋体"/>
                <w:sz w:val="18"/>
                <w:szCs w:val="18"/>
              </w:rPr>
            </w:pPr>
          </w:p>
        </w:tc>
      </w:tr>
      <w:tr w14:paraId="15FEBAE3">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B51F3A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1FCCA38">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9E6B8E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5350921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550084B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0FEF776F">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0C59DD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84503A4">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AA98FCF">
            <w:pPr>
              <w:jc w:val="center"/>
              <w:rPr>
                <w:rFonts w:hint="eastAsia" w:ascii="宋体" w:hAnsi="宋体" w:eastAsia="宋体" w:cs="宋体"/>
                <w:sz w:val="18"/>
                <w:szCs w:val="18"/>
              </w:rPr>
            </w:pPr>
          </w:p>
        </w:tc>
      </w:tr>
      <w:tr w14:paraId="5F4905DA">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854634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8710884">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3605723">
            <w:pPr>
              <w:jc w:val="center"/>
              <w:rPr>
                <w:rFonts w:hint="eastAsia" w:ascii="宋体" w:hAnsi="宋体" w:eastAsia="宋体" w:cs="宋体"/>
                <w:sz w:val="18"/>
                <w:szCs w:val="18"/>
              </w:rPr>
            </w:pPr>
            <w:r>
              <w:rPr>
                <w:rFonts w:hint="eastAsia" w:ascii="宋体" w:hAnsi="宋体" w:eastAsia="宋体" w:cs="宋体"/>
                <w:sz w:val="18"/>
                <w:szCs w:val="18"/>
              </w:rPr>
              <w:t>642.82</w:t>
            </w:r>
          </w:p>
        </w:tc>
        <w:tc>
          <w:tcPr>
            <w:tcW w:w="1276" w:type="dxa"/>
            <w:tcBorders>
              <w:top w:val="nil"/>
              <w:left w:val="nil"/>
              <w:bottom w:val="single" w:color="auto" w:sz="4" w:space="0"/>
              <w:right w:val="single" w:color="auto" w:sz="4" w:space="0"/>
            </w:tcBorders>
            <w:vAlign w:val="center"/>
          </w:tcPr>
          <w:p w14:paraId="51FBD9D7">
            <w:pPr>
              <w:jc w:val="center"/>
              <w:rPr>
                <w:rFonts w:hint="eastAsia" w:ascii="宋体" w:hAnsi="宋体" w:eastAsia="宋体" w:cs="宋体"/>
                <w:sz w:val="18"/>
                <w:szCs w:val="18"/>
              </w:rPr>
            </w:pPr>
            <w:r>
              <w:rPr>
                <w:rFonts w:hint="eastAsia" w:ascii="宋体" w:hAnsi="宋体" w:eastAsia="宋体" w:cs="宋体"/>
                <w:sz w:val="18"/>
                <w:szCs w:val="18"/>
              </w:rPr>
              <w:t>773.91</w:t>
            </w:r>
          </w:p>
        </w:tc>
        <w:tc>
          <w:tcPr>
            <w:tcW w:w="1842" w:type="dxa"/>
            <w:tcBorders>
              <w:top w:val="nil"/>
              <w:left w:val="nil"/>
              <w:bottom w:val="single" w:color="auto" w:sz="4" w:space="0"/>
              <w:right w:val="single" w:color="auto" w:sz="4" w:space="0"/>
            </w:tcBorders>
            <w:vAlign w:val="center"/>
          </w:tcPr>
          <w:p w14:paraId="45E0FE52">
            <w:pPr>
              <w:jc w:val="center"/>
              <w:rPr>
                <w:rFonts w:hint="eastAsia" w:ascii="宋体" w:hAnsi="宋体" w:eastAsia="宋体" w:cs="宋体"/>
                <w:sz w:val="18"/>
                <w:szCs w:val="18"/>
              </w:rPr>
            </w:pPr>
            <w:r>
              <w:rPr>
                <w:rFonts w:hint="eastAsia" w:ascii="宋体" w:hAnsi="宋体" w:eastAsia="宋体" w:cs="宋体"/>
                <w:sz w:val="18"/>
                <w:szCs w:val="18"/>
              </w:rPr>
              <w:t>773.91</w:t>
            </w:r>
          </w:p>
        </w:tc>
        <w:tc>
          <w:tcPr>
            <w:tcW w:w="993" w:type="dxa"/>
            <w:tcBorders>
              <w:top w:val="nil"/>
              <w:left w:val="nil"/>
              <w:bottom w:val="single" w:color="auto" w:sz="4" w:space="0"/>
              <w:right w:val="single" w:color="auto" w:sz="4" w:space="0"/>
            </w:tcBorders>
            <w:vAlign w:val="center"/>
          </w:tcPr>
          <w:p w14:paraId="63897B3C">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2C4998C5">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E768D98">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4522B365">
            <w:pPr>
              <w:jc w:val="center"/>
              <w:rPr>
                <w:rFonts w:hint="eastAsia" w:ascii="宋体" w:hAnsi="宋体" w:eastAsia="宋体" w:cs="宋体"/>
                <w:sz w:val="18"/>
                <w:szCs w:val="18"/>
              </w:rPr>
            </w:pPr>
          </w:p>
        </w:tc>
      </w:tr>
      <w:tr w14:paraId="655E3429">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F726613">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32C28D44">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CB2438A">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0DD5FD2C">
            <w:pPr>
              <w:rPr>
                <w:rFonts w:hint="eastAsia" w:ascii="宋体" w:hAnsi="宋体" w:eastAsia="宋体" w:cs="宋体"/>
                <w:b/>
                <w:bCs/>
                <w:sz w:val="18"/>
                <w:szCs w:val="18"/>
              </w:rPr>
            </w:pPr>
          </w:p>
        </w:tc>
      </w:tr>
      <w:tr w14:paraId="60B4229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A03E50E">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327733F6">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昌吉市大西渠镇中心幼儿园保障教职工人数67人，幼儿人数319人，预计本年度学前三年毛入园率达到95%，普惠性幼儿园覆盖率达到100%，农村学前免费教育达到100%，青年教师培养考核覆盖率达到95%，教师培训合格率达到95%以上，办学条件达标率达到100%，家长满意度达到95%以上，进一步优化结构、深化改革、强化监管，花好每一份钱，把学前经费用到最需要的地方，以确保全年目标的顺利完成。</w:t>
            </w:r>
          </w:p>
        </w:tc>
        <w:tc>
          <w:tcPr>
            <w:tcW w:w="4547" w:type="dxa"/>
            <w:gridSpan w:val="4"/>
            <w:tcBorders>
              <w:top w:val="single" w:color="auto" w:sz="4" w:space="0"/>
              <w:left w:val="nil"/>
              <w:bottom w:val="single" w:color="auto" w:sz="4" w:space="0"/>
              <w:right w:val="single" w:color="auto" w:sz="4" w:space="0"/>
            </w:tcBorders>
          </w:tcPr>
          <w:p w14:paraId="22113119">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31日，昌吉市大西渠镇中心幼儿园保障教职工人数67人，幼儿人数319人，投入653.38万元，用于保障人员经费615.30万元，保障公用经费38.08万元，本年度学前三年毛入园率达到95%，普惠性幼儿园覆盖率达到100%，农村学前免费教育达到100%，青年教师培养考核覆盖率达到100%，教师培训合格率达到100%，办学条件达标率达到100%，家长满意度达到95%以上，进一步优化结构、深化改革、强化监管，花好每一份钱，顺利完成年度目标，打造社会认可的优秀农村园。</w:t>
            </w:r>
          </w:p>
        </w:tc>
        <w:tc>
          <w:tcPr>
            <w:tcW w:w="284" w:type="dxa"/>
            <w:tcBorders>
              <w:top w:val="nil"/>
              <w:left w:val="nil"/>
              <w:bottom w:val="nil"/>
              <w:right w:val="nil"/>
            </w:tcBorders>
            <w:noWrap/>
            <w:vAlign w:val="center"/>
          </w:tcPr>
          <w:p w14:paraId="08953F90">
            <w:pPr>
              <w:rPr>
                <w:rFonts w:hint="eastAsia" w:ascii="宋体" w:hAnsi="宋体" w:eastAsia="宋体" w:cs="宋体"/>
                <w:sz w:val="18"/>
                <w:szCs w:val="18"/>
                <w:lang w:eastAsia="zh-CN"/>
              </w:rPr>
            </w:pPr>
          </w:p>
        </w:tc>
      </w:tr>
      <w:tr w14:paraId="2EDA8764">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9A10726">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319C3165">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01FBB71">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6C66D064">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3F556D3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4B4B8536">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2B42453B">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2866AF6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66369B2">
            <w:pPr>
              <w:rPr>
                <w:rFonts w:hint="eastAsia" w:ascii="宋体" w:hAnsi="宋体" w:eastAsia="宋体" w:cs="宋体"/>
                <w:b/>
                <w:bCs/>
                <w:sz w:val="18"/>
                <w:szCs w:val="18"/>
              </w:rPr>
            </w:pPr>
          </w:p>
        </w:tc>
      </w:tr>
      <w:tr w14:paraId="620980C9">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088C3E0">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69CF12DB">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48135B63">
            <w:pPr>
              <w:jc w:val="center"/>
              <w:rPr>
                <w:rFonts w:hint="eastAsia" w:ascii="宋体" w:hAnsi="宋体" w:eastAsia="宋体" w:cs="宋体"/>
                <w:sz w:val="18"/>
                <w:szCs w:val="18"/>
              </w:rPr>
            </w:pPr>
            <w:r>
              <w:rPr>
                <w:rFonts w:hint="eastAsia" w:ascii="宋体" w:hAnsi="宋体" w:eastAsia="宋体" w:cs="宋体"/>
                <w:sz w:val="18"/>
                <w:szCs w:val="18"/>
              </w:rPr>
              <w:t>学前三年毛入园率</w:t>
            </w:r>
          </w:p>
        </w:tc>
        <w:tc>
          <w:tcPr>
            <w:tcW w:w="1276" w:type="dxa"/>
            <w:tcBorders>
              <w:top w:val="nil"/>
              <w:left w:val="nil"/>
              <w:bottom w:val="single" w:color="auto" w:sz="4" w:space="0"/>
              <w:right w:val="single" w:color="auto" w:sz="4" w:space="0"/>
            </w:tcBorders>
            <w:noWrap/>
            <w:vAlign w:val="center"/>
          </w:tcPr>
          <w:p w14:paraId="29A5BA29">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55E37E86">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1379CD66">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42C9790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4635CE0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192CAD85">
            <w:pPr>
              <w:jc w:val="center"/>
              <w:rPr>
                <w:rFonts w:hint="eastAsia" w:ascii="宋体" w:hAnsi="宋体" w:eastAsia="宋体" w:cs="宋体"/>
                <w:sz w:val="18"/>
                <w:szCs w:val="18"/>
              </w:rPr>
            </w:pPr>
          </w:p>
        </w:tc>
      </w:tr>
      <w:tr w14:paraId="57A929B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19E8513">
            <w:pPr>
              <w:jc w:val="center"/>
              <w:rPr>
                <w:rFonts w:hint="eastAsia" w:ascii="宋体" w:hAnsi="宋体" w:eastAsia="宋体" w:cs="宋体"/>
                <w:sz w:val="18"/>
                <w:szCs w:val="18"/>
              </w:rPr>
            </w:pPr>
          </w:p>
        </w:tc>
        <w:tc>
          <w:tcPr>
            <w:tcW w:w="1417" w:type="dxa"/>
            <w:vMerge w:val="restart"/>
            <w:tcBorders>
              <w:top w:val="nil"/>
              <w:left w:val="nil"/>
              <w:right w:val="single" w:color="auto" w:sz="4" w:space="0"/>
            </w:tcBorders>
            <w:noWrap/>
            <w:vAlign w:val="center"/>
          </w:tcPr>
          <w:p w14:paraId="5963EC83">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697549C9">
            <w:pPr>
              <w:jc w:val="center"/>
              <w:rPr>
                <w:rFonts w:hint="eastAsia" w:ascii="宋体" w:hAnsi="宋体" w:eastAsia="宋体" w:cs="宋体"/>
                <w:sz w:val="18"/>
                <w:szCs w:val="18"/>
              </w:rPr>
            </w:pPr>
            <w:r>
              <w:rPr>
                <w:rFonts w:hint="eastAsia" w:ascii="宋体" w:hAnsi="宋体" w:eastAsia="宋体" w:cs="宋体"/>
                <w:sz w:val="18"/>
                <w:szCs w:val="18"/>
              </w:rPr>
              <w:t>普惠性幼儿园覆盖率</w:t>
            </w:r>
          </w:p>
        </w:tc>
        <w:tc>
          <w:tcPr>
            <w:tcW w:w="1276" w:type="dxa"/>
            <w:tcBorders>
              <w:top w:val="nil"/>
              <w:left w:val="nil"/>
              <w:bottom w:val="single" w:color="auto" w:sz="4" w:space="0"/>
              <w:right w:val="single" w:color="auto" w:sz="4" w:space="0"/>
            </w:tcBorders>
            <w:noWrap/>
            <w:vAlign w:val="center"/>
          </w:tcPr>
          <w:p w14:paraId="539C88F2">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373E9F74">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7878026C">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2F01EEE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83715EA">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7450B7D4">
            <w:pPr>
              <w:jc w:val="center"/>
              <w:rPr>
                <w:rFonts w:hint="eastAsia" w:ascii="宋体" w:hAnsi="宋体" w:eastAsia="宋体" w:cs="宋体"/>
                <w:sz w:val="18"/>
                <w:szCs w:val="18"/>
              </w:rPr>
            </w:pPr>
          </w:p>
        </w:tc>
      </w:tr>
      <w:tr w14:paraId="5C941FC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FB31CE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568198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5A7A9C1">
            <w:pPr>
              <w:jc w:val="center"/>
              <w:rPr>
                <w:rFonts w:hint="eastAsia" w:ascii="宋体" w:hAnsi="宋体" w:eastAsia="宋体" w:cs="宋体"/>
                <w:sz w:val="18"/>
                <w:szCs w:val="18"/>
              </w:rPr>
            </w:pPr>
            <w:r>
              <w:rPr>
                <w:rFonts w:hint="eastAsia" w:ascii="宋体" w:hAnsi="宋体" w:eastAsia="宋体" w:cs="宋体"/>
                <w:sz w:val="18"/>
                <w:szCs w:val="18"/>
              </w:rPr>
              <w:t>农村学前免费教育</w:t>
            </w:r>
          </w:p>
        </w:tc>
        <w:tc>
          <w:tcPr>
            <w:tcW w:w="1276" w:type="dxa"/>
            <w:tcBorders>
              <w:top w:val="nil"/>
              <w:left w:val="nil"/>
              <w:bottom w:val="single" w:color="auto" w:sz="4" w:space="0"/>
              <w:right w:val="single" w:color="auto" w:sz="4" w:space="0"/>
            </w:tcBorders>
            <w:noWrap/>
            <w:vAlign w:val="center"/>
          </w:tcPr>
          <w:p w14:paraId="6C2831E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5D0FF849">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48B4E25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5E5CB51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259C331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4618765">
            <w:pPr>
              <w:jc w:val="center"/>
              <w:rPr>
                <w:rFonts w:hint="eastAsia" w:ascii="宋体" w:hAnsi="宋体" w:eastAsia="宋体" w:cs="宋体"/>
                <w:sz w:val="18"/>
                <w:szCs w:val="18"/>
              </w:rPr>
            </w:pPr>
          </w:p>
        </w:tc>
      </w:tr>
      <w:tr w14:paraId="4A18EC1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995144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736C31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AE78CD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青年教师培养考核覆盖率</w:t>
            </w:r>
          </w:p>
        </w:tc>
        <w:tc>
          <w:tcPr>
            <w:tcW w:w="1276" w:type="dxa"/>
            <w:tcBorders>
              <w:top w:val="nil"/>
              <w:left w:val="nil"/>
              <w:bottom w:val="single" w:color="auto" w:sz="4" w:space="0"/>
              <w:right w:val="single" w:color="auto" w:sz="4" w:space="0"/>
            </w:tcBorders>
            <w:noWrap/>
            <w:vAlign w:val="center"/>
          </w:tcPr>
          <w:p w14:paraId="2013107D">
            <w:pPr>
              <w:jc w:val="center"/>
              <w:rPr>
                <w:rFonts w:hint="eastAsia" w:ascii="宋体" w:hAnsi="宋体" w:eastAsia="宋体" w:cs="宋体"/>
                <w:sz w:val="18"/>
                <w:szCs w:val="18"/>
              </w:rPr>
            </w:pPr>
            <w:r>
              <w:rPr>
                <w:rFonts w:hint="eastAsia" w:ascii="宋体" w:hAnsi="宋体" w:eastAsia="宋体" w:cs="宋体"/>
                <w:sz w:val="18"/>
                <w:szCs w:val="18"/>
              </w:rPr>
              <w:t>=95%</w:t>
            </w:r>
          </w:p>
        </w:tc>
        <w:tc>
          <w:tcPr>
            <w:tcW w:w="1842" w:type="dxa"/>
            <w:tcBorders>
              <w:top w:val="nil"/>
              <w:left w:val="nil"/>
              <w:bottom w:val="single" w:color="auto" w:sz="4" w:space="0"/>
              <w:right w:val="single" w:color="auto" w:sz="4" w:space="0"/>
            </w:tcBorders>
            <w:noWrap/>
            <w:vAlign w:val="center"/>
          </w:tcPr>
          <w:p w14:paraId="166C52F8">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54B7B97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27535ECE">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4468C46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024271EB">
            <w:pPr>
              <w:jc w:val="center"/>
              <w:rPr>
                <w:rFonts w:hint="eastAsia" w:ascii="宋体" w:hAnsi="宋体" w:eastAsia="宋体" w:cs="宋体"/>
                <w:sz w:val="18"/>
                <w:szCs w:val="18"/>
              </w:rPr>
            </w:pPr>
          </w:p>
        </w:tc>
      </w:tr>
      <w:tr w14:paraId="5F0F6C1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925C5D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922816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BCBE34D">
            <w:pPr>
              <w:jc w:val="center"/>
              <w:rPr>
                <w:rFonts w:hint="eastAsia" w:ascii="宋体" w:hAnsi="宋体" w:eastAsia="宋体" w:cs="宋体"/>
                <w:sz w:val="18"/>
                <w:szCs w:val="18"/>
              </w:rPr>
            </w:pPr>
            <w:r>
              <w:rPr>
                <w:rFonts w:hint="eastAsia" w:ascii="宋体" w:hAnsi="宋体" w:eastAsia="宋体" w:cs="宋体"/>
                <w:sz w:val="18"/>
                <w:szCs w:val="18"/>
              </w:rPr>
              <w:t>教师培训合格率</w:t>
            </w:r>
          </w:p>
        </w:tc>
        <w:tc>
          <w:tcPr>
            <w:tcW w:w="1276" w:type="dxa"/>
            <w:tcBorders>
              <w:top w:val="nil"/>
              <w:left w:val="nil"/>
              <w:bottom w:val="single" w:color="auto" w:sz="4" w:space="0"/>
              <w:right w:val="single" w:color="auto" w:sz="4" w:space="0"/>
            </w:tcBorders>
            <w:noWrap/>
            <w:vAlign w:val="center"/>
          </w:tcPr>
          <w:p w14:paraId="17DBDD83">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68CDAA94">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3515CE4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209648F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4079EBCB">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2057B034">
            <w:pPr>
              <w:jc w:val="center"/>
              <w:rPr>
                <w:rFonts w:hint="eastAsia" w:ascii="宋体" w:hAnsi="宋体" w:eastAsia="宋体" w:cs="宋体"/>
                <w:sz w:val="18"/>
                <w:szCs w:val="18"/>
              </w:rPr>
            </w:pPr>
          </w:p>
        </w:tc>
      </w:tr>
      <w:tr w14:paraId="7336DF7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DB3A1B3">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F4F31F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C3C6D6E">
            <w:pPr>
              <w:jc w:val="center"/>
              <w:rPr>
                <w:rFonts w:hint="eastAsia" w:ascii="宋体" w:hAnsi="宋体" w:eastAsia="宋体" w:cs="宋体"/>
                <w:sz w:val="18"/>
                <w:szCs w:val="18"/>
              </w:rPr>
            </w:pPr>
            <w:r>
              <w:rPr>
                <w:rFonts w:hint="eastAsia" w:ascii="宋体" w:hAnsi="宋体" w:eastAsia="宋体" w:cs="宋体"/>
                <w:sz w:val="18"/>
                <w:szCs w:val="18"/>
              </w:rPr>
              <w:t>办学条件达标率</w:t>
            </w:r>
          </w:p>
        </w:tc>
        <w:tc>
          <w:tcPr>
            <w:tcW w:w="1276" w:type="dxa"/>
            <w:tcBorders>
              <w:top w:val="nil"/>
              <w:left w:val="nil"/>
              <w:bottom w:val="single" w:color="auto" w:sz="4" w:space="0"/>
              <w:right w:val="single" w:color="auto" w:sz="4" w:space="0"/>
            </w:tcBorders>
            <w:noWrap/>
            <w:vAlign w:val="center"/>
          </w:tcPr>
          <w:p w14:paraId="753EDE3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07E0BCBB">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53B4FB1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6110B0A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8563C6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F5822AA">
            <w:pPr>
              <w:jc w:val="center"/>
              <w:rPr>
                <w:rFonts w:hint="eastAsia" w:ascii="宋体" w:hAnsi="宋体" w:eastAsia="宋体" w:cs="宋体"/>
                <w:sz w:val="18"/>
                <w:szCs w:val="18"/>
              </w:rPr>
            </w:pPr>
          </w:p>
        </w:tc>
      </w:tr>
      <w:tr w14:paraId="2E7EF9F5">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B290233">
            <w:pPr>
              <w:jc w:val="center"/>
              <w:rPr>
                <w:rFonts w:hint="eastAsia" w:ascii="宋体" w:hAnsi="宋体" w:eastAsia="宋体" w:cs="宋体"/>
                <w:sz w:val="18"/>
                <w:szCs w:val="18"/>
              </w:rPr>
            </w:pPr>
            <w:r>
              <w:rPr>
                <w:rFonts w:hint="eastAsia" w:ascii="宋体" w:hAnsi="宋体" w:eastAsia="宋体" w:cs="宋体"/>
                <w:sz w:val="18"/>
                <w:szCs w:val="18"/>
              </w:rPr>
              <w:t>服务对象满意度</w:t>
            </w:r>
          </w:p>
        </w:tc>
        <w:tc>
          <w:tcPr>
            <w:tcW w:w="1417" w:type="dxa"/>
            <w:tcBorders>
              <w:top w:val="nil"/>
              <w:left w:val="nil"/>
              <w:bottom w:val="single" w:color="auto" w:sz="4" w:space="0"/>
              <w:right w:val="single" w:color="auto" w:sz="4" w:space="0"/>
            </w:tcBorders>
            <w:noWrap/>
            <w:vAlign w:val="center"/>
          </w:tcPr>
          <w:p w14:paraId="0F462A22">
            <w:pPr>
              <w:jc w:val="center"/>
              <w:rPr>
                <w:rFonts w:hint="eastAsia" w:ascii="宋体" w:hAnsi="宋体" w:eastAsia="宋体" w:cs="宋体"/>
                <w:sz w:val="18"/>
                <w:szCs w:val="18"/>
              </w:rPr>
            </w:pPr>
            <w:r>
              <w:rPr>
                <w:rFonts w:hint="eastAsia" w:ascii="宋体" w:hAnsi="宋体" w:eastAsia="宋体" w:cs="宋体"/>
                <w:sz w:val="18"/>
                <w:szCs w:val="18"/>
              </w:rPr>
              <w:t>满意度指标</w:t>
            </w:r>
          </w:p>
        </w:tc>
        <w:tc>
          <w:tcPr>
            <w:tcW w:w="1418" w:type="dxa"/>
            <w:tcBorders>
              <w:top w:val="nil"/>
              <w:left w:val="nil"/>
              <w:bottom w:val="single" w:color="auto" w:sz="4" w:space="0"/>
              <w:right w:val="single" w:color="auto" w:sz="4" w:space="0"/>
            </w:tcBorders>
            <w:noWrap/>
            <w:vAlign w:val="center"/>
          </w:tcPr>
          <w:p w14:paraId="11CB1865">
            <w:pPr>
              <w:jc w:val="center"/>
              <w:rPr>
                <w:rFonts w:hint="eastAsia" w:ascii="宋体" w:hAnsi="宋体" w:eastAsia="宋体" w:cs="宋体"/>
                <w:sz w:val="18"/>
                <w:szCs w:val="18"/>
              </w:rPr>
            </w:pPr>
            <w:r>
              <w:rPr>
                <w:rFonts w:hint="eastAsia" w:ascii="宋体" w:hAnsi="宋体" w:eastAsia="宋体" w:cs="宋体"/>
                <w:sz w:val="18"/>
                <w:szCs w:val="18"/>
              </w:rPr>
              <w:t>家长满意度</w:t>
            </w:r>
          </w:p>
        </w:tc>
        <w:tc>
          <w:tcPr>
            <w:tcW w:w="1276" w:type="dxa"/>
            <w:tcBorders>
              <w:top w:val="nil"/>
              <w:left w:val="nil"/>
              <w:bottom w:val="single" w:color="auto" w:sz="4" w:space="0"/>
              <w:right w:val="single" w:color="auto" w:sz="4" w:space="0"/>
            </w:tcBorders>
            <w:noWrap/>
            <w:vAlign w:val="center"/>
          </w:tcPr>
          <w:p w14:paraId="37739D74">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696C3EE9">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78B64D54">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04C183CF">
            <w:pPr>
              <w:jc w:val="center"/>
              <w:rPr>
                <w:rFonts w:hint="eastAsia" w:ascii="宋体" w:hAnsi="宋体" w:eastAsia="宋体" w:cs="宋体"/>
                <w:sz w:val="18"/>
                <w:szCs w:val="18"/>
              </w:rPr>
            </w:pPr>
            <w:r>
              <w:rPr>
                <w:rFonts w:hint="eastAsia" w:ascii="宋体" w:hAnsi="宋体" w:eastAsia="宋体" w:cs="宋体"/>
                <w:sz w:val="18"/>
                <w:szCs w:val="18"/>
              </w:rPr>
              <w:t>95</w:t>
            </w:r>
          </w:p>
        </w:tc>
        <w:tc>
          <w:tcPr>
            <w:tcW w:w="720" w:type="dxa"/>
            <w:tcBorders>
              <w:top w:val="nil"/>
              <w:left w:val="nil"/>
              <w:bottom w:val="single" w:color="auto" w:sz="4" w:space="0"/>
              <w:right w:val="single" w:color="auto" w:sz="4" w:space="0"/>
            </w:tcBorders>
            <w:noWrap/>
            <w:vAlign w:val="center"/>
          </w:tcPr>
          <w:p w14:paraId="0EEA4C1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4D7577BA">
            <w:pPr>
              <w:jc w:val="center"/>
              <w:rPr>
                <w:rFonts w:hint="eastAsia" w:ascii="宋体" w:hAnsi="宋体" w:eastAsia="宋体" w:cs="宋体"/>
                <w:sz w:val="18"/>
                <w:szCs w:val="18"/>
              </w:rPr>
            </w:pPr>
          </w:p>
        </w:tc>
      </w:tr>
      <w:bookmarkEnd w:id="3"/>
    </w:tbl>
    <w:p w14:paraId="689FA1AD">
      <w:pPr>
        <w:spacing w:after="0" w:line="240" w:lineRule="auto"/>
        <w:ind w:firstLine="640" w:firstLineChars="200"/>
        <w:jc w:val="both"/>
        <w:rPr>
          <w:rFonts w:hint="eastAsia" w:ascii="仿宋_GB2312" w:eastAsia="仿宋_GB2312"/>
          <w:sz w:val="32"/>
          <w:szCs w:val="32"/>
          <w:lang w:eastAsia="zh-CN"/>
        </w:rPr>
      </w:pPr>
    </w:p>
    <w:p w14:paraId="64719D4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5AAFC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3B9E7542">
      <w:pPr>
        <w:spacing w:after="0" w:line="240" w:lineRule="auto"/>
        <w:ind w:firstLine="640" w:firstLineChars="200"/>
        <w:rPr>
          <w:rFonts w:hint="eastAsia" w:ascii="仿宋_GB2312" w:eastAsia="仿宋_GB2312"/>
          <w:sz w:val="32"/>
          <w:szCs w:val="32"/>
          <w:lang w:eastAsia="zh-CN"/>
        </w:rPr>
      </w:pPr>
    </w:p>
    <w:p w14:paraId="490549E8">
      <w:pPr>
        <w:rPr>
          <w:rFonts w:hint="eastAsia"/>
          <w:lang w:eastAsia="zh-CN"/>
        </w:rPr>
      </w:pPr>
      <w:r>
        <w:rPr>
          <w:sz w:val="0"/>
          <w:szCs w:val="0"/>
          <w:lang w:eastAsia="zh-CN"/>
        </w:rPr>
        <w:br w:type="page"/>
      </w:r>
    </w:p>
    <w:p w14:paraId="6AF1167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DF763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6BC1BC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98210D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DCBB08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4061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2F1A38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B1BBAD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1DC0F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41936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8C0435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2E338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202B5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D0BB27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CBB64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61DDE6C">
      <w:pPr>
        <w:rPr>
          <w:rFonts w:hint="eastAsia"/>
          <w:lang w:eastAsia="zh-CN"/>
        </w:rPr>
      </w:pPr>
      <w:r>
        <w:rPr>
          <w:sz w:val="0"/>
          <w:szCs w:val="0"/>
          <w:lang w:eastAsia="zh-CN"/>
        </w:rPr>
        <w:br w:type="page"/>
      </w:r>
    </w:p>
    <w:p w14:paraId="52EABA6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11FD4A0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D0E7F4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035CD9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5B1CEAE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F6D749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51FA82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A833A4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75FD2F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22E374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101795"/>
    <w:rsid w:val="00101795"/>
    <w:rsid w:val="005E18C6"/>
    <w:rsid w:val="006A033A"/>
    <w:rsid w:val="00915B6E"/>
    <w:rsid w:val="00AB0E48"/>
    <w:rsid w:val="00BF21FF"/>
    <w:rsid w:val="00C92187"/>
    <w:rsid w:val="00CC24AF"/>
    <w:rsid w:val="00CF5AED"/>
    <w:rsid w:val="00D16F4E"/>
    <w:rsid w:val="00E778ED"/>
    <w:rsid w:val="00F03FF1"/>
    <w:rsid w:val="00F5508F"/>
    <w:rsid w:val="00F93D0D"/>
    <w:rsid w:val="6F7B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5764</Words>
  <Characters>6451</Characters>
  <Lines>236</Lines>
  <Paragraphs>217</Paragraphs>
  <TotalTime>12</TotalTime>
  <ScaleCrop>false</ScaleCrop>
  <LinksUpToDate>false</LinksUpToDate>
  <CharactersWithSpaces>6462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2025-09-02T03:07:00Z</dcterms:created>
  <dc:creator>Lenovo</dc:creator>
  <cp:lastModifiedBy>11点28分不打烊</cp:lastModifiedBy>
  <dcterms:modified xsi:type="dcterms:W3CDTF">2025-11-20T04:30:20Z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873733925C0C4AB1BD6F305DC317115C_12</vt:lpwstr>
  </property>
</Properties>
</file>