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B3AE76">
      <w:pPr>
        <w:widowControl/>
        <w:jc w:val="left"/>
        <w:rPr>
          <w:rFonts w:ascii="宋体" w:eastAsia="宋体"/>
          <w:sz w:val="32"/>
          <w:szCs w:val="32"/>
        </w:rPr>
      </w:pPr>
    </w:p>
    <w:p w14:paraId="282046E3">
      <w:pPr>
        <w:widowControl/>
        <w:jc w:val="left"/>
        <w:rPr>
          <w:rFonts w:ascii="宋体" w:eastAsia="宋体"/>
          <w:sz w:val="44"/>
          <w:szCs w:val="44"/>
        </w:rPr>
      </w:pPr>
    </w:p>
    <w:p w14:paraId="72249EA4">
      <w:pPr>
        <w:widowControl/>
        <w:jc w:val="left"/>
        <w:rPr>
          <w:rFonts w:ascii="宋体" w:eastAsia="宋体"/>
          <w:sz w:val="44"/>
          <w:szCs w:val="44"/>
        </w:rPr>
      </w:pPr>
    </w:p>
    <w:p w14:paraId="04DC0BBD">
      <w:pPr>
        <w:widowControl/>
        <w:jc w:val="left"/>
        <w:rPr>
          <w:rFonts w:ascii="宋体" w:eastAsia="宋体"/>
          <w:sz w:val="44"/>
          <w:szCs w:val="44"/>
        </w:rPr>
      </w:pPr>
    </w:p>
    <w:p w14:paraId="0946136E">
      <w:pPr>
        <w:widowControl/>
        <w:jc w:val="center"/>
        <w:outlineLvl w:val="0"/>
        <w:rPr>
          <w:rFonts w:ascii="宋体" w:eastAsia="黑体"/>
          <w:sz w:val="44"/>
          <w:szCs w:val="44"/>
        </w:rPr>
      </w:pPr>
      <w:r>
        <w:rPr>
          <w:rFonts w:ascii="宋体" w:eastAsia="黑体"/>
          <w:sz w:val="44"/>
          <w:szCs w:val="44"/>
        </w:rPr>
        <w:t>昌吉市滨湖镇中心学校</w:t>
      </w:r>
    </w:p>
    <w:p w14:paraId="4E9CA948">
      <w:pPr>
        <w:widowControl/>
        <w:jc w:val="center"/>
        <w:outlineLvl w:val="0"/>
        <w:rPr>
          <w:rFonts w:ascii="黑体" w:eastAsia="黑体"/>
          <w:sz w:val="44"/>
          <w:szCs w:val="44"/>
        </w:rPr>
      </w:pPr>
      <w:r>
        <w:rPr>
          <w:rFonts w:ascii="黑体" w:eastAsia="黑体"/>
          <w:sz w:val="44"/>
          <w:szCs w:val="44"/>
        </w:rPr>
        <w:t>2024年度部门决算公开说明</w:t>
      </w:r>
    </w:p>
    <w:p w14:paraId="5D1FEF33">
      <w:pPr>
        <w:widowControl/>
      </w:pPr>
      <w:r>
        <w:rPr>
          <w:sz w:val="0"/>
          <w:szCs w:val="0"/>
        </w:rPr>
        <w:br w:type="page"/>
      </w:r>
    </w:p>
    <w:p w14:paraId="099EBA77">
      <w:pPr>
        <w:widowControl/>
        <w:jc w:val="center"/>
        <w:rPr>
          <w:rFonts w:ascii="黑体" w:eastAsia="黑体"/>
          <w:sz w:val="32"/>
          <w:szCs w:val="32"/>
        </w:rPr>
      </w:pPr>
      <w:r>
        <w:rPr>
          <w:rFonts w:ascii="黑体" w:eastAsia="黑体"/>
          <w:b/>
          <w:sz w:val="32"/>
          <w:szCs w:val="32"/>
        </w:rPr>
        <w:t>目  录</w:t>
      </w:r>
    </w:p>
    <w:p w14:paraId="0117D8C1">
      <w:pPr>
        <w:widowControl/>
        <w:jc w:val="left"/>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rPr>
        <w:t xml:space="preserve"> </w:t>
      </w:r>
      <w:r>
        <w:rPr>
          <w:rFonts w:ascii="仿宋_GB2312" w:eastAsia="仿宋_GB2312"/>
          <w:b/>
          <w:sz w:val="32"/>
          <w:szCs w:val="32"/>
        </w:rPr>
        <w:t>单位概况</w:t>
      </w:r>
    </w:p>
    <w:p w14:paraId="516F6105">
      <w:pPr>
        <w:widowControl/>
        <w:jc w:val="left"/>
        <w:rPr>
          <w:rFonts w:ascii="仿宋_GB2312" w:eastAsia="仿宋_GB2312"/>
          <w:sz w:val="32"/>
          <w:szCs w:val="32"/>
        </w:rPr>
      </w:pPr>
      <w:r>
        <w:rPr>
          <w:rFonts w:ascii="仿宋_GB2312" w:eastAsia="仿宋_GB2312"/>
          <w:sz w:val="32"/>
          <w:szCs w:val="32"/>
        </w:rPr>
        <w:t>一、主要职能</w:t>
      </w:r>
    </w:p>
    <w:p w14:paraId="154A8F2A">
      <w:pPr>
        <w:widowControl/>
        <w:jc w:val="left"/>
        <w:rPr>
          <w:rFonts w:ascii="仿宋_GB2312" w:eastAsia="仿宋_GB2312"/>
          <w:sz w:val="32"/>
          <w:szCs w:val="32"/>
        </w:rPr>
      </w:pPr>
      <w:r>
        <w:rPr>
          <w:rFonts w:ascii="仿宋_GB2312" w:eastAsia="仿宋_GB2312"/>
          <w:sz w:val="32"/>
          <w:szCs w:val="32"/>
        </w:rPr>
        <w:t>二、机构设置及人员情况</w:t>
      </w:r>
    </w:p>
    <w:p w14:paraId="28EFF936">
      <w:pPr>
        <w:widowControl/>
        <w:jc w:val="left"/>
        <w:rPr>
          <w:rFonts w:ascii="仿宋_GB2312" w:eastAsia="仿宋_GB2312"/>
          <w:sz w:val="32"/>
          <w:szCs w:val="32"/>
        </w:rPr>
      </w:pPr>
      <w:r>
        <w:rPr>
          <w:rFonts w:ascii="仿宋_GB2312" w:eastAsia="仿宋_GB2312"/>
          <w:b/>
          <w:sz w:val="32"/>
          <w:szCs w:val="32"/>
        </w:rPr>
        <w:t>第二部分 部门决算情况说明</w:t>
      </w:r>
    </w:p>
    <w:p w14:paraId="63854A9C">
      <w:pPr>
        <w:widowControl/>
        <w:jc w:val="left"/>
        <w:rPr>
          <w:rFonts w:ascii="仿宋_GB2312" w:eastAsia="仿宋_GB2312"/>
          <w:sz w:val="32"/>
          <w:szCs w:val="32"/>
        </w:rPr>
      </w:pPr>
      <w:r>
        <w:rPr>
          <w:rFonts w:ascii="仿宋_GB2312" w:eastAsia="仿宋_GB2312"/>
          <w:sz w:val="32"/>
          <w:szCs w:val="32"/>
        </w:rPr>
        <w:t>一、收入支出决算总体情况说明</w:t>
      </w:r>
    </w:p>
    <w:p w14:paraId="1248650A">
      <w:pPr>
        <w:widowControl/>
        <w:jc w:val="left"/>
        <w:rPr>
          <w:rFonts w:ascii="仿宋_GB2312" w:eastAsia="仿宋_GB2312"/>
          <w:sz w:val="32"/>
          <w:szCs w:val="32"/>
        </w:rPr>
      </w:pPr>
      <w:r>
        <w:rPr>
          <w:rFonts w:ascii="仿宋_GB2312" w:eastAsia="仿宋_GB2312"/>
          <w:sz w:val="32"/>
          <w:szCs w:val="32"/>
        </w:rPr>
        <w:t>二、收入决算情况说明</w:t>
      </w:r>
    </w:p>
    <w:p w14:paraId="555635EC">
      <w:pPr>
        <w:widowControl/>
        <w:jc w:val="left"/>
        <w:rPr>
          <w:rFonts w:ascii="仿宋_GB2312" w:eastAsia="仿宋_GB2312"/>
          <w:sz w:val="32"/>
          <w:szCs w:val="32"/>
        </w:rPr>
      </w:pPr>
      <w:r>
        <w:rPr>
          <w:rFonts w:ascii="仿宋_GB2312" w:eastAsia="仿宋_GB2312"/>
          <w:sz w:val="32"/>
          <w:szCs w:val="32"/>
        </w:rPr>
        <w:t>三、支出决算情况说明</w:t>
      </w:r>
    </w:p>
    <w:p w14:paraId="64296FB8">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29F9C6B1">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3046BAC7">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2FDFCD41">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3B2B1C9D">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71F3C5E2">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75910CBA">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16E46FF7">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5A140D5A">
      <w:pPr>
        <w:widowControl/>
        <w:jc w:val="left"/>
        <w:rPr>
          <w:rFonts w:ascii="仿宋_GB2312" w:eastAsia="仿宋_GB2312"/>
          <w:sz w:val="32"/>
          <w:szCs w:val="32"/>
        </w:rPr>
      </w:pPr>
      <w:r>
        <w:rPr>
          <w:rFonts w:ascii="仿宋_GB2312" w:eastAsia="仿宋_GB2312"/>
          <w:sz w:val="32"/>
          <w:szCs w:val="32"/>
        </w:rPr>
        <w:t>九、财政拨款“三公”经费支出决算情况说明</w:t>
      </w:r>
    </w:p>
    <w:p w14:paraId="6BD2E48F">
      <w:pPr>
        <w:widowControl/>
        <w:jc w:val="left"/>
        <w:rPr>
          <w:rFonts w:ascii="仿宋_GB2312" w:eastAsia="仿宋_GB2312"/>
          <w:sz w:val="32"/>
          <w:szCs w:val="32"/>
        </w:rPr>
      </w:pPr>
      <w:r>
        <w:rPr>
          <w:rFonts w:ascii="仿宋_GB2312" w:eastAsia="仿宋_GB2312"/>
          <w:sz w:val="32"/>
          <w:szCs w:val="32"/>
        </w:rPr>
        <w:t>十、其他重要事项的情况说明</w:t>
      </w:r>
    </w:p>
    <w:p w14:paraId="77D66960">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696C66EE">
      <w:pPr>
        <w:widowControl/>
        <w:jc w:val="left"/>
        <w:rPr>
          <w:rFonts w:ascii="仿宋_GB2312" w:eastAsia="仿宋_GB2312"/>
          <w:sz w:val="32"/>
          <w:szCs w:val="32"/>
        </w:rPr>
      </w:pPr>
      <w:r>
        <w:rPr>
          <w:rFonts w:ascii="仿宋_GB2312" w:eastAsia="仿宋_GB2312"/>
          <w:sz w:val="32"/>
          <w:szCs w:val="32"/>
        </w:rPr>
        <w:t>（二）政府采购情况</w:t>
      </w:r>
    </w:p>
    <w:p w14:paraId="17C20D78">
      <w:pPr>
        <w:widowControl/>
        <w:jc w:val="left"/>
        <w:rPr>
          <w:rFonts w:ascii="仿宋_GB2312" w:eastAsia="仿宋_GB2312"/>
          <w:sz w:val="32"/>
          <w:szCs w:val="32"/>
        </w:rPr>
      </w:pPr>
      <w:r>
        <w:rPr>
          <w:rFonts w:ascii="仿宋_GB2312" w:eastAsia="仿宋_GB2312"/>
          <w:sz w:val="32"/>
          <w:szCs w:val="32"/>
        </w:rPr>
        <w:t>（三）国有资产占用情况说明</w:t>
      </w:r>
    </w:p>
    <w:p w14:paraId="0D6D1BFC">
      <w:pPr>
        <w:widowControl/>
        <w:jc w:val="left"/>
        <w:rPr>
          <w:rFonts w:ascii="仿宋_GB2312" w:eastAsia="仿宋_GB2312"/>
          <w:sz w:val="32"/>
          <w:szCs w:val="32"/>
        </w:rPr>
      </w:pPr>
      <w:r>
        <w:rPr>
          <w:rFonts w:ascii="仿宋_GB2312" w:eastAsia="仿宋_GB2312"/>
          <w:sz w:val="32"/>
          <w:szCs w:val="32"/>
        </w:rPr>
        <w:t>十一、预算绩效的情况说明</w:t>
      </w:r>
    </w:p>
    <w:p w14:paraId="1EC16B53">
      <w:pPr>
        <w:widowControl/>
        <w:jc w:val="left"/>
        <w:rPr>
          <w:rFonts w:ascii="仿宋_GB2312" w:eastAsia="仿宋_GB2312"/>
          <w:sz w:val="32"/>
          <w:szCs w:val="32"/>
        </w:rPr>
      </w:pPr>
      <w:r>
        <w:rPr>
          <w:rFonts w:ascii="仿宋_GB2312" w:eastAsia="仿宋_GB2312"/>
          <w:sz w:val="32"/>
          <w:szCs w:val="32"/>
        </w:rPr>
        <w:t>十二、其他需说明的事项</w:t>
      </w:r>
    </w:p>
    <w:p w14:paraId="5E4ADF5A">
      <w:pPr>
        <w:widowControl/>
        <w:jc w:val="left"/>
        <w:rPr>
          <w:rFonts w:ascii="仿宋_GB2312" w:eastAsia="仿宋_GB2312"/>
          <w:sz w:val="32"/>
          <w:szCs w:val="32"/>
        </w:rPr>
      </w:pPr>
      <w:r>
        <w:rPr>
          <w:rFonts w:ascii="仿宋_GB2312" w:eastAsia="仿宋_GB2312"/>
          <w:b/>
          <w:sz w:val="32"/>
          <w:szCs w:val="32"/>
        </w:rPr>
        <w:t>第三部分 专业名词解释</w:t>
      </w:r>
    </w:p>
    <w:p w14:paraId="5D348763">
      <w:pPr>
        <w:widowControl/>
        <w:jc w:val="left"/>
        <w:rPr>
          <w:rFonts w:ascii="仿宋_GB2312" w:eastAsia="仿宋_GB2312"/>
          <w:sz w:val="32"/>
          <w:szCs w:val="32"/>
        </w:rPr>
      </w:pPr>
      <w:r>
        <w:rPr>
          <w:rFonts w:ascii="仿宋_GB2312" w:eastAsia="仿宋_GB2312"/>
          <w:b/>
          <w:sz w:val="32"/>
          <w:szCs w:val="32"/>
        </w:rPr>
        <w:t>第四部分 部门决算报表（见附表）</w:t>
      </w:r>
    </w:p>
    <w:p w14:paraId="18B419D1">
      <w:pPr>
        <w:widowControl/>
        <w:jc w:val="left"/>
        <w:rPr>
          <w:rFonts w:ascii="仿宋_GB2312" w:eastAsia="仿宋_GB2312"/>
          <w:sz w:val="32"/>
          <w:szCs w:val="32"/>
        </w:rPr>
      </w:pPr>
      <w:r>
        <w:rPr>
          <w:rFonts w:ascii="仿宋_GB2312" w:eastAsia="仿宋_GB2312"/>
          <w:sz w:val="32"/>
          <w:szCs w:val="32"/>
        </w:rPr>
        <w:t>一、《收入支出决算总表》</w:t>
      </w:r>
    </w:p>
    <w:p w14:paraId="3E77523C">
      <w:pPr>
        <w:widowControl/>
        <w:jc w:val="left"/>
        <w:rPr>
          <w:rFonts w:ascii="仿宋_GB2312" w:eastAsia="仿宋_GB2312"/>
          <w:sz w:val="32"/>
          <w:szCs w:val="32"/>
        </w:rPr>
      </w:pPr>
      <w:r>
        <w:rPr>
          <w:rFonts w:ascii="仿宋_GB2312" w:eastAsia="仿宋_GB2312"/>
          <w:sz w:val="32"/>
          <w:szCs w:val="32"/>
        </w:rPr>
        <w:t>二、《收入决算表》</w:t>
      </w:r>
    </w:p>
    <w:p w14:paraId="67C462DC">
      <w:pPr>
        <w:widowControl/>
        <w:jc w:val="left"/>
        <w:rPr>
          <w:rFonts w:ascii="仿宋_GB2312" w:eastAsia="仿宋_GB2312"/>
          <w:sz w:val="32"/>
          <w:szCs w:val="32"/>
        </w:rPr>
      </w:pPr>
      <w:r>
        <w:rPr>
          <w:rFonts w:ascii="仿宋_GB2312" w:eastAsia="仿宋_GB2312"/>
          <w:sz w:val="32"/>
          <w:szCs w:val="32"/>
        </w:rPr>
        <w:t>三、《支出决算表》</w:t>
      </w:r>
    </w:p>
    <w:p w14:paraId="48B5F713">
      <w:pPr>
        <w:widowControl/>
        <w:jc w:val="left"/>
        <w:rPr>
          <w:rFonts w:ascii="仿宋_GB2312" w:eastAsia="仿宋_GB2312"/>
          <w:sz w:val="32"/>
          <w:szCs w:val="32"/>
        </w:rPr>
      </w:pPr>
      <w:r>
        <w:rPr>
          <w:rFonts w:ascii="仿宋_GB2312" w:eastAsia="仿宋_GB2312"/>
          <w:sz w:val="32"/>
          <w:szCs w:val="32"/>
        </w:rPr>
        <w:t>四、《财政拨款收入支出决算总表》</w:t>
      </w:r>
    </w:p>
    <w:p w14:paraId="65F15BD1">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7EF308A4">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04E7231F">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6B6E3828">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63AFB791">
      <w:pPr>
        <w:widowControl/>
        <w:jc w:val="left"/>
        <w:rPr>
          <w:rFonts w:ascii="仿宋_GB2312" w:eastAsia="仿宋_GB2312"/>
          <w:sz w:val="32"/>
          <w:szCs w:val="32"/>
        </w:rPr>
      </w:pPr>
      <w:r>
        <w:rPr>
          <w:rFonts w:ascii="仿宋_GB2312" w:eastAsia="仿宋_GB2312"/>
          <w:sz w:val="32"/>
          <w:szCs w:val="32"/>
        </w:rPr>
        <w:t>九、《财政拨款“三公”经费支出决算表》</w:t>
      </w:r>
    </w:p>
    <w:p w14:paraId="6F9C118D">
      <w:pPr>
        <w:widowControl/>
      </w:pPr>
      <w:r>
        <w:rPr>
          <w:sz w:val="0"/>
          <w:szCs w:val="0"/>
        </w:rPr>
        <w:br w:type="page"/>
      </w:r>
    </w:p>
    <w:p w14:paraId="40663E1F">
      <w:pPr>
        <w:widowControl/>
        <w:jc w:val="center"/>
        <w:outlineLvl w:val="0"/>
        <w:rPr>
          <w:rFonts w:ascii="黑体" w:eastAsia="黑体"/>
          <w:sz w:val="32"/>
          <w:szCs w:val="32"/>
        </w:rPr>
      </w:pPr>
      <w:r>
        <w:rPr>
          <w:rFonts w:ascii="黑体" w:eastAsia="黑体"/>
          <w:sz w:val="32"/>
          <w:szCs w:val="32"/>
        </w:rPr>
        <w:t>第一部分 单位概况</w:t>
      </w:r>
    </w:p>
    <w:p w14:paraId="1106D4DA">
      <w:pPr>
        <w:widowControl/>
        <w:ind w:firstLine="640" w:firstLineChars="200"/>
        <w:jc w:val="left"/>
        <w:outlineLvl w:val="1"/>
        <w:rPr>
          <w:rFonts w:ascii="黑体" w:eastAsia="黑体"/>
          <w:sz w:val="32"/>
          <w:szCs w:val="32"/>
        </w:rPr>
      </w:pPr>
      <w:r>
        <w:rPr>
          <w:rFonts w:ascii="黑体" w:eastAsia="黑体"/>
          <w:sz w:val="32"/>
          <w:szCs w:val="32"/>
        </w:rPr>
        <w:t>一、主要职能</w:t>
      </w:r>
    </w:p>
    <w:p w14:paraId="1BFB496B">
      <w:pPr>
        <w:widowControl/>
        <w:ind w:firstLine="640" w:firstLineChars="200"/>
        <w:rPr>
          <w:rFonts w:ascii="仿宋_GB2312" w:eastAsia="仿宋_GB2312"/>
          <w:sz w:val="32"/>
          <w:szCs w:val="32"/>
        </w:rPr>
      </w:pPr>
      <w:r>
        <w:rPr>
          <w:rFonts w:ascii="仿宋_GB2312" w:eastAsia="仿宋_GB2312"/>
          <w:sz w:val="32"/>
          <w:szCs w:val="32"/>
        </w:rPr>
        <w:t>1.坚持社会主义办学方向，全面贯彻执行国家教育法律、法规、政策、全面提高教育教学质量。</w:t>
      </w:r>
    </w:p>
    <w:p w14:paraId="2FB08200">
      <w:pPr>
        <w:widowControl/>
        <w:ind w:firstLine="640" w:firstLineChars="200"/>
        <w:rPr>
          <w:rFonts w:ascii="仿宋_GB2312" w:eastAsia="仿宋_GB2312"/>
          <w:sz w:val="32"/>
          <w:szCs w:val="32"/>
        </w:rPr>
      </w:pPr>
      <w:r>
        <w:rPr>
          <w:rFonts w:ascii="仿宋_GB2312" w:eastAsia="仿宋_GB2312"/>
          <w:sz w:val="32"/>
          <w:szCs w:val="32"/>
        </w:rPr>
        <w:t>2.制定和实施本校教育发展规定和教育教学计划，加强学校教职工队伍建设。</w:t>
      </w:r>
    </w:p>
    <w:p w14:paraId="21CCB725">
      <w:pPr>
        <w:widowControl/>
        <w:ind w:firstLine="640" w:firstLineChars="200"/>
        <w:rPr>
          <w:rFonts w:ascii="仿宋_GB2312" w:eastAsia="仿宋_GB2312"/>
          <w:sz w:val="32"/>
          <w:szCs w:val="32"/>
        </w:rPr>
      </w:pPr>
      <w:r>
        <w:rPr>
          <w:rFonts w:ascii="仿宋_GB2312" w:eastAsia="仿宋_GB2312"/>
          <w:sz w:val="32"/>
          <w:szCs w:val="32"/>
        </w:rPr>
        <w:t>3.筹措并管好、用好教育经费，继续改善办学条件，密切学校与家庭、社会的联系；树立良好的校风、教风、学风，使学校成为建设社会主义精神文明的重要阵地。</w:t>
      </w:r>
    </w:p>
    <w:p w14:paraId="7EBC43F3">
      <w:pPr>
        <w:widowControl/>
        <w:ind w:firstLine="640" w:firstLineChars="200"/>
        <w:rPr>
          <w:rFonts w:ascii="仿宋_GB2312" w:eastAsia="仿宋_GB2312"/>
          <w:sz w:val="32"/>
          <w:szCs w:val="32"/>
        </w:rPr>
      </w:pPr>
      <w:r>
        <w:rPr>
          <w:rFonts w:ascii="仿宋_GB2312" w:eastAsia="仿宋_GB2312"/>
          <w:sz w:val="32"/>
          <w:szCs w:val="32"/>
        </w:rPr>
        <w:t>4.落实上级党委、教育局工委和教育行政主管部门下达的工作目标和工作任务。</w:t>
      </w:r>
    </w:p>
    <w:p w14:paraId="125CB3E2">
      <w:pPr>
        <w:widowControl/>
        <w:ind w:firstLine="640" w:firstLineChars="200"/>
        <w:jc w:val="left"/>
        <w:outlineLvl w:val="1"/>
        <w:rPr>
          <w:rFonts w:ascii="黑体" w:eastAsia="黑体"/>
          <w:sz w:val="32"/>
          <w:szCs w:val="32"/>
        </w:rPr>
      </w:pPr>
      <w:r>
        <w:rPr>
          <w:rFonts w:ascii="黑体" w:eastAsia="黑体"/>
          <w:sz w:val="32"/>
          <w:szCs w:val="32"/>
        </w:rPr>
        <w:t>二、机构设置及人员情况</w:t>
      </w:r>
    </w:p>
    <w:p w14:paraId="069881E3">
      <w:pPr>
        <w:widowControl/>
        <w:ind w:firstLine="640" w:firstLineChars="200"/>
        <w:rPr>
          <w:rFonts w:ascii="仿宋_GB2312" w:eastAsia="仿宋_GB2312"/>
          <w:sz w:val="32"/>
          <w:szCs w:val="32"/>
        </w:rPr>
      </w:pPr>
      <w:r>
        <w:rPr>
          <w:rFonts w:ascii="仿宋_GB2312" w:eastAsia="仿宋_GB2312"/>
          <w:sz w:val="32"/>
          <w:szCs w:val="32"/>
        </w:rPr>
        <w:t>昌吉市滨湖镇中心学校2024年度，实有人数81人，其中：在职人员20人，减少1人；离休人员0人，较上年无变化；退休人员61人，较上年无变化</w:t>
      </w:r>
      <w:r>
        <w:rPr>
          <w:rFonts w:hint="eastAsia" w:ascii="仿宋_GB2312" w:eastAsia="仿宋_GB2312"/>
          <w:sz w:val="32"/>
          <w:szCs w:val="32"/>
        </w:rPr>
        <w:t>。</w:t>
      </w:r>
    </w:p>
    <w:p w14:paraId="3EF19C3E">
      <w:pPr>
        <w:widowControl/>
        <w:ind w:firstLine="640" w:firstLineChars="200"/>
        <w:rPr>
          <w:rFonts w:ascii="仿宋_GB2312" w:eastAsia="仿宋_GB2312"/>
          <w:sz w:val="32"/>
          <w:szCs w:val="32"/>
        </w:rPr>
      </w:pPr>
      <w:r>
        <w:rPr>
          <w:rFonts w:ascii="仿宋_GB2312" w:eastAsia="仿宋_GB2312"/>
          <w:sz w:val="32"/>
          <w:szCs w:val="32"/>
        </w:rPr>
        <w:t>昌吉市滨湖镇中心学校无下属预算单位，下设4个</w:t>
      </w:r>
      <w:r>
        <w:rPr>
          <w:rFonts w:hint="eastAsia" w:ascii="仿宋_GB2312" w:eastAsia="仿宋_GB2312"/>
          <w:sz w:val="32"/>
          <w:szCs w:val="32"/>
        </w:rPr>
        <w:t>科</w:t>
      </w:r>
      <w:r>
        <w:rPr>
          <w:rFonts w:ascii="仿宋_GB2312" w:eastAsia="仿宋_GB2312"/>
          <w:sz w:val="32"/>
          <w:szCs w:val="32"/>
        </w:rPr>
        <w:t>室，分别是：教务处、德育处、总务处、办公室。</w:t>
      </w:r>
    </w:p>
    <w:p w14:paraId="1827AA69">
      <w:pPr>
        <w:widowControl/>
      </w:pPr>
      <w:r>
        <w:rPr>
          <w:sz w:val="0"/>
          <w:szCs w:val="0"/>
        </w:rPr>
        <w:br w:type="page"/>
      </w:r>
    </w:p>
    <w:p w14:paraId="50D5A5FE">
      <w:pPr>
        <w:widowControl/>
        <w:jc w:val="center"/>
        <w:outlineLvl w:val="0"/>
        <w:rPr>
          <w:rFonts w:ascii="黑体" w:eastAsia="黑体"/>
          <w:sz w:val="32"/>
          <w:szCs w:val="32"/>
        </w:rPr>
      </w:pPr>
      <w:r>
        <w:rPr>
          <w:rFonts w:ascii="黑体" w:eastAsia="黑体"/>
          <w:sz w:val="32"/>
          <w:szCs w:val="32"/>
        </w:rPr>
        <w:t>第二部分 部门决算情况说明</w:t>
      </w:r>
    </w:p>
    <w:p w14:paraId="74A5C033">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50E6DB12">
      <w:pPr>
        <w:widowControl/>
        <w:ind w:firstLine="640" w:firstLineChars="200"/>
        <w:rPr>
          <w:rFonts w:ascii="仿宋_GB2312" w:eastAsia="仿宋_GB2312"/>
          <w:sz w:val="32"/>
          <w:szCs w:val="32"/>
        </w:rPr>
      </w:pPr>
      <w:r>
        <w:rPr>
          <w:rFonts w:ascii="仿宋_GB2312" w:eastAsia="仿宋_GB2312"/>
          <w:sz w:val="32"/>
          <w:szCs w:val="32"/>
        </w:rPr>
        <w:t>2024年度收入总计582.50万元，其中：本年收入合计578.62万元，使用非财政拨款结余（含专用结余）0.00万元，年初结转和结余3.87万元。</w:t>
      </w:r>
    </w:p>
    <w:p w14:paraId="6B73E443">
      <w:pPr>
        <w:widowControl/>
        <w:ind w:firstLine="640" w:firstLineChars="200"/>
        <w:rPr>
          <w:rFonts w:ascii="仿宋_GB2312" w:eastAsia="仿宋_GB2312"/>
          <w:sz w:val="32"/>
          <w:szCs w:val="32"/>
        </w:rPr>
      </w:pPr>
      <w:r>
        <w:rPr>
          <w:rFonts w:ascii="仿宋_GB2312" w:eastAsia="仿宋_GB2312"/>
          <w:sz w:val="32"/>
          <w:szCs w:val="32"/>
        </w:rPr>
        <w:t>2024年度支出总计582.50万元，其中：本年支出合计578.74万元，结余分配0.00万元，年末结转和结余3.76万元。</w:t>
      </w:r>
    </w:p>
    <w:p w14:paraId="0A2D9E63">
      <w:pPr>
        <w:widowControl/>
        <w:ind w:firstLine="640" w:firstLineChars="200"/>
        <w:rPr>
          <w:rFonts w:ascii="仿宋_GB2312" w:eastAsia="仿宋_GB2312"/>
          <w:sz w:val="32"/>
          <w:szCs w:val="32"/>
        </w:rPr>
      </w:pPr>
      <w:r>
        <w:rPr>
          <w:rFonts w:ascii="仿宋_GB2312" w:eastAsia="仿宋_GB2312"/>
          <w:sz w:val="32"/>
          <w:szCs w:val="32"/>
        </w:rPr>
        <w:t>收入支出总体与上年相比，减少2.39万元，下降0.41%，主要原因是：单位本年教室环境改善装饰维修项目经费减少。</w:t>
      </w:r>
    </w:p>
    <w:p w14:paraId="00088CE6">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14:paraId="74121314">
      <w:pPr>
        <w:widowControl/>
        <w:ind w:firstLine="640" w:firstLineChars="200"/>
        <w:rPr>
          <w:rFonts w:ascii="仿宋_GB2312" w:eastAsia="仿宋_GB2312"/>
          <w:sz w:val="32"/>
          <w:szCs w:val="32"/>
        </w:rPr>
      </w:pPr>
      <w:r>
        <w:rPr>
          <w:rFonts w:ascii="仿宋_GB2312" w:eastAsia="仿宋_GB2312"/>
          <w:sz w:val="32"/>
          <w:szCs w:val="32"/>
        </w:rPr>
        <w:t>本年收入578.62万元，其中：财政拨款收入564.78万元,占97.61%；上级补助收入0.00万元,占0.00%；事业收入0.00万元，占0.00%；经营收入0.00万元,占0.00%；附属单位上缴收入0.00万元，占0.00%；其他收入13.84万元，占2.39%。</w:t>
      </w:r>
    </w:p>
    <w:p w14:paraId="38C567FB">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14:paraId="45C1E46C">
      <w:pPr>
        <w:widowControl/>
        <w:ind w:firstLine="640" w:firstLineChars="200"/>
        <w:rPr>
          <w:rFonts w:ascii="仿宋_GB2312" w:eastAsia="仿宋_GB2312"/>
          <w:sz w:val="32"/>
          <w:szCs w:val="32"/>
        </w:rPr>
      </w:pPr>
      <w:r>
        <w:rPr>
          <w:rFonts w:ascii="仿宋_GB2312" w:eastAsia="仿宋_GB2312"/>
          <w:sz w:val="32"/>
          <w:szCs w:val="32"/>
        </w:rPr>
        <w:t>本年支出578.74万元，其中：基本支出571.74万元，占98.79%；项目支出7.00万元，占1.21%；上缴上级支出0.00万元，占0.00%；经营支出0.00万元，占0.00%；对附属单位补助支出0.00万元，占0.00%。</w:t>
      </w:r>
    </w:p>
    <w:p w14:paraId="0982B29C">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25595CE6">
      <w:pPr>
        <w:widowControl/>
        <w:ind w:firstLine="640" w:firstLineChars="200"/>
        <w:rPr>
          <w:rFonts w:ascii="仿宋_GB2312" w:eastAsia="仿宋_GB2312"/>
          <w:sz w:val="32"/>
          <w:szCs w:val="32"/>
        </w:rPr>
      </w:pPr>
      <w:r>
        <w:rPr>
          <w:rFonts w:ascii="仿宋_GB2312" w:eastAsia="仿宋_GB2312"/>
          <w:sz w:val="32"/>
          <w:szCs w:val="32"/>
        </w:rPr>
        <w:t>2024年度财政拨款收入总计564.78万元，其中：年初财政拨款结转和结余0.00万元，本年财政拨款收入564.78万元。财政拨款支出总计564.78万元，其中：年末财政拨款结转和结余0.00万元，本年财政拨款支出564.78万元。</w:t>
      </w:r>
    </w:p>
    <w:p w14:paraId="3907E5A5">
      <w:pPr>
        <w:widowControl/>
        <w:ind w:firstLine="640" w:firstLineChars="200"/>
        <w:rPr>
          <w:rFonts w:ascii="仿宋_GB2312" w:eastAsia="仿宋_GB2312"/>
          <w:sz w:val="32"/>
          <w:szCs w:val="32"/>
        </w:rPr>
      </w:pPr>
      <w:r>
        <w:rPr>
          <w:rFonts w:ascii="仿宋_GB2312" w:eastAsia="仿宋_GB2312"/>
          <w:sz w:val="32"/>
          <w:szCs w:val="32"/>
        </w:rPr>
        <w:t>财政拨款收入支出总体与上年相比，减少4.99万元，下降0.88%，主要原因是：单位本年教室环境改善装饰维修项目经费减少。与年初预算相比，年初预算数475.73万元，决算数564.78万元，预决算差异率18.72%，主要原因是：年中追加城乡义务教育补助资金预算（中央直达资质）校舍安全保障维护费项目经费。</w:t>
      </w:r>
    </w:p>
    <w:p w14:paraId="79FDC561">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625069F1">
      <w:pPr>
        <w:widowControl/>
        <w:ind w:firstLine="643" w:firstLineChars="200"/>
        <w:jc w:val="left"/>
        <w:outlineLvl w:val="2"/>
        <w:rPr>
          <w:rFonts w:ascii="黑体" w:eastAsia="黑体"/>
          <w:sz w:val="32"/>
          <w:szCs w:val="32"/>
        </w:rPr>
      </w:pPr>
      <w:r>
        <w:rPr>
          <w:rFonts w:ascii="黑体" w:eastAsia="黑体"/>
          <w:b/>
          <w:sz w:val="32"/>
          <w:szCs w:val="32"/>
        </w:rPr>
        <w:t>（一）一般公共预算财政拨款支出决算总体情况</w:t>
      </w:r>
    </w:p>
    <w:p w14:paraId="25C0AAC0">
      <w:pPr>
        <w:widowControl/>
        <w:ind w:firstLine="640" w:firstLineChars="200"/>
        <w:rPr>
          <w:rFonts w:ascii="仿宋_GB2312" w:eastAsia="仿宋_GB2312"/>
          <w:sz w:val="32"/>
          <w:szCs w:val="32"/>
        </w:rPr>
      </w:pPr>
      <w:r>
        <w:rPr>
          <w:rFonts w:ascii="仿宋_GB2312" w:eastAsia="仿宋_GB2312"/>
          <w:sz w:val="32"/>
          <w:szCs w:val="32"/>
        </w:rPr>
        <w:t>2024年度一般公共预算财政拨款支出559.78万元，占本年支出合计的96.72%。与上年相比，增加9.19万元，增长1.67%，主要原因是：单位本年职工调增薪资</w:t>
      </w:r>
      <w:r>
        <w:rPr>
          <w:rFonts w:hint="eastAsia" w:ascii="仿宋_GB2312" w:eastAsia="仿宋_GB2312"/>
          <w:sz w:val="32"/>
          <w:szCs w:val="32"/>
        </w:rPr>
        <w:t>，工资、社保、公积金增加</w:t>
      </w:r>
      <w:r>
        <w:rPr>
          <w:rFonts w:ascii="仿宋_GB2312" w:eastAsia="仿宋_GB2312"/>
          <w:sz w:val="32"/>
          <w:szCs w:val="32"/>
        </w:rPr>
        <w:t>。与年初预算相比，年初预算数470.73万元，决算数559.78万元，预决算差异率18.92%，主要原因是：年中追加城乡义务教育补助资金预算（中央直达资质）校舍安全保障维护费项目经费。</w:t>
      </w:r>
    </w:p>
    <w:p w14:paraId="4B9A021E">
      <w:pPr>
        <w:widowControl/>
        <w:ind w:firstLine="643" w:firstLineChars="200"/>
        <w:jc w:val="left"/>
        <w:outlineLvl w:val="2"/>
        <w:rPr>
          <w:rFonts w:ascii="黑体" w:eastAsia="黑体"/>
          <w:sz w:val="32"/>
          <w:szCs w:val="32"/>
        </w:rPr>
      </w:pPr>
      <w:r>
        <w:rPr>
          <w:rFonts w:ascii="黑体" w:eastAsia="黑体"/>
          <w:b/>
          <w:sz w:val="32"/>
          <w:szCs w:val="32"/>
        </w:rPr>
        <w:t>（二）一般公共预算财政拨款支出决算结构情况</w:t>
      </w:r>
    </w:p>
    <w:p w14:paraId="1CD64CEE">
      <w:pPr>
        <w:widowControl/>
        <w:ind w:firstLine="640" w:firstLineChars="200"/>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教育支出（类）553.62万元，占98.90%。</w:t>
      </w:r>
    </w:p>
    <w:p w14:paraId="6CC64B58">
      <w:pPr>
        <w:widowControl/>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社会保障和就业支出（类）6.17万元，占1.10%。</w:t>
      </w:r>
    </w:p>
    <w:p w14:paraId="273CC873">
      <w:pPr>
        <w:widowControl/>
        <w:ind w:firstLine="643" w:firstLineChars="200"/>
        <w:jc w:val="left"/>
        <w:outlineLvl w:val="2"/>
        <w:rPr>
          <w:rFonts w:ascii="黑体" w:eastAsia="黑体"/>
          <w:sz w:val="32"/>
          <w:szCs w:val="32"/>
        </w:rPr>
      </w:pPr>
      <w:r>
        <w:rPr>
          <w:rFonts w:ascii="黑体" w:eastAsia="黑体"/>
          <w:b/>
          <w:sz w:val="32"/>
          <w:szCs w:val="32"/>
        </w:rPr>
        <w:t>（三）一般公共预算财政拨款支出决算具体情况</w:t>
      </w:r>
    </w:p>
    <w:p w14:paraId="5431CC69">
      <w:pPr>
        <w:widowControl/>
        <w:ind w:firstLine="640" w:firstLineChars="200"/>
        <w:rPr>
          <w:rFonts w:ascii="仿宋_GB2312" w:eastAsia="仿宋_GB2312"/>
          <w:sz w:val="32"/>
          <w:szCs w:val="32"/>
        </w:rPr>
      </w:pPr>
      <w:r>
        <w:rPr>
          <w:rFonts w:ascii="仿宋_GB2312" w:eastAsia="仿宋_GB2312"/>
          <w:sz w:val="32"/>
          <w:szCs w:val="32"/>
        </w:rPr>
        <w:t>1、教育支出（类）普通教育（款）小学教育（项）：支出决算数为553.62万元，比上年决算增加8.86万元，增长1.63%，主要原因是：单位本年职工调增薪资</w:t>
      </w:r>
      <w:r>
        <w:rPr>
          <w:rFonts w:hint="eastAsia" w:ascii="仿宋_GB2312" w:eastAsia="仿宋_GB2312"/>
          <w:sz w:val="32"/>
          <w:szCs w:val="32"/>
        </w:rPr>
        <w:t>，工资、社保、公积金增加</w:t>
      </w:r>
      <w:r>
        <w:rPr>
          <w:rFonts w:ascii="仿宋_GB2312" w:eastAsia="仿宋_GB2312"/>
          <w:sz w:val="32"/>
          <w:szCs w:val="32"/>
        </w:rPr>
        <w:t>。</w:t>
      </w:r>
    </w:p>
    <w:p w14:paraId="2DD52008">
      <w:pPr>
        <w:widowControl/>
        <w:ind w:firstLine="640" w:firstLineChars="200"/>
        <w:rPr>
          <w:rFonts w:ascii="仿宋_GB2312" w:eastAsia="仿宋_GB2312"/>
          <w:sz w:val="32"/>
          <w:szCs w:val="32"/>
        </w:rPr>
      </w:pPr>
      <w:r>
        <w:rPr>
          <w:rFonts w:ascii="仿宋_GB2312" w:eastAsia="仿宋_GB2312"/>
          <w:sz w:val="32"/>
          <w:szCs w:val="32"/>
        </w:rPr>
        <w:t>2、社会保障和就业支出（类）行政事业单位养老支出（款）机关事业单位职业年金缴费支出（项）：支出决算数为6.17万元，比上年决算增加0.34万元，增长5.83%，主要原因是：单位本年一次性职业年金缴费较上年增加。</w:t>
      </w:r>
    </w:p>
    <w:p w14:paraId="06E584A1">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2AC749F5">
      <w:pPr>
        <w:widowControl/>
        <w:ind w:firstLine="640" w:firstLineChars="200"/>
        <w:rPr>
          <w:rFonts w:ascii="仿宋_GB2312" w:eastAsia="仿宋_GB2312"/>
          <w:sz w:val="32"/>
          <w:szCs w:val="32"/>
        </w:rPr>
      </w:pPr>
      <w:r>
        <w:rPr>
          <w:rFonts w:ascii="仿宋_GB2312" w:eastAsia="仿宋_GB2312"/>
          <w:sz w:val="32"/>
          <w:szCs w:val="32"/>
        </w:rPr>
        <w:t>2024年度一般公共预算财政拨款基本支出552.78万元，其中：人员经费527.55万元，包括：基本工资、津贴补贴、奖金、绩效工资、机关事业单位基本养老保险缴费、职业年金缴费、职工基本医疗保险缴费、其他社会保障缴费、住房公积金、其他工资福利支出、退休费、抚恤金、助学金、奖励金和其他对个人和家庭的补助。</w:t>
      </w:r>
    </w:p>
    <w:p w14:paraId="64499E2C">
      <w:pPr>
        <w:widowControl/>
        <w:ind w:firstLine="640" w:firstLineChars="200"/>
        <w:rPr>
          <w:rFonts w:ascii="仿宋_GB2312" w:eastAsia="仿宋_GB2312"/>
          <w:sz w:val="32"/>
          <w:szCs w:val="32"/>
        </w:rPr>
      </w:pPr>
      <w:r>
        <w:rPr>
          <w:rFonts w:ascii="仿宋_GB2312" w:eastAsia="仿宋_GB2312"/>
          <w:sz w:val="32"/>
          <w:szCs w:val="32"/>
        </w:rPr>
        <w:t>公用经费25.23万元，包括：办公费、手续费、水费、电费、邮电费、取暖费、物业管理费、维修（护）费和劳务费。</w:t>
      </w:r>
    </w:p>
    <w:p w14:paraId="5D3737A6">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6DC41AF0">
      <w:pPr>
        <w:widowControl/>
        <w:ind w:firstLine="640" w:firstLineChars="200"/>
        <w:rPr>
          <w:rFonts w:ascii="仿宋_GB2312" w:eastAsia="仿宋_GB2312"/>
          <w:sz w:val="32"/>
          <w:szCs w:val="32"/>
        </w:rPr>
      </w:pPr>
      <w:r>
        <w:rPr>
          <w:rFonts w:ascii="仿宋_GB2312" w:eastAsia="仿宋_GB2312"/>
          <w:sz w:val="32"/>
          <w:szCs w:val="32"/>
        </w:rPr>
        <w:t>2024年度政府性基金预算财政拨款收入总计5.00万元，其中：年初结转和结余0.00万元，本年收入5.00万元。政府性基金预算财政拨款支出总计5.00万元，其中：年末结转和结余0.00万元，本年支出5.00万元。</w:t>
      </w:r>
    </w:p>
    <w:p w14:paraId="28CC8EBC">
      <w:pPr>
        <w:widowControl/>
        <w:ind w:firstLine="640" w:firstLineChars="200"/>
        <w:rPr>
          <w:rFonts w:ascii="仿宋_GB2312" w:eastAsia="仿宋_GB2312"/>
          <w:sz w:val="32"/>
          <w:szCs w:val="32"/>
        </w:rPr>
      </w:pPr>
      <w:r>
        <w:rPr>
          <w:rFonts w:ascii="仿宋_GB2312" w:eastAsia="仿宋_GB2312"/>
          <w:sz w:val="32"/>
          <w:szCs w:val="32"/>
        </w:rPr>
        <w:t>政府性基金预算财政拨款收入支出总体与上年相比，增加5.00万元，增长100%，主要原因是：单位本年用于体育事业的彩票公益金项目经费增加。与年初预算相比，年初预算数5.00万元，决算数5.00万元，预决算差异率0%，主要原因是：严格按照预算执行，预决算对比无差异。</w:t>
      </w:r>
    </w:p>
    <w:p w14:paraId="1325DA04">
      <w:pPr>
        <w:widowControl/>
        <w:ind w:firstLine="640" w:firstLineChars="200"/>
        <w:rPr>
          <w:rFonts w:ascii="仿宋_GB2312" w:eastAsia="仿宋_GB2312"/>
          <w:sz w:val="32"/>
          <w:szCs w:val="32"/>
        </w:rPr>
      </w:pPr>
      <w:r>
        <w:rPr>
          <w:rFonts w:ascii="仿宋_GB2312" w:eastAsia="仿宋_GB2312"/>
          <w:sz w:val="32"/>
          <w:szCs w:val="32"/>
        </w:rPr>
        <w:t>政府性基金预算财政拨款支出5.00万元。</w:t>
      </w:r>
    </w:p>
    <w:p w14:paraId="60D8A894">
      <w:pPr>
        <w:widowControl/>
        <w:ind w:firstLine="640" w:firstLineChars="200"/>
        <w:rPr>
          <w:rFonts w:ascii="仿宋_GB2312" w:eastAsia="仿宋_GB2312"/>
          <w:sz w:val="32"/>
          <w:szCs w:val="32"/>
        </w:rPr>
      </w:pPr>
      <w:r>
        <w:rPr>
          <w:rFonts w:ascii="仿宋_GB2312" w:eastAsia="仿宋_GB2312"/>
          <w:sz w:val="32"/>
          <w:szCs w:val="32"/>
        </w:rPr>
        <w:t>1、其他支出（类）彩票公益金安排的支出（款）用于体育事业的彩票公益金支出（项）：支出决算数为5.00万元，比上年决算增加5.00万元，增长100.00%，主要原因是：单位本年用于体育事业的彩票公益金项目经费增加。</w:t>
      </w:r>
    </w:p>
    <w:p w14:paraId="0B3B2054">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67D8271D">
      <w:pPr>
        <w:widowControl/>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7C94D4AC">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0F7A1D2C">
      <w:pPr>
        <w:widowControl/>
        <w:ind w:firstLine="640" w:firstLineChars="200"/>
        <w:rPr>
          <w:rFonts w:ascii="仿宋_GB2312" w:eastAsia="仿宋_GB2312"/>
          <w:sz w:val="32"/>
          <w:szCs w:val="32"/>
        </w:rPr>
      </w:pPr>
      <w:r>
        <w:rPr>
          <w:rFonts w:ascii="仿宋_GB2312" w:eastAsia="仿宋_GB2312"/>
          <w:sz w:val="32"/>
          <w:szCs w:val="32"/>
        </w:rPr>
        <w:t>2024年度财政拨款“三公”经费支出0.00万元，与上年相比无变化，主要原因是：</w:t>
      </w:r>
      <w:r>
        <w:rPr>
          <w:rFonts w:hint="eastAsia" w:ascii="仿宋_GB2312" w:eastAsia="仿宋_GB2312"/>
          <w:sz w:val="32"/>
          <w:szCs w:val="32"/>
        </w:rPr>
        <w:t>我单位上年度与本年度均无“三公”经费</w:t>
      </w:r>
      <w:r>
        <w:rPr>
          <w:rFonts w:ascii="仿宋_GB2312" w:eastAsia="仿宋_GB2312"/>
          <w:sz w:val="32"/>
          <w:szCs w:val="32"/>
        </w:rPr>
        <w:t>。其中：因公出国（境）费支出0.00万元,占0.00%，与上年相比无变化，主要原因是：</w:t>
      </w:r>
      <w:r>
        <w:rPr>
          <w:rFonts w:hint="eastAsia" w:ascii="仿宋_GB2312" w:eastAsia="仿宋_GB2312"/>
          <w:sz w:val="32"/>
          <w:szCs w:val="32"/>
        </w:rPr>
        <w:t>我单位上年度与本年度均无因公出国（境）费</w:t>
      </w:r>
      <w:r>
        <w:rPr>
          <w:rFonts w:ascii="仿宋_GB2312" w:eastAsia="仿宋_GB2312"/>
          <w:sz w:val="32"/>
          <w:szCs w:val="32"/>
        </w:rPr>
        <w:t>；公务用车购置及运行维护费支出0.00万元，占0.00%，与上年相比无变化，主要原因是：</w:t>
      </w:r>
      <w:r>
        <w:rPr>
          <w:rFonts w:hint="eastAsia" w:ascii="仿宋_GB2312" w:eastAsia="仿宋_GB2312"/>
          <w:sz w:val="32"/>
          <w:szCs w:val="32"/>
        </w:rPr>
        <w:t>我单位上年度与本年度均无公务用车购置及运行维护费</w:t>
      </w:r>
      <w:r>
        <w:rPr>
          <w:rFonts w:ascii="仿宋_GB2312" w:eastAsia="仿宋_GB2312"/>
          <w:sz w:val="32"/>
          <w:szCs w:val="32"/>
        </w:rPr>
        <w:t>；公务接待费支出0.00万元，占0.00%，与上年相比无变化，主要原因是：</w:t>
      </w:r>
      <w:r>
        <w:rPr>
          <w:rFonts w:hint="eastAsia" w:ascii="仿宋_GB2312" w:eastAsia="仿宋_GB2312"/>
          <w:sz w:val="32"/>
          <w:szCs w:val="32"/>
        </w:rPr>
        <w:t>我单位上年度与本年度均无公务接待费</w:t>
      </w:r>
      <w:r>
        <w:rPr>
          <w:rFonts w:ascii="仿宋_GB2312" w:eastAsia="仿宋_GB2312"/>
          <w:sz w:val="32"/>
          <w:szCs w:val="32"/>
        </w:rPr>
        <w:t>。</w:t>
      </w:r>
    </w:p>
    <w:p w14:paraId="438E9262">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14:paraId="2A6CDE29">
      <w:pPr>
        <w:widowControl/>
        <w:ind w:firstLine="640" w:firstLineChars="200"/>
        <w:rPr>
          <w:rFonts w:ascii="仿宋_GB2312" w:eastAsia="仿宋_GB2312"/>
          <w:sz w:val="32"/>
          <w:szCs w:val="32"/>
        </w:rPr>
      </w:pPr>
      <w:r>
        <w:rPr>
          <w:rFonts w:ascii="仿宋_GB2312" w:eastAsia="仿宋_GB2312"/>
          <w:sz w:val="32"/>
          <w:szCs w:val="32"/>
        </w:rPr>
        <w:t>因公出国（境）费支出0.00万元，开支内容包括单位本年无因公出国（境）费支出。单位全年安排的因公出国（境）团组0个，因公出国（境）0人次。</w:t>
      </w:r>
    </w:p>
    <w:p w14:paraId="3B58DC15">
      <w:pPr>
        <w:widowControl/>
        <w:ind w:firstLine="640" w:firstLineChars="20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w:t>
      </w:r>
      <w:r>
        <w:rPr>
          <w:rFonts w:ascii="仿宋_GB2312" w:eastAsia="仿宋_GB2312"/>
          <w:sz w:val="32"/>
          <w:szCs w:val="32"/>
        </w:rPr>
        <w:t>单位本年无公务用车运行维护费</w:t>
      </w:r>
      <w:bookmarkStart w:id="1" w:name="_GoBack"/>
      <w:bookmarkEnd w:id="1"/>
      <w:r>
        <w:rPr>
          <w:rFonts w:ascii="仿宋_GB2312" w:eastAsia="仿宋_GB2312"/>
          <w:sz w:val="32"/>
          <w:szCs w:val="32"/>
        </w:rPr>
        <w:t>。公务用车购置数0辆，公务用车保有量0辆。国有资产占用情况中固定资产车辆0辆，与公务用车保有量差异原因是：</w:t>
      </w:r>
      <w:r>
        <w:rPr>
          <w:rFonts w:hint="eastAsia" w:ascii="仿宋_GB2312" w:eastAsia="仿宋_GB2312"/>
          <w:sz w:val="32"/>
          <w:szCs w:val="32"/>
        </w:rPr>
        <w:t>本单位固定资产车辆与公务用车保有量一致无差异</w:t>
      </w:r>
      <w:r>
        <w:rPr>
          <w:rFonts w:ascii="仿宋_GB2312" w:eastAsia="仿宋_GB2312"/>
          <w:sz w:val="32"/>
          <w:szCs w:val="32"/>
        </w:rPr>
        <w:t>。</w:t>
      </w:r>
    </w:p>
    <w:p w14:paraId="273092B5">
      <w:pPr>
        <w:widowControl/>
        <w:ind w:firstLine="640" w:firstLineChars="200"/>
        <w:rPr>
          <w:rFonts w:ascii="仿宋_GB2312" w:eastAsia="仿宋_GB2312"/>
          <w:sz w:val="32"/>
          <w:szCs w:val="32"/>
        </w:rPr>
      </w:pPr>
      <w:r>
        <w:rPr>
          <w:rFonts w:ascii="仿宋_GB2312" w:eastAsia="仿宋_GB2312"/>
          <w:sz w:val="32"/>
          <w:szCs w:val="32"/>
        </w:rPr>
        <w:t>公务接待费0.00万元，开支内容包括单位本年无公务接待费支出。单位全年安排的国内公务接待0批次，0人次。</w:t>
      </w:r>
    </w:p>
    <w:p w14:paraId="54B40F22">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；公务用车运行维护费全年预算数0.00万元，决算数0.00万元，预决算差异率0.00%，主要原因是：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rPr>
        <w:t>严格按照预算执行，预决算对比无差异</w:t>
      </w:r>
      <w:r>
        <w:rPr>
          <w:rFonts w:ascii="仿宋_GB2312" w:eastAsia="仿宋_GB2312"/>
          <w:sz w:val="32"/>
          <w:szCs w:val="32"/>
        </w:rPr>
        <w:t>。</w:t>
      </w:r>
    </w:p>
    <w:p w14:paraId="4BB23ED0">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14:paraId="6C50ADD5">
      <w:pPr>
        <w:widowControl/>
        <w:ind w:firstLine="643" w:firstLineChars="200"/>
        <w:jc w:val="left"/>
        <w:outlineLvl w:val="2"/>
        <w:rPr>
          <w:rFonts w:ascii="黑体" w:eastAsia="黑体"/>
          <w:sz w:val="32"/>
          <w:szCs w:val="32"/>
        </w:rPr>
      </w:pPr>
      <w:r>
        <w:rPr>
          <w:rFonts w:ascii="黑体" w:eastAsia="黑体"/>
          <w:b/>
          <w:sz w:val="32"/>
          <w:szCs w:val="32"/>
        </w:rPr>
        <w:t>（一）机关运行经费及公用经费支出情况</w:t>
      </w:r>
    </w:p>
    <w:p w14:paraId="693A75B8">
      <w:pPr>
        <w:widowControl/>
        <w:ind w:firstLine="640" w:firstLineChars="200"/>
        <w:rPr>
          <w:rFonts w:ascii="仿宋_GB2312" w:eastAsia="仿宋_GB2312"/>
          <w:sz w:val="32"/>
          <w:szCs w:val="32"/>
        </w:rPr>
      </w:pPr>
      <w:r>
        <w:rPr>
          <w:rFonts w:ascii="仿宋_GB2312" w:eastAsia="仿宋_GB2312"/>
          <w:sz w:val="32"/>
          <w:szCs w:val="32"/>
        </w:rPr>
        <w:t>2024年度昌吉市滨湖镇中心学校单位（事业单位）公用经费支出30.23万元，比上年增加0.15万元，增长0.50%，主要原因是：单位本年办公费、取暖费较上年增加。</w:t>
      </w:r>
    </w:p>
    <w:p w14:paraId="2B39C09B">
      <w:pPr>
        <w:widowControl/>
        <w:ind w:firstLine="643" w:firstLineChars="200"/>
        <w:jc w:val="left"/>
        <w:outlineLvl w:val="2"/>
        <w:rPr>
          <w:rFonts w:ascii="黑体" w:eastAsia="黑体"/>
          <w:sz w:val="32"/>
          <w:szCs w:val="32"/>
        </w:rPr>
      </w:pPr>
      <w:r>
        <w:rPr>
          <w:rFonts w:ascii="黑体" w:eastAsia="黑体"/>
          <w:b/>
          <w:sz w:val="32"/>
          <w:szCs w:val="32"/>
        </w:rPr>
        <w:t>（二）政府采购情况</w:t>
      </w:r>
    </w:p>
    <w:p w14:paraId="6227275A">
      <w:pPr>
        <w:widowControl/>
        <w:ind w:firstLine="640" w:firstLineChars="200"/>
        <w:rPr>
          <w:rFonts w:ascii="仿宋_GB2312" w:eastAsia="仿宋_GB2312"/>
          <w:sz w:val="32"/>
          <w:szCs w:val="32"/>
        </w:rPr>
      </w:pPr>
      <w:r>
        <w:rPr>
          <w:rFonts w:ascii="仿宋_GB2312" w:eastAsia="仿宋_GB2312"/>
          <w:sz w:val="32"/>
          <w:szCs w:val="32"/>
        </w:rPr>
        <w:t>2024年度政府采购支出总额2.43万元，其中：政府采购货物支出2.43万元、政府采购工程支出0.00万元、政府采购服务支出0.00万元。</w:t>
      </w:r>
    </w:p>
    <w:p w14:paraId="0EE0F729">
      <w:pPr>
        <w:widowControl/>
        <w:ind w:firstLine="640" w:firstLineChars="200"/>
        <w:rPr>
          <w:rFonts w:ascii="仿宋_GB2312" w:eastAsia="仿宋_GB2312"/>
          <w:sz w:val="32"/>
          <w:szCs w:val="32"/>
        </w:rPr>
      </w:pPr>
      <w:r>
        <w:rPr>
          <w:rFonts w:ascii="仿宋_GB2312" w:eastAsia="仿宋_GB2312"/>
          <w:sz w:val="32"/>
          <w:szCs w:val="32"/>
        </w:rPr>
        <w:t>授予中小企业合同金额2.43万元，占政府采购支出总额的100.00%，其中：授予小微企业合同金额2.43万元，占政府采购支出总额的100.00%。</w:t>
      </w:r>
    </w:p>
    <w:p w14:paraId="04E58469">
      <w:pPr>
        <w:widowControl/>
        <w:ind w:firstLine="643" w:firstLineChars="200"/>
        <w:jc w:val="left"/>
        <w:outlineLvl w:val="2"/>
        <w:rPr>
          <w:rFonts w:ascii="黑体" w:eastAsia="黑体"/>
          <w:sz w:val="32"/>
          <w:szCs w:val="32"/>
        </w:rPr>
      </w:pPr>
      <w:r>
        <w:rPr>
          <w:rFonts w:ascii="黑体" w:eastAsia="黑体"/>
          <w:b/>
          <w:sz w:val="32"/>
          <w:szCs w:val="32"/>
        </w:rPr>
        <w:t>（三）国有资产占用情况说明</w:t>
      </w:r>
    </w:p>
    <w:p w14:paraId="0E4CDDFD">
      <w:pPr>
        <w:widowControl/>
        <w:ind w:firstLine="640" w:firstLineChars="200"/>
        <w:rPr>
          <w:rFonts w:ascii="仿宋_GB2312" w:eastAsia="仿宋_GB2312"/>
          <w:sz w:val="32"/>
          <w:szCs w:val="32"/>
        </w:rPr>
      </w:pPr>
      <w:r>
        <w:rPr>
          <w:rFonts w:ascii="仿宋_GB2312" w:eastAsia="仿宋_GB2312"/>
          <w:sz w:val="32"/>
          <w:szCs w:val="32"/>
        </w:rPr>
        <w:t>截至2024年12月31日，房屋9,320.60平方米，价值848.06万元。车辆0辆，价值0.00万元，其中：副部（省）级及以上领导用车0辆、主要负责人用车0辆、机要通信用车0辆、应急保障用车0辆、执法执勤用车0辆、特种专业技术用车0辆、离退休干部服务用车0辆、其他用车0辆，其他用车主要是：无其他用车;单价100万元（含）以上设备（不含车辆）0台（套）。</w:t>
      </w:r>
    </w:p>
    <w:p w14:paraId="7AB6F802">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14:paraId="686982FC">
      <w:pPr>
        <w:widowControl/>
        <w:ind w:firstLine="640" w:firstLineChars="200"/>
        <w:rPr>
          <w:rFonts w:ascii="仿宋_GB2312" w:eastAsia="仿宋_GB2312"/>
          <w:sz w:val="32"/>
          <w:szCs w:val="32"/>
        </w:rPr>
      </w:pPr>
      <w:r>
        <w:rPr>
          <w:rFonts w:ascii="仿宋_GB2312" w:eastAsia="仿宋_GB2312"/>
          <w:sz w:val="32"/>
          <w:szCs w:val="32"/>
        </w:rPr>
        <w:t>根据预算绩效管理要求，本单位2024年度预算绩效管理形成整体支出绩效自评表1个，全年预算总额582.5</w:t>
      </w:r>
      <w:r>
        <w:rPr>
          <w:rFonts w:hint="eastAsia" w:ascii="仿宋_GB2312" w:eastAsia="仿宋_GB2312"/>
          <w:sz w:val="32"/>
          <w:szCs w:val="32"/>
        </w:rPr>
        <w:t>0</w:t>
      </w:r>
      <w:r>
        <w:rPr>
          <w:rFonts w:ascii="仿宋_GB2312" w:eastAsia="仿宋_GB2312"/>
          <w:sz w:val="32"/>
          <w:szCs w:val="32"/>
        </w:rPr>
        <w:t>万元，实际执行总额578.74万元；预算绩效评价项目1个，全年预算数</w:t>
      </w:r>
      <w:r>
        <w:rPr>
          <w:rFonts w:hint="eastAsia" w:ascii="仿宋_GB2312" w:eastAsia="仿宋_GB2312"/>
          <w:sz w:val="32"/>
          <w:szCs w:val="32"/>
        </w:rPr>
        <w:t>5.00</w:t>
      </w:r>
      <w:r>
        <w:rPr>
          <w:rFonts w:ascii="仿宋_GB2312" w:eastAsia="仿宋_GB2312"/>
          <w:sz w:val="32"/>
          <w:szCs w:val="32"/>
        </w:rPr>
        <w:t>万元，全年执行数</w:t>
      </w:r>
      <w:r>
        <w:rPr>
          <w:rFonts w:hint="eastAsia" w:ascii="仿宋_GB2312" w:eastAsia="仿宋_GB2312"/>
          <w:sz w:val="32"/>
          <w:szCs w:val="32"/>
        </w:rPr>
        <w:t>5.00</w:t>
      </w:r>
      <w:r>
        <w:rPr>
          <w:rFonts w:ascii="仿宋_GB2312" w:eastAsia="仿宋_GB2312"/>
          <w:sz w:val="32"/>
          <w:szCs w:val="32"/>
        </w:rPr>
        <w:t>万元。预算绩效管理取得的成效：</w:t>
      </w:r>
      <w:r>
        <w:rPr>
          <w:rFonts w:hint="eastAsia" w:ascii="仿宋_GB2312" w:eastAsia="仿宋_GB2312"/>
          <w:sz w:val="32"/>
          <w:szCs w:val="32"/>
        </w:rPr>
        <w:t>一是通过改善宿舍条件等举措，切实提高学生在校生活质量，同时丰富校园文化活动，营造积极向上、互助共进的良好学习氛围；二是显著提升了教育教学环境品质，赢得家长、学生对本校的广泛认可，收获了大家的高度评价。</w:t>
      </w:r>
      <w:r>
        <w:rPr>
          <w:rFonts w:ascii="仿宋_GB2312" w:eastAsia="仿宋_GB2312"/>
          <w:sz w:val="32"/>
          <w:szCs w:val="32"/>
        </w:rPr>
        <w:t>发现的问题及原因：一是工作流程完善在执行中存在诸多问题，工作一旦流程延伸到部门之外，存在部门间相互推诿，运行不畅；</w:t>
      </w:r>
      <w:r>
        <w:rPr>
          <w:rFonts w:hint="eastAsia" w:ascii="仿宋_GB2312" w:eastAsia="仿宋_GB2312"/>
          <w:sz w:val="32"/>
          <w:szCs w:val="32"/>
        </w:rPr>
        <w:t>二是流程中缺乏明确的责任划分、监督考核等管理元素，影响各项工作的正常开展。</w:t>
      </w:r>
      <w:r>
        <w:rPr>
          <w:rFonts w:ascii="仿宋_GB2312" w:eastAsia="仿宋_GB2312"/>
          <w:sz w:val="32"/>
          <w:szCs w:val="32"/>
        </w:rPr>
        <w:t>下一步改进措施：</w:t>
      </w:r>
      <w:r>
        <w:rPr>
          <w:rFonts w:hint="eastAsia" w:ascii="仿宋_GB2312" w:eastAsia="仿宋_GB2312"/>
          <w:sz w:val="32"/>
          <w:szCs w:val="32"/>
        </w:rPr>
        <w:t>一是通过系统开展绩效管理专题培训，结合工作实例深化理解，帮助工作人员切实提升对绩效管理的认知，明确绩效管理并非额外任务，而是融入日常的本职工作；二是针对绩效管理各环节做出细致规划，细化任务分工，确保每个步骤都有专人负责、全程跟进，避免责任空缺。</w:t>
      </w:r>
      <w:r>
        <w:rPr>
          <w:rFonts w:ascii="仿宋_GB2312" w:eastAsia="仿宋_GB2312"/>
          <w:sz w:val="32"/>
          <w:szCs w:val="32"/>
        </w:rPr>
        <w:t>具体附部门整体支出绩效自评表，项目支出绩效自评表和部门评价报告。</w:t>
      </w:r>
    </w:p>
    <w:p w14:paraId="66D00917">
      <w:pPr>
        <w:jc w:val="center"/>
        <w:rPr>
          <w:rFonts w:hint="eastAsia" w:ascii="宋体" w:hAnsi="宋体" w:eastAsia="宋体" w:cs="宋体"/>
          <w:b/>
          <w:bCs/>
          <w:sz w:val="28"/>
          <w:szCs w:val="28"/>
        </w:rPr>
      </w:pPr>
      <w:r>
        <w:rPr>
          <w:rFonts w:hint="eastAsia" w:ascii="宋体" w:hAnsi="宋体" w:eastAsia="宋体" w:cs="宋体"/>
          <w:b/>
          <w:bCs/>
          <w:sz w:val="28"/>
          <w:szCs w:val="28"/>
        </w:rPr>
        <w:t>部门（单位）整体支出绩效目标自评表</w:t>
      </w:r>
    </w:p>
    <w:p w14:paraId="259E1FC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3"/>
        <w:tblW w:w="5000" w:type="pct"/>
        <w:jc w:val="center"/>
        <w:tblLayout w:type="fixed"/>
        <w:tblCellMar>
          <w:top w:w="0" w:type="dxa"/>
          <w:left w:w="108" w:type="dxa"/>
          <w:bottom w:w="0" w:type="dxa"/>
          <w:right w:w="108" w:type="dxa"/>
        </w:tblCellMar>
      </w:tblPr>
      <w:tblGrid>
        <w:gridCol w:w="998"/>
        <w:gridCol w:w="1412"/>
        <w:gridCol w:w="1413"/>
        <w:gridCol w:w="1241"/>
        <w:gridCol w:w="1412"/>
        <w:gridCol w:w="1136"/>
        <w:gridCol w:w="1308"/>
        <w:gridCol w:w="730"/>
      </w:tblGrid>
      <w:tr w14:paraId="4EF3A2AC">
        <w:tblPrEx>
          <w:tblCellMar>
            <w:top w:w="0" w:type="dxa"/>
            <w:left w:w="108" w:type="dxa"/>
            <w:bottom w:w="0" w:type="dxa"/>
            <w:right w:w="108" w:type="dxa"/>
          </w:tblCellMar>
        </w:tblPrEx>
        <w:trPr>
          <w:cantSplit/>
          <w:trHeight w:val="485"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14:paraId="1A09726C">
            <w:pPr>
              <w:widowControl/>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F5BB3DC">
            <w:pPr>
              <w:widowControl/>
              <w:jc w:val="center"/>
              <w:rPr>
                <w:rFonts w:hint="eastAsia" w:ascii="宋体" w:hAnsi="宋体" w:eastAsia="宋体" w:cs="宋体"/>
                <w:b/>
                <w:bCs/>
                <w:sz w:val="18"/>
                <w:szCs w:val="18"/>
              </w:rPr>
            </w:pPr>
            <w:r>
              <w:rPr>
                <w:rFonts w:hint="eastAsia" w:ascii="宋体" w:hAnsi="宋体" w:eastAsia="宋体" w:cs="宋体"/>
                <w:b/>
                <w:bCs/>
                <w:sz w:val="18"/>
                <w:szCs w:val="18"/>
              </w:rPr>
              <w:t>昌吉市滨湖镇中心学校</w:t>
            </w:r>
          </w:p>
        </w:tc>
      </w:tr>
      <w:tr w14:paraId="2EB71DA1">
        <w:tblPrEx>
          <w:tblCellMar>
            <w:top w:w="0" w:type="dxa"/>
            <w:left w:w="108" w:type="dxa"/>
            <w:bottom w:w="0" w:type="dxa"/>
            <w:right w:w="108" w:type="dxa"/>
          </w:tblCellMar>
        </w:tblPrEx>
        <w:trPr>
          <w:cantSplit/>
          <w:trHeight w:val="570"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9769E2F">
            <w:pPr>
              <w:widowControl/>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A688397">
            <w:pPr>
              <w:widowControl/>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3829EA29">
            <w:pPr>
              <w:widowControl/>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4302835E">
            <w:pPr>
              <w:widowControl/>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0E05FC6B">
            <w:pPr>
              <w:widowControl/>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176211D9">
            <w:pPr>
              <w:widowControl/>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0151DD6">
            <w:pPr>
              <w:widowControl/>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4A52F16D">
            <w:pPr>
              <w:widowControl/>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65AF700D">
        <w:tblPrEx>
          <w:tblCellMar>
            <w:top w:w="0" w:type="dxa"/>
            <w:left w:w="108" w:type="dxa"/>
            <w:bottom w:w="0" w:type="dxa"/>
            <w:right w:w="108" w:type="dxa"/>
          </w:tblCellMar>
        </w:tblPrEx>
        <w:trPr>
          <w:cantSplit/>
          <w:trHeight w:val="489"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FA720B0">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7CA40605">
            <w:pPr>
              <w:widowControl/>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6B9EF202">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09BB187F">
            <w:pPr>
              <w:widowControl/>
              <w:jc w:val="center"/>
              <w:rPr>
                <w:rFonts w:hint="eastAsia" w:ascii="宋体" w:hAnsi="宋体" w:eastAsia="宋体" w:cs="宋体"/>
                <w:sz w:val="18"/>
                <w:szCs w:val="18"/>
              </w:rPr>
            </w:pPr>
            <w:r>
              <w:rPr>
                <w:rFonts w:hint="eastAsia" w:ascii="宋体" w:hAnsi="宋体" w:eastAsia="宋体" w:cs="宋体"/>
                <w:sz w:val="18"/>
                <w:szCs w:val="18"/>
              </w:rPr>
              <w:t>7.00</w:t>
            </w:r>
          </w:p>
        </w:tc>
        <w:tc>
          <w:tcPr>
            <w:tcW w:w="1417" w:type="dxa"/>
            <w:tcBorders>
              <w:top w:val="nil"/>
              <w:left w:val="nil"/>
              <w:bottom w:val="single" w:color="auto" w:sz="4" w:space="0"/>
              <w:right w:val="single" w:color="auto" w:sz="4" w:space="0"/>
            </w:tcBorders>
            <w:vAlign w:val="center"/>
          </w:tcPr>
          <w:p w14:paraId="6A710E42">
            <w:pPr>
              <w:widowControl/>
              <w:jc w:val="center"/>
              <w:rPr>
                <w:rFonts w:hint="eastAsia" w:ascii="宋体" w:hAnsi="宋体" w:eastAsia="宋体" w:cs="宋体"/>
                <w:sz w:val="18"/>
                <w:szCs w:val="18"/>
              </w:rPr>
            </w:pPr>
            <w:r>
              <w:rPr>
                <w:rFonts w:hint="eastAsia" w:ascii="宋体" w:hAnsi="宋体" w:eastAsia="宋体" w:cs="宋体"/>
                <w:sz w:val="18"/>
                <w:szCs w:val="18"/>
              </w:rPr>
              <w:t>7.00</w:t>
            </w:r>
          </w:p>
        </w:tc>
        <w:tc>
          <w:tcPr>
            <w:tcW w:w="1134" w:type="dxa"/>
            <w:tcBorders>
              <w:top w:val="nil"/>
              <w:left w:val="nil"/>
              <w:bottom w:val="single" w:color="auto" w:sz="4" w:space="0"/>
              <w:right w:val="single" w:color="auto" w:sz="4" w:space="0"/>
            </w:tcBorders>
            <w:vAlign w:val="center"/>
          </w:tcPr>
          <w:p w14:paraId="758FB273">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43E77B5A">
            <w:pPr>
              <w:widowControl/>
              <w:jc w:val="center"/>
              <w:rPr>
                <w:rFonts w:hint="eastAsia" w:ascii="宋体" w:hAnsi="宋体" w:eastAsia="宋体" w:cs="宋体"/>
                <w:sz w:val="18"/>
                <w:szCs w:val="18"/>
              </w:rPr>
            </w:pPr>
            <w:r>
              <w:rPr>
                <w:rFonts w:hint="eastAsia" w:ascii="宋体" w:hAnsi="宋体" w:eastAsia="宋体" w:cs="宋体"/>
                <w:sz w:val="18"/>
                <w:szCs w:val="18"/>
              </w:rPr>
              <w:t>99.35%</w:t>
            </w:r>
          </w:p>
        </w:tc>
        <w:tc>
          <w:tcPr>
            <w:tcW w:w="720" w:type="dxa"/>
            <w:tcBorders>
              <w:top w:val="nil"/>
              <w:left w:val="nil"/>
              <w:bottom w:val="single" w:color="auto" w:sz="4" w:space="0"/>
              <w:right w:val="single" w:color="auto" w:sz="4" w:space="0"/>
            </w:tcBorders>
            <w:vAlign w:val="center"/>
          </w:tcPr>
          <w:p w14:paraId="09CDCB0C">
            <w:pPr>
              <w:widowControl/>
              <w:jc w:val="center"/>
              <w:rPr>
                <w:rFonts w:hint="eastAsia" w:ascii="宋体" w:hAnsi="宋体" w:eastAsia="宋体" w:cs="宋体"/>
                <w:sz w:val="18"/>
                <w:szCs w:val="18"/>
              </w:rPr>
            </w:pPr>
            <w:r>
              <w:rPr>
                <w:rFonts w:hint="eastAsia" w:ascii="宋体" w:hAnsi="宋体" w:eastAsia="宋体" w:cs="宋体"/>
                <w:sz w:val="18"/>
                <w:szCs w:val="18"/>
              </w:rPr>
              <w:t>9.93</w:t>
            </w:r>
          </w:p>
        </w:tc>
      </w:tr>
      <w:tr w14:paraId="034D11CB">
        <w:tblPrEx>
          <w:tblCellMar>
            <w:top w:w="0" w:type="dxa"/>
            <w:left w:w="108" w:type="dxa"/>
            <w:bottom w:w="0" w:type="dxa"/>
            <w:right w:w="108" w:type="dxa"/>
          </w:tblCellMar>
        </w:tblPrEx>
        <w:trPr>
          <w:cantSplit/>
          <w:trHeight w:val="42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8768B68">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1357E08">
            <w:pPr>
              <w:widowControl/>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3AB6960">
            <w:pPr>
              <w:widowControl/>
              <w:jc w:val="center"/>
              <w:rPr>
                <w:rFonts w:hint="eastAsia" w:ascii="宋体" w:hAnsi="宋体" w:eastAsia="宋体" w:cs="宋体"/>
                <w:sz w:val="18"/>
                <w:szCs w:val="18"/>
              </w:rPr>
            </w:pPr>
            <w:r>
              <w:rPr>
                <w:rFonts w:hint="eastAsia" w:ascii="宋体" w:hAnsi="宋体" w:eastAsia="宋体" w:cs="宋体"/>
                <w:sz w:val="18"/>
                <w:szCs w:val="18"/>
              </w:rPr>
              <w:t>470.73</w:t>
            </w:r>
          </w:p>
        </w:tc>
        <w:tc>
          <w:tcPr>
            <w:tcW w:w="1242" w:type="dxa"/>
            <w:tcBorders>
              <w:top w:val="nil"/>
              <w:left w:val="nil"/>
              <w:bottom w:val="single" w:color="auto" w:sz="4" w:space="0"/>
              <w:right w:val="single" w:color="auto" w:sz="4" w:space="0"/>
            </w:tcBorders>
            <w:vAlign w:val="center"/>
          </w:tcPr>
          <w:p w14:paraId="3E3F8049">
            <w:pPr>
              <w:widowControl/>
              <w:jc w:val="center"/>
              <w:rPr>
                <w:rFonts w:hint="eastAsia" w:ascii="宋体" w:hAnsi="宋体" w:eastAsia="宋体" w:cs="宋体"/>
                <w:sz w:val="18"/>
                <w:szCs w:val="18"/>
              </w:rPr>
            </w:pPr>
            <w:r>
              <w:rPr>
                <w:rFonts w:hint="eastAsia" w:ascii="宋体" w:hAnsi="宋体" w:eastAsia="宋体" w:cs="宋体"/>
                <w:sz w:val="18"/>
                <w:szCs w:val="18"/>
              </w:rPr>
              <w:t>575.50</w:t>
            </w:r>
          </w:p>
        </w:tc>
        <w:tc>
          <w:tcPr>
            <w:tcW w:w="1417" w:type="dxa"/>
            <w:tcBorders>
              <w:top w:val="nil"/>
              <w:left w:val="nil"/>
              <w:bottom w:val="single" w:color="auto" w:sz="4" w:space="0"/>
              <w:right w:val="single" w:color="auto" w:sz="4" w:space="0"/>
            </w:tcBorders>
            <w:vAlign w:val="center"/>
          </w:tcPr>
          <w:p w14:paraId="18E58F96">
            <w:pPr>
              <w:widowControl/>
              <w:jc w:val="center"/>
              <w:rPr>
                <w:rFonts w:hint="eastAsia" w:ascii="宋体" w:hAnsi="宋体" w:eastAsia="宋体" w:cs="宋体"/>
                <w:sz w:val="18"/>
                <w:szCs w:val="18"/>
              </w:rPr>
            </w:pPr>
            <w:r>
              <w:rPr>
                <w:rFonts w:hint="eastAsia" w:ascii="宋体" w:hAnsi="宋体" w:eastAsia="宋体" w:cs="宋体"/>
                <w:sz w:val="18"/>
                <w:szCs w:val="18"/>
              </w:rPr>
              <w:t>571.74</w:t>
            </w:r>
          </w:p>
        </w:tc>
        <w:tc>
          <w:tcPr>
            <w:tcW w:w="1134" w:type="dxa"/>
            <w:tcBorders>
              <w:top w:val="nil"/>
              <w:left w:val="nil"/>
              <w:bottom w:val="single" w:color="auto" w:sz="4" w:space="0"/>
              <w:right w:val="single" w:color="auto" w:sz="4" w:space="0"/>
            </w:tcBorders>
            <w:vAlign w:val="center"/>
          </w:tcPr>
          <w:p w14:paraId="56F17C7B">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1310" w:type="dxa"/>
            <w:tcBorders>
              <w:top w:val="nil"/>
              <w:left w:val="nil"/>
              <w:bottom w:val="single" w:color="auto" w:sz="4" w:space="0"/>
              <w:right w:val="single" w:color="auto" w:sz="4" w:space="0"/>
            </w:tcBorders>
            <w:vAlign w:val="center"/>
          </w:tcPr>
          <w:p w14:paraId="2C0C2297">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720" w:type="dxa"/>
            <w:tcBorders>
              <w:top w:val="nil"/>
              <w:left w:val="nil"/>
              <w:bottom w:val="single" w:color="auto" w:sz="4" w:space="0"/>
              <w:right w:val="single" w:color="auto" w:sz="4" w:space="0"/>
            </w:tcBorders>
            <w:vAlign w:val="center"/>
          </w:tcPr>
          <w:p w14:paraId="1D62A538">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r>
      <w:tr w14:paraId="1B927040">
        <w:tblPrEx>
          <w:tblCellMar>
            <w:top w:w="0" w:type="dxa"/>
            <w:left w:w="108" w:type="dxa"/>
            <w:bottom w:w="0" w:type="dxa"/>
            <w:right w:w="108" w:type="dxa"/>
          </w:tblCellMar>
        </w:tblPrEx>
        <w:trPr>
          <w:cantSplit/>
          <w:trHeight w:val="416"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5E0C6D2">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D8E68E2">
            <w:pPr>
              <w:widowControl/>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19E5EE71">
            <w:pPr>
              <w:widowControl/>
              <w:jc w:val="center"/>
              <w:rPr>
                <w:rFonts w:hint="eastAsia" w:ascii="宋体" w:hAnsi="宋体" w:eastAsia="宋体" w:cs="宋体"/>
                <w:sz w:val="18"/>
                <w:szCs w:val="18"/>
              </w:rPr>
            </w:pPr>
            <w:r>
              <w:rPr>
                <w:rFonts w:hint="eastAsia" w:ascii="宋体" w:hAnsi="宋体" w:eastAsia="宋体" w:cs="宋体"/>
                <w:sz w:val="18"/>
                <w:szCs w:val="18"/>
              </w:rPr>
              <w:t>5.00</w:t>
            </w:r>
          </w:p>
        </w:tc>
        <w:tc>
          <w:tcPr>
            <w:tcW w:w="1242" w:type="dxa"/>
            <w:tcBorders>
              <w:top w:val="nil"/>
              <w:left w:val="nil"/>
              <w:bottom w:val="single" w:color="auto" w:sz="4" w:space="0"/>
              <w:right w:val="single" w:color="auto" w:sz="4" w:space="0"/>
            </w:tcBorders>
            <w:vAlign w:val="center"/>
          </w:tcPr>
          <w:p w14:paraId="30B41290">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1D4086C3">
            <w:pPr>
              <w:widowControl/>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7AC52DB9">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1310" w:type="dxa"/>
            <w:tcBorders>
              <w:top w:val="nil"/>
              <w:left w:val="nil"/>
              <w:bottom w:val="single" w:color="auto" w:sz="4" w:space="0"/>
              <w:right w:val="single" w:color="auto" w:sz="4" w:space="0"/>
            </w:tcBorders>
            <w:vAlign w:val="center"/>
          </w:tcPr>
          <w:p w14:paraId="0A3A656C">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c>
          <w:tcPr>
            <w:tcW w:w="720" w:type="dxa"/>
            <w:tcBorders>
              <w:top w:val="nil"/>
              <w:left w:val="nil"/>
              <w:bottom w:val="single" w:color="auto" w:sz="4" w:space="0"/>
              <w:right w:val="single" w:color="auto" w:sz="4" w:space="0"/>
            </w:tcBorders>
            <w:vAlign w:val="center"/>
          </w:tcPr>
          <w:p w14:paraId="4E3C3E01">
            <w:pPr>
              <w:widowControl/>
              <w:jc w:val="center"/>
              <w:rPr>
                <w:rFonts w:hint="eastAsia" w:ascii="宋体" w:hAnsi="宋体" w:eastAsia="宋体" w:cs="宋体"/>
                <w:sz w:val="18"/>
                <w:szCs w:val="18"/>
              </w:rPr>
            </w:pPr>
            <w:r>
              <w:rPr>
                <w:rFonts w:hint="eastAsia" w:ascii="宋体" w:hAnsi="宋体" w:eastAsia="宋体" w:cs="Times New Roman"/>
                <w:kern w:val="2"/>
                <w:sz w:val="18"/>
                <w:szCs w:val="18"/>
                <w14:ligatures w14:val="standardContextual"/>
              </w:rPr>
              <w:t>-</w:t>
            </w:r>
          </w:p>
        </w:tc>
      </w:tr>
      <w:tr w14:paraId="46B973E3">
        <w:tblPrEx>
          <w:tblCellMar>
            <w:top w:w="0" w:type="dxa"/>
            <w:left w:w="108" w:type="dxa"/>
            <w:bottom w:w="0" w:type="dxa"/>
            <w:right w:w="108" w:type="dxa"/>
          </w:tblCellMar>
        </w:tblPrEx>
        <w:trPr>
          <w:cantSplit/>
          <w:trHeight w:val="41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A58C17E">
            <w:pPr>
              <w:widowControl/>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62668B5">
            <w:pPr>
              <w:widowControl/>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38521A31">
            <w:pPr>
              <w:widowControl/>
              <w:jc w:val="center"/>
              <w:rPr>
                <w:rFonts w:hint="eastAsia" w:ascii="宋体" w:hAnsi="宋体" w:eastAsia="宋体" w:cs="宋体"/>
                <w:sz w:val="18"/>
                <w:szCs w:val="18"/>
              </w:rPr>
            </w:pPr>
            <w:r>
              <w:rPr>
                <w:rFonts w:hint="eastAsia" w:ascii="宋体" w:hAnsi="宋体" w:eastAsia="宋体" w:cs="宋体"/>
                <w:sz w:val="18"/>
                <w:szCs w:val="18"/>
              </w:rPr>
              <w:t>475.73</w:t>
            </w:r>
          </w:p>
        </w:tc>
        <w:tc>
          <w:tcPr>
            <w:tcW w:w="1242" w:type="dxa"/>
            <w:tcBorders>
              <w:top w:val="nil"/>
              <w:left w:val="nil"/>
              <w:bottom w:val="single" w:color="auto" w:sz="4" w:space="0"/>
              <w:right w:val="single" w:color="auto" w:sz="4" w:space="0"/>
            </w:tcBorders>
            <w:vAlign w:val="center"/>
          </w:tcPr>
          <w:p w14:paraId="2AB2A142">
            <w:pPr>
              <w:widowControl/>
              <w:jc w:val="center"/>
              <w:rPr>
                <w:rFonts w:hint="eastAsia" w:ascii="宋体" w:hAnsi="宋体" w:eastAsia="宋体" w:cs="宋体"/>
                <w:sz w:val="18"/>
                <w:szCs w:val="18"/>
              </w:rPr>
            </w:pPr>
            <w:r>
              <w:rPr>
                <w:rFonts w:hint="eastAsia" w:ascii="宋体" w:hAnsi="宋体" w:eastAsia="宋体" w:cs="宋体"/>
                <w:sz w:val="18"/>
                <w:szCs w:val="18"/>
              </w:rPr>
              <w:t>582.50</w:t>
            </w:r>
          </w:p>
        </w:tc>
        <w:tc>
          <w:tcPr>
            <w:tcW w:w="1417" w:type="dxa"/>
            <w:tcBorders>
              <w:top w:val="nil"/>
              <w:left w:val="nil"/>
              <w:bottom w:val="single" w:color="auto" w:sz="4" w:space="0"/>
              <w:right w:val="single" w:color="auto" w:sz="4" w:space="0"/>
            </w:tcBorders>
            <w:vAlign w:val="center"/>
          </w:tcPr>
          <w:p w14:paraId="73B56926">
            <w:pPr>
              <w:widowControl/>
              <w:jc w:val="center"/>
              <w:rPr>
                <w:rFonts w:hint="eastAsia" w:ascii="宋体" w:hAnsi="宋体" w:eastAsia="宋体" w:cs="宋体"/>
                <w:sz w:val="18"/>
                <w:szCs w:val="18"/>
              </w:rPr>
            </w:pPr>
            <w:r>
              <w:rPr>
                <w:rFonts w:hint="eastAsia" w:ascii="宋体" w:hAnsi="宋体" w:eastAsia="宋体" w:cs="宋体"/>
                <w:sz w:val="18"/>
                <w:szCs w:val="18"/>
              </w:rPr>
              <w:t>578.74</w:t>
            </w:r>
          </w:p>
        </w:tc>
        <w:tc>
          <w:tcPr>
            <w:tcW w:w="1134" w:type="dxa"/>
            <w:tcBorders>
              <w:top w:val="nil"/>
              <w:left w:val="nil"/>
              <w:bottom w:val="single" w:color="auto" w:sz="4" w:space="0"/>
              <w:right w:val="single" w:color="auto" w:sz="4" w:space="0"/>
            </w:tcBorders>
            <w:vAlign w:val="center"/>
          </w:tcPr>
          <w:p w14:paraId="0828D355">
            <w:pPr>
              <w:widowControl/>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153A4341">
            <w:pPr>
              <w:widowControl/>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0F66E8F7">
            <w:pPr>
              <w:widowControl/>
              <w:jc w:val="center"/>
              <w:rPr>
                <w:rFonts w:hint="eastAsia" w:ascii="宋体" w:hAnsi="宋体" w:eastAsia="宋体" w:cs="宋体"/>
                <w:sz w:val="18"/>
                <w:szCs w:val="18"/>
              </w:rPr>
            </w:pPr>
            <w:r>
              <w:rPr>
                <w:rFonts w:hint="eastAsia" w:ascii="宋体" w:hAnsi="宋体" w:eastAsia="宋体" w:cs="宋体"/>
                <w:sz w:val="18"/>
                <w:szCs w:val="18"/>
              </w:rPr>
              <w:t>-</w:t>
            </w:r>
          </w:p>
        </w:tc>
      </w:tr>
      <w:tr w14:paraId="7F984357">
        <w:tblPrEx>
          <w:tblCellMar>
            <w:top w:w="0" w:type="dxa"/>
            <w:left w:w="108" w:type="dxa"/>
            <w:bottom w:w="0" w:type="dxa"/>
            <w:right w:w="108" w:type="dxa"/>
          </w:tblCellMar>
        </w:tblPrEx>
        <w:trPr>
          <w:cantSplit/>
          <w:trHeight w:val="341"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68F485C8">
            <w:pPr>
              <w:widowControl/>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428E3089">
            <w:pPr>
              <w:widowControl/>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7B69FCE3">
            <w:pPr>
              <w:widowControl/>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2B210A2C">
        <w:tblPrEx>
          <w:tblCellMar>
            <w:top w:w="0" w:type="dxa"/>
            <w:left w:w="108" w:type="dxa"/>
            <w:bottom w:w="0" w:type="dxa"/>
            <w:right w:w="108" w:type="dxa"/>
          </w:tblCellMar>
        </w:tblPrEx>
        <w:trPr>
          <w:cantSplit/>
          <w:trHeight w:val="70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679EB5B">
            <w:pPr>
              <w:widowControl/>
              <w:jc w:val="left"/>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44091F2C">
            <w:pPr>
              <w:widowControl/>
              <w:jc w:val="left"/>
              <w:rPr>
                <w:rFonts w:hint="eastAsia" w:ascii="宋体" w:hAnsi="宋体" w:eastAsia="宋体" w:cs="宋体"/>
                <w:sz w:val="18"/>
                <w:szCs w:val="18"/>
              </w:rPr>
            </w:pPr>
            <w:r>
              <w:rPr>
                <w:rFonts w:hint="eastAsia" w:ascii="宋体" w:hAnsi="宋体" w:eastAsia="宋体" w:cs="宋体"/>
                <w:sz w:val="18"/>
                <w:szCs w:val="18"/>
              </w:rPr>
              <w:t>为了贯彻落实中央、自治区党委决策部署的各项重大工作决定和安排，充分发挥教育经费保障教育发展、推动教育改革、推进教育公平、提高教育质量的政策引领作用，预计本年度适龄残疾儿童义务教育入学率达到98%，义务教育毛入学率98%，义务教育巩固率98%，青年教师培养考核覆盖率达到95%，教师培训合格率达到95%以上，办学条件达标率达到100%，家长满意度达到95%以上，进一步优化结构、深化改革、强化监管，切实提高教育教育经费使用效益。</w:t>
            </w:r>
          </w:p>
        </w:tc>
        <w:tc>
          <w:tcPr>
            <w:tcW w:w="4581" w:type="dxa"/>
            <w:gridSpan w:val="4"/>
            <w:tcBorders>
              <w:top w:val="single" w:color="auto" w:sz="4" w:space="0"/>
              <w:left w:val="nil"/>
              <w:bottom w:val="single" w:color="auto" w:sz="4" w:space="0"/>
              <w:right w:val="single" w:color="auto" w:sz="4" w:space="0"/>
            </w:tcBorders>
          </w:tcPr>
          <w:p w14:paraId="592352F6">
            <w:pPr>
              <w:widowControl/>
              <w:jc w:val="left"/>
              <w:rPr>
                <w:rFonts w:hint="eastAsia" w:ascii="宋体" w:hAnsi="宋体" w:eastAsia="宋体" w:cs="宋体"/>
                <w:sz w:val="18"/>
                <w:szCs w:val="18"/>
              </w:rPr>
            </w:pPr>
            <w:r>
              <w:rPr>
                <w:rFonts w:hint="eastAsia" w:ascii="宋体" w:hAnsi="宋体" w:eastAsia="宋体" w:cs="宋体"/>
                <w:sz w:val="18"/>
                <w:szCs w:val="18"/>
              </w:rPr>
              <w:t>截止2024年12月31日，我校支出571.74万元，用于保障人员经费539.23万元，公用经费32.51万元，贯彻落实中央、自治区党委决策部署的各项重大工作决定和安排，充分发挥教育经费保障教育发展、推动教育改革、推进教育公平、提高教育质量的政策引领作用，本年度适龄残疾儿童义务教育入学率达到100%，义务教育毛入学率100%，义务教育巩固率100%，青年教师培养考核覆盖率达到100%，教师培训合格率达到100%以上，办学条件达标率达到100%，家长满意度达到95%，进一步优化结构、深化改革、强化监管，切实提高教育教育经费使用效益。</w:t>
            </w:r>
          </w:p>
        </w:tc>
      </w:tr>
      <w:tr w14:paraId="09EC8ABC">
        <w:tblPrEx>
          <w:tblCellMar>
            <w:top w:w="0" w:type="dxa"/>
            <w:left w:w="108" w:type="dxa"/>
            <w:bottom w:w="0" w:type="dxa"/>
            <w:right w:w="108" w:type="dxa"/>
          </w:tblCellMar>
        </w:tblPrEx>
        <w:trPr>
          <w:cantSplit/>
          <w:trHeight w:val="71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460E45">
            <w:pPr>
              <w:widowControl/>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672A56AC">
            <w:pPr>
              <w:widowControl/>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56BB81F7">
            <w:pPr>
              <w:widowControl/>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5160A818">
            <w:pPr>
              <w:widowControl/>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1BC3EB32">
            <w:pPr>
              <w:widowControl/>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099F3549">
            <w:pPr>
              <w:widowControl/>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12510D9E">
            <w:pPr>
              <w:widowControl/>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4FFA2441">
            <w:pPr>
              <w:widowControl/>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28D59F6D">
        <w:tblPrEx>
          <w:tblCellMar>
            <w:top w:w="0" w:type="dxa"/>
            <w:left w:w="108" w:type="dxa"/>
            <w:bottom w:w="0" w:type="dxa"/>
            <w:right w:w="108" w:type="dxa"/>
          </w:tblCellMar>
        </w:tblPrEx>
        <w:trPr>
          <w:cantSplit/>
          <w:trHeight w:val="740" w:hRule="atLeast"/>
          <w:jc w:val="center"/>
        </w:trPr>
        <w:tc>
          <w:tcPr>
            <w:tcW w:w="993" w:type="dxa"/>
            <w:vMerge w:val="restart"/>
            <w:tcBorders>
              <w:top w:val="single" w:color="auto" w:sz="4" w:space="0"/>
              <w:left w:val="single" w:color="auto" w:sz="4" w:space="0"/>
              <w:right w:val="single" w:color="auto" w:sz="4" w:space="0"/>
            </w:tcBorders>
            <w:noWrap/>
            <w:vAlign w:val="center"/>
          </w:tcPr>
          <w:p w14:paraId="216BF9C8">
            <w:pPr>
              <w:widowControl/>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05E1E981">
            <w:pPr>
              <w:widowControl/>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4F6F33B0">
            <w:pPr>
              <w:widowControl/>
              <w:jc w:val="center"/>
              <w:rPr>
                <w:rFonts w:hint="eastAsia" w:ascii="宋体" w:hAnsi="宋体" w:eastAsia="宋体" w:cs="宋体"/>
                <w:sz w:val="18"/>
                <w:szCs w:val="18"/>
              </w:rPr>
            </w:pPr>
            <w:r>
              <w:rPr>
                <w:rFonts w:hint="eastAsia" w:ascii="宋体" w:hAnsi="宋体" w:eastAsia="宋体" w:cs="宋体"/>
                <w:sz w:val="18"/>
                <w:szCs w:val="18"/>
              </w:rPr>
              <w:t>适龄残疾儿童义务教育入学率</w:t>
            </w:r>
          </w:p>
        </w:tc>
        <w:tc>
          <w:tcPr>
            <w:tcW w:w="1242" w:type="dxa"/>
            <w:tcBorders>
              <w:top w:val="nil"/>
              <w:left w:val="nil"/>
              <w:bottom w:val="single" w:color="auto" w:sz="4" w:space="0"/>
              <w:right w:val="single" w:color="auto" w:sz="4" w:space="0"/>
            </w:tcBorders>
            <w:noWrap/>
            <w:vAlign w:val="center"/>
          </w:tcPr>
          <w:p w14:paraId="5F13C1E8">
            <w:pPr>
              <w:widowControl/>
              <w:jc w:val="center"/>
              <w:rPr>
                <w:rFonts w:hint="eastAsia" w:ascii="宋体" w:hAnsi="宋体" w:eastAsia="宋体" w:cs="宋体"/>
                <w:sz w:val="18"/>
                <w:szCs w:val="18"/>
              </w:rPr>
            </w:pPr>
            <w:r>
              <w:rPr>
                <w:rFonts w:hint="eastAsia" w:ascii="宋体" w:hAnsi="宋体" w:eastAsia="宋体" w:cs="宋体"/>
                <w:sz w:val="18"/>
                <w:szCs w:val="18"/>
              </w:rPr>
              <w:t>&gt;=98%</w:t>
            </w:r>
          </w:p>
        </w:tc>
        <w:tc>
          <w:tcPr>
            <w:tcW w:w="1417" w:type="dxa"/>
            <w:tcBorders>
              <w:top w:val="nil"/>
              <w:left w:val="nil"/>
              <w:bottom w:val="single" w:color="auto" w:sz="4" w:space="0"/>
              <w:right w:val="single" w:color="auto" w:sz="4" w:space="0"/>
            </w:tcBorders>
            <w:noWrap/>
            <w:vAlign w:val="center"/>
          </w:tcPr>
          <w:p w14:paraId="4CBEB654">
            <w:pPr>
              <w:widowControl/>
              <w:jc w:val="left"/>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37500F82">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4EE06470">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186226A2">
            <w:pPr>
              <w:widowControl/>
              <w:jc w:val="center"/>
              <w:rPr>
                <w:rFonts w:hint="eastAsia" w:ascii="宋体" w:hAnsi="宋体" w:eastAsia="宋体" w:cs="宋体"/>
                <w:sz w:val="18"/>
                <w:szCs w:val="18"/>
              </w:rPr>
            </w:pPr>
            <w:r>
              <w:rPr>
                <w:rFonts w:hint="eastAsia" w:ascii="宋体" w:hAnsi="宋体" w:eastAsia="宋体" w:cs="宋体"/>
                <w:sz w:val="18"/>
                <w:szCs w:val="18"/>
              </w:rPr>
              <w:t>10</w:t>
            </w:r>
          </w:p>
        </w:tc>
      </w:tr>
      <w:tr w14:paraId="7E9C4305">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23C8E69D">
            <w:pPr>
              <w:widowControl/>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6B9D8A6D">
            <w:pPr>
              <w:widowControl/>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33C66A9">
            <w:pPr>
              <w:widowControl/>
              <w:jc w:val="center"/>
              <w:rPr>
                <w:rFonts w:hint="eastAsia" w:ascii="宋体" w:hAnsi="宋体" w:eastAsia="宋体" w:cs="宋体"/>
                <w:sz w:val="18"/>
                <w:szCs w:val="18"/>
              </w:rPr>
            </w:pPr>
            <w:r>
              <w:rPr>
                <w:rFonts w:hint="eastAsia" w:ascii="宋体" w:hAnsi="宋体" w:eastAsia="宋体" w:cs="宋体"/>
                <w:sz w:val="18"/>
                <w:szCs w:val="18"/>
              </w:rPr>
              <w:t>义务教育毛入学率</w:t>
            </w:r>
          </w:p>
        </w:tc>
        <w:tc>
          <w:tcPr>
            <w:tcW w:w="1242" w:type="dxa"/>
            <w:tcBorders>
              <w:top w:val="nil"/>
              <w:left w:val="nil"/>
              <w:bottom w:val="single" w:color="auto" w:sz="4" w:space="0"/>
              <w:right w:val="single" w:color="auto" w:sz="4" w:space="0"/>
            </w:tcBorders>
            <w:noWrap/>
            <w:vAlign w:val="center"/>
          </w:tcPr>
          <w:p w14:paraId="72358607">
            <w:pPr>
              <w:widowControl/>
              <w:jc w:val="center"/>
              <w:rPr>
                <w:rFonts w:hint="eastAsia" w:ascii="宋体" w:hAnsi="宋体" w:eastAsia="宋体" w:cs="宋体"/>
                <w:sz w:val="18"/>
                <w:szCs w:val="18"/>
              </w:rPr>
            </w:pPr>
            <w:r>
              <w:rPr>
                <w:rFonts w:hint="eastAsia" w:ascii="宋体" w:hAnsi="宋体" w:eastAsia="宋体" w:cs="宋体"/>
                <w:sz w:val="18"/>
                <w:szCs w:val="18"/>
              </w:rPr>
              <w:t>&gt;=98%</w:t>
            </w:r>
          </w:p>
        </w:tc>
        <w:tc>
          <w:tcPr>
            <w:tcW w:w="1417" w:type="dxa"/>
            <w:tcBorders>
              <w:top w:val="nil"/>
              <w:left w:val="nil"/>
              <w:bottom w:val="single" w:color="auto" w:sz="4" w:space="0"/>
              <w:right w:val="single" w:color="auto" w:sz="4" w:space="0"/>
            </w:tcBorders>
            <w:noWrap/>
            <w:vAlign w:val="center"/>
          </w:tcPr>
          <w:p w14:paraId="4DE3077F">
            <w:pPr>
              <w:widowControl/>
              <w:jc w:val="left"/>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4E9D4489">
            <w:pPr>
              <w:widowControl/>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53814010">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3D1C4C46">
            <w:pPr>
              <w:widowControl/>
              <w:jc w:val="center"/>
              <w:rPr>
                <w:rFonts w:hint="eastAsia" w:ascii="宋体" w:hAnsi="宋体" w:eastAsia="宋体" w:cs="宋体"/>
                <w:sz w:val="18"/>
                <w:szCs w:val="18"/>
              </w:rPr>
            </w:pPr>
            <w:r>
              <w:rPr>
                <w:rFonts w:hint="eastAsia" w:ascii="宋体" w:hAnsi="宋体" w:eastAsia="宋体" w:cs="宋体"/>
                <w:sz w:val="18"/>
                <w:szCs w:val="18"/>
              </w:rPr>
              <w:t>15</w:t>
            </w:r>
          </w:p>
        </w:tc>
      </w:tr>
      <w:tr w14:paraId="3235FDB3">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3E084719">
            <w:pPr>
              <w:widowControl/>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A129E72">
            <w:pPr>
              <w:widowControl/>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4565CA7">
            <w:pPr>
              <w:widowControl/>
              <w:jc w:val="center"/>
              <w:rPr>
                <w:rFonts w:hint="eastAsia" w:ascii="宋体" w:hAnsi="宋体" w:eastAsia="宋体" w:cs="宋体"/>
                <w:sz w:val="18"/>
                <w:szCs w:val="18"/>
              </w:rPr>
            </w:pPr>
            <w:r>
              <w:rPr>
                <w:rFonts w:hint="eastAsia" w:ascii="宋体" w:hAnsi="宋体" w:eastAsia="宋体" w:cs="宋体"/>
                <w:sz w:val="18"/>
                <w:szCs w:val="18"/>
              </w:rPr>
              <w:t>义务教育巩固率</w:t>
            </w:r>
          </w:p>
        </w:tc>
        <w:tc>
          <w:tcPr>
            <w:tcW w:w="1242" w:type="dxa"/>
            <w:tcBorders>
              <w:top w:val="nil"/>
              <w:left w:val="nil"/>
              <w:bottom w:val="single" w:color="auto" w:sz="4" w:space="0"/>
              <w:right w:val="single" w:color="auto" w:sz="4" w:space="0"/>
            </w:tcBorders>
            <w:noWrap/>
            <w:vAlign w:val="center"/>
          </w:tcPr>
          <w:p w14:paraId="3F53C1A2">
            <w:pPr>
              <w:widowControl/>
              <w:jc w:val="center"/>
              <w:rPr>
                <w:rFonts w:hint="eastAsia" w:ascii="宋体" w:hAnsi="宋体" w:eastAsia="宋体" w:cs="宋体"/>
                <w:sz w:val="18"/>
                <w:szCs w:val="18"/>
              </w:rPr>
            </w:pPr>
            <w:r>
              <w:rPr>
                <w:rFonts w:hint="eastAsia" w:ascii="宋体" w:hAnsi="宋体" w:eastAsia="宋体" w:cs="宋体"/>
                <w:sz w:val="18"/>
                <w:szCs w:val="18"/>
              </w:rPr>
              <w:t>&gt;=98%</w:t>
            </w:r>
          </w:p>
        </w:tc>
        <w:tc>
          <w:tcPr>
            <w:tcW w:w="1417" w:type="dxa"/>
            <w:tcBorders>
              <w:top w:val="nil"/>
              <w:left w:val="nil"/>
              <w:bottom w:val="single" w:color="auto" w:sz="4" w:space="0"/>
              <w:right w:val="single" w:color="auto" w:sz="4" w:space="0"/>
            </w:tcBorders>
            <w:noWrap/>
            <w:vAlign w:val="center"/>
          </w:tcPr>
          <w:p w14:paraId="7D5FCF77">
            <w:pPr>
              <w:widowControl/>
              <w:jc w:val="left"/>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1608ED2A">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18C1BFC8">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3E0DF459">
            <w:pPr>
              <w:widowControl/>
              <w:jc w:val="center"/>
              <w:rPr>
                <w:rFonts w:hint="eastAsia" w:ascii="宋体" w:hAnsi="宋体" w:eastAsia="宋体" w:cs="宋体"/>
                <w:sz w:val="18"/>
                <w:szCs w:val="18"/>
              </w:rPr>
            </w:pPr>
            <w:r>
              <w:rPr>
                <w:rFonts w:hint="eastAsia" w:ascii="宋体" w:hAnsi="宋体" w:eastAsia="宋体" w:cs="宋体"/>
                <w:sz w:val="18"/>
                <w:szCs w:val="18"/>
              </w:rPr>
              <w:t>10</w:t>
            </w:r>
          </w:p>
        </w:tc>
      </w:tr>
      <w:tr w14:paraId="097CF1BA">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3552558C">
            <w:pPr>
              <w:widowControl/>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FD7F03C">
            <w:pPr>
              <w:widowControl/>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718C5C4">
            <w:pPr>
              <w:widowControl/>
              <w:jc w:val="center"/>
              <w:rPr>
                <w:rFonts w:hint="eastAsia" w:ascii="宋体" w:hAnsi="宋体" w:eastAsia="宋体" w:cs="宋体"/>
                <w:sz w:val="18"/>
                <w:szCs w:val="18"/>
              </w:rPr>
            </w:pPr>
            <w:r>
              <w:rPr>
                <w:rFonts w:hint="eastAsia" w:ascii="宋体" w:hAnsi="宋体" w:eastAsia="宋体" w:cs="宋体"/>
                <w:sz w:val="18"/>
                <w:szCs w:val="18"/>
              </w:rPr>
              <w:t>青年教师培养考核覆盖率</w:t>
            </w:r>
          </w:p>
        </w:tc>
        <w:tc>
          <w:tcPr>
            <w:tcW w:w="1242" w:type="dxa"/>
            <w:tcBorders>
              <w:top w:val="nil"/>
              <w:left w:val="nil"/>
              <w:bottom w:val="single" w:color="auto" w:sz="4" w:space="0"/>
              <w:right w:val="single" w:color="auto" w:sz="4" w:space="0"/>
            </w:tcBorders>
            <w:noWrap/>
            <w:vAlign w:val="center"/>
          </w:tcPr>
          <w:p w14:paraId="481419EB">
            <w:pPr>
              <w:widowControl/>
              <w:jc w:val="center"/>
              <w:rPr>
                <w:rFonts w:hint="eastAsia" w:ascii="宋体" w:hAnsi="宋体" w:eastAsia="宋体" w:cs="宋体"/>
                <w:sz w:val="18"/>
                <w:szCs w:val="18"/>
              </w:rPr>
            </w:pPr>
            <w:r>
              <w:rPr>
                <w:rFonts w:hint="eastAsia" w:ascii="宋体" w:hAnsi="宋体" w:eastAsia="宋体" w:cs="宋体"/>
                <w:sz w:val="18"/>
                <w:szCs w:val="18"/>
              </w:rPr>
              <w:t>&gt;=95%</w:t>
            </w:r>
          </w:p>
        </w:tc>
        <w:tc>
          <w:tcPr>
            <w:tcW w:w="1417" w:type="dxa"/>
            <w:tcBorders>
              <w:top w:val="nil"/>
              <w:left w:val="nil"/>
              <w:bottom w:val="single" w:color="auto" w:sz="4" w:space="0"/>
              <w:right w:val="single" w:color="auto" w:sz="4" w:space="0"/>
            </w:tcBorders>
            <w:noWrap/>
            <w:vAlign w:val="center"/>
          </w:tcPr>
          <w:p w14:paraId="6B926B73">
            <w:pPr>
              <w:widowControl/>
              <w:jc w:val="left"/>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17D75F3E">
            <w:pPr>
              <w:widowControl/>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75407023">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3BAC587B">
            <w:pPr>
              <w:widowControl/>
              <w:jc w:val="center"/>
              <w:rPr>
                <w:rFonts w:hint="eastAsia" w:ascii="宋体" w:hAnsi="宋体" w:eastAsia="宋体" w:cs="宋体"/>
                <w:sz w:val="18"/>
                <w:szCs w:val="18"/>
              </w:rPr>
            </w:pPr>
            <w:r>
              <w:rPr>
                <w:rFonts w:hint="eastAsia" w:ascii="宋体" w:hAnsi="宋体" w:eastAsia="宋体" w:cs="宋体"/>
                <w:sz w:val="18"/>
                <w:szCs w:val="18"/>
              </w:rPr>
              <w:t>15</w:t>
            </w:r>
          </w:p>
        </w:tc>
      </w:tr>
      <w:tr w14:paraId="0FDEE8AC">
        <w:tblPrEx>
          <w:tblCellMar>
            <w:top w:w="0" w:type="dxa"/>
            <w:left w:w="108" w:type="dxa"/>
            <w:bottom w:w="0" w:type="dxa"/>
            <w:right w:w="108" w:type="dxa"/>
          </w:tblCellMar>
        </w:tblPrEx>
        <w:trPr>
          <w:cantSplit/>
          <w:trHeight w:val="555" w:hRule="atLeast"/>
          <w:jc w:val="center"/>
        </w:trPr>
        <w:tc>
          <w:tcPr>
            <w:tcW w:w="993" w:type="dxa"/>
            <w:vMerge w:val="continue"/>
            <w:tcBorders>
              <w:left w:val="single" w:color="auto" w:sz="4" w:space="0"/>
              <w:right w:val="single" w:color="auto" w:sz="4" w:space="0"/>
            </w:tcBorders>
            <w:noWrap/>
            <w:vAlign w:val="center"/>
          </w:tcPr>
          <w:p w14:paraId="63FD36CD">
            <w:pPr>
              <w:widowControl/>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13D9DDFD">
            <w:pPr>
              <w:widowControl/>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BCC4FE1">
            <w:pPr>
              <w:widowControl/>
              <w:jc w:val="center"/>
              <w:rPr>
                <w:rFonts w:hint="eastAsia" w:ascii="宋体" w:hAnsi="宋体" w:eastAsia="宋体" w:cs="宋体"/>
                <w:sz w:val="18"/>
                <w:szCs w:val="18"/>
              </w:rPr>
            </w:pPr>
            <w:r>
              <w:rPr>
                <w:rFonts w:hint="eastAsia" w:ascii="宋体" w:hAnsi="宋体" w:eastAsia="宋体" w:cs="宋体"/>
                <w:sz w:val="18"/>
                <w:szCs w:val="18"/>
              </w:rPr>
              <w:t>教师培训合格率</w:t>
            </w:r>
          </w:p>
        </w:tc>
        <w:tc>
          <w:tcPr>
            <w:tcW w:w="1242" w:type="dxa"/>
            <w:tcBorders>
              <w:top w:val="nil"/>
              <w:left w:val="nil"/>
              <w:bottom w:val="single" w:color="auto" w:sz="4" w:space="0"/>
              <w:right w:val="single" w:color="auto" w:sz="4" w:space="0"/>
            </w:tcBorders>
            <w:noWrap/>
            <w:vAlign w:val="center"/>
          </w:tcPr>
          <w:p w14:paraId="7BC7A0D5">
            <w:pPr>
              <w:widowControl/>
              <w:jc w:val="center"/>
              <w:rPr>
                <w:rFonts w:hint="eastAsia" w:ascii="宋体" w:hAnsi="宋体" w:eastAsia="宋体" w:cs="宋体"/>
                <w:sz w:val="18"/>
                <w:szCs w:val="18"/>
              </w:rPr>
            </w:pPr>
            <w:r>
              <w:rPr>
                <w:rFonts w:hint="eastAsia" w:ascii="宋体" w:hAnsi="宋体" w:eastAsia="宋体" w:cs="宋体"/>
                <w:sz w:val="18"/>
                <w:szCs w:val="18"/>
              </w:rPr>
              <w:t>&gt;=95%</w:t>
            </w:r>
          </w:p>
        </w:tc>
        <w:tc>
          <w:tcPr>
            <w:tcW w:w="1417" w:type="dxa"/>
            <w:tcBorders>
              <w:top w:val="nil"/>
              <w:left w:val="nil"/>
              <w:bottom w:val="single" w:color="auto" w:sz="4" w:space="0"/>
              <w:right w:val="single" w:color="auto" w:sz="4" w:space="0"/>
            </w:tcBorders>
            <w:noWrap/>
            <w:vAlign w:val="center"/>
          </w:tcPr>
          <w:p w14:paraId="32ADC212">
            <w:pPr>
              <w:widowControl/>
              <w:jc w:val="left"/>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39D6E8D3">
            <w:pPr>
              <w:widowControl/>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42990559">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55160AAC">
            <w:pPr>
              <w:widowControl/>
              <w:jc w:val="center"/>
              <w:rPr>
                <w:rFonts w:hint="eastAsia" w:ascii="宋体" w:hAnsi="宋体" w:eastAsia="宋体" w:cs="宋体"/>
                <w:sz w:val="18"/>
                <w:szCs w:val="18"/>
              </w:rPr>
            </w:pPr>
            <w:r>
              <w:rPr>
                <w:rFonts w:hint="eastAsia" w:ascii="宋体" w:hAnsi="宋体" w:eastAsia="宋体" w:cs="宋体"/>
                <w:sz w:val="18"/>
                <w:szCs w:val="18"/>
              </w:rPr>
              <w:t>15</w:t>
            </w:r>
          </w:p>
        </w:tc>
      </w:tr>
      <w:tr w14:paraId="54A97C64">
        <w:tblPrEx>
          <w:tblCellMar>
            <w:top w:w="0" w:type="dxa"/>
            <w:left w:w="108" w:type="dxa"/>
            <w:bottom w:w="0" w:type="dxa"/>
            <w:right w:w="108" w:type="dxa"/>
          </w:tblCellMar>
        </w:tblPrEx>
        <w:trPr>
          <w:cantSplit/>
          <w:trHeight w:val="583" w:hRule="atLeast"/>
          <w:jc w:val="center"/>
        </w:trPr>
        <w:tc>
          <w:tcPr>
            <w:tcW w:w="993" w:type="dxa"/>
            <w:vMerge w:val="continue"/>
            <w:tcBorders>
              <w:left w:val="single" w:color="auto" w:sz="4" w:space="0"/>
              <w:bottom w:val="single" w:color="auto" w:sz="4" w:space="0"/>
              <w:right w:val="single" w:color="auto" w:sz="4" w:space="0"/>
            </w:tcBorders>
            <w:noWrap/>
            <w:vAlign w:val="center"/>
          </w:tcPr>
          <w:p w14:paraId="1A0E28DD">
            <w:pPr>
              <w:widowControl/>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01A72C61">
            <w:pPr>
              <w:widowControl/>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98777CF">
            <w:pPr>
              <w:widowControl/>
              <w:jc w:val="center"/>
              <w:rPr>
                <w:rFonts w:hint="eastAsia" w:ascii="宋体" w:hAnsi="宋体" w:eastAsia="宋体" w:cs="宋体"/>
                <w:sz w:val="18"/>
                <w:szCs w:val="18"/>
              </w:rPr>
            </w:pPr>
            <w:r>
              <w:rPr>
                <w:rFonts w:hint="eastAsia" w:ascii="宋体" w:hAnsi="宋体" w:eastAsia="宋体" w:cs="宋体"/>
                <w:sz w:val="18"/>
                <w:szCs w:val="18"/>
              </w:rPr>
              <w:t>办学条件达标率</w:t>
            </w:r>
          </w:p>
        </w:tc>
        <w:tc>
          <w:tcPr>
            <w:tcW w:w="1242" w:type="dxa"/>
            <w:tcBorders>
              <w:top w:val="nil"/>
              <w:left w:val="nil"/>
              <w:bottom w:val="single" w:color="auto" w:sz="4" w:space="0"/>
              <w:right w:val="single" w:color="auto" w:sz="4" w:space="0"/>
            </w:tcBorders>
            <w:noWrap/>
            <w:vAlign w:val="center"/>
          </w:tcPr>
          <w:p w14:paraId="22102330">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2A2BF0D3">
            <w:pPr>
              <w:widowControl/>
              <w:jc w:val="left"/>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36F911B9">
            <w:pPr>
              <w:widowControl/>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407209C4">
            <w:pPr>
              <w:widowControl/>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01C46C11">
            <w:pPr>
              <w:widowControl/>
              <w:jc w:val="center"/>
              <w:rPr>
                <w:rFonts w:hint="eastAsia" w:ascii="宋体" w:hAnsi="宋体" w:eastAsia="宋体" w:cs="宋体"/>
                <w:sz w:val="18"/>
                <w:szCs w:val="18"/>
              </w:rPr>
            </w:pPr>
            <w:r>
              <w:rPr>
                <w:rFonts w:hint="eastAsia" w:ascii="宋体" w:hAnsi="宋体" w:eastAsia="宋体" w:cs="宋体"/>
                <w:sz w:val="18"/>
                <w:szCs w:val="18"/>
              </w:rPr>
              <w:t>10</w:t>
            </w:r>
          </w:p>
        </w:tc>
      </w:tr>
      <w:tr w14:paraId="1B63740B">
        <w:tblPrEx>
          <w:tblCellMar>
            <w:top w:w="0" w:type="dxa"/>
            <w:left w:w="108" w:type="dxa"/>
            <w:bottom w:w="0" w:type="dxa"/>
            <w:right w:w="108" w:type="dxa"/>
          </w:tblCellMar>
        </w:tblPrEx>
        <w:trPr>
          <w:cantSplit/>
          <w:trHeight w:val="740"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14:paraId="0D9CFE22">
            <w:pPr>
              <w:widowControl/>
              <w:jc w:val="center"/>
              <w:rPr>
                <w:rFonts w:hint="eastAsia" w:ascii="宋体" w:hAnsi="宋体" w:eastAsia="宋体" w:cs="宋体"/>
                <w:sz w:val="18"/>
                <w:szCs w:val="18"/>
              </w:rPr>
            </w:pPr>
            <w:r>
              <w:rPr>
                <w:rFonts w:hint="eastAsia" w:ascii="宋体" w:hAnsi="宋体" w:eastAsia="宋体" w:cs="宋体"/>
                <w:sz w:val="18"/>
                <w:szCs w:val="18"/>
              </w:rPr>
              <w:t>服务对象满意度</w:t>
            </w:r>
          </w:p>
        </w:tc>
        <w:tc>
          <w:tcPr>
            <w:tcW w:w="1417" w:type="dxa"/>
            <w:tcBorders>
              <w:top w:val="nil"/>
              <w:left w:val="nil"/>
              <w:bottom w:val="single" w:color="auto" w:sz="4" w:space="0"/>
              <w:right w:val="single" w:color="auto" w:sz="4" w:space="0"/>
            </w:tcBorders>
            <w:noWrap/>
            <w:vAlign w:val="center"/>
          </w:tcPr>
          <w:p w14:paraId="19F1498D">
            <w:pPr>
              <w:widowControl/>
              <w:jc w:val="center"/>
              <w:rPr>
                <w:rFonts w:hint="eastAsia" w:ascii="宋体" w:hAnsi="宋体" w:eastAsia="宋体" w:cs="宋体"/>
                <w:sz w:val="18"/>
                <w:szCs w:val="18"/>
              </w:rPr>
            </w:pPr>
            <w:r>
              <w:rPr>
                <w:rFonts w:hint="eastAsia" w:ascii="宋体" w:hAnsi="宋体" w:eastAsia="宋体" w:cs="宋体"/>
                <w:sz w:val="18"/>
                <w:szCs w:val="18"/>
              </w:rPr>
              <w:t>满意度指标</w:t>
            </w:r>
          </w:p>
        </w:tc>
        <w:tc>
          <w:tcPr>
            <w:tcW w:w="1418" w:type="dxa"/>
            <w:tcBorders>
              <w:top w:val="nil"/>
              <w:left w:val="nil"/>
              <w:bottom w:val="single" w:color="auto" w:sz="4" w:space="0"/>
              <w:right w:val="single" w:color="auto" w:sz="4" w:space="0"/>
            </w:tcBorders>
            <w:noWrap/>
            <w:vAlign w:val="center"/>
          </w:tcPr>
          <w:p w14:paraId="68F555AE">
            <w:pPr>
              <w:widowControl/>
              <w:jc w:val="center"/>
              <w:rPr>
                <w:rFonts w:hint="eastAsia" w:ascii="宋体" w:hAnsi="宋体" w:eastAsia="宋体" w:cs="宋体"/>
                <w:sz w:val="18"/>
                <w:szCs w:val="18"/>
              </w:rPr>
            </w:pPr>
            <w:r>
              <w:rPr>
                <w:rFonts w:hint="eastAsia" w:ascii="宋体" w:hAnsi="宋体" w:eastAsia="宋体" w:cs="宋体"/>
                <w:sz w:val="18"/>
                <w:szCs w:val="18"/>
              </w:rPr>
              <w:t>家长满意度</w:t>
            </w:r>
          </w:p>
        </w:tc>
        <w:tc>
          <w:tcPr>
            <w:tcW w:w="1242" w:type="dxa"/>
            <w:tcBorders>
              <w:top w:val="nil"/>
              <w:left w:val="nil"/>
              <w:bottom w:val="single" w:color="auto" w:sz="4" w:space="0"/>
              <w:right w:val="single" w:color="auto" w:sz="4" w:space="0"/>
            </w:tcBorders>
            <w:noWrap/>
            <w:vAlign w:val="center"/>
          </w:tcPr>
          <w:p w14:paraId="101E9C47">
            <w:pPr>
              <w:widowControl/>
              <w:jc w:val="center"/>
              <w:rPr>
                <w:rFonts w:hint="eastAsia" w:ascii="宋体" w:hAnsi="宋体" w:eastAsia="宋体" w:cs="宋体"/>
                <w:sz w:val="18"/>
                <w:szCs w:val="18"/>
              </w:rPr>
            </w:pPr>
            <w:r>
              <w:rPr>
                <w:rFonts w:hint="eastAsia" w:ascii="宋体" w:hAnsi="宋体" w:eastAsia="宋体" w:cs="宋体"/>
                <w:sz w:val="18"/>
                <w:szCs w:val="18"/>
              </w:rPr>
              <w:t>&gt;=95%</w:t>
            </w:r>
          </w:p>
        </w:tc>
        <w:tc>
          <w:tcPr>
            <w:tcW w:w="1417" w:type="dxa"/>
            <w:tcBorders>
              <w:top w:val="nil"/>
              <w:left w:val="nil"/>
              <w:bottom w:val="single" w:color="auto" w:sz="4" w:space="0"/>
              <w:right w:val="single" w:color="auto" w:sz="4" w:space="0"/>
            </w:tcBorders>
            <w:noWrap/>
            <w:vAlign w:val="center"/>
          </w:tcPr>
          <w:p w14:paraId="405C4012">
            <w:pPr>
              <w:widowControl/>
              <w:jc w:val="left"/>
              <w:rPr>
                <w:rFonts w:hint="eastAsia" w:ascii="宋体" w:hAnsi="宋体" w:eastAsia="宋体" w:cs="宋体"/>
                <w:sz w:val="18"/>
                <w:szCs w:val="18"/>
              </w:rPr>
            </w:pPr>
            <w:r>
              <w:rPr>
                <w:rFonts w:hint="eastAsia" w:ascii="宋体" w:hAnsi="宋体" w:eastAsia="宋体" w:cs="宋体"/>
                <w:sz w:val="18"/>
                <w:szCs w:val="18"/>
              </w:rPr>
              <w:t>年度工作计划</w:t>
            </w:r>
          </w:p>
        </w:tc>
        <w:tc>
          <w:tcPr>
            <w:tcW w:w="1134" w:type="dxa"/>
            <w:tcBorders>
              <w:top w:val="nil"/>
              <w:left w:val="nil"/>
              <w:bottom w:val="single" w:color="auto" w:sz="4" w:space="0"/>
              <w:right w:val="single" w:color="auto" w:sz="4" w:space="0"/>
            </w:tcBorders>
            <w:noWrap/>
            <w:vAlign w:val="center"/>
          </w:tcPr>
          <w:p w14:paraId="1A366F3A">
            <w:pPr>
              <w:widowControl/>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793BDA52">
            <w:pPr>
              <w:widowControl/>
              <w:jc w:val="center"/>
              <w:rPr>
                <w:rFonts w:hint="eastAsia" w:ascii="宋体" w:hAnsi="宋体" w:eastAsia="宋体" w:cs="宋体"/>
                <w:sz w:val="18"/>
                <w:szCs w:val="18"/>
              </w:rPr>
            </w:pPr>
            <w:r>
              <w:rPr>
                <w:rFonts w:hint="eastAsia" w:ascii="宋体" w:hAnsi="宋体" w:eastAsia="宋体" w:cs="宋体"/>
                <w:sz w:val="18"/>
                <w:szCs w:val="18"/>
              </w:rPr>
              <w:t>=95%</w:t>
            </w:r>
          </w:p>
        </w:tc>
        <w:tc>
          <w:tcPr>
            <w:tcW w:w="720" w:type="dxa"/>
            <w:tcBorders>
              <w:top w:val="nil"/>
              <w:left w:val="nil"/>
              <w:bottom w:val="single" w:color="auto" w:sz="4" w:space="0"/>
              <w:right w:val="single" w:color="auto" w:sz="4" w:space="0"/>
            </w:tcBorders>
            <w:noWrap/>
            <w:vAlign w:val="center"/>
          </w:tcPr>
          <w:p w14:paraId="647555F3">
            <w:pPr>
              <w:widowControl/>
              <w:jc w:val="center"/>
              <w:rPr>
                <w:rFonts w:hint="eastAsia" w:ascii="宋体" w:hAnsi="宋体" w:eastAsia="宋体" w:cs="宋体"/>
                <w:sz w:val="18"/>
                <w:szCs w:val="18"/>
              </w:rPr>
            </w:pPr>
            <w:r>
              <w:rPr>
                <w:rFonts w:hint="eastAsia" w:ascii="宋体" w:hAnsi="宋体" w:eastAsia="宋体" w:cs="宋体"/>
                <w:sz w:val="18"/>
                <w:szCs w:val="18"/>
              </w:rPr>
              <w:t>15</w:t>
            </w:r>
          </w:p>
        </w:tc>
      </w:tr>
    </w:tbl>
    <w:p w14:paraId="610608AB">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05D479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3"/>
        <w:tblW w:w="5343" w:type="pct"/>
        <w:jc w:val="center"/>
        <w:tblLayout w:type="fixed"/>
        <w:tblCellMar>
          <w:top w:w="0" w:type="dxa"/>
          <w:left w:w="108" w:type="dxa"/>
          <w:bottom w:w="0" w:type="dxa"/>
          <w:right w:w="108" w:type="dxa"/>
        </w:tblCellMar>
      </w:tblPr>
      <w:tblGrid>
        <w:gridCol w:w="771"/>
        <w:gridCol w:w="697"/>
        <w:gridCol w:w="769"/>
        <w:gridCol w:w="962"/>
        <w:gridCol w:w="515"/>
        <w:gridCol w:w="505"/>
        <w:gridCol w:w="588"/>
        <w:gridCol w:w="522"/>
        <w:gridCol w:w="633"/>
        <w:gridCol w:w="597"/>
        <w:gridCol w:w="518"/>
        <w:gridCol w:w="685"/>
        <w:gridCol w:w="690"/>
        <w:gridCol w:w="1012"/>
      </w:tblGrid>
      <w:tr w14:paraId="7F170742">
        <w:tblPrEx>
          <w:tblCellMar>
            <w:top w:w="0" w:type="dxa"/>
            <w:left w:w="108" w:type="dxa"/>
            <w:bottom w:w="0" w:type="dxa"/>
            <w:right w:w="108" w:type="dxa"/>
          </w:tblCellMar>
        </w:tblPrEx>
        <w:trPr>
          <w:trHeight w:val="530" w:hRule="atLeast"/>
          <w:jc w:val="center"/>
        </w:trPr>
        <w:tc>
          <w:tcPr>
            <w:tcW w:w="1469" w:type="dxa"/>
            <w:gridSpan w:val="2"/>
            <w:tcBorders>
              <w:top w:val="single" w:color="auto" w:sz="4" w:space="0"/>
              <w:left w:val="single" w:color="auto" w:sz="4" w:space="0"/>
              <w:bottom w:val="single" w:color="auto" w:sz="4" w:space="0"/>
              <w:right w:val="single" w:color="auto" w:sz="4" w:space="0"/>
            </w:tcBorders>
            <w:vAlign w:val="center"/>
          </w:tcPr>
          <w:p w14:paraId="79359B03">
            <w:pPr>
              <w:widowControl/>
              <w:jc w:val="center"/>
              <w:rPr>
                <w:rFonts w:hint="eastAsia"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7996" w:type="dxa"/>
            <w:gridSpan w:val="12"/>
            <w:tcBorders>
              <w:top w:val="single" w:color="auto" w:sz="4" w:space="0"/>
              <w:left w:val="nil"/>
              <w:bottom w:val="single" w:color="auto" w:sz="4" w:space="0"/>
              <w:right w:val="single" w:color="auto" w:sz="4" w:space="0"/>
            </w:tcBorders>
            <w:vAlign w:val="center"/>
          </w:tcPr>
          <w:p w14:paraId="5DCA5BF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2022年即开型体育彩票公益金返还资金</w:t>
            </w:r>
          </w:p>
        </w:tc>
      </w:tr>
      <w:tr w14:paraId="56C494AC">
        <w:tblPrEx>
          <w:tblCellMar>
            <w:top w:w="0" w:type="dxa"/>
            <w:left w:w="108" w:type="dxa"/>
            <w:bottom w:w="0" w:type="dxa"/>
            <w:right w:w="108" w:type="dxa"/>
          </w:tblCellMar>
        </w:tblPrEx>
        <w:trPr>
          <w:trHeight w:val="380" w:hRule="atLeast"/>
          <w:jc w:val="center"/>
        </w:trPr>
        <w:tc>
          <w:tcPr>
            <w:tcW w:w="1469" w:type="dxa"/>
            <w:gridSpan w:val="2"/>
            <w:tcBorders>
              <w:top w:val="single" w:color="auto" w:sz="4" w:space="0"/>
              <w:left w:val="single" w:color="auto" w:sz="4" w:space="0"/>
              <w:bottom w:val="single" w:color="auto" w:sz="4" w:space="0"/>
              <w:right w:val="single" w:color="auto" w:sz="4" w:space="0"/>
            </w:tcBorders>
            <w:vAlign w:val="center"/>
          </w:tcPr>
          <w:p w14:paraId="28EB4711">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339" w:type="dxa"/>
            <w:gridSpan w:val="5"/>
            <w:tcBorders>
              <w:top w:val="single" w:color="auto" w:sz="4" w:space="0"/>
              <w:left w:val="nil"/>
              <w:bottom w:val="single" w:color="auto" w:sz="4" w:space="0"/>
              <w:right w:val="single" w:color="auto" w:sz="4" w:space="0"/>
            </w:tcBorders>
            <w:vAlign w:val="center"/>
          </w:tcPr>
          <w:p w14:paraId="35F0D4C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昌吉市教育局</w:t>
            </w:r>
          </w:p>
        </w:tc>
        <w:tc>
          <w:tcPr>
            <w:tcW w:w="1155" w:type="dxa"/>
            <w:gridSpan w:val="2"/>
            <w:tcBorders>
              <w:top w:val="single" w:color="auto" w:sz="4" w:space="0"/>
              <w:left w:val="nil"/>
              <w:bottom w:val="single" w:color="auto" w:sz="4" w:space="0"/>
              <w:right w:val="single" w:color="auto" w:sz="4" w:space="0"/>
            </w:tcBorders>
            <w:vAlign w:val="center"/>
          </w:tcPr>
          <w:p w14:paraId="7C2BFD55">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3502" w:type="dxa"/>
            <w:gridSpan w:val="5"/>
            <w:tcBorders>
              <w:top w:val="single" w:color="auto" w:sz="4" w:space="0"/>
              <w:left w:val="nil"/>
              <w:bottom w:val="single" w:color="auto" w:sz="4" w:space="0"/>
              <w:right w:val="single" w:color="auto" w:sz="4" w:space="0"/>
            </w:tcBorders>
            <w:vAlign w:val="center"/>
          </w:tcPr>
          <w:p w14:paraId="01BEDE3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昌吉市滨湖镇中心学校</w:t>
            </w:r>
          </w:p>
        </w:tc>
      </w:tr>
      <w:tr w14:paraId="402B784A">
        <w:tblPrEx>
          <w:tblCellMar>
            <w:top w:w="0" w:type="dxa"/>
            <w:left w:w="108" w:type="dxa"/>
            <w:bottom w:w="0" w:type="dxa"/>
            <w:right w:w="108" w:type="dxa"/>
          </w:tblCellMar>
        </w:tblPrEx>
        <w:trPr>
          <w:trHeight w:val="380" w:hRule="atLeast"/>
          <w:jc w:val="center"/>
        </w:trPr>
        <w:tc>
          <w:tcPr>
            <w:tcW w:w="772" w:type="dxa"/>
            <w:vMerge w:val="restart"/>
            <w:tcBorders>
              <w:top w:val="nil"/>
              <w:left w:val="single" w:color="auto" w:sz="4" w:space="0"/>
              <w:bottom w:val="single" w:color="auto" w:sz="4" w:space="0"/>
              <w:right w:val="single" w:color="auto" w:sz="4" w:space="0"/>
            </w:tcBorders>
            <w:vAlign w:val="center"/>
          </w:tcPr>
          <w:p w14:paraId="30FB9EC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66" w:type="dxa"/>
            <w:gridSpan w:val="2"/>
            <w:tcBorders>
              <w:top w:val="single" w:color="auto" w:sz="4" w:space="0"/>
              <w:left w:val="nil"/>
              <w:bottom w:val="single" w:color="auto" w:sz="4" w:space="0"/>
              <w:right w:val="single" w:color="auto" w:sz="4" w:space="0"/>
            </w:tcBorders>
            <w:vAlign w:val="center"/>
          </w:tcPr>
          <w:p w14:paraId="2AE9FF3D">
            <w:pPr>
              <w:widowControl/>
              <w:jc w:val="center"/>
              <w:rPr>
                <w:rFonts w:hint="eastAsia" w:ascii="宋体" w:hAnsi="宋体" w:eastAsia="宋体" w:cs="宋体"/>
                <w:color w:val="000000"/>
                <w:sz w:val="18"/>
                <w:szCs w:val="18"/>
              </w:rPr>
            </w:pPr>
          </w:p>
        </w:tc>
        <w:tc>
          <w:tcPr>
            <w:tcW w:w="962" w:type="dxa"/>
            <w:tcBorders>
              <w:top w:val="single" w:color="auto" w:sz="4" w:space="0"/>
              <w:left w:val="nil"/>
              <w:bottom w:val="single" w:color="auto" w:sz="4" w:space="0"/>
              <w:right w:val="single" w:color="auto" w:sz="4" w:space="0"/>
            </w:tcBorders>
            <w:vAlign w:val="center"/>
          </w:tcPr>
          <w:p w14:paraId="366CDFD7">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608" w:type="dxa"/>
            <w:gridSpan w:val="3"/>
            <w:tcBorders>
              <w:top w:val="single" w:color="auto" w:sz="4" w:space="0"/>
              <w:left w:val="nil"/>
              <w:bottom w:val="single" w:color="auto" w:sz="4" w:space="0"/>
              <w:right w:val="single" w:color="auto" w:sz="4" w:space="0"/>
            </w:tcBorders>
            <w:vAlign w:val="center"/>
          </w:tcPr>
          <w:p w14:paraId="13B9A0A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155" w:type="dxa"/>
            <w:gridSpan w:val="2"/>
            <w:tcBorders>
              <w:top w:val="single" w:color="auto" w:sz="4" w:space="0"/>
              <w:left w:val="nil"/>
              <w:bottom w:val="single" w:color="auto" w:sz="4" w:space="0"/>
              <w:right w:val="single" w:color="auto" w:sz="4" w:space="0"/>
            </w:tcBorders>
            <w:vAlign w:val="center"/>
          </w:tcPr>
          <w:p w14:paraId="225AB5B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15" w:type="dxa"/>
            <w:gridSpan w:val="2"/>
            <w:tcBorders>
              <w:top w:val="nil"/>
              <w:left w:val="nil"/>
              <w:bottom w:val="single" w:color="auto" w:sz="4" w:space="0"/>
              <w:right w:val="single" w:color="auto" w:sz="4" w:space="0"/>
            </w:tcBorders>
            <w:vAlign w:val="center"/>
          </w:tcPr>
          <w:p w14:paraId="1E61E5E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75" w:type="dxa"/>
            <w:gridSpan w:val="2"/>
            <w:tcBorders>
              <w:top w:val="single" w:color="auto" w:sz="4" w:space="0"/>
              <w:left w:val="nil"/>
              <w:bottom w:val="single" w:color="auto" w:sz="4" w:space="0"/>
              <w:right w:val="single" w:color="auto" w:sz="4" w:space="0"/>
            </w:tcBorders>
            <w:vAlign w:val="center"/>
          </w:tcPr>
          <w:p w14:paraId="108040C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012" w:type="dxa"/>
            <w:tcBorders>
              <w:top w:val="nil"/>
              <w:left w:val="nil"/>
              <w:bottom w:val="single" w:color="auto" w:sz="4" w:space="0"/>
              <w:right w:val="single" w:color="auto" w:sz="4" w:space="0"/>
            </w:tcBorders>
            <w:vAlign w:val="center"/>
          </w:tcPr>
          <w:p w14:paraId="6108D06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79F7839">
        <w:tblPrEx>
          <w:tblCellMar>
            <w:top w:w="0" w:type="dxa"/>
            <w:left w:w="108" w:type="dxa"/>
            <w:bottom w:w="0" w:type="dxa"/>
            <w:right w:w="108" w:type="dxa"/>
          </w:tblCellMar>
        </w:tblPrEx>
        <w:trPr>
          <w:trHeight w:val="380" w:hRule="atLeast"/>
          <w:jc w:val="center"/>
        </w:trPr>
        <w:tc>
          <w:tcPr>
            <w:tcW w:w="772" w:type="dxa"/>
            <w:vMerge w:val="continue"/>
            <w:tcBorders>
              <w:top w:val="nil"/>
              <w:left w:val="single" w:color="auto" w:sz="4" w:space="0"/>
              <w:bottom w:val="single" w:color="auto" w:sz="4" w:space="0"/>
              <w:right w:val="single" w:color="auto" w:sz="4" w:space="0"/>
            </w:tcBorders>
            <w:vAlign w:val="center"/>
          </w:tcPr>
          <w:p w14:paraId="4A7C4AC1">
            <w:pPr>
              <w:widowControl/>
              <w:jc w:val="left"/>
              <w:rPr>
                <w:rFonts w:hint="eastAsia" w:ascii="宋体" w:hAnsi="宋体" w:eastAsia="宋体" w:cs="宋体"/>
                <w:color w:val="000000"/>
                <w:sz w:val="18"/>
                <w:szCs w:val="18"/>
              </w:rPr>
            </w:pPr>
          </w:p>
        </w:tc>
        <w:tc>
          <w:tcPr>
            <w:tcW w:w="1466" w:type="dxa"/>
            <w:gridSpan w:val="2"/>
            <w:tcBorders>
              <w:top w:val="single" w:color="auto" w:sz="4" w:space="0"/>
              <w:left w:val="nil"/>
              <w:bottom w:val="single" w:color="auto" w:sz="4" w:space="0"/>
              <w:right w:val="single" w:color="auto" w:sz="4" w:space="0"/>
            </w:tcBorders>
            <w:vAlign w:val="center"/>
          </w:tcPr>
          <w:p w14:paraId="7CF1C4BC">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962" w:type="dxa"/>
            <w:tcBorders>
              <w:top w:val="single" w:color="auto" w:sz="4" w:space="0"/>
              <w:left w:val="nil"/>
              <w:bottom w:val="single" w:color="auto" w:sz="4" w:space="0"/>
              <w:right w:val="single" w:color="auto" w:sz="4" w:space="0"/>
            </w:tcBorders>
            <w:vAlign w:val="center"/>
          </w:tcPr>
          <w:p w14:paraId="60AA601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608" w:type="dxa"/>
            <w:gridSpan w:val="3"/>
            <w:tcBorders>
              <w:top w:val="single" w:color="auto" w:sz="4" w:space="0"/>
              <w:left w:val="nil"/>
              <w:bottom w:val="single" w:color="auto" w:sz="4" w:space="0"/>
              <w:right w:val="single" w:color="auto" w:sz="4" w:space="0"/>
            </w:tcBorders>
            <w:vAlign w:val="center"/>
          </w:tcPr>
          <w:p w14:paraId="46231CB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155" w:type="dxa"/>
            <w:gridSpan w:val="2"/>
            <w:tcBorders>
              <w:top w:val="single" w:color="auto" w:sz="4" w:space="0"/>
              <w:left w:val="nil"/>
              <w:bottom w:val="single" w:color="auto" w:sz="4" w:space="0"/>
              <w:right w:val="single" w:color="auto" w:sz="4" w:space="0"/>
            </w:tcBorders>
            <w:vAlign w:val="center"/>
          </w:tcPr>
          <w:p w14:paraId="2992ACF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115" w:type="dxa"/>
            <w:gridSpan w:val="2"/>
            <w:tcBorders>
              <w:top w:val="nil"/>
              <w:left w:val="nil"/>
              <w:bottom w:val="single" w:color="auto" w:sz="4" w:space="0"/>
              <w:right w:val="single" w:color="auto" w:sz="4" w:space="0"/>
            </w:tcBorders>
            <w:vAlign w:val="center"/>
          </w:tcPr>
          <w:p w14:paraId="331D450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75" w:type="dxa"/>
            <w:gridSpan w:val="2"/>
            <w:tcBorders>
              <w:top w:val="single" w:color="auto" w:sz="4" w:space="0"/>
              <w:left w:val="nil"/>
              <w:bottom w:val="single" w:color="auto" w:sz="4" w:space="0"/>
              <w:right w:val="single" w:color="auto" w:sz="4" w:space="0"/>
            </w:tcBorders>
            <w:vAlign w:val="center"/>
          </w:tcPr>
          <w:p w14:paraId="6FE2B52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012" w:type="dxa"/>
            <w:tcBorders>
              <w:top w:val="nil"/>
              <w:left w:val="nil"/>
              <w:bottom w:val="single" w:color="auto" w:sz="4" w:space="0"/>
              <w:right w:val="single" w:color="auto" w:sz="4" w:space="0"/>
            </w:tcBorders>
            <w:vAlign w:val="center"/>
          </w:tcPr>
          <w:p w14:paraId="7FA957C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61FAA80">
        <w:tblPrEx>
          <w:tblCellMar>
            <w:top w:w="0" w:type="dxa"/>
            <w:left w:w="108" w:type="dxa"/>
            <w:bottom w:w="0" w:type="dxa"/>
            <w:right w:w="108" w:type="dxa"/>
          </w:tblCellMar>
        </w:tblPrEx>
        <w:trPr>
          <w:trHeight w:val="380" w:hRule="atLeast"/>
          <w:jc w:val="center"/>
        </w:trPr>
        <w:tc>
          <w:tcPr>
            <w:tcW w:w="772" w:type="dxa"/>
            <w:vMerge w:val="continue"/>
            <w:tcBorders>
              <w:top w:val="nil"/>
              <w:left w:val="single" w:color="auto" w:sz="4" w:space="0"/>
              <w:bottom w:val="single" w:color="auto" w:sz="4" w:space="0"/>
              <w:right w:val="single" w:color="auto" w:sz="4" w:space="0"/>
            </w:tcBorders>
            <w:vAlign w:val="center"/>
          </w:tcPr>
          <w:p w14:paraId="10362D64">
            <w:pPr>
              <w:widowControl/>
              <w:jc w:val="left"/>
              <w:rPr>
                <w:rFonts w:hint="eastAsia" w:ascii="宋体" w:hAnsi="宋体" w:eastAsia="宋体" w:cs="宋体"/>
                <w:color w:val="000000"/>
                <w:sz w:val="18"/>
                <w:szCs w:val="18"/>
              </w:rPr>
            </w:pPr>
          </w:p>
        </w:tc>
        <w:tc>
          <w:tcPr>
            <w:tcW w:w="1466" w:type="dxa"/>
            <w:gridSpan w:val="2"/>
            <w:tcBorders>
              <w:top w:val="single" w:color="auto" w:sz="4" w:space="0"/>
              <w:left w:val="nil"/>
              <w:bottom w:val="single" w:color="auto" w:sz="4" w:space="0"/>
              <w:right w:val="single" w:color="auto" w:sz="4" w:space="0"/>
            </w:tcBorders>
            <w:vAlign w:val="center"/>
          </w:tcPr>
          <w:p w14:paraId="04096599">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962" w:type="dxa"/>
            <w:tcBorders>
              <w:top w:val="single" w:color="auto" w:sz="4" w:space="0"/>
              <w:left w:val="nil"/>
              <w:bottom w:val="single" w:color="auto" w:sz="4" w:space="0"/>
              <w:right w:val="single" w:color="auto" w:sz="4" w:space="0"/>
            </w:tcBorders>
            <w:vAlign w:val="center"/>
          </w:tcPr>
          <w:p w14:paraId="51CDC1B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608" w:type="dxa"/>
            <w:gridSpan w:val="3"/>
            <w:tcBorders>
              <w:top w:val="single" w:color="auto" w:sz="4" w:space="0"/>
              <w:left w:val="nil"/>
              <w:bottom w:val="single" w:color="auto" w:sz="4" w:space="0"/>
              <w:right w:val="single" w:color="auto" w:sz="4" w:space="0"/>
            </w:tcBorders>
            <w:vAlign w:val="center"/>
          </w:tcPr>
          <w:p w14:paraId="04FC892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155" w:type="dxa"/>
            <w:gridSpan w:val="2"/>
            <w:tcBorders>
              <w:top w:val="single" w:color="auto" w:sz="4" w:space="0"/>
              <w:left w:val="nil"/>
              <w:bottom w:val="single" w:color="auto" w:sz="4" w:space="0"/>
              <w:right w:val="single" w:color="auto" w:sz="4" w:space="0"/>
            </w:tcBorders>
            <w:vAlign w:val="center"/>
          </w:tcPr>
          <w:p w14:paraId="6020653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w:t>
            </w:r>
          </w:p>
        </w:tc>
        <w:tc>
          <w:tcPr>
            <w:tcW w:w="1115" w:type="dxa"/>
            <w:gridSpan w:val="2"/>
            <w:tcBorders>
              <w:top w:val="nil"/>
              <w:left w:val="nil"/>
              <w:bottom w:val="single" w:color="auto" w:sz="4" w:space="0"/>
              <w:right w:val="single" w:color="auto" w:sz="4" w:space="0"/>
            </w:tcBorders>
            <w:vAlign w:val="center"/>
          </w:tcPr>
          <w:p w14:paraId="708E752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75" w:type="dxa"/>
            <w:gridSpan w:val="2"/>
            <w:tcBorders>
              <w:top w:val="single" w:color="auto" w:sz="4" w:space="0"/>
              <w:left w:val="nil"/>
              <w:bottom w:val="single" w:color="auto" w:sz="4" w:space="0"/>
              <w:right w:val="single" w:color="auto" w:sz="4" w:space="0"/>
            </w:tcBorders>
            <w:vAlign w:val="center"/>
          </w:tcPr>
          <w:p w14:paraId="3C2A167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012" w:type="dxa"/>
            <w:tcBorders>
              <w:top w:val="nil"/>
              <w:left w:val="nil"/>
              <w:bottom w:val="single" w:color="auto" w:sz="4" w:space="0"/>
              <w:right w:val="single" w:color="auto" w:sz="4" w:space="0"/>
            </w:tcBorders>
            <w:vAlign w:val="center"/>
          </w:tcPr>
          <w:p w14:paraId="01FC630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7F2E0DB">
        <w:tblPrEx>
          <w:tblCellMar>
            <w:top w:w="0" w:type="dxa"/>
            <w:left w:w="108" w:type="dxa"/>
            <w:bottom w:w="0" w:type="dxa"/>
            <w:right w:w="108" w:type="dxa"/>
          </w:tblCellMar>
        </w:tblPrEx>
        <w:trPr>
          <w:trHeight w:val="380" w:hRule="atLeast"/>
          <w:jc w:val="center"/>
        </w:trPr>
        <w:tc>
          <w:tcPr>
            <w:tcW w:w="772" w:type="dxa"/>
            <w:vMerge w:val="continue"/>
            <w:tcBorders>
              <w:top w:val="nil"/>
              <w:left w:val="single" w:color="auto" w:sz="4" w:space="0"/>
              <w:bottom w:val="single" w:color="auto" w:sz="4" w:space="0"/>
              <w:right w:val="single" w:color="auto" w:sz="4" w:space="0"/>
            </w:tcBorders>
            <w:vAlign w:val="center"/>
          </w:tcPr>
          <w:p w14:paraId="16C547C2">
            <w:pPr>
              <w:widowControl/>
              <w:jc w:val="left"/>
              <w:rPr>
                <w:rFonts w:hint="eastAsia" w:ascii="宋体" w:hAnsi="宋体" w:eastAsia="宋体" w:cs="宋体"/>
                <w:color w:val="000000"/>
                <w:sz w:val="18"/>
                <w:szCs w:val="18"/>
              </w:rPr>
            </w:pPr>
          </w:p>
        </w:tc>
        <w:tc>
          <w:tcPr>
            <w:tcW w:w="1466" w:type="dxa"/>
            <w:gridSpan w:val="2"/>
            <w:tcBorders>
              <w:top w:val="single" w:color="auto" w:sz="4" w:space="0"/>
              <w:left w:val="nil"/>
              <w:bottom w:val="single" w:color="auto" w:sz="4" w:space="0"/>
              <w:right w:val="single" w:color="auto" w:sz="4" w:space="0"/>
            </w:tcBorders>
            <w:vAlign w:val="center"/>
          </w:tcPr>
          <w:p w14:paraId="4DEB00E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962" w:type="dxa"/>
            <w:tcBorders>
              <w:top w:val="single" w:color="auto" w:sz="4" w:space="0"/>
              <w:left w:val="nil"/>
              <w:bottom w:val="single" w:color="auto" w:sz="4" w:space="0"/>
              <w:right w:val="single" w:color="auto" w:sz="4" w:space="0"/>
            </w:tcBorders>
            <w:vAlign w:val="center"/>
          </w:tcPr>
          <w:p w14:paraId="78EDA73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608" w:type="dxa"/>
            <w:gridSpan w:val="3"/>
            <w:tcBorders>
              <w:top w:val="single" w:color="auto" w:sz="4" w:space="0"/>
              <w:left w:val="nil"/>
              <w:bottom w:val="single" w:color="auto" w:sz="4" w:space="0"/>
              <w:right w:val="single" w:color="auto" w:sz="4" w:space="0"/>
            </w:tcBorders>
            <w:vAlign w:val="center"/>
          </w:tcPr>
          <w:p w14:paraId="1EE38DB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55" w:type="dxa"/>
            <w:gridSpan w:val="2"/>
            <w:tcBorders>
              <w:top w:val="single" w:color="auto" w:sz="4" w:space="0"/>
              <w:left w:val="nil"/>
              <w:bottom w:val="single" w:color="auto" w:sz="4" w:space="0"/>
              <w:right w:val="single" w:color="auto" w:sz="4" w:space="0"/>
            </w:tcBorders>
            <w:vAlign w:val="center"/>
          </w:tcPr>
          <w:p w14:paraId="72CFE91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15" w:type="dxa"/>
            <w:gridSpan w:val="2"/>
            <w:tcBorders>
              <w:top w:val="nil"/>
              <w:left w:val="nil"/>
              <w:bottom w:val="single" w:color="auto" w:sz="4" w:space="0"/>
              <w:right w:val="single" w:color="auto" w:sz="4" w:space="0"/>
            </w:tcBorders>
            <w:vAlign w:val="center"/>
          </w:tcPr>
          <w:p w14:paraId="6729AD5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75" w:type="dxa"/>
            <w:gridSpan w:val="2"/>
            <w:tcBorders>
              <w:top w:val="single" w:color="auto" w:sz="4" w:space="0"/>
              <w:left w:val="nil"/>
              <w:bottom w:val="single" w:color="auto" w:sz="4" w:space="0"/>
              <w:right w:val="single" w:color="auto" w:sz="4" w:space="0"/>
            </w:tcBorders>
            <w:vAlign w:val="center"/>
          </w:tcPr>
          <w:p w14:paraId="15ABFBE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012" w:type="dxa"/>
            <w:tcBorders>
              <w:top w:val="nil"/>
              <w:left w:val="nil"/>
              <w:bottom w:val="single" w:color="auto" w:sz="4" w:space="0"/>
              <w:right w:val="single" w:color="auto" w:sz="4" w:space="0"/>
            </w:tcBorders>
            <w:vAlign w:val="center"/>
          </w:tcPr>
          <w:p w14:paraId="305E31D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B5740B4">
        <w:tblPrEx>
          <w:tblCellMar>
            <w:top w:w="0" w:type="dxa"/>
            <w:left w:w="108" w:type="dxa"/>
            <w:bottom w:w="0" w:type="dxa"/>
            <w:right w:w="108" w:type="dxa"/>
          </w:tblCellMar>
        </w:tblPrEx>
        <w:trPr>
          <w:trHeight w:val="360" w:hRule="atLeast"/>
          <w:jc w:val="center"/>
        </w:trPr>
        <w:tc>
          <w:tcPr>
            <w:tcW w:w="772" w:type="dxa"/>
            <w:vMerge w:val="restart"/>
            <w:tcBorders>
              <w:top w:val="nil"/>
              <w:left w:val="single" w:color="auto" w:sz="4" w:space="0"/>
              <w:bottom w:val="single" w:color="auto" w:sz="4" w:space="0"/>
              <w:right w:val="single" w:color="auto" w:sz="4" w:space="0"/>
            </w:tcBorders>
            <w:vAlign w:val="center"/>
          </w:tcPr>
          <w:p w14:paraId="3AA071D8">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036" w:type="dxa"/>
            <w:gridSpan w:val="6"/>
            <w:tcBorders>
              <w:top w:val="single" w:color="auto" w:sz="4" w:space="0"/>
              <w:left w:val="nil"/>
              <w:bottom w:val="single" w:color="auto" w:sz="4" w:space="0"/>
              <w:right w:val="single" w:color="auto" w:sz="4" w:space="0"/>
            </w:tcBorders>
            <w:vAlign w:val="center"/>
          </w:tcPr>
          <w:p w14:paraId="51824FC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57" w:type="dxa"/>
            <w:gridSpan w:val="7"/>
            <w:tcBorders>
              <w:top w:val="single" w:color="auto" w:sz="4" w:space="0"/>
              <w:left w:val="nil"/>
              <w:bottom w:val="single" w:color="auto" w:sz="4" w:space="0"/>
              <w:right w:val="single" w:color="auto" w:sz="4" w:space="0"/>
            </w:tcBorders>
            <w:vAlign w:val="center"/>
          </w:tcPr>
          <w:p w14:paraId="586F76D4">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BC7482E">
        <w:tblPrEx>
          <w:tblCellMar>
            <w:top w:w="0" w:type="dxa"/>
            <w:left w:w="108" w:type="dxa"/>
            <w:bottom w:w="0" w:type="dxa"/>
            <w:right w:w="108" w:type="dxa"/>
          </w:tblCellMar>
        </w:tblPrEx>
        <w:trPr>
          <w:trHeight w:val="820" w:hRule="atLeast"/>
          <w:jc w:val="center"/>
        </w:trPr>
        <w:tc>
          <w:tcPr>
            <w:tcW w:w="772" w:type="dxa"/>
            <w:vMerge w:val="continue"/>
            <w:tcBorders>
              <w:top w:val="nil"/>
              <w:left w:val="single" w:color="auto" w:sz="4" w:space="0"/>
              <w:bottom w:val="single" w:color="auto" w:sz="4" w:space="0"/>
              <w:right w:val="single" w:color="auto" w:sz="4" w:space="0"/>
            </w:tcBorders>
            <w:vAlign w:val="center"/>
          </w:tcPr>
          <w:p w14:paraId="62B561B3">
            <w:pPr>
              <w:widowControl/>
              <w:jc w:val="left"/>
              <w:rPr>
                <w:rFonts w:hint="eastAsia" w:ascii="宋体" w:hAnsi="宋体" w:eastAsia="宋体" w:cs="宋体"/>
                <w:color w:val="000000"/>
                <w:sz w:val="18"/>
                <w:szCs w:val="18"/>
              </w:rPr>
            </w:pPr>
          </w:p>
        </w:tc>
        <w:tc>
          <w:tcPr>
            <w:tcW w:w="4036" w:type="dxa"/>
            <w:gridSpan w:val="6"/>
            <w:tcBorders>
              <w:top w:val="single" w:color="auto" w:sz="4" w:space="0"/>
              <w:left w:val="nil"/>
              <w:bottom w:val="single" w:color="auto" w:sz="4" w:space="0"/>
              <w:right w:val="single" w:color="auto" w:sz="4" w:space="0"/>
            </w:tcBorders>
            <w:vAlign w:val="center"/>
          </w:tcPr>
          <w:p w14:paraId="0B62972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本项目拟投入即开型体育彩票公益金返还资金5万元，用于学校篮球架，乒乓球台的购置。于2024年12月31日前完成。通过对本项目的实施有效保障了学生课间生活质量，提高学生身体素质，促进学校的正常运转，教育教学的发展。改善教育教学质量，使受益学生及教职工满意度达95%以上。</w:t>
            </w:r>
          </w:p>
        </w:tc>
        <w:tc>
          <w:tcPr>
            <w:tcW w:w="4657" w:type="dxa"/>
            <w:gridSpan w:val="7"/>
            <w:tcBorders>
              <w:top w:val="single" w:color="auto" w:sz="4" w:space="0"/>
              <w:left w:val="nil"/>
              <w:bottom w:val="single" w:color="auto" w:sz="4" w:space="0"/>
              <w:right w:val="single" w:color="auto" w:sz="4" w:space="0"/>
            </w:tcBorders>
            <w:vAlign w:val="center"/>
          </w:tcPr>
          <w:p w14:paraId="3826457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31日，我投入即开型体育彩票公益金返还资金5万元，用于学校篮球架购置2台，乒乓球台的购置7台及其他体育用品的购置一批。我校制定《体育传统特色学校建设实施方案》《体育教学质量评估办法》等规章制度，明确各部门职责分工，将体育工作纳入学校年度考核体系，保障项目有序推进。通过建立长效机制，确保体育课程、训练、竞赛等工作规范化、制度化。优化体育课程设置，在基础课程基础上，开设篮球、足球、乒乓球、啦啦操等校本特色课程，每周安排2节体育课和5次体育活动课。引入游戏化、情境化教学方法，激发学生学习兴趣。同时，定期开展体育教学研讨活动，组织教师观摩优秀课例，不断改进教学方法，提升教学水平。通过对本项目的实施有效保障了学生课间生活质量，提高学生身体素质，促进学校的正常运转，教育教学的发展。改善教育教学质量，使受益学生及教职工满意度达95%以上。取得了增强学生体质、特色体育品牌形成、学生及教师显著成长的主要成效。</w:t>
            </w:r>
          </w:p>
        </w:tc>
      </w:tr>
      <w:tr w14:paraId="0BCF4377">
        <w:tblPrEx>
          <w:tblCellMar>
            <w:top w:w="0" w:type="dxa"/>
            <w:left w:w="108" w:type="dxa"/>
            <w:bottom w:w="0" w:type="dxa"/>
            <w:right w:w="108" w:type="dxa"/>
          </w:tblCellMar>
        </w:tblPrEx>
        <w:trPr>
          <w:trHeight w:val="820" w:hRule="atLeast"/>
          <w:jc w:val="center"/>
        </w:trPr>
        <w:tc>
          <w:tcPr>
            <w:tcW w:w="772" w:type="dxa"/>
            <w:tcBorders>
              <w:top w:val="nil"/>
              <w:left w:val="single" w:color="auto" w:sz="4" w:space="0"/>
              <w:bottom w:val="single" w:color="auto" w:sz="4" w:space="0"/>
              <w:right w:val="single" w:color="auto" w:sz="4" w:space="0"/>
            </w:tcBorders>
            <w:vAlign w:val="center"/>
          </w:tcPr>
          <w:p w14:paraId="12212E74">
            <w:pPr>
              <w:widowControl/>
              <w:jc w:val="left"/>
              <w:rPr>
                <w:rFonts w:hint="eastAsia" w:ascii="宋体" w:hAnsi="宋体" w:eastAsia="宋体" w:cs="宋体"/>
                <w:color w:val="000000"/>
                <w:sz w:val="18"/>
                <w:szCs w:val="18"/>
              </w:rPr>
            </w:pPr>
          </w:p>
        </w:tc>
        <w:tc>
          <w:tcPr>
            <w:tcW w:w="697" w:type="dxa"/>
            <w:tcBorders>
              <w:top w:val="nil"/>
              <w:left w:val="nil"/>
              <w:bottom w:val="single" w:color="auto" w:sz="4" w:space="0"/>
              <w:right w:val="single" w:color="auto" w:sz="4" w:space="0"/>
            </w:tcBorders>
            <w:vAlign w:val="center"/>
          </w:tcPr>
          <w:p w14:paraId="608F30A4">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69" w:type="dxa"/>
            <w:tcBorders>
              <w:top w:val="nil"/>
              <w:left w:val="nil"/>
              <w:bottom w:val="single" w:color="auto" w:sz="4" w:space="0"/>
              <w:right w:val="single" w:color="auto" w:sz="4" w:space="0"/>
            </w:tcBorders>
            <w:vAlign w:val="center"/>
          </w:tcPr>
          <w:p w14:paraId="3CFB95B0">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962" w:type="dxa"/>
            <w:tcBorders>
              <w:top w:val="single" w:color="auto" w:sz="4" w:space="0"/>
              <w:left w:val="nil"/>
              <w:bottom w:val="single" w:color="auto" w:sz="4" w:space="0"/>
              <w:right w:val="single" w:color="auto" w:sz="4" w:space="0"/>
            </w:tcBorders>
            <w:vAlign w:val="center"/>
          </w:tcPr>
          <w:p w14:paraId="2F86202B">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515" w:type="dxa"/>
            <w:tcBorders>
              <w:top w:val="nil"/>
              <w:left w:val="nil"/>
              <w:bottom w:val="single" w:color="auto" w:sz="4" w:space="0"/>
              <w:right w:val="single" w:color="auto" w:sz="4" w:space="0"/>
            </w:tcBorders>
            <w:vAlign w:val="center"/>
          </w:tcPr>
          <w:p w14:paraId="484A72F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505" w:type="dxa"/>
            <w:tcBorders>
              <w:top w:val="nil"/>
              <w:left w:val="nil"/>
              <w:bottom w:val="single" w:color="auto" w:sz="4" w:space="0"/>
              <w:right w:val="single" w:color="auto" w:sz="4" w:space="0"/>
            </w:tcBorders>
            <w:vAlign w:val="center"/>
          </w:tcPr>
          <w:p w14:paraId="7D3F034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588" w:type="dxa"/>
            <w:tcBorders>
              <w:top w:val="nil"/>
              <w:left w:val="nil"/>
              <w:bottom w:val="single" w:color="auto" w:sz="4" w:space="0"/>
              <w:right w:val="single" w:color="auto" w:sz="4" w:space="0"/>
            </w:tcBorders>
            <w:vAlign w:val="center"/>
          </w:tcPr>
          <w:p w14:paraId="44AC505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522" w:type="dxa"/>
            <w:tcBorders>
              <w:top w:val="nil"/>
              <w:left w:val="nil"/>
              <w:bottom w:val="single" w:color="auto" w:sz="4" w:space="0"/>
              <w:right w:val="single" w:color="auto" w:sz="4" w:space="0"/>
            </w:tcBorders>
            <w:vAlign w:val="center"/>
          </w:tcPr>
          <w:p w14:paraId="30F71AC4">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633" w:type="dxa"/>
            <w:tcBorders>
              <w:top w:val="nil"/>
              <w:left w:val="nil"/>
              <w:bottom w:val="single" w:color="auto" w:sz="4" w:space="0"/>
              <w:right w:val="single" w:color="auto" w:sz="4" w:space="0"/>
            </w:tcBorders>
            <w:vAlign w:val="center"/>
          </w:tcPr>
          <w:p w14:paraId="1BD4065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597" w:type="dxa"/>
            <w:tcBorders>
              <w:top w:val="nil"/>
              <w:left w:val="nil"/>
              <w:bottom w:val="single" w:color="auto" w:sz="4" w:space="0"/>
              <w:right w:val="single" w:color="auto" w:sz="4" w:space="0"/>
            </w:tcBorders>
            <w:vAlign w:val="center"/>
          </w:tcPr>
          <w:p w14:paraId="114C19D2">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518" w:type="dxa"/>
            <w:tcBorders>
              <w:top w:val="nil"/>
              <w:left w:val="nil"/>
              <w:bottom w:val="single" w:color="auto" w:sz="4" w:space="0"/>
              <w:right w:val="single" w:color="auto" w:sz="4" w:space="0"/>
            </w:tcBorders>
            <w:vAlign w:val="center"/>
          </w:tcPr>
          <w:p w14:paraId="5559FA5A">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85" w:type="dxa"/>
            <w:tcBorders>
              <w:top w:val="nil"/>
              <w:left w:val="nil"/>
              <w:bottom w:val="single" w:color="auto" w:sz="4" w:space="0"/>
              <w:right w:val="single" w:color="auto" w:sz="4" w:space="0"/>
            </w:tcBorders>
            <w:vAlign w:val="center"/>
          </w:tcPr>
          <w:p w14:paraId="240DEB5F">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690" w:type="dxa"/>
            <w:tcBorders>
              <w:top w:val="nil"/>
              <w:left w:val="nil"/>
              <w:bottom w:val="single" w:color="auto" w:sz="4" w:space="0"/>
              <w:right w:val="single" w:color="auto" w:sz="4" w:space="0"/>
            </w:tcBorders>
            <w:vAlign w:val="center"/>
          </w:tcPr>
          <w:p w14:paraId="73B745C6">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012" w:type="dxa"/>
            <w:tcBorders>
              <w:top w:val="nil"/>
              <w:left w:val="nil"/>
              <w:bottom w:val="single" w:color="auto" w:sz="4" w:space="0"/>
              <w:right w:val="single" w:color="auto" w:sz="4" w:space="0"/>
            </w:tcBorders>
            <w:vAlign w:val="center"/>
          </w:tcPr>
          <w:p w14:paraId="3C1C3945">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偏差原因分析及改进措施</w:t>
            </w:r>
          </w:p>
        </w:tc>
      </w:tr>
      <w:tr w14:paraId="64F048B3">
        <w:tblPrEx>
          <w:tblCellMar>
            <w:top w:w="0" w:type="dxa"/>
            <w:left w:w="108" w:type="dxa"/>
            <w:bottom w:w="0" w:type="dxa"/>
            <w:right w:w="108" w:type="dxa"/>
          </w:tblCellMar>
        </w:tblPrEx>
        <w:trPr>
          <w:trHeight w:val="800" w:hRule="atLeast"/>
          <w:jc w:val="center"/>
        </w:trPr>
        <w:tc>
          <w:tcPr>
            <w:tcW w:w="772" w:type="dxa"/>
            <w:vMerge w:val="restart"/>
            <w:tcBorders>
              <w:top w:val="nil"/>
              <w:left w:val="single" w:color="auto" w:sz="4" w:space="0"/>
              <w:right w:val="single" w:color="auto" w:sz="4" w:space="0"/>
            </w:tcBorders>
            <w:vAlign w:val="center"/>
          </w:tcPr>
          <w:p w14:paraId="2013711E">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年度绩效指标完成情况</w:t>
            </w:r>
          </w:p>
        </w:tc>
        <w:tc>
          <w:tcPr>
            <w:tcW w:w="697" w:type="dxa"/>
            <w:vMerge w:val="restart"/>
            <w:tcBorders>
              <w:top w:val="nil"/>
              <w:left w:val="nil"/>
              <w:right w:val="single" w:color="auto" w:sz="4" w:space="0"/>
            </w:tcBorders>
            <w:vAlign w:val="center"/>
          </w:tcPr>
          <w:p w14:paraId="6C61CE1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69" w:type="dxa"/>
            <w:tcBorders>
              <w:top w:val="nil"/>
              <w:left w:val="nil"/>
              <w:bottom w:val="single" w:color="auto" w:sz="4" w:space="0"/>
              <w:right w:val="single" w:color="auto" w:sz="4" w:space="0"/>
            </w:tcBorders>
            <w:vAlign w:val="center"/>
          </w:tcPr>
          <w:p w14:paraId="6AAA213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962" w:type="dxa"/>
            <w:tcBorders>
              <w:top w:val="single" w:color="auto" w:sz="4" w:space="0"/>
              <w:left w:val="nil"/>
              <w:bottom w:val="single" w:color="auto" w:sz="4" w:space="0"/>
              <w:right w:val="single" w:color="auto" w:sz="4" w:space="0"/>
            </w:tcBorders>
            <w:vAlign w:val="center"/>
          </w:tcPr>
          <w:p w14:paraId="1644D227">
            <w:pPr>
              <w:widowControl/>
              <w:jc w:val="left"/>
              <w:rPr>
                <w:rFonts w:hint="eastAsia" w:ascii="等线" w:hAnsi="等线" w:eastAsia="等线" w:cs="Times New Roman"/>
                <w:color w:val="000000"/>
                <w:kern w:val="2"/>
                <w:sz w:val="18"/>
                <w:szCs w:val="18"/>
                <w14:ligatures w14:val="standardContextual"/>
              </w:rPr>
            </w:pPr>
            <w:r>
              <w:rPr>
                <w:rFonts w:hint="eastAsia" w:ascii="等线" w:hAnsi="等线" w:eastAsia="等线" w:cs="Times New Roman"/>
                <w:color w:val="000000"/>
                <w:kern w:val="2"/>
                <w:sz w:val="18"/>
                <w:szCs w:val="18"/>
                <w14:ligatures w14:val="standardContextual"/>
              </w:rPr>
              <w:t>购球架数量(副)</w:t>
            </w:r>
          </w:p>
        </w:tc>
        <w:tc>
          <w:tcPr>
            <w:tcW w:w="515" w:type="dxa"/>
            <w:tcBorders>
              <w:top w:val="nil"/>
              <w:left w:val="nil"/>
              <w:bottom w:val="single" w:color="auto" w:sz="4" w:space="0"/>
              <w:right w:val="single" w:color="auto" w:sz="4" w:space="0"/>
            </w:tcBorders>
            <w:vAlign w:val="center"/>
          </w:tcPr>
          <w:p w14:paraId="556F2AA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5" w:type="dxa"/>
            <w:tcBorders>
              <w:top w:val="nil"/>
              <w:left w:val="nil"/>
              <w:bottom w:val="single" w:color="auto" w:sz="4" w:space="0"/>
              <w:right w:val="single" w:color="auto" w:sz="4" w:space="0"/>
            </w:tcBorders>
            <w:vAlign w:val="center"/>
          </w:tcPr>
          <w:p w14:paraId="5B22EAA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=2副</w:t>
            </w:r>
          </w:p>
        </w:tc>
        <w:tc>
          <w:tcPr>
            <w:tcW w:w="588" w:type="dxa"/>
            <w:tcBorders>
              <w:top w:val="nil"/>
              <w:left w:val="nil"/>
              <w:bottom w:val="single" w:color="auto" w:sz="4" w:space="0"/>
              <w:right w:val="single" w:color="auto" w:sz="4" w:space="0"/>
            </w:tcBorders>
            <w:vAlign w:val="center"/>
          </w:tcPr>
          <w:p w14:paraId="73942B9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=2副</w:t>
            </w:r>
          </w:p>
        </w:tc>
        <w:tc>
          <w:tcPr>
            <w:tcW w:w="522" w:type="dxa"/>
            <w:tcBorders>
              <w:top w:val="nil"/>
              <w:left w:val="nil"/>
              <w:bottom w:val="single" w:color="auto" w:sz="4" w:space="0"/>
              <w:right w:val="single" w:color="auto" w:sz="4" w:space="0"/>
            </w:tcBorders>
            <w:vAlign w:val="center"/>
          </w:tcPr>
          <w:p w14:paraId="72C8340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30F2279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7" w:type="dxa"/>
            <w:tcBorders>
              <w:top w:val="nil"/>
              <w:left w:val="nil"/>
              <w:bottom w:val="single" w:color="auto" w:sz="4" w:space="0"/>
              <w:right w:val="single" w:color="auto" w:sz="4" w:space="0"/>
            </w:tcBorders>
            <w:vAlign w:val="center"/>
          </w:tcPr>
          <w:p w14:paraId="4DC42A0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724E561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85" w:type="dxa"/>
            <w:tcBorders>
              <w:top w:val="nil"/>
              <w:left w:val="nil"/>
              <w:bottom w:val="single" w:color="auto" w:sz="4" w:space="0"/>
              <w:right w:val="single" w:color="auto" w:sz="4" w:space="0"/>
            </w:tcBorders>
            <w:vAlign w:val="center"/>
          </w:tcPr>
          <w:p w14:paraId="33F9B17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690" w:type="dxa"/>
            <w:tcBorders>
              <w:top w:val="nil"/>
              <w:left w:val="nil"/>
              <w:bottom w:val="single" w:color="auto" w:sz="4" w:space="0"/>
              <w:right w:val="single" w:color="auto" w:sz="4" w:space="0"/>
            </w:tcBorders>
            <w:vAlign w:val="center"/>
          </w:tcPr>
          <w:p w14:paraId="4BE5096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012" w:type="dxa"/>
            <w:tcBorders>
              <w:top w:val="nil"/>
              <w:left w:val="nil"/>
              <w:bottom w:val="single" w:color="auto" w:sz="4" w:space="0"/>
              <w:right w:val="single" w:color="auto" w:sz="4" w:space="0"/>
            </w:tcBorders>
            <w:vAlign w:val="center"/>
          </w:tcPr>
          <w:p w14:paraId="302B956A">
            <w:pPr>
              <w:widowControl/>
              <w:jc w:val="center"/>
              <w:rPr>
                <w:rFonts w:hint="eastAsia" w:ascii="等线" w:hAnsi="等线" w:eastAsia="等线" w:cs="Times New Roman"/>
                <w:color w:val="000000"/>
                <w:kern w:val="2"/>
                <w:sz w:val="18"/>
                <w:szCs w:val="18"/>
                <w14:ligatures w14:val="standardContextual"/>
              </w:rPr>
            </w:pPr>
          </w:p>
        </w:tc>
      </w:tr>
      <w:tr w14:paraId="0D21DFC4">
        <w:tblPrEx>
          <w:tblCellMar>
            <w:top w:w="0" w:type="dxa"/>
            <w:left w:w="108" w:type="dxa"/>
            <w:bottom w:w="0" w:type="dxa"/>
            <w:right w:w="108" w:type="dxa"/>
          </w:tblCellMar>
        </w:tblPrEx>
        <w:trPr>
          <w:trHeight w:val="800" w:hRule="atLeast"/>
          <w:jc w:val="center"/>
        </w:trPr>
        <w:tc>
          <w:tcPr>
            <w:tcW w:w="772" w:type="dxa"/>
            <w:vMerge w:val="continue"/>
            <w:tcBorders>
              <w:left w:val="single" w:color="auto" w:sz="4" w:space="0"/>
              <w:right w:val="single" w:color="auto" w:sz="4" w:space="0"/>
            </w:tcBorders>
            <w:vAlign w:val="center"/>
          </w:tcPr>
          <w:p w14:paraId="6C4FA620">
            <w:pPr>
              <w:widowControl/>
              <w:jc w:val="left"/>
              <w:rPr>
                <w:rFonts w:hint="eastAsia" w:ascii="宋体" w:hAnsi="宋体" w:eastAsia="宋体" w:cs="宋体"/>
                <w:color w:val="000000"/>
                <w:sz w:val="18"/>
                <w:szCs w:val="18"/>
              </w:rPr>
            </w:pPr>
          </w:p>
        </w:tc>
        <w:tc>
          <w:tcPr>
            <w:tcW w:w="697" w:type="dxa"/>
            <w:vMerge w:val="continue"/>
            <w:tcBorders>
              <w:left w:val="nil"/>
              <w:right w:val="single" w:color="auto" w:sz="4" w:space="0"/>
            </w:tcBorders>
            <w:vAlign w:val="center"/>
          </w:tcPr>
          <w:p w14:paraId="0FD60C36">
            <w:pPr>
              <w:widowControl/>
              <w:jc w:val="center"/>
              <w:rPr>
                <w:rFonts w:hint="eastAsia" w:ascii="宋体" w:hAnsi="宋体" w:eastAsia="宋体" w:cs="宋体"/>
                <w:color w:val="000000"/>
                <w:sz w:val="18"/>
                <w:szCs w:val="18"/>
              </w:rPr>
            </w:pPr>
          </w:p>
        </w:tc>
        <w:tc>
          <w:tcPr>
            <w:tcW w:w="769" w:type="dxa"/>
            <w:tcBorders>
              <w:top w:val="nil"/>
              <w:left w:val="nil"/>
              <w:bottom w:val="single" w:color="auto" w:sz="4" w:space="0"/>
              <w:right w:val="single" w:color="auto" w:sz="4" w:space="0"/>
            </w:tcBorders>
            <w:vAlign w:val="center"/>
          </w:tcPr>
          <w:p w14:paraId="563FAED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962" w:type="dxa"/>
            <w:tcBorders>
              <w:top w:val="single" w:color="auto" w:sz="4" w:space="0"/>
              <w:left w:val="nil"/>
              <w:bottom w:val="single" w:color="auto" w:sz="4" w:space="0"/>
              <w:right w:val="single" w:color="auto" w:sz="4" w:space="0"/>
            </w:tcBorders>
            <w:vAlign w:val="center"/>
          </w:tcPr>
          <w:p w14:paraId="003EF14E">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购置乒乓球台数量(个)</w:t>
            </w:r>
          </w:p>
        </w:tc>
        <w:tc>
          <w:tcPr>
            <w:tcW w:w="515" w:type="dxa"/>
            <w:tcBorders>
              <w:top w:val="nil"/>
              <w:left w:val="nil"/>
              <w:bottom w:val="single" w:color="auto" w:sz="4" w:space="0"/>
              <w:right w:val="single" w:color="auto" w:sz="4" w:space="0"/>
            </w:tcBorders>
            <w:vAlign w:val="center"/>
          </w:tcPr>
          <w:p w14:paraId="5F9E21F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5" w:type="dxa"/>
            <w:tcBorders>
              <w:top w:val="nil"/>
              <w:left w:val="nil"/>
              <w:bottom w:val="single" w:color="auto" w:sz="4" w:space="0"/>
              <w:right w:val="single" w:color="auto" w:sz="4" w:space="0"/>
            </w:tcBorders>
            <w:vAlign w:val="center"/>
          </w:tcPr>
          <w:p w14:paraId="1D5054C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=7个</w:t>
            </w:r>
          </w:p>
        </w:tc>
        <w:tc>
          <w:tcPr>
            <w:tcW w:w="588" w:type="dxa"/>
            <w:tcBorders>
              <w:top w:val="nil"/>
              <w:left w:val="nil"/>
              <w:bottom w:val="single" w:color="auto" w:sz="4" w:space="0"/>
              <w:right w:val="single" w:color="auto" w:sz="4" w:space="0"/>
            </w:tcBorders>
            <w:vAlign w:val="center"/>
          </w:tcPr>
          <w:p w14:paraId="7823845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=7个</w:t>
            </w:r>
          </w:p>
        </w:tc>
        <w:tc>
          <w:tcPr>
            <w:tcW w:w="522" w:type="dxa"/>
            <w:tcBorders>
              <w:top w:val="nil"/>
              <w:left w:val="nil"/>
              <w:bottom w:val="single" w:color="auto" w:sz="4" w:space="0"/>
              <w:right w:val="single" w:color="auto" w:sz="4" w:space="0"/>
            </w:tcBorders>
            <w:vAlign w:val="center"/>
          </w:tcPr>
          <w:p w14:paraId="5253E5B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299C9F7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7" w:type="dxa"/>
            <w:tcBorders>
              <w:top w:val="nil"/>
              <w:left w:val="nil"/>
              <w:bottom w:val="single" w:color="auto" w:sz="4" w:space="0"/>
              <w:right w:val="single" w:color="auto" w:sz="4" w:space="0"/>
            </w:tcBorders>
            <w:vAlign w:val="center"/>
          </w:tcPr>
          <w:p w14:paraId="307C532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028534A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85" w:type="dxa"/>
            <w:tcBorders>
              <w:top w:val="nil"/>
              <w:left w:val="nil"/>
              <w:bottom w:val="single" w:color="auto" w:sz="4" w:space="0"/>
              <w:right w:val="single" w:color="auto" w:sz="4" w:space="0"/>
            </w:tcBorders>
            <w:vAlign w:val="center"/>
          </w:tcPr>
          <w:p w14:paraId="5962043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690" w:type="dxa"/>
            <w:tcBorders>
              <w:top w:val="nil"/>
              <w:left w:val="nil"/>
              <w:bottom w:val="single" w:color="auto" w:sz="4" w:space="0"/>
              <w:right w:val="single" w:color="auto" w:sz="4" w:space="0"/>
            </w:tcBorders>
            <w:vAlign w:val="center"/>
          </w:tcPr>
          <w:p w14:paraId="2006037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012" w:type="dxa"/>
            <w:tcBorders>
              <w:top w:val="nil"/>
              <w:left w:val="nil"/>
              <w:bottom w:val="single" w:color="auto" w:sz="4" w:space="0"/>
              <w:right w:val="single" w:color="auto" w:sz="4" w:space="0"/>
            </w:tcBorders>
            <w:vAlign w:val="center"/>
          </w:tcPr>
          <w:p w14:paraId="02052891">
            <w:pPr>
              <w:widowControl/>
              <w:jc w:val="center"/>
              <w:rPr>
                <w:rFonts w:hint="eastAsia" w:ascii="宋体" w:hAnsi="宋体" w:eastAsia="宋体" w:cs="宋体"/>
                <w:color w:val="000000"/>
                <w:sz w:val="18"/>
                <w:szCs w:val="18"/>
              </w:rPr>
            </w:pPr>
          </w:p>
        </w:tc>
      </w:tr>
      <w:tr w14:paraId="5BC12C76">
        <w:tblPrEx>
          <w:tblCellMar>
            <w:top w:w="0" w:type="dxa"/>
            <w:left w:w="108" w:type="dxa"/>
            <w:bottom w:w="0" w:type="dxa"/>
            <w:right w:w="108" w:type="dxa"/>
          </w:tblCellMar>
        </w:tblPrEx>
        <w:trPr>
          <w:trHeight w:val="800" w:hRule="atLeast"/>
          <w:jc w:val="center"/>
        </w:trPr>
        <w:tc>
          <w:tcPr>
            <w:tcW w:w="772" w:type="dxa"/>
            <w:vMerge w:val="continue"/>
            <w:tcBorders>
              <w:left w:val="single" w:color="auto" w:sz="4" w:space="0"/>
              <w:right w:val="single" w:color="auto" w:sz="4" w:space="0"/>
            </w:tcBorders>
            <w:vAlign w:val="center"/>
          </w:tcPr>
          <w:p w14:paraId="545AA8A4">
            <w:pPr>
              <w:widowControl/>
              <w:jc w:val="left"/>
              <w:rPr>
                <w:rFonts w:hint="eastAsia" w:ascii="宋体" w:hAnsi="宋体" w:eastAsia="宋体" w:cs="宋体"/>
                <w:color w:val="000000"/>
                <w:sz w:val="18"/>
                <w:szCs w:val="18"/>
              </w:rPr>
            </w:pPr>
          </w:p>
        </w:tc>
        <w:tc>
          <w:tcPr>
            <w:tcW w:w="697" w:type="dxa"/>
            <w:vMerge w:val="continue"/>
            <w:tcBorders>
              <w:left w:val="nil"/>
              <w:right w:val="single" w:color="auto" w:sz="4" w:space="0"/>
            </w:tcBorders>
            <w:vAlign w:val="center"/>
          </w:tcPr>
          <w:p w14:paraId="329959E8">
            <w:pPr>
              <w:widowControl/>
              <w:jc w:val="center"/>
              <w:rPr>
                <w:rFonts w:hint="eastAsia" w:ascii="宋体" w:hAnsi="宋体" w:eastAsia="宋体" w:cs="宋体"/>
                <w:color w:val="000000"/>
                <w:sz w:val="18"/>
                <w:szCs w:val="18"/>
              </w:rPr>
            </w:pPr>
          </w:p>
        </w:tc>
        <w:tc>
          <w:tcPr>
            <w:tcW w:w="769" w:type="dxa"/>
            <w:tcBorders>
              <w:top w:val="nil"/>
              <w:left w:val="nil"/>
              <w:bottom w:val="single" w:color="auto" w:sz="4" w:space="0"/>
              <w:right w:val="single" w:color="auto" w:sz="4" w:space="0"/>
            </w:tcBorders>
            <w:vAlign w:val="center"/>
          </w:tcPr>
          <w:p w14:paraId="68688FD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962" w:type="dxa"/>
            <w:tcBorders>
              <w:top w:val="single" w:color="auto" w:sz="4" w:space="0"/>
              <w:left w:val="nil"/>
              <w:bottom w:val="single" w:color="auto" w:sz="4" w:space="0"/>
              <w:right w:val="single" w:color="auto" w:sz="4" w:space="0"/>
            </w:tcBorders>
            <w:vAlign w:val="center"/>
          </w:tcPr>
          <w:p w14:paraId="5F97859D">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项目验合格率(%)</w:t>
            </w:r>
          </w:p>
        </w:tc>
        <w:tc>
          <w:tcPr>
            <w:tcW w:w="515" w:type="dxa"/>
            <w:tcBorders>
              <w:top w:val="nil"/>
              <w:left w:val="nil"/>
              <w:bottom w:val="single" w:color="auto" w:sz="4" w:space="0"/>
              <w:right w:val="single" w:color="auto" w:sz="4" w:space="0"/>
            </w:tcBorders>
            <w:vAlign w:val="center"/>
          </w:tcPr>
          <w:p w14:paraId="71A3688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505" w:type="dxa"/>
            <w:tcBorders>
              <w:top w:val="nil"/>
              <w:left w:val="nil"/>
              <w:bottom w:val="single" w:color="auto" w:sz="4" w:space="0"/>
              <w:right w:val="single" w:color="auto" w:sz="4" w:space="0"/>
            </w:tcBorders>
            <w:vAlign w:val="center"/>
          </w:tcPr>
          <w:p w14:paraId="11CD5D5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88" w:type="dxa"/>
            <w:tcBorders>
              <w:top w:val="nil"/>
              <w:left w:val="nil"/>
              <w:bottom w:val="single" w:color="auto" w:sz="4" w:space="0"/>
              <w:right w:val="single" w:color="auto" w:sz="4" w:space="0"/>
            </w:tcBorders>
            <w:vAlign w:val="center"/>
          </w:tcPr>
          <w:p w14:paraId="686DCCA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22" w:type="dxa"/>
            <w:tcBorders>
              <w:top w:val="nil"/>
              <w:left w:val="nil"/>
              <w:bottom w:val="single" w:color="auto" w:sz="4" w:space="0"/>
              <w:right w:val="single" w:color="auto" w:sz="4" w:space="0"/>
            </w:tcBorders>
            <w:vAlign w:val="center"/>
          </w:tcPr>
          <w:p w14:paraId="5249C40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0EAC85C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597" w:type="dxa"/>
            <w:tcBorders>
              <w:top w:val="nil"/>
              <w:left w:val="nil"/>
              <w:bottom w:val="single" w:color="auto" w:sz="4" w:space="0"/>
              <w:right w:val="single" w:color="auto" w:sz="4" w:space="0"/>
            </w:tcBorders>
            <w:vAlign w:val="center"/>
          </w:tcPr>
          <w:p w14:paraId="2042278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446986A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85" w:type="dxa"/>
            <w:tcBorders>
              <w:top w:val="nil"/>
              <w:left w:val="nil"/>
              <w:bottom w:val="single" w:color="auto" w:sz="4" w:space="0"/>
              <w:right w:val="single" w:color="auto" w:sz="4" w:space="0"/>
            </w:tcBorders>
            <w:vAlign w:val="center"/>
          </w:tcPr>
          <w:p w14:paraId="39D5CB4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690" w:type="dxa"/>
            <w:tcBorders>
              <w:top w:val="nil"/>
              <w:left w:val="nil"/>
              <w:bottom w:val="single" w:color="auto" w:sz="4" w:space="0"/>
              <w:right w:val="single" w:color="auto" w:sz="4" w:space="0"/>
            </w:tcBorders>
            <w:vAlign w:val="center"/>
          </w:tcPr>
          <w:p w14:paraId="4250154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012" w:type="dxa"/>
            <w:tcBorders>
              <w:top w:val="nil"/>
              <w:left w:val="nil"/>
              <w:bottom w:val="single" w:color="auto" w:sz="4" w:space="0"/>
              <w:right w:val="single" w:color="auto" w:sz="4" w:space="0"/>
            </w:tcBorders>
            <w:vAlign w:val="center"/>
          </w:tcPr>
          <w:p w14:paraId="025CC8B6">
            <w:pPr>
              <w:widowControl/>
              <w:jc w:val="center"/>
              <w:rPr>
                <w:rFonts w:hint="eastAsia" w:ascii="宋体" w:hAnsi="宋体" w:eastAsia="宋体" w:cs="宋体"/>
                <w:color w:val="000000"/>
                <w:sz w:val="18"/>
                <w:szCs w:val="18"/>
              </w:rPr>
            </w:pPr>
          </w:p>
        </w:tc>
      </w:tr>
      <w:tr w14:paraId="29E6645C">
        <w:tblPrEx>
          <w:tblCellMar>
            <w:top w:w="0" w:type="dxa"/>
            <w:left w:w="108" w:type="dxa"/>
            <w:bottom w:w="0" w:type="dxa"/>
            <w:right w:w="108" w:type="dxa"/>
          </w:tblCellMar>
        </w:tblPrEx>
        <w:trPr>
          <w:trHeight w:val="800" w:hRule="atLeast"/>
          <w:jc w:val="center"/>
        </w:trPr>
        <w:tc>
          <w:tcPr>
            <w:tcW w:w="772" w:type="dxa"/>
            <w:vMerge w:val="continue"/>
            <w:tcBorders>
              <w:left w:val="single" w:color="auto" w:sz="4" w:space="0"/>
              <w:right w:val="single" w:color="auto" w:sz="4" w:space="0"/>
            </w:tcBorders>
            <w:vAlign w:val="center"/>
          </w:tcPr>
          <w:p w14:paraId="6498E394">
            <w:pPr>
              <w:widowControl/>
              <w:jc w:val="left"/>
              <w:rPr>
                <w:rFonts w:hint="eastAsia" w:ascii="宋体" w:hAnsi="宋体" w:eastAsia="宋体" w:cs="宋体"/>
                <w:color w:val="000000"/>
                <w:sz w:val="18"/>
                <w:szCs w:val="18"/>
              </w:rPr>
            </w:pPr>
          </w:p>
        </w:tc>
        <w:tc>
          <w:tcPr>
            <w:tcW w:w="697" w:type="dxa"/>
            <w:vMerge w:val="continue"/>
            <w:tcBorders>
              <w:left w:val="nil"/>
              <w:bottom w:val="single" w:color="auto" w:sz="4" w:space="0"/>
              <w:right w:val="single" w:color="auto" w:sz="4" w:space="0"/>
            </w:tcBorders>
            <w:vAlign w:val="center"/>
          </w:tcPr>
          <w:p w14:paraId="13EF8FDA">
            <w:pPr>
              <w:widowControl/>
              <w:jc w:val="center"/>
              <w:rPr>
                <w:rFonts w:hint="eastAsia" w:ascii="宋体" w:hAnsi="宋体" w:eastAsia="宋体" w:cs="宋体"/>
                <w:color w:val="000000"/>
                <w:sz w:val="18"/>
                <w:szCs w:val="18"/>
              </w:rPr>
            </w:pPr>
          </w:p>
        </w:tc>
        <w:tc>
          <w:tcPr>
            <w:tcW w:w="769" w:type="dxa"/>
            <w:tcBorders>
              <w:top w:val="nil"/>
              <w:left w:val="nil"/>
              <w:bottom w:val="single" w:color="auto" w:sz="4" w:space="0"/>
              <w:right w:val="single" w:color="auto" w:sz="4" w:space="0"/>
            </w:tcBorders>
            <w:vAlign w:val="center"/>
          </w:tcPr>
          <w:p w14:paraId="4ECAFC5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962" w:type="dxa"/>
            <w:tcBorders>
              <w:top w:val="single" w:color="auto" w:sz="4" w:space="0"/>
              <w:left w:val="nil"/>
              <w:bottom w:val="single" w:color="auto" w:sz="4" w:space="0"/>
              <w:right w:val="single" w:color="auto" w:sz="4" w:space="0"/>
            </w:tcBorders>
            <w:vAlign w:val="center"/>
          </w:tcPr>
          <w:p w14:paraId="5E4FF855">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项目完成及时(%)</w:t>
            </w:r>
          </w:p>
        </w:tc>
        <w:tc>
          <w:tcPr>
            <w:tcW w:w="515" w:type="dxa"/>
            <w:tcBorders>
              <w:top w:val="nil"/>
              <w:left w:val="nil"/>
              <w:bottom w:val="single" w:color="auto" w:sz="4" w:space="0"/>
              <w:right w:val="single" w:color="auto" w:sz="4" w:space="0"/>
            </w:tcBorders>
            <w:vAlign w:val="center"/>
          </w:tcPr>
          <w:p w14:paraId="140D559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505" w:type="dxa"/>
            <w:tcBorders>
              <w:top w:val="nil"/>
              <w:left w:val="nil"/>
              <w:bottom w:val="single" w:color="auto" w:sz="4" w:space="0"/>
              <w:right w:val="single" w:color="auto" w:sz="4" w:space="0"/>
            </w:tcBorders>
            <w:vAlign w:val="center"/>
          </w:tcPr>
          <w:p w14:paraId="0DD5EE1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88" w:type="dxa"/>
            <w:tcBorders>
              <w:top w:val="nil"/>
              <w:left w:val="nil"/>
              <w:bottom w:val="single" w:color="auto" w:sz="4" w:space="0"/>
              <w:right w:val="single" w:color="auto" w:sz="4" w:space="0"/>
            </w:tcBorders>
            <w:vAlign w:val="center"/>
          </w:tcPr>
          <w:p w14:paraId="4529F14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22" w:type="dxa"/>
            <w:tcBorders>
              <w:top w:val="nil"/>
              <w:left w:val="nil"/>
              <w:bottom w:val="single" w:color="auto" w:sz="4" w:space="0"/>
              <w:right w:val="single" w:color="auto" w:sz="4" w:space="0"/>
            </w:tcBorders>
            <w:vAlign w:val="center"/>
          </w:tcPr>
          <w:p w14:paraId="6D530E2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690D793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597" w:type="dxa"/>
            <w:tcBorders>
              <w:top w:val="nil"/>
              <w:left w:val="nil"/>
              <w:bottom w:val="single" w:color="auto" w:sz="4" w:space="0"/>
              <w:right w:val="single" w:color="auto" w:sz="4" w:space="0"/>
            </w:tcBorders>
            <w:vAlign w:val="center"/>
          </w:tcPr>
          <w:p w14:paraId="6F1542E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48F1EDC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85" w:type="dxa"/>
            <w:tcBorders>
              <w:top w:val="nil"/>
              <w:left w:val="nil"/>
              <w:bottom w:val="single" w:color="auto" w:sz="4" w:space="0"/>
              <w:right w:val="single" w:color="auto" w:sz="4" w:space="0"/>
            </w:tcBorders>
            <w:vAlign w:val="center"/>
          </w:tcPr>
          <w:p w14:paraId="7CE559B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690" w:type="dxa"/>
            <w:tcBorders>
              <w:top w:val="nil"/>
              <w:left w:val="nil"/>
              <w:bottom w:val="single" w:color="auto" w:sz="4" w:space="0"/>
              <w:right w:val="single" w:color="auto" w:sz="4" w:space="0"/>
            </w:tcBorders>
            <w:vAlign w:val="center"/>
          </w:tcPr>
          <w:p w14:paraId="275616F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012" w:type="dxa"/>
            <w:tcBorders>
              <w:top w:val="nil"/>
              <w:left w:val="nil"/>
              <w:bottom w:val="single" w:color="auto" w:sz="4" w:space="0"/>
              <w:right w:val="single" w:color="auto" w:sz="4" w:space="0"/>
            </w:tcBorders>
            <w:vAlign w:val="center"/>
          </w:tcPr>
          <w:p w14:paraId="7AC13E98">
            <w:pPr>
              <w:widowControl/>
              <w:jc w:val="center"/>
              <w:rPr>
                <w:rFonts w:hint="eastAsia" w:ascii="宋体" w:hAnsi="宋体" w:eastAsia="宋体" w:cs="宋体"/>
                <w:color w:val="000000"/>
                <w:sz w:val="18"/>
                <w:szCs w:val="18"/>
              </w:rPr>
            </w:pPr>
          </w:p>
        </w:tc>
      </w:tr>
      <w:tr w14:paraId="664AEACE">
        <w:tblPrEx>
          <w:tblCellMar>
            <w:top w:w="0" w:type="dxa"/>
            <w:left w:w="108" w:type="dxa"/>
            <w:bottom w:w="0" w:type="dxa"/>
            <w:right w:w="108" w:type="dxa"/>
          </w:tblCellMar>
        </w:tblPrEx>
        <w:trPr>
          <w:trHeight w:val="800" w:hRule="atLeast"/>
          <w:jc w:val="center"/>
        </w:trPr>
        <w:tc>
          <w:tcPr>
            <w:tcW w:w="772" w:type="dxa"/>
            <w:vMerge w:val="continue"/>
            <w:tcBorders>
              <w:left w:val="single" w:color="auto" w:sz="4" w:space="0"/>
              <w:right w:val="single" w:color="auto" w:sz="4" w:space="0"/>
            </w:tcBorders>
            <w:vAlign w:val="center"/>
          </w:tcPr>
          <w:p w14:paraId="701DDAEF">
            <w:pPr>
              <w:widowControl/>
              <w:jc w:val="left"/>
              <w:rPr>
                <w:rFonts w:hint="eastAsia" w:ascii="宋体" w:hAnsi="宋体" w:eastAsia="宋体" w:cs="宋体"/>
                <w:color w:val="000000"/>
                <w:sz w:val="18"/>
                <w:szCs w:val="18"/>
              </w:rPr>
            </w:pPr>
          </w:p>
        </w:tc>
        <w:tc>
          <w:tcPr>
            <w:tcW w:w="697" w:type="dxa"/>
            <w:vMerge w:val="restart"/>
            <w:tcBorders>
              <w:top w:val="nil"/>
              <w:left w:val="nil"/>
              <w:right w:val="single" w:color="auto" w:sz="4" w:space="0"/>
            </w:tcBorders>
            <w:vAlign w:val="center"/>
          </w:tcPr>
          <w:p w14:paraId="47C6CCB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69" w:type="dxa"/>
            <w:tcBorders>
              <w:top w:val="nil"/>
              <w:left w:val="nil"/>
              <w:bottom w:val="single" w:color="auto" w:sz="4" w:space="0"/>
              <w:right w:val="single" w:color="auto" w:sz="4" w:space="0"/>
            </w:tcBorders>
            <w:vAlign w:val="center"/>
          </w:tcPr>
          <w:p w14:paraId="4A57006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962" w:type="dxa"/>
            <w:tcBorders>
              <w:top w:val="single" w:color="auto" w:sz="4" w:space="0"/>
              <w:left w:val="nil"/>
              <w:bottom w:val="single" w:color="auto" w:sz="4" w:space="0"/>
              <w:right w:val="single" w:color="auto" w:sz="4" w:space="0"/>
            </w:tcBorders>
            <w:vAlign w:val="center"/>
          </w:tcPr>
          <w:p w14:paraId="70B4ED88">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购置篮球架经费(万元)</w:t>
            </w:r>
          </w:p>
        </w:tc>
        <w:tc>
          <w:tcPr>
            <w:tcW w:w="515" w:type="dxa"/>
            <w:tcBorders>
              <w:top w:val="nil"/>
              <w:left w:val="nil"/>
              <w:bottom w:val="single" w:color="auto" w:sz="4" w:space="0"/>
              <w:right w:val="single" w:color="auto" w:sz="4" w:space="0"/>
            </w:tcBorders>
            <w:vAlign w:val="center"/>
          </w:tcPr>
          <w:p w14:paraId="79C53BF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505" w:type="dxa"/>
            <w:tcBorders>
              <w:top w:val="nil"/>
              <w:left w:val="nil"/>
              <w:bottom w:val="single" w:color="auto" w:sz="4" w:space="0"/>
              <w:right w:val="single" w:color="auto" w:sz="4" w:space="0"/>
            </w:tcBorders>
            <w:vAlign w:val="center"/>
          </w:tcPr>
          <w:p w14:paraId="12166786">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=2.1万元</w:t>
            </w:r>
          </w:p>
        </w:tc>
        <w:tc>
          <w:tcPr>
            <w:tcW w:w="588" w:type="dxa"/>
            <w:tcBorders>
              <w:top w:val="nil"/>
              <w:left w:val="nil"/>
              <w:bottom w:val="single" w:color="auto" w:sz="4" w:space="0"/>
              <w:right w:val="single" w:color="auto" w:sz="4" w:space="0"/>
            </w:tcBorders>
            <w:vAlign w:val="center"/>
          </w:tcPr>
          <w:p w14:paraId="589277C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=2.1万元</w:t>
            </w:r>
          </w:p>
        </w:tc>
        <w:tc>
          <w:tcPr>
            <w:tcW w:w="522" w:type="dxa"/>
            <w:tcBorders>
              <w:top w:val="nil"/>
              <w:left w:val="nil"/>
              <w:bottom w:val="single" w:color="auto" w:sz="4" w:space="0"/>
              <w:right w:val="single" w:color="auto" w:sz="4" w:space="0"/>
            </w:tcBorders>
            <w:vAlign w:val="center"/>
          </w:tcPr>
          <w:p w14:paraId="319619C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5F11597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597" w:type="dxa"/>
            <w:tcBorders>
              <w:top w:val="nil"/>
              <w:left w:val="nil"/>
              <w:bottom w:val="single" w:color="auto" w:sz="4" w:space="0"/>
              <w:right w:val="single" w:color="auto" w:sz="4" w:space="0"/>
            </w:tcBorders>
            <w:vAlign w:val="center"/>
          </w:tcPr>
          <w:p w14:paraId="02471FD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72EA38F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85" w:type="dxa"/>
            <w:tcBorders>
              <w:top w:val="nil"/>
              <w:left w:val="nil"/>
              <w:bottom w:val="single" w:color="auto" w:sz="4" w:space="0"/>
              <w:right w:val="single" w:color="auto" w:sz="4" w:space="0"/>
            </w:tcBorders>
            <w:vAlign w:val="center"/>
          </w:tcPr>
          <w:p w14:paraId="3EF5395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690" w:type="dxa"/>
            <w:tcBorders>
              <w:top w:val="nil"/>
              <w:left w:val="nil"/>
              <w:bottom w:val="single" w:color="auto" w:sz="4" w:space="0"/>
              <w:right w:val="single" w:color="auto" w:sz="4" w:space="0"/>
            </w:tcBorders>
            <w:vAlign w:val="center"/>
          </w:tcPr>
          <w:p w14:paraId="14A8E1E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012" w:type="dxa"/>
            <w:tcBorders>
              <w:top w:val="nil"/>
              <w:left w:val="nil"/>
              <w:bottom w:val="single" w:color="auto" w:sz="4" w:space="0"/>
              <w:right w:val="single" w:color="auto" w:sz="4" w:space="0"/>
            </w:tcBorders>
            <w:vAlign w:val="center"/>
          </w:tcPr>
          <w:p w14:paraId="29243C2F">
            <w:pPr>
              <w:widowControl/>
              <w:jc w:val="center"/>
              <w:rPr>
                <w:rFonts w:hint="eastAsia" w:ascii="宋体" w:hAnsi="宋体" w:eastAsia="宋体" w:cs="宋体"/>
                <w:color w:val="000000"/>
                <w:sz w:val="18"/>
                <w:szCs w:val="18"/>
              </w:rPr>
            </w:pPr>
          </w:p>
        </w:tc>
      </w:tr>
      <w:tr w14:paraId="2A1F8E04">
        <w:tblPrEx>
          <w:tblCellMar>
            <w:top w:w="0" w:type="dxa"/>
            <w:left w:w="108" w:type="dxa"/>
            <w:bottom w:w="0" w:type="dxa"/>
            <w:right w:w="108" w:type="dxa"/>
          </w:tblCellMar>
        </w:tblPrEx>
        <w:trPr>
          <w:trHeight w:val="800" w:hRule="atLeast"/>
          <w:jc w:val="center"/>
        </w:trPr>
        <w:tc>
          <w:tcPr>
            <w:tcW w:w="772" w:type="dxa"/>
            <w:vMerge w:val="continue"/>
            <w:tcBorders>
              <w:left w:val="single" w:color="auto" w:sz="4" w:space="0"/>
              <w:right w:val="single" w:color="auto" w:sz="4" w:space="0"/>
            </w:tcBorders>
            <w:vAlign w:val="center"/>
          </w:tcPr>
          <w:p w14:paraId="306675F3">
            <w:pPr>
              <w:widowControl/>
              <w:jc w:val="left"/>
              <w:rPr>
                <w:rFonts w:hint="eastAsia" w:ascii="宋体" w:hAnsi="宋体" w:eastAsia="宋体" w:cs="宋体"/>
                <w:color w:val="000000"/>
                <w:sz w:val="18"/>
                <w:szCs w:val="18"/>
              </w:rPr>
            </w:pPr>
          </w:p>
        </w:tc>
        <w:tc>
          <w:tcPr>
            <w:tcW w:w="697" w:type="dxa"/>
            <w:vMerge w:val="continue"/>
            <w:tcBorders>
              <w:left w:val="nil"/>
              <w:right w:val="single" w:color="auto" w:sz="4" w:space="0"/>
            </w:tcBorders>
            <w:vAlign w:val="center"/>
          </w:tcPr>
          <w:p w14:paraId="714D2D48">
            <w:pPr>
              <w:widowControl/>
              <w:jc w:val="center"/>
              <w:rPr>
                <w:rFonts w:hint="eastAsia" w:ascii="宋体" w:hAnsi="宋体" w:eastAsia="宋体" w:cs="宋体"/>
                <w:color w:val="000000"/>
                <w:sz w:val="18"/>
                <w:szCs w:val="18"/>
              </w:rPr>
            </w:pPr>
          </w:p>
        </w:tc>
        <w:tc>
          <w:tcPr>
            <w:tcW w:w="769" w:type="dxa"/>
            <w:tcBorders>
              <w:top w:val="nil"/>
              <w:left w:val="nil"/>
              <w:bottom w:val="single" w:color="auto" w:sz="4" w:space="0"/>
              <w:right w:val="single" w:color="auto" w:sz="4" w:space="0"/>
            </w:tcBorders>
            <w:vAlign w:val="center"/>
          </w:tcPr>
          <w:p w14:paraId="6595ABA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962" w:type="dxa"/>
            <w:tcBorders>
              <w:top w:val="single" w:color="auto" w:sz="4" w:space="0"/>
              <w:left w:val="nil"/>
              <w:bottom w:val="single" w:color="auto" w:sz="4" w:space="0"/>
              <w:right w:val="single" w:color="auto" w:sz="4" w:space="0"/>
            </w:tcBorders>
            <w:vAlign w:val="center"/>
          </w:tcPr>
          <w:p w14:paraId="782C5392">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购置乒乓球台经费(万元)</w:t>
            </w:r>
          </w:p>
        </w:tc>
        <w:tc>
          <w:tcPr>
            <w:tcW w:w="515" w:type="dxa"/>
            <w:tcBorders>
              <w:top w:val="nil"/>
              <w:left w:val="nil"/>
              <w:bottom w:val="single" w:color="auto" w:sz="4" w:space="0"/>
              <w:right w:val="single" w:color="auto" w:sz="4" w:space="0"/>
            </w:tcBorders>
            <w:vAlign w:val="center"/>
          </w:tcPr>
          <w:p w14:paraId="4D200A6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505" w:type="dxa"/>
            <w:tcBorders>
              <w:top w:val="nil"/>
              <w:left w:val="nil"/>
              <w:bottom w:val="single" w:color="auto" w:sz="4" w:space="0"/>
              <w:right w:val="single" w:color="auto" w:sz="4" w:space="0"/>
            </w:tcBorders>
            <w:vAlign w:val="center"/>
          </w:tcPr>
          <w:p w14:paraId="2DF04A1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=1.4万元</w:t>
            </w:r>
          </w:p>
        </w:tc>
        <w:tc>
          <w:tcPr>
            <w:tcW w:w="588" w:type="dxa"/>
            <w:tcBorders>
              <w:top w:val="nil"/>
              <w:left w:val="nil"/>
              <w:bottom w:val="single" w:color="auto" w:sz="4" w:space="0"/>
              <w:right w:val="single" w:color="auto" w:sz="4" w:space="0"/>
            </w:tcBorders>
            <w:vAlign w:val="center"/>
          </w:tcPr>
          <w:p w14:paraId="1278F34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=1.4万元</w:t>
            </w:r>
          </w:p>
        </w:tc>
        <w:tc>
          <w:tcPr>
            <w:tcW w:w="522" w:type="dxa"/>
            <w:tcBorders>
              <w:top w:val="nil"/>
              <w:left w:val="nil"/>
              <w:bottom w:val="single" w:color="auto" w:sz="4" w:space="0"/>
              <w:right w:val="single" w:color="auto" w:sz="4" w:space="0"/>
            </w:tcBorders>
            <w:vAlign w:val="center"/>
          </w:tcPr>
          <w:p w14:paraId="77C5AD8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385D28B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597" w:type="dxa"/>
            <w:tcBorders>
              <w:top w:val="nil"/>
              <w:left w:val="nil"/>
              <w:bottom w:val="single" w:color="auto" w:sz="4" w:space="0"/>
              <w:right w:val="single" w:color="auto" w:sz="4" w:space="0"/>
            </w:tcBorders>
            <w:vAlign w:val="center"/>
          </w:tcPr>
          <w:p w14:paraId="76B7DBC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02C49CC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85" w:type="dxa"/>
            <w:tcBorders>
              <w:top w:val="nil"/>
              <w:left w:val="nil"/>
              <w:bottom w:val="single" w:color="auto" w:sz="4" w:space="0"/>
              <w:right w:val="single" w:color="auto" w:sz="4" w:space="0"/>
            </w:tcBorders>
            <w:vAlign w:val="center"/>
          </w:tcPr>
          <w:p w14:paraId="7FC619C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690" w:type="dxa"/>
            <w:tcBorders>
              <w:top w:val="nil"/>
              <w:left w:val="nil"/>
              <w:bottom w:val="single" w:color="auto" w:sz="4" w:space="0"/>
              <w:right w:val="single" w:color="auto" w:sz="4" w:space="0"/>
            </w:tcBorders>
            <w:vAlign w:val="center"/>
          </w:tcPr>
          <w:p w14:paraId="55C4BA1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012" w:type="dxa"/>
            <w:tcBorders>
              <w:top w:val="nil"/>
              <w:left w:val="nil"/>
              <w:bottom w:val="single" w:color="auto" w:sz="4" w:space="0"/>
              <w:right w:val="single" w:color="auto" w:sz="4" w:space="0"/>
            </w:tcBorders>
            <w:vAlign w:val="center"/>
          </w:tcPr>
          <w:p w14:paraId="12827470">
            <w:pPr>
              <w:widowControl/>
              <w:jc w:val="center"/>
              <w:rPr>
                <w:rFonts w:hint="eastAsia" w:ascii="宋体" w:hAnsi="宋体" w:eastAsia="宋体" w:cs="宋体"/>
                <w:color w:val="000000"/>
                <w:sz w:val="18"/>
                <w:szCs w:val="18"/>
              </w:rPr>
            </w:pPr>
          </w:p>
        </w:tc>
      </w:tr>
      <w:tr w14:paraId="52DF378F">
        <w:tblPrEx>
          <w:tblCellMar>
            <w:top w:w="0" w:type="dxa"/>
            <w:left w:w="108" w:type="dxa"/>
            <w:bottom w:w="0" w:type="dxa"/>
            <w:right w:w="108" w:type="dxa"/>
          </w:tblCellMar>
        </w:tblPrEx>
        <w:trPr>
          <w:trHeight w:val="800" w:hRule="atLeast"/>
          <w:jc w:val="center"/>
        </w:trPr>
        <w:tc>
          <w:tcPr>
            <w:tcW w:w="772" w:type="dxa"/>
            <w:vMerge w:val="continue"/>
            <w:tcBorders>
              <w:left w:val="single" w:color="auto" w:sz="4" w:space="0"/>
              <w:right w:val="single" w:color="auto" w:sz="4" w:space="0"/>
            </w:tcBorders>
            <w:vAlign w:val="center"/>
          </w:tcPr>
          <w:p w14:paraId="72C0F46B">
            <w:pPr>
              <w:widowControl/>
              <w:jc w:val="left"/>
              <w:rPr>
                <w:rFonts w:hint="eastAsia" w:ascii="宋体" w:hAnsi="宋体" w:eastAsia="宋体" w:cs="宋体"/>
                <w:color w:val="000000"/>
                <w:sz w:val="18"/>
                <w:szCs w:val="18"/>
              </w:rPr>
            </w:pPr>
          </w:p>
        </w:tc>
        <w:tc>
          <w:tcPr>
            <w:tcW w:w="697" w:type="dxa"/>
            <w:vMerge w:val="continue"/>
            <w:tcBorders>
              <w:left w:val="nil"/>
              <w:bottom w:val="single" w:color="auto" w:sz="4" w:space="0"/>
              <w:right w:val="single" w:color="auto" w:sz="4" w:space="0"/>
            </w:tcBorders>
            <w:vAlign w:val="center"/>
          </w:tcPr>
          <w:p w14:paraId="586F4AC8">
            <w:pPr>
              <w:widowControl/>
              <w:jc w:val="center"/>
              <w:rPr>
                <w:rFonts w:hint="eastAsia" w:ascii="宋体" w:hAnsi="宋体" w:eastAsia="宋体" w:cs="宋体"/>
                <w:color w:val="000000"/>
                <w:sz w:val="18"/>
                <w:szCs w:val="18"/>
              </w:rPr>
            </w:pPr>
          </w:p>
        </w:tc>
        <w:tc>
          <w:tcPr>
            <w:tcW w:w="769" w:type="dxa"/>
            <w:tcBorders>
              <w:top w:val="nil"/>
              <w:left w:val="nil"/>
              <w:bottom w:val="single" w:color="auto" w:sz="4" w:space="0"/>
              <w:right w:val="single" w:color="auto" w:sz="4" w:space="0"/>
            </w:tcBorders>
            <w:vAlign w:val="center"/>
          </w:tcPr>
          <w:p w14:paraId="683BEBD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962" w:type="dxa"/>
            <w:tcBorders>
              <w:top w:val="single" w:color="auto" w:sz="4" w:space="0"/>
              <w:left w:val="nil"/>
              <w:bottom w:val="single" w:color="auto" w:sz="4" w:space="0"/>
              <w:right w:val="single" w:color="auto" w:sz="4" w:space="0"/>
            </w:tcBorders>
            <w:vAlign w:val="center"/>
          </w:tcPr>
          <w:p w14:paraId="65C97F72">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购置其他体育用具</w:t>
            </w:r>
          </w:p>
        </w:tc>
        <w:tc>
          <w:tcPr>
            <w:tcW w:w="515" w:type="dxa"/>
            <w:tcBorders>
              <w:top w:val="nil"/>
              <w:left w:val="nil"/>
              <w:bottom w:val="single" w:color="auto" w:sz="4" w:space="0"/>
              <w:right w:val="single" w:color="auto" w:sz="4" w:space="0"/>
            </w:tcBorders>
            <w:vAlign w:val="center"/>
          </w:tcPr>
          <w:p w14:paraId="71B4EEC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505" w:type="dxa"/>
            <w:tcBorders>
              <w:top w:val="nil"/>
              <w:left w:val="nil"/>
              <w:bottom w:val="single" w:color="auto" w:sz="4" w:space="0"/>
              <w:right w:val="single" w:color="auto" w:sz="4" w:space="0"/>
            </w:tcBorders>
            <w:vAlign w:val="center"/>
          </w:tcPr>
          <w:p w14:paraId="1B03DEA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=1.50万元</w:t>
            </w:r>
          </w:p>
        </w:tc>
        <w:tc>
          <w:tcPr>
            <w:tcW w:w="588" w:type="dxa"/>
            <w:tcBorders>
              <w:top w:val="nil"/>
              <w:left w:val="nil"/>
              <w:bottom w:val="single" w:color="auto" w:sz="4" w:space="0"/>
              <w:right w:val="single" w:color="auto" w:sz="4" w:space="0"/>
            </w:tcBorders>
            <w:vAlign w:val="center"/>
          </w:tcPr>
          <w:p w14:paraId="49D4367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=1.5万元</w:t>
            </w:r>
          </w:p>
        </w:tc>
        <w:tc>
          <w:tcPr>
            <w:tcW w:w="522" w:type="dxa"/>
            <w:tcBorders>
              <w:top w:val="nil"/>
              <w:left w:val="nil"/>
              <w:bottom w:val="single" w:color="auto" w:sz="4" w:space="0"/>
              <w:right w:val="single" w:color="auto" w:sz="4" w:space="0"/>
            </w:tcBorders>
            <w:vAlign w:val="center"/>
          </w:tcPr>
          <w:p w14:paraId="17729AC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7130634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597" w:type="dxa"/>
            <w:tcBorders>
              <w:top w:val="nil"/>
              <w:left w:val="nil"/>
              <w:bottom w:val="single" w:color="auto" w:sz="4" w:space="0"/>
              <w:right w:val="single" w:color="auto" w:sz="4" w:space="0"/>
            </w:tcBorders>
            <w:vAlign w:val="center"/>
          </w:tcPr>
          <w:p w14:paraId="6A17B55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518" w:type="dxa"/>
            <w:tcBorders>
              <w:top w:val="nil"/>
              <w:left w:val="nil"/>
              <w:bottom w:val="single" w:color="auto" w:sz="4" w:space="0"/>
              <w:right w:val="single" w:color="auto" w:sz="4" w:space="0"/>
            </w:tcBorders>
            <w:vAlign w:val="center"/>
          </w:tcPr>
          <w:p w14:paraId="5744FF4A">
            <w:pPr>
              <w:widowControl/>
              <w:jc w:val="center"/>
              <w:rPr>
                <w:rFonts w:hint="eastAsia" w:ascii="宋体" w:hAnsi="宋体" w:eastAsia="宋体" w:cs="宋体"/>
                <w:color w:val="000000"/>
                <w:sz w:val="18"/>
                <w:szCs w:val="18"/>
              </w:rPr>
            </w:pPr>
          </w:p>
        </w:tc>
        <w:tc>
          <w:tcPr>
            <w:tcW w:w="685" w:type="dxa"/>
            <w:tcBorders>
              <w:top w:val="nil"/>
              <w:left w:val="nil"/>
              <w:bottom w:val="single" w:color="auto" w:sz="4" w:space="0"/>
              <w:right w:val="single" w:color="auto" w:sz="4" w:space="0"/>
            </w:tcBorders>
            <w:vAlign w:val="center"/>
          </w:tcPr>
          <w:p w14:paraId="6DF0401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690" w:type="dxa"/>
            <w:tcBorders>
              <w:top w:val="nil"/>
              <w:left w:val="nil"/>
              <w:bottom w:val="single" w:color="auto" w:sz="4" w:space="0"/>
              <w:right w:val="single" w:color="auto" w:sz="4" w:space="0"/>
            </w:tcBorders>
            <w:vAlign w:val="center"/>
          </w:tcPr>
          <w:p w14:paraId="5D03DDA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012" w:type="dxa"/>
            <w:tcBorders>
              <w:top w:val="nil"/>
              <w:left w:val="nil"/>
              <w:bottom w:val="single" w:color="auto" w:sz="4" w:space="0"/>
              <w:right w:val="single" w:color="auto" w:sz="4" w:space="0"/>
            </w:tcBorders>
            <w:vAlign w:val="center"/>
          </w:tcPr>
          <w:p w14:paraId="3A62E1EA">
            <w:pPr>
              <w:widowControl/>
              <w:jc w:val="center"/>
              <w:rPr>
                <w:rFonts w:hint="eastAsia" w:ascii="宋体" w:hAnsi="宋体" w:eastAsia="宋体" w:cs="宋体"/>
                <w:color w:val="000000"/>
                <w:sz w:val="18"/>
                <w:szCs w:val="18"/>
              </w:rPr>
            </w:pPr>
          </w:p>
        </w:tc>
      </w:tr>
      <w:tr w14:paraId="7AD83546">
        <w:tblPrEx>
          <w:tblCellMar>
            <w:top w:w="0" w:type="dxa"/>
            <w:left w:w="108" w:type="dxa"/>
            <w:bottom w:w="0" w:type="dxa"/>
            <w:right w:w="108" w:type="dxa"/>
          </w:tblCellMar>
        </w:tblPrEx>
        <w:trPr>
          <w:trHeight w:val="800" w:hRule="atLeast"/>
          <w:jc w:val="center"/>
        </w:trPr>
        <w:tc>
          <w:tcPr>
            <w:tcW w:w="772" w:type="dxa"/>
            <w:vMerge w:val="continue"/>
            <w:tcBorders>
              <w:left w:val="single" w:color="auto" w:sz="4" w:space="0"/>
              <w:right w:val="single" w:color="auto" w:sz="4" w:space="0"/>
            </w:tcBorders>
            <w:vAlign w:val="center"/>
          </w:tcPr>
          <w:p w14:paraId="595D151F">
            <w:pPr>
              <w:widowControl/>
              <w:jc w:val="left"/>
              <w:rPr>
                <w:rFonts w:hint="eastAsia" w:ascii="宋体" w:hAnsi="宋体" w:eastAsia="宋体" w:cs="宋体"/>
                <w:color w:val="000000"/>
                <w:sz w:val="18"/>
                <w:szCs w:val="18"/>
              </w:rPr>
            </w:pPr>
          </w:p>
        </w:tc>
        <w:tc>
          <w:tcPr>
            <w:tcW w:w="697" w:type="dxa"/>
            <w:vMerge w:val="restart"/>
            <w:tcBorders>
              <w:top w:val="nil"/>
              <w:left w:val="nil"/>
              <w:right w:val="single" w:color="auto" w:sz="4" w:space="0"/>
            </w:tcBorders>
            <w:vAlign w:val="center"/>
          </w:tcPr>
          <w:p w14:paraId="3FFD006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69" w:type="dxa"/>
            <w:tcBorders>
              <w:top w:val="nil"/>
              <w:left w:val="nil"/>
              <w:bottom w:val="single" w:color="auto" w:sz="4" w:space="0"/>
              <w:right w:val="single" w:color="auto" w:sz="4" w:space="0"/>
            </w:tcBorders>
            <w:vAlign w:val="center"/>
          </w:tcPr>
          <w:p w14:paraId="5C592E9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962" w:type="dxa"/>
            <w:tcBorders>
              <w:top w:val="single" w:color="auto" w:sz="4" w:space="0"/>
              <w:left w:val="nil"/>
              <w:bottom w:val="single" w:color="auto" w:sz="4" w:space="0"/>
              <w:right w:val="single" w:color="auto" w:sz="4" w:space="0"/>
            </w:tcBorders>
            <w:vAlign w:val="center"/>
          </w:tcPr>
          <w:p w14:paraId="5E854A3E">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保障学校正常运转，完成教育教学活动</w:t>
            </w:r>
          </w:p>
        </w:tc>
        <w:tc>
          <w:tcPr>
            <w:tcW w:w="515" w:type="dxa"/>
            <w:tcBorders>
              <w:top w:val="nil"/>
              <w:left w:val="nil"/>
              <w:bottom w:val="single" w:color="auto" w:sz="4" w:space="0"/>
              <w:right w:val="single" w:color="auto" w:sz="4" w:space="0"/>
            </w:tcBorders>
            <w:vAlign w:val="center"/>
          </w:tcPr>
          <w:p w14:paraId="5362FDF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5" w:type="dxa"/>
            <w:tcBorders>
              <w:top w:val="nil"/>
              <w:left w:val="nil"/>
              <w:bottom w:val="single" w:color="auto" w:sz="4" w:space="0"/>
              <w:right w:val="single" w:color="auto" w:sz="4" w:space="0"/>
            </w:tcBorders>
            <w:vAlign w:val="center"/>
          </w:tcPr>
          <w:p w14:paraId="17DA37E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保障运转</w:t>
            </w:r>
          </w:p>
        </w:tc>
        <w:tc>
          <w:tcPr>
            <w:tcW w:w="588" w:type="dxa"/>
            <w:tcBorders>
              <w:top w:val="nil"/>
              <w:left w:val="nil"/>
              <w:bottom w:val="single" w:color="auto" w:sz="4" w:space="0"/>
              <w:right w:val="single" w:color="auto" w:sz="4" w:space="0"/>
            </w:tcBorders>
            <w:vAlign w:val="center"/>
          </w:tcPr>
          <w:p w14:paraId="2881A10D">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522" w:type="dxa"/>
            <w:tcBorders>
              <w:top w:val="nil"/>
              <w:left w:val="nil"/>
              <w:bottom w:val="single" w:color="auto" w:sz="4" w:space="0"/>
              <w:right w:val="single" w:color="auto" w:sz="4" w:space="0"/>
            </w:tcBorders>
            <w:vAlign w:val="center"/>
          </w:tcPr>
          <w:p w14:paraId="17C582D7">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4D08841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7" w:type="dxa"/>
            <w:tcBorders>
              <w:top w:val="nil"/>
              <w:left w:val="nil"/>
              <w:bottom w:val="single" w:color="auto" w:sz="4" w:space="0"/>
              <w:right w:val="single" w:color="auto" w:sz="4" w:space="0"/>
            </w:tcBorders>
            <w:vAlign w:val="center"/>
          </w:tcPr>
          <w:p w14:paraId="08348F4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518" w:type="dxa"/>
            <w:tcBorders>
              <w:top w:val="nil"/>
              <w:left w:val="nil"/>
              <w:bottom w:val="single" w:color="auto" w:sz="4" w:space="0"/>
              <w:right w:val="single" w:color="auto" w:sz="4" w:space="0"/>
            </w:tcBorders>
            <w:vAlign w:val="center"/>
          </w:tcPr>
          <w:p w14:paraId="50721AE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85" w:type="dxa"/>
            <w:tcBorders>
              <w:top w:val="nil"/>
              <w:left w:val="nil"/>
              <w:bottom w:val="single" w:color="auto" w:sz="4" w:space="0"/>
              <w:right w:val="single" w:color="auto" w:sz="4" w:space="0"/>
            </w:tcBorders>
            <w:vAlign w:val="center"/>
          </w:tcPr>
          <w:p w14:paraId="2080B83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690" w:type="dxa"/>
            <w:tcBorders>
              <w:top w:val="nil"/>
              <w:left w:val="nil"/>
              <w:bottom w:val="single" w:color="auto" w:sz="4" w:space="0"/>
              <w:right w:val="single" w:color="auto" w:sz="4" w:space="0"/>
            </w:tcBorders>
            <w:vAlign w:val="center"/>
          </w:tcPr>
          <w:p w14:paraId="51567F3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012" w:type="dxa"/>
            <w:tcBorders>
              <w:top w:val="nil"/>
              <w:left w:val="nil"/>
              <w:bottom w:val="single" w:color="auto" w:sz="4" w:space="0"/>
              <w:right w:val="single" w:color="auto" w:sz="4" w:space="0"/>
            </w:tcBorders>
            <w:vAlign w:val="center"/>
          </w:tcPr>
          <w:p w14:paraId="3ED92A47">
            <w:pPr>
              <w:widowControl/>
              <w:jc w:val="center"/>
              <w:rPr>
                <w:rFonts w:hint="eastAsia" w:ascii="宋体" w:hAnsi="宋体" w:eastAsia="宋体" w:cs="宋体"/>
                <w:color w:val="000000"/>
                <w:sz w:val="18"/>
                <w:szCs w:val="18"/>
              </w:rPr>
            </w:pPr>
          </w:p>
        </w:tc>
      </w:tr>
      <w:tr w14:paraId="2057C458">
        <w:tblPrEx>
          <w:tblCellMar>
            <w:top w:w="0" w:type="dxa"/>
            <w:left w:w="108" w:type="dxa"/>
            <w:bottom w:w="0" w:type="dxa"/>
            <w:right w:w="108" w:type="dxa"/>
          </w:tblCellMar>
        </w:tblPrEx>
        <w:trPr>
          <w:trHeight w:val="800" w:hRule="atLeast"/>
          <w:jc w:val="center"/>
        </w:trPr>
        <w:tc>
          <w:tcPr>
            <w:tcW w:w="772" w:type="dxa"/>
            <w:vMerge w:val="continue"/>
            <w:tcBorders>
              <w:left w:val="single" w:color="auto" w:sz="4" w:space="0"/>
              <w:right w:val="single" w:color="auto" w:sz="4" w:space="0"/>
            </w:tcBorders>
            <w:vAlign w:val="center"/>
          </w:tcPr>
          <w:p w14:paraId="6DA49424">
            <w:pPr>
              <w:widowControl/>
              <w:jc w:val="left"/>
              <w:rPr>
                <w:rFonts w:hint="eastAsia" w:ascii="宋体" w:hAnsi="宋体" w:eastAsia="宋体" w:cs="宋体"/>
                <w:color w:val="000000"/>
                <w:sz w:val="18"/>
                <w:szCs w:val="18"/>
              </w:rPr>
            </w:pPr>
          </w:p>
        </w:tc>
        <w:tc>
          <w:tcPr>
            <w:tcW w:w="697" w:type="dxa"/>
            <w:vMerge w:val="continue"/>
            <w:tcBorders>
              <w:left w:val="nil"/>
              <w:bottom w:val="single" w:color="auto" w:sz="4" w:space="0"/>
              <w:right w:val="single" w:color="auto" w:sz="4" w:space="0"/>
            </w:tcBorders>
            <w:vAlign w:val="center"/>
          </w:tcPr>
          <w:p w14:paraId="29F56A0D">
            <w:pPr>
              <w:widowControl/>
              <w:jc w:val="center"/>
              <w:rPr>
                <w:rFonts w:hint="eastAsia" w:ascii="宋体" w:hAnsi="宋体" w:eastAsia="宋体" w:cs="宋体"/>
                <w:color w:val="000000"/>
                <w:sz w:val="18"/>
                <w:szCs w:val="18"/>
              </w:rPr>
            </w:pPr>
          </w:p>
        </w:tc>
        <w:tc>
          <w:tcPr>
            <w:tcW w:w="769" w:type="dxa"/>
            <w:tcBorders>
              <w:top w:val="nil"/>
              <w:left w:val="nil"/>
              <w:bottom w:val="single" w:color="auto" w:sz="4" w:space="0"/>
              <w:right w:val="single" w:color="auto" w:sz="4" w:space="0"/>
            </w:tcBorders>
            <w:vAlign w:val="center"/>
          </w:tcPr>
          <w:p w14:paraId="5AAE3AC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962" w:type="dxa"/>
            <w:tcBorders>
              <w:top w:val="single" w:color="auto" w:sz="4" w:space="0"/>
              <w:left w:val="nil"/>
              <w:bottom w:val="single" w:color="auto" w:sz="4" w:space="0"/>
              <w:right w:val="single" w:color="auto" w:sz="4" w:space="0"/>
            </w:tcBorders>
            <w:vAlign w:val="center"/>
          </w:tcPr>
          <w:p w14:paraId="0C1136F5">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持续提高学校教育教学质量</w:t>
            </w:r>
          </w:p>
        </w:tc>
        <w:tc>
          <w:tcPr>
            <w:tcW w:w="515" w:type="dxa"/>
            <w:tcBorders>
              <w:top w:val="nil"/>
              <w:left w:val="nil"/>
              <w:bottom w:val="single" w:color="auto" w:sz="4" w:space="0"/>
              <w:right w:val="single" w:color="auto" w:sz="4" w:space="0"/>
            </w:tcBorders>
            <w:vAlign w:val="center"/>
          </w:tcPr>
          <w:p w14:paraId="256E893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05" w:type="dxa"/>
            <w:tcBorders>
              <w:top w:val="nil"/>
              <w:left w:val="nil"/>
              <w:bottom w:val="single" w:color="auto" w:sz="4" w:space="0"/>
              <w:right w:val="single" w:color="auto" w:sz="4" w:space="0"/>
            </w:tcBorders>
            <w:vAlign w:val="center"/>
          </w:tcPr>
          <w:p w14:paraId="620D9B4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持续提高</w:t>
            </w:r>
          </w:p>
        </w:tc>
        <w:tc>
          <w:tcPr>
            <w:tcW w:w="588" w:type="dxa"/>
            <w:tcBorders>
              <w:top w:val="nil"/>
              <w:left w:val="nil"/>
              <w:bottom w:val="single" w:color="auto" w:sz="4" w:space="0"/>
              <w:right w:val="single" w:color="auto" w:sz="4" w:space="0"/>
            </w:tcBorders>
            <w:vAlign w:val="center"/>
          </w:tcPr>
          <w:p w14:paraId="5403000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522" w:type="dxa"/>
            <w:tcBorders>
              <w:top w:val="nil"/>
              <w:left w:val="nil"/>
              <w:bottom w:val="single" w:color="auto" w:sz="4" w:space="0"/>
              <w:right w:val="single" w:color="auto" w:sz="4" w:space="0"/>
            </w:tcBorders>
            <w:vAlign w:val="center"/>
          </w:tcPr>
          <w:p w14:paraId="651388A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2BF9174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597" w:type="dxa"/>
            <w:tcBorders>
              <w:top w:val="nil"/>
              <w:left w:val="nil"/>
              <w:bottom w:val="single" w:color="auto" w:sz="4" w:space="0"/>
              <w:right w:val="single" w:color="auto" w:sz="4" w:space="0"/>
            </w:tcBorders>
            <w:vAlign w:val="center"/>
          </w:tcPr>
          <w:p w14:paraId="4D0A452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518" w:type="dxa"/>
            <w:tcBorders>
              <w:top w:val="nil"/>
              <w:left w:val="nil"/>
              <w:bottom w:val="single" w:color="auto" w:sz="4" w:space="0"/>
              <w:right w:val="single" w:color="auto" w:sz="4" w:space="0"/>
            </w:tcBorders>
            <w:vAlign w:val="center"/>
          </w:tcPr>
          <w:p w14:paraId="7F7FEA0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85" w:type="dxa"/>
            <w:tcBorders>
              <w:top w:val="nil"/>
              <w:left w:val="nil"/>
              <w:bottom w:val="single" w:color="auto" w:sz="4" w:space="0"/>
              <w:right w:val="single" w:color="auto" w:sz="4" w:space="0"/>
            </w:tcBorders>
            <w:vAlign w:val="center"/>
          </w:tcPr>
          <w:p w14:paraId="4C3FEF7F">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690" w:type="dxa"/>
            <w:tcBorders>
              <w:top w:val="nil"/>
              <w:left w:val="nil"/>
              <w:bottom w:val="single" w:color="auto" w:sz="4" w:space="0"/>
              <w:right w:val="single" w:color="auto" w:sz="4" w:space="0"/>
            </w:tcBorders>
            <w:vAlign w:val="center"/>
          </w:tcPr>
          <w:p w14:paraId="2D2A586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012" w:type="dxa"/>
            <w:tcBorders>
              <w:top w:val="nil"/>
              <w:left w:val="nil"/>
              <w:bottom w:val="single" w:color="auto" w:sz="4" w:space="0"/>
              <w:right w:val="single" w:color="auto" w:sz="4" w:space="0"/>
            </w:tcBorders>
            <w:vAlign w:val="center"/>
          </w:tcPr>
          <w:p w14:paraId="3427C752">
            <w:pPr>
              <w:widowControl/>
              <w:jc w:val="center"/>
              <w:rPr>
                <w:rFonts w:hint="eastAsia" w:ascii="宋体" w:hAnsi="宋体" w:eastAsia="宋体" w:cs="宋体"/>
                <w:color w:val="000000"/>
                <w:sz w:val="18"/>
                <w:szCs w:val="18"/>
              </w:rPr>
            </w:pPr>
          </w:p>
        </w:tc>
      </w:tr>
      <w:tr w14:paraId="609CDBD4">
        <w:tblPrEx>
          <w:tblCellMar>
            <w:top w:w="0" w:type="dxa"/>
            <w:left w:w="108" w:type="dxa"/>
            <w:bottom w:w="0" w:type="dxa"/>
            <w:right w:w="108" w:type="dxa"/>
          </w:tblCellMar>
        </w:tblPrEx>
        <w:trPr>
          <w:trHeight w:val="800" w:hRule="atLeast"/>
          <w:jc w:val="center"/>
        </w:trPr>
        <w:tc>
          <w:tcPr>
            <w:tcW w:w="772" w:type="dxa"/>
            <w:vMerge w:val="continue"/>
            <w:tcBorders>
              <w:left w:val="single" w:color="auto" w:sz="4" w:space="0"/>
              <w:right w:val="single" w:color="auto" w:sz="4" w:space="0"/>
            </w:tcBorders>
            <w:vAlign w:val="center"/>
          </w:tcPr>
          <w:p w14:paraId="02DB8972">
            <w:pPr>
              <w:widowControl/>
              <w:jc w:val="left"/>
              <w:rPr>
                <w:rFonts w:hint="eastAsia" w:ascii="宋体" w:hAnsi="宋体" w:eastAsia="宋体" w:cs="宋体"/>
                <w:color w:val="000000"/>
                <w:sz w:val="18"/>
                <w:szCs w:val="18"/>
              </w:rPr>
            </w:pPr>
          </w:p>
        </w:tc>
        <w:tc>
          <w:tcPr>
            <w:tcW w:w="697" w:type="dxa"/>
            <w:vMerge w:val="restart"/>
            <w:tcBorders>
              <w:top w:val="nil"/>
              <w:left w:val="nil"/>
              <w:right w:val="single" w:color="auto" w:sz="4" w:space="0"/>
            </w:tcBorders>
            <w:vAlign w:val="center"/>
          </w:tcPr>
          <w:p w14:paraId="7D15500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69" w:type="dxa"/>
            <w:tcBorders>
              <w:top w:val="nil"/>
              <w:left w:val="nil"/>
              <w:bottom w:val="single" w:color="auto" w:sz="4" w:space="0"/>
              <w:right w:val="single" w:color="auto" w:sz="4" w:space="0"/>
            </w:tcBorders>
            <w:vAlign w:val="center"/>
          </w:tcPr>
          <w:p w14:paraId="7426375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962" w:type="dxa"/>
            <w:tcBorders>
              <w:top w:val="single" w:color="auto" w:sz="4" w:space="0"/>
              <w:left w:val="nil"/>
              <w:bottom w:val="single" w:color="auto" w:sz="4" w:space="0"/>
              <w:right w:val="single" w:color="auto" w:sz="4" w:space="0"/>
            </w:tcBorders>
            <w:vAlign w:val="center"/>
          </w:tcPr>
          <w:p w14:paraId="2409C2B2">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学生满意度</w:t>
            </w:r>
          </w:p>
        </w:tc>
        <w:tc>
          <w:tcPr>
            <w:tcW w:w="515" w:type="dxa"/>
            <w:tcBorders>
              <w:top w:val="nil"/>
              <w:left w:val="nil"/>
              <w:bottom w:val="single" w:color="auto" w:sz="4" w:space="0"/>
              <w:right w:val="single" w:color="auto" w:sz="4" w:space="0"/>
            </w:tcBorders>
            <w:vAlign w:val="center"/>
          </w:tcPr>
          <w:p w14:paraId="78B500A5">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505" w:type="dxa"/>
            <w:tcBorders>
              <w:top w:val="nil"/>
              <w:left w:val="nil"/>
              <w:bottom w:val="single" w:color="auto" w:sz="4" w:space="0"/>
              <w:right w:val="single" w:color="auto" w:sz="4" w:space="0"/>
            </w:tcBorders>
            <w:vAlign w:val="center"/>
          </w:tcPr>
          <w:p w14:paraId="76C50B7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588" w:type="dxa"/>
            <w:tcBorders>
              <w:top w:val="nil"/>
              <w:left w:val="nil"/>
              <w:bottom w:val="single" w:color="auto" w:sz="4" w:space="0"/>
              <w:right w:val="single" w:color="auto" w:sz="4" w:space="0"/>
            </w:tcBorders>
            <w:vAlign w:val="center"/>
          </w:tcPr>
          <w:p w14:paraId="4A9C291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522" w:type="dxa"/>
            <w:tcBorders>
              <w:top w:val="nil"/>
              <w:left w:val="nil"/>
              <w:bottom w:val="single" w:color="auto" w:sz="4" w:space="0"/>
              <w:right w:val="single" w:color="auto" w:sz="4" w:space="0"/>
            </w:tcBorders>
            <w:vAlign w:val="center"/>
          </w:tcPr>
          <w:p w14:paraId="29F72B51">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0915D8B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597" w:type="dxa"/>
            <w:tcBorders>
              <w:top w:val="nil"/>
              <w:left w:val="nil"/>
              <w:bottom w:val="single" w:color="auto" w:sz="4" w:space="0"/>
              <w:right w:val="single" w:color="auto" w:sz="4" w:space="0"/>
            </w:tcBorders>
            <w:vAlign w:val="center"/>
          </w:tcPr>
          <w:p w14:paraId="5812781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历史标准</w:t>
            </w:r>
          </w:p>
        </w:tc>
        <w:tc>
          <w:tcPr>
            <w:tcW w:w="518" w:type="dxa"/>
            <w:tcBorders>
              <w:top w:val="nil"/>
              <w:left w:val="nil"/>
              <w:bottom w:val="single" w:color="auto" w:sz="4" w:space="0"/>
              <w:right w:val="single" w:color="auto" w:sz="4" w:space="0"/>
            </w:tcBorders>
            <w:vAlign w:val="center"/>
          </w:tcPr>
          <w:p w14:paraId="74B8D9AB">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85" w:type="dxa"/>
            <w:tcBorders>
              <w:top w:val="nil"/>
              <w:left w:val="nil"/>
              <w:bottom w:val="single" w:color="auto" w:sz="4" w:space="0"/>
              <w:right w:val="single" w:color="auto" w:sz="4" w:space="0"/>
            </w:tcBorders>
            <w:vAlign w:val="center"/>
          </w:tcPr>
          <w:p w14:paraId="054AD884">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690" w:type="dxa"/>
            <w:tcBorders>
              <w:top w:val="nil"/>
              <w:left w:val="nil"/>
              <w:bottom w:val="single" w:color="auto" w:sz="4" w:space="0"/>
              <w:right w:val="single" w:color="auto" w:sz="4" w:space="0"/>
            </w:tcBorders>
            <w:vAlign w:val="center"/>
          </w:tcPr>
          <w:p w14:paraId="3B7565E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012" w:type="dxa"/>
            <w:tcBorders>
              <w:top w:val="nil"/>
              <w:left w:val="nil"/>
              <w:bottom w:val="single" w:color="auto" w:sz="4" w:space="0"/>
              <w:right w:val="single" w:color="auto" w:sz="4" w:space="0"/>
            </w:tcBorders>
            <w:vAlign w:val="center"/>
          </w:tcPr>
          <w:p w14:paraId="6AE6F45A">
            <w:pPr>
              <w:widowControl/>
              <w:jc w:val="center"/>
              <w:rPr>
                <w:rFonts w:hint="eastAsia" w:ascii="宋体" w:hAnsi="宋体" w:eastAsia="宋体" w:cs="宋体"/>
                <w:color w:val="000000"/>
                <w:sz w:val="18"/>
                <w:szCs w:val="18"/>
              </w:rPr>
            </w:pPr>
          </w:p>
        </w:tc>
      </w:tr>
      <w:tr w14:paraId="6E33AF94">
        <w:tblPrEx>
          <w:tblCellMar>
            <w:top w:w="0" w:type="dxa"/>
            <w:left w:w="108" w:type="dxa"/>
            <w:bottom w:w="0" w:type="dxa"/>
            <w:right w:w="108" w:type="dxa"/>
          </w:tblCellMar>
        </w:tblPrEx>
        <w:trPr>
          <w:trHeight w:val="800" w:hRule="atLeast"/>
          <w:jc w:val="center"/>
        </w:trPr>
        <w:tc>
          <w:tcPr>
            <w:tcW w:w="772" w:type="dxa"/>
            <w:vMerge w:val="continue"/>
            <w:tcBorders>
              <w:left w:val="single" w:color="auto" w:sz="4" w:space="0"/>
              <w:bottom w:val="single" w:color="auto" w:sz="4" w:space="0"/>
              <w:right w:val="single" w:color="auto" w:sz="4" w:space="0"/>
            </w:tcBorders>
            <w:vAlign w:val="center"/>
          </w:tcPr>
          <w:p w14:paraId="22A56F45">
            <w:pPr>
              <w:widowControl/>
              <w:jc w:val="left"/>
              <w:rPr>
                <w:rFonts w:hint="eastAsia" w:ascii="宋体" w:hAnsi="宋体" w:eastAsia="宋体" w:cs="宋体"/>
                <w:color w:val="000000"/>
                <w:sz w:val="18"/>
                <w:szCs w:val="18"/>
              </w:rPr>
            </w:pPr>
          </w:p>
        </w:tc>
        <w:tc>
          <w:tcPr>
            <w:tcW w:w="697" w:type="dxa"/>
            <w:vMerge w:val="continue"/>
            <w:tcBorders>
              <w:left w:val="nil"/>
              <w:bottom w:val="single" w:color="auto" w:sz="4" w:space="0"/>
              <w:right w:val="single" w:color="auto" w:sz="4" w:space="0"/>
            </w:tcBorders>
            <w:vAlign w:val="center"/>
          </w:tcPr>
          <w:p w14:paraId="77EEEB33">
            <w:pPr>
              <w:widowControl/>
              <w:jc w:val="center"/>
              <w:rPr>
                <w:rFonts w:hint="eastAsia" w:ascii="宋体" w:hAnsi="宋体" w:eastAsia="宋体" w:cs="宋体"/>
                <w:color w:val="000000"/>
                <w:sz w:val="18"/>
                <w:szCs w:val="18"/>
              </w:rPr>
            </w:pPr>
          </w:p>
        </w:tc>
        <w:tc>
          <w:tcPr>
            <w:tcW w:w="769" w:type="dxa"/>
            <w:tcBorders>
              <w:top w:val="nil"/>
              <w:left w:val="nil"/>
              <w:bottom w:val="single" w:color="auto" w:sz="4" w:space="0"/>
              <w:right w:val="single" w:color="auto" w:sz="4" w:space="0"/>
            </w:tcBorders>
            <w:vAlign w:val="center"/>
          </w:tcPr>
          <w:p w14:paraId="3787E74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962" w:type="dxa"/>
            <w:tcBorders>
              <w:top w:val="single" w:color="auto" w:sz="4" w:space="0"/>
              <w:left w:val="nil"/>
              <w:bottom w:val="single" w:color="auto" w:sz="4" w:space="0"/>
              <w:right w:val="single" w:color="auto" w:sz="4" w:space="0"/>
            </w:tcBorders>
            <w:vAlign w:val="center"/>
          </w:tcPr>
          <w:p w14:paraId="3B03D39B">
            <w:pPr>
              <w:widowControl/>
              <w:jc w:val="left"/>
              <w:rPr>
                <w:rFonts w:hint="eastAsia" w:ascii="宋体" w:hAnsi="宋体" w:eastAsia="宋体" w:cs="宋体"/>
                <w:color w:val="000000"/>
                <w:sz w:val="18"/>
                <w:szCs w:val="18"/>
              </w:rPr>
            </w:pPr>
            <w:r>
              <w:rPr>
                <w:rFonts w:hint="eastAsia" w:ascii="宋体" w:hAnsi="宋体" w:eastAsia="宋体" w:cs="宋体"/>
                <w:color w:val="000000"/>
                <w:sz w:val="18"/>
                <w:szCs w:val="18"/>
              </w:rPr>
              <w:t>教职工满意度</w:t>
            </w:r>
          </w:p>
        </w:tc>
        <w:tc>
          <w:tcPr>
            <w:tcW w:w="515" w:type="dxa"/>
            <w:tcBorders>
              <w:top w:val="nil"/>
              <w:left w:val="nil"/>
              <w:bottom w:val="single" w:color="auto" w:sz="4" w:space="0"/>
              <w:right w:val="single" w:color="auto" w:sz="4" w:space="0"/>
            </w:tcBorders>
            <w:vAlign w:val="center"/>
          </w:tcPr>
          <w:p w14:paraId="373C9609">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505" w:type="dxa"/>
            <w:tcBorders>
              <w:top w:val="nil"/>
              <w:left w:val="nil"/>
              <w:bottom w:val="single" w:color="auto" w:sz="4" w:space="0"/>
              <w:right w:val="single" w:color="auto" w:sz="4" w:space="0"/>
            </w:tcBorders>
            <w:vAlign w:val="center"/>
          </w:tcPr>
          <w:p w14:paraId="395E9F50">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588" w:type="dxa"/>
            <w:tcBorders>
              <w:top w:val="nil"/>
              <w:left w:val="nil"/>
              <w:bottom w:val="single" w:color="auto" w:sz="4" w:space="0"/>
              <w:right w:val="single" w:color="auto" w:sz="4" w:space="0"/>
            </w:tcBorders>
            <w:vAlign w:val="center"/>
          </w:tcPr>
          <w:p w14:paraId="20690E0C">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522" w:type="dxa"/>
            <w:tcBorders>
              <w:top w:val="nil"/>
              <w:left w:val="nil"/>
              <w:bottom w:val="single" w:color="auto" w:sz="4" w:space="0"/>
              <w:right w:val="single" w:color="auto" w:sz="4" w:space="0"/>
            </w:tcBorders>
            <w:vAlign w:val="center"/>
          </w:tcPr>
          <w:p w14:paraId="091AF22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3" w:type="dxa"/>
            <w:tcBorders>
              <w:top w:val="nil"/>
              <w:left w:val="nil"/>
              <w:bottom w:val="single" w:color="auto" w:sz="4" w:space="0"/>
              <w:right w:val="single" w:color="auto" w:sz="4" w:space="0"/>
            </w:tcBorders>
            <w:vAlign w:val="center"/>
          </w:tcPr>
          <w:p w14:paraId="12592CB3">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597" w:type="dxa"/>
            <w:tcBorders>
              <w:top w:val="nil"/>
              <w:left w:val="nil"/>
              <w:bottom w:val="single" w:color="auto" w:sz="4" w:space="0"/>
              <w:right w:val="single" w:color="auto" w:sz="4" w:space="0"/>
            </w:tcBorders>
            <w:vAlign w:val="center"/>
          </w:tcPr>
          <w:p w14:paraId="7C3C2BBE">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历史标准</w:t>
            </w:r>
          </w:p>
        </w:tc>
        <w:tc>
          <w:tcPr>
            <w:tcW w:w="518" w:type="dxa"/>
            <w:tcBorders>
              <w:top w:val="nil"/>
              <w:left w:val="nil"/>
              <w:bottom w:val="single" w:color="auto" w:sz="4" w:space="0"/>
              <w:right w:val="single" w:color="auto" w:sz="4" w:space="0"/>
            </w:tcBorders>
            <w:vAlign w:val="center"/>
          </w:tcPr>
          <w:p w14:paraId="1653457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85" w:type="dxa"/>
            <w:tcBorders>
              <w:top w:val="nil"/>
              <w:left w:val="nil"/>
              <w:bottom w:val="single" w:color="auto" w:sz="4" w:space="0"/>
              <w:right w:val="single" w:color="auto" w:sz="4" w:space="0"/>
            </w:tcBorders>
            <w:vAlign w:val="center"/>
          </w:tcPr>
          <w:p w14:paraId="334FD058">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690" w:type="dxa"/>
            <w:tcBorders>
              <w:top w:val="nil"/>
              <w:left w:val="nil"/>
              <w:bottom w:val="single" w:color="auto" w:sz="4" w:space="0"/>
              <w:right w:val="single" w:color="auto" w:sz="4" w:space="0"/>
            </w:tcBorders>
            <w:vAlign w:val="center"/>
          </w:tcPr>
          <w:p w14:paraId="5156189A">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012" w:type="dxa"/>
            <w:tcBorders>
              <w:top w:val="nil"/>
              <w:left w:val="nil"/>
              <w:bottom w:val="single" w:color="auto" w:sz="4" w:space="0"/>
              <w:right w:val="single" w:color="auto" w:sz="4" w:space="0"/>
            </w:tcBorders>
            <w:vAlign w:val="center"/>
          </w:tcPr>
          <w:p w14:paraId="4D4B1AD4">
            <w:pPr>
              <w:widowControl/>
              <w:jc w:val="center"/>
              <w:rPr>
                <w:rFonts w:hint="eastAsia" w:ascii="宋体" w:hAnsi="宋体" w:eastAsia="宋体" w:cs="宋体"/>
                <w:color w:val="000000"/>
                <w:sz w:val="18"/>
                <w:szCs w:val="18"/>
              </w:rPr>
            </w:pPr>
          </w:p>
        </w:tc>
      </w:tr>
      <w:tr w14:paraId="368DB5C1">
        <w:tblPrEx>
          <w:tblCellMar>
            <w:top w:w="0" w:type="dxa"/>
            <w:left w:w="108" w:type="dxa"/>
            <w:bottom w:w="0" w:type="dxa"/>
            <w:right w:w="108" w:type="dxa"/>
          </w:tblCellMar>
        </w:tblPrEx>
        <w:trPr>
          <w:trHeight w:val="520" w:hRule="atLeast"/>
          <w:jc w:val="center"/>
        </w:trPr>
        <w:tc>
          <w:tcPr>
            <w:tcW w:w="3200" w:type="dxa"/>
            <w:gridSpan w:val="4"/>
            <w:tcBorders>
              <w:top w:val="single" w:color="auto" w:sz="4" w:space="0"/>
              <w:left w:val="single" w:color="auto" w:sz="4" w:space="0"/>
              <w:bottom w:val="single" w:color="auto" w:sz="4" w:space="0"/>
              <w:right w:val="single" w:color="auto" w:sz="4" w:space="0"/>
            </w:tcBorders>
            <w:vAlign w:val="center"/>
          </w:tcPr>
          <w:p w14:paraId="6B3BA9D1">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515" w:type="dxa"/>
            <w:tcBorders>
              <w:top w:val="single" w:color="auto" w:sz="4" w:space="0"/>
              <w:left w:val="single" w:color="auto" w:sz="4" w:space="0"/>
              <w:bottom w:val="single" w:color="auto" w:sz="4" w:space="0"/>
              <w:right w:val="single" w:color="auto" w:sz="4" w:space="0"/>
            </w:tcBorders>
            <w:vAlign w:val="center"/>
          </w:tcPr>
          <w:p w14:paraId="25A56F0D">
            <w:pPr>
              <w:widowControl/>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505" w:type="dxa"/>
            <w:tcBorders>
              <w:top w:val="single" w:color="auto" w:sz="4" w:space="0"/>
              <w:left w:val="single" w:color="auto" w:sz="4" w:space="0"/>
              <w:bottom w:val="single" w:color="auto" w:sz="4" w:space="0"/>
              <w:right w:val="single" w:color="auto" w:sz="4" w:space="0"/>
            </w:tcBorders>
            <w:vAlign w:val="center"/>
          </w:tcPr>
          <w:p w14:paraId="1FE6A2B9">
            <w:pPr>
              <w:widowControl/>
              <w:jc w:val="center"/>
              <w:rPr>
                <w:rFonts w:hint="eastAsia" w:ascii="宋体" w:hAnsi="宋体" w:eastAsia="宋体" w:cs="宋体"/>
                <w:color w:val="000000"/>
                <w:sz w:val="18"/>
                <w:szCs w:val="18"/>
              </w:rPr>
            </w:pPr>
          </w:p>
        </w:tc>
        <w:tc>
          <w:tcPr>
            <w:tcW w:w="588" w:type="dxa"/>
            <w:tcBorders>
              <w:top w:val="single" w:color="auto" w:sz="4" w:space="0"/>
              <w:left w:val="single" w:color="auto" w:sz="4" w:space="0"/>
              <w:bottom w:val="single" w:color="auto" w:sz="4" w:space="0"/>
              <w:right w:val="single" w:color="auto" w:sz="4" w:space="0"/>
            </w:tcBorders>
            <w:vAlign w:val="center"/>
          </w:tcPr>
          <w:p w14:paraId="244A17BC">
            <w:pPr>
              <w:widowControl/>
              <w:jc w:val="center"/>
              <w:rPr>
                <w:rFonts w:hint="eastAsia" w:ascii="宋体" w:hAnsi="宋体" w:eastAsia="宋体" w:cs="宋体"/>
                <w:color w:val="000000"/>
                <w:sz w:val="18"/>
                <w:szCs w:val="18"/>
              </w:rPr>
            </w:pPr>
          </w:p>
        </w:tc>
        <w:tc>
          <w:tcPr>
            <w:tcW w:w="522" w:type="dxa"/>
            <w:tcBorders>
              <w:top w:val="single" w:color="auto" w:sz="4" w:space="0"/>
              <w:left w:val="single" w:color="auto" w:sz="4" w:space="0"/>
              <w:bottom w:val="single" w:color="auto" w:sz="4" w:space="0"/>
              <w:right w:val="single" w:color="auto" w:sz="4" w:space="0"/>
            </w:tcBorders>
            <w:vAlign w:val="center"/>
          </w:tcPr>
          <w:p w14:paraId="6724E4FB">
            <w:pPr>
              <w:widowControl/>
              <w:jc w:val="center"/>
              <w:rPr>
                <w:rFonts w:hint="eastAsia" w:ascii="宋体" w:hAnsi="宋体" w:eastAsia="宋体" w:cs="宋体"/>
                <w:color w:val="000000"/>
                <w:sz w:val="18"/>
                <w:szCs w:val="18"/>
              </w:rPr>
            </w:pPr>
          </w:p>
        </w:tc>
        <w:tc>
          <w:tcPr>
            <w:tcW w:w="633" w:type="dxa"/>
            <w:tcBorders>
              <w:top w:val="single" w:color="auto" w:sz="4" w:space="0"/>
              <w:left w:val="nil"/>
              <w:bottom w:val="single" w:color="auto" w:sz="4" w:space="0"/>
              <w:right w:val="single" w:color="auto" w:sz="4" w:space="0"/>
            </w:tcBorders>
            <w:vAlign w:val="center"/>
          </w:tcPr>
          <w:p w14:paraId="20AA7142">
            <w:pPr>
              <w:widowControl/>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597" w:type="dxa"/>
            <w:tcBorders>
              <w:top w:val="single" w:color="auto" w:sz="4" w:space="0"/>
              <w:left w:val="nil"/>
              <w:bottom w:val="single" w:color="auto" w:sz="4" w:space="0"/>
              <w:right w:val="single" w:color="auto" w:sz="4" w:space="0"/>
            </w:tcBorders>
            <w:vAlign w:val="center"/>
          </w:tcPr>
          <w:p w14:paraId="429FA217">
            <w:pPr>
              <w:widowControl/>
              <w:jc w:val="left"/>
              <w:rPr>
                <w:rFonts w:hint="eastAsia" w:ascii="宋体" w:hAnsi="宋体" w:eastAsia="宋体" w:cs="宋体"/>
                <w:color w:val="000000"/>
                <w:sz w:val="18"/>
                <w:szCs w:val="18"/>
              </w:rPr>
            </w:pPr>
          </w:p>
        </w:tc>
        <w:tc>
          <w:tcPr>
            <w:tcW w:w="518" w:type="dxa"/>
            <w:tcBorders>
              <w:top w:val="single" w:color="auto" w:sz="4" w:space="0"/>
              <w:left w:val="nil"/>
              <w:bottom w:val="single" w:color="auto" w:sz="4" w:space="0"/>
              <w:right w:val="single" w:color="auto" w:sz="4" w:space="0"/>
            </w:tcBorders>
            <w:vAlign w:val="center"/>
          </w:tcPr>
          <w:p w14:paraId="6F850329">
            <w:pPr>
              <w:widowControl/>
              <w:jc w:val="left"/>
              <w:rPr>
                <w:rFonts w:hint="eastAsia" w:ascii="宋体" w:hAnsi="宋体" w:eastAsia="宋体" w:cs="宋体"/>
                <w:color w:val="000000"/>
                <w:sz w:val="18"/>
                <w:szCs w:val="18"/>
              </w:rPr>
            </w:pPr>
          </w:p>
        </w:tc>
        <w:tc>
          <w:tcPr>
            <w:tcW w:w="685" w:type="dxa"/>
            <w:tcBorders>
              <w:top w:val="single" w:color="auto" w:sz="4" w:space="0"/>
              <w:left w:val="nil"/>
              <w:bottom w:val="single" w:color="auto" w:sz="4" w:space="0"/>
              <w:right w:val="single" w:color="auto" w:sz="4" w:space="0"/>
            </w:tcBorders>
            <w:vAlign w:val="center"/>
          </w:tcPr>
          <w:p w14:paraId="07F3EBAF">
            <w:pPr>
              <w:widowControl/>
              <w:jc w:val="left"/>
              <w:rPr>
                <w:rFonts w:hint="eastAsia" w:ascii="宋体" w:hAnsi="宋体" w:eastAsia="宋体" w:cs="宋体"/>
                <w:color w:val="000000"/>
                <w:sz w:val="18"/>
                <w:szCs w:val="18"/>
              </w:rPr>
            </w:pPr>
          </w:p>
        </w:tc>
        <w:tc>
          <w:tcPr>
            <w:tcW w:w="690" w:type="dxa"/>
            <w:tcBorders>
              <w:top w:val="single" w:color="auto" w:sz="4" w:space="0"/>
              <w:left w:val="nil"/>
              <w:bottom w:val="single" w:color="auto" w:sz="4" w:space="0"/>
              <w:right w:val="single" w:color="auto" w:sz="4" w:space="0"/>
            </w:tcBorders>
            <w:vAlign w:val="center"/>
          </w:tcPr>
          <w:p w14:paraId="7D4A1D23">
            <w:pPr>
              <w:widowControl/>
              <w:jc w:val="left"/>
              <w:rPr>
                <w:rFonts w:hint="eastAsia" w:ascii="宋体" w:hAnsi="宋体" w:eastAsia="宋体" w:cs="宋体"/>
                <w:color w:val="000000"/>
                <w:sz w:val="18"/>
                <w:szCs w:val="18"/>
              </w:rPr>
            </w:pPr>
          </w:p>
        </w:tc>
        <w:tc>
          <w:tcPr>
            <w:tcW w:w="1012" w:type="dxa"/>
            <w:tcBorders>
              <w:top w:val="single" w:color="auto" w:sz="4" w:space="0"/>
              <w:left w:val="nil"/>
              <w:bottom w:val="single" w:color="auto" w:sz="4" w:space="0"/>
              <w:right w:val="single" w:color="auto" w:sz="4" w:space="0"/>
            </w:tcBorders>
            <w:vAlign w:val="center"/>
          </w:tcPr>
          <w:p w14:paraId="2041F342">
            <w:pPr>
              <w:widowControl/>
              <w:jc w:val="left"/>
              <w:rPr>
                <w:rFonts w:hint="eastAsia" w:ascii="宋体" w:hAnsi="宋体" w:eastAsia="宋体" w:cs="宋体"/>
                <w:color w:val="000000"/>
                <w:sz w:val="18"/>
                <w:szCs w:val="18"/>
              </w:rPr>
            </w:pPr>
          </w:p>
        </w:tc>
      </w:tr>
      <w:bookmarkEnd w:id="0"/>
    </w:tbl>
    <w:p w14:paraId="367C0285">
      <w:pPr>
        <w:widowControl/>
        <w:ind w:firstLine="640" w:firstLineChars="200"/>
        <w:rPr>
          <w:rFonts w:ascii="仿宋_GB2312" w:eastAsia="仿宋_GB2312"/>
          <w:sz w:val="32"/>
          <w:szCs w:val="32"/>
        </w:rPr>
      </w:pPr>
    </w:p>
    <w:p w14:paraId="206D3263">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14:paraId="399A9DAD">
      <w:pPr>
        <w:widowControl/>
        <w:ind w:firstLine="640" w:firstLineChars="200"/>
        <w:rPr>
          <w:rFonts w:ascii="仿宋_GB2312" w:eastAsia="仿宋_GB2312"/>
          <w:sz w:val="32"/>
          <w:szCs w:val="32"/>
        </w:rPr>
      </w:pPr>
      <w:r>
        <w:rPr>
          <w:rFonts w:ascii="仿宋_GB2312" w:eastAsia="仿宋_GB2312"/>
          <w:sz w:val="32"/>
          <w:szCs w:val="32"/>
        </w:rPr>
        <w:t>本单位无其他需说明事项。</w:t>
      </w:r>
    </w:p>
    <w:p w14:paraId="186B57AA">
      <w:pPr>
        <w:widowControl/>
        <w:ind w:firstLine="640" w:firstLineChars="200"/>
        <w:jc w:val="left"/>
        <w:rPr>
          <w:rFonts w:ascii="仿宋_GB2312" w:eastAsia="仿宋_GB2312"/>
          <w:sz w:val="32"/>
          <w:szCs w:val="32"/>
        </w:rPr>
      </w:pPr>
    </w:p>
    <w:p w14:paraId="488BF712">
      <w:pPr>
        <w:widowControl/>
      </w:pPr>
      <w:r>
        <w:rPr>
          <w:sz w:val="0"/>
          <w:szCs w:val="0"/>
        </w:rPr>
        <w:br w:type="page"/>
      </w:r>
    </w:p>
    <w:p w14:paraId="5CB0A900">
      <w:pPr>
        <w:widowControl/>
        <w:jc w:val="center"/>
        <w:outlineLvl w:val="0"/>
        <w:rPr>
          <w:rFonts w:ascii="黑体" w:eastAsia="黑体"/>
          <w:sz w:val="32"/>
          <w:szCs w:val="32"/>
        </w:rPr>
      </w:pPr>
      <w:r>
        <w:rPr>
          <w:rFonts w:ascii="黑体" w:eastAsia="黑体"/>
          <w:sz w:val="32"/>
          <w:szCs w:val="32"/>
        </w:rPr>
        <w:t>第三部分 专业名词解释</w:t>
      </w:r>
    </w:p>
    <w:p w14:paraId="49540D29">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指同级财政当年拨付的资金。</w:t>
      </w:r>
    </w:p>
    <w:p w14:paraId="78850392">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0F031DCA">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指事业单位开展专业业务活动及其辅助活动所取得的收入。</w:t>
      </w:r>
    </w:p>
    <w:p w14:paraId="5CC15C96">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3EF8D2DC">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指事业单位附属的独立核算单位按有关规定上缴的收入。</w:t>
      </w:r>
    </w:p>
    <w:p w14:paraId="0969D73C">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指除上述“财政拨款收入”、“事业收入”、“经营收入”、“附属单位上缴收入”等之外取得的收入。</w:t>
      </w:r>
    </w:p>
    <w:p w14:paraId="2AE31A57">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C9E7EA9">
      <w:pPr>
        <w:widowControl/>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607433">
      <w:pPr>
        <w:widowControl/>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sz w:val="32"/>
          <w:szCs w:val="32"/>
        </w:rPr>
        <w:t>指为保障机构正常运转、完成日常工作任务而发生的人员支出和公用支出。</w:t>
      </w:r>
    </w:p>
    <w:p w14:paraId="2623AFE8">
      <w:pPr>
        <w:widowControl/>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sz w:val="32"/>
          <w:szCs w:val="32"/>
        </w:rPr>
        <w:t>指在基本支出之外为完成特定行政任务和事业发展目标所发生的支出。</w:t>
      </w:r>
    </w:p>
    <w:p w14:paraId="16CB45E8">
      <w:pPr>
        <w:widowControl/>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sz w:val="32"/>
          <w:szCs w:val="32"/>
        </w:rPr>
        <w:t>指事业单位在专业业务活动及其辅助活动之外开展非独立核算经营活动发生的支出。</w:t>
      </w:r>
    </w:p>
    <w:p w14:paraId="26AF4A7D">
      <w:pPr>
        <w:widowControl/>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sz w:val="32"/>
          <w:szCs w:val="32"/>
        </w:rPr>
        <w:t>指事业单位发生的用非财政预算资金对附属单位的补助支出。</w:t>
      </w:r>
    </w:p>
    <w:p w14:paraId="5A39EF8E">
      <w:pPr>
        <w:widowControl/>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334BC0">
      <w:pPr>
        <w:widowControl/>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sz w:val="32"/>
          <w:szCs w:val="32"/>
        </w:rPr>
        <w:t>行政单位和参照公务员法管理的事业单位财政拨款基本支出中的公用经费支出。</w:t>
      </w:r>
    </w:p>
    <w:p w14:paraId="66E20E48">
      <w:pPr>
        <w:widowControl/>
      </w:pPr>
      <w:r>
        <w:rPr>
          <w:sz w:val="0"/>
          <w:szCs w:val="0"/>
        </w:rPr>
        <w:br w:type="page"/>
      </w:r>
    </w:p>
    <w:p w14:paraId="433C433E">
      <w:pPr>
        <w:widowControl/>
        <w:jc w:val="center"/>
        <w:outlineLvl w:val="0"/>
        <w:rPr>
          <w:rFonts w:ascii="黑体" w:eastAsia="黑体"/>
          <w:sz w:val="32"/>
          <w:szCs w:val="32"/>
        </w:rPr>
      </w:pPr>
      <w:r>
        <w:rPr>
          <w:rFonts w:ascii="黑体" w:eastAsia="黑体"/>
          <w:sz w:val="32"/>
          <w:szCs w:val="32"/>
        </w:rPr>
        <w:t>第四部分 部门决算报表（见附表）</w:t>
      </w:r>
    </w:p>
    <w:p w14:paraId="0542DBA4">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4383584C">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5E44F71A">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76B59AD9">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0F1ADB76">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20ABC88C">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5888D3CC">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3B12B393">
      <w:pPr>
        <w:widowControl/>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0A74CF48">
      <w:pPr>
        <w:widowControl/>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compat>
    <w:useFELayout/>
    <w:splitPgBreakAndParaMark/>
    <w:compatSetting w:name="compatibilityMode" w:uri="http://schemas.microsoft.com/office/word" w:val="12"/>
  </w:compat>
  <w:rsids>
    <w:rsidRoot w:val="00C0275A"/>
    <w:rsid w:val="001E294B"/>
    <w:rsid w:val="00C0275A"/>
    <w:rsid w:val="00DA0F1F"/>
    <w:rsid w:val="0466617C"/>
    <w:rsid w:val="11BB0B29"/>
    <w:rsid w:val="191C3AB1"/>
    <w:rsid w:val="1F2504CB"/>
    <w:rsid w:val="21EB5ABA"/>
    <w:rsid w:val="2E5F0FCA"/>
    <w:rsid w:val="3BDB4052"/>
    <w:rsid w:val="45FB0C9D"/>
    <w:rsid w:val="4787410F"/>
    <w:rsid w:val="48E409EA"/>
    <w:rsid w:val="4E3E66BB"/>
    <w:rsid w:val="528B1ED6"/>
    <w:rsid w:val="5A090768"/>
    <w:rsid w:val="60911000"/>
    <w:rsid w:val="624D0144"/>
    <w:rsid w:val="68680898"/>
    <w:rsid w:val="745C0DC5"/>
    <w:rsid w:val="74B135C7"/>
    <w:rsid w:val="757F6C10"/>
    <w:rsid w:val="788E4144"/>
    <w:rsid w:val="793A6897"/>
    <w:rsid w:val="7A877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annotation text"/>
    <w:basedOn w:val="1"/>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5718</Words>
  <Characters>6496</Characters>
  <Lines>501</Lines>
  <Paragraphs>406</Paragraphs>
  <TotalTime>8</TotalTime>
  <ScaleCrop>false</ScaleCrop>
  <LinksUpToDate>false</LinksUpToDate>
  <CharactersWithSpaces>6506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2025-09-01T09:09:00Z</dcterms:created>
  <dc:creator>回上.LAPTOP-7R4U860U</dc:creator>
  <cp:lastModifiedBy>11点28分不打烊</cp:lastModifiedBy>
  <dcterms:modified xsi:type="dcterms:W3CDTF">2025-11-20T04:19:14Z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eyJoZGlkIjoiNTlkZWQ3ZWZiOGVhYTk1OTExMjBmYWQ4ZjAxNTk5MTciLCJ1c2VySWQiOiI5MTU3NDI2MDkifQ==</vt:lpwstr>
  </property>
  <property fmtid="{D5CDD505-2E9C-101B-9397-08002B2CF9AE}" pid="4" name="ICV">
    <vt:lpwstr>72175F66BB3F4DF39440D1F55567F097_12</vt:lpwstr>
  </property>
</Properties>
</file>