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9809C">
      <w:pPr>
        <w:spacing w:after="0" w:line="240" w:lineRule="auto"/>
        <w:rPr>
          <w:rFonts w:hint="eastAsia" w:ascii="宋体" w:eastAsia="宋体"/>
          <w:sz w:val="32"/>
          <w:szCs w:val="32"/>
        </w:rPr>
      </w:pPr>
    </w:p>
    <w:p w14:paraId="6CA78BAE">
      <w:pPr>
        <w:spacing w:after="0" w:line="240" w:lineRule="auto"/>
        <w:rPr>
          <w:rFonts w:hint="eastAsia" w:ascii="宋体" w:eastAsia="宋体"/>
          <w:sz w:val="44"/>
          <w:szCs w:val="44"/>
        </w:rPr>
      </w:pPr>
    </w:p>
    <w:p w14:paraId="72A67616">
      <w:pPr>
        <w:spacing w:after="0" w:line="240" w:lineRule="auto"/>
        <w:rPr>
          <w:rFonts w:hint="eastAsia" w:ascii="宋体" w:eastAsia="宋体"/>
          <w:sz w:val="44"/>
          <w:szCs w:val="44"/>
        </w:rPr>
      </w:pPr>
    </w:p>
    <w:p w14:paraId="770D2F23">
      <w:pPr>
        <w:spacing w:after="0" w:line="240" w:lineRule="auto"/>
        <w:rPr>
          <w:rFonts w:hint="eastAsia" w:ascii="宋体" w:eastAsia="宋体"/>
          <w:sz w:val="44"/>
          <w:szCs w:val="44"/>
        </w:rPr>
      </w:pPr>
    </w:p>
    <w:p w14:paraId="4FD64960">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昌吉市滨湖镇中心幼儿园</w:t>
      </w:r>
    </w:p>
    <w:p w14:paraId="6AC9C4D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99215B8">
      <w:pPr>
        <w:rPr>
          <w:rFonts w:hint="eastAsia"/>
          <w:lang w:eastAsia="zh-CN"/>
        </w:rPr>
      </w:pPr>
      <w:r>
        <w:rPr>
          <w:sz w:val="0"/>
          <w:szCs w:val="0"/>
          <w:lang w:eastAsia="zh-CN"/>
        </w:rPr>
        <w:br w:type="page"/>
      </w:r>
    </w:p>
    <w:p w14:paraId="54581FF7">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3CF24B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CBF6B9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668FA97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066299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5A56E93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533CB4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AD31E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0590E2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380CF2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F96DA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9401B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B774A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A78F2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D09F99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2B86ED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8802F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58B5B5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4E0DDD0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4E66E2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71BAE2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BF3B5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F8E77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477B3F6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E3C96C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57239B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A1E37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143929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6FEF4D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A750B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073656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A9AB5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C30BE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506ECE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55BC7EA4">
      <w:pPr>
        <w:rPr>
          <w:rFonts w:hint="eastAsia"/>
          <w:lang w:eastAsia="zh-CN"/>
        </w:rPr>
      </w:pPr>
      <w:r>
        <w:rPr>
          <w:sz w:val="0"/>
          <w:szCs w:val="0"/>
          <w:lang w:eastAsia="zh-CN"/>
        </w:rPr>
        <w:br w:type="page"/>
      </w:r>
    </w:p>
    <w:p w14:paraId="3B53300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0167075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8924DC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原则,对幼儿实施德、智、体、美全面发展的教育,促进其身心和谐健康发展（相关社会服务）。</w:t>
      </w:r>
    </w:p>
    <w:p w14:paraId="4FBFBB9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98B85E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昌吉市滨湖镇中心幼儿园2024年度，实有人数6人，其中：在职人员6人，较上年无变化；离休人员0人，较上年无变化；退休人员0人，较上年无变化</w:t>
      </w:r>
      <w:r>
        <w:rPr>
          <w:rFonts w:hint="eastAsia" w:ascii="仿宋_GB2312" w:eastAsia="仿宋_GB2312"/>
          <w:sz w:val="32"/>
          <w:szCs w:val="32"/>
          <w:lang w:eastAsia="zh-CN"/>
        </w:rPr>
        <w:t>。</w:t>
      </w:r>
    </w:p>
    <w:p w14:paraId="489D2C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昌吉市滨湖镇中心幼儿园无下属预算单位，下设4个</w:t>
      </w:r>
      <w:r>
        <w:rPr>
          <w:rFonts w:hint="eastAsia" w:ascii="仿宋_GB2312" w:eastAsia="仿宋_GB2312"/>
          <w:sz w:val="32"/>
          <w:szCs w:val="32"/>
          <w:lang w:eastAsia="zh-CN"/>
        </w:rPr>
        <w:t>科</w:t>
      </w:r>
      <w:r>
        <w:rPr>
          <w:rFonts w:ascii="仿宋_GB2312" w:eastAsia="仿宋_GB2312"/>
          <w:sz w:val="32"/>
          <w:szCs w:val="32"/>
          <w:lang w:eastAsia="zh-CN"/>
        </w:rPr>
        <w:t>室，分别是：办公室、保教处、保健室、总务处。</w:t>
      </w:r>
    </w:p>
    <w:p w14:paraId="50C08004">
      <w:pPr>
        <w:rPr>
          <w:rFonts w:hint="eastAsia"/>
          <w:lang w:eastAsia="zh-CN"/>
        </w:rPr>
      </w:pPr>
      <w:r>
        <w:rPr>
          <w:sz w:val="0"/>
          <w:szCs w:val="0"/>
          <w:lang w:eastAsia="zh-CN"/>
        </w:rPr>
        <w:br w:type="page"/>
      </w:r>
    </w:p>
    <w:p w14:paraId="03FBF3A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73BFB54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C9A03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2024年度收入总计170.55万元，其中：本年收入合计170.55万元，使用非财政拨款结余（含专用结余）0.00万元，年初结转和结余0.00万元。</w:t>
      </w:r>
    </w:p>
    <w:p w14:paraId="5B7A25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2024年度支出总计170.55万元，其中：本年支出合计170.55万元，结余分配0.00万元，年末结转和结余0.00万元。</w:t>
      </w:r>
    </w:p>
    <w:p w14:paraId="77F310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收入支出总体与上年相比，增加32.91万元，增长23.91%，主要原因是：本年中央财政支持学前教育发展基金办公费、新疆西藏等地区教育特殊补助园金维护费增加。</w:t>
      </w:r>
    </w:p>
    <w:p w14:paraId="42CD67C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D121BD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本年收入170.55万元，其中：财政拨款收入170.55万元,占100.00%；上级补助收入0.00万元,占0.00%；事业收入0.00万元，占0.00%；经营收入0.00万元,占0.00%；附属单位上缴收入0.00万元，占0.00%；其他收入0.00万元，占0.00%。</w:t>
      </w:r>
    </w:p>
    <w:p w14:paraId="1AC236C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7BC7B4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本年支出170.55万元，其中：基本支出145.55万元，占85.34%；项目支出25.00万元，占14.66%；上缴上级支出0.00万元，占0.00%；经营支出0.00万元，占0.00%；对附属单位补助支出0.00万元，占0.00%。</w:t>
      </w:r>
    </w:p>
    <w:p w14:paraId="04D2773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93333D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2024年度财政拨款收入总计170.55万元，其中：年初财政拨款结转和结余0.00万元，本年财政拨款收入170.55万元。财政拨款支出总计170.55万元，其中：年末财政拨款结转和结余0.00万元，本年财政拨款支出170.55万元。</w:t>
      </w:r>
    </w:p>
    <w:p w14:paraId="5C58C3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32.91万元，增长23.91%，主要原因是：本年中央财政支持学前教育发展基金办公费、新疆西藏等地区教育特殊补助园金维护费增加。与年初预算相比，年初预算数129.69万元，决算数170.55万元，预决算差异率31.51%，主要原因是：年中追加中央财政支持学前教育发展基金办公费、新疆西藏等地区教育特殊补助园金维护费项目经费。</w:t>
      </w:r>
    </w:p>
    <w:p w14:paraId="5448648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845011A">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（一）一般公共预算财政拨款支出决算总体情况</w:t>
      </w:r>
    </w:p>
    <w:p w14:paraId="0A484A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170.55万元，占本年支出合计的100.00%。与上年相比，增加38.19万元，增长28.85%，主要原因是：本年中央财政支持学前教育发展基金办公费、新疆西藏等地区教育特殊补助园金维护费增加。与年初预算相比，年初预算数129.69万元，决算数170.55万元，预决算差异率31.51%，主要原因是：年中追加中央财政支持学前教育发展基金办公费、新疆西藏等地区教育特殊补助园金维护费。</w:t>
      </w:r>
    </w:p>
    <w:p w14:paraId="126DDDD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（二）一般公共预算财政拨款支出决算结构情况</w:t>
      </w:r>
    </w:p>
    <w:p w14:paraId="1BE3CF0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教育支出（类）170.55万元，占100.00%。</w:t>
      </w:r>
    </w:p>
    <w:p w14:paraId="0D8B190A">
      <w:pPr>
        <w:spacing w:after="0" w:line="240" w:lineRule="auto"/>
        <w:ind w:firstLine="643" w:firstLineChars="200"/>
        <w:outlineLvl w:val="2"/>
        <w:rPr>
          <w:rFonts w:hint="eastAsia" w:ascii="黑体" w:eastAsia="黑体"/>
          <w:b/>
          <w:sz w:val="32"/>
          <w:szCs w:val="32"/>
          <w:lang w:eastAsia="zh-CN"/>
        </w:rPr>
      </w:pPr>
      <w:r>
        <w:rPr>
          <w:rFonts w:ascii="黑体" w:eastAsia="黑体"/>
          <w:b/>
          <w:sz w:val="32"/>
          <w:szCs w:val="32"/>
          <w:lang w:eastAsia="zh-CN"/>
        </w:rPr>
        <w:t>（三）一般公共预算财政拨款支出决算具体情况</w:t>
      </w:r>
    </w:p>
    <w:p w14:paraId="19742F9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学前教育（项）：支出决算数为170.55万元，比上年决算增加38.19万元，增长28.85%，主要原因是：本年中央财政支持学前教育发展基金办公费、新疆西藏等地区教育特殊补助园金维护费增加</w:t>
      </w:r>
      <w:r>
        <w:rPr>
          <w:rFonts w:hint="eastAsia" w:ascii="仿宋_GB2312" w:eastAsia="仿宋_GB2312"/>
          <w:sz w:val="32"/>
          <w:szCs w:val="32"/>
          <w:lang w:eastAsia="zh-CN"/>
        </w:rPr>
        <w:t>。</w:t>
      </w:r>
    </w:p>
    <w:p w14:paraId="2C4C5D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089927C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145.55万元，其中：人员经费124.32万元，包括：基本工资、津贴补贴、奖金、机关事业单位基本养老保险缴费、职工基本医疗保险缴费、其他社会保障缴费、住房公积金、其他工资福利支出和医疗费补助。</w:t>
      </w:r>
    </w:p>
    <w:p w14:paraId="76973E5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公用经费21.23万元，包括：办公费、水费、电费、邮电费、取暖费、维修（护）费、劳务费和办公设备购置。</w:t>
      </w:r>
    </w:p>
    <w:p w14:paraId="233FECB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669299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B6D11B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524CA7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1D4818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079E6D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无“三公”经费支出。其中：因公出国（境）费支出0.00万元,占0.00%，与上年相比无变化，主要原因是：本年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无因公出国（境）费支出；公务用车购置及运行维护费支出0.00万元，占0.00%，与上年相比无变化，主要原因是：本年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无公务用车购置及运行维护费支出；公务接待费支出0.00万元，占0.00%，与上年相比无变化，主要原因是：本年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无公务接待费支出。</w:t>
      </w:r>
    </w:p>
    <w:p w14:paraId="4F9AAFC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7C56836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1DFB77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我单位本年无公务用车运行维护费</w:t>
      </w:r>
      <w:bookmarkStart w:id="1" w:name="_GoBack"/>
      <w:bookmarkEnd w:id="1"/>
      <w:r>
        <w:rPr>
          <w:rFonts w:ascii="仿宋_GB2312" w:eastAsia="仿宋_GB2312"/>
          <w:sz w:val="32"/>
          <w:szCs w:val="32"/>
          <w:lang w:eastAsia="zh-CN"/>
        </w:rPr>
        <w:t>。公务用车购置数0辆，公务用车保有量0辆。国有资产占用情况中固定资产车辆0辆，与公务用车保有量差异原因是：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53190B0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02C94FD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00095A8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01E1C775">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（一）机关运行经费及公用经费支出情况</w:t>
      </w:r>
    </w:p>
    <w:p w14:paraId="4DAD8D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2024年度昌吉市滨湖镇中心幼儿园单位（事业单位）公用经费支出21.23万元，比上年增加8.64万元，增长68.63%，主要原因是：单位本年办公费、水费、维修（护）费较上年增加。</w:t>
      </w:r>
    </w:p>
    <w:p w14:paraId="161FBA04">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（二）政府采购情况</w:t>
      </w:r>
    </w:p>
    <w:p w14:paraId="5A2FED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2024年度政府采购支出总额1.29万元，其中：政府采购货物支出0.80万元、政府采购工程支出0.00万元、政府采购服务支出0.49万元。</w:t>
      </w:r>
    </w:p>
    <w:p w14:paraId="7BBE68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授予中小企业合同金额1.29万元，占政府采购支出总额的100.00%，其中：授予小微企业合同金额0.89万元，占政府采购支出总额的68.99%。</w:t>
      </w:r>
    </w:p>
    <w:p w14:paraId="52C1C833">
      <w:pPr>
        <w:spacing w:after="0" w:line="240" w:lineRule="auto"/>
        <w:ind w:firstLine="643" w:firstLineChars="200"/>
        <w:outlineLvl w:val="2"/>
        <w:rPr>
          <w:rFonts w:hint="eastAsia" w:ascii="黑体" w:eastAsia="黑体"/>
          <w:sz w:val="32"/>
          <w:szCs w:val="32"/>
          <w:lang w:eastAsia="zh-CN"/>
        </w:rPr>
      </w:pPr>
      <w:r>
        <w:rPr>
          <w:rFonts w:ascii="黑体" w:eastAsia="黑体"/>
          <w:b/>
          <w:sz w:val="32"/>
          <w:szCs w:val="32"/>
          <w:lang w:eastAsia="zh-CN"/>
        </w:rPr>
        <w:t>（三）国有资产占用情况说明</w:t>
      </w:r>
    </w:p>
    <w:p w14:paraId="6F2A3E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截至2024年12月31日，房屋1,755.97平方米，价值527.88万元。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42A68C7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A666FD8">
      <w:pPr>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根据预算绩效管理要求，本单位2024年度预算绩效管理形成整体支出绩效自评表1个，全年预算总额170.55万元，实际执行总额170.55万元；预算绩效评价项目0个，全年预算数0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。具体附部门整体支出绩效自评表。</w:t>
      </w:r>
      <w:bookmarkStart w:id="0" w:name="_Hlk174962300"/>
    </w:p>
    <w:p w14:paraId="16DD6C11">
      <w:pPr>
        <w:rPr>
          <w:rFonts w:hint="eastAsia" w:ascii="仿宋_GB2312" w:eastAsia="仿宋_GB2312"/>
          <w:sz w:val="32"/>
          <w:szCs w:val="32"/>
          <w:lang w:eastAsia="zh-CN"/>
        </w:rPr>
      </w:pPr>
      <w:r>
        <w:rPr>
          <w:rFonts w:ascii="仿宋_GB2312" w:eastAsia="仿宋_GB2312"/>
          <w:sz w:val="32"/>
          <w:szCs w:val="32"/>
          <w:lang w:eastAsia="zh-CN"/>
        </w:rPr>
        <w:br w:type="page"/>
      </w:r>
    </w:p>
    <w:p w14:paraId="47877D4D">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33DEC47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3FE3D28D">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4250798">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BA10253">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昌吉市滨湖镇中心幼儿园</w:t>
            </w:r>
          </w:p>
        </w:tc>
        <w:tc>
          <w:tcPr>
            <w:tcW w:w="284" w:type="dxa"/>
            <w:tcBorders>
              <w:top w:val="nil"/>
              <w:left w:val="nil"/>
              <w:bottom w:val="nil"/>
              <w:right w:val="nil"/>
            </w:tcBorders>
            <w:noWrap/>
            <w:vAlign w:val="center"/>
          </w:tcPr>
          <w:p w14:paraId="0AE2F529">
            <w:pPr>
              <w:rPr>
                <w:rFonts w:hint="eastAsia" w:ascii="宋体" w:hAnsi="宋体" w:eastAsia="宋体" w:cs="宋体"/>
                <w:b/>
                <w:bCs/>
                <w:sz w:val="18"/>
                <w:szCs w:val="18"/>
                <w:lang w:eastAsia="zh-CN"/>
              </w:rPr>
            </w:pPr>
          </w:p>
        </w:tc>
      </w:tr>
      <w:tr w14:paraId="5773068A">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2114EF4">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D0EB76B">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89F300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5E016FA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78262D7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6BAB247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1FA2DB59">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5C5B16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4C32E474">
            <w:pPr>
              <w:jc w:val="center"/>
              <w:rPr>
                <w:rFonts w:hint="eastAsia" w:ascii="宋体" w:hAnsi="宋体" w:eastAsia="宋体" w:cs="宋体"/>
                <w:b/>
                <w:bCs/>
                <w:sz w:val="18"/>
                <w:szCs w:val="18"/>
              </w:rPr>
            </w:pPr>
          </w:p>
        </w:tc>
      </w:tr>
      <w:tr w14:paraId="57E6B817">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2CEB22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E9549B9">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03A2A0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126B3712">
            <w:pPr>
              <w:jc w:val="center"/>
              <w:rPr>
                <w:rFonts w:hint="eastAsia" w:ascii="宋体" w:hAnsi="宋体" w:eastAsia="宋体" w:cs="宋体"/>
                <w:sz w:val="18"/>
                <w:szCs w:val="18"/>
              </w:rPr>
            </w:pPr>
            <w:r>
              <w:rPr>
                <w:rFonts w:hint="eastAsia" w:ascii="宋体" w:hAnsi="宋体" w:eastAsia="宋体" w:cs="宋体"/>
                <w:sz w:val="18"/>
                <w:szCs w:val="18"/>
              </w:rPr>
              <w:t>25.00</w:t>
            </w:r>
          </w:p>
        </w:tc>
        <w:tc>
          <w:tcPr>
            <w:tcW w:w="1842" w:type="dxa"/>
            <w:tcBorders>
              <w:top w:val="nil"/>
              <w:left w:val="nil"/>
              <w:bottom w:val="single" w:color="auto" w:sz="4" w:space="0"/>
              <w:right w:val="single" w:color="auto" w:sz="4" w:space="0"/>
            </w:tcBorders>
            <w:vAlign w:val="center"/>
          </w:tcPr>
          <w:p w14:paraId="362C6FED">
            <w:pPr>
              <w:jc w:val="center"/>
              <w:rPr>
                <w:rFonts w:hint="eastAsia" w:ascii="宋体" w:hAnsi="宋体" w:eastAsia="宋体" w:cs="宋体"/>
                <w:sz w:val="18"/>
                <w:szCs w:val="18"/>
              </w:rPr>
            </w:pPr>
            <w:r>
              <w:rPr>
                <w:rFonts w:hint="eastAsia" w:ascii="宋体" w:hAnsi="宋体" w:eastAsia="宋体" w:cs="宋体"/>
                <w:sz w:val="18"/>
                <w:szCs w:val="18"/>
              </w:rPr>
              <w:t>25.00</w:t>
            </w:r>
          </w:p>
        </w:tc>
        <w:tc>
          <w:tcPr>
            <w:tcW w:w="993" w:type="dxa"/>
            <w:tcBorders>
              <w:top w:val="nil"/>
              <w:left w:val="nil"/>
              <w:bottom w:val="single" w:color="auto" w:sz="4" w:space="0"/>
              <w:right w:val="single" w:color="auto" w:sz="4" w:space="0"/>
            </w:tcBorders>
            <w:vAlign w:val="center"/>
          </w:tcPr>
          <w:p w14:paraId="61CEAE6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104FD4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4774990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5F1F8964">
            <w:pPr>
              <w:jc w:val="center"/>
              <w:rPr>
                <w:rFonts w:hint="eastAsia" w:ascii="宋体" w:hAnsi="宋体" w:eastAsia="宋体" w:cs="宋体"/>
                <w:b/>
                <w:bCs/>
                <w:sz w:val="18"/>
                <w:szCs w:val="18"/>
              </w:rPr>
            </w:pPr>
          </w:p>
        </w:tc>
      </w:tr>
      <w:tr w14:paraId="3FA07527">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931205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CB3CA6E">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869C9B6">
            <w:pPr>
              <w:jc w:val="center"/>
              <w:rPr>
                <w:rFonts w:hint="eastAsia" w:ascii="宋体" w:hAnsi="宋体" w:eastAsia="宋体" w:cs="宋体"/>
                <w:sz w:val="18"/>
                <w:szCs w:val="18"/>
              </w:rPr>
            </w:pPr>
            <w:r>
              <w:rPr>
                <w:rFonts w:hint="eastAsia" w:ascii="宋体" w:hAnsi="宋体" w:eastAsia="宋体" w:cs="宋体"/>
                <w:sz w:val="18"/>
                <w:szCs w:val="18"/>
              </w:rPr>
              <w:t>129.69</w:t>
            </w:r>
          </w:p>
        </w:tc>
        <w:tc>
          <w:tcPr>
            <w:tcW w:w="1276" w:type="dxa"/>
            <w:tcBorders>
              <w:top w:val="nil"/>
              <w:left w:val="nil"/>
              <w:bottom w:val="single" w:color="auto" w:sz="4" w:space="0"/>
              <w:right w:val="single" w:color="auto" w:sz="4" w:space="0"/>
            </w:tcBorders>
            <w:vAlign w:val="center"/>
          </w:tcPr>
          <w:p w14:paraId="2D6C0663">
            <w:pPr>
              <w:jc w:val="center"/>
              <w:rPr>
                <w:rFonts w:hint="eastAsia" w:ascii="宋体" w:hAnsi="宋体" w:eastAsia="宋体" w:cs="宋体"/>
                <w:sz w:val="18"/>
                <w:szCs w:val="18"/>
              </w:rPr>
            </w:pPr>
            <w:r>
              <w:rPr>
                <w:rFonts w:hint="eastAsia" w:ascii="宋体" w:hAnsi="宋体" w:eastAsia="宋体" w:cs="宋体"/>
                <w:sz w:val="18"/>
                <w:szCs w:val="18"/>
              </w:rPr>
              <w:t>145.55</w:t>
            </w:r>
          </w:p>
        </w:tc>
        <w:tc>
          <w:tcPr>
            <w:tcW w:w="1842" w:type="dxa"/>
            <w:tcBorders>
              <w:top w:val="nil"/>
              <w:left w:val="nil"/>
              <w:bottom w:val="single" w:color="auto" w:sz="4" w:space="0"/>
              <w:right w:val="single" w:color="auto" w:sz="4" w:space="0"/>
            </w:tcBorders>
            <w:vAlign w:val="center"/>
          </w:tcPr>
          <w:p w14:paraId="243DD171">
            <w:pPr>
              <w:jc w:val="center"/>
              <w:rPr>
                <w:rFonts w:hint="eastAsia" w:ascii="宋体" w:hAnsi="宋体" w:eastAsia="宋体" w:cs="宋体"/>
                <w:sz w:val="18"/>
                <w:szCs w:val="18"/>
              </w:rPr>
            </w:pPr>
            <w:r>
              <w:rPr>
                <w:rFonts w:hint="eastAsia" w:ascii="宋体" w:hAnsi="宋体" w:eastAsia="宋体" w:cs="宋体"/>
                <w:sz w:val="18"/>
                <w:szCs w:val="18"/>
              </w:rPr>
              <w:t>145.55</w:t>
            </w:r>
          </w:p>
        </w:tc>
        <w:tc>
          <w:tcPr>
            <w:tcW w:w="993" w:type="dxa"/>
            <w:tcBorders>
              <w:top w:val="nil"/>
              <w:left w:val="nil"/>
              <w:bottom w:val="single" w:color="auto" w:sz="4" w:space="0"/>
              <w:right w:val="single" w:color="auto" w:sz="4" w:space="0"/>
            </w:tcBorders>
            <w:vAlign w:val="center"/>
          </w:tcPr>
          <w:p w14:paraId="7298AED8">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667889A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945CF2B">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62975FE">
            <w:pPr>
              <w:jc w:val="center"/>
              <w:rPr>
                <w:rFonts w:hint="eastAsia" w:ascii="宋体" w:hAnsi="宋体" w:eastAsia="宋体" w:cs="宋体"/>
                <w:sz w:val="18"/>
                <w:szCs w:val="18"/>
              </w:rPr>
            </w:pPr>
          </w:p>
        </w:tc>
      </w:tr>
      <w:tr w14:paraId="0A5DD7DE">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9BB37E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E5B7CFD">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46D6F65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3FB527F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23CB300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44FF768E">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7740DE4">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A45914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39E4675B">
            <w:pPr>
              <w:jc w:val="center"/>
              <w:rPr>
                <w:rFonts w:hint="eastAsia" w:ascii="宋体" w:hAnsi="宋体" w:eastAsia="宋体" w:cs="宋体"/>
                <w:sz w:val="18"/>
                <w:szCs w:val="18"/>
              </w:rPr>
            </w:pPr>
          </w:p>
        </w:tc>
      </w:tr>
      <w:tr w14:paraId="1936A310">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2F0FE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181E9DC">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0FF567B4">
            <w:pPr>
              <w:jc w:val="center"/>
              <w:rPr>
                <w:rFonts w:hint="eastAsia" w:ascii="宋体" w:hAnsi="宋体" w:eastAsia="宋体" w:cs="宋体"/>
                <w:sz w:val="18"/>
                <w:szCs w:val="18"/>
              </w:rPr>
            </w:pPr>
            <w:r>
              <w:rPr>
                <w:rFonts w:hint="eastAsia" w:ascii="宋体" w:hAnsi="宋体" w:eastAsia="宋体" w:cs="宋体"/>
                <w:sz w:val="18"/>
                <w:szCs w:val="18"/>
              </w:rPr>
              <w:t>129.69</w:t>
            </w:r>
          </w:p>
        </w:tc>
        <w:tc>
          <w:tcPr>
            <w:tcW w:w="1276" w:type="dxa"/>
            <w:tcBorders>
              <w:top w:val="nil"/>
              <w:left w:val="nil"/>
              <w:bottom w:val="single" w:color="auto" w:sz="4" w:space="0"/>
              <w:right w:val="single" w:color="auto" w:sz="4" w:space="0"/>
            </w:tcBorders>
            <w:vAlign w:val="center"/>
          </w:tcPr>
          <w:p w14:paraId="54982281">
            <w:pPr>
              <w:jc w:val="center"/>
              <w:rPr>
                <w:rFonts w:hint="eastAsia" w:ascii="宋体" w:hAnsi="宋体" w:eastAsia="宋体" w:cs="宋体"/>
                <w:sz w:val="18"/>
                <w:szCs w:val="18"/>
              </w:rPr>
            </w:pPr>
            <w:r>
              <w:rPr>
                <w:rFonts w:hint="eastAsia" w:ascii="宋体" w:hAnsi="宋体" w:eastAsia="宋体" w:cs="宋体"/>
                <w:sz w:val="18"/>
                <w:szCs w:val="18"/>
              </w:rPr>
              <w:t>170.55</w:t>
            </w:r>
          </w:p>
        </w:tc>
        <w:tc>
          <w:tcPr>
            <w:tcW w:w="1842" w:type="dxa"/>
            <w:tcBorders>
              <w:top w:val="nil"/>
              <w:left w:val="nil"/>
              <w:bottom w:val="single" w:color="auto" w:sz="4" w:space="0"/>
              <w:right w:val="single" w:color="auto" w:sz="4" w:space="0"/>
            </w:tcBorders>
            <w:vAlign w:val="center"/>
          </w:tcPr>
          <w:p w14:paraId="6B709EF4">
            <w:pPr>
              <w:jc w:val="center"/>
              <w:rPr>
                <w:rFonts w:hint="eastAsia" w:ascii="宋体" w:hAnsi="宋体" w:eastAsia="宋体" w:cs="宋体"/>
                <w:sz w:val="18"/>
                <w:szCs w:val="18"/>
              </w:rPr>
            </w:pPr>
            <w:r>
              <w:rPr>
                <w:rFonts w:hint="eastAsia" w:ascii="宋体" w:hAnsi="宋体" w:eastAsia="宋体" w:cs="宋体"/>
                <w:sz w:val="18"/>
                <w:szCs w:val="18"/>
              </w:rPr>
              <w:t>170.55</w:t>
            </w:r>
          </w:p>
        </w:tc>
        <w:tc>
          <w:tcPr>
            <w:tcW w:w="993" w:type="dxa"/>
            <w:tcBorders>
              <w:top w:val="nil"/>
              <w:left w:val="nil"/>
              <w:bottom w:val="single" w:color="auto" w:sz="4" w:space="0"/>
              <w:right w:val="single" w:color="auto" w:sz="4" w:space="0"/>
            </w:tcBorders>
            <w:vAlign w:val="center"/>
          </w:tcPr>
          <w:p w14:paraId="5A8EECA7">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38199FCE">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A147335">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0D949C23">
            <w:pPr>
              <w:jc w:val="center"/>
              <w:rPr>
                <w:rFonts w:hint="eastAsia" w:ascii="宋体" w:hAnsi="宋体" w:eastAsia="宋体" w:cs="宋体"/>
                <w:sz w:val="18"/>
                <w:szCs w:val="18"/>
              </w:rPr>
            </w:pPr>
          </w:p>
        </w:tc>
      </w:tr>
      <w:tr w14:paraId="29604129">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01A6711">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6FF0D13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0497F7BE">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5507DAC3">
            <w:pPr>
              <w:rPr>
                <w:rFonts w:hint="eastAsia" w:ascii="宋体" w:hAnsi="宋体" w:eastAsia="宋体" w:cs="宋体"/>
                <w:b/>
                <w:bCs/>
                <w:sz w:val="18"/>
                <w:szCs w:val="18"/>
              </w:rPr>
            </w:pPr>
          </w:p>
        </w:tc>
      </w:tr>
      <w:tr w14:paraId="4BF5DD45">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B07EF5">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4A037EA1">
            <w:pPr>
              <w:rPr>
                <w:rFonts w:hint="eastAsia" w:ascii="宋体" w:hAnsi="宋体" w:eastAsia="宋体" w:cs="宋体"/>
                <w:sz w:val="18"/>
                <w:szCs w:val="18"/>
                <w:lang w:eastAsia="zh-CN"/>
              </w:rPr>
            </w:pPr>
            <w:r>
              <w:rPr>
                <w:rFonts w:hint="eastAsia" w:ascii="宋体" w:hAnsi="宋体" w:eastAsia="宋体" w:cs="宋体"/>
                <w:sz w:val="18"/>
                <w:szCs w:val="18"/>
                <w:lang w:eastAsia="zh-CN"/>
              </w:rPr>
              <w:t>为了贯彻落实中央、自治区党委决策部署的各项重大工作决定和安排，充分发挥教育经费保障教育发展、推动教育改革、推进教育公平、提高教育质量的政策引领作用，预计本年度学前三年毛入园率达到95%，普惠性幼儿园覆盖率达到100%，农村学前免费教育达到100%，青年教师培养考核覆盖率达到95%，教师培训合格率达到95%以上，办学条件达标率达到100%，家长满意度达到95%以上，进一步优化结构、深化改革、强化监管，切实提高教育教育经费使用效益。</w:t>
            </w:r>
          </w:p>
        </w:tc>
        <w:tc>
          <w:tcPr>
            <w:tcW w:w="4547" w:type="dxa"/>
            <w:gridSpan w:val="4"/>
            <w:tcBorders>
              <w:top w:val="single" w:color="auto" w:sz="4" w:space="0"/>
              <w:left w:val="nil"/>
              <w:bottom w:val="single" w:color="auto" w:sz="4" w:space="0"/>
              <w:right w:val="single" w:color="auto" w:sz="4" w:space="0"/>
            </w:tcBorders>
          </w:tcPr>
          <w:p w14:paraId="031DC99F">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12月31日，我园支出145.55万元，用于保障人员经费124.31万元，保障公用经费21.23万元，通过贯彻落实中央、自治区党委决策部署的各项重大工作决定和安排，充分发挥教育经费保障教育发展、推动教育改革、推进教育公平、提高教育质量的政策引领作用，本年度学前三年毛入园率达到100%，普惠性幼儿园覆盖率达到100%，农村学前免费教育达到100%，青年教师培养考核覆盖率达到100%，教师培训合格率达到100%，办学条件达标率达到100%，家长满意度达到95%，进一步优化结构、深化改革、强化监管，切实提高教育教育经费使用效益。</w:t>
            </w:r>
          </w:p>
        </w:tc>
        <w:tc>
          <w:tcPr>
            <w:tcW w:w="284" w:type="dxa"/>
            <w:tcBorders>
              <w:top w:val="nil"/>
              <w:left w:val="nil"/>
              <w:bottom w:val="nil"/>
              <w:right w:val="nil"/>
            </w:tcBorders>
            <w:noWrap/>
            <w:vAlign w:val="center"/>
          </w:tcPr>
          <w:p w14:paraId="28CC9827">
            <w:pPr>
              <w:rPr>
                <w:rFonts w:hint="eastAsia" w:ascii="宋体" w:hAnsi="宋体" w:eastAsia="宋体" w:cs="宋体"/>
                <w:sz w:val="18"/>
                <w:szCs w:val="18"/>
                <w:lang w:eastAsia="zh-CN"/>
              </w:rPr>
            </w:pPr>
          </w:p>
        </w:tc>
      </w:tr>
      <w:tr w14:paraId="0CCE095F">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2368D63">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1DAE953">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6361799">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43451EE">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3637C8FD">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15266E3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7E5F5227">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9DF8D0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0031AD32">
            <w:pPr>
              <w:rPr>
                <w:rFonts w:hint="eastAsia" w:ascii="宋体" w:hAnsi="宋体" w:eastAsia="宋体" w:cs="宋体"/>
                <w:b/>
                <w:bCs/>
                <w:sz w:val="18"/>
                <w:szCs w:val="18"/>
              </w:rPr>
            </w:pPr>
          </w:p>
        </w:tc>
      </w:tr>
      <w:tr w14:paraId="5AB1469C">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bottom w:val="single" w:color="auto" w:sz="4" w:space="0"/>
              <w:right w:val="single" w:color="auto" w:sz="4" w:space="0"/>
            </w:tcBorders>
            <w:noWrap/>
            <w:vAlign w:val="center"/>
          </w:tcPr>
          <w:p w14:paraId="574A2973">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532501E0">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4DC5C883">
            <w:pPr>
              <w:jc w:val="center"/>
              <w:rPr>
                <w:rFonts w:hint="eastAsia" w:ascii="宋体" w:hAnsi="宋体" w:eastAsia="宋体" w:cs="宋体"/>
                <w:sz w:val="18"/>
                <w:szCs w:val="18"/>
              </w:rPr>
            </w:pPr>
            <w:r>
              <w:rPr>
                <w:rFonts w:hint="eastAsia" w:ascii="宋体" w:hAnsi="宋体" w:eastAsia="宋体" w:cs="宋体"/>
                <w:sz w:val="18"/>
                <w:szCs w:val="18"/>
              </w:rPr>
              <w:t>学前三年毛入园率</w:t>
            </w:r>
          </w:p>
        </w:tc>
        <w:tc>
          <w:tcPr>
            <w:tcW w:w="1276" w:type="dxa"/>
            <w:tcBorders>
              <w:top w:val="nil"/>
              <w:left w:val="nil"/>
              <w:bottom w:val="single" w:color="auto" w:sz="4" w:space="0"/>
              <w:right w:val="single" w:color="auto" w:sz="4" w:space="0"/>
            </w:tcBorders>
            <w:noWrap/>
            <w:vAlign w:val="center"/>
          </w:tcPr>
          <w:p w14:paraId="37AA3723">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1812029F">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05FB5D7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173E4214">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4A79BF8C">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3BB6463C">
            <w:pPr>
              <w:jc w:val="center"/>
              <w:rPr>
                <w:rFonts w:hint="eastAsia" w:ascii="宋体" w:hAnsi="宋体" w:eastAsia="宋体" w:cs="宋体"/>
                <w:sz w:val="18"/>
                <w:szCs w:val="18"/>
              </w:rPr>
            </w:pPr>
          </w:p>
        </w:tc>
      </w:tr>
      <w:tr w14:paraId="2FD618C6">
        <w:tblPrEx>
          <w:tblCellMar>
            <w:top w:w="0" w:type="dxa"/>
            <w:left w:w="108" w:type="dxa"/>
            <w:bottom w:w="0" w:type="dxa"/>
            <w:right w:w="108" w:type="dxa"/>
          </w:tblCellMar>
        </w:tblPrEx>
        <w:trPr>
          <w:cantSplit/>
          <w:trHeight w:val="740" w:hRule="atLeast"/>
        </w:trPr>
        <w:tc>
          <w:tcPr>
            <w:tcW w:w="993" w:type="dxa"/>
            <w:vMerge w:val="continue"/>
            <w:tcBorders>
              <w:top w:val="single" w:color="auto" w:sz="4" w:space="0"/>
              <w:left w:val="single" w:color="auto" w:sz="4" w:space="0"/>
              <w:right w:val="single" w:color="auto" w:sz="4" w:space="0"/>
            </w:tcBorders>
            <w:noWrap/>
            <w:vAlign w:val="center"/>
          </w:tcPr>
          <w:p w14:paraId="5DEEAE34">
            <w:pPr>
              <w:jc w:val="center"/>
              <w:rPr>
                <w:rFonts w:hint="eastAsia" w:ascii="宋体" w:hAnsi="宋体" w:eastAsia="宋体" w:cs="宋体"/>
                <w:sz w:val="18"/>
                <w:szCs w:val="18"/>
              </w:rPr>
            </w:pPr>
          </w:p>
        </w:tc>
        <w:tc>
          <w:tcPr>
            <w:tcW w:w="1417" w:type="dxa"/>
            <w:vMerge w:val="restart"/>
            <w:tcBorders>
              <w:top w:val="single" w:color="auto" w:sz="4" w:space="0"/>
              <w:left w:val="nil"/>
              <w:right w:val="single" w:color="auto" w:sz="4" w:space="0"/>
            </w:tcBorders>
            <w:noWrap/>
            <w:vAlign w:val="center"/>
          </w:tcPr>
          <w:p w14:paraId="289DF16F">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single" w:color="auto" w:sz="4" w:space="0"/>
              <w:bottom w:val="single" w:color="auto" w:sz="4" w:space="0"/>
              <w:right w:val="single" w:color="auto" w:sz="4" w:space="0"/>
            </w:tcBorders>
            <w:noWrap/>
            <w:vAlign w:val="center"/>
          </w:tcPr>
          <w:p w14:paraId="4E44026B">
            <w:pPr>
              <w:jc w:val="center"/>
              <w:rPr>
                <w:rFonts w:hint="eastAsia" w:ascii="宋体" w:hAnsi="宋体" w:eastAsia="宋体" w:cs="宋体"/>
                <w:sz w:val="18"/>
                <w:szCs w:val="18"/>
              </w:rPr>
            </w:pPr>
            <w:r>
              <w:rPr>
                <w:rFonts w:hint="eastAsia" w:ascii="宋体" w:hAnsi="宋体" w:eastAsia="宋体" w:cs="宋体"/>
                <w:sz w:val="18"/>
                <w:szCs w:val="18"/>
              </w:rPr>
              <w:t>普惠性幼儿园覆盖率</w:t>
            </w:r>
          </w:p>
        </w:tc>
        <w:tc>
          <w:tcPr>
            <w:tcW w:w="1276" w:type="dxa"/>
            <w:tcBorders>
              <w:top w:val="nil"/>
              <w:left w:val="nil"/>
              <w:bottom w:val="single" w:color="auto" w:sz="4" w:space="0"/>
              <w:right w:val="single" w:color="auto" w:sz="4" w:space="0"/>
            </w:tcBorders>
            <w:noWrap/>
            <w:vAlign w:val="center"/>
          </w:tcPr>
          <w:p w14:paraId="221DAD92">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679886B0">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6174072B">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3B43F8C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39ABC34F">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0D707F73">
            <w:pPr>
              <w:jc w:val="center"/>
              <w:rPr>
                <w:rFonts w:hint="eastAsia" w:ascii="宋体" w:hAnsi="宋体" w:eastAsia="宋体" w:cs="宋体"/>
                <w:sz w:val="18"/>
                <w:szCs w:val="18"/>
              </w:rPr>
            </w:pPr>
          </w:p>
        </w:tc>
      </w:tr>
      <w:tr w14:paraId="4ECFBA08">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3812E09">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DCFDB65">
            <w:pPr>
              <w:jc w:val="center"/>
              <w:rPr>
                <w:rFonts w:hint="eastAsia" w:ascii="宋体" w:hAnsi="宋体" w:eastAsia="宋体" w:cs="宋体"/>
                <w:sz w:val="18"/>
                <w:szCs w:val="18"/>
              </w:rPr>
            </w:pPr>
          </w:p>
        </w:tc>
        <w:tc>
          <w:tcPr>
            <w:tcW w:w="1418" w:type="dxa"/>
            <w:tcBorders>
              <w:top w:val="nil"/>
              <w:left w:val="single" w:color="auto" w:sz="4" w:space="0"/>
              <w:bottom w:val="single" w:color="auto" w:sz="4" w:space="0"/>
              <w:right w:val="single" w:color="auto" w:sz="4" w:space="0"/>
            </w:tcBorders>
            <w:noWrap/>
            <w:vAlign w:val="center"/>
          </w:tcPr>
          <w:p w14:paraId="3A20A083">
            <w:pPr>
              <w:jc w:val="center"/>
              <w:rPr>
                <w:rFonts w:hint="eastAsia" w:ascii="宋体" w:hAnsi="宋体" w:eastAsia="宋体" w:cs="宋体"/>
                <w:sz w:val="18"/>
                <w:szCs w:val="18"/>
              </w:rPr>
            </w:pPr>
            <w:r>
              <w:rPr>
                <w:rFonts w:hint="eastAsia" w:ascii="宋体" w:hAnsi="宋体" w:eastAsia="宋体" w:cs="宋体"/>
                <w:sz w:val="18"/>
                <w:szCs w:val="18"/>
              </w:rPr>
              <w:t>农村学前免费教育</w:t>
            </w:r>
          </w:p>
        </w:tc>
        <w:tc>
          <w:tcPr>
            <w:tcW w:w="1276" w:type="dxa"/>
            <w:tcBorders>
              <w:top w:val="nil"/>
              <w:left w:val="nil"/>
              <w:bottom w:val="single" w:color="auto" w:sz="4" w:space="0"/>
              <w:right w:val="single" w:color="auto" w:sz="4" w:space="0"/>
            </w:tcBorders>
            <w:noWrap/>
            <w:vAlign w:val="center"/>
          </w:tcPr>
          <w:p w14:paraId="10BA8DD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5FE1540A">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6261EE0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61F5800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223E2FB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6B953C6">
            <w:pPr>
              <w:jc w:val="center"/>
              <w:rPr>
                <w:rFonts w:hint="eastAsia" w:ascii="宋体" w:hAnsi="宋体" w:eastAsia="宋体" w:cs="宋体"/>
                <w:sz w:val="18"/>
                <w:szCs w:val="18"/>
              </w:rPr>
            </w:pPr>
          </w:p>
        </w:tc>
      </w:tr>
      <w:tr w14:paraId="418F1A9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12209C5A">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81ADB33">
            <w:pPr>
              <w:jc w:val="center"/>
              <w:rPr>
                <w:rFonts w:hint="eastAsia" w:ascii="宋体" w:hAnsi="宋体" w:eastAsia="宋体" w:cs="宋体"/>
                <w:sz w:val="18"/>
                <w:szCs w:val="18"/>
              </w:rPr>
            </w:pPr>
          </w:p>
        </w:tc>
        <w:tc>
          <w:tcPr>
            <w:tcW w:w="1418" w:type="dxa"/>
            <w:tcBorders>
              <w:top w:val="nil"/>
              <w:left w:val="single" w:color="auto" w:sz="4" w:space="0"/>
              <w:bottom w:val="single" w:color="auto" w:sz="4" w:space="0"/>
              <w:right w:val="single" w:color="auto" w:sz="4" w:space="0"/>
            </w:tcBorders>
            <w:noWrap/>
            <w:vAlign w:val="center"/>
          </w:tcPr>
          <w:p w14:paraId="0957F75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青年教师培养考核覆盖率</w:t>
            </w:r>
          </w:p>
        </w:tc>
        <w:tc>
          <w:tcPr>
            <w:tcW w:w="1276" w:type="dxa"/>
            <w:tcBorders>
              <w:top w:val="nil"/>
              <w:left w:val="nil"/>
              <w:bottom w:val="single" w:color="auto" w:sz="4" w:space="0"/>
              <w:right w:val="single" w:color="auto" w:sz="4" w:space="0"/>
            </w:tcBorders>
            <w:noWrap/>
            <w:vAlign w:val="center"/>
          </w:tcPr>
          <w:p w14:paraId="0EB886D8">
            <w:pPr>
              <w:jc w:val="center"/>
              <w:rPr>
                <w:rFonts w:hint="eastAsia" w:ascii="宋体" w:hAnsi="宋体" w:eastAsia="宋体" w:cs="宋体"/>
                <w:sz w:val="18"/>
                <w:szCs w:val="18"/>
              </w:rPr>
            </w:pPr>
            <w:r>
              <w:rPr>
                <w:rFonts w:hint="eastAsia" w:ascii="宋体" w:hAnsi="宋体" w:eastAsia="宋体" w:cs="宋体"/>
                <w:sz w:val="18"/>
                <w:szCs w:val="18"/>
              </w:rPr>
              <w:t>=95%</w:t>
            </w:r>
          </w:p>
        </w:tc>
        <w:tc>
          <w:tcPr>
            <w:tcW w:w="1842" w:type="dxa"/>
            <w:tcBorders>
              <w:top w:val="nil"/>
              <w:left w:val="nil"/>
              <w:bottom w:val="single" w:color="auto" w:sz="4" w:space="0"/>
              <w:right w:val="single" w:color="auto" w:sz="4" w:space="0"/>
            </w:tcBorders>
            <w:noWrap/>
            <w:vAlign w:val="center"/>
          </w:tcPr>
          <w:p w14:paraId="5819D5D3">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722CD2D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3CA0B3F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C24869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04CE8E3">
            <w:pPr>
              <w:jc w:val="center"/>
              <w:rPr>
                <w:rFonts w:hint="eastAsia" w:ascii="宋体" w:hAnsi="宋体" w:eastAsia="宋体" w:cs="宋体"/>
                <w:sz w:val="18"/>
                <w:szCs w:val="18"/>
              </w:rPr>
            </w:pPr>
          </w:p>
        </w:tc>
      </w:tr>
      <w:tr w14:paraId="288A506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9FCE42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5CAAF2C">
            <w:pPr>
              <w:jc w:val="center"/>
              <w:rPr>
                <w:rFonts w:hint="eastAsia" w:ascii="宋体" w:hAnsi="宋体" w:eastAsia="宋体" w:cs="宋体"/>
                <w:sz w:val="18"/>
                <w:szCs w:val="18"/>
              </w:rPr>
            </w:pPr>
          </w:p>
        </w:tc>
        <w:tc>
          <w:tcPr>
            <w:tcW w:w="1418" w:type="dxa"/>
            <w:tcBorders>
              <w:top w:val="nil"/>
              <w:left w:val="single" w:color="auto" w:sz="4" w:space="0"/>
              <w:bottom w:val="single" w:color="auto" w:sz="4" w:space="0"/>
              <w:right w:val="single" w:color="auto" w:sz="4" w:space="0"/>
            </w:tcBorders>
            <w:noWrap/>
            <w:vAlign w:val="center"/>
          </w:tcPr>
          <w:p w14:paraId="2BAF0B7E">
            <w:pPr>
              <w:jc w:val="center"/>
              <w:rPr>
                <w:rFonts w:hint="eastAsia" w:ascii="宋体" w:hAnsi="宋体" w:eastAsia="宋体" w:cs="宋体"/>
                <w:sz w:val="18"/>
                <w:szCs w:val="18"/>
              </w:rPr>
            </w:pPr>
            <w:r>
              <w:rPr>
                <w:rFonts w:hint="eastAsia" w:ascii="宋体" w:hAnsi="宋体" w:eastAsia="宋体" w:cs="宋体"/>
                <w:sz w:val="18"/>
                <w:szCs w:val="18"/>
              </w:rPr>
              <w:t>教师培训合格率</w:t>
            </w:r>
          </w:p>
        </w:tc>
        <w:tc>
          <w:tcPr>
            <w:tcW w:w="1276" w:type="dxa"/>
            <w:tcBorders>
              <w:top w:val="nil"/>
              <w:left w:val="nil"/>
              <w:bottom w:val="single" w:color="auto" w:sz="4" w:space="0"/>
              <w:right w:val="single" w:color="auto" w:sz="4" w:space="0"/>
            </w:tcBorders>
            <w:noWrap/>
            <w:vAlign w:val="center"/>
          </w:tcPr>
          <w:p w14:paraId="7558B8D0">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67B6EDCF">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6FCE0DEA">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4EF8C38A">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387276F3">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1A4A1EBF">
            <w:pPr>
              <w:jc w:val="center"/>
              <w:rPr>
                <w:rFonts w:hint="eastAsia" w:ascii="宋体" w:hAnsi="宋体" w:eastAsia="宋体" w:cs="宋体"/>
                <w:sz w:val="18"/>
                <w:szCs w:val="18"/>
              </w:rPr>
            </w:pPr>
          </w:p>
        </w:tc>
      </w:tr>
      <w:tr w14:paraId="07CDE0B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D3ADF59">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36973D10">
            <w:pPr>
              <w:jc w:val="center"/>
              <w:rPr>
                <w:rFonts w:hint="eastAsia" w:ascii="宋体" w:hAnsi="宋体" w:eastAsia="宋体" w:cs="宋体"/>
                <w:sz w:val="18"/>
                <w:szCs w:val="18"/>
              </w:rPr>
            </w:pPr>
          </w:p>
        </w:tc>
        <w:tc>
          <w:tcPr>
            <w:tcW w:w="1418" w:type="dxa"/>
            <w:tcBorders>
              <w:top w:val="nil"/>
              <w:left w:val="single" w:color="auto" w:sz="4" w:space="0"/>
              <w:bottom w:val="single" w:color="auto" w:sz="4" w:space="0"/>
              <w:right w:val="single" w:color="auto" w:sz="4" w:space="0"/>
            </w:tcBorders>
            <w:noWrap/>
            <w:vAlign w:val="center"/>
          </w:tcPr>
          <w:p w14:paraId="630E5F95">
            <w:pPr>
              <w:jc w:val="center"/>
              <w:rPr>
                <w:rFonts w:hint="eastAsia" w:ascii="宋体" w:hAnsi="宋体" w:eastAsia="宋体" w:cs="宋体"/>
                <w:sz w:val="18"/>
                <w:szCs w:val="18"/>
              </w:rPr>
            </w:pPr>
            <w:r>
              <w:rPr>
                <w:rFonts w:hint="eastAsia" w:ascii="宋体" w:hAnsi="宋体" w:eastAsia="宋体" w:cs="宋体"/>
                <w:sz w:val="18"/>
                <w:szCs w:val="18"/>
              </w:rPr>
              <w:t>办学条件达标率</w:t>
            </w:r>
          </w:p>
        </w:tc>
        <w:tc>
          <w:tcPr>
            <w:tcW w:w="1276" w:type="dxa"/>
            <w:tcBorders>
              <w:top w:val="nil"/>
              <w:left w:val="nil"/>
              <w:bottom w:val="single" w:color="auto" w:sz="4" w:space="0"/>
              <w:right w:val="single" w:color="auto" w:sz="4" w:space="0"/>
            </w:tcBorders>
            <w:noWrap/>
            <w:vAlign w:val="center"/>
          </w:tcPr>
          <w:p w14:paraId="3975CFF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842" w:type="dxa"/>
            <w:tcBorders>
              <w:top w:val="nil"/>
              <w:left w:val="nil"/>
              <w:bottom w:val="single" w:color="auto" w:sz="4" w:space="0"/>
              <w:right w:val="single" w:color="auto" w:sz="4" w:space="0"/>
            </w:tcBorders>
            <w:noWrap/>
            <w:vAlign w:val="center"/>
          </w:tcPr>
          <w:p w14:paraId="77B8F639">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0DCAD65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noWrap/>
            <w:vAlign w:val="center"/>
          </w:tcPr>
          <w:p w14:paraId="398D247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6BCBBC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17D87C1">
            <w:pPr>
              <w:jc w:val="center"/>
              <w:rPr>
                <w:rFonts w:hint="eastAsia" w:ascii="宋体" w:hAnsi="宋体" w:eastAsia="宋体" w:cs="宋体"/>
                <w:sz w:val="18"/>
                <w:szCs w:val="18"/>
              </w:rPr>
            </w:pPr>
          </w:p>
        </w:tc>
      </w:tr>
      <w:tr w14:paraId="3EEF57E4">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0319729">
            <w:pPr>
              <w:jc w:val="center"/>
              <w:rPr>
                <w:rFonts w:hint="eastAsia" w:ascii="宋体" w:hAnsi="宋体" w:eastAsia="宋体" w:cs="宋体"/>
                <w:sz w:val="18"/>
                <w:szCs w:val="18"/>
              </w:rPr>
            </w:pPr>
            <w:r>
              <w:rPr>
                <w:rFonts w:hint="eastAsia" w:ascii="宋体" w:hAnsi="宋体" w:eastAsia="宋体" w:cs="宋体"/>
                <w:sz w:val="18"/>
                <w:szCs w:val="18"/>
              </w:rPr>
              <w:t>服务对象满意度</w:t>
            </w:r>
          </w:p>
        </w:tc>
        <w:tc>
          <w:tcPr>
            <w:tcW w:w="1417" w:type="dxa"/>
            <w:tcBorders>
              <w:top w:val="nil"/>
              <w:left w:val="nil"/>
              <w:bottom w:val="single" w:color="auto" w:sz="4" w:space="0"/>
              <w:right w:val="single" w:color="auto" w:sz="4" w:space="0"/>
            </w:tcBorders>
            <w:noWrap/>
            <w:vAlign w:val="center"/>
          </w:tcPr>
          <w:p w14:paraId="09809D7F">
            <w:pPr>
              <w:jc w:val="center"/>
              <w:rPr>
                <w:rFonts w:hint="eastAsia" w:ascii="宋体" w:hAnsi="宋体" w:eastAsia="宋体" w:cs="宋体"/>
                <w:sz w:val="18"/>
                <w:szCs w:val="18"/>
              </w:rPr>
            </w:pPr>
            <w:r>
              <w:rPr>
                <w:rFonts w:hint="eastAsia" w:ascii="宋体" w:hAnsi="宋体" w:eastAsia="宋体" w:cs="宋体"/>
                <w:sz w:val="18"/>
                <w:szCs w:val="18"/>
              </w:rPr>
              <w:t>满意度指标</w:t>
            </w:r>
          </w:p>
        </w:tc>
        <w:tc>
          <w:tcPr>
            <w:tcW w:w="1418" w:type="dxa"/>
            <w:tcBorders>
              <w:top w:val="nil"/>
              <w:left w:val="single" w:color="auto" w:sz="4" w:space="0"/>
              <w:bottom w:val="single" w:color="auto" w:sz="4" w:space="0"/>
              <w:right w:val="single" w:color="auto" w:sz="4" w:space="0"/>
            </w:tcBorders>
            <w:noWrap/>
            <w:vAlign w:val="center"/>
          </w:tcPr>
          <w:p w14:paraId="2626BAF3">
            <w:pPr>
              <w:jc w:val="center"/>
              <w:rPr>
                <w:rFonts w:hint="eastAsia" w:ascii="宋体" w:hAnsi="宋体" w:eastAsia="宋体" w:cs="宋体"/>
                <w:sz w:val="18"/>
                <w:szCs w:val="18"/>
              </w:rPr>
            </w:pPr>
            <w:r>
              <w:rPr>
                <w:rFonts w:hint="eastAsia" w:ascii="宋体" w:hAnsi="宋体" w:eastAsia="宋体" w:cs="宋体"/>
                <w:sz w:val="18"/>
                <w:szCs w:val="18"/>
              </w:rPr>
              <w:t>家长满意度</w:t>
            </w:r>
          </w:p>
        </w:tc>
        <w:tc>
          <w:tcPr>
            <w:tcW w:w="1276" w:type="dxa"/>
            <w:tcBorders>
              <w:top w:val="nil"/>
              <w:left w:val="nil"/>
              <w:bottom w:val="single" w:color="auto" w:sz="4" w:space="0"/>
              <w:right w:val="single" w:color="auto" w:sz="4" w:space="0"/>
            </w:tcBorders>
            <w:noWrap/>
            <w:vAlign w:val="center"/>
          </w:tcPr>
          <w:p w14:paraId="36DECBC5">
            <w:pPr>
              <w:jc w:val="center"/>
              <w:rPr>
                <w:rFonts w:hint="eastAsia" w:ascii="宋体" w:hAnsi="宋体" w:eastAsia="宋体" w:cs="宋体"/>
                <w:sz w:val="18"/>
                <w:szCs w:val="18"/>
              </w:rPr>
            </w:pPr>
            <w:r>
              <w:rPr>
                <w:rFonts w:hint="eastAsia" w:ascii="宋体" w:hAnsi="宋体" w:eastAsia="宋体" w:cs="宋体"/>
                <w:sz w:val="18"/>
                <w:szCs w:val="18"/>
              </w:rPr>
              <w:t>&gt;=95%</w:t>
            </w:r>
          </w:p>
        </w:tc>
        <w:tc>
          <w:tcPr>
            <w:tcW w:w="1842" w:type="dxa"/>
            <w:tcBorders>
              <w:top w:val="nil"/>
              <w:left w:val="nil"/>
              <w:bottom w:val="single" w:color="auto" w:sz="4" w:space="0"/>
              <w:right w:val="single" w:color="auto" w:sz="4" w:space="0"/>
            </w:tcBorders>
            <w:noWrap/>
            <w:vAlign w:val="center"/>
          </w:tcPr>
          <w:p w14:paraId="1C3C0472">
            <w:pPr>
              <w:rPr>
                <w:rFonts w:hint="eastAsia" w:ascii="宋体" w:hAnsi="宋体" w:eastAsia="宋体" w:cs="宋体"/>
                <w:sz w:val="18"/>
                <w:szCs w:val="18"/>
              </w:rPr>
            </w:pPr>
            <w:r>
              <w:rPr>
                <w:rFonts w:hint="eastAsia" w:ascii="宋体" w:hAnsi="宋体" w:eastAsia="宋体" w:cs="宋体"/>
                <w:sz w:val="18"/>
                <w:szCs w:val="18"/>
              </w:rPr>
              <w:t>年度工作计划</w:t>
            </w:r>
          </w:p>
        </w:tc>
        <w:tc>
          <w:tcPr>
            <w:tcW w:w="993" w:type="dxa"/>
            <w:tcBorders>
              <w:top w:val="nil"/>
              <w:left w:val="nil"/>
              <w:bottom w:val="single" w:color="auto" w:sz="4" w:space="0"/>
              <w:right w:val="single" w:color="auto" w:sz="4" w:space="0"/>
            </w:tcBorders>
            <w:noWrap/>
            <w:vAlign w:val="center"/>
          </w:tcPr>
          <w:p w14:paraId="45834A4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992" w:type="dxa"/>
            <w:tcBorders>
              <w:top w:val="nil"/>
              <w:left w:val="nil"/>
              <w:bottom w:val="single" w:color="auto" w:sz="4" w:space="0"/>
              <w:right w:val="single" w:color="auto" w:sz="4" w:space="0"/>
            </w:tcBorders>
            <w:noWrap/>
            <w:vAlign w:val="center"/>
          </w:tcPr>
          <w:p w14:paraId="58C65159">
            <w:pPr>
              <w:jc w:val="center"/>
              <w:rPr>
                <w:rFonts w:hint="eastAsia" w:ascii="宋体" w:hAnsi="宋体" w:eastAsia="宋体" w:cs="宋体"/>
                <w:sz w:val="18"/>
                <w:szCs w:val="18"/>
              </w:rPr>
            </w:pPr>
            <w:r>
              <w:rPr>
                <w:rFonts w:hint="eastAsia" w:ascii="宋体" w:hAnsi="宋体" w:eastAsia="宋体" w:cs="宋体"/>
                <w:sz w:val="18"/>
                <w:szCs w:val="18"/>
              </w:rPr>
              <w:t>=95%</w:t>
            </w:r>
          </w:p>
        </w:tc>
        <w:tc>
          <w:tcPr>
            <w:tcW w:w="720" w:type="dxa"/>
            <w:tcBorders>
              <w:top w:val="nil"/>
              <w:left w:val="nil"/>
              <w:bottom w:val="single" w:color="auto" w:sz="4" w:space="0"/>
              <w:right w:val="single" w:color="auto" w:sz="4" w:space="0"/>
            </w:tcBorders>
            <w:noWrap/>
            <w:vAlign w:val="center"/>
          </w:tcPr>
          <w:p w14:paraId="4B2BBA51">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84" w:type="dxa"/>
            <w:tcBorders>
              <w:top w:val="nil"/>
              <w:left w:val="nil"/>
              <w:bottom w:val="nil"/>
              <w:right w:val="nil"/>
            </w:tcBorders>
            <w:noWrap/>
            <w:vAlign w:val="center"/>
          </w:tcPr>
          <w:p w14:paraId="6797A059">
            <w:pPr>
              <w:jc w:val="center"/>
              <w:rPr>
                <w:rFonts w:hint="eastAsia" w:ascii="宋体" w:hAnsi="宋体" w:eastAsia="宋体" w:cs="宋体"/>
                <w:sz w:val="18"/>
                <w:szCs w:val="18"/>
              </w:rPr>
            </w:pPr>
          </w:p>
        </w:tc>
      </w:tr>
    </w:tbl>
    <w:p w14:paraId="7F0B8C55">
      <w:pPr>
        <w:jc w:val="center"/>
        <w:rPr>
          <w:rFonts w:hint="eastAsia" w:ascii="宋体" w:hAnsi="宋体" w:eastAsia="宋体" w:cs="宋体"/>
          <w:b/>
          <w:bCs/>
          <w:sz w:val="18"/>
          <w:szCs w:val="18"/>
        </w:rPr>
      </w:pPr>
      <w:r>
        <w:rPr>
          <w:rFonts w:hint="eastAsia" w:ascii="宋体" w:hAnsi="宋体" w:eastAsia="宋体" w:cs="宋体"/>
          <w:b/>
          <w:bCs/>
          <w:sz w:val="18"/>
          <w:szCs w:val="18"/>
        </w:rPr>
        <w:br w:type="page"/>
      </w:r>
      <w:bookmarkEnd w:id="0"/>
    </w:p>
    <w:p w14:paraId="7913962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F7471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312D1DB4">
      <w:pPr>
        <w:spacing w:after="0" w:line="240" w:lineRule="auto"/>
        <w:ind w:firstLine="640" w:firstLineChars="200"/>
        <w:rPr>
          <w:rFonts w:hint="eastAsia" w:ascii="仿宋_GB2312" w:eastAsia="仿宋_GB2312"/>
          <w:sz w:val="32"/>
          <w:szCs w:val="32"/>
          <w:lang w:eastAsia="zh-CN"/>
        </w:rPr>
      </w:pPr>
    </w:p>
    <w:p w14:paraId="2AD9490D">
      <w:pPr>
        <w:rPr>
          <w:rFonts w:hint="eastAsia"/>
          <w:lang w:eastAsia="zh-CN"/>
        </w:rPr>
      </w:pPr>
      <w:r>
        <w:rPr>
          <w:sz w:val="0"/>
          <w:szCs w:val="0"/>
          <w:lang w:eastAsia="zh-CN"/>
        </w:rPr>
        <w:br w:type="page"/>
      </w:r>
    </w:p>
    <w:p w14:paraId="6CD4363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430A2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8CAECE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EFD94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B6F2D7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33022A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8AEDE4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79304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E14ABF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14CB6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ACB6D7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932E8D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11B309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B23B1F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6F82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7E428E7">
      <w:pPr>
        <w:rPr>
          <w:rFonts w:hint="eastAsia"/>
          <w:lang w:eastAsia="zh-CN"/>
        </w:rPr>
      </w:pPr>
      <w:r>
        <w:rPr>
          <w:sz w:val="0"/>
          <w:szCs w:val="0"/>
          <w:lang w:eastAsia="zh-CN"/>
        </w:rPr>
        <w:br w:type="page"/>
      </w:r>
    </w:p>
    <w:p w14:paraId="2701F3C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10F19BD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1FF467B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E3AA9F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B968F0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9FA62A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5A7695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2815C8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7C6FDF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80A71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B261A5"/>
    <w:rsid w:val="000774BF"/>
    <w:rsid w:val="002F16A1"/>
    <w:rsid w:val="003B23CF"/>
    <w:rsid w:val="005156D2"/>
    <w:rsid w:val="00600784"/>
    <w:rsid w:val="006157DC"/>
    <w:rsid w:val="00773C88"/>
    <w:rsid w:val="00833225"/>
    <w:rsid w:val="00966BD3"/>
    <w:rsid w:val="00A422CE"/>
    <w:rsid w:val="00AF7290"/>
    <w:rsid w:val="00B15FE6"/>
    <w:rsid w:val="00B261A5"/>
    <w:rsid w:val="00C93177"/>
    <w:rsid w:val="00D17CDA"/>
    <w:rsid w:val="00E53792"/>
    <w:rsid w:val="00EF7994"/>
    <w:rsid w:val="00F20F68"/>
    <w:rsid w:val="00FF1B11"/>
    <w:rsid w:val="3AED3D86"/>
    <w:rsid w:val="4489238C"/>
    <w:rsid w:val="50A53D44"/>
    <w:rsid w:val="55552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5478</Words>
  <Characters>6123</Characters>
  <Lines>224</Lines>
  <Paragraphs>221</Paragraphs>
  <TotalTime>19</TotalTime>
  <ScaleCrop>false</ScaleCrop>
  <LinksUpToDate>false</LinksUpToDate>
  <CharactersWithSpaces>6133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2025-09-02T03:06:00Z</dcterms:created>
  <dc:creator>ldan</dc:creator>
  <cp:lastModifiedBy>11点28分不打烊</cp:lastModifiedBy>
  <dcterms:modified xsi:type="dcterms:W3CDTF">2025-11-20T04:21:23Z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5CB337CE827E4F3B9B174CE9232305AA_12</vt:lpwstr>
  </property>
  <property fmtid="{D5CDD505-2E9C-101B-9397-08002B2CF9AE}" pid="4" name="KSOTemplateDocerSaveRecord">
    <vt:lpwstr>eyJoZGlkIjoiNTlkZWQ3ZWZiOGVhYTk1OTExMjBmYWQ4ZjAxNTk5MTciLCJ1c2VySWQiOiI5MTU3NDI2MDkifQ==</vt:lpwstr>
  </property>
</Properties>
</file>