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66694">
      <w:pPr>
        <w:spacing w:after="0" w:line="240" w:lineRule="auto"/>
        <w:rPr>
          <w:rFonts w:ascii="宋体" w:eastAsia="宋体"/>
          <w:sz w:val="32"/>
          <w:szCs w:val="32"/>
        </w:rPr>
      </w:pPr>
    </w:p>
    <w:p w14:paraId="1F9A263E">
      <w:pPr>
        <w:spacing w:after="0" w:line="240" w:lineRule="auto"/>
        <w:rPr>
          <w:rFonts w:ascii="宋体" w:eastAsia="宋体"/>
          <w:sz w:val="44"/>
          <w:szCs w:val="44"/>
        </w:rPr>
      </w:pPr>
    </w:p>
    <w:p w14:paraId="77B9D044">
      <w:pPr>
        <w:spacing w:after="0" w:line="240" w:lineRule="auto"/>
        <w:rPr>
          <w:rFonts w:ascii="宋体" w:eastAsia="宋体"/>
          <w:sz w:val="44"/>
          <w:szCs w:val="44"/>
        </w:rPr>
      </w:pPr>
    </w:p>
    <w:p w14:paraId="2E77C64D">
      <w:pPr>
        <w:spacing w:after="0" w:line="240" w:lineRule="auto"/>
        <w:rPr>
          <w:rFonts w:ascii="宋体" w:eastAsia="宋体"/>
          <w:sz w:val="44"/>
          <w:szCs w:val="44"/>
        </w:rPr>
      </w:pPr>
    </w:p>
    <w:p w14:paraId="43FF4CB7">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昌吉市第二小学</w:t>
      </w:r>
    </w:p>
    <w:p w14:paraId="342EF308">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82E38A0">
      <w:pPr>
        <w:rPr>
          <w:lang w:eastAsia="zh-CN"/>
        </w:rPr>
      </w:pPr>
      <w:r>
        <w:rPr>
          <w:sz w:val="0"/>
          <w:szCs w:val="0"/>
          <w:lang w:eastAsia="zh-CN"/>
        </w:rPr>
        <w:br w:type="page"/>
      </w:r>
    </w:p>
    <w:p w14:paraId="703F06DF">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3CF7946B">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105AD02">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1CADAED">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E3D8E96">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A9409A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C431A9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55F10C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B1395E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96AC989">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0C267F6">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D1AFE0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F8FBB6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814C04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F21FCD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5EDF78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53F03E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D85EF1E">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63313E9">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08FAC75">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2D7E40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F541DD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90887A8">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4922B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BC62C96">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CA9495C">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5704A94">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FE9E8D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B96F24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8D943A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205C19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1E0F98E">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D2707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3046D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291A6AE4">
      <w:pPr>
        <w:rPr>
          <w:lang w:eastAsia="zh-CN"/>
        </w:rPr>
      </w:pPr>
      <w:r>
        <w:rPr>
          <w:sz w:val="0"/>
          <w:szCs w:val="0"/>
          <w:lang w:eastAsia="zh-CN"/>
        </w:rPr>
        <w:br w:type="page"/>
      </w:r>
    </w:p>
    <w:p w14:paraId="75837D13">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5062305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61E596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3FC31AB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AE531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昌吉市第二小学2024年度，实有人数180人，其中：在职人员92人，较上年无变化；离休人员0人，较上年无变化；退休人员88人，增加8人。</w:t>
      </w:r>
    </w:p>
    <w:p w14:paraId="05B661B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昌吉市第二小学无下属预算单位，下设5个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室，分别是：教务处、德育处、总务处、工会、后勤部。</w:t>
      </w:r>
    </w:p>
    <w:p w14:paraId="40CEB9EA">
      <w:pPr>
        <w:rPr>
          <w:lang w:eastAsia="zh-CN"/>
        </w:rPr>
      </w:pPr>
      <w:r>
        <w:rPr>
          <w:sz w:val="0"/>
          <w:szCs w:val="0"/>
          <w:lang w:eastAsia="zh-CN"/>
        </w:rPr>
        <w:br w:type="page"/>
      </w:r>
    </w:p>
    <w:p w14:paraId="55BF0E16">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D8C582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2C1EBB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2024年度收入总计2,409.18万元，其中：本年收入合计2,366.27万元，使用非财政拨款结余（含专用结余）0.00万元，年初结转和结余42.92万元。</w:t>
      </w:r>
    </w:p>
    <w:p w14:paraId="31FF22C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2024年度支出总计2,409.18万元，其中：本年支出合计2,388.34万元，结余分配0.00万元，年末结转和结余20.84万元。</w:t>
      </w:r>
    </w:p>
    <w:p w14:paraId="23E63B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收入支出总体与上年相比，增加89.79万元，增长3.87%，主要原因是：单位本年教师薪资</w:t>
      </w:r>
      <w:r>
        <w:rPr>
          <w:rFonts w:hint="eastAsia" w:ascii="仿宋_GB2312" w:eastAsia="仿宋_GB2312"/>
          <w:sz w:val="32"/>
          <w:szCs w:val="32"/>
          <w:lang w:eastAsia="zh-CN"/>
        </w:rPr>
        <w:t>调增，基本工资、津贴补贴、绩效工资等人员经费增加</w:t>
      </w:r>
      <w:r>
        <w:rPr>
          <w:rFonts w:ascii="仿宋_GB2312" w:eastAsia="仿宋_GB2312"/>
          <w:sz w:val="32"/>
          <w:szCs w:val="32"/>
          <w:lang w:eastAsia="zh-CN"/>
        </w:rPr>
        <w:t>。</w:t>
      </w:r>
    </w:p>
    <w:p w14:paraId="5281DC1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AE48F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本年收入2,366.27万元，其中：财政拨款收入2,232.86万元,占94.36%；上级补助收入0.00万元,占0.00%；事业收入0.00万元，占0.00%；经营收入0.00万元,占0.00%；附属单位上缴收入0.00万元，占0.00%；其他收入133.41万元，占5.64%。</w:t>
      </w:r>
    </w:p>
    <w:p w14:paraId="0D6EAA6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698D25C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本年支出2,388.34万元，其中：基本支出2,352.46万元，占98.50%；项目支出35.88万元，占1.50%；上缴上级支出0.00万元，占0.00%；经营支出0.00万元，占0.00%；对附属单位补助支出0.00万元，占0.00%。</w:t>
      </w:r>
    </w:p>
    <w:p w14:paraId="66F06CF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090EF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2,232.86万元，其中：年初财政拨款结转和结余0.00万元，本年财政拨款收入2,232.86万元。财政拨款支出总计2,232.86万元，其中：年末财政拨款结转和结余0.00万元，本年财政拨款支出2,232.86万元。</w:t>
      </w:r>
    </w:p>
    <w:p w14:paraId="433C708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财政拨款收入支出总体与上年相比，增加31.16万元，增长1.42%，主要原因是：单位本年教师薪资</w:t>
      </w:r>
      <w:r>
        <w:rPr>
          <w:rFonts w:hint="eastAsia" w:ascii="仿宋_GB2312" w:eastAsia="仿宋_GB2312"/>
          <w:sz w:val="32"/>
          <w:szCs w:val="32"/>
          <w:lang w:eastAsia="zh-CN"/>
        </w:rPr>
        <w:t>调增，基本工资、津贴补贴、绩效工资等人员经费增加</w:t>
      </w:r>
      <w:r>
        <w:rPr>
          <w:rFonts w:ascii="仿宋_GB2312" w:eastAsia="仿宋_GB2312"/>
          <w:sz w:val="32"/>
          <w:szCs w:val="32"/>
          <w:lang w:eastAsia="zh-CN"/>
        </w:rPr>
        <w:t>。与年初预算相比，年初预算数1,894.93万元，决算数2,232.86万元，预决算差异率17.83%，主要原因是：年中追加义务教育薄弱环节改善能力提升资金建心理咨询室项目经费、义务教育补助经费预算中央直达资金广播系统改造项目经费、公用类保基本民生支出支付校园广播系统改造项目经费。</w:t>
      </w:r>
    </w:p>
    <w:p w14:paraId="00B58A1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F7E694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F9A482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2024年度一般公共预算财政拨款支出2,231.09万元，占本年支出合计的93.42%。与上年相比，增加80.52万元，增长3.74%，主要原因是：单位本年教师薪资</w:t>
      </w:r>
      <w:r>
        <w:rPr>
          <w:rFonts w:hint="eastAsia" w:ascii="仿宋_GB2312" w:eastAsia="仿宋_GB2312"/>
          <w:sz w:val="32"/>
          <w:szCs w:val="32"/>
          <w:lang w:eastAsia="zh-CN"/>
        </w:rPr>
        <w:t>调增，基本工资、津贴补贴、绩效工资等人员经费增加</w:t>
      </w:r>
      <w:r>
        <w:rPr>
          <w:rFonts w:ascii="仿宋_GB2312" w:eastAsia="仿宋_GB2312"/>
          <w:sz w:val="32"/>
          <w:szCs w:val="32"/>
          <w:lang w:eastAsia="zh-CN"/>
        </w:rPr>
        <w:t>。与年初预算相比，年初预算数1,894.93万元，决算数2,231.09万元，预决算差异率17.74%，主要原因是：年中追加义务教育薄弱环节改善能力提升资金建心理咨询室项目经费、义务教育补助经费预算中央直达资金广播系统改造项目经费、公用类保基本民生支出支付校园广播系统改造项目经费。</w:t>
      </w:r>
    </w:p>
    <w:p w14:paraId="1CCEC04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2B45CC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教育支出（类）2,159.95万元，占96.81%。</w:t>
      </w:r>
    </w:p>
    <w:p w14:paraId="1C5751F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社会保障和就业支出（类）71.14万元，占3.19%。</w:t>
      </w:r>
    </w:p>
    <w:p w14:paraId="5CEF9817">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6EAA88C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1、教育支出（类）普通教育（款）小学教育（项）：支出决算数为2,159.95万元，比上年决算增加25.96万元，增长1.22%，主要原因是：单位本年教师薪资</w:t>
      </w:r>
      <w:r>
        <w:rPr>
          <w:rFonts w:hint="eastAsia" w:ascii="仿宋_GB2312" w:eastAsia="仿宋_GB2312"/>
          <w:sz w:val="32"/>
          <w:szCs w:val="32"/>
          <w:lang w:eastAsia="zh-CN"/>
        </w:rPr>
        <w:t>调增，基本工资、津贴补贴、绩效工资等人员经费增加</w:t>
      </w:r>
      <w:r>
        <w:rPr>
          <w:rFonts w:ascii="仿宋_GB2312" w:eastAsia="仿宋_GB2312"/>
          <w:sz w:val="32"/>
          <w:szCs w:val="32"/>
          <w:lang w:eastAsia="zh-CN"/>
        </w:rPr>
        <w:t>。</w:t>
      </w:r>
    </w:p>
    <w:p w14:paraId="1F4D9BF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71.14万元，比上年决算增加54.56万元，增长329.07%，主要原因是：单位本年一次性职业年金缴费较上年增加。</w:t>
      </w:r>
    </w:p>
    <w:p w14:paraId="7F647D8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D30DC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2,195.21万元，其中：人员经费2,019.01万元，包括：基本工资、津贴补贴、奖金、绩效工资、机关事业单位基本养老保险缴费、职业年金缴费、职工基本医疗保险缴费、其他社会保障缴费、住房公积金、其他工资福利支出、退休费、助学金、奖励金和其他对个人和家庭的补助。</w:t>
      </w:r>
    </w:p>
    <w:p w14:paraId="669415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公用经费176.20万元，包括：办公费、手续费、水费、电费、邮电费、取暖费、物业管理费、维修（护）费、劳务费、其他交通费用、税金及附加费用和办公设备购置。</w:t>
      </w:r>
    </w:p>
    <w:p w14:paraId="59F9108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2FC05B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2024年度政府性基金预算财政拨款收入总计1.77万元，其中：年初结转和结余0.00万元，本年收入1.77万元。政府性基金预算财政拨款支出总计1.77万元，其中：年末结转和结余0.00万元，本年支出1.77万元。</w:t>
      </w:r>
    </w:p>
    <w:p w14:paraId="59738B2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1.77万元，增长100%，主要原因是：单位本年用于体育事业的彩票公益金经费增加。与年初预算相比，年初预算数0.00万元，决算数1.77万元，预决算差异率100%，主要原因是：年中追加用于体育事业的彩票公益金经费。</w:t>
      </w:r>
    </w:p>
    <w:p w14:paraId="40AD48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政府性基金预算财政拨款支出1.77万元。</w:t>
      </w:r>
    </w:p>
    <w:p w14:paraId="52C07CD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1.77万元，比上年决算增加1.77万元，增长100.00%，主要原因是：单位本年用于体育事业的彩票公益金经费增加。</w:t>
      </w:r>
    </w:p>
    <w:p w14:paraId="3D8194D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F374B4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74EC5F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240D8E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支出。其中：因公出国（境）费支出0.00万元,占0.00%，与上年相比无变化，主要原因是：</w:t>
      </w:r>
      <w:r>
        <w:rPr>
          <w:rFonts w:hint="eastAsia" w:ascii="仿宋_GB2312" w:eastAsia="仿宋_GB2312"/>
          <w:sz w:val="32"/>
          <w:szCs w:val="32"/>
          <w:lang w:eastAsia="zh-CN"/>
        </w:rPr>
        <w:t>我单位上年度与本年度均无因公出国（境）费</w:t>
      </w:r>
      <w:r>
        <w:rPr>
          <w:rFonts w:ascii="仿宋_GB2312" w:eastAsia="仿宋_GB2312"/>
          <w:sz w:val="32"/>
          <w:szCs w:val="32"/>
          <w:lang w:eastAsia="zh-CN"/>
        </w:rPr>
        <w:t>支出；公务用车购置及运行维护费支出0.00万元，占0.00%，与上年相比无变化，主要原因是：</w:t>
      </w:r>
      <w:r>
        <w:rPr>
          <w:rFonts w:hint="eastAsia" w:ascii="仿宋_GB2312" w:eastAsia="仿宋_GB2312"/>
          <w:sz w:val="32"/>
          <w:szCs w:val="32"/>
          <w:lang w:eastAsia="zh-CN"/>
        </w:rPr>
        <w:t>我单位上年度与本年度均无公务用车购置及运行维护费</w:t>
      </w:r>
      <w:r>
        <w:rPr>
          <w:rFonts w:ascii="仿宋_GB2312" w:eastAsia="仿宋_GB2312"/>
          <w:sz w:val="32"/>
          <w:szCs w:val="32"/>
          <w:lang w:eastAsia="zh-CN"/>
        </w:rPr>
        <w:t>支出；公务接待费支出0.00万元，占0.00%，与上年相比无变化，主要原因是：</w:t>
      </w:r>
      <w:r>
        <w:rPr>
          <w:rFonts w:hint="eastAsia" w:ascii="仿宋_GB2312" w:eastAsia="仿宋_GB2312"/>
          <w:sz w:val="32"/>
          <w:szCs w:val="32"/>
          <w:lang w:eastAsia="zh-CN"/>
        </w:rPr>
        <w:t>我单位上年度与本年度均无公务接待费</w:t>
      </w:r>
      <w:r>
        <w:rPr>
          <w:rFonts w:ascii="仿宋_GB2312" w:eastAsia="仿宋_GB2312"/>
          <w:sz w:val="32"/>
          <w:szCs w:val="32"/>
          <w:lang w:eastAsia="zh-CN"/>
        </w:rPr>
        <w:t>支出。</w:t>
      </w:r>
    </w:p>
    <w:p w14:paraId="3717922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E4EDF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52CDCE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我单位本年无公务用车运行维护费</w:t>
      </w:r>
      <w:bookmarkStart w:id="1" w:name="_GoBack"/>
      <w:bookmarkEnd w:id="1"/>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3C64CF6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0274C6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54E97BA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1C39882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6629A39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2024年度昌吉市第二小学单位（事业单位）公用经费支出177.97万元，比上年增加16.33万元，增长10.10%，主要原因是：单位本年水费、取暖费、维修（护）费较上年增加。</w:t>
      </w:r>
    </w:p>
    <w:p w14:paraId="667522F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36CAE1B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2024年度政府采购支出总额62.52万元，其中：政府采购货物支出13.07万元、政府采购工程支出29.88万元、政府采购服务支出19.57万元。</w:t>
      </w:r>
    </w:p>
    <w:p w14:paraId="204181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授予中小企业合同金额62.52万元，占政府采购支出总额的100.00%，其中：授予小微企业合同金额62.52万元，占政府采购支出总额的100.00%。</w:t>
      </w:r>
    </w:p>
    <w:p w14:paraId="0C21F1C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0D4659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截至2024年12月31日，房屋16,111.86平方米，价值2,007.49万元。</w:t>
      </w:r>
      <w:r>
        <w:rPr>
          <w:rFonts w:ascii="仿宋_GB2312" w:eastAsia="仿宋_GB2312"/>
          <w:sz w:val="32"/>
          <w:szCs w:val="32"/>
          <w:lang w:eastAsia="zh-CN"/>
        </w:rPr>
        <w:t>车辆1辆，价值5.00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为单位</w:t>
      </w:r>
      <w:r>
        <w:rPr>
          <w:rFonts w:ascii="仿宋_GB2312" w:eastAsia="仿宋_GB2312"/>
          <w:sz w:val="32"/>
          <w:szCs w:val="32"/>
          <w:lang w:eastAsia="zh-CN"/>
        </w:rPr>
        <w:t>校车;单价100万元（含）以上设备（不含车辆）0台（套）。</w:t>
      </w:r>
    </w:p>
    <w:p w14:paraId="5ED44E0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11C21C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根据预算绩效管理要求，本单位2024年度预算绩效管理形成整体支出绩效自评表1个，全年预算总额2,409.18万元，实际执行总额2,388.34万元；预算绩效评价项目1个，全年预算数</w:t>
      </w:r>
      <w:r>
        <w:rPr>
          <w:rFonts w:hint="eastAsia" w:ascii="仿宋_GB2312" w:eastAsia="仿宋_GB2312"/>
          <w:sz w:val="32"/>
          <w:szCs w:val="32"/>
          <w:lang w:eastAsia="zh-CN"/>
        </w:rPr>
        <w:t>1.77</w:t>
      </w:r>
      <w:r>
        <w:rPr>
          <w:rFonts w:ascii="仿宋_GB2312" w:eastAsia="仿宋_GB2312"/>
          <w:sz w:val="32"/>
          <w:szCs w:val="32"/>
          <w:lang w:eastAsia="zh-CN"/>
        </w:rPr>
        <w:t>万元，全年执行数</w:t>
      </w:r>
      <w:r>
        <w:rPr>
          <w:rFonts w:hint="eastAsia" w:ascii="仿宋_GB2312" w:eastAsia="仿宋_GB2312"/>
          <w:sz w:val="32"/>
          <w:szCs w:val="32"/>
          <w:lang w:eastAsia="zh-CN"/>
        </w:rPr>
        <w:t>1.77</w:t>
      </w:r>
      <w:r>
        <w:rPr>
          <w:rFonts w:ascii="仿宋_GB2312" w:eastAsia="仿宋_GB2312"/>
          <w:sz w:val="32"/>
          <w:szCs w:val="32"/>
          <w:lang w:eastAsia="zh-CN"/>
        </w:rPr>
        <w:t>万元。预算绩效管理取得的成效：一是保障学校正常运转</w:t>
      </w:r>
      <w:r>
        <w:rPr>
          <w:rFonts w:hint="eastAsia" w:ascii="仿宋_GB2312" w:eastAsia="仿宋_GB2312"/>
          <w:sz w:val="32"/>
          <w:szCs w:val="32"/>
          <w:lang w:eastAsia="zh-CN"/>
        </w:rPr>
        <w:t>,</w:t>
      </w:r>
      <w:r>
        <w:rPr>
          <w:rFonts w:ascii="仿宋_GB2312" w:eastAsia="仿宋_GB2312"/>
          <w:sz w:val="32"/>
          <w:szCs w:val="32"/>
          <w:lang w:eastAsia="zh-CN"/>
        </w:rPr>
        <w:t>改善学校基础设施使用环境</w:t>
      </w:r>
      <w:r>
        <w:rPr>
          <w:rFonts w:hint="eastAsia" w:ascii="仿宋_GB2312" w:eastAsia="仿宋_GB2312"/>
          <w:sz w:val="32"/>
          <w:szCs w:val="32"/>
          <w:lang w:eastAsia="zh-CN"/>
        </w:rPr>
        <w:t>;二是严格按照工作职责和相关文件依据，确保专款专用。</w:t>
      </w:r>
      <w:r>
        <w:rPr>
          <w:rFonts w:ascii="仿宋_GB2312" w:eastAsia="仿宋_GB2312"/>
          <w:sz w:val="32"/>
          <w:szCs w:val="32"/>
          <w:lang w:eastAsia="zh-CN"/>
        </w:rPr>
        <w:t>发现的问题及原因：</w:t>
      </w:r>
      <w:r>
        <w:rPr>
          <w:rFonts w:hint="eastAsia" w:ascii="仿宋_GB2312" w:eastAsia="仿宋_GB2312"/>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hint="eastAsia" w:ascii="仿宋_GB2312" w:eastAsia="仿宋_GB2312"/>
          <w:sz w:val="32"/>
          <w:szCs w:val="32"/>
          <w:lang w:eastAsia="zh-CN"/>
        </w:rPr>
        <w:t>术业有专攻，但预算绩效管理本身就和财务管理密不可分。因此可从各单位现有财务管理队伍中针对绩效管理培养专业人员，进一步强化绩效专管员责任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；二是定期对预算执行情况进行监督，使绩效目标监控与政府工作、财务工作挂钩，做到及时监控，及时控制，避免疏忽。具体附部门整体支出绩效自评表，项目支出绩效自评表和部门评价报告。</w:t>
      </w:r>
    </w:p>
    <w:p w14:paraId="5EC7E47E">
      <w:pPr>
        <w:rPr>
          <w:rFonts w:ascii="仿宋_GB2312" w:eastAsia="仿宋_GB2312"/>
          <w:sz w:val="32"/>
          <w:szCs w:val="32"/>
          <w:lang w:eastAsia="zh-CN"/>
        </w:rPr>
      </w:pPr>
      <w:r>
        <w:rPr>
          <w:rFonts w:ascii="仿宋_GB2312" w:eastAsia="仿宋_GB2312"/>
          <w:sz w:val="32"/>
          <w:szCs w:val="32"/>
          <w:lang w:eastAsia="zh-CN"/>
        </w:rPr>
        <w:br w:type="page"/>
      </w:r>
    </w:p>
    <w:p w14:paraId="3595B08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4AA132EF">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6F5BF147">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252BCE2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C903AA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昌吉市第二小学</w:t>
            </w:r>
          </w:p>
        </w:tc>
        <w:tc>
          <w:tcPr>
            <w:tcW w:w="284" w:type="dxa"/>
            <w:tcBorders>
              <w:top w:val="nil"/>
              <w:left w:val="nil"/>
              <w:bottom w:val="nil"/>
              <w:right w:val="nil"/>
            </w:tcBorders>
            <w:noWrap/>
            <w:vAlign w:val="center"/>
          </w:tcPr>
          <w:p w14:paraId="64280BDC">
            <w:pPr>
              <w:spacing w:after="0" w:line="240" w:lineRule="auto"/>
              <w:rPr>
                <w:rFonts w:hint="eastAsia" w:ascii="宋体" w:hAnsi="宋体" w:eastAsia="宋体" w:cs="宋体"/>
                <w:b/>
                <w:bCs/>
                <w:sz w:val="18"/>
                <w:szCs w:val="18"/>
                <w:lang w:eastAsia="zh-CN"/>
              </w:rPr>
            </w:pPr>
          </w:p>
        </w:tc>
      </w:tr>
      <w:tr w14:paraId="7E49E87B">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544226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11E7F18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0A299F6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42" w:type="dxa"/>
            <w:tcBorders>
              <w:top w:val="nil"/>
              <w:left w:val="nil"/>
              <w:bottom w:val="single" w:color="auto" w:sz="4" w:space="0"/>
              <w:right w:val="single" w:color="auto" w:sz="4" w:space="0"/>
            </w:tcBorders>
            <w:vAlign w:val="center"/>
          </w:tcPr>
          <w:p w14:paraId="79D5510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417" w:type="dxa"/>
            <w:tcBorders>
              <w:top w:val="nil"/>
              <w:left w:val="nil"/>
              <w:bottom w:val="single" w:color="auto" w:sz="4" w:space="0"/>
              <w:right w:val="single" w:color="auto" w:sz="4" w:space="0"/>
            </w:tcBorders>
            <w:vAlign w:val="center"/>
          </w:tcPr>
          <w:p w14:paraId="0792DAE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27E59E5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2EF7A30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6D362B5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5228B238">
            <w:pPr>
              <w:spacing w:after="0" w:line="240" w:lineRule="auto"/>
              <w:jc w:val="center"/>
              <w:rPr>
                <w:rFonts w:hint="eastAsia" w:ascii="宋体" w:hAnsi="宋体" w:eastAsia="宋体" w:cs="宋体"/>
                <w:b/>
                <w:bCs/>
                <w:sz w:val="18"/>
                <w:szCs w:val="18"/>
                <w:lang w:eastAsia="zh-CN"/>
              </w:rPr>
            </w:pPr>
          </w:p>
        </w:tc>
      </w:tr>
      <w:tr w14:paraId="662D6E8C">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468A43A">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6D71347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2AF77D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7388D74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35.88</w:t>
            </w:r>
          </w:p>
        </w:tc>
        <w:tc>
          <w:tcPr>
            <w:tcW w:w="1417" w:type="dxa"/>
            <w:tcBorders>
              <w:top w:val="nil"/>
              <w:left w:val="nil"/>
              <w:bottom w:val="single" w:color="auto" w:sz="4" w:space="0"/>
              <w:right w:val="single" w:color="auto" w:sz="4" w:space="0"/>
            </w:tcBorders>
            <w:vAlign w:val="center"/>
          </w:tcPr>
          <w:p w14:paraId="63B7624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35.88</w:t>
            </w:r>
          </w:p>
        </w:tc>
        <w:tc>
          <w:tcPr>
            <w:tcW w:w="1134" w:type="dxa"/>
            <w:tcBorders>
              <w:top w:val="nil"/>
              <w:left w:val="nil"/>
              <w:bottom w:val="single" w:color="auto" w:sz="4" w:space="0"/>
              <w:right w:val="single" w:color="auto" w:sz="4" w:space="0"/>
            </w:tcBorders>
            <w:vAlign w:val="center"/>
          </w:tcPr>
          <w:p w14:paraId="0D434E7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310" w:type="dxa"/>
            <w:tcBorders>
              <w:top w:val="nil"/>
              <w:left w:val="nil"/>
              <w:bottom w:val="single" w:color="auto" w:sz="4" w:space="0"/>
              <w:right w:val="single" w:color="auto" w:sz="4" w:space="0"/>
            </w:tcBorders>
            <w:vAlign w:val="center"/>
          </w:tcPr>
          <w:p w14:paraId="6A24DB1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99.13%</w:t>
            </w:r>
          </w:p>
        </w:tc>
        <w:tc>
          <w:tcPr>
            <w:tcW w:w="720" w:type="dxa"/>
            <w:tcBorders>
              <w:top w:val="nil"/>
              <w:left w:val="nil"/>
              <w:bottom w:val="single" w:color="auto" w:sz="4" w:space="0"/>
              <w:right w:val="single" w:color="auto" w:sz="4" w:space="0"/>
            </w:tcBorders>
            <w:vAlign w:val="center"/>
          </w:tcPr>
          <w:p w14:paraId="22F5778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9.91</w:t>
            </w:r>
          </w:p>
        </w:tc>
        <w:tc>
          <w:tcPr>
            <w:tcW w:w="284" w:type="dxa"/>
            <w:tcBorders>
              <w:top w:val="nil"/>
              <w:left w:val="nil"/>
              <w:bottom w:val="nil"/>
              <w:right w:val="nil"/>
            </w:tcBorders>
            <w:noWrap/>
            <w:vAlign w:val="center"/>
          </w:tcPr>
          <w:p w14:paraId="3DF7CAD7">
            <w:pPr>
              <w:spacing w:after="0" w:line="240" w:lineRule="auto"/>
              <w:jc w:val="center"/>
              <w:rPr>
                <w:rFonts w:hint="eastAsia" w:ascii="宋体" w:hAnsi="宋体" w:eastAsia="宋体" w:cs="宋体"/>
                <w:b/>
                <w:bCs/>
                <w:sz w:val="18"/>
                <w:szCs w:val="18"/>
                <w:lang w:eastAsia="zh-CN"/>
              </w:rPr>
            </w:pPr>
          </w:p>
        </w:tc>
      </w:tr>
      <w:tr w14:paraId="04A53394">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7F6E5E5">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5DE77C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52A500C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1,894.93</w:t>
            </w:r>
          </w:p>
        </w:tc>
        <w:tc>
          <w:tcPr>
            <w:tcW w:w="1242" w:type="dxa"/>
            <w:tcBorders>
              <w:top w:val="nil"/>
              <w:left w:val="nil"/>
              <w:bottom w:val="single" w:color="auto" w:sz="4" w:space="0"/>
              <w:right w:val="single" w:color="auto" w:sz="4" w:space="0"/>
            </w:tcBorders>
            <w:vAlign w:val="center"/>
          </w:tcPr>
          <w:p w14:paraId="1F1CA29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2,373.30</w:t>
            </w:r>
          </w:p>
        </w:tc>
        <w:tc>
          <w:tcPr>
            <w:tcW w:w="1417" w:type="dxa"/>
            <w:tcBorders>
              <w:top w:val="nil"/>
              <w:left w:val="nil"/>
              <w:bottom w:val="single" w:color="auto" w:sz="4" w:space="0"/>
              <w:right w:val="single" w:color="auto" w:sz="4" w:space="0"/>
            </w:tcBorders>
            <w:vAlign w:val="center"/>
          </w:tcPr>
          <w:p w14:paraId="28959CA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2,352.46</w:t>
            </w:r>
          </w:p>
        </w:tc>
        <w:tc>
          <w:tcPr>
            <w:tcW w:w="1134" w:type="dxa"/>
            <w:tcBorders>
              <w:top w:val="nil"/>
              <w:left w:val="nil"/>
              <w:bottom w:val="single" w:color="auto" w:sz="4" w:space="0"/>
              <w:right w:val="single" w:color="auto" w:sz="4" w:space="0"/>
            </w:tcBorders>
            <w:vAlign w:val="center"/>
          </w:tcPr>
          <w:p w14:paraId="0EA83FF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67AA9329">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5DC811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750DFC4">
            <w:pPr>
              <w:spacing w:after="0" w:line="240" w:lineRule="auto"/>
              <w:jc w:val="center"/>
              <w:rPr>
                <w:rFonts w:hint="eastAsia" w:ascii="宋体" w:hAnsi="宋体" w:eastAsia="宋体" w:cs="宋体"/>
                <w:sz w:val="18"/>
                <w:szCs w:val="18"/>
                <w:lang w:eastAsia="zh-CN"/>
              </w:rPr>
            </w:pPr>
          </w:p>
        </w:tc>
      </w:tr>
      <w:tr w14:paraId="55B78AF3">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0B87248">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F0512D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10B198E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0843AFF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27C316C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024D03D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5F9A2AF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38706031">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A270354">
            <w:pPr>
              <w:spacing w:after="0" w:line="240" w:lineRule="auto"/>
              <w:jc w:val="center"/>
              <w:rPr>
                <w:rFonts w:hint="eastAsia" w:ascii="宋体" w:hAnsi="宋体" w:eastAsia="宋体" w:cs="宋体"/>
                <w:sz w:val="18"/>
                <w:szCs w:val="18"/>
                <w:lang w:eastAsia="zh-CN"/>
              </w:rPr>
            </w:pPr>
          </w:p>
        </w:tc>
      </w:tr>
      <w:tr w14:paraId="4A1D8D61">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D5A7985">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12F4DD1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56D2022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1,894.93</w:t>
            </w:r>
          </w:p>
        </w:tc>
        <w:tc>
          <w:tcPr>
            <w:tcW w:w="1242" w:type="dxa"/>
            <w:tcBorders>
              <w:top w:val="nil"/>
              <w:left w:val="nil"/>
              <w:bottom w:val="single" w:color="auto" w:sz="4" w:space="0"/>
              <w:right w:val="single" w:color="auto" w:sz="4" w:space="0"/>
            </w:tcBorders>
            <w:vAlign w:val="center"/>
          </w:tcPr>
          <w:p w14:paraId="51AAAE9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2,409.18</w:t>
            </w:r>
          </w:p>
        </w:tc>
        <w:tc>
          <w:tcPr>
            <w:tcW w:w="1417" w:type="dxa"/>
            <w:tcBorders>
              <w:top w:val="nil"/>
              <w:left w:val="nil"/>
              <w:bottom w:val="single" w:color="auto" w:sz="4" w:space="0"/>
              <w:right w:val="single" w:color="auto" w:sz="4" w:space="0"/>
            </w:tcBorders>
            <w:vAlign w:val="center"/>
          </w:tcPr>
          <w:p w14:paraId="1BF80DA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2,388.34</w:t>
            </w:r>
          </w:p>
        </w:tc>
        <w:tc>
          <w:tcPr>
            <w:tcW w:w="1134" w:type="dxa"/>
            <w:tcBorders>
              <w:top w:val="nil"/>
              <w:left w:val="nil"/>
              <w:bottom w:val="single" w:color="auto" w:sz="4" w:space="0"/>
              <w:right w:val="single" w:color="auto" w:sz="4" w:space="0"/>
            </w:tcBorders>
            <w:vAlign w:val="center"/>
          </w:tcPr>
          <w:p w14:paraId="163087C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1310" w:type="dxa"/>
            <w:tcBorders>
              <w:top w:val="nil"/>
              <w:left w:val="nil"/>
              <w:bottom w:val="single" w:color="auto" w:sz="4" w:space="0"/>
              <w:right w:val="single" w:color="auto" w:sz="4" w:space="0"/>
            </w:tcBorders>
            <w:vAlign w:val="center"/>
          </w:tcPr>
          <w:p w14:paraId="5ED4A08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1E2005D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4D8D8B15">
            <w:pPr>
              <w:spacing w:after="0" w:line="240" w:lineRule="auto"/>
              <w:jc w:val="center"/>
              <w:rPr>
                <w:rFonts w:hint="eastAsia" w:ascii="宋体" w:hAnsi="宋体" w:eastAsia="宋体" w:cs="宋体"/>
                <w:sz w:val="18"/>
                <w:szCs w:val="18"/>
                <w:lang w:eastAsia="zh-CN"/>
              </w:rPr>
            </w:pPr>
          </w:p>
        </w:tc>
      </w:tr>
      <w:tr w14:paraId="58982C7B">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AC5998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399FC15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0C8CC4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72524118">
            <w:pPr>
              <w:spacing w:after="0" w:line="240" w:lineRule="auto"/>
              <w:rPr>
                <w:rFonts w:hint="eastAsia" w:ascii="宋体" w:hAnsi="宋体" w:eastAsia="宋体" w:cs="宋体"/>
                <w:b/>
                <w:bCs/>
                <w:sz w:val="18"/>
                <w:szCs w:val="18"/>
                <w:lang w:eastAsia="zh-CN"/>
              </w:rPr>
            </w:pPr>
          </w:p>
        </w:tc>
      </w:tr>
      <w:tr w14:paraId="209319A6">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0EF40C6">
            <w:pPr>
              <w:spacing w:after="0" w:line="240" w:lineRule="auto"/>
              <w:rPr>
                <w:rFonts w:hint="eastAsia" w:ascii="宋体" w:hAnsi="宋体" w:eastAsia="宋体" w:cs="宋体"/>
                <w:b/>
                <w:bCs/>
                <w:sz w:val="18"/>
                <w:szCs w:val="18"/>
                <w:lang w:eastAsia="zh-CN"/>
              </w:rPr>
            </w:pPr>
          </w:p>
        </w:tc>
        <w:tc>
          <w:tcPr>
            <w:tcW w:w="4077" w:type="dxa"/>
            <w:gridSpan w:val="3"/>
            <w:tcBorders>
              <w:top w:val="single" w:color="auto" w:sz="4" w:space="0"/>
              <w:left w:val="nil"/>
              <w:bottom w:val="single" w:color="auto" w:sz="4" w:space="0"/>
              <w:right w:val="single" w:color="auto" w:sz="4" w:space="0"/>
            </w:tcBorders>
          </w:tcPr>
          <w:p w14:paraId="5594E0D1">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目标1:完成在校学生教育1988人，提高昌吉市教育水平；目标2:完成学年内学生结业人数376人，达成教育教学的目标；目标3：完成学年内新入学学生341人，解决就学问题。</w:t>
            </w:r>
          </w:p>
        </w:tc>
        <w:tc>
          <w:tcPr>
            <w:tcW w:w="4581" w:type="dxa"/>
            <w:gridSpan w:val="4"/>
            <w:tcBorders>
              <w:top w:val="single" w:color="auto" w:sz="4" w:space="0"/>
              <w:left w:val="nil"/>
              <w:bottom w:val="single" w:color="auto" w:sz="4" w:space="0"/>
              <w:right w:val="single" w:color="auto" w:sz="4" w:space="0"/>
            </w:tcBorders>
          </w:tcPr>
          <w:p w14:paraId="4B81998D">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目标1:完成在校学生教育1988人，提高昌吉市教育水平；目标2:完成学年内学生结业人数376人，达成教育教学的目标；目标3：完成学年内新入学学生341人，解决就学问题。</w:t>
            </w:r>
          </w:p>
        </w:tc>
        <w:tc>
          <w:tcPr>
            <w:tcW w:w="284" w:type="dxa"/>
            <w:tcBorders>
              <w:top w:val="nil"/>
              <w:left w:val="nil"/>
              <w:bottom w:val="nil"/>
              <w:right w:val="nil"/>
            </w:tcBorders>
            <w:noWrap/>
            <w:vAlign w:val="center"/>
          </w:tcPr>
          <w:p w14:paraId="45EC9814">
            <w:pPr>
              <w:spacing w:after="0" w:line="240" w:lineRule="auto"/>
              <w:rPr>
                <w:rFonts w:hint="eastAsia" w:ascii="宋体" w:hAnsi="宋体" w:eastAsia="宋体" w:cs="宋体"/>
                <w:sz w:val="18"/>
                <w:szCs w:val="18"/>
                <w:lang w:eastAsia="zh-CN"/>
              </w:rPr>
            </w:pPr>
          </w:p>
        </w:tc>
      </w:tr>
      <w:tr w14:paraId="3C17929D">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64BBBB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626E119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33A6603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42" w:type="dxa"/>
            <w:tcBorders>
              <w:top w:val="nil"/>
              <w:left w:val="nil"/>
              <w:bottom w:val="single" w:color="auto" w:sz="4" w:space="0"/>
              <w:right w:val="single" w:color="auto" w:sz="4" w:space="0"/>
            </w:tcBorders>
            <w:vAlign w:val="center"/>
          </w:tcPr>
          <w:p w14:paraId="10C70AC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417" w:type="dxa"/>
            <w:tcBorders>
              <w:top w:val="nil"/>
              <w:left w:val="nil"/>
              <w:bottom w:val="single" w:color="auto" w:sz="4" w:space="0"/>
              <w:right w:val="single" w:color="auto" w:sz="4" w:space="0"/>
            </w:tcBorders>
            <w:vAlign w:val="center"/>
          </w:tcPr>
          <w:p w14:paraId="3EF66A5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0E5A357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35C2EAD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11B8A35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735FC50E">
            <w:pPr>
              <w:spacing w:after="0" w:line="240" w:lineRule="auto"/>
              <w:rPr>
                <w:rFonts w:hint="eastAsia" w:ascii="宋体" w:hAnsi="宋体" w:eastAsia="宋体" w:cs="宋体"/>
                <w:b/>
                <w:bCs/>
                <w:sz w:val="18"/>
                <w:szCs w:val="18"/>
                <w:lang w:eastAsia="zh-CN"/>
              </w:rPr>
            </w:pPr>
          </w:p>
        </w:tc>
      </w:tr>
      <w:tr w14:paraId="518B694F">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6F60537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5D700D6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EBEC90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完成在校学生教育数量</w:t>
            </w:r>
          </w:p>
        </w:tc>
        <w:tc>
          <w:tcPr>
            <w:tcW w:w="1242" w:type="dxa"/>
            <w:tcBorders>
              <w:top w:val="nil"/>
              <w:left w:val="nil"/>
              <w:bottom w:val="single" w:color="auto" w:sz="4" w:space="0"/>
              <w:right w:val="single" w:color="auto" w:sz="4" w:space="0"/>
            </w:tcBorders>
            <w:noWrap/>
            <w:vAlign w:val="center"/>
          </w:tcPr>
          <w:p w14:paraId="6832527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=1988人</w:t>
            </w:r>
          </w:p>
        </w:tc>
        <w:tc>
          <w:tcPr>
            <w:tcW w:w="1417" w:type="dxa"/>
            <w:tcBorders>
              <w:top w:val="nil"/>
              <w:left w:val="nil"/>
              <w:bottom w:val="single" w:color="auto" w:sz="4" w:space="0"/>
              <w:right w:val="single" w:color="auto" w:sz="4" w:space="0"/>
            </w:tcBorders>
            <w:noWrap/>
            <w:vAlign w:val="center"/>
          </w:tcPr>
          <w:p w14:paraId="6D92083A">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16527BF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756AF6A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1988人</w:t>
            </w:r>
          </w:p>
        </w:tc>
        <w:tc>
          <w:tcPr>
            <w:tcW w:w="720" w:type="dxa"/>
            <w:tcBorders>
              <w:top w:val="nil"/>
              <w:left w:val="nil"/>
              <w:bottom w:val="single" w:color="auto" w:sz="4" w:space="0"/>
              <w:right w:val="single" w:color="auto" w:sz="4" w:space="0"/>
            </w:tcBorders>
            <w:noWrap/>
            <w:vAlign w:val="center"/>
          </w:tcPr>
          <w:p w14:paraId="2385D79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60AC6AD5">
            <w:pPr>
              <w:spacing w:after="0" w:line="240" w:lineRule="auto"/>
              <w:jc w:val="center"/>
              <w:rPr>
                <w:rFonts w:hint="eastAsia" w:ascii="宋体" w:hAnsi="宋体" w:eastAsia="宋体" w:cs="宋体"/>
                <w:sz w:val="18"/>
                <w:szCs w:val="18"/>
                <w:lang w:eastAsia="zh-CN"/>
              </w:rPr>
            </w:pPr>
          </w:p>
        </w:tc>
      </w:tr>
      <w:tr w14:paraId="184600D2">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6C53E62C">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69B20418">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6D53EBF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完成学年内新入学学生数量</w:t>
            </w:r>
          </w:p>
        </w:tc>
        <w:tc>
          <w:tcPr>
            <w:tcW w:w="1242" w:type="dxa"/>
            <w:tcBorders>
              <w:top w:val="nil"/>
              <w:left w:val="nil"/>
              <w:bottom w:val="single" w:color="auto" w:sz="4" w:space="0"/>
              <w:right w:val="single" w:color="auto" w:sz="4" w:space="0"/>
            </w:tcBorders>
            <w:noWrap/>
            <w:vAlign w:val="center"/>
          </w:tcPr>
          <w:p w14:paraId="478FC44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=341人</w:t>
            </w:r>
          </w:p>
        </w:tc>
        <w:tc>
          <w:tcPr>
            <w:tcW w:w="1417" w:type="dxa"/>
            <w:tcBorders>
              <w:top w:val="nil"/>
              <w:left w:val="nil"/>
              <w:bottom w:val="single" w:color="auto" w:sz="4" w:space="0"/>
              <w:right w:val="single" w:color="auto" w:sz="4" w:space="0"/>
            </w:tcBorders>
            <w:noWrap/>
            <w:vAlign w:val="center"/>
          </w:tcPr>
          <w:p w14:paraId="716AEE6D">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2E49C2B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5EC078F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341人</w:t>
            </w:r>
          </w:p>
        </w:tc>
        <w:tc>
          <w:tcPr>
            <w:tcW w:w="720" w:type="dxa"/>
            <w:tcBorders>
              <w:top w:val="nil"/>
              <w:left w:val="nil"/>
              <w:bottom w:val="single" w:color="auto" w:sz="4" w:space="0"/>
              <w:right w:val="single" w:color="auto" w:sz="4" w:space="0"/>
            </w:tcBorders>
            <w:noWrap/>
            <w:vAlign w:val="center"/>
          </w:tcPr>
          <w:p w14:paraId="18EC9CC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484849DA">
            <w:pPr>
              <w:spacing w:after="0" w:line="240" w:lineRule="auto"/>
              <w:jc w:val="center"/>
              <w:rPr>
                <w:rFonts w:hint="eastAsia" w:ascii="宋体" w:hAnsi="宋体" w:eastAsia="宋体" w:cs="宋体"/>
                <w:sz w:val="18"/>
                <w:szCs w:val="18"/>
                <w:lang w:eastAsia="zh-CN"/>
              </w:rPr>
            </w:pPr>
          </w:p>
        </w:tc>
      </w:tr>
      <w:tr w14:paraId="5B902FC5">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509A3CD9">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481D3263">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2322ECD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完成学年内结业学生数量</w:t>
            </w:r>
          </w:p>
        </w:tc>
        <w:tc>
          <w:tcPr>
            <w:tcW w:w="1242" w:type="dxa"/>
            <w:tcBorders>
              <w:top w:val="nil"/>
              <w:left w:val="nil"/>
              <w:bottom w:val="single" w:color="auto" w:sz="4" w:space="0"/>
              <w:right w:val="single" w:color="auto" w:sz="4" w:space="0"/>
            </w:tcBorders>
            <w:noWrap/>
            <w:vAlign w:val="center"/>
          </w:tcPr>
          <w:p w14:paraId="0DE4A4A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=376人</w:t>
            </w:r>
          </w:p>
        </w:tc>
        <w:tc>
          <w:tcPr>
            <w:tcW w:w="1417" w:type="dxa"/>
            <w:tcBorders>
              <w:top w:val="nil"/>
              <w:left w:val="nil"/>
              <w:bottom w:val="single" w:color="auto" w:sz="4" w:space="0"/>
              <w:right w:val="single" w:color="auto" w:sz="4" w:space="0"/>
            </w:tcBorders>
            <w:noWrap/>
            <w:vAlign w:val="center"/>
          </w:tcPr>
          <w:p w14:paraId="178DB5D9">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3286002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59BFB19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376人</w:t>
            </w:r>
          </w:p>
        </w:tc>
        <w:tc>
          <w:tcPr>
            <w:tcW w:w="720" w:type="dxa"/>
            <w:tcBorders>
              <w:top w:val="nil"/>
              <w:left w:val="nil"/>
              <w:bottom w:val="single" w:color="auto" w:sz="4" w:space="0"/>
              <w:right w:val="single" w:color="auto" w:sz="4" w:space="0"/>
            </w:tcBorders>
            <w:noWrap/>
            <w:vAlign w:val="center"/>
          </w:tcPr>
          <w:p w14:paraId="2A0D42F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59CE5498">
            <w:pPr>
              <w:spacing w:after="0" w:line="240" w:lineRule="auto"/>
              <w:jc w:val="center"/>
              <w:rPr>
                <w:rFonts w:hint="eastAsia" w:ascii="宋体" w:hAnsi="宋体" w:eastAsia="宋体" w:cs="宋体"/>
                <w:sz w:val="18"/>
                <w:szCs w:val="18"/>
                <w:lang w:eastAsia="zh-CN"/>
              </w:rPr>
            </w:pPr>
          </w:p>
        </w:tc>
      </w:tr>
      <w:tr w14:paraId="5D8672F1">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45858FA1">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2FE3DF0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53EF79E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结业完成率</w:t>
            </w:r>
          </w:p>
        </w:tc>
        <w:tc>
          <w:tcPr>
            <w:tcW w:w="1242" w:type="dxa"/>
            <w:tcBorders>
              <w:top w:val="nil"/>
              <w:left w:val="nil"/>
              <w:bottom w:val="single" w:color="auto" w:sz="4" w:space="0"/>
              <w:right w:val="single" w:color="auto" w:sz="4" w:space="0"/>
            </w:tcBorders>
            <w:noWrap/>
            <w:vAlign w:val="center"/>
          </w:tcPr>
          <w:p w14:paraId="2523E6B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1417" w:type="dxa"/>
            <w:tcBorders>
              <w:top w:val="nil"/>
              <w:left w:val="nil"/>
              <w:bottom w:val="single" w:color="auto" w:sz="4" w:space="0"/>
              <w:right w:val="single" w:color="auto" w:sz="4" w:space="0"/>
            </w:tcBorders>
            <w:noWrap/>
            <w:vAlign w:val="center"/>
          </w:tcPr>
          <w:p w14:paraId="6D56A783">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工作计划</w:t>
            </w:r>
          </w:p>
        </w:tc>
        <w:tc>
          <w:tcPr>
            <w:tcW w:w="1134" w:type="dxa"/>
            <w:tcBorders>
              <w:top w:val="nil"/>
              <w:left w:val="nil"/>
              <w:bottom w:val="single" w:color="auto" w:sz="4" w:space="0"/>
              <w:right w:val="single" w:color="auto" w:sz="4" w:space="0"/>
            </w:tcBorders>
            <w:noWrap/>
            <w:vAlign w:val="center"/>
          </w:tcPr>
          <w:p w14:paraId="30652CC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347470A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721217F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3B2D8CFC">
            <w:pPr>
              <w:spacing w:after="0" w:line="240" w:lineRule="auto"/>
              <w:jc w:val="center"/>
              <w:rPr>
                <w:rFonts w:hint="eastAsia" w:ascii="宋体" w:hAnsi="宋体" w:eastAsia="宋体" w:cs="宋体"/>
                <w:sz w:val="18"/>
                <w:szCs w:val="18"/>
                <w:lang w:eastAsia="zh-CN"/>
              </w:rPr>
            </w:pPr>
          </w:p>
        </w:tc>
      </w:tr>
    </w:tbl>
    <w:p w14:paraId="09F467C3">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03D600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5EE9E18">
        <w:tblPrEx>
          <w:tblCellMar>
            <w:top w:w="0" w:type="dxa"/>
            <w:left w:w="108" w:type="dxa"/>
            <w:bottom w:w="0" w:type="dxa"/>
            <w:right w:w="108" w:type="dxa"/>
          </w:tblCellMar>
        </w:tblPrEx>
        <w:trPr>
          <w:trHeight w:val="59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D990118">
            <w:pPr>
              <w:spacing w:after="0" w:line="240" w:lineRule="auto"/>
              <w:jc w:val="center"/>
              <w:rPr>
                <w:rFonts w:hint="eastAsia" w:ascii="宋体" w:hAnsi="宋体" w:eastAsia="宋体" w:cs="宋体"/>
                <w:b/>
                <w:bCs/>
                <w:color w:val="000000"/>
                <w:sz w:val="18"/>
                <w:szCs w:val="18"/>
                <w:lang w:eastAsia="zh-CN"/>
              </w:rPr>
            </w:pPr>
            <w:bookmarkStart w:id="0" w:name="_Hlk201837198"/>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1CBE3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体彩公益金支持文化体育项目资金</w:t>
            </w:r>
          </w:p>
        </w:tc>
      </w:tr>
      <w:tr w14:paraId="0921C66A">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33AC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0F791A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教育局</w:t>
            </w:r>
          </w:p>
        </w:tc>
        <w:tc>
          <w:tcPr>
            <w:tcW w:w="1428" w:type="dxa"/>
            <w:gridSpan w:val="2"/>
            <w:tcBorders>
              <w:top w:val="single" w:color="auto" w:sz="4" w:space="0"/>
              <w:left w:val="nil"/>
              <w:bottom w:val="single" w:color="auto" w:sz="4" w:space="0"/>
              <w:right w:val="single" w:color="auto" w:sz="4" w:space="0"/>
            </w:tcBorders>
            <w:vAlign w:val="center"/>
          </w:tcPr>
          <w:p w14:paraId="33ECB45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1ACEC3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昌吉市第二小学</w:t>
            </w:r>
          </w:p>
        </w:tc>
      </w:tr>
      <w:tr w14:paraId="66299A7B">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FC5896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083592D9">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0A4F36E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BFAB60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C26108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5B54A05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58975A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4168A2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3874D9E">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518529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124AE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275434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968" w:type="dxa"/>
            <w:gridSpan w:val="3"/>
            <w:tcBorders>
              <w:top w:val="single" w:color="auto" w:sz="4" w:space="0"/>
              <w:left w:val="nil"/>
              <w:bottom w:val="single" w:color="auto" w:sz="4" w:space="0"/>
              <w:right w:val="single" w:color="auto" w:sz="4" w:space="0"/>
            </w:tcBorders>
            <w:vAlign w:val="center"/>
          </w:tcPr>
          <w:p w14:paraId="6481A1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428" w:type="dxa"/>
            <w:gridSpan w:val="2"/>
            <w:tcBorders>
              <w:top w:val="single" w:color="auto" w:sz="4" w:space="0"/>
              <w:left w:val="nil"/>
              <w:bottom w:val="single" w:color="auto" w:sz="4" w:space="0"/>
              <w:right w:val="single" w:color="auto" w:sz="4" w:space="0"/>
            </w:tcBorders>
            <w:vAlign w:val="center"/>
          </w:tcPr>
          <w:p w14:paraId="5C1BCD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372" w:type="dxa"/>
            <w:gridSpan w:val="2"/>
            <w:tcBorders>
              <w:top w:val="nil"/>
              <w:left w:val="nil"/>
              <w:bottom w:val="single" w:color="auto" w:sz="4" w:space="0"/>
              <w:right w:val="single" w:color="auto" w:sz="4" w:space="0"/>
            </w:tcBorders>
            <w:vAlign w:val="center"/>
          </w:tcPr>
          <w:p w14:paraId="319F43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45F931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03E5D7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C8EFDC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8B95D06">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A3272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C63DD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968" w:type="dxa"/>
            <w:gridSpan w:val="3"/>
            <w:tcBorders>
              <w:top w:val="single" w:color="auto" w:sz="4" w:space="0"/>
              <w:left w:val="nil"/>
              <w:bottom w:val="single" w:color="auto" w:sz="4" w:space="0"/>
              <w:right w:val="single" w:color="auto" w:sz="4" w:space="0"/>
            </w:tcBorders>
            <w:vAlign w:val="center"/>
          </w:tcPr>
          <w:p w14:paraId="3E2825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428" w:type="dxa"/>
            <w:gridSpan w:val="2"/>
            <w:tcBorders>
              <w:top w:val="single" w:color="auto" w:sz="4" w:space="0"/>
              <w:left w:val="nil"/>
              <w:bottom w:val="single" w:color="auto" w:sz="4" w:space="0"/>
              <w:right w:val="single" w:color="auto" w:sz="4" w:space="0"/>
            </w:tcBorders>
            <w:vAlign w:val="center"/>
          </w:tcPr>
          <w:p w14:paraId="253324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w:t>
            </w:r>
          </w:p>
        </w:tc>
        <w:tc>
          <w:tcPr>
            <w:tcW w:w="1372" w:type="dxa"/>
            <w:gridSpan w:val="2"/>
            <w:tcBorders>
              <w:top w:val="nil"/>
              <w:left w:val="nil"/>
              <w:bottom w:val="single" w:color="auto" w:sz="4" w:space="0"/>
              <w:right w:val="single" w:color="auto" w:sz="4" w:space="0"/>
            </w:tcBorders>
            <w:vAlign w:val="center"/>
          </w:tcPr>
          <w:p w14:paraId="35FBA3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11BA55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4730B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00B9E01">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4ABC304">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C6561F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86C48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2D14F6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183647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7553FB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1E566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48A86A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87A7FB9">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8B9417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61229E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11DF8E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2623053">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E82B872">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17EAB7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该资金为自治区第十四届运动会追踪奖奖金，项目资金额度1.77万元。为提升我校体育水平，计划购买篮球及足球1批，共计花费0.56万元，购买足球服及其他体育用具1批，共计花费1.21万元，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229D94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截止2024年12月31日，该项目已全部完成，支出项目资金1.77万元，项目主要内容为购买篮球及足球1批，购买了足球服及其他体育用具1批，该项目的实施提升了我校体育水平。</w:t>
            </w:r>
          </w:p>
        </w:tc>
      </w:tr>
      <w:tr w14:paraId="3AB69F97">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5BE4AE4D">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EFFAB1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615494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04CC6E0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1A4FB6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214C51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07E4CA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6F2C489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0EA479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6CA1B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12951D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7DAC07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4BA36B2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575388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099A52C">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0B152FC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6D5FF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1AB377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20E3A5C">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购买篮球及足球数量</w:t>
            </w:r>
          </w:p>
        </w:tc>
        <w:tc>
          <w:tcPr>
            <w:tcW w:w="627" w:type="dxa"/>
            <w:tcBorders>
              <w:top w:val="nil"/>
              <w:left w:val="nil"/>
              <w:bottom w:val="single" w:color="auto" w:sz="4" w:space="0"/>
              <w:right w:val="single" w:color="auto" w:sz="4" w:space="0"/>
            </w:tcBorders>
            <w:vAlign w:val="center"/>
          </w:tcPr>
          <w:p w14:paraId="26E1D0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0042E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7B6FF1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109AF1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3241B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B364B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CF790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06F4F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946C2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AA6EB31">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7FFF791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16251D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3E987A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0706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658BE3D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购买足球服及其他体育用具数量</w:t>
            </w:r>
          </w:p>
        </w:tc>
        <w:tc>
          <w:tcPr>
            <w:tcW w:w="627" w:type="dxa"/>
            <w:tcBorders>
              <w:top w:val="nil"/>
              <w:left w:val="nil"/>
              <w:bottom w:val="single" w:color="auto" w:sz="4" w:space="0"/>
              <w:right w:val="single" w:color="auto" w:sz="4" w:space="0"/>
            </w:tcBorders>
            <w:vAlign w:val="center"/>
          </w:tcPr>
          <w:p w14:paraId="42B0A8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E4DE6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5D8B5C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465CBE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F14B4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86A0E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7AB89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AD665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DF8CA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C71420B">
            <w:pPr>
              <w:spacing w:after="0" w:line="240" w:lineRule="auto"/>
              <w:jc w:val="center"/>
              <w:rPr>
                <w:rFonts w:hint="eastAsia" w:ascii="宋体" w:hAnsi="宋体" w:eastAsia="宋体" w:cs="宋体"/>
                <w:color w:val="000000"/>
                <w:sz w:val="18"/>
                <w:szCs w:val="18"/>
                <w:lang w:eastAsia="zh-CN"/>
              </w:rPr>
            </w:pPr>
          </w:p>
        </w:tc>
      </w:tr>
      <w:tr w14:paraId="752186C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6D519B6">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84810F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FC0AA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5D6376B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验收合格率</w:t>
            </w:r>
          </w:p>
        </w:tc>
        <w:tc>
          <w:tcPr>
            <w:tcW w:w="627" w:type="dxa"/>
            <w:tcBorders>
              <w:top w:val="nil"/>
              <w:left w:val="nil"/>
              <w:bottom w:val="single" w:color="auto" w:sz="4" w:space="0"/>
              <w:right w:val="single" w:color="auto" w:sz="4" w:space="0"/>
            </w:tcBorders>
            <w:vAlign w:val="center"/>
          </w:tcPr>
          <w:p w14:paraId="4BCE4B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4224C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2E174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E47FA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A4FE5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623CB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63FAE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402FF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213B8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9A6F568">
            <w:pPr>
              <w:spacing w:after="0" w:line="240" w:lineRule="auto"/>
              <w:jc w:val="center"/>
              <w:rPr>
                <w:rFonts w:hint="eastAsia" w:ascii="宋体" w:hAnsi="宋体" w:eastAsia="宋体" w:cs="宋体"/>
                <w:color w:val="000000"/>
                <w:sz w:val="18"/>
                <w:szCs w:val="18"/>
                <w:lang w:eastAsia="zh-CN"/>
              </w:rPr>
            </w:pPr>
          </w:p>
        </w:tc>
      </w:tr>
      <w:tr w14:paraId="37DF963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23D2F2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046CC8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72022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06D7128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627" w:type="dxa"/>
            <w:tcBorders>
              <w:top w:val="nil"/>
              <w:left w:val="nil"/>
              <w:bottom w:val="single" w:color="auto" w:sz="4" w:space="0"/>
              <w:right w:val="single" w:color="auto" w:sz="4" w:space="0"/>
            </w:tcBorders>
            <w:vAlign w:val="center"/>
          </w:tcPr>
          <w:p w14:paraId="03EDF8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B7314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68DBF2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58F2F4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BA980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0C21E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21796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DECA3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A3B80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7B43845">
            <w:pPr>
              <w:spacing w:after="0" w:line="240" w:lineRule="auto"/>
              <w:jc w:val="center"/>
              <w:rPr>
                <w:rFonts w:hint="eastAsia" w:ascii="宋体" w:hAnsi="宋体" w:eastAsia="宋体" w:cs="宋体"/>
                <w:color w:val="000000"/>
                <w:sz w:val="18"/>
                <w:szCs w:val="18"/>
                <w:lang w:eastAsia="zh-CN"/>
              </w:rPr>
            </w:pPr>
          </w:p>
        </w:tc>
      </w:tr>
      <w:tr w14:paraId="6A82512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793A6F0">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1677F3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12C7EC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ABE2BC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购买篮球及足球支付金额</w:t>
            </w:r>
          </w:p>
        </w:tc>
        <w:tc>
          <w:tcPr>
            <w:tcW w:w="627" w:type="dxa"/>
            <w:tcBorders>
              <w:top w:val="nil"/>
              <w:left w:val="nil"/>
              <w:bottom w:val="single" w:color="auto" w:sz="4" w:space="0"/>
              <w:right w:val="single" w:color="auto" w:sz="4" w:space="0"/>
            </w:tcBorders>
            <w:vAlign w:val="center"/>
          </w:tcPr>
          <w:p w14:paraId="0CA299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4D982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&lt;=0.56万元</w:t>
            </w:r>
          </w:p>
        </w:tc>
        <w:tc>
          <w:tcPr>
            <w:tcW w:w="728" w:type="dxa"/>
            <w:tcBorders>
              <w:top w:val="nil"/>
              <w:left w:val="nil"/>
              <w:bottom w:val="single" w:color="auto" w:sz="4" w:space="0"/>
              <w:right w:val="single" w:color="auto" w:sz="4" w:space="0"/>
            </w:tcBorders>
            <w:vAlign w:val="center"/>
          </w:tcPr>
          <w:p w14:paraId="376C3C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=0.51万元</w:t>
            </w:r>
          </w:p>
        </w:tc>
        <w:tc>
          <w:tcPr>
            <w:tcW w:w="637" w:type="dxa"/>
            <w:tcBorders>
              <w:top w:val="nil"/>
              <w:left w:val="nil"/>
              <w:bottom w:val="single" w:color="auto" w:sz="4" w:space="0"/>
              <w:right w:val="single" w:color="auto" w:sz="4" w:space="0"/>
            </w:tcBorders>
            <w:vAlign w:val="center"/>
          </w:tcPr>
          <w:p w14:paraId="4E6366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91.07</w:t>
            </w:r>
          </w:p>
        </w:tc>
        <w:tc>
          <w:tcPr>
            <w:tcW w:w="791" w:type="dxa"/>
            <w:tcBorders>
              <w:top w:val="nil"/>
              <w:left w:val="nil"/>
              <w:bottom w:val="single" w:color="auto" w:sz="4" w:space="0"/>
              <w:right w:val="single" w:color="auto" w:sz="4" w:space="0"/>
            </w:tcBorders>
            <w:vAlign w:val="center"/>
          </w:tcPr>
          <w:p w14:paraId="565A1A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7.77</w:t>
            </w:r>
          </w:p>
        </w:tc>
        <w:tc>
          <w:tcPr>
            <w:tcW w:w="741" w:type="dxa"/>
            <w:tcBorders>
              <w:top w:val="nil"/>
              <w:left w:val="nil"/>
              <w:bottom w:val="single" w:color="auto" w:sz="4" w:space="0"/>
              <w:right w:val="single" w:color="auto" w:sz="4" w:space="0"/>
            </w:tcBorders>
            <w:vAlign w:val="center"/>
          </w:tcPr>
          <w:p w14:paraId="59BA8D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4C35F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62E02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E1528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2CB9AF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按实际采购内容支付</w:t>
            </w:r>
          </w:p>
        </w:tc>
      </w:tr>
      <w:tr w14:paraId="3D0AC56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471008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1E2E9C2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D286A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28468F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支付购买足球服及其他体育用具支付金额</w:t>
            </w:r>
          </w:p>
        </w:tc>
        <w:tc>
          <w:tcPr>
            <w:tcW w:w="627" w:type="dxa"/>
            <w:tcBorders>
              <w:top w:val="nil"/>
              <w:left w:val="nil"/>
              <w:bottom w:val="single" w:color="auto" w:sz="4" w:space="0"/>
              <w:right w:val="single" w:color="auto" w:sz="4" w:space="0"/>
            </w:tcBorders>
            <w:vAlign w:val="center"/>
          </w:tcPr>
          <w:p w14:paraId="7CBBB2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7AE8D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&lt;=1.21万元</w:t>
            </w:r>
          </w:p>
        </w:tc>
        <w:tc>
          <w:tcPr>
            <w:tcW w:w="728" w:type="dxa"/>
            <w:tcBorders>
              <w:top w:val="nil"/>
              <w:left w:val="nil"/>
              <w:bottom w:val="single" w:color="auto" w:sz="4" w:space="0"/>
              <w:right w:val="single" w:color="auto" w:sz="4" w:space="0"/>
            </w:tcBorders>
            <w:vAlign w:val="center"/>
          </w:tcPr>
          <w:p w14:paraId="0E89D4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=1.26万元</w:t>
            </w:r>
          </w:p>
        </w:tc>
        <w:tc>
          <w:tcPr>
            <w:tcW w:w="637" w:type="dxa"/>
            <w:tcBorders>
              <w:top w:val="nil"/>
              <w:left w:val="nil"/>
              <w:bottom w:val="single" w:color="auto" w:sz="4" w:space="0"/>
              <w:right w:val="single" w:color="auto" w:sz="4" w:space="0"/>
            </w:tcBorders>
            <w:vAlign w:val="center"/>
          </w:tcPr>
          <w:p w14:paraId="58A1E9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104</w:t>
            </w:r>
          </w:p>
        </w:tc>
        <w:tc>
          <w:tcPr>
            <w:tcW w:w="791" w:type="dxa"/>
            <w:tcBorders>
              <w:top w:val="nil"/>
              <w:left w:val="nil"/>
              <w:bottom w:val="single" w:color="auto" w:sz="4" w:space="0"/>
              <w:right w:val="single" w:color="auto" w:sz="4" w:space="0"/>
            </w:tcBorders>
            <w:vAlign w:val="center"/>
          </w:tcPr>
          <w:p w14:paraId="567E62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w:t>
            </w:r>
          </w:p>
        </w:tc>
        <w:tc>
          <w:tcPr>
            <w:tcW w:w="741" w:type="dxa"/>
            <w:tcBorders>
              <w:top w:val="nil"/>
              <w:left w:val="nil"/>
              <w:bottom w:val="single" w:color="auto" w:sz="4" w:space="0"/>
              <w:right w:val="single" w:color="auto" w:sz="4" w:space="0"/>
            </w:tcBorders>
            <w:vAlign w:val="center"/>
          </w:tcPr>
          <w:p w14:paraId="499BFD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0669C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B82D1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4A363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6B3075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按实际采购内容支付</w:t>
            </w:r>
          </w:p>
        </w:tc>
      </w:tr>
      <w:tr w14:paraId="046B94C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6143429A">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C5EED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10C671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280FF49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提升学校体育水平</w:t>
            </w:r>
          </w:p>
        </w:tc>
        <w:tc>
          <w:tcPr>
            <w:tcW w:w="627" w:type="dxa"/>
            <w:tcBorders>
              <w:top w:val="nil"/>
              <w:left w:val="nil"/>
              <w:bottom w:val="single" w:color="auto" w:sz="4" w:space="0"/>
              <w:right w:val="single" w:color="auto" w:sz="4" w:space="0"/>
            </w:tcBorders>
            <w:vAlign w:val="center"/>
          </w:tcPr>
          <w:p w14:paraId="072629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5E16EB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w:t>
            </w:r>
          </w:p>
        </w:tc>
        <w:tc>
          <w:tcPr>
            <w:tcW w:w="728" w:type="dxa"/>
            <w:tcBorders>
              <w:top w:val="nil"/>
              <w:left w:val="nil"/>
              <w:bottom w:val="single" w:color="auto" w:sz="4" w:space="0"/>
              <w:right w:val="single" w:color="auto" w:sz="4" w:space="0"/>
            </w:tcBorders>
            <w:vAlign w:val="center"/>
          </w:tcPr>
          <w:p w14:paraId="305010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到达预期指标</w:t>
            </w:r>
          </w:p>
        </w:tc>
        <w:tc>
          <w:tcPr>
            <w:tcW w:w="637" w:type="dxa"/>
            <w:tcBorders>
              <w:top w:val="nil"/>
              <w:left w:val="nil"/>
              <w:bottom w:val="single" w:color="auto" w:sz="4" w:space="0"/>
              <w:right w:val="single" w:color="auto" w:sz="4" w:space="0"/>
            </w:tcBorders>
            <w:vAlign w:val="center"/>
          </w:tcPr>
          <w:p w14:paraId="0A8D1D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2BE24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337934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BEC6E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85420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E710D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32265A86">
            <w:pPr>
              <w:spacing w:after="0" w:line="240" w:lineRule="auto"/>
              <w:jc w:val="center"/>
              <w:rPr>
                <w:rFonts w:hint="eastAsia" w:ascii="宋体" w:hAnsi="宋体" w:eastAsia="宋体" w:cs="宋体"/>
                <w:color w:val="000000"/>
                <w:sz w:val="18"/>
                <w:szCs w:val="18"/>
                <w:lang w:eastAsia="zh-CN"/>
              </w:rPr>
            </w:pPr>
          </w:p>
        </w:tc>
      </w:tr>
      <w:tr w14:paraId="64D61E1A">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E3694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EE3D57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581165E">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4443C96C">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779313B1">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606756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97.37分</w:t>
            </w:r>
          </w:p>
        </w:tc>
        <w:tc>
          <w:tcPr>
            <w:tcW w:w="741" w:type="dxa"/>
            <w:tcBorders>
              <w:top w:val="single" w:color="auto" w:sz="4" w:space="0"/>
              <w:left w:val="nil"/>
              <w:bottom w:val="single" w:color="auto" w:sz="4" w:space="0"/>
              <w:right w:val="single" w:color="auto" w:sz="4" w:space="0"/>
            </w:tcBorders>
            <w:vAlign w:val="center"/>
          </w:tcPr>
          <w:p w14:paraId="777CA6AA">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0412B90E">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5D51F3C6">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C01DAC8">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5E32FB0E">
            <w:pPr>
              <w:spacing w:after="0" w:line="240" w:lineRule="auto"/>
              <w:rPr>
                <w:rFonts w:hint="eastAsia" w:ascii="宋体" w:hAnsi="宋体" w:eastAsia="宋体" w:cs="宋体"/>
                <w:color w:val="000000"/>
                <w:sz w:val="18"/>
                <w:szCs w:val="18"/>
                <w:lang w:eastAsia="zh-CN"/>
              </w:rPr>
            </w:pPr>
          </w:p>
        </w:tc>
      </w:tr>
      <w:bookmarkEnd w:id="0"/>
    </w:tbl>
    <w:p w14:paraId="054DB95E">
      <w:pPr>
        <w:spacing w:after="0" w:line="240" w:lineRule="auto"/>
        <w:ind w:firstLine="640" w:firstLineChars="200"/>
        <w:jc w:val="both"/>
        <w:rPr>
          <w:rFonts w:ascii="仿宋_GB2312" w:eastAsia="仿宋_GB2312"/>
          <w:sz w:val="32"/>
          <w:szCs w:val="32"/>
        </w:rPr>
      </w:pPr>
    </w:p>
    <w:p w14:paraId="11CD108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30012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4E1745E">
      <w:pPr>
        <w:spacing w:after="0" w:line="240" w:lineRule="auto"/>
        <w:ind w:firstLine="640" w:firstLineChars="200"/>
        <w:rPr>
          <w:rFonts w:ascii="仿宋_GB2312" w:eastAsia="仿宋_GB2312"/>
          <w:sz w:val="32"/>
          <w:szCs w:val="32"/>
          <w:lang w:eastAsia="zh-CN"/>
        </w:rPr>
      </w:pPr>
    </w:p>
    <w:p w14:paraId="483A1530">
      <w:pPr>
        <w:rPr>
          <w:lang w:eastAsia="zh-CN"/>
        </w:rPr>
      </w:pPr>
      <w:r>
        <w:rPr>
          <w:sz w:val="0"/>
          <w:szCs w:val="0"/>
          <w:lang w:eastAsia="zh-CN"/>
        </w:rPr>
        <w:br w:type="page"/>
      </w:r>
    </w:p>
    <w:p w14:paraId="774BB783">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2ECC1E1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7AA473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7B0F6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0AB70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C1BCAB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13C225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AFE8AC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21E8AA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B8E01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797C2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A9D3EB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7C863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D35D69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76BE1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7667023">
      <w:pPr>
        <w:rPr>
          <w:lang w:eastAsia="zh-CN"/>
        </w:rPr>
      </w:pPr>
      <w:r>
        <w:rPr>
          <w:sz w:val="0"/>
          <w:szCs w:val="0"/>
          <w:lang w:eastAsia="zh-CN"/>
        </w:rPr>
        <w:br w:type="page"/>
      </w:r>
    </w:p>
    <w:p w14:paraId="6FE8C002">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F1B100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C41B2D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F765F4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B31449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C201D2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70A6C8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5F171D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A860C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89583E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134C58"/>
    <w:rsid w:val="00134C58"/>
    <w:rsid w:val="002F7D94"/>
    <w:rsid w:val="00C073A0"/>
    <w:rsid w:val="00F40043"/>
    <w:rsid w:val="0176670B"/>
    <w:rsid w:val="0D4264BA"/>
    <w:rsid w:val="0E6225F9"/>
    <w:rsid w:val="154A4D3D"/>
    <w:rsid w:val="31AF31D7"/>
    <w:rsid w:val="36326D0A"/>
    <w:rsid w:val="4614467D"/>
    <w:rsid w:val="53DB17EC"/>
    <w:rsid w:val="5D901747"/>
    <w:rsid w:val="62D0489A"/>
    <w:rsid w:val="75C3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6577</Words>
  <Characters>7432</Characters>
  <Lines>380</Lines>
  <Paragraphs>342</Paragraphs>
  <TotalTime>0</TotalTime>
  <ScaleCrop>false</ScaleCrop>
  <LinksUpToDate>false</LinksUpToDate>
  <CharactersWithSpaces>7443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2025-09-01T04:12:00Z</dcterms:created>
  <dc:creator>ldan</dc:creator>
  <cp:lastModifiedBy>11点28分不打烊</cp:lastModifiedBy>
  <dcterms:modified xsi:type="dcterms:W3CDTF">2025-11-20T04:33:10Z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ABABAF7B0CF54C8AB8448BCAD6DB2A0D_12</vt:lpwstr>
  </property>
  <property fmtid="{D5CDD505-2E9C-101B-9397-08002B2CF9AE}" pid="4" name="KSOTemplateDocerSaveRecord">
    <vt:lpwstr>eyJoZGlkIjoiNTlkZWQ3ZWZiOGVhYTk1OTExMjBmYWQ4ZjAxNTk5MTciLCJ1c2VySWQiOiI5MTU3NDI2MDkifQ==</vt:lpwstr>
  </property>
</Properties>
</file>