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0B29C" w14:textId="77777777" w:rsidR="00B46B79" w:rsidRDefault="00B46B79">
      <w:pPr>
        <w:spacing w:after="0" w:line="240" w:lineRule="auto"/>
        <w:rPr>
          <w:rFonts w:ascii="宋体" w:eastAsia="宋体" w:hint="eastAsia"/>
          <w:sz w:val="32"/>
          <w:szCs w:val="32"/>
        </w:rPr>
      </w:pPr>
    </w:p>
    <w:p w14:paraId="0B20E38A" w14:textId="77777777" w:rsidR="00B46B79" w:rsidRDefault="00B46B79">
      <w:pPr>
        <w:spacing w:after="0" w:line="240" w:lineRule="auto"/>
        <w:rPr>
          <w:rFonts w:ascii="宋体" w:eastAsia="宋体" w:hint="eastAsia"/>
          <w:sz w:val="44"/>
          <w:szCs w:val="44"/>
        </w:rPr>
      </w:pPr>
    </w:p>
    <w:p w14:paraId="07C5E8F2" w14:textId="77777777" w:rsidR="00B46B79" w:rsidRDefault="00B46B79">
      <w:pPr>
        <w:spacing w:after="0" w:line="240" w:lineRule="auto"/>
        <w:rPr>
          <w:rFonts w:ascii="宋体" w:eastAsia="宋体" w:hint="eastAsia"/>
          <w:sz w:val="44"/>
          <w:szCs w:val="44"/>
        </w:rPr>
      </w:pPr>
    </w:p>
    <w:p w14:paraId="4E864E26" w14:textId="77777777" w:rsidR="00B46B79" w:rsidRDefault="00B46B79">
      <w:pPr>
        <w:spacing w:after="0" w:line="240" w:lineRule="auto"/>
        <w:rPr>
          <w:rFonts w:ascii="宋体" w:eastAsia="宋体" w:hint="eastAsia"/>
          <w:sz w:val="44"/>
          <w:szCs w:val="44"/>
        </w:rPr>
      </w:pPr>
    </w:p>
    <w:p w14:paraId="1170F787" w14:textId="77777777" w:rsidR="00B46B79"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中国共产党昌吉市委员会政法委员会</w:t>
      </w:r>
    </w:p>
    <w:p w14:paraId="35D4A2DA" w14:textId="77777777" w:rsidR="00B46B79"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39785080" w14:textId="77777777" w:rsidR="00B46B79" w:rsidRDefault="00000000">
      <w:pPr>
        <w:rPr>
          <w:rFonts w:hint="eastAsia"/>
          <w:lang w:eastAsia="zh-CN"/>
        </w:rPr>
      </w:pPr>
      <w:r>
        <w:rPr>
          <w:sz w:val="0"/>
          <w:szCs w:val="0"/>
          <w:lang w:eastAsia="zh-CN"/>
        </w:rPr>
        <w:br w:type="page"/>
      </w:r>
    </w:p>
    <w:p w14:paraId="57B50708" w14:textId="77777777" w:rsidR="00B46B79"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56DB9127"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05C5771"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31934E76"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B35D87C"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BBF0229"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9C2B523"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DABDC2D"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52A89BB"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5BF2AD8A"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7F86279"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EE67F8A"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BB7CB31"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4FAEC84"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9507C5E"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FBFD1A7"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CDAD3A7"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1F67B5E"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7E7ACD9"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1DDEE9A9"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BB6B04B"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A95F40D"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65C08983"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26684AEC"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A0EFB88"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BD441EE"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8F24A23"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2212F22A"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BE0F9BE"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0D9C89D"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DF1F9AB"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703C54E"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6B4ECF3"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5F2CED0"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EF4E5AB" w14:textId="77777777" w:rsidR="00B46B79" w:rsidRDefault="00000000">
      <w:pPr>
        <w:rPr>
          <w:rFonts w:hint="eastAsia"/>
          <w:lang w:eastAsia="zh-CN"/>
        </w:rPr>
      </w:pPr>
      <w:r>
        <w:rPr>
          <w:sz w:val="0"/>
          <w:szCs w:val="0"/>
          <w:lang w:eastAsia="zh-CN"/>
        </w:rPr>
        <w:br w:type="page"/>
      </w:r>
    </w:p>
    <w:p w14:paraId="041B9E60" w14:textId="77777777" w:rsidR="00B46B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329786C4"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7A19E863"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1.贯彻习近平新时代中国特色社会主义思想，坚持党对政法工作的绝对领导，坚决执行党的路线方针政策和党中央重大决策部署，推动完善和落实政治轮训和政治督察制度。</w:t>
      </w:r>
    </w:p>
    <w:p w14:paraId="4EF52057"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w:t>
      </w:r>
      <w:r>
        <w:rPr>
          <w:rFonts w:ascii="仿宋_GB2312" w:eastAsia="仿宋_GB2312" w:hint="eastAsia"/>
          <w:sz w:val="32"/>
          <w:szCs w:val="32"/>
          <w:lang w:eastAsia="zh-CN"/>
        </w:rPr>
        <w:t>.</w:t>
      </w:r>
      <w:r>
        <w:rPr>
          <w:rFonts w:ascii="仿宋_GB2312" w:eastAsia="仿宋_GB2312"/>
          <w:sz w:val="32"/>
          <w:szCs w:val="32"/>
          <w:lang w:eastAsia="zh-CN"/>
        </w:rPr>
        <w:t>贯彻党中央、自治区党委、自治州党委和市委决定以及自治州党委政法委的工作要求，研究协调政法单位之间、政法单位和有关部门之间有关重大事项，统一政法单位思想和行动。</w:t>
      </w:r>
    </w:p>
    <w:p w14:paraId="2CE6858B"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w:t>
      </w:r>
      <w:r>
        <w:rPr>
          <w:rFonts w:ascii="仿宋_GB2312" w:eastAsia="仿宋_GB2312" w:hint="eastAsia"/>
          <w:sz w:val="32"/>
          <w:szCs w:val="32"/>
          <w:lang w:eastAsia="zh-CN"/>
        </w:rPr>
        <w:t>.</w:t>
      </w:r>
      <w:r>
        <w:rPr>
          <w:rFonts w:ascii="仿宋_GB2312" w:eastAsia="仿宋_GB2312"/>
          <w:sz w:val="32"/>
          <w:szCs w:val="32"/>
          <w:lang w:eastAsia="zh-CN"/>
        </w:rPr>
        <w:t>加强对全市政法领域重大实践和理论问题调查研究，提出重大决策部署和改革措施的意见和建议，协助市委决策和统筹推进政法改革等各项工作。</w:t>
      </w:r>
    </w:p>
    <w:p w14:paraId="229DFA78"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w:t>
      </w:r>
      <w:r>
        <w:rPr>
          <w:rFonts w:ascii="仿宋_GB2312" w:eastAsia="仿宋_GB2312" w:hint="eastAsia"/>
          <w:sz w:val="32"/>
          <w:szCs w:val="32"/>
          <w:lang w:eastAsia="zh-CN"/>
        </w:rPr>
        <w:t>.</w:t>
      </w:r>
      <w:r>
        <w:rPr>
          <w:rFonts w:ascii="仿宋_GB2312" w:eastAsia="仿宋_GB2312"/>
          <w:sz w:val="32"/>
          <w:szCs w:val="32"/>
          <w:lang w:eastAsia="zh-CN"/>
        </w:rPr>
        <w:t>了解掌握和分析</w:t>
      </w:r>
      <w:proofErr w:type="gramStart"/>
      <w:r>
        <w:rPr>
          <w:rFonts w:ascii="仿宋_GB2312" w:eastAsia="仿宋_GB2312"/>
          <w:sz w:val="32"/>
          <w:szCs w:val="32"/>
          <w:lang w:eastAsia="zh-CN"/>
        </w:rPr>
        <w:t>研判全市</w:t>
      </w:r>
      <w:proofErr w:type="gramEnd"/>
      <w:r>
        <w:rPr>
          <w:rFonts w:ascii="仿宋_GB2312" w:eastAsia="仿宋_GB2312"/>
          <w:sz w:val="32"/>
          <w:szCs w:val="32"/>
          <w:lang w:eastAsia="zh-CN"/>
        </w:rPr>
        <w:t>社会环境形势，政法工作情况动态，创新完善多部门参与的平安建设工作协调机制，协调推动预防，化解影响稳定的社会矛盾和风险，协调应对和妥善处置重大突发事件。</w:t>
      </w:r>
    </w:p>
    <w:p w14:paraId="219E8053"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w:t>
      </w:r>
      <w:r>
        <w:rPr>
          <w:rFonts w:ascii="仿宋_GB2312" w:eastAsia="仿宋_GB2312" w:hint="eastAsia"/>
          <w:sz w:val="32"/>
          <w:szCs w:val="32"/>
          <w:lang w:eastAsia="zh-CN"/>
        </w:rPr>
        <w:t>.</w:t>
      </w:r>
      <w:r>
        <w:rPr>
          <w:rFonts w:ascii="仿宋_GB2312" w:eastAsia="仿宋_GB2312"/>
          <w:sz w:val="32"/>
          <w:szCs w:val="32"/>
          <w:lang w:eastAsia="zh-CN"/>
        </w:rPr>
        <w:t>支持和监督政法单位依法行使职权，检查全市政法单位执行党的路线方针政策、党中央和自治区党委、自治州党委以及市委重大决策部署和有关法律法规的情况，指导和协调全市政法单位密切配合，完善和纪检监察机关工作衔接和协作配合机制，推进严格执法，公正司法。</w:t>
      </w:r>
    </w:p>
    <w:p w14:paraId="58ADA281"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w:t>
      </w:r>
      <w:r>
        <w:rPr>
          <w:rFonts w:ascii="仿宋_GB2312" w:eastAsia="仿宋_GB2312" w:hint="eastAsia"/>
          <w:sz w:val="32"/>
          <w:szCs w:val="32"/>
          <w:lang w:eastAsia="zh-CN"/>
        </w:rPr>
        <w:t>.</w:t>
      </w:r>
      <w:r>
        <w:rPr>
          <w:rFonts w:ascii="仿宋_GB2312" w:eastAsia="仿宋_GB2312"/>
          <w:sz w:val="32"/>
          <w:szCs w:val="32"/>
          <w:lang w:eastAsia="zh-CN"/>
        </w:rPr>
        <w:t>指导和推动全市政法单位党的建设和政法队伍建设，协助市委及市委组织部加强政法单位领导班子和干部队伍建设，协助</w:t>
      </w:r>
      <w:r>
        <w:rPr>
          <w:rFonts w:ascii="仿宋_GB2312" w:eastAsia="仿宋_GB2312" w:hint="eastAsia"/>
          <w:sz w:val="32"/>
          <w:szCs w:val="32"/>
          <w:lang w:eastAsia="zh-CN"/>
        </w:rPr>
        <w:t>市委</w:t>
      </w:r>
      <w:r>
        <w:rPr>
          <w:rFonts w:ascii="仿宋_GB2312" w:eastAsia="仿宋_GB2312"/>
          <w:sz w:val="32"/>
          <w:szCs w:val="32"/>
          <w:lang w:eastAsia="zh-CN"/>
        </w:rPr>
        <w:t>和市纪委监委做好监督检查，审查调查工作，派员列席全市政法单位党组（党委）民主生活会。</w:t>
      </w:r>
    </w:p>
    <w:p w14:paraId="18400B1A"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w:t>
      </w:r>
      <w:r>
        <w:rPr>
          <w:rFonts w:ascii="仿宋_GB2312" w:eastAsia="仿宋_GB2312" w:hint="eastAsia"/>
          <w:sz w:val="32"/>
          <w:szCs w:val="32"/>
          <w:lang w:eastAsia="zh-CN"/>
        </w:rPr>
        <w:t>.</w:t>
      </w:r>
      <w:r>
        <w:rPr>
          <w:rFonts w:ascii="仿宋_GB2312" w:eastAsia="仿宋_GB2312"/>
          <w:sz w:val="32"/>
          <w:szCs w:val="32"/>
          <w:lang w:eastAsia="zh-CN"/>
        </w:rPr>
        <w:t>掌握分析全市政法舆情动态，指导和协调全市政法单位和有关部门做好依法办理、宣传报道和舆论引导等相关工作。</w:t>
      </w:r>
    </w:p>
    <w:p w14:paraId="6BF6AEEC"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w:t>
      </w:r>
      <w:r>
        <w:rPr>
          <w:rFonts w:ascii="仿宋_GB2312" w:eastAsia="仿宋_GB2312" w:hint="eastAsia"/>
          <w:sz w:val="32"/>
          <w:szCs w:val="32"/>
          <w:lang w:eastAsia="zh-CN"/>
        </w:rPr>
        <w:t>.</w:t>
      </w:r>
      <w:r>
        <w:rPr>
          <w:rFonts w:ascii="仿宋_GB2312" w:eastAsia="仿宋_GB2312"/>
          <w:sz w:val="32"/>
          <w:szCs w:val="32"/>
          <w:lang w:eastAsia="zh-CN"/>
        </w:rPr>
        <w:t>完成市委和自治州党委政法委交办的其他任务。</w:t>
      </w:r>
    </w:p>
    <w:p w14:paraId="71A182B3"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C200DAE"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中国共产党昌吉市委员会政法委员会2024年度，实有人数40人，其中：在职人员24人，较上年无变化；离休人员0人，较上年无变化；退休人员16人，增加4人。</w:t>
      </w:r>
    </w:p>
    <w:p w14:paraId="54B9A167"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中国共产党昌吉市委员会政法委员会无下属预算单位，下设5个科室，分别是：综合办公室、政工科、执法监督科、指导科、综治督导科。</w:t>
      </w:r>
    </w:p>
    <w:p w14:paraId="7071DA69" w14:textId="77777777" w:rsidR="00B46B79" w:rsidRDefault="00000000">
      <w:pPr>
        <w:rPr>
          <w:rFonts w:hint="eastAsia"/>
          <w:lang w:eastAsia="zh-CN"/>
        </w:rPr>
      </w:pPr>
      <w:r>
        <w:rPr>
          <w:sz w:val="0"/>
          <w:szCs w:val="0"/>
          <w:lang w:eastAsia="zh-CN"/>
        </w:rPr>
        <w:br w:type="page"/>
      </w:r>
    </w:p>
    <w:p w14:paraId="5AD4E0DC" w14:textId="77777777" w:rsidR="00B46B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3C3355C"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2E2D14D"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2024年度收入总计1,568.60万元，其中：本年收入合计1,568.60万元，使用非财政拨款结余（含专用结余）0.00万元，年初结转和结余0.00万元。</w:t>
      </w:r>
    </w:p>
    <w:p w14:paraId="328470BB"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2024年度支出总计1,568.60万元，其中：本年支出合计1,568.60万元，结余分配0.00万元，年末结转和结余0.00万元。</w:t>
      </w:r>
    </w:p>
    <w:p w14:paraId="1DE59625" w14:textId="6D6D5504"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收入支出总体与上年相比，减少253.74万元，下降13.92%，主要原因是：</w:t>
      </w:r>
      <w:r w:rsidR="00486055">
        <w:rPr>
          <w:rFonts w:ascii="仿宋_GB2312" w:eastAsia="仿宋_GB2312" w:hint="eastAsia"/>
          <w:sz w:val="32"/>
          <w:szCs w:val="32"/>
          <w:lang w:eastAsia="zh-CN"/>
        </w:rPr>
        <w:t>单位本年长聘人员减少，</w:t>
      </w:r>
      <w:proofErr w:type="gramStart"/>
      <w:r w:rsidR="00486055">
        <w:rPr>
          <w:rFonts w:ascii="仿宋_GB2312" w:eastAsia="仿宋_GB2312" w:hint="eastAsia"/>
          <w:sz w:val="32"/>
          <w:szCs w:val="32"/>
          <w:lang w:eastAsia="zh-CN"/>
        </w:rPr>
        <w:t>长聘人员</w:t>
      </w:r>
      <w:proofErr w:type="gramEnd"/>
      <w:r w:rsidR="00486055">
        <w:rPr>
          <w:rFonts w:ascii="仿宋_GB2312" w:eastAsia="仿宋_GB2312" w:hint="eastAsia"/>
          <w:sz w:val="32"/>
          <w:szCs w:val="32"/>
          <w:lang w:eastAsia="zh-CN"/>
        </w:rPr>
        <w:t>工资福利补贴费用减少；</w:t>
      </w:r>
      <w:r>
        <w:rPr>
          <w:rFonts w:ascii="仿宋_GB2312" w:eastAsia="仿宋_GB2312" w:hint="eastAsia"/>
          <w:sz w:val="32"/>
          <w:szCs w:val="32"/>
          <w:lang w:eastAsia="zh-CN"/>
        </w:rPr>
        <w:t>本年单位州专项</w:t>
      </w:r>
      <w:r w:rsidR="00486055">
        <w:rPr>
          <w:rFonts w:ascii="仿宋_GB2312" w:eastAsia="仿宋_GB2312" w:hint="eastAsia"/>
          <w:sz w:val="32"/>
          <w:szCs w:val="32"/>
          <w:lang w:eastAsia="zh-CN"/>
        </w:rPr>
        <w:t>项目</w:t>
      </w:r>
      <w:r>
        <w:rPr>
          <w:rFonts w:ascii="仿宋_GB2312" w:eastAsia="仿宋_GB2312" w:hint="eastAsia"/>
          <w:sz w:val="32"/>
          <w:szCs w:val="32"/>
          <w:lang w:eastAsia="zh-CN"/>
        </w:rPr>
        <w:t>资金</w:t>
      </w:r>
      <w:r w:rsidR="00486055">
        <w:rPr>
          <w:rFonts w:ascii="仿宋_GB2312" w:eastAsia="仿宋_GB2312" w:hint="eastAsia"/>
          <w:sz w:val="32"/>
          <w:szCs w:val="32"/>
          <w:lang w:eastAsia="zh-CN"/>
        </w:rPr>
        <w:t>、</w:t>
      </w:r>
      <w:r w:rsidR="00486055">
        <w:rPr>
          <w:rFonts w:ascii="仿宋_GB2312" w:eastAsia="仿宋_GB2312" w:hint="eastAsia"/>
          <w:sz w:val="32"/>
          <w:szCs w:val="32"/>
          <w:lang w:eastAsia="zh-CN"/>
        </w:rPr>
        <w:t>“</w:t>
      </w:r>
      <w:r w:rsidR="00486055">
        <w:rPr>
          <w:rFonts w:ascii="仿宋_GB2312" w:eastAsia="仿宋_GB2312"/>
          <w:sz w:val="32"/>
          <w:szCs w:val="32"/>
          <w:lang w:eastAsia="zh-CN"/>
        </w:rPr>
        <w:t>三张网</w:t>
      </w:r>
      <w:r w:rsidR="00486055">
        <w:rPr>
          <w:rFonts w:ascii="仿宋_GB2312" w:eastAsia="仿宋_GB2312" w:hint="eastAsia"/>
          <w:sz w:val="32"/>
          <w:szCs w:val="32"/>
          <w:lang w:eastAsia="zh-CN"/>
        </w:rPr>
        <w:t>”</w:t>
      </w:r>
      <w:r w:rsidR="00486055">
        <w:rPr>
          <w:rFonts w:ascii="仿宋_GB2312" w:eastAsia="仿宋_GB2312"/>
          <w:sz w:val="32"/>
          <w:szCs w:val="32"/>
          <w:lang w:eastAsia="zh-CN"/>
        </w:rPr>
        <w:t>建设补助</w:t>
      </w:r>
      <w:r w:rsidR="00486055">
        <w:rPr>
          <w:rFonts w:ascii="仿宋_GB2312" w:eastAsia="仿宋_GB2312" w:hint="eastAsia"/>
          <w:sz w:val="32"/>
          <w:szCs w:val="32"/>
          <w:lang w:eastAsia="zh-CN"/>
        </w:rPr>
        <w:t>项目</w:t>
      </w:r>
      <w:r w:rsidR="00486055">
        <w:rPr>
          <w:rFonts w:ascii="仿宋_GB2312" w:eastAsia="仿宋_GB2312"/>
          <w:sz w:val="32"/>
          <w:szCs w:val="32"/>
          <w:lang w:eastAsia="zh-CN"/>
        </w:rPr>
        <w:t>资金</w:t>
      </w:r>
      <w:r w:rsidR="00486055">
        <w:rPr>
          <w:rFonts w:ascii="仿宋_GB2312" w:eastAsia="仿宋_GB2312" w:hint="eastAsia"/>
          <w:sz w:val="32"/>
          <w:szCs w:val="32"/>
          <w:lang w:eastAsia="zh-CN"/>
        </w:rPr>
        <w:t>、</w:t>
      </w:r>
      <w:r w:rsidR="00486055">
        <w:rPr>
          <w:rFonts w:ascii="仿宋_GB2312" w:eastAsia="仿宋_GB2312"/>
          <w:sz w:val="32"/>
          <w:szCs w:val="32"/>
          <w:lang w:eastAsia="zh-CN"/>
        </w:rPr>
        <w:t>餐饮住宿、补助等项目资金</w:t>
      </w:r>
      <w:r w:rsidR="00486055">
        <w:rPr>
          <w:rFonts w:ascii="仿宋_GB2312" w:eastAsia="仿宋_GB2312" w:hint="eastAsia"/>
          <w:sz w:val="32"/>
          <w:szCs w:val="32"/>
          <w:lang w:eastAsia="zh-CN"/>
        </w:rPr>
        <w:t>、</w:t>
      </w:r>
      <w:r w:rsidR="00486055">
        <w:rPr>
          <w:rFonts w:ascii="仿宋_GB2312" w:eastAsia="仿宋_GB2312" w:hint="eastAsia"/>
          <w:sz w:val="32"/>
          <w:szCs w:val="32"/>
          <w:lang w:eastAsia="zh-CN"/>
        </w:rPr>
        <w:t>人员大病医疗补助缴费</w:t>
      </w:r>
      <w:r>
        <w:rPr>
          <w:rFonts w:ascii="仿宋_GB2312" w:eastAsia="仿宋_GB2312" w:hint="eastAsia"/>
          <w:sz w:val="32"/>
          <w:szCs w:val="32"/>
          <w:lang w:eastAsia="zh-CN"/>
        </w:rPr>
        <w:t>减少。</w:t>
      </w:r>
    </w:p>
    <w:p w14:paraId="0BBDC59D"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0A52C60B"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本年收入1,568.60万元，其中：财政拨款收入1,568.60万元,占100.00%；上级补助收入0.00万元,占0.00%；事业收入0.00万元，占0.00%；经营收入0.00万元,占0.00%；附属单位上缴收入0.00万元，占0.00%；其他收入0.00万元，占0.00%。</w:t>
      </w:r>
    </w:p>
    <w:p w14:paraId="24845BB4"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4BEDBB7"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本年支出1,568.60万元，其中：基本支出1,107.62万元，占70.61%；项目支出460.97万元，占29.39%；上缴上级支出0.00万元，占0.00%；经营支出0.00万元，占0.00%；对附属单位补助支出0.00万元，占0.00%。</w:t>
      </w:r>
    </w:p>
    <w:p w14:paraId="28FFAE5C"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3D0BFB5"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1,568.60万元，其中：年初财政拨款结转和结余0.00万元，本年财政拨款收入1,568.60万元。财政拨款支出总计1,568.60万元，其中：年末财政拨款结转和结余0.00万元，本年财政拨款支出1,568.60万元。</w:t>
      </w:r>
    </w:p>
    <w:p w14:paraId="2A577D1D" w14:textId="57AA42A0"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财政拨款收入支出总体与上年相比，减少253.74万元，下降13.92%，主要原因是：</w:t>
      </w:r>
      <w:r w:rsidR="00486055">
        <w:rPr>
          <w:rFonts w:ascii="仿宋_GB2312" w:eastAsia="仿宋_GB2312" w:hint="eastAsia"/>
          <w:sz w:val="32"/>
          <w:szCs w:val="32"/>
          <w:lang w:eastAsia="zh-CN"/>
        </w:rPr>
        <w:t>单位本年长聘人员减少，</w:t>
      </w:r>
      <w:proofErr w:type="gramStart"/>
      <w:r w:rsidR="00486055">
        <w:rPr>
          <w:rFonts w:ascii="仿宋_GB2312" w:eastAsia="仿宋_GB2312" w:hint="eastAsia"/>
          <w:sz w:val="32"/>
          <w:szCs w:val="32"/>
          <w:lang w:eastAsia="zh-CN"/>
        </w:rPr>
        <w:t>长聘人</w:t>
      </w:r>
      <w:r w:rsidR="00486055">
        <w:rPr>
          <w:rFonts w:ascii="仿宋_GB2312" w:eastAsia="仿宋_GB2312" w:hint="eastAsia"/>
          <w:sz w:val="32"/>
          <w:szCs w:val="32"/>
          <w:lang w:eastAsia="zh-CN"/>
        </w:rPr>
        <w:lastRenderedPageBreak/>
        <w:t>员</w:t>
      </w:r>
      <w:proofErr w:type="gramEnd"/>
      <w:r w:rsidR="00486055">
        <w:rPr>
          <w:rFonts w:ascii="仿宋_GB2312" w:eastAsia="仿宋_GB2312" w:hint="eastAsia"/>
          <w:sz w:val="32"/>
          <w:szCs w:val="32"/>
          <w:lang w:eastAsia="zh-CN"/>
        </w:rPr>
        <w:t>工资福利补贴费用减少；本年单位州专项项目资金、“</w:t>
      </w:r>
      <w:r w:rsidR="00486055">
        <w:rPr>
          <w:rFonts w:ascii="仿宋_GB2312" w:eastAsia="仿宋_GB2312"/>
          <w:sz w:val="32"/>
          <w:szCs w:val="32"/>
          <w:lang w:eastAsia="zh-CN"/>
        </w:rPr>
        <w:t>三张网</w:t>
      </w:r>
      <w:r w:rsidR="00486055">
        <w:rPr>
          <w:rFonts w:ascii="仿宋_GB2312" w:eastAsia="仿宋_GB2312" w:hint="eastAsia"/>
          <w:sz w:val="32"/>
          <w:szCs w:val="32"/>
          <w:lang w:eastAsia="zh-CN"/>
        </w:rPr>
        <w:t>”</w:t>
      </w:r>
      <w:r w:rsidR="00486055">
        <w:rPr>
          <w:rFonts w:ascii="仿宋_GB2312" w:eastAsia="仿宋_GB2312"/>
          <w:sz w:val="32"/>
          <w:szCs w:val="32"/>
          <w:lang w:eastAsia="zh-CN"/>
        </w:rPr>
        <w:t>建设补助</w:t>
      </w:r>
      <w:r w:rsidR="00486055">
        <w:rPr>
          <w:rFonts w:ascii="仿宋_GB2312" w:eastAsia="仿宋_GB2312" w:hint="eastAsia"/>
          <w:sz w:val="32"/>
          <w:szCs w:val="32"/>
          <w:lang w:eastAsia="zh-CN"/>
        </w:rPr>
        <w:t>项目</w:t>
      </w:r>
      <w:r w:rsidR="00486055">
        <w:rPr>
          <w:rFonts w:ascii="仿宋_GB2312" w:eastAsia="仿宋_GB2312"/>
          <w:sz w:val="32"/>
          <w:szCs w:val="32"/>
          <w:lang w:eastAsia="zh-CN"/>
        </w:rPr>
        <w:t>资金</w:t>
      </w:r>
      <w:r w:rsidR="00486055">
        <w:rPr>
          <w:rFonts w:ascii="仿宋_GB2312" w:eastAsia="仿宋_GB2312" w:hint="eastAsia"/>
          <w:sz w:val="32"/>
          <w:szCs w:val="32"/>
          <w:lang w:eastAsia="zh-CN"/>
        </w:rPr>
        <w:t>、</w:t>
      </w:r>
      <w:r w:rsidR="00486055">
        <w:rPr>
          <w:rFonts w:ascii="仿宋_GB2312" w:eastAsia="仿宋_GB2312"/>
          <w:sz w:val="32"/>
          <w:szCs w:val="32"/>
          <w:lang w:eastAsia="zh-CN"/>
        </w:rPr>
        <w:t>餐饮住宿、补助等项目资金</w:t>
      </w:r>
      <w:r w:rsidR="00486055">
        <w:rPr>
          <w:rFonts w:ascii="仿宋_GB2312" w:eastAsia="仿宋_GB2312" w:hint="eastAsia"/>
          <w:sz w:val="32"/>
          <w:szCs w:val="32"/>
          <w:lang w:eastAsia="zh-CN"/>
        </w:rPr>
        <w:t>、人员大病医疗补助缴费减少</w:t>
      </w:r>
      <w:r>
        <w:rPr>
          <w:rFonts w:ascii="仿宋_GB2312" w:eastAsia="仿宋_GB2312" w:hint="eastAsia"/>
          <w:sz w:val="32"/>
          <w:szCs w:val="32"/>
          <w:lang w:eastAsia="zh-CN"/>
        </w:rPr>
        <w:t>。</w:t>
      </w:r>
      <w:r>
        <w:rPr>
          <w:rFonts w:ascii="仿宋_GB2312" w:eastAsia="仿宋_GB2312"/>
          <w:sz w:val="32"/>
          <w:szCs w:val="32"/>
          <w:lang w:eastAsia="zh-CN"/>
        </w:rPr>
        <w:t>与年初预算相比，年初预算数1,264.68万元，决算数1,568.60万元，预决算差异率24.03%，主要原因是：</w:t>
      </w:r>
      <w:r>
        <w:rPr>
          <w:rFonts w:ascii="仿宋_GB2312" w:eastAsia="仿宋_GB2312" w:hint="eastAsia"/>
          <w:sz w:val="32"/>
          <w:szCs w:val="32"/>
          <w:lang w:eastAsia="zh-CN"/>
        </w:rPr>
        <w:t>年中追加</w:t>
      </w:r>
      <w:r>
        <w:rPr>
          <w:rFonts w:ascii="仿宋_GB2312" w:eastAsia="仿宋_GB2312"/>
          <w:sz w:val="32"/>
          <w:szCs w:val="32"/>
          <w:lang w:eastAsia="zh-CN"/>
        </w:rPr>
        <w:t>市委政法委大楼运行经费、网格化服务管理中心运行经费。</w:t>
      </w:r>
    </w:p>
    <w:p w14:paraId="79678CD6"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492DCA4" w14:textId="77777777" w:rsidR="00B46B79"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61272C75" w14:textId="5ED426F9"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2024年度一般公共预算财政拨款支出1,516.32万元，占本年支出合计的96.67%。与上年相比，减少306.02万元，下降16.79%，主要原因是：</w:t>
      </w:r>
      <w:r w:rsidR="00486055">
        <w:rPr>
          <w:rFonts w:ascii="仿宋_GB2312" w:eastAsia="仿宋_GB2312" w:hint="eastAsia"/>
          <w:sz w:val="32"/>
          <w:szCs w:val="32"/>
          <w:lang w:eastAsia="zh-CN"/>
        </w:rPr>
        <w:t>单位本年长聘人员减少，</w:t>
      </w:r>
      <w:proofErr w:type="gramStart"/>
      <w:r w:rsidR="00486055">
        <w:rPr>
          <w:rFonts w:ascii="仿宋_GB2312" w:eastAsia="仿宋_GB2312" w:hint="eastAsia"/>
          <w:sz w:val="32"/>
          <w:szCs w:val="32"/>
          <w:lang w:eastAsia="zh-CN"/>
        </w:rPr>
        <w:t>长聘人员</w:t>
      </w:r>
      <w:proofErr w:type="gramEnd"/>
      <w:r w:rsidR="00486055">
        <w:rPr>
          <w:rFonts w:ascii="仿宋_GB2312" w:eastAsia="仿宋_GB2312" w:hint="eastAsia"/>
          <w:sz w:val="32"/>
          <w:szCs w:val="32"/>
          <w:lang w:eastAsia="zh-CN"/>
        </w:rPr>
        <w:t>工资福利补贴费用减少；本年单位州专项项目资金、“</w:t>
      </w:r>
      <w:r w:rsidR="00486055">
        <w:rPr>
          <w:rFonts w:ascii="仿宋_GB2312" w:eastAsia="仿宋_GB2312"/>
          <w:sz w:val="32"/>
          <w:szCs w:val="32"/>
          <w:lang w:eastAsia="zh-CN"/>
        </w:rPr>
        <w:t>三张网</w:t>
      </w:r>
      <w:r w:rsidR="00486055">
        <w:rPr>
          <w:rFonts w:ascii="仿宋_GB2312" w:eastAsia="仿宋_GB2312" w:hint="eastAsia"/>
          <w:sz w:val="32"/>
          <w:szCs w:val="32"/>
          <w:lang w:eastAsia="zh-CN"/>
        </w:rPr>
        <w:t>”</w:t>
      </w:r>
      <w:r w:rsidR="00486055">
        <w:rPr>
          <w:rFonts w:ascii="仿宋_GB2312" w:eastAsia="仿宋_GB2312"/>
          <w:sz w:val="32"/>
          <w:szCs w:val="32"/>
          <w:lang w:eastAsia="zh-CN"/>
        </w:rPr>
        <w:t>建设补助</w:t>
      </w:r>
      <w:r w:rsidR="00486055">
        <w:rPr>
          <w:rFonts w:ascii="仿宋_GB2312" w:eastAsia="仿宋_GB2312" w:hint="eastAsia"/>
          <w:sz w:val="32"/>
          <w:szCs w:val="32"/>
          <w:lang w:eastAsia="zh-CN"/>
        </w:rPr>
        <w:t>项目</w:t>
      </w:r>
      <w:r w:rsidR="00486055">
        <w:rPr>
          <w:rFonts w:ascii="仿宋_GB2312" w:eastAsia="仿宋_GB2312"/>
          <w:sz w:val="32"/>
          <w:szCs w:val="32"/>
          <w:lang w:eastAsia="zh-CN"/>
        </w:rPr>
        <w:t>资金</w:t>
      </w:r>
      <w:r w:rsidR="00486055">
        <w:rPr>
          <w:rFonts w:ascii="仿宋_GB2312" w:eastAsia="仿宋_GB2312" w:hint="eastAsia"/>
          <w:sz w:val="32"/>
          <w:szCs w:val="32"/>
          <w:lang w:eastAsia="zh-CN"/>
        </w:rPr>
        <w:t>、人员大病医疗补助缴费减少</w:t>
      </w:r>
      <w:r>
        <w:rPr>
          <w:rFonts w:ascii="仿宋_GB2312" w:eastAsia="仿宋_GB2312" w:hint="eastAsia"/>
          <w:sz w:val="32"/>
          <w:szCs w:val="32"/>
          <w:lang w:eastAsia="zh-CN"/>
        </w:rPr>
        <w:t>。</w:t>
      </w:r>
      <w:r>
        <w:rPr>
          <w:rFonts w:ascii="仿宋_GB2312" w:eastAsia="仿宋_GB2312"/>
          <w:sz w:val="32"/>
          <w:szCs w:val="32"/>
          <w:lang w:eastAsia="zh-CN"/>
        </w:rPr>
        <w:t>与年初预算相比，年初预算数1,264.68万元，决算数1,516.32万元，预决算差异率19.90%，主要原因是：</w:t>
      </w:r>
      <w:r>
        <w:rPr>
          <w:rFonts w:ascii="仿宋_GB2312" w:eastAsia="仿宋_GB2312" w:hint="eastAsia"/>
          <w:sz w:val="32"/>
          <w:szCs w:val="32"/>
          <w:lang w:eastAsia="zh-CN"/>
        </w:rPr>
        <w:t>年中追加</w:t>
      </w:r>
      <w:r>
        <w:rPr>
          <w:rFonts w:ascii="仿宋_GB2312" w:eastAsia="仿宋_GB2312"/>
          <w:sz w:val="32"/>
          <w:szCs w:val="32"/>
          <w:lang w:eastAsia="zh-CN"/>
        </w:rPr>
        <w:t>市委政法委大楼运行经费、网格化服务管理中心运行经费。</w:t>
      </w:r>
    </w:p>
    <w:p w14:paraId="36E17D24" w14:textId="77777777" w:rsidR="00B46B79"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038A927E"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一般公共服务支出（类）1,355.66万元，占89.40%。</w:t>
      </w:r>
    </w:p>
    <w:p w14:paraId="76229907"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社会保障和就业支出（类）73.48万元，占4.85%。</w:t>
      </w:r>
    </w:p>
    <w:p w14:paraId="285596A8"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卫生健康支出（类）53.00万元，占3.50%。</w:t>
      </w:r>
    </w:p>
    <w:p w14:paraId="76818145"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住房保障支出（类）34.18万元，占2.25%。</w:t>
      </w:r>
    </w:p>
    <w:p w14:paraId="614936E4" w14:textId="77777777" w:rsidR="00B46B79"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50CBA85C"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1、一般公共服务支出（类）其他共产党事务支出（款）行政运行（项）：支出决算数为876.66万元，比上年决算减少120.30万元，下降12.07%，主要原因是：</w:t>
      </w:r>
      <w:r>
        <w:rPr>
          <w:rFonts w:ascii="仿宋_GB2312" w:eastAsia="仿宋_GB2312" w:hint="eastAsia"/>
          <w:sz w:val="32"/>
          <w:szCs w:val="32"/>
          <w:lang w:eastAsia="zh-CN"/>
        </w:rPr>
        <w:t>单位年初在职人员减少，年末新进职工职级低，工资、津贴补贴、奖金等人员经费减少</w:t>
      </w:r>
      <w:r>
        <w:rPr>
          <w:rFonts w:ascii="仿宋_GB2312" w:eastAsia="仿宋_GB2312"/>
          <w:sz w:val="32"/>
          <w:szCs w:val="32"/>
          <w:lang w:eastAsia="zh-CN"/>
        </w:rPr>
        <w:t>。</w:t>
      </w:r>
    </w:p>
    <w:p w14:paraId="3006C1F7"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2、一般公共服务支出（类）其他共产党事务支出（款）事业运行（项）：支出决算数为93.16万元，比上年决算减少5.22万元，下降5.31%，主要原因是：</w:t>
      </w:r>
      <w:r>
        <w:rPr>
          <w:rFonts w:ascii="仿宋_GB2312" w:eastAsia="仿宋_GB2312" w:hint="eastAsia"/>
          <w:sz w:val="32"/>
          <w:szCs w:val="32"/>
          <w:lang w:eastAsia="zh-CN"/>
        </w:rPr>
        <w:t>单位年初在职人员减少，年末新进职工职级低，工资、津贴补贴、奖金等人员经费减少</w:t>
      </w:r>
      <w:r>
        <w:rPr>
          <w:rFonts w:ascii="仿宋_GB2312" w:eastAsia="仿宋_GB2312"/>
          <w:sz w:val="32"/>
          <w:szCs w:val="32"/>
          <w:lang w:eastAsia="zh-CN"/>
        </w:rPr>
        <w:t>。</w:t>
      </w:r>
    </w:p>
    <w:p w14:paraId="0E4BF3D4"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3、一般公共服务支出（类）其他共产党事务支出（款）其他共产党事务支出（项）：支出决算数为385.84万元，比上年决算增加158.92万元，增长70.03%，主要原因是：</w:t>
      </w:r>
      <w:r>
        <w:rPr>
          <w:rFonts w:ascii="仿宋_GB2312" w:eastAsia="仿宋_GB2312" w:hint="eastAsia"/>
          <w:sz w:val="32"/>
          <w:szCs w:val="32"/>
          <w:lang w:eastAsia="zh-CN"/>
        </w:rPr>
        <w:t>本年单位</w:t>
      </w:r>
      <w:r>
        <w:rPr>
          <w:rFonts w:ascii="仿宋_GB2312" w:eastAsia="仿宋_GB2312"/>
          <w:sz w:val="32"/>
          <w:szCs w:val="32"/>
          <w:lang w:eastAsia="zh-CN"/>
        </w:rPr>
        <w:t>网格化服务管理中心专项经费增加。</w:t>
      </w:r>
    </w:p>
    <w:p w14:paraId="12D5D05A" w14:textId="784A6ED4"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4、公共安全支出（类）其他公共安全支出（款）其他公共安全支出（项）：支出决算数为0.00万元，比上年决算减少328.20万元，下降100.00%，主要原因是：本年单位减少</w:t>
      </w:r>
      <w:r>
        <w:rPr>
          <w:rFonts w:ascii="仿宋_GB2312" w:eastAsia="仿宋_GB2312" w:hint="eastAsia"/>
          <w:sz w:val="32"/>
          <w:szCs w:val="32"/>
          <w:lang w:eastAsia="zh-CN"/>
        </w:rPr>
        <w:t>“</w:t>
      </w:r>
      <w:r>
        <w:rPr>
          <w:rFonts w:ascii="仿宋_GB2312" w:eastAsia="仿宋_GB2312"/>
          <w:sz w:val="32"/>
          <w:szCs w:val="32"/>
          <w:lang w:eastAsia="zh-CN"/>
        </w:rPr>
        <w:t>三张网</w:t>
      </w:r>
      <w:r>
        <w:rPr>
          <w:rFonts w:ascii="仿宋_GB2312" w:eastAsia="仿宋_GB2312" w:hint="eastAsia"/>
          <w:sz w:val="32"/>
          <w:szCs w:val="32"/>
          <w:lang w:eastAsia="zh-CN"/>
        </w:rPr>
        <w:t>”</w:t>
      </w:r>
      <w:r>
        <w:rPr>
          <w:rFonts w:ascii="仿宋_GB2312" w:eastAsia="仿宋_GB2312"/>
          <w:sz w:val="32"/>
          <w:szCs w:val="32"/>
          <w:lang w:eastAsia="zh-CN"/>
        </w:rPr>
        <w:t>建设补助</w:t>
      </w:r>
      <w:r w:rsidR="00486055">
        <w:rPr>
          <w:rFonts w:ascii="仿宋_GB2312" w:eastAsia="仿宋_GB2312" w:hint="eastAsia"/>
          <w:sz w:val="32"/>
          <w:szCs w:val="32"/>
          <w:lang w:eastAsia="zh-CN"/>
        </w:rPr>
        <w:t>项目</w:t>
      </w:r>
      <w:r>
        <w:rPr>
          <w:rFonts w:ascii="仿宋_GB2312" w:eastAsia="仿宋_GB2312"/>
          <w:sz w:val="32"/>
          <w:szCs w:val="32"/>
          <w:lang w:eastAsia="zh-CN"/>
        </w:rPr>
        <w:t>资金。</w:t>
      </w:r>
    </w:p>
    <w:p w14:paraId="2FA6D959"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5、社会保障和就业支出（类）行政事业单位养老支出（款）机关事业单位基本养老保险缴费支出（项）：支出决算数为45.21万元，比上年决算增加0.64万元，增长1.44%，主要原因是：</w:t>
      </w:r>
      <w:r>
        <w:rPr>
          <w:rFonts w:ascii="仿宋_GB2312" w:eastAsia="仿宋_GB2312" w:hint="eastAsia"/>
          <w:sz w:val="32"/>
          <w:szCs w:val="32"/>
          <w:lang w:eastAsia="zh-CN"/>
        </w:rPr>
        <w:t>本年单位基本医疗保险缴费基数增加，养老保险缴费支出增加。</w:t>
      </w:r>
    </w:p>
    <w:p w14:paraId="2EECFE34" w14:textId="01CF9C42"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6、社会保障和就业支出（类）行政事业单位养老支出（款）机关事业单位职业年金缴费支出（项）：支出决算数为28.26万元，比上年决算增加28.26万元，增长100.00%，主要原因是：</w:t>
      </w:r>
      <w:r>
        <w:rPr>
          <w:rFonts w:ascii="仿宋_GB2312" w:eastAsia="仿宋_GB2312" w:hint="eastAsia"/>
          <w:sz w:val="32"/>
          <w:szCs w:val="32"/>
          <w:lang w:eastAsia="zh-CN"/>
        </w:rPr>
        <w:t>本年单位人员一次性职业年金</w:t>
      </w:r>
      <w:r w:rsidR="00486055">
        <w:rPr>
          <w:rFonts w:ascii="仿宋_GB2312" w:eastAsia="仿宋_GB2312" w:hint="eastAsia"/>
          <w:sz w:val="32"/>
          <w:szCs w:val="32"/>
          <w:lang w:eastAsia="zh-CN"/>
        </w:rPr>
        <w:t>缴费</w:t>
      </w:r>
      <w:r>
        <w:rPr>
          <w:rFonts w:ascii="仿宋_GB2312" w:eastAsia="仿宋_GB2312" w:hint="eastAsia"/>
          <w:sz w:val="32"/>
          <w:szCs w:val="32"/>
          <w:lang w:eastAsia="zh-CN"/>
        </w:rPr>
        <w:t>增加。</w:t>
      </w:r>
    </w:p>
    <w:p w14:paraId="54E0E6AF" w14:textId="476E395F"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7、卫生健康支出（类）公共卫生（款）突发公共卫生事件应急处置（项）：支出决算数为22.86万元，比上年决算减少41.34万元，下降64.39%，主要原因是：本年单位餐饮住宿、补助等项目资金减少。</w:t>
      </w:r>
    </w:p>
    <w:p w14:paraId="52FEA097" w14:textId="785D449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8、卫生健康支出（类）行政事业单位医疗（款）行政单位医疗（项）：支出决算数为19.44万元，比上年决算增加1.02万元，增长5.54%，主要原因是：</w:t>
      </w:r>
      <w:r w:rsidR="000F77A6" w:rsidRPr="00492284">
        <w:rPr>
          <w:rFonts w:ascii="仿宋_GB2312" w:eastAsia="仿宋_GB2312" w:hint="eastAsia"/>
          <w:sz w:val="32"/>
          <w:szCs w:val="32"/>
          <w:lang w:eastAsia="zh-CN"/>
        </w:rPr>
        <w:t>单位本年社保缴费基数调增，人员</w:t>
      </w:r>
      <w:r w:rsidR="000F77A6">
        <w:rPr>
          <w:rFonts w:ascii="仿宋_GB2312" w:eastAsia="仿宋_GB2312" w:hint="eastAsia"/>
          <w:sz w:val="32"/>
          <w:szCs w:val="32"/>
          <w:lang w:eastAsia="zh-CN"/>
        </w:rPr>
        <w:t>医疗</w:t>
      </w:r>
      <w:r w:rsidR="000F77A6" w:rsidRPr="00492284">
        <w:rPr>
          <w:rFonts w:ascii="仿宋_GB2312" w:eastAsia="仿宋_GB2312" w:hint="eastAsia"/>
          <w:sz w:val="32"/>
          <w:szCs w:val="32"/>
          <w:lang w:eastAsia="zh-CN"/>
        </w:rPr>
        <w:t>保险缴费增加</w:t>
      </w:r>
      <w:r>
        <w:rPr>
          <w:rFonts w:ascii="仿宋_GB2312" w:eastAsia="仿宋_GB2312"/>
          <w:sz w:val="32"/>
          <w:szCs w:val="32"/>
          <w:lang w:eastAsia="zh-CN"/>
        </w:rPr>
        <w:t>。</w:t>
      </w:r>
    </w:p>
    <w:p w14:paraId="0D63929B" w14:textId="7667134A"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9、卫生健康支出（类）行政事业单位医疗（款）事业单位医疗（项）：支出决算数为7.69万元，比上年决算减少0.35万元，下降4.35%，主要原因是：</w:t>
      </w:r>
      <w:bookmarkStart w:id="0" w:name="_Hlk209810098"/>
      <w:r w:rsidR="000F77A6" w:rsidRPr="00492284">
        <w:rPr>
          <w:rFonts w:ascii="仿宋_GB2312" w:eastAsia="仿宋_GB2312" w:hint="eastAsia"/>
          <w:sz w:val="32"/>
          <w:szCs w:val="32"/>
          <w:lang w:eastAsia="zh-CN"/>
        </w:rPr>
        <w:t>新公招人员缴费基数低于调出人员，缴费基数总额减少，导致</w:t>
      </w:r>
      <w:r w:rsidR="000F77A6">
        <w:rPr>
          <w:rFonts w:ascii="仿宋_GB2312" w:eastAsia="仿宋_GB2312" w:hint="eastAsia"/>
          <w:sz w:val="32"/>
          <w:szCs w:val="32"/>
          <w:lang w:eastAsia="zh-CN"/>
        </w:rPr>
        <w:t>人员医疗</w:t>
      </w:r>
      <w:r w:rsidR="000F77A6" w:rsidRPr="00492284">
        <w:rPr>
          <w:rFonts w:ascii="仿宋_GB2312" w:eastAsia="仿宋_GB2312" w:hint="eastAsia"/>
          <w:sz w:val="32"/>
          <w:szCs w:val="32"/>
          <w:lang w:eastAsia="zh-CN"/>
        </w:rPr>
        <w:t>保险缴费减少</w:t>
      </w:r>
      <w:bookmarkEnd w:id="0"/>
      <w:r>
        <w:rPr>
          <w:rFonts w:ascii="仿宋_GB2312" w:eastAsia="仿宋_GB2312"/>
          <w:sz w:val="32"/>
          <w:szCs w:val="32"/>
          <w:lang w:eastAsia="zh-CN"/>
        </w:rPr>
        <w:t>。</w:t>
      </w:r>
    </w:p>
    <w:p w14:paraId="3FFBFE4E" w14:textId="725A831D"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10、卫生健康支出（类）行政事业单位医疗（款）公务员医疗补助（项）：支出决算数为2.86万元，比上年决算增加</w:t>
      </w:r>
      <w:r>
        <w:rPr>
          <w:rFonts w:ascii="仿宋_GB2312" w:eastAsia="仿宋_GB2312"/>
          <w:sz w:val="32"/>
          <w:szCs w:val="32"/>
          <w:lang w:eastAsia="zh-CN"/>
        </w:rPr>
        <w:lastRenderedPageBreak/>
        <w:t>0.07万元，增长2.51%，主要原因是：</w:t>
      </w:r>
      <w:bookmarkStart w:id="1" w:name="_Hlk209521344"/>
      <w:r w:rsidR="000F77A6" w:rsidRPr="00492284">
        <w:rPr>
          <w:rFonts w:ascii="仿宋_GB2312" w:eastAsia="仿宋_GB2312" w:hint="eastAsia"/>
          <w:sz w:val="32"/>
          <w:szCs w:val="32"/>
          <w:lang w:eastAsia="zh-CN"/>
        </w:rPr>
        <w:t>单位本年社保缴费基数调增，人员</w:t>
      </w:r>
      <w:r w:rsidR="000F77A6">
        <w:rPr>
          <w:rFonts w:ascii="仿宋_GB2312" w:eastAsia="仿宋_GB2312" w:hint="eastAsia"/>
          <w:sz w:val="32"/>
          <w:szCs w:val="32"/>
          <w:lang w:eastAsia="zh-CN"/>
        </w:rPr>
        <w:t>医疗</w:t>
      </w:r>
      <w:r w:rsidR="000F77A6" w:rsidRPr="00492284">
        <w:rPr>
          <w:rFonts w:ascii="仿宋_GB2312" w:eastAsia="仿宋_GB2312" w:hint="eastAsia"/>
          <w:sz w:val="32"/>
          <w:szCs w:val="32"/>
          <w:lang w:eastAsia="zh-CN"/>
        </w:rPr>
        <w:t>保险缴费增加</w:t>
      </w:r>
      <w:bookmarkEnd w:id="1"/>
      <w:r>
        <w:rPr>
          <w:rFonts w:ascii="仿宋_GB2312" w:eastAsia="仿宋_GB2312"/>
          <w:sz w:val="32"/>
          <w:szCs w:val="32"/>
          <w:lang w:eastAsia="zh-CN"/>
        </w:rPr>
        <w:t>。</w:t>
      </w:r>
    </w:p>
    <w:p w14:paraId="4157C071" w14:textId="582C82BA"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11、卫生健康支出（类）行政事业单位医疗（款）其他行政事业单位医疗支出（项）：支出决算数为0.15万元，比上年决算减少0.01万元，下降6.25%，主要原因是：</w:t>
      </w:r>
      <w:r>
        <w:rPr>
          <w:rFonts w:ascii="仿宋_GB2312" w:eastAsia="仿宋_GB2312" w:hint="eastAsia"/>
          <w:sz w:val="32"/>
          <w:szCs w:val="32"/>
          <w:lang w:eastAsia="zh-CN"/>
        </w:rPr>
        <w:t>单位</w:t>
      </w:r>
      <w:r w:rsidR="000F77A6">
        <w:rPr>
          <w:rFonts w:ascii="仿宋_GB2312" w:eastAsia="仿宋_GB2312" w:hint="eastAsia"/>
          <w:sz w:val="32"/>
          <w:szCs w:val="32"/>
          <w:lang w:eastAsia="zh-CN"/>
        </w:rPr>
        <w:t>本年人员大病</w:t>
      </w:r>
      <w:r>
        <w:rPr>
          <w:rFonts w:ascii="仿宋_GB2312" w:eastAsia="仿宋_GB2312" w:hint="eastAsia"/>
          <w:sz w:val="32"/>
          <w:szCs w:val="32"/>
          <w:lang w:eastAsia="zh-CN"/>
        </w:rPr>
        <w:t>医疗补助缴费减少。</w:t>
      </w:r>
    </w:p>
    <w:p w14:paraId="5E7E7B2D"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12、住房保障支出（类）住房改革支出（款）住房公积金（项）：支出决算数为34.18万元，比上年决算增加0.47万元，增长1.39%，主要原因是：</w:t>
      </w:r>
      <w:r>
        <w:rPr>
          <w:rFonts w:ascii="仿宋_GB2312" w:eastAsia="仿宋_GB2312" w:hint="eastAsia"/>
          <w:sz w:val="32"/>
          <w:szCs w:val="32"/>
          <w:lang w:eastAsia="zh-CN"/>
        </w:rPr>
        <w:t>本年单位住房公积金缴费基数调增，</w:t>
      </w:r>
      <w:r>
        <w:rPr>
          <w:rFonts w:ascii="仿宋_GB2312" w:eastAsia="仿宋_GB2312"/>
          <w:sz w:val="32"/>
          <w:szCs w:val="32"/>
          <w:lang w:eastAsia="zh-CN"/>
        </w:rPr>
        <w:t>住房公积金</w:t>
      </w:r>
      <w:r>
        <w:rPr>
          <w:rFonts w:ascii="仿宋_GB2312" w:eastAsia="仿宋_GB2312" w:hint="eastAsia"/>
          <w:sz w:val="32"/>
          <w:szCs w:val="32"/>
          <w:lang w:eastAsia="zh-CN"/>
        </w:rPr>
        <w:t>支出</w:t>
      </w:r>
      <w:r>
        <w:rPr>
          <w:rFonts w:ascii="仿宋_GB2312" w:eastAsia="仿宋_GB2312"/>
          <w:sz w:val="32"/>
          <w:szCs w:val="32"/>
          <w:lang w:eastAsia="zh-CN"/>
        </w:rPr>
        <w:t>增加。</w:t>
      </w:r>
    </w:p>
    <w:p w14:paraId="35485C2B"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404A9E6"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1,107.62万元，其中：人员经费1,058.24万元，包括：基本工资、津贴补贴、奖金、机关事业单位基本养老保险缴费、职业年金缴费、职工基本医疗保险缴费、公务员医疗补助缴费、其他社会保障缴费、住房公积金、医疗费、其他工资福利支出、退休费、奖励金和其他对个人和家庭的补助。</w:t>
      </w:r>
    </w:p>
    <w:p w14:paraId="31F6B2F3"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公用经费49.38万元，包括：办公费、印刷费、咨询费、手续费、水费、电费、邮电费、取暖费、物业管理费、差旅费、公务用车运行维护费和其他交通费用。</w:t>
      </w:r>
    </w:p>
    <w:p w14:paraId="603BD850"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2E64C34"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2024年度政府性基金预算财政拨款收入总计52.28万元，其中：年初结转和结余0.00万元，本年收入52.28万元。政府性基金预算财政拨款支出总计52.28万元，其中：年末结转和结余0.00万元，本年支出52.28万元。</w:t>
      </w:r>
    </w:p>
    <w:p w14:paraId="08064A40"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政府性基金预算财政拨款收入支出总体与上年相比，增加52.28万元，增长100%，主要原因是：</w:t>
      </w:r>
      <w:r>
        <w:rPr>
          <w:rFonts w:ascii="仿宋_GB2312" w:eastAsia="仿宋_GB2312" w:hint="eastAsia"/>
          <w:sz w:val="32"/>
          <w:szCs w:val="32"/>
          <w:lang w:eastAsia="zh-CN"/>
        </w:rPr>
        <w:t>本年单位化解中小企业欠款资金、第五批集中化解中小企业欠款资金</w:t>
      </w:r>
      <w:r>
        <w:rPr>
          <w:rFonts w:ascii="仿宋_GB2312" w:eastAsia="仿宋_GB2312"/>
          <w:sz w:val="32"/>
          <w:szCs w:val="32"/>
          <w:lang w:eastAsia="zh-CN"/>
        </w:rPr>
        <w:t>增加。与年初预算相比，年初预算数0.00万元，决算数52.28万元，预决算差异率100%，主要原因是：</w:t>
      </w:r>
      <w:r>
        <w:rPr>
          <w:rFonts w:ascii="仿宋_GB2312" w:eastAsia="仿宋_GB2312" w:hint="eastAsia"/>
          <w:sz w:val="32"/>
          <w:szCs w:val="32"/>
          <w:lang w:eastAsia="zh-CN"/>
        </w:rPr>
        <w:t>年中追加化解中小企业欠款资金、第五批集中化解中小企业欠款资金</w:t>
      </w:r>
      <w:r>
        <w:rPr>
          <w:rFonts w:ascii="仿宋_GB2312" w:eastAsia="仿宋_GB2312"/>
          <w:sz w:val="32"/>
          <w:szCs w:val="32"/>
          <w:lang w:eastAsia="zh-CN"/>
        </w:rPr>
        <w:t>。</w:t>
      </w:r>
    </w:p>
    <w:p w14:paraId="745B2754"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政府性基金预算财政拨款支出52.28万元。</w:t>
      </w:r>
    </w:p>
    <w:p w14:paraId="6800B68D"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1、城乡社区支出（类）国有土地使用权出让收入安排的支出（款）城市建设支出（项）：支出决算数为52.28万元，比上年决算增加52.28万元，增长100.00%，主要原因是</w:t>
      </w:r>
      <w:r>
        <w:rPr>
          <w:rFonts w:ascii="仿宋_GB2312" w:eastAsia="仿宋_GB2312" w:hint="eastAsia"/>
          <w:sz w:val="32"/>
          <w:szCs w:val="32"/>
          <w:lang w:eastAsia="zh-CN"/>
        </w:rPr>
        <w:t>本年单位化解中小企业欠款资金、第五批集中化解中小企业欠款资金</w:t>
      </w:r>
      <w:r>
        <w:rPr>
          <w:rFonts w:ascii="仿宋_GB2312" w:eastAsia="仿宋_GB2312"/>
          <w:sz w:val="32"/>
          <w:szCs w:val="32"/>
          <w:lang w:eastAsia="zh-CN"/>
        </w:rPr>
        <w:t>增加。</w:t>
      </w:r>
    </w:p>
    <w:p w14:paraId="7E6834EE"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EC39C5F"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152E9EA"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4E48428" w14:textId="1DE033F5"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经费支出7.80万元，比上年增加1.10万元，增长16.42%，主要原因是：</w:t>
      </w:r>
      <w:r>
        <w:rPr>
          <w:rFonts w:ascii="仿宋_GB2312" w:eastAsia="仿宋_GB2312" w:hint="eastAsia"/>
          <w:sz w:val="32"/>
          <w:szCs w:val="32"/>
          <w:lang w:eastAsia="zh-CN"/>
        </w:rPr>
        <w:t>我单位增加车辆</w:t>
      </w:r>
      <w:r w:rsidR="00AB20A9">
        <w:rPr>
          <w:rFonts w:ascii="仿宋_GB2312" w:eastAsia="仿宋_GB2312" w:hint="eastAsia"/>
          <w:sz w:val="32"/>
          <w:szCs w:val="32"/>
          <w:lang w:eastAsia="zh-CN"/>
        </w:rPr>
        <w:t>出行</w:t>
      </w:r>
      <w:r>
        <w:rPr>
          <w:rFonts w:ascii="仿宋_GB2312" w:eastAsia="仿宋_GB2312" w:hint="eastAsia"/>
          <w:sz w:val="32"/>
          <w:szCs w:val="32"/>
          <w:lang w:eastAsia="zh-CN"/>
        </w:rPr>
        <w:t>次数，燃油费和车辆维修费增加</w:t>
      </w:r>
      <w:r>
        <w:rPr>
          <w:rFonts w:ascii="仿宋_GB2312" w:eastAsia="仿宋_GB2312"/>
          <w:sz w:val="32"/>
          <w:szCs w:val="32"/>
          <w:lang w:eastAsia="zh-CN"/>
        </w:rPr>
        <w:t>。其中：</w:t>
      </w:r>
      <w:bookmarkStart w:id="2" w:name="OLE_LINK1"/>
      <w:r>
        <w:rPr>
          <w:rFonts w:ascii="仿宋_GB2312" w:eastAsia="仿宋_GB2312"/>
          <w:sz w:val="32"/>
          <w:szCs w:val="32"/>
          <w:lang w:eastAsia="zh-CN"/>
        </w:rPr>
        <w:t>因公出国（境）费</w:t>
      </w:r>
      <w:bookmarkEnd w:id="2"/>
      <w:r>
        <w:rPr>
          <w:rFonts w:ascii="仿宋_GB2312" w:eastAsia="仿宋_GB2312"/>
          <w:sz w:val="32"/>
          <w:szCs w:val="32"/>
          <w:lang w:eastAsia="zh-CN"/>
        </w:rPr>
        <w:t>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因公出国（境）费；公务用车购置及运行维护费支出7.80万元，占100.00%，比上年增加1.10万元，增长16.42%，主要原因是：</w:t>
      </w:r>
      <w:r>
        <w:rPr>
          <w:rFonts w:ascii="仿宋_GB2312" w:eastAsia="仿宋_GB2312" w:hint="eastAsia"/>
          <w:sz w:val="32"/>
          <w:szCs w:val="32"/>
          <w:lang w:eastAsia="zh-CN"/>
        </w:rPr>
        <w:t>我单位增加车辆</w:t>
      </w:r>
      <w:r w:rsidR="00AB20A9">
        <w:rPr>
          <w:rFonts w:ascii="仿宋_GB2312" w:eastAsia="仿宋_GB2312" w:hint="eastAsia"/>
          <w:sz w:val="32"/>
          <w:szCs w:val="32"/>
          <w:lang w:eastAsia="zh-CN"/>
        </w:rPr>
        <w:t>出行</w:t>
      </w:r>
      <w:r>
        <w:rPr>
          <w:rFonts w:ascii="仿宋_GB2312" w:eastAsia="仿宋_GB2312" w:hint="eastAsia"/>
          <w:sz w:val="32"/>
          <w:szCs w:val="32"/>
          <w:lang w:eastAsia="zh-CN"/>
        </w:rPr>
        <w:t>次数，燃油费和车辆维修费增加；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w:t>
      </w:r>
      <w:r>
        <w:rPr>
          <w:rFonts w:ascii="仿宋_GB2312" w:eastAsia="仿宋_GB2312"/>
          <w:sz w:val="32"/>
          <w:szCs w:val="32"/>
          <w:lang w:eastAsia="zh-CN"/>
        </w:rPr>
        <w:t>。</w:t>
      </w:r>
    </w:p>
    <w:p w14:paraId="5DAEDDAD"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87B2C50"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因公出国（境）费支出。单位全年安排的因公出国（境）团组0个，因公出国（境）0人次。</w:t>
      </w:r>
    </w:p>
    <w:p w14:paraId="485FB335"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公务用车购置及运行维护费7.80万元，其中：公务用车购置费0.00万元，公务用车运行维护费7.80万元。公务用车运行维护费开支内容包括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。公务用车购置数0辆，公务用车保有量4辆。国有资产占用情况中固定资产车辆4辆，与公务用车保有量差异原因是：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1A6AD04C"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0EC5B77F"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经费支出全年预算数7.80万元，决算数7.80万元，预决算差异率0.00%，主要原因是：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无差异。其中：因公出国（境）费全年预算数0.00万元，决算数0.00万元，预决算差异率0.00%，主要原因是：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无差异；公务用车购置费全年预算数0.00万元，决算数0.00万元，预决算差异率0.00%，主要原因是：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无差异；公务用车运行维护费全年预算数7.80万元，决算数7.80万元，预决算差异率0.00%，主要原因是：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无差异；公务接待费全年预算数0.00万元，决算数0.00万元，预决算差异率0.00%，主要原因是：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w:t>
      </w:r>
    </w:p>
    <w:p w14:paraId="521D4C57"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49069134" w14:textId="77777777" w:rsidR="00B46B79"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1BFD4B70" w14:textId="74E40FC4"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2024年度中国共产党昌吉市委员会政法委员会单位（行政单位和参照公务员法管理事业单位）机关运行经费支出49.38万元，比上年增加4.05万元，增长8.93%，主要原因是：</w:t>
      </w:r>
      <w:r>
        <w:rPr>
          <w:rFonts w:ascii="仿宋_GB2312" w:eastAsia="仿宋_GB2312" w:hint="eastAsia"/>
          <w:sz w:val="32"/>
          <w:szCs w:val="32"/>
          <w:lang w:eastAsia="zh-CN"/>
        </w:rPr>
        <w:t>本年单位</w:t>
      </w:r>
      <w:r>
        <w:rPr>
          <w:rFonts w:ascii="仿宋_GB2312" w:eastAsia="仿宋_GB2312"/>
          <w:sz w:val="32"/>
          <w:szCs w:val="32"/>
          <w:lang w:eastAsia="zh-CN"/>
        </w:rPr>
        <w:t>取暖费、物业管理费、差旅费、公务用车运行维护费</w:t>
      </w:r>
      <w:r>
        <w:rPr>
          <w:rFonts w:ascii="仿宋_GB2312" w:eastAsia="仿宋_GB2312" w:hint="eastAsia"/>
          <w:sz w:val="32"/>
          <w:szCs w:val="32"/>
          <w:lang w:eastAsia="zh-CN"/>
        </w:rPr>
        <w:t>、</w:t>
      </w:r>
      <w:r>
        <w:rPr>
          <w:rFonts w:ascii="仿宋_GB2312" w:eastAsia="仿宋_GB2312"/>
          <w:sz w:val="32"/>
          <w:szCs w:val="32"/>
          <w:lang w:eastAsia="zh-CN"/>
        </w:rPr>
        <w:t>其他交通费增加。</w:t>
      </w:r>
    </w:p>
    <w:p w14:paraId="5F43CF78" w14:textId="77777777" w:rsidR="00B46B79"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477B08E2"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2024年度政府采购支出总额13.67万元，其中：政府采购货物支出0.71万元、政府采购工程支出0.00万元、政府采购服务支出12.96万元。</w:t>
      </w:r>
    </w:p>
    <w:p w14:paraId="56109B38"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授予中小企业合同金额13.67万元，占政府采购支出总额的100.00%，其中：授予小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合同金额13.67万元，占政府采购支出总额的100.00%。</w:t>
      </w:r>
    </w:p>
    <w:p w14:paraId="561F9A5E" w14:textId="77777777" w:rsidR="00B46B79"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1571FEFD"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4辆，价值79.35万元，其中：副部（省）级及以</w:t>
      </w:r>
      <w:r>
        <w:rPr>
          <w:rFonts w:ascii="仿宋_GB2312" w:eastAsia="仿宋_GB2312"/>
          <w:sz w:val="32"/>
          <w:szCs w:val="32"/>
          <w:lang w:eastAsia="zh-CN"/>
        </w:rPr>
        <w:lastRenderedPageBreak/>
        <w:t>上领导用车0辆、主要负责人用车0辆、机要通信用车0辆、应急保障用车0辆、执法执勤用车0辆、特种专业技术用车0辆、离退休干部服务用车0辆、其他用车4辆，其他用车主要是：</w:t>
      </w:r>
      <w:proofErr w:type="gramStart"/>
      <w:r>
        <w:rPr>
          <w:rFonts w:ascii="仿宋_GB2312" w:eastAsia="仿宋_GB2312" w:hint="eastAsia"/>
          <w:sz w:val="32"/>
          <w:szCs w:val="32"/>
          <w:lang w:eastAsia="zh-CN"/>
        </w:rPr>
        <w:t>单位业务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514FE688"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14BD936"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1,568.60</w:t>
      </w:r>
      <w:r>
        <w:rPr>
          <w:rFonts w:ascii="仿宋_GB2312" w:eastAsia="仿宋_GB2312"/>
          <w:sz w:val="32"/>
          <w:szCs w:val="32"/>
          <w:lang w:eastAsia="zh-CN"/>
        </w:rPr>
        <w:t>万元，实际执行总额</w:t>
      </w:r>
      <w:r>
        <w:rPr>
          <w:rFonts w:ascii="仿宋_GB2312" w:eastAsia="仿宋_GB2312" w:hint="eastAsia"/>
          <w:sz w:val="32"/>
          <w:szCs w:val="32"/>
          <w:lang w:eastAsia="zh-CN"/>
        </w:rPr>
        <w:t>1,568.60</w:t>
      </w:r>
      <w:r>
        <w:rPr>
          <w:rFonts w:ascii="仿宋_GB2312" w:eastAsia="仿宋_GB2312"/>
          <w:sz w:val="32"/>
          <w:szCs w:val="32"/>
          <w:lang w:eastAsia="zh-CN"/>
        </w:rPr>
        <w:t>万元；预算绩效评价项目</w:t>
      </w:r>
      <w:r>
        <w:rPr>
          <w:rFonts w:ascii="仿宋_GB2312" w:eastAsia="仿宋_GB2312" w:hint="eastAsia"/>
          <w:sz w:val="32"/>
          <w:szCs w:val="32"/>
          <w:lang w:eastAsia="zh-CN"/>
        </w:rPr>
        <w:t>1</w:t>
      </w:r>
      <w:r>
        <w:rPr>
          <w:rFonts w:ascii="仿宋_GB2312" w:eastAsia="仿宋_GB2312"/>
          <w:sz w:val="32"/>
          <w:szCs w:val="32"/>
          <w:lang w:eastAsia="zh-CN"/>
        </w:rPr>
        <w:t>个，全年预算数</w:t>
      </w:r>
      <w:r>
        <w:rPr>
          <w:rFonts w:ascii="仿宋_GB2312" w:eastAsia="仿宋_GB2312" w:hint="eastAsia"/>
          <w:sz w:val="32"/>
          <w:szCs w:val="32"/>
          <w:lang w:eastAsia="zh-CN"/>
        </w:rPr>
        <w:t>30.00</w:t>
      </w:r>
      <w:r>
        <w:rPr>
          <w:rFonts w:ascii="仿宋_GB2312" w:eastAsia="仿宋_GB2312"/>
          <w:sz w:val="32"/>
          <w:szCs w:val="32"/>
          <w:lang w:eastAsia="zh-CN"/>
        </w:rPr>
        <w:t>万元，全年执行数</w:t>
      </w:r>
      <w:r>
        <w:rPr>
          <w:rFonts w:ascii="仿宋_GB2312" w:eastAsia="仿宋_GB2312" w:hint="eastAsia"/>
          <w:sz w:val="32"/>
          <w:szCs w:val="32"/>
          <w:lang w:eastAsia="zh-CN"/>
        </w:rPr>
        <w:t>30.00</w:t>
      </w:r>
      <w:r>
        <w:rPr>
          <w:rFonts w:ascii="仿宋_GB2312" w:eastAsia="仿宋_GB2312"/>
          <w:sz w:val="32"/>
          <w:szCs w:val="32"/>
          <w:lang w:eastAsia="zh-CN"/>
        </w:rPr>
        <w:t>万元。预算绩效管理取得的成效：一是我单位2024年度部门整体支出绩效自评综合得分99.96分，评价结果为</w:t>
      </w:r>
      <w:r>
        <w:rPr>
          <w:rFonts w:ascii="仿宋_GB2312" w:eastAsia="仿宋_GB2312"/>
          <w:sz w:val="32"/>
          <w:szCs w:val="32"/>
          <w:lang w:eastAsia="zh-CN"/>
        </w:rPr>
        <w:t>“</w:t>
      </w:r>
      <w:r>
        <w:rPr>
          <w:rFonts w:ascii="仿宋_GB2312" w:eastAsia="仿宋_GB2312"/>
          <w:sz w:val="32"/>
          <w:szCs w:val="32"/>
          <w:lang w:eastAsia="zh-CN"/>
        </w:rPr>
        <w:t>优</w:t>
      </w:r>
      <w:r>
        <w:rPr>
          <w:rFonts w:ascii="仿宋_GB2312" w:eastAsia="仿宋_GB2312"/>
          <w:sz w:val="32"/>
          <w:szCs w:val="32"/>
          <w:lang w:eastAsia="zh-CN"/>
        </w:rPr>
        <w:t>”</w:t>
      </w:r>
      <w:r>
        <w:rPr>
          <w:rFonts w:ascii="仿宋_GB2312" w:eastAsia="仿宋_GB2312"/>
          <w:sz w:val="32"/>
          <w:szCs w:val="32"/>
          <w:lang w:eastAsia="zh-CN"/>
        </w:rPr>
        <w:t>；二是单位2024年部门履职效果良好，完成了各部门落实社会治安综合治理各项措施，负责本地政法工作全面部署，维护社会有序发展。对2024年政法工作</w:t>
      </w:r>
      <w:proofErr w:type="gramStart"/>
      <w:r>
        <w:rPr>
          <w:rFonts w:ascii="仿宋_GB2312" w:eastAsia="仿宋_GB2312"/>
          <w:sz w:val="32"/>
          <w:szCs w:val="32"/>
          <w:lang w:eastAsia="zh-CN"/>
        </w:rPr>
        <w:t>作出</w:t>
      </w:r>
      <w:proofErr w:type="gramEnd"/>
      <w:r>
        <w:rPr>
          <w:rFonts w:ascii="仿宋_GB2312" w:eastAsia="仿宋_GB2312"/>
          <w:sz w:val="32"/>
          <w:szCs w:val="32"/>
          <w:lang w:eastAsia="zh-CN"/>
        </w:rPr>
        <w:t>全局性部署并检查落实。支持和督促政法各部门依法行使职权，协调政法各部门的关系。保证各单位综治及维</w:t>
      </w:r>
      <w:r>
        <w:rPr>
          <w:rFonts w:ascii="仿宋_GB2312" w:eastAsia="仿宋_GB2312" w:hint="eastAsia"/>
          <w:sz w:val="32"/>
          <w:szCs w:val="32"/>
          <w:lang w:eastAsia="zh-CN"/>
        </w:rPr>
        <w:t>护</w:t>
      </w:r>
      <w:r>
        <w:rPr>
          <w:rFonts w:ascii="仿宋_GB2312" w:eastAsia="仿宋_GB2312"/>
          <w:sz w:val="32"/>
          <w:szCs w:val="32"/>
          <w:lang w:eastAsia="zh-CN"/>
        </w:rPr>
        <w:t>稳</w:t>
      </w:r>
      <w:r>
        <w:rPr>
          <w:rFonts w:ascii="仿宋_GB2312" w:eastAsia="仿宋_GB2312" w:hint="eastAsia"/>
          <w:sz w:val="32"/>
          <w:szCs w:val="32"/>
          <w:lang w:eastAsia="zh-CN"/>
        </w:rPr>
        <w:t>定</w:t>
      </w:r>
      <w:r>
        <w:rPr>
          <w:rFonts w:ascii="仿宋_GB2312" w:eastAsia="仿宋_GB2312"/>
          <w:sz w:val="32"/>
          <w:szCs w:val="32"/>
          <w:lang w:eastAsia="zh-CN"/>
        </w:rPr>
        <w:t>工作进行检查落实。协调政法系统其他单位，更好</w:t>
      </w:r>
      <w:r>
        <w:rPr>
          <w:rFonts w:ascii="仿宋_GB2312" w:eastAsia="仿宋_GB2312" w:hint="eastAsia"/>
          <w:sz w:val="32"/>
          <w:szCs w:val="32"/>
          <w:lang w:eastAsia="zh-CN"/>
        </w:rPr>
        <w:t>地</w:t>
      </w:r>
      <w:r>
        <w:rPr>
          <w:rFonts w:ascii="仿宋_GB2312" w:eastAsia="仿宋_GB2312"/>
          <w:sz w:val="32"/>
          <w:szCs w:val="32"/>
          <w:lang w:eastAsia="zh-CN"/>
        </w:rPr>
        <w:t>落实党和政府交办的各项任务。发现的问题及原因：</w:t>
      </w:r>
      <w:r>
        <w:rPr>
          <w:rFonts w:ascii="仿宋_GB2312" w:eastAsia="仿宋_GB2312" w:hint="eastAsia"/>
          <w:sz w:val="32"/>
          <w:szCs w:val="32"/>
          <w:lang w:eastAsia="zh-CN"/>
        </w:rPr>
        <w:t>一是项目实施中出现进度缓慢的现象，组织实施绩效管理的程序、步骤、方法、原则和要求进行统一的规定</w:t>
      </w:r>
      <w:r>
        <w:rPr>
          <w:rFonts w:ascii="仿宋_GB2312" w:eastAsia="仿宋_GB2312"/>
          <w:sz w:val="32"/>
          <w:szCs w:val="32"/>
          <w:lang w:eastAsia="zh-CN"/>
        </w:rPr>
        <w:t>；二是加强内部配合，充分征求部门意见，根据部门的工作重点和年度工作计划，合理确定各项支出需要，提高预算编制的精准性；三是在初期目标设立时进行实地考察，将各类综合原因考虑进去，加强分析。下一步改进措施：一是建议加大预算管理理论及实际操作培训力度，加强人才储备，要加大理论研究力度。对预算绩效管理进行系统性研究，形成好的意见和建议，为预算绩效管理提供理论上的支持；二是严格按照预算编制的相关制度和规定，根据上年度决算加强支出分析，提高预算编制的科学性，加强内部配合，充分征求部门意见，根据部门的工作重点和年度工作计划，合理确定各项支出需要，提高预算编制的精准性，从严控制追加预算规模，减少资金结余；三是建议加大预算管理理论及实际</w:t>
      </w:r>
      <w:r>
        <w:rPr>
          <w:rFonts w:ascii="仿宋_GB2312" w:eastAsia="仿宋_GB2312"/>
          <w:sz w:val="32"/>
          <w:szCs w:val="32"/>
          <w:lang w:eastAsia="zh-CN"/>
        </w:rPr>
        <w:lastRenderedPageBreak/>
        <w:t>操作培训力度，目标值设立时进行实地考察，将各类综合原因考虑进去，加强分析。具体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55D88C03" w14:textId="77777777" w:rsidR="00B46B79" w:rsidRDefault="00B46B79">
      <w:pPr>
        <w:widowControl w:val="0"/>
        <w:spacing w:after="0" w:line="240" w:lineRule="auto"/>
        <w:rPr>
          <w:rFonts w:ascii="宋体" w:eastAsia="宋体" w:hAnsi="宋体" w:cs="Times New Roman" w:hint="eastAsia"/>
          <w:b/>
          <w:bCs/>
          <w:sz w:val="18"/>
          <w:szCs w:val="18"/>
          <w:lang w:eastAsia="zh-CN"/>
        </w:rPr>
      </w:pPr>
    </w:p>
    <w:p w14:paraId="6F802D0C" w14:textId="77777777" w:rsidR="00B46B79"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234D287C" w14:textId="77777777" w:rsidR="00B46B79"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B46B79" w14:paraId="7F86590E"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6216F217"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5523C6A"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中国共产党昌吉市委员会政法委员会</w:t>
            </w:r>
          </w:p>
        </w:tc>
        <w:tc>
          <w:tcPr>
            <w:tcW w:w="284" w:type="dxa"/>
            <w:tcBorders>
              <w:top w:val="nil"/>
              <w:left w:val="nil"/>
              <w:bottom w:val="nil"/>
              <w:right w:val="nil"/>
            </w:tcBorders>
            <w:noWrap/>
            <w:vAlign w:val="center"/>
          </w:tcPr>
          <w:p w14:paraId="5EE4831A" w14:textId="77777777" w:rsidR="00B46B79" w:rsidRDefault="00B46B79">
            <w:pPr>
              <w:spacing w:after="0" w:line="240" w:lineRule="auto"/>
              <w:rPr>
                <w:rFonts w:ascii="宋体" w:eastAsia="宋体" w:hAnsi="宋体" w:cs="Times New Roman" w:hint="eastAsia"/>
                <w:b/>
                <w:bCs/>
                <w:sz w:val="18"/>
                <w:szCs w:val="18"/>
                <w:lang w:eastAsia="zh-CN"/>
              </w:rPr>
            </w:pPr>
          </w:p>
        </w:tc>
      </w:tr>
      <w:tr w:rsidR="00B46B79" w14:paraId="5BC4BCCD" w14:textId="77777777">
        <w:trPr>
          <w:cantSplit/>
          <w:trHeight w:val="570"/>
          <w:jc w:val="center"/>
        </w:trPr>
        <w:tc>
          <w:tcPr>
            <w:tcW w:w="993" w:type="dxa"/>
            <w:vMerge w:val="restart"/>
            <w:tcBorders>
              <w:top w:val="nil"/>
              <w:left w:val="single" w:sz="4" w:space="0" w:color="auto"/>
              <w:bottom w:val="single" w:sz="4" w:space="0" w:color="auto"/>
              <w:right w:val="single" w:sz="4" w:space="0" w:color="auto"/>
            </w:tcBorders>
            <w:vAlign w:val="center"/>
          </w:tcPr>
          <w:p w14:paraId="60135B68"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61A67F38"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B6B6A66"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72DDA9D6"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CC96E54"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169A6276"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BC00975"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51379702"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5CA908D5" w14:textId="77777777" w:rsidR="00B46B79" w:rsidRDefault="00B46B79">
            <w:pPr>
              <w:spacing w:after="0" w:line="240" w:lineRule="auto"/>
              <w:jc w:val="center"/>
              <w:rPr>
                <w:rFonts w:ascii="宋体" w:eastAsia="宋体" w:hAnsi="宋体" w:cs="Times New Roman" w:hint="eastAsia"/>
                <w:b/>
                <w:bCs/>
                <w:sz w:val="18"/>
                <w:szCs w:val="18"/>
                <w:lang w:eastAsia="zh-CN"/>
              </w:rPr>
            </w:pPr>
          </w:p>
        </w:tc>
      </w:tr>
      <w:tr w:rsidR="00B46B79" w14:paraId="6BB2D015" w14:textId="77777777">
        <w:trPr>
          <w:cantSplit/>
          <w:trHeight w:val="489"/>
          <w:jc w:val="center"/>
        </w:trPr>
        <w:tc>
          <w:tcPr>
            <w:tcW w:w="993" w:type="dxa"/>
            <w:vMerge/>
            <w:tcBorders>
              <w:top w:val="nil"/>
              <w:left w:val="single" w:sz="4" w:space="0" w:color="auto"/>
              <w:bottom w:val="single" w:sz="4" w:space="0" w:color="auto"/>
              <w:right w:val="single" w:sz="4" w:space="0" w:color="auto"/>
            </w:tcBorders>
            <w:vAlign w:val="center"/>
          </w:tcPr>
          <w:p w14:paraId="258BF41E" w14:textId="77777777" w:rsidR="00B46B79" w:rsidRDefault="00B46B79">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520EF1B"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5B8187D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2.86</w:t>
            </w:r>
          </w:p>
        </w:tc>
        <w:tc>
          <w:tcPr>
            <w:tcW w:w="1242" w:type="dxa"/>
            <w:tcBorders>
              <w:top w:val="nil"/>
              <w:left w:val="nil"/>
              <w:bottom w:val="single" w:sz="4" w:space="0" w:color="auto"/>
              <w:right w:val="single" w:sz="4" w:space="0" w:color="auto"/>
            </w:tcBorders>
            <w:vAlign w:val="center"/>
          </w:tcPr>
          <w:p w14:paraId="13463E2C"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08CBCE64"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0DB992D8"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23432B02"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62D5AA97"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39FE4BE8" w14:textId="77777777" w:rsidR="00B46B79" w:rsidRDefault="00B46B79">
            <w:pPr>
              <w:spacing w:after="0" w:line="240" w:lineRule="auto"/>
              <w:jc w:val="center"/>
              <w:rPr>
                <w:rFonts w:ascii="宋体" w:eastAsia="宋体" w:hAnsi="宋体" w:cs="Times New Roman" w:hint="eastAsia"/>
                <w:b/>
                <w:bCs/>
                <w:sz w:val="18"/>
                <w:szCs w:val="18"/>
                <w:lang w:eastAsia="zh-CN"/>
              </w:rPr>
            </w:pPr>
          </w:p>
        </w:tc>
      </w:tr>
      <w:tr w:rsidR="00B46B79" w14:paraId="7BF2BE43" w14:textId="77777777">
        <w:trPr>
          <w:cantSplit/>
          <w:trHeight w:val="425"/>
          <w:jc w:val="center"/>
        </w:trPr>
        <w:tc>
          <w:tcPr>
            <w:tcW w:w="993" w:type="dxa"/>
            <w:vMerge/>
            <w:tcBorders>
              <w:top w:val="nil"/>
              <w:left w:val="single" w:sz="4" w:space="0" w:color="auto"/>
              <w:bottom w:val="single" w:sz="4" w:space="0" w:color="auto"/>
              <w:right w:val="single" w:sz="4" w:space="0" w:color="auto"/>
            </w:tcBorders>
            <w:vAlign w:val="center"/>
          </w:tcPr>
          <w:p w14:paraId="45E59670" w14:textId="77777777" w:rsidR="00B46B79" w:rsidRDefault="00B46B79">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3C9143E"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241A41ED"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1,261.82</w:t>
            </w:r>
          </w:p>
        </w:tc>
        <w:tc>
          <w:tcPr>
            <w:tcW w:w="1242" w:type="dxa"/>
            <w:tcBorders>
              <w:top w:val="nil"/>
              <w:left w:val="nil"/>
              <w:bottom w:val="single" w:sz="4" w:space="0" w:color="auto"/>
              <w:right w:val="single" w:sz="4" w:space="0" w:color="auto"/>
            </w:tcBorders>
            <w:vAlign w:val="center"/>
          </w:tcPr>
          <w:p w14:paraId="1E5FEBC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1,568.60</w:t>
            </w:r>
          </w:p>
        </w:tc>
        <w:tc>
          <w:tcPr>
            <w:tcW w:w="1417" w:type="dxa"/>
            <w:tcBorders>
              <w:top w:val="nil"/>
              <w:left w:val="nil"/>
              <w:bottom w:val="single" w:sz="4" w:space="0" w:color="auto"/>
              <w:right w:val="single" w:sz="4" w:space="0" w:color="auto"/>
            </w:tcBorders>
            <w:vAlign w:val="center"/>
          </w:tcPr>
          <w:p w14:paraId="60E5F4FB"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1,568.60</w:t>
            </w:r>
          </w:p>
        </w:tc>
        <w:tc>
          <w:tcPr>
            <w:tcW w:w="1134" w:type="dxa"/>
            <w:tcBorders>
              <w:top w:val="nil"/>
              <w:left w:val="nil"/>
              <w:bottom w:val="single" w:sz="4" w:space="0" w:color="auto"/>
              <w:right w:val="single" w:sz="4" w:space="0" w:color="auto"/>
            </w:tcBorders>
            <w:vAlign w:val="center"/>
          </w:tcPr>
          <w:p w14:paraId="70F43565"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63B15954"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25BCCC40"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56F479D5"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7B55EA56" w14:textId="77777777">
        <w:trPr>
          <w:cantSplit/>
          <w:trHeight w:val="416"/>
          <w:jc w:val="center"/>
        </w:trPr>
        <w:tc>
          <w:tcPr>
            <w:tcW w:w="993" w:type="dxa"/>
            <w:vMerge/>
            <w:tcBorders>
              <w:top w:val="nil"/>
              <w:left w:val="single" w:sz="4" w:space="0" w:color="auto"/>
              <w:bottom w:val="single" w:sz="4" w:space="0" w:color="auto"/>
              <w:right w:val="single" w:sz="4" w:space="0" w:color="auto"/>
            </w:tcBorders>
            <w:vAlign w:val="center"/>
          </w:tcPr>
          <w:p w14:paraId="2A7A0109" w14:textId="77777777" w:rsidR="00B46B79" w:rsidRDefault="00B46B79">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58670F1"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31A789A5"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03584C59"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6D7597CB"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534D400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559F35EC"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57E47A98"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73400D94"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2D263C8A" w14:textId="77777777">
        <w:trPr>
          <w:cantSplit/>
          <w:trHeight w:val="415"/>
          <w:jc w:val="center"/>
        </w:trPr>
        <w:tc>
          <w:tcPr>
            <w:tcW w:w="993" w:type="dxa"/>
            <w:vMerge/>
            <w:tcBorders>
              <w:top w:val="nil"/>
              <w:left w:val="single" w:sz="4" w:space="0" w:color="auto"/>
              <w:bottom w:val="single" w:sz="4" w:space="0" w:color="auto"/>
              <w:right w:val="single" w:sz="4" w:space="0" w:color="auto"/>
            </w:tcBorders>
            <w:vAlign w:val="center"/>
          </w:tcPr>
          <w:p w14:paraId="2A0BE3F3" w14:textId="77777777" w:rsidR="00B46B79" w:rsidRDefault="00B46B79">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5349AC0"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6E217770"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1,264.68</w:t>
            </w:r>
          </w:p>
        </w:tc>
        <w:tc>
          <w:tcPr>
            <w:tcW w:w="1242" w:type="dxa"/>
            <w:tcBorders>
              <w:top w:val="nil"/>
              <w:left w:val="nil"/>
              <w:bottom w:val="single" w:sz="4" w:space="0" w:color="auto"/>
              <w:right w:val="single" w:sz="4" w:space="0" w:color="auto"/>
            </w:tcBorders>
            <w:vAlign w:val="center"/>
          </w:tcPr>
          <w:p w14:paraId="14EFECAA"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1,568.60</w:t>
            </w:r>
          </w:p>
        </w:tc>
        <w:tc>
          <w:tcPr>
            <w:tcW w:w="1417" w:type="dxa"/>
            <w:tcBorders>
              <w:top w:val="nil"/>
              <w:left w:val="nil"/>
              <w:bottom w:val="single" w:sz="4" w:space="0" w:color="auto"/>
              <w:right w:val="single" w:sz="4" w:space="0" w:color="auto"/>
            </w:tcBorders>
            <w:vAlign w:val="center"/>
          </w:tcPr>
          <w:p w14:paraId="5356FBAA"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1,568.60</w:t>
            </w:r>
          </w:p>
        </w:tc>
        <w:tc>
          <w:tcPr>
            <w:tcW w:w="1134" w:type="dxa"/>
            <w:tcBorders>
              <w:top w:val="nil"/>
              <w:left w:val="nil"/>
              <w:bottom w:val="single" w:sz="4" w:space="0" w:color="auto"/>
              <w:right w:val="single" w:sz="4" w:space="0" w:color="auto"/>
            </w:tcBorders>
            <w:vAlign w:val="center"/>
          </w:tcPr>
          <w:p w14:paraId="4B0194A7"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16B0BA17"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14DFBBA8"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284" w:type="dxa"/>
            <w:tcBorders>
              <w:top w:val="nil"/>
              <w:left w:val="nil"/>
              <w:bottom w:val="nil"/>
              <w:right w:val="nil"/>
            </w:tcBorders>
            <w:noWrap/>
            <w:vAlign w:val="center"/>
          </w:tcPr>
          <w:p w14:paraId="662ED174"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15A46FF6" w14:textId="77777777">
        <w:trPr>
          <w:cantSplit/>
          <w:trHeight w:val="341"/>
          <w:jc w:val="center"/>
        </w:trPr>
        <w:tc>
          <w:tcPr>
            <w:tcW w:w="993" w:type="dxa"/>
            <w:vMerge w:val="restart"/>
            <w:tcBorders>
              <w:top w:val="nil"/>
              <w:left w:val="single" w:sz="4" w:space="0" w:color="auto"/>
              <w:bottom w:val="single" w:sz="4" w:space="0" w:color="auto"/>
              <w:right w:val="single" w:sz="4" w:space="0" w:color="auto"/>
            </w:tcBorders>
            <w:vAlign w:val="center"/>
          </w:tcPr>
          <w:p w14:paraId="2EED351A"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5D1AFE69"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F9EE56C"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c>
          <w:tcPr>
            <w:tcW w:w="284" w:type="dxa"/>
            <w:tcBorders>
              <w:top w:val="nil"/>
              <w:left w:val="nil"/>
              <w:bottom w:val="nil"/>
              <w:right w:val="nil"/>
            </w:tcBorders>
            <w:noWrap/>
            <w:vAlign w:val="center"/>
          </w:tcPr>
          <w:p w14:paraId="3DD453ED" w14:textId="77777777" w:rsidR="00B46B79" w:rsidRDefault="00B46B79">
            <w:pPr>
              <w:spacing w:after="0" w:line="240" w:lineRule="auto"/>
              <w:rPr>
                <w:rFonts w:ascii="宋体" w:eastAsia="宋体" w:hAnsi="宋体" w:cs="Times New Roman" w:hint="eastAsia"/>
                <w:b/>
                <w:bCs/>
                <w:sz w:val="18"/>
                <w:szCs w:val="18"/>
                <w:lang w:eastAsia="zh-CN"/>
              </w:rPr>
            </w:pPr>
          </w:p>
        </w:tc>
      </w:tr>
      <w:tr w:rsidR="00B46B79" w14:paraId="53921964" w14:textId="77777777">
        <w:trPr>
          <w:cantSplit/>
          <w:trHeight w:val="705"/>
          <w:jc w:val="center"/>
        </w:trPr>
        <w:tc>
          <w:tcPr>
            <w:tcW w:w="993" w:type="dxa"/>
            <w:vMerge/>
            <w:tcBorders>
              <w:top w:val="nil"/>
              <w:left w:val="single" w:sz="4" w:space="0" w:color="auto"/>
              <w:bottom w:val="single" w:sz="4" w:space="0" w:color="auto"/>
              <w:right w:val="single" w:sz="4" w:space="0" w:color="auto"/>
            </w:tcBorders>
            <w:vAlign w:val="center"/>
          </w:tcPr>
          <w:p w14:paraId="6067E112" w14:textId="77777777" w:rsidR="00B46B79" w:rsidRDefault="00B46B79">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0C324BEE" w14:textId="0B2FD0A2"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保障部门单位人员24人，发放工资福利1176.01万元，运转支出分为办公经费与项目经费，其中办公经费65.94万元，业务经费32.86万元，使业务保障能力有效提升；目标2:解决欠款问题，优化营商环境，提振市场经济发展活力，助力企业</w:t>
            </w:r>
            <w:proofErr w:type="gramStart"/>
            <w:r>
              <w:rPr>
                <w:rFonts w:ascii="宋体" w:eastAsia="宋体" w:hAnsi="宋体" w:cs="Times New Roman" w:hint="eastAsia"/>
                <w:sz w:val="18"/>
                <w:szCs w:val="18"/>
                <w:lang w:eastAsia="zh-CN"/>
              </w:rPr>
              <w:t>纾</w:t>
            </w:r>
            <w:proofErr w:type="gramEnd"/>
            <w:r>
              <w:rPr>
                <w:rFonts w:ascii="宋体" w:eastAsia="宋体" w:hAnsi="宋体" w:cs="Times New Roman" w:hint="eastAsia"/>
                <w:sz w:val="18"/>
                <w:szCs w:val="18"/>
                <w:lang w:eastAsia="zh-CN"/>
              </w:rPr>
              <w:t>困。</w:t>
            </w:r>
          </w:p>
        </w:tc>
        <w:tc>
          <w:tcPr>
            <w:tcW w:w="4581" w:type="dxa"/>
            <w:gridSpan w:val="4"/>
            <w:tcBorders>
              <w:top w:val="single" w:sz="4" w:space="0" w:color="auto"/>
              <w:left w:val="nil"/>
              <w:bottom w:val="single" w:sz="4" w:space="0" w:color="auto"/>
              <w:right w:val="single" w:sz="4" w:space="0" w:color="auto"/>
            </w:tcBorders>
          </w:tcPr>
          <w:p w14:paraId="00979B84" w14:textId="44639830"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2024年保障了部门单位人员25人，发放工资福利1079.41万元，运转支出分为办公经费与业务经费，其中办公经费48.42万元，业务经费,328.2万元（添加单位整体预算的工作量），使业务保障能力有效提升；目标2:解决了我单位的欠款问题，优化了昌吉市的营商环境，提振了市场经济发展活力，助力企业</w:t>
            </w:r>
            <w:proofErr w:type="gramStart"/>
            <w:r>
              <w:rPr>
                <w:rFonts w:ascii="宋体" w:eastAsia="宋体" w:hAnsi="宋体" w:cs="Times New Roman" w:hint="eastAsia"/>
                <w:sz w:val="18"/>
                <w:szCs w:val="18"/>
                <w:lang w:eastAsia="zh-CN"/>
              </w:rPr>
              <w:t>纾</w:t>
            </w:r>
            <w:proofErr w:type="gramEnd"/>
            <w:r>
              <w:rPr>
                <w:rFonts w:ascii="宋体" w:eastAsia="宋体" w:hAnsi="宋体" w:cs="Times New Roman" w:hint="eastAsia"/>
                <w:sz w:val="18"/>
                <w:szCs w:val="18"/>
                <w:lang w:eastAsia="zh-CN"/>
              </w:rPr>
              <w:t>困。</w:t>
            </w:r>
          </w:p>
        </w:tc>
        <w:tc>
          <w:tcPr>
            <w:tcW w:w="284" w:type="dxa"/>
            <w:tcBorders>
              <w:top w:val="nil"/>
              <w:left w:val="nil"/>
              <w:bottom w:val="nil"/>
              <w:right w:val="nil"/>
            </w:tcBorders>
            <w:noWrap/>
            <w:vAlign w:val="center"/>
          </w:tcPr>
          <w:p w14:paraId="5335D751" w14:textId="77777777" w:rsidR="00B46B79" w:rsidRDefault="00B46B79">
            <w:pPr>
              <w:spacing w:after="0" w:line="240" w:lineRule="auto"/>
              <w:rPr>
                <w:rFonts w:ascii="宋体" w:eastAsia="宋体" w:hAnsi="宋体" w:cs="Times New Roman" w:hint="eastAsia"/>
                <w:sz w:val="18"/>
                <w:szCs w:val="18"/>
                <w:lang w:eastAsia="zh-CN"/>
              </w:rPr>
            </w:pPr>
          </w:p>
        </w:tc>
      </w:tr>
      <w:tr w:rsidR="00B46B79" w14:paraId="12A386C3"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26E4E3E7"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3607CED7"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6496D13D"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08E607C6"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7BC4FF02"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4F77E5E3"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5BB208A"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36DC1744"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347549F8" w14:textId="77777777" w:rsidR="00B46B79" w:rsidRDefault="00B46B79">
            <w:pPr>
              <w:spacing w:after="0" w:line="240" w:lineRule="auto"/>
              <w:rPr>
                <w:rFonts w:ascii="宋体" w:eastAsia="宋体" w:hAnsi="宋体" w:cs="Times New Roman" w:hint="eastAsia"/>
                <w:b/>
                <w:bCs/>
                <w:sz w:val="18"/>
                <w:szCs w:val="18"/>
                <w:lang w:eastAsia="zh-CN"/>
              </w:rPr>
            </w:pPr>
          </w:p>
        </w:tc>
      </w:tr>
      <w:tr w:rsidR="00B46B79" w14:paraId="72C83CC2" w14:textId="77777777">
        <w:trPr>
          <w:cantSplit/>
          <w:trHeight w:val="740"/>
          <w:jc w:val="center"/>
        </w:trPr>
        <w:tc>
          <w:tcPr>
            <w:tcW w:w="993" w:type="dxa"/>
            <w:vMerge w:val="restart"/>
            <w:tcBorders>
              <w:top w:val="single" w:sz="4" w:space="0" w:color="auto"/>
              <w:left w:val="single" w:sz="4" w:space="0" w:color="auto"/>
              <w:bottom w:val="nil"/>
              <w:right w:val="single" w:sz="4" w:space="0" w:color="auto"/>
            </w:tcBorders>
            <w:noWrap/>
            <w:vAlign w:val="center"/>
          </w:tcPr>
          <w:p w14:paraId="2675AE40"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single" w:sz="4" w:space="0" w:color="auto"/>
              <w:left w:val="nil"/>
              <w:bottom w:val="nil"/>
              <w:right w:val="single" w:sz="4" w:space="0" w:color="auto"/>
            </w:tcBorders>
            <w:noWrap/>
            <w:vAlign w:val="center"/>
          </w:tcPr>
          <w:p w14:paraId="0BAA84B3"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single" w:sz="4" w:space="0" w:color="auto"/>
              <w:left w:val="nil"/>
              <w:bottom w:val="single" w:sz="4" w:space="0" w:color="auto"/>
              <w:right w:val="single" w:sz="4" w:space="0" w:color="auto"/>
            </w:tcBorders>
            <w:noWrap/>
            <w:vAlign w:val="center"/>
          </w:tcPr>
          <w:p w14:paraId="27B18A64"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铁路护路普速线路公里数</w:t>
            </w:r>
          </w:p>
        </w:tc>
        <w:tc>
          <w:tcPr>
            <w:tcW w:w="1242" w:type="dxa"/>
            <w:tcBorders>
              <w:top w:val="nil"/>
              <w:left w:val="nil"/>
              <w:bottom w:val="single" w:sz="4" w:space="0" w:color="auto"/>
              <w:right w:val="single" w:sz="4" w:space="0" w:color="auto"/>
            </w:tcBorders>
            <w:noWrap/>
            <w:vAlign w:val="center"/>
          </w:tcPr>
          <w:p w14:paraId="6116DD1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=25.323公里</w:t>
            </w:r>
          </w:p>
        </w:tc>
        <w:tc>
          <w:tcPr>
            <w:tcW w:w="1417" w:type="dxa"/>
            <w:tcBorders>
              <w:top w:val="nil"/>
              <w:left w:val="nil"/>
              <w:bottom w:val="single" w:sz="4" w:space="0" w:color="auto"/>
              <w:right w:val="single" w:sz="4" w:space="0" w:color="auto"/>
            </w:tcBorders>
            <w:noWrap/>
            <w:vAlign w:val="center"/>
          </w:tcPr>
          <w:p w14:paraId="452DA9FB" w14:textId="77777777"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工作报告、情况说明</w:t>
            </w:r>
          </w:p>
        </w:tc>
        <w:tc>
          <w:tcPr>
            <w:tcW w:w="1134" w:type="dxa"/>
            <w:tcBorders>
              <w:top w:val="nil"/>
              <w:left w:val="nil"/>
              <w:bottom w:val="single" w:sz="4" w:space="0" w:color="auto"/>
              <w:right w:val="single" w:sz="4" w:space="0" w:color="auto"/>
            </w:tcBorders>
            <w:noWrap/>
            <w:vAlign w:val="center"/>
          </w:tcPr>
          <w:p w14:paraId="03DED31C"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1655933F"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25.232公里</w:t>
            </w:r>
          </w:p>
        </w:tc>
        <w:tc>
          <w:tcPr>
            <w:tcW w:w="720" w:type="dxa"/>
            <w:tcBorders>
              <w:top w:val="nil"/>
              <w:left w:val="nil"/>
              <w:bottom w:val="single" w:sz="4" w:space="0" w:color="auto"/>
              <w:right w:val="single" w:sz="4" w:space="0" w:color="auto"/>
            </w:tcBorders>
            <w:noWrap/>
            <w:vAlign w:val="center"/>
          </w:tcPr>
          <w:p w14:paraId="6BFE8298"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9.96</w:t>
            </w:r>
          </w:p>
        </w:tc>
        <w:tc>
          <w:tcPr>
            <w:tcW w:w="284" w:type="dxa"/>
            <w:tcBorders>
              <w:top w:val="nil"/>
              <w:left w:val="nil"/>
              <w:bottom w:val="nil"/>
              <w:right w:val="nil"/>
            </w:tcBorders>
            <w:noWrap/>
            <w:vAlign w:val="center"/>
          </w:tcPr>
          <w:p w14:paraId="1DE4EF97"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4D100BC4"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06CFD491" w14:textId="77777777" w:rsidR="00B46B79" w:rsidRDefault="00B46B79">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6E1A7C57" w14:textId="77777777" w:rsidR="00B46B79" w:rsidRDefault="00B46B7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9210241"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昌吉市铁路护路涉及单位数量</w:t>
            </w:r>
          </w:p>
        </w:tc>
        <w:tc>
          <w:tcPr>
            <w:tcW w:w="1242" w:type="dxa"/>
            <w:tcBorders>
              <w:top w:val="nil"/>
              <w:left w:val="nil"/>
              <w:bottom w:val="single" w:sz="4" w:space="0" w:color="auto"/>
              <w:right w:val="single" w:sz="4" w:space="0" w:color="auto"/>
            </w:tcBorders>
            <w:noWrap/>
            <w:vAlign w:val="center"/>
          </w:tcPr>
          <w:p w14:paraId="526039C6"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=3个</w:t>
            </w:r>
          </w:p>
        </w:tc>
        <w:tc>
          <w:tcPr>
            <w:tcW w:w="1417" w:type="dxa"/>
            <w:tcBorders>
              <w:top w:val="nil"/>
              <w:left w:val="nil"/>
              <w:bottom w:val="single" w:sz="4" w:space="0" w:color="auto"/>
              <w:right w:val="single" w:sz="4" w:space="0" w:color="auto"/>
            </w:tcBorders>
            <w:noWrap/>
            <w:vAlign w:val="center"/>
          </w:tcPr>
          <w:p w14:paraId="509549AE" w14:textId="77777777"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工作报告、情况说明</w:t>
            </w:r>
          </w:p>
        </w:tc>
        <w:tc>
          <w:tcPr>
            <w:tcW w:w="1134" w:type="dxa"/>
            <w:tcBorders>
              <w:top w:val="nil"/>
              <w:left w:val="nil"/>
              <w:bottom w:val="single" w:sz="4" w:space="0" w:color="auto"/>
              <w:right w:val="single" w:sz="4" w:space="0" w:color="auto"/>
            </w:tcBorders>
            <w:noWrap/>
            <w:vAlign w:val="center"/>
          </w:tcPr>
          <w:p w14:paraId="0A386F82"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321A72CB"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3个</w:t>
            </w:r>
          </w:p>
        </w:tc>
        <w:tc>
          <w:tcPr>
            <w:tcW w:w="720" w:type="dxa"/>
            <w:tcBorders>
              <w:top w:val="nil"/>
              <w:left w:val="nil"/>
              <w:bottom w:val="single" w:sz="4" w:space="0" w:color="auto"/>
              <w:right w:val="single" w:sz="4" w:space="0" w:color="auto"/>
            </w:tcBorders>
            <w:noWrap/>
            <w:vAlign w:val="center"/>
          </w:tcPr>
          <w:p w14:paraId="3BB2A1CD"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284" w:type="dxa"/>
            <w:tcBorders>
              <w:top w:val="nil"/>
              <w:left w:val="nil"/>
              <w:bottom w:val="nil"/>
              <w:right w:val="nil"/>
            </w:tcBorders>
            <w:noWrap/>
            <w:vAlign w:val="center"/>
          </w:tcPr>
          <w:p w14:paraId="4EF5F6F6"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3D40023E"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7BA03438" w14:textId="77777777" w:rsidR="00B46B79" w:rsidRDefault="00B46B79">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4C003643" w14:textId="77777777" w:rsidR="00B46B79" w:rsidRDefault="00B46B7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F2E9429"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网格化服务管理中心设立席位数量</w:t>
            </w:r>
          </w:p>
        </w:tc>
        <w:tc>
          <w:tcPr>
            <w:tcW w:w="1242" w:type="dxa"/>
            <w:tcBorders>
              <w:top w:val="nil"/>
              <w:left w:val="nil"/>
              <w:bottom w:val="single" w:sz="4" w:space="0" w:color="auto"/>
              <w:right w:val="single" w:sz="4" w:space="0" w:color="auto"/>
            </w:tcBorders>
            <w:noWrap/>
            <w:vAlign w:val="center"/>
          </w:tcPr>
          <w:p w14:paraId="78F6D157"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=34个</w:t>
            </w:r>
          </w:p>
        </w:tc>
        <w:tc>
          <w:tcPr>
            <w:tcW w:w="1417" w:type="dxa"/>
            <w:tcBorders>
              <w:top w:val="nil"/>
              <w:left w:val="nil"/>
              <w:bottom w:val="single" w:sz="4" w:space="0" w:color="auto"/>
              <w:right w:val="single" w:sz="4" w:space="0" w:color="auto"/>
            </w:tcBorders>
            <w:noWrap/>
            <w:vAlign w:val="center"/>
          </w:tcPr>
          <w:p w14:paraId="2FC9FEC0" w14:textId="77777777"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工作报告、情况说明</w:t>
            </w:r>
          </w:p>
        </w:tc>
        <w:tc>
          <w:tcPr>
            <w:tcW w:w="1134" w:type="dxa"/>
            <w:tcBorders>
              <w:top w:val="nil"/>
              <w:left w:val="nil"/>
              <w:bottom w:val="single" w:sz="4" w:space="0" w:color="auto"/>
              <w:right w:val="single" w:sz="4" w:space="0" w:color="auto"/>
            </w:tcBorders>
            <w:noWrap/>
            <w:vAlign w:val="center"/>
          </w:tcPr>
          <w:p w14:paraId="733EE73C"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F39E0A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34个</w:t>
            </w:r>
          </w:p>
        </w:tc>
        <w:tc>
          <w:tcPr>
            <w:tcW w:w="720" w:type="dxa"/>
            <w:tcBorders>
              <w:top w:val="nil"/>
              <w:left w:val="nil"/>
              <w:bottom w:val="single" w:sz="4" w:space="0" w:color="auto"/>
              <w:right w:val="single" w:sz="4" w:space="0" w:color="auto"/>
            </w:tcBorders>
            <w:noWrap/>
            <w:vAlign w:val="center"/>
          </w:tcPr>
          <w:p w14:paraId="7A6D6506"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284" w:type="dxa"/>
            <w:tcBorders>
              <w:top w:val="nil"/>
              <w:left w:val="nil"/>
              <w:bottom w:val="nil"/>
              <w:right w:val="nil"/>
            </w:tcBorders>
            <w:noWrap/>
            <w:vAlign w:val="center"/>
          </w:tcPr>
          <w:p w14:paraId="51C99402"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77FC013F"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5BA2E57B" w14:textId="77777777" w:rsidR="00B46B79" w:rsidRDefault="00B46B79">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134A7B2D" w14:textId="77777777" w:rsidR="00B46B79" w:rsidRDefault="00B46B7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B641882"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网格化试点建设培训次数</w:t>
            </w:r>
          </w:p>
        </w:tc>
        <w:tc>
          <w:tcPr>
            <w:tcW w:w="1242" w:type="dxa"/>
            <w:tcBorders>
              <w:top w:val="nil"/>
              <w:left w:val="nil"/>
              <w:bottom w:val="single" w:sz="4" w:space="0" w:color="auto"/>
              <w:right w:val="single" w:sz="4" w:space="0" w:color="auto"/>
            </w:tcBorders>
            <w:noWrap/>
            <w:vAlign w:val="center"/>
          </w:tcPr>
          <w:p w14:paraId="3A0CFEA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1417" w:type="dxa"/>
            <w:tcBorders>
              <w:top w:val="nil"/>
              <w:left w:val="nil"/>
              <w:bottom w:val="single" w:sz="4" w:space="0" w:color="auto"/>
              <w:right w:val="single" w:sz="4" w:space="0" w:color="auto"/>
            </w:tcBorders>
            <w:noWrap/>
            <w:vAlign w:val="center"/>
          </w:tcPr>
          <w:p w14:paraId="1F932FAE" w14:textId="77777777"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工作报告、情况说明</w:t>
            </w:r>
          </w:p>
        </w:tc>
        <w:tc>
          <w:tcPr>
            <w:tcW w:w="1134" w:type="dxa"/>
            <w:tcBorders>
              <w:top w:val="nil"/>
              <w:left w:val="nil"/>
              <w:bottom w:val="single" w:sz="4" w:space="0" w:color="auto"/>
              <w:right w:val="single" w:sz="4" w:space="0" w:color="auto"/>
            </w:tcBorders>
            <w:noWrap/>
            <w:vAlign w:val="center"/>
          </w:tcPr>
          <w:p w14:paraId="6C98F136"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426A9E00"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0F3C49BC"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284" w:type="dxa"/>
            <w:tcBorders>
              <w:top w:val="nil"/>
              <w:left w:val="nil"/>
              <w:bottom w:val="nil"/>
              <w:right w:val="nil"/>
            </w:tcBorders>
            <w:noWrap/>
            <w:vAlign w:val="center"/>
          </w:tcPr>
          <w:p w14:paraId="16E55BB6"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0FC30695"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19C8CD91" w14:textId="77777777" w:rsidR="00B46B79" w:rsidRDefault="00B46B79">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4782FAEF" w14:textId="77777777" w:rsidR="00B46B79" w:rsidRDefault="00B46B7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6E172B4"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政治轮训数量</w:t>
            </w:r>
          </w:p>
        </w:tc>
        <w:tc>
          <w:tcPr>
            <w:tcW w:w="1242" w:type="dxa"/>
            <w:tcBorders>
              <w:top w:val="nil"/>
              <w:left w:val="nil"/>
              <w:bottom w:val="single" w:sz="4" w:space="0" w:color="auto"/>
              <w:right w:val="single" w:sz="4" w:space="0" w:color="auto"/>
            </w:tcBorders>
            <w:noWrap/>
            <w:vAlign w:val="center"/>
          </w:tcPr>
          <w:p w14:paraId="11FA08A2"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1417" w:type="dxa"/>
            <w:tcBorders>
              <w:top w:val="nil"/>
              <w:left w:val="nil"/>
              <w:bottom w:val="single" w:sz="4" w:space="0" w:color="auto"/>
              <w:right w:val="single" w:sz="4" w:space="0" w:color="auto"/>
            </w:tcBorders>
            <w:noWrap/>
            <w:vAlign w:val="center"/>
          </w:tcPr>
          <w:p w14:paraId="4029ECE4" w14:textId="77777777"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工作报告、情况说明</w:t>
            </w:r>
          </w:p>
        </w:tc>
        <w:tc>
          <w:tcPr>
            <w:tcW w:w="1134" w:type="dxa"/>
            <w:tcBorders>
              <w:top w:val="nil"/>
              <w:left w:val="nil"/>
              <w:bottom w:val="single" w:sz="4" w:space="0" w:color="auto"/>
              <w:right w:val="single" w:sz="4" w:space="0" w:color="auto"/>
            </w:tcBorders>
            <w:noWrap/>
            <w:vAlign w:val="center"/>
          </w:tcPr>
          <w:p w14:paraId="2371CFF4"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60439769"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1C1473D5"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284" w:type="dxa"/>
            <w:tcBorders>
              <w:top w:val="nil"/>
              <w:left w:val="nil"/>
              <w:bottom w:val="nil"/>
              <w:right w:val="nil"/>
            </w:tcBorders>
            <w:noWrap/>
            <w:vAlign w:val="center"/>
          </w:tcPr>
          <w:p w14:paraId="57AC804E"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55AECE33" w14:textId="77777777">
        <w:trPr>
          <w:cantSplit/>
          <w:trHeight w:val="740"/>
          <w:jc w:val="center"/>
        </w:trPr>
        <w:tc>
          <w:tcPr>
            <w:tcW w:w="993" w:type="dxa"/>
            <w:vMerge/>
            <w:tcBorders>
              <w:top w:val="nil"/>
              <w:left w:val="single" w:sz="4" w:space="0" w:color="auto"/>
              <w:bottom w:val="single" w:sz="4" w:space="0" w:color="auto"/>
              <w:right w:val="single" w:sz="4" w:space="0" w:color="auto"/>
            </w:tcBorders>
            <w:vAlign w:val="center"/>
          </w:tcPr>
          <w:p w14:paraId="47E0383A" w14:textId="77777777" w:rsidR="00B46B79" w:rsidRDefault="00B46B79">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single" w:sz="4" w:space="0" w:color="auto"/>
              <w:right w:val="single" w:sz="4" w:space="0" w:color="auto"/>
            </w:tcBorders>
            <w:vAlign w:val="center"/>
          </w:tcPr>
          <w:p w14:paraId="7FD9E873" w14:textId="77777777" w:rsidR="00B46B79" w:rsidRDefault="00B46B7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5B78CBF"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自治区优秀平安建设乡镇街道数量</w:t>
            </w:r>
          </w:p>
        </w:tc>
        <w:tc>
          <w:tcPr>
            <w:tcW w:w="1242" w:type="dxa"/>
            <w:tcBorders>
              <w:top w:val="nil"/>
              <w:left w:val="nil"/>
              <w:bottom w:val="single" w:sz="4" w:space="0" w:color="auto"/>
              <w:right w:val="single" w:sz="4" w:space="0" w:color="auto"/>
            </w:tcBorders>
            <w:noWrap/>
            <w:vAlign w:val="center"/>
          </w:tcPr>
          <w:p w14:paraId="4D9F56B9"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=2个</w:t>
            </w:r>
          </w:p>
        </w:tc>
        <w:tc>
          <w:tcPr>
            <w:tcW w:w="1417" w:type="dxa"/>
            <w:tcBorders>
              <w:top w:val="nil"/>
              <w:left w:val="nil"/>
              <w:bottom w:val="single" w:sz="4" w:space="0" w:color="auto"/>
              <w:right w:val="single" w:sz="4" w:space="0" w:color="auto"/>
            </w:tcBorders>
            <w:noWrap/>
            <w:vAlign w:val="center"/>
          </w:tcPr>
          <w:p w14:paraId="74CEE127" w14:textId="77777777"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工作报告、情况说明</w:t>
            </w:r>
          </w:p>
        </w:tc>
        <w:tc>
          <w:tcPr>
            <w:tcW w:w="1134" w:type="dxa"/>
            <w:tcBorders>
              <w:top w:val="nil"/>
              <w:left w:val="nil"/>
              <w:bottom w:val="single" w:sz="4" w:space="0" w:color="auto"/>
              <w:right w:val="single" w:sz="4" w:space="0" w:color="auto"/>
            </w:tcBorders>
            <w:noWrap/>
            <w:vAlign w:val="center"/>
          </w:tcPr>
          <w:p w14:paraId="3FA08F3A"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0DA379D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6个</w:t>
            </w:r>
          </w:p>
        </w:tc>
        <w:tc>
          <w:tcPr>
            <w:tcW w:w="720" w:type="dxa"/>
            <w:tcBorders>
              <w:top w:val="nil"/>
              <w:left w:val="nil"/>
              <w:bottom w:val="single" w:sz="4" w:space="0" w:color="auto"/>
              <w:right w:val="single" w:sz="4" w:space="0" w:color="auto"/>
            </w:tcBorders>
            <w:noWrap/>
            <w:vAlign w:val="center"/>
          </w:tcPr>
          <w:p w14:paraId="5386EC4D"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7A2417B7" w14:textId="77777777" w:rsidR="00B46B79" w:rsidRDefault="00B46B79">
            <w:pPr>
              <w:spacing w:after="0" w:line="240" w:lineRule="auto"/>
              <w:jc w:val="center"/>
              <w:rPr>
                <w:rFonts w:ascii="宋体" w:eastAsia="宋体" w:hAnsi="宋体" w:cs="Times New Roman" w:hint="eastAsia"/>
                <w:sz w:val="18"/>
                <w:szCs w:val="18"/>
                <w:lang w:eastAsia="zh-CN"/>
              </w:rPr>
            </w:pPr>
          </w:p>
        </w:tc>
      </w:tr>
    </w:tbl>
    <w:p w14:paraId="2E296B25" w14:textId="77777777" w:rsidR="00B46B79"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6004482" w14:textId="77777777" w:rsidR="00B46B79"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46B79" w14:paraId="5AC3C19D" w14:textId="77777777">
        <w:trPr>
          <w:trHeight w:val="38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350EF70"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bookmarkStart w:id="3" w:name="_Hlk201837198"/>
            <w:bookmarkEnd w:id="3"/>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2FE8F1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昌吉市政法综合大楼运行、维护、工作保障经费</w:t>
            </w:r>
          </w:p>
        </w:tc>
      </w:tr>
      <w:tr w:rsidR="00B46B79" w14:paraId="2BF1271A" w14:textId="77777777">
        <w:trPr>
          <w:trHeight w:val="274"/>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E78B97"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7E2D46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中国共产党昌吉市委员会政法委员会</w:t>
            </w:r>
          </w:p>
        </w:tc>
        <w:tc>
          <w:tcPr>
            <w:tcW w:w="1428" w:type="dxa"/>
            <w:gridSpan w:val="2"/>
            <w:tcBorders>
              <w:top w:val="single" w:sz="4" w:space="0" w:color="auto"/>
              <w:left w:val="nil"/>
              <w:bottom w:val="single" w:sz="4" w:space="0" w:color="auto"/>
              <w:right w:val="single" w:sz="4" w:space="0" w:color="auto"/>
            </w:tcBorders>
            <w:vAlign w:val="center"/>
          </w:tcPr>
          <w:p w14:paraId="43FA73BE"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A370614"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中国共产党昌吉市委员会政法委员会</w:t>
            </w:r>
          </w:p>
        </w:tc>
      </w:tr>
      <w:tr w:rsidR="00B46B79" w14:paraId="64C7AF7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D75D168"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BEF6F22"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B87117D"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7B6D3B6"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BE4A4CB"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D92B1A6"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FB60618"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514A9EC"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46B79" w14:paraId="1F1C2FA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BA2E47C"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3243FBE"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0AE1591"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617E48B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44B7B99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372" w:type="dxa"/>
            <w:gridSpan w:val="2"/>
            <w:tcBorders>
              <w:top w:val="nil"/>
              <w:left w:val="nil"/>
              <w:bottom w:val="single" w:sz="4" w:space="0" w:color="auto"/>
              <w:right w:val="single" w:sz="4" w:space="0" w:color="auto"/>
            </w:tcBorders>
            <w:vAlign w:val="center"/>
          </w:tcPr>
          <w:p w14:paraId="5757C965"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DD604FA"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689CA2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46B79" w14:paraId="1A2AA667" w14:textId="77777777">
        <w:trPr>
          <w:trHeight w:val="323"/>
          <w:jc w:val="center"/>
        </w:trPr>
        <w:tc>
          <w:tcPr>
            <w:tcW w:w="300" w:type="dxa"/>
            <w:vMerge/>
            <w:tcBorders>
              <w:top w:val="nil"/>
              <w:left w:val="single" w:sz="4" w:space="0" w:color="auto"/>
              <w:bottom w:val="single" w:sz="4" w:space="0" w:color="auto"/>
              <w:right w:val="single" w:sz="4" w:space="0" w:color="auto"/>
            </w:tcBorders>
            <w:vAlign w:val="center"/>
          </w:tcPr>
          <w:p w14:paraId="175BECA9"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C92D993"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8B1AF7F"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03A685D7"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26692F65"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372" w:type="dxa"/>
            <w:gridSpan w:val="2"/>
            <w:tcBorders>
              <w:top w:val="nil"/>
              <w:left w:val="nil"/>
              <w:bottom w:val="single" w:sz="4" w:space="0" w:color="auto"/>
              <w:right w:val="single" w:sz="4" w:space="0" w:color="auto"/>
            </w:tcBorders>
            <w:vAlign w:val="center"/>
          </w:tcPr>
          <w:p w14:paraId="2C4C089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BF1521A"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3E7AED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6B79" w14:paraId="338829B3" w14:textId="77777777">
        <w:trPr>
          <w:trHeight w:val="273"/>
          <w:jc w:val="center"/>
        </w:trPr>
        <w:tc>
          <w:tcPr>
            <w:tcW w:w="300" w:type="dxa"/>
            <w:vMerge/>
            <w:tcBorders>
              <w:top w:val="nil"/>
              <w:left w:val="single" w:sz="4" w:space="0" w:color="auto"/>
              <w:bottom w:val="single" w:sz="4" w:space="0" w:color="auto"/>
              <w:right w:val="single" w:sz="4" w:space="0" w:color="auto"/>
            </w:tcBorders>
            <w:vAlign w:val="center"/>
          </w:tcPr>
          <w:p w14:paraId="713E777C"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47AC77D"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543A83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F98A9A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EB1790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97E04EC"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28FAEB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D2EB2A4"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6B79" w14:paraId="7355105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9B49611"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FEDBC13"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E55240F"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46B79" w14:paraId="4DD251AE"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161B37A"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C2F142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市委政法</w:t>
            </w:r>
            <w:proofErr w:type="gramStart"/>
            <w:r>
              <w:rPr>
                <w:rFonts w:ascii="宋体" w:eastAsia="宋体" w:hAnsi="宋体" w:cs="Times New Roman" w:hint="eastAsia"/>
                <w:color w:val="000000"/>
                <w:sz w:val="18"/>
                <w:szCs w:val="18"/>
                <w:lang w:eastAsia="zh-CN"/>
              </w:rPr>
              <w:t>委综合</w:t>
            </w:r>
            <w:proofErr w:type="gramEnd"/>
            <w:r>
              <w:rPr>
                <w:rFonts w:ascii="宋体" w:eastAsia="宋体" w:hAnsi="宋体" w:cs="Times New Roman" w:hint="eastAsia"/>
                <w:color w:val="000000"/>
                <w:sz w:val="18"/>
                <w:szCs w:val="18"/>
                <w:lang w:eastAsia="zh-CN"/>
              </w:rPr>
              <w:t>大楼由网格化服务管理中心、运维中心、城市管理指挥中心、大气污染防治指挥中心、</w:t>
            </w:r>
            <w:proofErr w:type="gramStart"/>
            <w:r>
              <w:rPr>
                <w:rFonts w:ascii="宋体" w:eastAsia="宋体" w:hAnsi="宋体" w:cs="Times New Roman" w:hint="eastAsia"/>
                <w:color w:val="000000"/>
                <w:sz w:val="18"/>
                <w:szCs w:val="18"/>
                <w:lang w:eastAsia="zh-CN"/>
              </w:rPr>
              <w:t>网信办</w:t>
            </w:r>
            <w:proofErr w:type="gramEnd"/>
            <w:r>
              <w:rPr>
                <w:rFonts w:ascii="宋体" w:eastAsia="宋体" w:hAnsi="宋体" w:cs="Times New Roman" w:hint="eastAsia"/>
                <w:color w:val="000000"/>
                <w:sz w:val="18"/>
                <w:szCs w:val="18"/>
                <w:lang w:eastAsia="zh-CN"/>
              </w:rPr>
              <w:t>、政法委、纪委监委第二纪检监察组7个单位、148人合署办公。因市委政法</w:t>
            </w:r>
            <w:proofErr w:type="gramStart"/>
            <w:r>
              <w:rPr>
                <w:rFonts w:ascii="宋体" w:eastAsia="宋体" w:hAnsi="宋体" w:cs="Times New Roman" w:hint="eastAsia"/>
                <w:color w:val="000000"/>
                <w:sz w:val="18"/>
                <w:szCs w:val="18"/>
                <w:lang w:eastAsia="zh-CN"/>
              </w:rPr>
              <w:t>委综合</w:t>
            </w:r>
            <w:proofErr w:type="gramEnd"/>
            <w:r>
              <w:rPr>
                <w:rFonts w:ascii="宋体" w:eastAsia="宋体" w:hAnsi="宋体" w:cs="Times New Roman" w:hint="eastAsia"/>
                <w:color w:val="000000"/>
                <w:sz w:val="18"/>
                <w:szCs w:val="18"/>
                <w:lang w:eastAsia="zh-CN"/>
              </w:rPr>
              <w:t>大楼涉及单位、人员多，部分设备耗能高。请市委财政予以经费保障昌吉市委政法综合大楼产生所有基础运行保障经费，确保大楼正常运转。</w:t>
            </w:r>
          </w:p>
        </w:tc>
        <w:tc>
          <w:tcPr>
            <w:tcW w:w="5716" w:type="dxa"/>
            <w:gridSpan w:val="8"/>
            <w:tcBorders>
              <w:top w:val="single" w:sz="4" w:space="0" w:color="auto"/>
              <w:left w:val="nil"/>
              <w:bottom w:val="single" w:sz="4" w:space="0" w:color="auto"/>
              <w:right w:val="single" w:sz="4" w:space="0" w:color="auto"/>
            </w:tcBorders>
            <w:vAlign w:val="center"/>
          </w:tcPr>
          <w:p w14:paraId="7525FFC6"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截止2024年12月31日，该项目之际支出30万元，实际完成了市委政法</w:t>
            </w:r>
            <w:proofErr w:type="gramStart"/>
            <w:r>
              <w:rPr>
                <w:rFonts w:ascii="宋体" w:eastAsia="宋体" w:hAnsi="宋体" w:cs="Times New Roman" w:hint="eastAsia"/>
                <w:color w:val="000000"/>
                <w:sz w:val="18"/>
                <w:szCs w:val="18"/>
                <w:lang w:eastAsia="zh-CN"/>
              </w:rPr>
              <w:t>委综合</w:t>
            </w:r>
            <w:proofErr w:type="gramEnd"/>
            <w:r>
              <w:rPr>
                <w:rFonts w:ascii="宋体" w:eastAsia="宋体" w:hAnsi="宋体" w:cs="Times New Roman" w:hint="eastAsia"/>
                <w:color w:val="000000"/>
                <w:sz w:val="18"/>
                <w:szCs w:val="18"/>
                <w:lang w:eastAsia="zh-CN"/>
              </w:rPr>
              <w:t>大楼由网格化服务管理中心、运维中心、城市管理指挥中心、大气污染防治指挥中心、</w:t>
            </w:r>
            <w:proofErr w:type="gramStart"/>
            <w:r>
              <w:rPr>
                <w:rFonts w:ascii="宋体" w:eastAsia="宋体" w:hAnsi="宋体" w:cs="Times New Roman" w:hint="eastAsia"/>
                <w:color w:val="000000"/>
                <w:sz w:val="18"/>
                <w:szCs w:val="18"/>
                <w:lang w:eastAsia="zh-CN"/>
              </w:rPr>
              <w:t>网信办</w:t>
            </w:r>
            <w:proofErr w:type="gramEnd"/>
            <w:r>
              <w:rPr>
                <w:rFonts w:ascii="宋体" w:eastAsia="宋体" w:hAnsi="宋体" w:cs="Times New Roman" w:hint="eastAsia"/>
                <w:color w:val="000000"/>
                <w:sz w:val="18"/>
                <w:szCs w:val="18"/>
                <w:lang w:eastAsia="zh-CN"/>
              </w:rPr>
              <w:t>、政法委、纪委监委第二纪检监察组7个单位、148人合署办公，确保大楼正常运转。</w:t>
            </w:r>
          </w:p>
        </w:tc>
      </w:tr>
      <w:tr w:rsidR="00B46B79" w14:paraId="2E7A7C5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89458B4"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1BB8BA"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88A680C"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0C68234"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A7DE9AB"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B7A2AB8"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8C5E0BD"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A4B6AEE"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A52161C"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A270E81"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7645F01"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09D71D1"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3245190"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359FE39"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46B79" w14:paraId="1CDF5C00" w14:textId="77777777">
        <w:trPr>
          <w:trHeight w:val="760"/>
          <w:jc w:val="center"/>
        </w:trPr>
        <w:tc>
          <w:tcPr>
            <w:tcW w:w="709" w:type="dxa"/>
            <w:vMerge w:val="restart"/>
            <w:tcBorders>
              <w:top w:val="nil"/>
              <w:left w:val="single" w:sz="4" w:space="0" w:color="auto"/>
              <w:bottom w:val="nil"/>
              <w:right w:val="single" w:sz="4" w:space="0" w:color="auto"/>
            </w:tcBorders>
            <w:vAlign w:val="center"/>
          </w:tcPr>
          <w:p w14:paraId="2BFFFE54"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6CC9A4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246A33A"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AF0CC53" w14:textId="77777777" w:rsidR="00B46B79"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受益工作人员数量</w:t>
            </w:r>
          </w:p>
        </w:tc>
        <w:tc>
          <w:tcPr>
            <w:tcW w:w="627" w:type="dxa"/>
            <w:tcBorders>
              <w:top w:val="nil"/>
              <w:left w:val="nil"/>
              <w:bottom w:val="single" w:sz="4" w:space="0" w:color="auto"/>
              <w:right w:val="single" w:sz="4" w:space="0" w:color="auto"/>
            </w:tcBorders>
            <w:vAlign w:val="center"/>
          </w:tcPr>
          <w:p w14:paraId="72DB6756"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618509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=148人</w:t>
            </w:r>
          </w:p>
        </w:tc>
        <w:tc>
          <w:tcPr>
            <w:tcW w:w="728" w:type="dxa"/>
            <w:tcBorders>
              <w:top w:val="nil"/>
              <w:left w:val="nil"/>
              <w:bottom w:val="single" w:sz="4" w:space="0" w:color="auto"/>
              <w:right w:val="single" w:sz="4" w:space="0" w:color="auto"/>
            </w:tcBorders>
            <w:vAlign w:val="center"/>
          </w:tcPr>
          <w:p w14:paraId="4DD99956"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=148人</w:t>
            </w:r>
          </w:p>
        </w:tc>
        <w:tc>
          <w:tcPr>
            <w:tcW w:w="637" w:type="dxa"/>
            <w:tcBorders>
              <w:top w:val="nil"/>
              <w:left w:val="nil"/>
              <w:bottom w:val="single" w:sz="4" w:space="0" w:color="auto"/>
              <w:right w:val="single" w:sz="4" w:space="0" w:color="auto"/>
            </w:tcBorders>
            <w:vAlign w:val="center"/>
          </w:tcPr>
          <w:p w14:paraId="2FDC4D36"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8AE9B5"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349D7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89E0D5"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8315DB"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5EA6187"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BAC5254" w14:textId="77777777" w:rsidR="00B46B79" w:rsidRDefault="00B46B79">
            <w:pPr>
              <w:spacing w:after="0" w:line="240" w:lineRule="auto"/>
              <w:jc w:val="center"/>
              <w:rPr>
                <w:rFonts w:ascii="等线" w:eastAsia="等线" w:hAnsi="等线" w:cs="Times New Roman" w:hint="eastAsia"/>
                <w:color w:val="000000"/>
                <w:kern w:val="2"/>
                <w:sz w:val="18"/>
                <w:szCs w:val="18"/>
                <w:lang w:eastAsia="zh-CN"/>
              </w:rPr>
            </w:pPr>
          </w:p>
        </w:tc>
      </w:tr>
      <w:tr w:rsidR="00B46B79" w14:paraId="1F3758CF" w14:textId="77777777">
        <w:trPr>
          <w:trHeight w:val="800"/>
          <w:jc w:val="center"/>
        </w:trPr>
        <w:tc>
          <w:tcPr>
            <w:tcW w:w="300" w:type="dxa"/>
            <w:vMerge/>
            <w:tcBorders>
              <w:top w:val="nil"/>
              <w:left w:val="single" w:sz="4" w:space="0" w:color="auto"/>
              <w:bottom w:val="nil"/>
              <w:right w:val="single" w:sz="4" w:space="0" w:color="auto"/>
            </w:tcBorders>
            <w:vAlign w:val="center"/>
          </w:tcPr>
          <w:p w14:paraId="3FD92CAA"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993463C"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FA226B"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4074CAC" w14:textId="77777777" w:rsidR="00B46B7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市委政法大楼进驻单位个数</w:t>
            </w:r>
          </w:p>
        </w:tc>
        <w:tc>
          <w:tcPr>
            <w:tcW w:w="627" w:type="dxa"/>
            <w:tcBorders>
              <w:top w:val="nil"/>
              <w:left w:val="nil"/>
              <w:bottom w:val="single" w:sz="4" w:space="0" w:color="auto"/>
              <w:right w:val="single" w:sz="4" w:space="0" w:color="auto"/>
            </w:tcBorders>
            <w:vAlign w:val="center"/>
          </w:tcPr>
          <w:p w14:paraId="4715283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1B5B07D"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728" w:type="dxa"/>
            <w:tcBorders>
              <w:top w:val="nil"/>
              <w:left w:val="nil"/>
              <w:bottom w:val="single" w:sz="4" w:space="0" w:color="auto"/>
              <w:right w:val="single" w:sz="4" w:space="0" w:color="auto"/>
            </w:tcBorders>
            <w:vAlign w:val="center"/>
          </w:tcPr>
          <w:p w14:paraId="02405659"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637" w:type="dxa"/>
            <w:tcBorders>
              <w:top w:val="nil"/>
              <w:left w:val="nil"/>
              <w:bottom w:val="single" w:sz="4" w:space="0" w:color="auto"/>
              <w:right w:val="single" w:sz="4" w:space="0" w:color="auto"/>
            </w:tcBorders>
            <w:vAlign w:val="center"/>
          </w:tcPr>
          <w:p w14:paraId="793D4AE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6E7C9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CADCDED"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2C1AB4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AD3B241"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66A591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8E75F14"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r>
      <w:tr w:rsidR="00B46B79" w14:paraId="0ABDA912" w14:textId="77777777">
        <w:trPr>
          <w:trHeight w:val="702"/>
          <w:jc w:val="center"/>
        </w:trPr>
        <w:tc>
          <w:tcPr>
            <w:tcW w:w="300" w:type="dxa"/>
            <w:vMerge/>
            <w:tcBorders>
              <w:top w:val="nil"/>
              <w:left w:val="single" w:sz="4" w:space="0" w:color="auto"/>
              <w:bottom w:val="nil"/>
              <w:right w:val="single" w:sz="4" w:space="0" w:color="auto"/>
            </w:tcBorders>
            <w:vAlign w:val="center"/>
          </w:tcPr>
          <w:p w14:paraId="2956CF2C"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25699E3"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5A5735"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7D05982" w14:textId="77777777" w:rsidR="00B46B7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大楼正常运转率</w:t>
            </w:r>
          </w:p>
        </w:tc>
        <w:tc>
          <w:tcPr>
            <w:tcW w:w="627" w:type="dxa"/>
            <w:tcBorders>
              <w:top w:val="nil"/>
              <w:left w:val="nil"/>
              <w:bottom w:val="single" w:sz="4" w:space="0" w:color="auto"/>
              <w:right w:val="single" w:sz="4" w:space="0" w:color="auto"/>
            </w:tcBorders>
            <w:vAlign w:val="center"/>
          </w:tcPr>
          <w:p w14:paraId="6F06A51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CF96861"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726547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48228A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05D5719"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7E30CCF"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C6F39EB"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0DA23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016155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A3E7FE8"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r>
      <w:tr w:rsidR="00B46B79" w14:paraId="66B96F3E" w14:textId="77777777">
        <w:trPr>
          <w:trHeight w:val="800"/>
          <w:jc w:val="center"/>
        </w:trPr>
        <w:tc>
          <w:tcPr>
            <w:tcW w:w="300" w:type="dxa"/>
            <w:vMerge/>
            <w:tcBorders>
              <w:top w:val="nil"/>
              <w:left w:val="single" w:sz="4" w:space="0" w:color="auto"/>
              <w:bottom w:val="nil"/>
              <w:right w:val="single" w:sz="4" w:space="0" w:color="auto"/>
            </w:tcBorders>
            <w:vAlign w:val="center"/>
          </w:tcPr>
          <w:p w14:paraId="290BDD73"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73B4A50"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9EA81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9A46490" w14:textId="77777777" w:rsidR="00B46B7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02B29DB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95A22B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1F1C1A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29E52D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EDC1C81"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3E4F0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6A113C"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224214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F1CC17C"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D378A17"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r>
      <w:tr w:rsidR="00B46B79" w14:paraId="5FDB427C" w14:textId="77777777">
        <w:trPr>
          <w:trHeight w:val="800"/>
          <w:jc w:val="center"/>
        </w:trPr>
        <w:tc>
          <w:tcPr>
            <w:tcW w:w="300" w:type="dxa"/>
            <w:vMerge/>
            <w:tcBorders>
              <w:top w:val="nil"/>
              <w:left w:val="single" w:sz="4" w:space="0" w:color="auto"/>
              <w:bottom w:val="nil"/>
              <w:right w:val="single" w:sz="4" w:space="0" w:color="auto"/>
            </w:tcBorders>
            <w:vAlign w:val="center"/>
          </w:tcPr>
          <w:p w14:paraId="72ED8406"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1CEEC69A"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F45D57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51C0A8F" w14:textId="77777777" w:rsidR="00B46B7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电梯维护费</w:t>
            </w:r>
          </w:p>
        </w:tc>
        <w:tc>
          <w:tcPr>
            <w:tcW w:w="627" w:type="dxa"/>
            <w:tcBorders>
              <w:top w:val="nil"/>
              <w:left w:val="nil"/>
              <w:bottom w:val="single" w:sz="4" w:space="0" w:color="auto"/>
              <w:right w:val="single" w:sz="4" w:space="0" w:color="auto"/>
            </w:tcBorders>
            <w:vAlign w:val="center"/>
          </w:tcPr>
          <w:p w14:paraId="1FCDC3E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3E03D7F"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&lt;=0.55万元</w:t>
            </w:r>
          </w:p>
        </w:tc>
        <w:tc>
          <w:tcPr>
            <w:tcW w:w="728" w:type="dxa"/>
            <w:tcBorders>
              <w:top w:val="nil"/>
              <w:left w:val="nil"/>
              <w:bottom w:val="single" w:sz="4" w:space="0" w:color="auto"/>
              <w:right w:val="single" w:sz="4" w:space="0" w:color="auto"/>
            </w:tcBorders>
            <w:vAlign w:val="center"/>
          </w:tcPr>
          <w:p w14:paraId="3CA3F1CD"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=0万元</w:t>
            </w:r>
          </w:p>
        </w:tc>
        <w:tc>
          <w:tcPr>
            <w:tcW w:w="637" w:type="dxa"/>
            <w:tcBorders>
              <w:top w:val="nil"/>
              <w:left w:val="nil"/>
              <w:bottom w:val="single" w:sz="4" w:space="0" w:color="auto"/>
              <w:right w:val="single" w:sz="4" w:space="0" w:color="auto"/>
            </w:tcBorders>
            <w:vAlign w:val="center"/>
          </w:tcPr>
          <w:p w14:paraId="788015F1"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4D6C1E6"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DD97E6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BD40EB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1444FC7"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4B556F7"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7BD61B1E"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r>
      <w:tr w:rsidR="00B46B79" w14:paraId="0E1BE35D" w14:textId="77777777">
        <w:trPr>
          <w:trHeight w:val="714"/>
          <w:jc w:val="center"/>
        </w:trPr>
        <w:tc>
          <w:tcPr>
            <w:tcW w:w="300" w:type="dxa"/>
            <w:vMerge/>
            <w:tcBorders>
              <w:top w:val="nil"/>
              <w:left w:val="single" w:sz="4" w:space="0" w:color="auto"/>
              <w:bottom w:val="nil"/>
              <w:right w:val="single" w:sz="4" w:space="0" w:color="auto"/>
            </w:tcBorders>
            <w:vAlign w:val="center"/>
          </w:tcPr>
          <w:p w14:paraId="79928129"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471F43D"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B382D5"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BAEE178" w14:textId="77777777" w:rsidR="00B46B7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其他列项支出费用</w:t>
            </w:r>
          </w:p>
        </w:tc>
        <w:tc>
          <w:tcPr>
            <w:tcW w:w="627" w:type="dxa"/>
            <w:tcBorders>
              <w:top w:val="nil"/>
              <w:left w:val="nil"/>
              <w:bottom w:val="single" w:sz="4" w:space="0" w:color="auto"/>
              <w:right w:val="single" w:sz="4" w:space="0" w:color="auto"/>
            </w:tcBorders>
            <w:vAlign w:val="center"/>
          </w:tcPr>
          <w:p w14:paraId="5F0CAC5B"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43D1141"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&lt;=29.45万元</w:t>
            </w:r>
          </w:p>
        </w:tc>
        <w:tc>
          <w:tcPr>
            <w:tcW w:w="728" w:type="dxa"/>
            <w:tcBorders>
              <w:top w:val="nil"/>
              <w:left w:val="nil"/>
              <w:bottom w:val="single" w:sz="4" w:space="0" w:color="auto"/>
              <w:right w:val="single" w:sz="4" w:space="0" w:color="auto"/>
            </w:tcBorders>
            <w:vAlign w:val="center"/>
          </w:tcPr>
          <w:p w14:paraId="35CB973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=30万元</w:t>
            </w:r>
          </w:p>
        </w:tc>
        <w:tc>
          <w:tcPr>
            <w:tcW w:w="637" w:type="dxa"/>
            <w:tcBorders>
              <w:top w:val="nil"/>
              <w:left w:val="nil"/>
              <w:bottom w:val="single" w:sz="4" w:space="0" w:color="auto"/>
              <w:right w:val="single" w:sz="4" w:space="0" w:color="auto"/>
            </w:tcBorders>
            <w:vAlign w:val="center"/>
          </w:tcPr>
          <w:p w14:paraId="5E7435EC"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4599F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8317766"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CBE3A8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8D828E7"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7A61A49"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5A4B1971"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r>
      <w:tr w:rsidR="00B46B79" w14:paraId="54E4ADA9" w14:textId="77777777">
        <w:trPr>
          <w:trHeight w:val="800"/>
          <w:jc w:val="center"/>
        </w:trPr>
        <w:tc>
          <w:tcPr>
            <w:tcW w:w="300" w:type="dxa"/>
            <w:vMerge/>
            <w:tcBorders>
              <w:top w:val="nil"/>
              <w:left w:val="single" w:sz="4" w:space="0" w:color="auto"/>
              <w:bottom w:val="nil"/>
              <w:right w:val="single" w:sz="4" w:space="0" w:color="auto"/>
            </w:tcBorders>
            <w:vAlign w:val="center"/>
          </w:tcPr>
          <w:p w14:paraId="5EEE1C0F"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B74AE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5C18FDA"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DB89BD9" w14:textId="77777777" w:rsidR="00B46B79" w:rsidRDefault="00000000">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保障大楼</w:t>
            </w:r>
            <w:proofErr w:type="gramEnd"/>
            <w:r>
              <w:rPr>
                <w:rFonts w:ascii="宋体" w:eastAsia="宋体" w:hAnsi="宋体" w:cs="Times New Roman" w:hint="eastAsia"/>
                <w:color w:val="000000"/>
                <w:sz w:val="18"/>
                <w:szCs w:val="18"/>
                <w:lang w:eastAsia="zh-CN"/>
              </w:rPr>
              <w:t>正常运转</w:t>
            </w:r>
          </w:p>
        </w:tc>
        <w:tc>
          <w:tcPr>
            <w:tcW w:w="627" w:type="dxa"/>
            <w:tcBorders>
              <w:top w:val="nil"/>
              <w:left w:val="nil"/>
              <w:bottom w:val="single" w:sz="4" w:space="0" w:color="auto"/>
              <w:right w:val="single" w:sz="4" w:space="0" w:color="auto"/>
            </w:tcBorders>
            <w:vAlign w:val="center"/>
          </w:tcPr>
          <w:p w14:paraId="3E3FC52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2F7A28A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7C775CB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A2C0F6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589EB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7DCCBAD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28184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7383DB9"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3A4CB8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7421EF42"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r>
      <w:tr w:rsidR="00B46B79" w14:paraId="5C3F12E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3E721CE"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508CDE1"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2DCEF5C0"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7B68563"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0282179"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E98F83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D767CD1"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59F31EB"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74AF5F7"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1CAC64C"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B26029C" w14:textId="77777777" w:rsidR="00B46B79" w:rsidRDefault="00B46B79">
            <w:pPr>
              <w:spacing w:after="0" w:line="240" w:lineRule="auto"/>
              <w:rPr>
                <w:rFonts w:ascii="宋体" w:eastAsia="宋体" w:hAnsi="宋体" w:cs="Times New Roman" w:hint="eastAsia"/>
                <w:color w:val="000000"/>
                <w:sz w:val="18"/>
                <w:szCs w:val="18"/>
                <w:lang w:eastAsia="zh-CN"/>
              </w:rPr>
            </w:pPr>
          </w:p>
        </w:tc>
      </w:tr>
    </w:tbl>
    <w:p w14:paraId="7AC639C1" w14:textId="77777777" w:rsidR="00B46B79" w:rsidRDefault="00B46B79">
      <w:pPr>
        <w:widowControl w:val="0"/>
        <w:spacing w:after="0" w:line="240" w:lineRule="auto"/>
        <w:rPr>
          <w:rFonts w:ascii="宋体" w:eastAsia="宋体" w:hAnsi="宋体" w:cs="Times New Roman" w:hint="eastAsia"/>
          <w:b/>
          <w:bCs/>
          <w:sz w:val="18"/>
          <w:szCs w:val="18"/>
          <w:lang w:eastAsia="zh-CN"/>
        </w:rPr>
      </w:pPr>
    </w:p>
    <w:p w14:paraId="21A2A6A3"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77DF8910"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559A2073" w14:textId="77777777" w:rsidR="00B46B79" w:rsidRDefault="00B46B79">
      <w:pPr>
        <w:spacing w:after="0" w:line="240" w:lineRule="auto"/>
        <w:ind w:firstLineChars="200" w:firstLine="640"/>
        <w:rPr>
          <w:rFonts w:ascii="仿宋_GB2312" w:eastAsia="仿宋_GB2312" w:hint="eastAsia"/>
          <w:sz w:val="32"/>
          <w:szCs w:val="32"/>
          <w:lang w:eastAsia="zh-CN"/>
        </w:rPr>
      </w:pPr>
    </w:p>
    <w:p w14:paraId="14DBBC83" w14:textId="77777777" w:rsidR="00B46B79" w:rsidRDefault="00000000">
      <w:pPr>
        <w:rPr>
          <w:rFonts w:hint="eastAsia"/>
          <w:lang w:eastAsia="zh-CN"/>
        </w:rPr>
      </w:pPr>
      <w:r>
        <w:rPr>
          <w:sz w:val="0"/>
          <w:szCs w:val="0"/>
          <w:lang w:eastAsia="zh-CN"/>
        </w:rPr>
        <w:br w:type="page"/>
      </w:r>
    </w:p>
    <w:p w14:paraId="4CDBB42C" w14:textId="77777777" w:rsidR="00B46B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39BD9DF"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D020A58"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2538CA3"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A472BAC"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76332E3"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3A3FA4A"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4C5E230"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6834EA3"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6C9F27"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0227024"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434C7CD"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7E2028D"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488B776"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BF2F458"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294C2F1" w14:textId="77777777" w:rsidR="00B46B79" w:rsidRDefault="00000000">
      <w:pPr>
        <w:rPr>
          <w:rFonts w:hint="eastAsia"/>
          <w:lang w:eastAsia="zh-CN"/>
        </w:rPr>
      </w:pPr>
      <w:r>
        <w:rPr>
          <w:sz w:val="0"/>
          <w:szCs w:val="0"/>
          <w:lang w:eastAsia="zh-CN"/>
        </w:rPr>
        <w:br w:type="page"/>
      </w:r>
    </w:p>
    <w:p w14:paraId="70074B66" w14:textId="77777777" w:rsidR="00B46B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2E47C91"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28BB1E5"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4349B9E"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2142FF4D"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248ED0A"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2BA57B8"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1C42BCD"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DD117E8"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98F2793"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B46B7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36F57" w14:textId="77777777" w:rsidR="00733059" w:rsidRDefault="00733059">
      <w:pPr>
        <w:spacing w:line="240" w:lineRule="auto"/>
        <w:rPr>
          <w:rFonts w:hint="eastAsia"/>
        </w:rPr>
      </w:pPr>
      <w:r>
        <w:separator/>
      </w:r>
    </w:p>
  </w:endnote>
  <w:endnote w:type="continuationSeparator" w:id="0">
    <w:p w14:paraId="5282C135" w14:textId="77777777" w:rsidR="00733059" w:rsidRDefault="00733059">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18652" w14:textId="77777777" w:rsidR="00733059" w:rsidRDefault="00733059">
      <w:pPr>
        <w:spacing w:after="0"/>
        <w:rPr>
          <w:rFonts w:hint="eastAsia"/>
        </w:rPr>
      </w:pPr>
      <w:r>
        <w:separator/>
      </w:r>
    </w:p>
  </w:footnote>
  <w:footnote w:type="continuationSeparator" w:id="0">
    <w:p w14:paraId="1AE26B3B" w14:textId="77777777" w:rsidR="00733059" w:rsidRDefault="00733059">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54681E"/>
    <w:rsid w:val="000559C6"/>
    <w:rsid w:val="00061970"/>
    <w:rsid w:val="000F77A6"/>
    <w:rsid w:val="00165C30"/>
    <w:rsid w:val="001E4BB6"/>
    <w:rsid w:val="00302412"/>
    <w:rsid w:val="00367E11"/>
    <w:rsid w:val="003B74C8"/>
    <w:rsid w:val="00405F01"/>
    <w:rsid w:val="00486055"/>
    <w:rsid w:val="0054681E"/>
    <w:rsid w:val="00573605"/>
    <w:rsid w:val="00704876"/>
    <w:rsid w:val="00733059"/>
    <w:rsid w:val="00762B1E"/>
    <w:rsid w:val="00793ADC"/>
    <w:rsid w:val="007B7299"/>
    <w:rsid w:val="00863E91"/>
    <w:rsid w:val="0088250B"/>
    <w:rsid w:val="009C0986"/>
    <w:rsid w:val="009F6696"/>
    <w:rsid w:val="00A31658"/>
    <w:rsid w:val="00AB20A9"/>
    <w:rsid w:val="00B46B79"/>
    <w:rsid w:val="00BC0618"/>
    <w:rsid w:val="00BF2C2E"/>
    <w:rsid w:val="00C350C6"/>
    <w:rsid w:val="00C719ED"/>
    <w:rsid w:val="00CC6472"/>
    <w:rsid w:val="00E114F8"/>
    <w:rsid w:val="00E4479D"/>
    <w:rsid w:val="00EC1A65"/>
    <w:rsid w:val="145B5DB5"/>
    <w:rsid w:val="487978CB"/>
    <w:rsid w:val="6E6C4CE3"/>
    <w:rsid w:val="6F540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F6CE04"/>
  <w15:docId w15:val="{441932AC-36B8-4D65-A842-EE9695A9B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19</Pages>
  <Words>4725</Words>
  <Characters>5292</Characters>
  <Application>Microsoft Office Word</Application>
  <DocSecurity>0</DocSecurity>
  <Lines>441</Lines>
  <Paragraphs>370</Paragraphs>
  <ScaleCrop>false</ScaleCrop>
  <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11</cp:revision>
  <dcterms:created xsi:type="dcterms:W3CDTF">2025-09-01T07:35:00Z</dcterms:created>
  <dcterms:modified xsi:type="dcterms:W3CDTF">2025-12-16T03:27:00Z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E80D0085B17145A78DCFD8E4A8A1AEBD_12</vt:lpwstr>
  </property>
</Properties>
</file>