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EB8D4D">
      <w:pPr>
        <w:spacing w:line="240" w:lineRule="auto"/>
        <w:rPr>
          <w:rFonts w:ascii="宋体" w:eastAsia="宋体"/>
          <w:sz w:val="32"/>
          <w:szCs w:val="32"/>
        </w:rPr>
      </w:pPr>
    </w:p>
    <w:p w14:paraId="1898AF3F">
      <w:pPr>
        <w:spacing w:line="240" w:lineRule="auto"/>
        <w:rPr>
          <w:rFonts w:ascii="宋体" w:eastAsia="宋体"/>
          <w:sz w:val="44"/>
          <w:szCs w:val="44"/>
        </w:rPr>
      </w:pPr>
    </w:p>
    <w:p w14:paraId="3487C96C">
      <w:pPr>
        <w:spacing w:line="240" w:lineRule="auto"/>
        <w:rPr>
          <w:rFonts w:ascii="宋体" w:eastAsia="宋体"/>
          <w:sz w:val="44"/>
          <w:szCs w:val="44"/>
        </w:rPr>
      </w:pPr>
    </w:p>
    <w:p w14:paraId="5846FD4A">
      <w:pPr>
        <w:spacing w:line="240" w:lineRule="auto"/>
        <w:rPr>
          <w:rFonts w:ascii="宋体" w:eastAsia="宋体"/>
          <w:sz w:val="44"/>
          <w:szCs w:val="44"/>
        </w:rPr>
      </w:pPr>
    </w:p>
    <w:p w14:paraId="366FDD8B">
      <w:pPr>
        <w:spacing w:line="240" w:lineRule="auto"/>
        <w:jc w:val="center"/>
        <w:outlineLvl w:val="0"/>
        <w:rPr>
          <w:rFonts w:ascii="宋体" w:eastAsia="黑体"/>
          <w:sz w:val="44"/>
          <w:szCs w:val="44"/>
          <w:lang w:eastAsia="zh-CN"/>
        </w:rPr>
      </w:pPr>
      <w:r>
        <w:rPr>
          <w:rFonts w:ascii="宋体" w:eastAsia="黑体"/>
          <w:sz w:val="44"/>
          <w:szCs w:val="44"/>
          <w:lang w:eastAsia="zh-CN"/>
        </w:rPr>
        <w:t>昌吉市军粮供应站</w:t>
      </w:r>
    </w:p>
    <w:p w14:paraId="7C92F948">
      <w:pPr>
        <w:spacing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2D722C8E">
      <w:pPr>
        <w:rPr>
          <w:lang w:eastAsia="zh-CN"/>
        </w:rPr>
      </w:pPr>
      <w:r>
        <w:rPr>
          <w:sz w:val="0"/>
          <w:szCs w:val="0"/>
          <w:lang w:eastAsia="zh-CN"/>
        </w:rPr>
        <w:br w:type="page"/>
      </w:r>
    </w:p>
    <w:p w14:paraId="1023FE8F">
      <w:pPr>
        <w:spacing w:line="240" w:lineRule="auto"/>
        <w:jc w:val="center"/>
        <w:rPr>
          <w:rFonts w:ascii="黑体" w:eastAsia="黑体"/>
          <w:sz w:val="32"/>
          <w:szCs w:val="32"/>
          <w:lang w:eastAsia="zh-CN"/>
        </w:rPr>
      </w:pPr>
      <w:r>
        <w:rPr>
          <w:rFonts w:ascii="黑体" w:eastAsia="黑体"/>
          <w:b/>
          <w:sz w:val="32"/>
          <w:szCs w:val="32"/>
          <w:lang w:eastAsia="zh-CN"/>
        </w:rPr>
        <w:t>目  录</w:t>
      </w:r>
    </w:p>
    <w:p w14:paraId="4FE9658D">
      <w:pPr>
        <w:spacing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47E9B581">
      <w:pPr>
        <w:spacing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6BE4E330">
      <w:pPr>
        <w:spacing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46EC93A9">
      <w:pPr>
        <w:spacing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7CE99188">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27811820">
      <w:pPr>
        <w:spacing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E875812">
      <w:pPr>
        <w:spacing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494A7937">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4919022E">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F757853">
      <w:pPr>
        <w:spacing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3895EB49">
      <w:pPr>
        <w:spacing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6A700EE8">
      <w:pPr>
        <w:spacing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67F8CDBE">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4EF9EEB4">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654752D2">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7C411D8C">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69178D33">
      <w:pPr>
        <w:spacing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4790DBC8">
      <w:pPr>
        <w:spacing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1B4C63F8">
      <w:pPr>
        <w:spacing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5CA3F28A">
      <w:pPr>
        <w:spacing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189C82FC">
      <w:pPr>
        <w:spacing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4759B1C6">
      <w:pPr>
        <w:spacing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705C38F">
      <w:pPr>
        <w:spacing w:line="240" w:lineRule="auto"/>
        <w:rPr>
          <w:rFonts w:ascii="仿宋_GB2312" w:eastAsia="仿宋_GB2312"/>
          <w:sz w:val="32"/>
          <w:szCs w:val="32"/>
          <w:lang w:eastAsia="zh-CN"/>
        </w:rPr>
      </w:pPr>
      <w:r>
        <w:rPr>
          <w:rFonts w:ascii="仿宋_GB2312" w:eastAsia="仿宋_GB2312"/>
          <w:b/>
          <w:sz w:val="32"/>
          <w:szCs w:val="32"/>
          <w:lang w:eastAsia="zh-CN"/>
        </w:rPr>
        <w:t>第三部分 专业名词解释</w:t>
      </w:r>
    </w:p>
    <w:p w14:paraId="132C1B7F">
      <w:pPr>
        <w:spacing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1E2782BF">
      <w:pPr>
        <w:spacing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6CCFA849">
      <w:pPr>
        <w:spacing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7577DC9F">
      <w:pPr>
        <w:spacing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1257B361">
      <w:pPr>
        <w:spacing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9894E34">
      <w:pPr>
        <w:spacing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38A030C">
      <w:pPr>
        <w:spacing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50A3BB40">
      <w:pPr>
        <w:spacing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4536290">
      <w:pPr>
        <w:spacing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7DF8FFC2">
      <w:pPr>
        <w:spacing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5478A053">
      <w:pPr>
        <w:rPr>
          <w:lang w:eastAsia="zh-CN"/>
        </w:rPr>
      </w:pPr>
      <w:r>
        <w:rPr>
          <w:sz w:val="0"/>
          <w:szCs w:val="0"/>
          <w:lang w:eastAsia="zh-CN"/>
        </w:rPr>
        <w:br w:type="page"/>
      </w:r>
    </w:p>
    <w:p w14:paraId="32AB6AE4">
      <w:pPr>
        <w:spacing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14:paraId="75308564">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617A41FD">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机构改革八定方案，本单位承担的职能共4项，具体是：1、机构类别：公益类事业单位。2、主要职责任务：在发展和改革委员会的领导下，军粮供应站具体行使：（1）贯彻落实党和国家有关粮食供应的政策和法规、规定。（2）根据粮食需求计划做好筹措，调运工作，保证按时、按质、按量，按品种供应。（3）按照粮食供应标准，对粮食进行质量检验，严格执行标物业制度。（4）完成行政主管部门安排的其他各项工作。</w:t>
      </w:r>
    </w:p>
    <w:p w14:paraId="2A428012">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5438015D">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昌吉市军粮供应站2024年度，实有人数11人，其中：在职人员5人，减少1人；离休人员0人，较上年无变化；退休人员6人，增加1人。</w:t>
      </w:r>
    </w:p>
    <w:p w14:paraId="039929ED">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昌吉市军粮供应站无下属预算单位，下设2个科室，分别是：综合办公室</w:t>
      </w:r>
      <w:r>
        <w:rPr>
          <w:rFonts w:hint="eastAsia" w:ascii="仿宋_GB2312" w:eastAsia="仿宋_GB2312"/>
          <w:sz w:val="32"/>
          <w:szCs w:val="32"/>
          <w:lang w:eastAsia="zh-CN"/>
        </w:rPr>
        <w:t>、</w:t>
      </w:r>
      <w:r>
        <w:rPr>
          <w:rFonts w:ascii="仿宋_GB2312" w:eastAsia="仿宋_GB2312"/>
          <w:sz w:val="32"/>
          <w:szCs w:val="32"/>
          <w:lang w:eastAsia="zh-CN"/>
        </w:rPr>
        <w:t>财务室</w:t>
      </w:r>
      <w:r>
        <w:rPr>
          <w:rFonts w:hint="eastAsia" w:ascii="仿宋_GB2312" w:eastAsia="仿宋_GB2312"/>
          <w:sz w:val="32"/>
          <w:szCs w:val="32"/>
          <w:lang w:eastAsia="zh-CN"/>
        </w:rPr>
        <w:t>。</w:t>
      </w:r>
    </w:p>
    <w:p w14:paraId="25EA141C">
      <w:pPr>
        <w:rPr>
          <w:lang w:eastAsia="zh-CN"/>
        </w:rPr>
      </w:pPr>
      <w:r>
        <w:rPr>
          <w:sz w:val="0"/>
          <w:szCs w:val="0"/>
          <w:lang w:eastAsia="zh-CN"/>
        </w:rPr>
        <w:br w:type="page"/>
      </w:r>
    </w:p>
    <w:p w14:paraId="201233B1">
      <w:pPr>
        <w:spacing w:line="240" w:lineRule="auto"/>
        <w:jc w:val="center"/>
        <w:outlineLvl w:val="0"/>
        <w:rPr>
          <w:rFonts w:ascii="黑体" w:eastAsia="黑体"/>
          <w:sz w:val="32"/>
          <w:szCs w:val="32"/>
          <w:lang w:eastAsia="zh-CN"/>
        </w:rPr>
      </w:pPr>
      <w:r>
        <w:rPr>
          <w:rFonts w:ascii="黑体" w:eastAsia="黑体"/>
          <w:sz w:val="32"/>
          <w:szCs w:val="32"/>
          <w:lang w:eastAsia="zh-CN"/>
        </w:rPr>
        <w:t>第二部分 部门决算情况说明</w:t>
      </w:r>
    </w:p>
    <w:p w14:paraId="7555C5A5">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768C3B8E">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2024年度收入总计138.54万元，其中：本年收入合计138.54万元，使用非财政拨款结余（含专用结余）0.00万元，年初结转和结余0.00万元。</w:t>
      </w:r>
    </w:p>
    <w:p w14:paraId="7CD5B716">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2024年度支出总计138.54万元，其中：本年支出合计138.54万元，结余分配0.00万元，年末结转和结余0.00万元。</w:t>
      </w:r>
    </w:p>
    <w:p w14:paraId="2DDDB49D">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收入支出总体与上年相比，增加35.67万元，增长34.67%，主要原因是：</w:t>
      </w:r>
      <w:r>
        <w:rPr>
          <w:rFonts w:hint="eastAsia" w:ascii="仿宋_GB2312" w:eastAsia="仿宋_GB2312"/>
          <w:sz w:val="32"/>
          <w:szCs w:val="32"/>
          <w:lang w:eastAsia="zh-CN"/>
        </w:rPr>
        <w:t>单位人员薪资调增，人员工资、津补贴等人员经费较上年增加；“新增五位一体”应急保障中心项目设计费、自治区军粮供应网点维修改造资金等</w:t>
      </w:r>
      <w:r>
        <w:rPr>
          <w:rFonts w:ascii="仿宋_GB2312" w:eastAsia="仿宋_GB2312"/>
          <w:sz w:val="32"/>
          <w:szCs w:val="32"/>
          <w:lang w:eastAsia="zh-CN"/>
        </w:rPr>
        <w:t>项目经费增加。</w:t>
      </w:r>
    </w:p>
    <w:p w14:paraId="2D66BAFC">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5920281E">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本年收入138.54万元，其中：财政拨款收入138.54万元,占100.00%；上级补助收入0.00万元,占0.00%；事业收入0.00万元，占0.00%；经营收入0.00万元,占0.00%；附属单位上缴收入0.00万元，占0.00%；其他收入0.00万元，占0.00%。</w:t>
      </w:r>
    </w:p>
    <w:p w14:paraId="41AFE72E">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1444B937">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本年支出138.54万元，其中：基本支出116.54万元，占84.12%；项目支出22.00万元，占15.88%；上缴上级支出0.00万元，占0.00%；经营支出0.00万元，占0.00%；对附属单位补助支出0.00万元，占0.00%。</w:t>
      </w:r>
    </w:p>
    <w:p w14:paraId="2B821CDE">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399A38BB">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2024年度财政拨款收入总计138.54万元，其中：年初财政拨款结转和结余0.00万元，本年财政拨款收入138.54万元。财政拨款支出总计138.54万元，其中：年末财政拨款结转和结余0.00万元，本年财政拨款支出138.54万元。</w:t>
      </w:r>
    </w:p>
    <w:p w14:paraId="6C7F2DBB">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财政拨款收入支出总体与上年相比，增加35.67万元，增长34.67%，主要原因是：</w:t>
      </w:r>
      <w:r>
        <w:rPr>
          <w:rFonts w:hint="eastAsia" w:ascii="仿宋_GB2312" w:eastAsia="仿宋_GB2312"/>
          <w:sz w:val="32"/>
          <w:szCs w:val="32"/>
          <w:lang w:eastAsia="zh-CN"/>
        </w:rPr>
        <w:t>单位人员薪资调增，人员工资、津补贴等人员经费较上年增加；“新增五位一体”应急保障中心项目设计费、自治区军粮供应网点维修改造资金等</w:t>
      </w:r>
      <w:r>
        <w:rPr>
          <w:rFonts w:ascii="仿宋_GB2312" w:eastAsia="仿宋_GB2312"/>
          <w:sz w:val="32"/>
          <w:szCs w:val="32"/>
          <w:lang w:eastAsia="zh-CN"/>
        </w:rPr>
        <w:t>项目经费增加。与年初预算相比，年初预算数101.87万元，决算数138.54万元，预决算差异率36.00%，主要原因是：</w:t>
      </w:r>
      <w:r>
        <w:rPr>
          <w:rFonts w:hint="eastAsia" w:ascii="仿宋_GB2312" w:eastAsia="仿宋_GB2312"/>
          <w:sz w:val="32"/>
          <w:szCs w:val="32"/>
          <w:lang w:eastAsia="zh-CN"/>
        </w:rPr>
        <w:t>单位人员薪资调增，年中追加人员工资、津补贴等人员经费；年中追加“新增五位一体”应急保障中心项目设计费、2024年自治区军粮供应网点维修改造资金等</w:t>
      </w:r>
      <w:r>
        <w:rPr>
          <w:rFonts w:ascii="仿宋_GB2312" w:eastAsia="仿宋_GB2312"/>
          <w:sz w:val="32"/>
          <w:szCs w:val="32"/>
          <w:lang w:eastAsia="zh-CN"/>
        </w:rPr>
        <w:t>项目经费。</w:t>
      </w:r>
    </w:p>
    <w:p w14:paraId="660A49EE">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33C317FD">
      <w:pPr>
        <w:spacing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5E7C074C">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2024年度一般公共预算财政拨款支出138.54万元，占本年支出合计的100.00%。与上年相比，增加35.67万元，增长34.67%，主要原因是：</w:t>
      </w:r>
      <w:r>
        <w:rPr>
          <w:rFonts w:hint="eastAsia" w:ascii="仿宋_GB2312" w:eastAsia="仿宋_GB2312"/>
          <w:sz w:val="32"/>
          <w:szCs w:val="32"/>
          <w:lang w:eastAsia="zh-CN"/>
        </w:rPr>
        <w:t>单位人员薪资调增，人员工资、津补贴等人员经费较上年增加；“新增五位一体”应急保障中心项目设计费、2024年自治区军粮供应网点维修改造资金等</w:t>
      </w:r>
      <w:r>
        <w:rPr>
          <w:rFonts w:ascii="仿宋_GB2312" w:eastAsia="仿宋_GB2312"/>
          <w:sz w:val="32"/>
          <w:szCs w:val="32"/>
          <w:lang w:eastAsia="zh-CN"/>
        </w:rPr>
        <w:t>项目经费增加。与年初预算相比，年初预算数101.87万元，决算数138.54万元，预决算差异率36.00%，主要原因是：</w:t>
      </w:r>
      <w:r>
        <w:rPr>
          <w:rFonts w:hint="eastAsia" w:ascii="仿宋_GB2312" w:eastAsia="仿宋_GB2312"/>
          <w:sz w:val="32"/>
          <w:szCs w:val="32"/>
          <w:lang w:eastAsia="zh-CN"/>
        </w:rPr>
        <w:t>单位人员薪资调增，年中追加人员工资、津补贴等人员经费；年中追加“新增五位一体”应急保障中心项目设计费、2024年自治区军粮供应网点维修改造资金等</w:t>
      </w:r>
      <w:r>
        <w:rPr>
          <w:rFonts w:ascii="仿宋_GB2312" w:eastAsia="仿宋_GB2312"/>
          <w:sz w:val="32"/>
          <w:szCs w:val="32"/>
          <w:lang w:eastAsia="zh-CN"/>
        </w:rPr>
        <w:t>项目经费。</w:t>
      </w:r>
    </w:p>
    <w:p w14:paraId="5730C5E6">
      <w:pPr>
        <w:spacing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0524F9DA">
      <w:pPr>
        <w:spacing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1.</w:t>
      </w:r>
      <w:r>
        <w:rPr>
          <w:rFonts w:ascii="仿宋_GB2312" w:eastAsia="仿宋_GB2312"/>
          <w:sz w:val="32"/>
          <w:szCs w:val="32"/>
          <w:lang w:eastAsia="zh-CN"/>
        </w:rPr>
        <w:t>社会保障和就业支出（类）16.67万元，占12.03%。</w:t>
      </w:r>
    </w:p>
    <w:p w14:paraId="7691C5E2">
      <w:pPr>
        <w:spacing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2.</w:t>
      </w:r>
      <w:r>
        <w:rPr>
          <w:rFonts w:ascii="仿宋_GB2312" w:eastAsia="仿宋_GB2312"/>
          <w:sz w:val="32"/>
          <w:szCs w:val="32"/>
          <w:lang w:eastAsia="zh-CN"/>
        </w:rPr>
        <w:t>卫生健康支出（类）6.75万元，占4.87%。</w:t>
      </w:r>
    </w:p>
    <w:p w14:paraId="516156F4">
      <w:pPr>
        <w:spacing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3.</w:t>
      </w:r>
      <w:r>
        <w:rPr>
          <w:rFonts w:ascii="仿宋_GB2312" w:eastAsia="仿宋_GB2312"/>
          <w:sz w:val="32"/>
          <w:szCs w:val="32"/>
          <w:lang w:eastAsia="zh-CN"/>
        </w:rPr>
        <w:t>住房保障支出（类）7.40万元，占5.34%。</w:t>
      </w:r>
    </w:p>
    <w:p w14:paraId="1E519F31">
      <w:pPr>
        <w:spacing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4.</w:t>
      </w:r>
      <w:r>
        <w:rPr>
          <w:rFonts w:ascii="仿宋_GB2312" w:eastAsia="仿宋_GB2312"/>
          <w:sz w:val="32"/>
          <w:szCs w:val="32"/>
          <w:lang w:eastAsia="zh-CN"/>
        </w:rPr>
        <w:t>粮油物资储备支出（类）107.72万元，占77.75%。</w:t>
      </w:r>
    </w:p>
    <w:p w14:paraId="3C54D864">
      <w:pPr>
        <w:spacing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1DFE5A02">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1、社会保障和就业支出（类）行政事业单位养老支出（款）机关事业单位基本养老保险缴费支出（项）：支出决算数为9.78万元，比上年决算增加0.63万元，增长6.89%，主要原因是：</w:t>
      </w:r>
      <w:r>
        <w:rPr>
          <w:rFonts w:hint="eastAsia" w:ascii="仿宋_GB2312" w:hAnsi="仿宋_GB2312" w:eastAsia="仿宋_GB2312" w:cs="仿宋_GB2312"/>
          <w:sz w:val="32"/>
          <w:szCs w:val="32"/>
          <w:lang w:val="zh-CN" w:eastAsia="zh-CN"/>
        </w:rPr>
        <w:t>本年单位社保缴费基数调增，人员养老保险缴费增加</w:t>
      </w:r>
      <w:r>
        <w:rPr>
          <w:rFonts w:ascii="仿宋_GB2312" w:eastAsia="仿宋_GB2312"/>
          <w:sz w:val="32"/>
          <w:szCs w:val="32"/>
          <w:lang w:eastAsia="zh-CN"/>
        </w:rPr>
        <w:t>。</w:t>
      </w:r>
    </w:p>
    <w:p w14:paraId="41CFC4DC">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2、社会保障和就业支出（类）行政事业单位养老支出（款）机关事业单位职业年金缴费支出（项）：支出决算数为6.89万元，比上年决算增加6.89万元，增长100.00%，主要原因是：</w:t>
      </w:r>
      <w:r>
        <w:rPr>
          <w:rFonts w:hint="eastAsia" w:ascii="仿宋_GB2312" w:eastAsia="仿宋_GB2312"/>
          <w:sz w:val="32"/>
          <w:szCs w:val="32"/>
          <w:lang w:eastAsia="zh-CN"/>
        </w:rPr>
        <w:t>本年单位新增退休人员，</w:t>
      </w:r>
      <w:r>
        <w:rPr>
          <w:rFonts w:ascii="仿宋_GB2312" w:eastAsia="仿宋_GB2312"/>
          <w:sz w:val="32"/>
          <w:szCs w:val="32"/>
          <w:lang w:eastAsia="zh-CN"/>
        </w:rPr>
        <w:t>职业年金缴费</w:t>
      </w:r>
      <w:r>
        <w:rPr>
          <w:rFonts w:hint="eastAsia" w:ascii="仿宋_GB2312" w:eastAsia="仿宋_GB2312"/>
          <w:sz w:val="32"/>
          <w:szCs w:val="32"/>
          <w:lang w:eastAsia="zh-CN"/>
        </w:rPr>
        <w:t>较上年增加</w:t>
      </w:r>
      <w:r>
        <w:rPr>
          <w:rFonts w:ascii="仿宋_GB2312" w:eastAsia="仿宋_GB2312"/>
          <w:sz w:val="32"/>
          <w:szCs w:val="32"/>
          <w:lang w:eastAsia="zh-CN"/>
        </w:rPr>
        <w:t>。</w:t>
      </w:r>
    </w:p>
    <w:p w14:paraId="5AC0065C">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3、卫生健康支出（类）行政事业单位医疗（款）事业单位医疗（项）：支出决算数为6.08万元，比上年决算增加0.65万元，增长11.97%，主要原因是：</w:t>
      </w:r>
      <w:r>
        <w:rPr>
          <w:rFonts w:hint="eastAsia" w:ascii="仿宋_GB2312" w:hAnsi="仿宋_GB2312" w:eastAsia="仿宋_GB2312" w:cs="仿宋_GB2312"/>
          <w:sz w:val="32"/>
          <w:szCs w:val="32"/>
          <w:lang w:val="zh-CN" w:eastAsia="zh-CN"/>
        </w:rPr>
        <w:t>单位人员薪资调增，人员工资、津补贴等人员经费较上年增加</w:t>
      </w:r>
      <w:r>
        <w:rPr>
          <w:rFonts w:ascii="仿宋_GB2312" w:eastAsia="仿宋_GB2312"/>
          <w:sz w:val="32"/>
          <w:szCs w:val="32"/>
          <w:lang w:eastAsia="zh-CN"/>
        </w:rPr>
        <w:t>。</w:t>
      </w:r>
    </w:p>
    <w:p w14:paraId="13C0DA7B">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4、卫生健康支出（类）行政事业单位医疗（款）公务员医疗补助（项）：支出决算数为0.64万元，比上年决算增加0.36万元，增长128.57%，主要原因是：</w:t>
      </w:r>
      <w:r>
        <w:rPr>
          <w:rFonts w:hint="eastAsia" w:ascii="仿宋_GB2312" w:hAnsi="仿宋_GB2312" w:eastAsia="仿宋_GB2312" w:cs="仿宋_GB2312"/>
          <w:sz w:val="32"/>
          <w:szCs w:val="32"/>
          <w:lang w:val="zh-CN" w:eastAsia="zh-CN"/>
        </w:rPr>
        <w:t>单位人员薪资调增，</w:t>
      </w:r>
      <w:r>
        <w:rPr>
          <w:rFonts w:ascii="仿宋_GB2312" w:eastAsia="仿宋_GB2312"/>
          <w:sz w:val="32"/>
          <w:szCs w:val="32"/>
          <w:lang w:eastAsia="zh-CN"/>
        </w:rPr>
        <w:t>公务员医疗补助</w:t>
      </w:r>
      <w:r>
        <w:rPr>
          <w:rFonts w:hint="eastAsia" w:ascii="仿宋_GB2312" w:hAnsi="仿宋_GB2312" w:eastAsia="仿宋_GB2312" w:cs="仿宋_GB2312"/>
          <w:sz w:val="32"/>
          <w:szCs w:val="32"/>
          <w:lang w:val="zh-CN" w:eastAsia="zh-CN"/>
        </w:rPr>
        <w:t>较上年增加</w:t>
      </w:r>
      <w:r>
        <w:rPr>
          <w:rFonts w:ascii="仿宋_GB2312" w:eastAsia="仿宋_GB2312"/>
          <w:sz w:val="32"/>
          <w:szCs w:val="32"/>
          <w:lang w:eastAsia="zh-CN"/>
        </w:rPr>
        <w:t>。</w:t>
      </w:r>
    </w:p>
    <w:p w14:paraId="688A591A">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5、卫生健康支出（类）行政事业单位医疗（款）其他行政事业单位医疗支出（项）：支出决算数为0.04万元，与上年相比无变化，主要原因是：</w:t>
      </w:r>
      <w:r>
        <w:rPr>
          <w:rFonts w:hint="eastAsia" w:ascii="仿宋_GB2312" w:eastAsia="仿宋_GB2312"/>
          <w:sz w:val="32"/>
          <w:szCs w:val="32"/>
          <w:lang w:val="en-US" w:eastAsia="zh-CN"/>
        </w:rPr>
        <w:t>大病医疗缴费</w:t>
      </w:r>
      <w:r>
        <w:rPr>
          <w:rFonts w:hint="eastAsia" w:ascii="仿宋_GB2312" w:eastAsia="仿宋_GB2312"/>
          <w:sz w:val="32"/>
          <w:szCs w:val="32"/>
          <w:lang w:eastAsia="zh-CN"/>
        </w:rPr>
        <w:t>与上年对比无差异</w:t>
      </w:r>
      <w:r>
        <w:rPr>
          <w:rFonts w:ascii="仿宋_GB2312" w:eastAsia="仿宋_GB2312"/>
          <w:sz w:val="32"/>
          <w:szCs w:val="32"/>
          <w:lang w:eastAsia="zh-CN"/>
        </w:rPr>
        <w:t>。</w:t>
      </w:r>
    </w:p>
    <w:p w14:paraId="1E893209">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6、住房保障支出（类）住房改革支出（款）住房公积金（项）：支出决算数为7.40万元，比上年决算增加0.48万元，增长6.94%，主要原因是：</w:t>
      </w:r>
      <w:r>
        <w:rPr>
          <w:rFonts w:hint="eastAsia" w:ascii="仿宋_GB2312" w:eastAsia="仿宋_GB2312"/>
          <w:sz w:val="32"/>
          <w:szCs w:val="32"/>
          <w:lang w:val="zh-CN" w:eastAsia="zh-CN"/>
        </w:rPr>
        <w:t>住房公积金缴费基数调增，人员公积金缴费增加</w:t>
      </w:r>
      <w:r>
        <w:rPr>
          <w:rFonts w:ascii="仿宋_GB2312" w:eastAsia="仿宋_GB2312"/>
          <w:sz w:val="32"/>
          <w:szCs w:val="32"/>
          <w:lang w:eastAsia="zh-CN"/>
        </w:rPr>
        <w:t>。</w:t>
      </w:r>
    </w:p>
    <w:p w14:paraId="105132DA">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7、粮油物资储备支出（类）粮油物资事务（款）事业运行（项）：支出决算数为85.72万元，比上年决算增加4.66万元，增长5.75%，主要原因是：</w:t>
      </w:r>
      <w:r>
        <w:rPr>
          <w:rFonts w:hint="eastAsia" w:ascii="仿宋_GB2312" w:hAnsi="仿宋_GB2312" w:eastAsia="仿宋_GB2312" w:cs="仿宋_GB2312"/>
          <w:sz w:val="32"/>
          <w:szCs w:val="32"/>
          <w:lang w:val="zh-CN" w:eastAsia="zh-CN"/>
        </w:rPr>
        <w:t>单位人员薪资调增，人员工资、津补贴等人员经费较上年增加</w:t>
      </w:r>
      <w:r>
        <w:rPr>
          <w:rFonts w:ascii="仿宋_GB2312" w:eastAsia="仿宋_GB2312"/>
          <w:sz w:val="32"/>
          <w:szCs w:val="32"/>
          <w:lang w:eastAsia="zh-CN"/>
        </w:rPr>
        <w:t>。</w:t>
      </w:r>
    </w:p>
    <w:p w14:paraId="161895C9">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8、粮油物资储备支出（类）粮油物资事务（款）其他粮油物资事务支出（项）：支出决算数为14.00万元，比上年决算增加14.00万元，增长100.00%，主要原因是：</w:t>
      </w:r>
      <w:r>
        <w:rPr>
          <w:rFonts w:hint="eastAsia" w:ascii="仿宋_GB2312" w:eastAsia="仿宋_GB2312"/>
          <w:sz w:val="32"/>
          <w:szCs w:val="32"/>
          <w:lang w:eastAsia="zh-CN"/>
        </w:rPr>
        <w:t>本年增加“五位一体”应急保障中心项目设计费余款</w:t>
      </w:r>
      <w:r>
        <w:rPr>
          <w:rFonts w:ascii="仿宋_GB2312" w:eastAsia="仿宋_GB2312"/>
          <w:sz w:val="32"/>
          <w:szCs w:val="32"/>
          <w:lang w:eastAsia="zh-CN"/>
        </w:rPr>
        <w:t>。</w:t>
      </w:r>
    </w:p>
    <w:p w14:paraId="48370986">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9、粮油物资储备支出（类）粮油储备（款）储备粮（油）库建设（项）：支出决算数为8.00万元，比上年决算增加8.00万元，增长100.00%，主要原因是：</w:t>
      </w:r>
      <w:r>
        <w:rPr>
          <w:rFonts w:hint="eastAsia" w:ascii="仿宋_GB2312" w:eastAsia="仿宋_GB2312"/>
          <w:sz w:val="32"/>
          <w:szCs w:val="32"/>
          <w:lang w:eastAsia="zh-CN"/>
        </w:rPr>
        <w:t>本年新增</w:t>
      </w:r>
      <w:r>
        <w:rPr>
          <w:rFonts w:ascii="仿宋_GB2312" w:eastAsia="仿宋_GB2312"/>
          <w:sz w:val="32"/>
          <w:szCs w:val="32"/>
          <w:lang w:eastAsia="zh-CN"/>
        </w:rPr>
        <w:t>办公楼安装监控及仓库通风系统</w:t>
      </w:r>
      <w:r>
        <w:rPr>
          <w:rFonts w:hint="eastAsia" w:ascii="仿宋_GB2312" w:eastAsia="仿宋_GB2312"/>
          <w:sz w:val="32"/>
          <w:szCs w:val="32"/>
          <w:lang w:eastAsia="zh-CN"/>
        </w:rPr>
        <w:t>项目经费</w:t>
      </w:r>
      <w:r>
        <w:rPr>
          <w:rFonts w:ascii="仿宋_GB2312" w:eastAsia="仿宋_GB2312"/>
          <w:sz w:val="32"/>
          <w:szCs w:val="32"/>
          <w:lang w:eastAsia="zh-CN"/>
        </w:rPr>
        <w:t>。</w:t>
      </w:r>
    </w:p>
    <w:p w14:paraId="02753ACA">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665D1A71">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116.54万元，其中：人员经费111.03万元，包括：基本工资、津贴补贴、奖金、机关事业单位基本养老保险缴费、职业年金缴费、职工基本医疗保险缴费、公务员医疗补助缴费、其他社会保障缴费、住房公积金、医疗费、退休费、抚恤金和奖励金。</w:t>
      </w:r>
    </w:p>
    <w:p w14:paraId="1CCC50B3">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公用经费5.51万元，包括：办公费、取暖费和公务用车运行维护费。</w:t>
      </w:r>
    </w:p>
    <w:p w14:paraId="65409FDE">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7B41F45E">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C48A97E">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7A9B1D9D">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2BCBFDE2">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4BD785AB">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2024年度财政拨款“三公”经费支出2.02万元，比上年增加0.02万元，增长1.00%，主要原因是：车辆老化，维修费增加。其中：因公出国（境）费支出0.00万元,占0.00%，与上年相比无变化，主要原因是：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；公务用车购置及运行维护费支出2.02万元，占100.00%，比上年增加0.02万元，增长1.00%，主要原因是：车辆老化，维修费增加；公务接待费支出0.00万元，占0.00%，与上年相比无变化，主要原因是：</w:t>
      </w:r>
      <w:r>
        <w:rPr>
          <w:rFonts w:hint="eastAsia" w:ascii="仿宋_GB2312" w:eastAsia="仿宋_GB2312"/>
          <w:sz w:val="32"/>
          <w:szCs w:val="32"/>
          <w:lang w:eastAsia="zh-CN"/>
        </w:rPr>
        <w:t>我单位上年度与本年度均无此项经费</w:t>
      </w:r>
      <w:r>
        <w:rPr>
          <w:rFonts w:ascii="仿宋_GB2312" w:eastAsia="仿宋_GB2312"/>
          <w:sz w:val="32"/>
          <w:szCs w:val="32"/>
          <w:lang w:eastAsia="zh-CN"/>
        </w:rPr>
        <w:t>。</w:t>
      </w:r>
    </w:p>
    <w:p w14:paraId="262FBE4D">
      <w:pPr>
        <w:spacing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10A446E6">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bookmarkStart w:id="0" w:name="_Hlk207143872"/>
      <w:r>
        <w:rPr>
          <w:rFonts w:hint="eastAsia" w:ascii="仿宋_GB2312" w:hAnsi="等线" w:eastAsia="仿宋_GB2312" w:cs="Times New Roman"/>
          <w:sz w:val="32"/>
          <w:szCs w:val="32"/>
          <w:lang w:eastAsia="zh-CN"/>
        </w:rPr>
        <w:t>单位本年无因公出国（境）费</w:t>
      </w:r>
      <w:bookmarkEnd w:id="0"/>
      <w:r>
        <w:rPr>
          <w:rFonts w:ascii="仿宋_GB2312" w:eastAsia="仿宋_GB2312"/>
          <w:sz w:val="32"/>
          <w:szCs w:val="32"/>
          <w:lang w:eastAsia="zh-CN"/>
        </w:rPr>
        <w:t>。单位全年安排的因公出国（境）团组0个，因公出国（境）0人次。</w:t>
      </w:r>
    </w:p>
    <w:p w14:paraId="09409E8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公务用车购置及运行维护费2.02万元，其中：公务用车购置费0.00万元，公务用车运行维护费2.02万元。公务用车运行维护费开支内容包括</w:t>
      </w:r>
      <w:r>
        <w:rPr>
          <w:rFonts w:hint="eastAsia" w:ascii="仿宋_GB2312" w:eastAsia="仿宋_GB2312"/>
          <w:sz w:val="32"/>
          <w:szCs w:val="32"/>
          <w:lang w:eastAsia="zh-CN"/>
        </w:rPr>
        <w:t>公务用车维修维护费、燃油费、保险费、过路费等。</w:t>
      </w:r>
      <w:r>
        <w:rPr>
          <w:rFonts w:ascii="仿宋_GB2312" w:eastAsia="仿宋_GB2312"/>
          <w:sz w:val="32"/>
          <w:szCs w:val="32"/>
          <w:lang w:eastAsia="zh-CN"/>
        </w:rPr>
        <w:t>公务用车购置数0辆，公务用车保有量1辆。国有资产占用情况中固定资产车辆1辆，与公务用车保有量差异原因是：</w:t>
      </w:r>
      <w:r>
        <w:rPr>
          <w:rFonts w:hint="eastAsia" w:ascii="仿宋_GB2312" w:eastAsia="仿宋_GB2312"/>
          <w:sz w:val="32"/>
          <w:szCs w:val="32"/>
          <w:lang w:eastAsia="zh-CN"/>
        </w:rPr>
        <w:t>本单位固定资产车辆与公务用车保有量一致无差异</w:t>
      </w:r>
      <w:r>
        <w:rPr>
          <w:rFonts w:ascii="仿宋_GB2312" w:eastAsia="仿宋_GB2312"/>
          <w:sz w:val="32"/>
          <w:szCs w:val="32"/>
          <w:lang w:eastAsia="zh-CN"/>
        </w:rPr>
        <w:t>。</w:t>
      </w:r>
    </w:p>
    <w:p w14:paraId="0F0D7024">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w:t>
      </w:r>
      <w:bookmarkStart w:id="1" w:name="_Hlk207140433"/>
      <w:r>
        <w:rPr>
          <w:rFonts w:hint="eastAsia" w:ascii="仿宋_GB2312" w:hAnsi="等线" w:eastAsia="仿宋_GB2312" w:cs="Times New Roman"/>
          <w:sz w:val="32"/>
          <w:szCs w:val="32"/>
          <w:lang w:eastAsia="zh-CN"/>
        </w:rPr>
        <w:t>单位本年无公务接待费</w:t>
      </w:r>
      <w:bookmarkEnd w:id="1"/>
      <w:r>
        <w:rPr>
          <w:rFonts w:ascii="仿宋_GB2312" w:eastAsia="仿宋_GB2312"/>
          <w:sz w:val="32"/>
          <w:szCs w:val="32"/>
          <w:lang w:eastAsia="zh-CN"/>
        </w:rPr>
        <w:t>。单位全年安排的国内公务接待0批次，0人次。</w:t>
      </w:r>
    </w:p>
    <w:p w14:paraId="1193CE2D">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与全年预算相比，财政拨款“三公”经费支出全年预算数2.02万元，决算数2.02万元，预决算差异率0.00%，主要原因是：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；公务用车运行维护费全年预算数2.02万元，决算数2.02万元，预决算差异率0.00%，主要原因是：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hint="eastAsia"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6E59578E">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7480E02A">
      <w:pPr>
        <w:spacing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0F249596">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2024年度昌吉市军粮供应站单位（事业单位）公用经费支出5.51万元，比上年增加0.31万元，增长5.96%，主要原因是：</w:t>
      </w:r>
      <w:r>
        <w:rPr>
          <w:rFonts w:hint="eastAsia" w:ascii="仿宋_GB2312" w:eastAsia="仿宋_GB2312"/>
          <w:sz w:val="32"/>
          <w:szCs w:val="32"/>
          <w:lang w:eastAsia="zh-CN"/>
        </w:rPr>
        <w:t>本年单位</w:t>
      </w:r>
      <w:r>
        <w:rPr>
          <w:rFonts w:ascii="仿宋_GB2312" w:eastAsia="仿宋_GB2312"/>
          <w:sz w:val="32"/>
          <w:szCs w:val="32"/>
          <w:lang w:eastAsia="zh-CN"/>
        </w:rPr>
        <w:t>办公费、公务用车运行维护费</w:t>
      </w:r>
      <w:r>
        <w:rPr>
          <w:rFonts w:hint="eastAsia" w:ascii="仿宋_GB2312" w:eastAsia="仿宋_GB2312"/>
          <w:sz w:val="32"/>
          <w:szCs w:val="32"/>
          <w:lang w:eastAsia="zh-CN"/>
        </w:rPr>
        <w:t>较上年增加</w:t>
      </w:r>
      <w:r>
        <w:rPr>
          <w:rFonts w:ascii="仿宋_GB2312" w:eastAsia="仿宋_GB2312"/>
          <w:sz w:val="32"/>
          <w:szCs w:val="32"/>
          <w:lang w:eastAsia="zh-CN"/>
        </w:rPr>
        <w:t>。</w:t>
      </w:r>
    </w:p>
    <w:p w14:paraId="098B4561">
      <w:pPr>
        <w:spacing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3EF16252">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2024年度政府采购支出总额0.00万元，其中：政府采购货物支出0.00万元、政府采购工程支出0.00万元、政府采购服务支出0.00万元。</w:t>
      </w:r>
    </w:p>
    <w:p w14:paraId="4D55B396">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授予中小企业合同金额0.00万元，占政府采购支出总额的0.00%，其中：授予小微企业合同金额0.00万元，占政府采购支出总额的0.00%。</w:t>
      </w:r>
    </w:p>
    <w:p w14:paraId="6BD76C7D">
      <w:pPr>
        <w:spacing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4269DFEF">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截至2024年12月31日，房屋652.97平方米，价值61.17万元。</w:t>
      </w:r>
      <w:r>
        <w:rPr>
          <w:rFonts w:ascii="仿宋_GB2312" w:eastAsia="仿宋_GB2312"/>
          <w:sz w:val="32"/>
          <w:szCs w:val="32"/>
          <w:lang w:eastAsia="zh-CN"/>
        </w:rPr>
        <w:t>车辆1辆，价值14.39万元，其中：副部（省）级及以上领导用车0辆、主要负责人用车0辆、机要通信用车0辆、应急保障用车0辆、执法执勤用车0辆、特种专业技术用车0辆、离退休干部服务用车0辆、其他用车1辆，其他用车主要是：</w:t>
      </w:r>
      <w:r>
        <w:rPr>
          <w:rFonts w:hint="eastAsia" w:ascii="仿宋_GB2312" w:eastAsia="仿宋_GB2312"/>
          <w:sz w:val="32"/>
          <w:szCs w:val="32"/>
          <w:lang w:eastAsia="zh-CN"/>
        </w:rPr>
        <w:t>单位业务用车</w:t>
      </w:r>
      <w:r>
        <w:rPr>
          <w:rFonts w:ascii="仿宋_GB2312" w:eastAsia="仿宋_GB2312"/>
          <w:sz w:val="32"/>
          <w:szCs w:val="32"/>
          <w:lang w:eastAsia="zh-CN"/>
        </w:rPr>
        <w:t>;单价100万元（含）以上设备（不含车辆）0台（套）。</w:t>
      </w:r>
    </w:p>
    <w:p w14:paraId="72C0BCA5">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67120A90">
      <w:pPr>
        <w:spacing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根据预算绩效管理要求，本单位2024年度预算绩效管理形成整体支出绩效自评表1个，全年预算总额138.54万元，实际执行总额138.54万元；预算绩效评价项目</w:t>
      </w:r>
      <w:r>
        <w:rPr>
          <w:rFonts w:hint="eastAsia" w:ascii="仿宋_GB2312" w:eastAsia="仿宋_GB2312"/>
          <w:sz w:val="32"/>
          <w:szCs w:val="32"/>
          <w:lang w:eastAsia="zh-CN"/>
        </w:rPr>
        <w:t>0</w:t>
      </w:r>
      <w:r>
        <w:rPr>
          <w:rFonts w:ascii="仿宋_GB2312" w:eastAsia="仿宋_GB2312"/>
          <w:sz w:val="32"/>
          <w:szCs w:val="32"/>
          <w:lang w:eastAsia="zh-CN"/>
        </w:rPr>
        <w:t>个，全年预算数</w:t>
      </w:r>
      <w:r>
        <w:rPr>
          <w:rFonts w:hint="eastAsia" w:ascii="仿宋_GB2312" w:eastAsia="仿宋_GB2312"/>
          <w:sz w:val="32"/>
          <w:szCs w:val="32"/>
          <w:lang w:eastAsia="zh-CN"/>
        </w:rPr>
        <w:t>0.00</w:t>
      </w:r>
      <w:r>
        <w:rPr>
          <w:rFonts w:ascii="仿宋_GB2312" w:eastAsia="仿宋_GB2312"/>
          <w:sz w:val="32"/>
          <w:szCs w:val="32"/>
          <w:lang w:eastAsia="zh-CN"/>
        </w:rPr>
        <w:t>万元，全年执行数</w:t>
      </w:r>
      <w:r>
        <w:rPr>
          <w:rFonts w:hint="eastAsia" w:ascii="仿宋_GB2312" w:eastAsia="仿宋_GB2312"/>
          <w:sz w:val="32"/>
          <w:szCs w:val="32"/>
          <w:lang w:eastAsia="zh-CN"/>
        </w:rPr>
        <w:t>0.00</w:t>
      </w:r>
      <w:r>
        <w:rPr>
          <w:rFonts w:ascii="仿宋_GB2312" w:eastAsia="仿宋_GB2312"/>
          <w:sz w:val="32"/>
          <w:szCs w:val="32"/>
          <w:lang w:eastAsia="zh-CN"/>
        </w:rPr>
        <w:t>万元。预算绩效管理取得的成效：一是为军粮筹措，军粮供应提高保障，圆满完成粮油供应工作；二是完成</w:t>
      </w:r>
      <w:bookmarkStart w:id="2" w:name="_GoBack"/>
      <w:bookmarkEnd w:id="2"/>
      <w:r>
        <w:rPr>
          <w:rFonts w:ascii="仿宋_GB2312" w:eastAsia="仿宋_GB2312"/>
          <w:sz w:val="32"/>
          <w:szCs w:val="32"/>
          <w:lang w:eastAsia="zh-CN"/>
        </w:rPr>
        <w:t>主管部门交办的各项工作。发现的问题及原因：一是绩效目标不够细化与量化：绩效目标设定可能过于笼统，缺乏具体的量化指标。这导致评价时难以准确衡量工作成效，影响评价的客观性和公正性。二是工作方法单一，沟通不畅：现有的工作方法可能过于传统，缺乏创新，同时部门内部及与部队之间的沟通渠道不畅，影响了信息的及时传递和问题的有效解决。下一步改进措施：一是细化与量化绩效目标：根据年度主要重点工作内容，进一步细化和量化绩效目标。设定具体、可衡量的指标，如供应准时率、部队满意度、成本控制等，确保评价时有据可依。二是改进工作方法，提升效率：鼓励部门成员创新工作方法，引入现代信息技术手段，如物流管理系统、数据分析工具等，提高工作效率和供应精准度。同时，加强内部培训，提升员工的专业素养和业务能力。三是建立反馈与改进机制：建立有效的反馈机制，确保评价结果的及时传递和问题的有效整改。对于评价中发现的问题，要制定具体的改进措施和时间表，跟踪整改情况，确保问题得到有效解决。具体附部门整体支出绩效自评表。</w:t>
      </w:r>
    </w:p>
    <w:p w14:paraId="3A2C23A2">
      <w:pPr>
        <w:widowControl w:val="0"/>
        <w:spacing w:after="0" w:line="240" w:lineRule="auto"/>
        <w:jc w:val="center"/>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部门（单位）整体支出绩效目标自评表</w:t>
      </w:r>
    </w:p>
    <w:p w14:paraId="4A5FD837">
      <w:pPr>
        <w:widowControl w:val="0"/>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（2024年度）</w:t>
      </w:r>
    </w:p>
    <w:tbl>
      <w:tblPr>
        <w:tblStyle w:val="12"/>
        <w:tblW w:w="9935" w:type="dxa"/>
        <w:tblInd w:w="-601" w:type="dxa"/>
        <w:tblLayout w:type="fixed"/>
        <w:tblCellMar>
          <w:top w:w="0" w:type="dxa"/>
          <w:left w:w="108" w:type="dxa"/>
          <w:bottom w:w="0" w:type="dxa"/>
          <w:right w:w="108" w:type="dxa"/>
        </w:tblCellMar>
      </w:tblPr>
      <w:tblGrid>
        <w:gridCol w:w="993"/>
        <w:gridCol w:w="1417"/>
        <w:gridCol w:w="1418"/>
        <w:gridCol w:w="1276"/>
        <w:gridCol w:w="1842"/>
        <w:gridCol w:w="993"/>
        <w:gridCol w:w="992"/>
        <w:gridCol w:w="720"/>
        <w:gridCol w:w="284"/>
      </w:tblGrid>
      <w:tr w14:paraId="7D6180C8">
        <w:tblPrEx>
          <w:tblCellMar>
            <w:top w:w="0" w:type="dxa"/>
            <w:left w:w="108" w:type="dxa"/>
            <w:bottom w:w="0" w:type="dxa"/>
            <w:right w:w="108" w:type="dxa"/>
          </w:tblCellMar>
        </w:tblPrEx>
        <w:trPr>
          <w:cantSplit/>
          <w:trHeight w:val="660" w:hRule="atLeast"/>
        </w:trPr>
        <w:tc>
          <w:tcPr>
            <w:tcW w:w="993" w:type="dxa"/>
            <w:tcBorders>
              <w:top w:val="single" w:color="auto" w:sz="4" w:space="0"/>
              <w:left w:val="single" w:color="auto" w:sz="4" w:space="0"/>
              <w:bottom w:val="single" w:color="auto" w:sz="4" w:space="0"/>
              <w:right w:val="single" w:color="auto" w:sz="4" w:space="0"/>
            </w:tcBorders>
            <w:noWrap/>
            <w:vAlign w:val="center"/>
          </w:tcPr>
          <w:p w14:paraId="59F6921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部门（单位）名称</w:t>
            </w:r>
          </w:p>
        </w:tc>
        <w:tc>
          <w:tcPr>
            <w:tcW w:w="8658" w:type="dxa"/>
            <w:gridSpan w:val="7"/>
            <w:tcBorders>
              <w:top w:val="single" w:color="auto" w:sz="4" w:space="0"/>
              <w:left w:val="nil"/>
              <w:bottom w:val="single" w:color="auto" w:sz="4" w:space="0"/>
              <w:right w:val="single" w:color="auto" w:sz="4" w:space="0"/>
            </w:tcBorders>
            <w:noWrap/>
            <w:vAlign w:val="center"/>
          </w:tcPr>
          <w:p w14:paraId="634E7914">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昌吉市军粮供应站</w:t>
            </w:r>
          </w:p>
        </w:tc>
        <w:tc>
          <w:tcPr>
            <w:tcW w:w="284" w:type="dxa"/>
            <w:tcBorders>
              <w:top w:val="nil"/>
              <w:left w:val="nil"/>
              <w:bottom w:val="nil"/>
              <w:right w:val="nil"/>
            </w:tcBorders>
            <w:noWrap/>
            <w:vAlign w:val="center"/>
          </w:tcPr>
          <w:p w14:paraId="5487EB7A">
            <w:pPr>
              <w:spacing w:after="0" w:line="240" w:lineRule="auto"/>
              <w:rPr>
                <w:rFonts w:hint="eastAsia" w:ascii="宋体" w:hAnsi="宋体" w:eastAsia="宋体" w:cs="宋体"/>
                <w:b/>
                <w:bCs/>
                <w:sz w:val="18"/>
                <w:szCs w:val="18"/>
                <w:lang w:eastAsia="zh-CN"/>
              </w:rPr>
            </w:pPr>
          </w:p>
        </w:tc>
      </w:tr>
      <w:tr w14:paraId="2AEF5892">
        <w:tblPrEx>
          <w:tblCellMar>
            <w:top w:w="0" w:type="dxa"/>
            <w:left w:w="108" w:type="dxa"/>
            <w:bottom w:w="0" w:type="dxa"/>
            <w:right w:w="108" w:type="dxa"/>
          </w:tblCellMar>
        </w:tblPrEx>
        <w:trPr>
          <w:cantSplit/>
          <w:trHeight w:val="570"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2096743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部门资金（万元）</w:t>
            </w:r>
          </w:p>
        </w:tc>
        <w:tc>
          <w:tcPr>
            <w:tcW w:w="1417" w:type="dxa"/>
            <w:tcBorders>
              <w:top w:val="nil"/>
              <w:left w:val="nil"/>
              <w:bottom w:val="single" w:color="auto" w:sz="4" w:space="0"/>
              <w:right w:val="single" w:color="auto" w:sz="4" w:space="0"/>
            </w:tcBorders>
            <w:vAlign w:val="center"/>
          </w:tcPr>
          <w:p w14:paraId="46F529B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资金来源</w:t>
            </w:r>
          </w:p>
        </w:tc>
        <w:tc>
          <w:tcPr>
            <w:tcW w:w="1418" w:type="dxa"/>
            <w:tcBorders>
              <w:top w:val="nil"/>
              <w:left w:val="nil"/>
              <w:bottom w:val="single" w:color="auto" w:sz="4" w:space="0"/>
              <w:right w:val="single" w:color="auto" w:sz="4" w:space="0"/>
            </w:tcBorders>
            <w:vAlign w:val="center"/>
          </w:tcPr>
          <w:p w14:paraId="464D184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年初预算数</w:t>
            </w:r>
          </w:p>
        </w:tc>
        <w:tc>
          <w:tcPr>
            <w:tcW w:w="1276" w:type="dxa"/>
            <w:tcBorders>
              <w:top w:val="nil"/>
              <w:left w:val="nil"/>
              <w:bottom w:val="single" w:color="auto" w:sz="4" w:space="0"/>
              <w:right w:val="single" w:color="auto" w:sz="4" w:space="0"/>
            </w:tcBorders>
            <w:vAlign w:val="center"/>
          </w:tcPr>
          <w:p w14:paraId="16A8753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全年预算数</w:t>
            </w:r>
          </w:p>
        </w:tc>
        <w:tc>
          <w:tcPr>
            <w:tcW w:w="1842" w:type="dxa"/>
            <w:tcBorders>
              <w:top w:val="nil"/>
              <w:left w:val="nil"/>
              <w:bottom w:val="single" w:color="auto" w:sz="4" w:space="0"/>
              <w:right w:val="single" w:color="auto" w:sz="4" w:space="0"/>
            </w:tcBorders>
            <w:vAlign w:val="center"/>
          </w:tcPr>
          <w:p w14:paraId="57A5A5A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全年执行数</w:t>
            </w:r>
          </w:p>
        </w:tc>
        <w:tc>
          <w:tcPr>
            <w:tcW w:w="993" w:type="dxa"/>
            <w:tcBorders>
              <w:top w:val="nil"/>
              <w:left w:val="nil"/>
              <w:bottom w:val="single" w:color="auto" w:sz="4" w:space="0"/>
              <w:right w:val="single" w:color="auto" w:sz="4" w:space="0"/>
            </w:tcBorders>
            <w:vAlign w:val="center"/>
          </w:tcPr>
          <w:p w14:paraId="08D00BDA">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30634F1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执行率</w:t>
            </w:r>
          </w:p>
        </w:tc>
        <w:tc>
          <w:tcPr>
            <w:tcW w:w="720" w:type="dxa"/>
            <w:tcBorders>
              <w:top w:val="nil"/>
              <w:left w:val="nil"/>
              <w:bottom w:val="single" w:color="auto" w:sz="4" w:space="0"/>
              <w:right w:val="single" w:color="auto" w:sz="4" w:space="0"/>
            </w:tcBorders>
            <w:vAlign w:val="center"/>
          </w:tcPr>
          <w:p w14:paraId="6CDCDA5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6FB26C3D">
            <w:pPr>
              <w:spacing w:after="0" w:line="240" w:lineRule="auto"/>
              <w:jc w:val="center"/>
              <w:rPr>
                <w:rFonts w:hint="eastAsia" w:ascii="宋体" w:hAnsi="宋体" w:eastAsia="宋体" w:cs="宋体"/>
                <w:b/>
                <w:bCs/>
                <w:sz w:val="18"/>
                <w:szCs w:val="18"/>
                <w:lang w:eastAsia="zh-CN"/>
              </w:rPr>
            </w:pPr>
          </w:p>
        </w:tc>
      </w:tr>
      <w:tr w14:paraId="1A81BBD2">
        <w:tblPrEx>
          <w:tblCellMar>
            <w:top w:w="0" w:type="dxa"/>
            <w:left w:w="108" w:type="dxa"/>
            <w:bottom w:w="0" w:type="dxa"/>
            <w:right w:w="108" w:type="dxa"/>
          </w:tblCellMar>
        </w:tblPrEx>
        <w:trPr>
          <w:cantSplit/>
          <w:trHeight w:val="489"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3B25AEFC">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noWrap/>
            <w:vAlign w:val="center"/>
          </w:tcPr>
          <w:p w14:paraId="2FB6BA23">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上级资金</w:t>
            </w:r>
          </w:p>
        </w:tc>
        <w:tc>
          <w:tcPr>
            <w:tcW w:w="1418" w:type="dxa"/>
            <w:tcBorders>
              <w:top w:val="nil"/>
              <w:left w:val="nil"/>
              <w:bottom w:val="single" w:color="auto" w:sz="4" w:space="0"/>
              <w:right w:val="single" w:color="auto" w:sz="4" w:space="0"/>
            </w:tcBorders>
            <w:vAlign w:val="center"/>
          </w:tcPr>
          <w:p w14:paraId="100F9A3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76" w:type="dxa"/>
            <w:tcBorders>
              <w:top w:val="nil"/>
              <w:left w:val="nil"/>
              <w:bottom w:val="single" w:color="auto" w:sz="4" w:space="0"/>
              <w:right w:val="single" w:color="auto" w:sz="4" w:space="0"/>
            </w:tcBorders>
            <w:vAlign w:val="center"/>
          </w:tcPr>
          <w:p w14:paraId="419C377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8.00</w:t>
            </w:r>
          </w:p>
        </w:tc>
        <w:tc>
          <w:tcPr>
            <w:tcW w:w="1842" w:type="dxa"/>
            <w:tcBorders>
              <w:top w:val="nil"/>
              <w:left w:val="nil"/>
              <w:bottom w:val="single" w:color="auto" w:sz="4" w:space="0"/>
              <w:right w:val="single" w:color="auto" w:sz="4" w:space="0"/>
            </w:tcBorders>
            <w:vAlign w:val="center"/>
          </w:tcPr>
          <w:p w14:paraId="2108203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8.00</w:t>
            </w:r>
          </w:p>
        </w:tc>
        <w:tc>
          <w:tcPr>
            <w:tcW w:w="993" w:type="dxa"/>
            <w:tcBorders>
              <w:top w:val="nil"/>
              <w:left w:val="nil"/>
              <w:bottom w:val="single" w:color="auto" w:sz="4" w:space="0"/>
              <w:right w:val="single" w:color="auto" w:sz="4" w:space="0"/>
            </w:tcBorders>
            <w:vAlign w:val="center"/>
          </w:tcPr>
          <w:p w14:paraId="4FC8342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992" w:type="dxa"/>
            <w:tcBorders>
              <w:top w:val="nil"/>
              <w:left w:val="nil"/>
              <w:bottom w:val="single" w:color="auto" w:sz="4" w:space="0"/>
              <w:right w:val="single" w:color="auto" w:sz="4" w:space="0"/>
            </w:tcBorders>
            <w:vAlign w:val="center"/>
          </w:tcPr>
          <w:p w14:paraId="4E86483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vAlign w:val="center"/>
          </w:tcPr>
          <w:p w14:paraId="108C28D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w:t>
            </w:r>
          </w:p>
        </w:tc>
        <w:tc>
          <w:tcPr>
            <w:tcW w:w="284" w:type="dxa"/>
            <w:tcBorders>
              <w:top w:val="nil"/>
              <w:left w:val="nil"/>
              <w:bottom w:val="nil"/>
              <w:right w:val="nil"/>
            </w:tcBorders>
            <w:noWrap/>
            <w:vAlign w:val="center"/>
          </w:tcPr>
          <w:p w14:paraId="6C086E70">
            <w:pPr>
              <w:spacing w:after="0" w:line="240" w:lineRule="auto"/>
              <w:jc w:val="center"/>
              <w:rPr>
                <w:rFonts w:hint="eastAsia" w:ascii="宋体" w:hAnsi="宋体" w:eastAsia="宋体" w:cs="宋体"/>
                <w:b/>
                <w:bCs/>
                <w:sz w:val="18"/>
                <w:szCs w:val="18"/>
                <w:lang w:eastAsia="zh-CN"/>
              </w:rPr>
            </w:pPr>
          </w:p>
        </w:tc>
      </w:tr>
      <w:tr w14:paraId="3C511DCA">
        <w:tblPrEx>
          <w:tblCellMar>
            <w:top w:w="0" w:type="dxa"/>
            <w:left w:w="108" w:type="dxa"/>
            <w:bottom w:w="0" w:type="dxa"/>
            <w:right w:w="108" w:type="dxa"/>
          </w:tblCellMar>
        </w:tblPrEx>
        <w:trPr>
          <w:cantSplit/>
          <w:trHeight w:val="42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7E0F27F3">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267C8C1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本级资金</w:t>
            </w:r>
          </w:p>
        </w:tc>
        <w:tc>
          <w:tcPr>
            <w:tcW w:w="1418" w:type="dxa"/>
            <w:tcBorders>
              <w:top w:val="nil"/>
              <w:left w:val="nil"/>
              <w:bottom w:val="single" w:color="auto" w:sz="4" w:space="0"/>
              <w:right w:val="single" w:color="auto" w:sz="4" w:space="0"/>
            </w:tcBorders>
            <w:vAlign w:val="center"/>
          </w:tcPr>
          <w:p w14:paraId="131811A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101.87</w:t>
            </w:r>
          </w:p>
        </w:tc>
        <w:tc>
          <w:tcPr>
            <w:tcW w:w="1276" w:type="dxa"/>
            <w:tcBorders>
              <w:top w:val="nil"/>
              <w:left w:val="nil"/>
              <w:bottom w:val="single" w:color="auto" w:sz="4" w:space="0"/>
              <w:right w:val="single" w:color="auto" w:sz="4" w:space="0"/>
            </w:tcBorders>
            <w:vAlign w:val="center"/>
          </w:tcPr>
          <w:p w14:paraId="1D6AC4D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130.54</w:t>
            </w:r>
          </w:p>
        </w:tc>
        <w:tc>
          <w:tcPr>
            <w:tcW w:w="1842" w:type="dxa"/>
            <w:tcBorders>
              <w:top w:val="nil"/>
              <w:left w:val="nil"/>
              <w:bottom w:val="single" w:color="auto" w:sz="4" w:space="0"/>
              <w:right w:val="single" w:color="auto" w:sz="4" w:space="0"/>
            </w:tcBorders>
            <w:vAlign w:val="center"/>
          </w:tcPr>
          <w:p w14:paraId="240EE971">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130.54</w:t>
            </w:r>
          </w:p>
        </w:tc>
        <w:tc>
          <w:tcPr>
            <w:tcW w:w="993" w:type="dxa"/>
            <w:tcBorders>
              <w:top w:val="nil"/>
              <w:left w:val="nil"/>
              <w:bottom w:val="single" w:color="auto" w:sz="4" w:space="0"/>
              <w:right w:val="single" w:color="auto" w:sz="4" w:space="0"/>
            </w:tcBorders>
            <w:vAlign w:val="center"/>
          </w:tcPr>
          <w:p w14:paraId="6B1E4C65">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0465AF50">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4C0343D6">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284" w:type="dxa"/>
            <w:tcBorders>
              <w:top w:val="nil"/>
              <w:left w:val="nil"/>
              <w:bottom w:val="nil"/>
              <w:right w:val="nil"/>
            </w:tcBorders>
            <w:noWrap/>
            <w:vAlign w:val="center"/>
          </w:tcPr>
          <w:p w14:paraId="344E564A">
            <w:pPr>
              <w:spacing w:after="0" w:line="240" w:lineRule="auto"/>
              <w:jc w:val="center"/>
              <w:rPr>
                <w:rFonts w:hint="eastAsia" w:ascii="宋体" w:hAnsi="宋体" w:eastAsia="宋体" w:cs="宋体"/>
                <w:sz w:val="18"/>
                <w:szCs w:val="18"/>
                <w:lang w:eastAsia="zh-CN"/>
              </w:rPr>
            </w:pPr>
          </w:p>
        </w:tc>
      </w:tr>
      <w:tr w14:paraId="0ACC7C55">
        <w:tblPrEx>
          <w:tblCellMar>
            <w:top w:w="0" w:type="dxa"/>
            <w:left w:w="108" w:type="dxa"/>
            <w:bottom w:w="0" w:type="dxa"/>
            <w:right w:w="108" w:type="dxa"/>
          </w:tblCellMar>
        </w:tblPrEx>
        <w:trPr>
          <w:cantSplit/>
          <w:trHeight w:val="416"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EF09E1C">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3FEE55D7">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其他资金</w:t>
            </w:r>
          </w:p>
        </w:tc>
        <w:tc>
          <w:tcPr>
            <w:tcW w:w="1418" w:type="dxa"/>
            <w:tcBorders>
              <w:top w:val="nil"/>
              <w:left w:val="nil"/>
              <w:bottom w:val="single" w:color="auto" w:sz="4" w:space="0"/>
              <w:right w:val="single" w:color="auto" w:sz="4" w:space="0"/>
            </w:tcBorders>
            <w:vAlign w:val="center"/>
          </w:tcPr>
          <w:p w14:paraId="355FDF6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276" w:type="dxa"/>
            <w:tcBorders>
              <w:top w:val="nil"/>
              <w:left w:val="nil"/>
              <w:bottom w:val="single" w:color="auto" w:sz="4" w:space="0"/>
              <w:right w:val="single" w:color="auto" w:sz="4" w:space="0"/>
            </w:tcBorders>
            <w:vAlign w:val="center"/>
          </w:tcPr>
          <w:p w14:paraId="3A09C15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1842" w:type="dxa"/>
            <w:tcBorders>
              <w:top w:val="nil"/>
              <w:left w:val="nil"/>
              <w:bottom w:val="single" w:color="auto" w:sz="4" w:space="0"/>
              <w:right w:val="single" w:color="auto" w:sz="4" w:space="0"/>
            </w:tcBorders>
            <w:vAlign w:val="center"/>
          </w:tcPr>
          <w:p w14:paraId="234B016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0.00</w:t>
            </w:r>
          </w:p>
        </w:tc>
        <w:tc>
          <w:tcPr>
            <w:tcW w:w="993" w:type="dxa"/>
            <w:tcBorders>
              <w:top w:val="nil"/>
              <w:left w:val="nil"/>
              <w:bottom w:val="single" w:color="auto" w:sz="4" w:space="0"/>
              <w:right w:val="single" w:color="auto" w:sz="4" w:space="0"/>
            </w:tcBorders>
            <w:vAlign w:val="center"/>
          </w:tcPr>
          <w:p w14:paraId="0F824568">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992" w:type="dxa"/>
            <w:tcBorders>
              <w:top w:val="nil"/>
              <w:left w:val="nil"/>
              <w:bottom w:val="single" w:color="auto" w:sz="4" w:space="0"/>
              <w:right w:val="single" w:color="auto" w:sz="4" w:space="0"/>
            </w:tcBorders>
            <w:vAlign w:val="center"/>
          </w:tcPr>
          <w:p w14:paraId="13AD70F7">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720" w:type="dxa"/>
            <w:tcBorders>
              <w:top w:val="nil"/>
              <w:left w:val="nil"/>
              <w:bottom w:val="single" w:color="auto" w:sz="4" w:space="0"/>
              <w:right w:val="single" w:color="auto" w:sz="4" w:space="0"/>
            </w:tcBorders>
            <w:vAlign w:val="center"/>
          </w:tcPr>
          <w:p w14:paraId="7FD36076">
            <w:pPr>
              <w:spacing w:after="0" w:line="240" w:lineRule="auto"/>
              <w:jc w:val="center"/>
              <w:rPr>
                <w:rFonts w:hint="eastAsia" w:ascii="宋体" w:hAnsi="宋体" w:eastAsia="宋体" w:cs="宋体"/>
                <w:sz w:val="18"/>
                <w:szCs w:val="18"/>
                <w:lang w:eastAsia="zh-CN"/>
              </w:rPr>
            </w:pPr>
            <w:r>
              <w:rPr>
                <w:rFonts w:hint="eastAsia" w:ascii="宋体" w:hAnsi="宋体" w:eastAsia="宋体" w:cs="Times New Roman"/>
                <w:kern w:val="2"/>
                <w:sz w:val="18"/>
                <w:szCs w:val="18"/>
                <w:lang w:eastAsia="zh-CN"/>
              </w:rPr>
              <w:t>-</w:t>
            </w:r>
          </w:p>
        </w:tc>
        <w:tc>
          <w:tcPr>
            <w:tcW w:w="284" w:type="dxa"/>
            <w:tcBorders>
              <w:top w:val="nil"/>
              <w:left w:val="nil"/>
              <w:bottom w:val="nil"/>
              <w:right w:val="nil"/>
            </w:tcBorders>
            <w:noWrap/>
            <w:vAlign w:val="center"/>
          </w:tcPr>
          <w:p w14:paraId="6B287990">
            <w:pPr>
              <w:spacing w:after="0" w:line="240" w:lineRule="auto"/>
              <w:jc w:val="center"/>
              <w:rPr>
                <w:rFonts w:hint="eastAsia" w:ascii="宋体" w:hAnsi="宋体" w:eastAsia="宋体" w:cs="宋体"/>
                <w:sz w:val="18"/>
                <w:szCs w:val="18"/>
                <w:lang w:eastAsia="zh-CN"/>
              </w:rPr>
            </w:pPr>
          </w:p>
        </w:tc>
      </w:tr>
      <w:tr w14:paraId="23FE9960">
        <w:tblPrEx>
          <w:tblCellMar>
            <w:top w:w="0" w:type="dxa"/>
            <w:left w:w="108" w:type="dxa"/>
            <w:bottom w:w="0" w:type="dxa"/>
            <w:right w:w="108" w:type="dxa"/>
          </w:tblCellMar>
        </w:tblPrEx>
        <w:trPr>
          <w:cantSplit/>
          <w:trHeight w:val="41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61CA7576">
            <w:pPr>
              <w:spacing w:after="0" w:line="240" w:lineRule="auto"/>
              <w:jc w:val="center"/>
              <w:rPr>
                <w:rFonts w:hint="eastAsia" w:ascii="宋体" w:hAnsi="宋体" w:eastAsia="宋体" w:cs="宋体"/>
                <w:b/>
                <w:bCs/>
                <w:sz w:val="18"/>
                <w:szCs w:val="18"/>
                <w:lang w:eastAsia="zh-CN"/>
              </w:rPr>
            </w:pPr>
          </w:p>
        </w:tc>
        <w:tc>
          <w:tcPr>
            <w:tcW w:w="1417" w:type="dxa"/>
            <w:tcBorders>
              <w:top w:val="nil"/>
              <w:left w:val="nil"/>
              <w:bottom w:val="single" w:color="auto" w:sz="4" w:space="0"/>
              <w:right w:val="single" w:color="auto" w:sz="4" w:space="0"/>
            </w:tcBorders>
            <w:vAlign w:val="center"/>
          </w:tcPr>
          <w:p w14:paraId="2F090CA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合计</w:t>
            </w:r>
          </w:p>
        </w:tc>
        <w:tc>
          <w:tcPr>
            <w:tcW w:w="1418" w:type="dxa"/>
            <w:tcBorders>
              <w:top w:val="nil"/>
              <w:left w:val="nil"/>
              <w:bottom w:val="single" w:color="auto" w:sz="4" w:space="0"/>
              <w:right w:val="single" w:color="auto" w:sz="4" w:space="0"/>
            </w:tcBorders>
            <w:vAlign w:val="center"/>
          </w:tcPr>
          <w:p w14:paraId="0936516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101.87</w:t>
            </w:r>
          </w:p>
        </w:tc>
        <w:tc>
          <w:tcPr>
            <w:tcW w:w="1276" w:type="dxa"/>
            <w:tcBorders>
              <w:top w:val="nil"/>
              <w:left w:val="nil"/>
              <w:bottom w:val="single" w:color="auto" w:sz="4" w:space="0"/>
              <w:right w:val="single" w:color="auto" w:sz="4" w:space="0"/>
            </w:tcBorders>
            <w:vAlign w:val="center"/>
          </w:tcPr>
          <w:p w14:paraId="03DCEEB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138.54</w:t>
            </w:r>
          </w:p>
        </w:tc>
        <w:tc>
          <w:tcPr>
            <w:tcW w:w="1842" w:type="dxa"/>
            <w:tcBorders>
              <w:top w:val="nil"/>
              <w:left w:val="nil"/>
              <w:bottom w:val="single" w:color="auto" w:sz="4" w:space="0"/>
              <w:right w:val="single" w:color="auto" w:sz="4" w:space="0"/>
            </w:tcBorders>
            <w:vAlign w:val="center"/>
          </w:tcPr>
          <w:p w14:paraId="4DBF0C0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138.54</w:t>
            </w:r>
          </w:p>
        </w:tc>
        <w:tc>
          <w:tcPr>
            <w:tcW w:w="993" w:type="dxa"/>
            <w:tcBorders>
              <w:top w:val="nil"/>
              <w:left w:val="nil"/>
              <w:bottom w:val="single" w:color="auto" w:sz="4" w:space="0"/>
              <w:right w:val="single" w:color="auto" w:sz="4" w:space="0"/>
            </w:tcBorders>
            <w:vAlign w:val="center"/>
          </w:tcPr>
          <w:p w14:paraId="353DDDD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992" w:type="dxa"/>
            <w:tcBorders>
              <w:top w:val="nil"/>
              <w:left w:val="nil"/>
              <w:bottom w:val="single" w:color="auto" w:sz="4" w:space="0"/>
              <w:right w:val="single" w:color="auto" w:sz="4" w:space="0"/>
            </w:tcBorders>
            <w:vAlign w:val="center"/>
          </w:tcPr>
          <w:p w14:paraId="21750EED">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720" w:type="dxa"/>
            <w:tcBorders>
              <w:top w:val="nil"/>
              <w:left w:val="nil"/>
              <w:bottom w:val="single" w:color="auto" w:sz="4" w:space="0"/>
              <w:right w:val="single" w:color="auto" w:sz="4" w:space="0"/>
            </w:tcBorders>
            <w:vAlign w:val="center"/>
          </w:tcPr>
          <w:p w14:paraId="22CA50F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w:t>
            </w:r>
          </w:p>
        </w:tc>
        <w:tc>
          <w:tcPr>
            <w:tcW w:w="284" w:type="dxa"/>
            <w:tcBorders>
              <w:top w:val="nil"/>
              <w:left w:val="nil"/>
              <w:bottom w:val="nil"/>
              <w:right w:val="nil"/>
            </w:tcBorders>
            <w:noWrap/>
            <w:vAlign w:val="center"/>
          </w:tcPr>
          <w:p w14:paraId="46902C41">
            <w:pPr>
              <w:spacing w:after="0" w:line="240" w:lineRule="auto"/>
              <w:jc w:val="center"/>
              <w:rPr>
                <w:rFonts w:hint="eastAsia" w:ascii="宋体" w:hAnsi="宋体" w:eastAsia="宋体" w:cs="宋体"/>
                <w:sz w:val="18"/>
                <w:szCs w:val="18"/>
                <w:lang w:eastAsia="zh-CN"/>
              </w:rPr>
            </w:pPr>
          </w:p>
        </w:tc>
      </w:tr>
      <w:tr w14:paraId="28BA4D01">
        <w:tblPrEx>
          <w:tblCellMar>
            <w:top w:w="0" w:type="dxa"/>
            <w:left w:w="108" w:type="dxa"/>
            <w:bottom w:w="0" w:type="dxa"/>
            <w:right w:w="108" w:type="dxa"/>
          </w:tblCellMar>
        </w:tblPrEx>
        <w:trPr>
          <w:cantSplit/>
          <w:trHeight w:val="341" w:hRule="atLeast"/>
        </w:trPr>
        <w:tc>
          <w:tcPr>
            <w:tcW w:w="993" w:type="dxa"/>
            <w:vMerge w:val="restart"/>
            <w:tcBorders>
              <w:top w:val="single" w:color="auto" w:sz="4" w:space="0"/>
              <w:left w:val="single" w:color="auto" w:sz="4" w:space="0"/>
              <w:bottom w:val="single" w:color="auto" w:sz="4" w:space="0"/>
              <w:right w:val="single" w:color="auto" w:sz="4" w:space="0"/>
            </w:tcBorders>
            <w:vAlign w:val="center"/>
          </w:tcPr>
          <w:p w14:paraId="794EB09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年度总体目标</w:t>
            </w:r>
          </w:p>
        </w:tc>
        <w:tc>
          <w:tcPr>
            <w:tcW w:w="4111" w:type="dxa"/>
            <w:gridSpan w:val="3"/>
            <w:tcBorders>
              <w:top w:val="single" w:color="auto" w:sz="4" w:space="0"/>
              <w:left w:val="nil"/>
              <w:bottom w:val="single" w:color="auto" w:sz="4" w:space="0"/>
              <w:right w:val="single" w:color="auto" w:sz="4" w:space="0"/>
            </w:tcBorders>
            <w:noWrap/>
            <w:vAlign w:val="center"/>
          </w:tcPr>
          <w:p w14:paraId="5AD9A450">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预期目标</w:t>
            </w:r>
          </w:p>
        </w:tc>
        <w:tc>
          <w:tcPr>
            <w:tcW w:w="4547" w:type="dxa"/>
            <w:gridSpan w:val="4"/>
            <w:tcBorders>
              <w:top w:val="single" w:color="auto" w:sz="4" w:space="0"/>
              <w:left w:val="nil"/>
              <w:bottom w:val="single" w:color="auto" w:sz="4" w:space="0"/>
              <w:right w:val="single" w:color="auto" w:sz="4" w:space="0"/>
            </w:tcBorders>
            <w:noWrap/>
            <w:vAlign w:val="center"/>
          </w:tcPr>
          <w:p w14:paraId="6A817CE2">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实际完成情况</w:t>
            </w:r>
          </w:p>
        </w:tc>
        <w:tc>
          <w:tcPr>
            <w:tcW w:w="284" w:type="dxa"/>
            <w:tcBorders>
              <w:top w:val="nil"/>
              <w:left w:val="nil"/>
              <w:bottom w:val="nil"/>
              <w:right w:val="nil"/>
            </w:tcBorders>
            <w:noWrap/>
            <w:vAlign w:val="center"/>
          </w:tcPr>
          <w:p w14:paraId="04A0D28E">
            <w:pPr>
              <w:spacing w:after="0" w:line="240" w:lineRule="auto"/>
              <w:rPr>
                <w:rFonts w:hint="eastAsia" w:ascii="宋体" w:hAnsi="宋体" w:eastAsia="宋体" w:cs="宋体"/>
                <w:b/>
                <w:bCs/>
                <w:sz w:val="18"/>
                <w:szCs w:val="18"/>
                <w:lang w:eastAsia="zh-CN"/>
              </w:rPr>
            </w:pPr>
          </w:p>
        </w:tc>
      </w:tr>
      <w:tr w14:paraId="57BD58E6">
        <w:tblPrEx>
          <w:tblCellMar>
            <w:top w:w="0" w:type="dxa"/>
            <w:left w:w="108" w:type="dxa"/>
            <w:bottom w:w="0" w:type="dxa"/>
            <w:right w:w="108" w:type="dxa"/>
          </w:tblCellMar>
        </w:tblPrEx>
        <w:trPr>
          <w:cantSplit/>
          <w:trHeight w:val="705" w:hRule="atLeast"/>
        </w:trPr>
        <w:tc>
          <w:tcPr>
            <w:tcW w:w="993" w:type="dxa"/>
            <w:vMerge w:val="continue"/>
            <w:tcBorders>
              <w:top w:val="single" w:color="auto" w:sz="4" w:space="0"/>
              <w:left w:val="single" w:color="auto" w:sz="4" w:space="0"/>
              <w:bottom w:val="single" w:color="auto" w:sz="4" w:space="0"/>
              <w:right w:val="single" w:color="auto" w:sz="4" w:space="0"/>
            </w:tcBorders>
            <w:vAlign w:val="center"/>
          </w:tcPr>
          <w:p w14:paraId="0E28FAC7">
            <w:pPr>
              <w:spacing w:after="0" w:line="240" w:lineRule="auto"/>
              <w:rPr>
                <w:rFonts w:hint="eastAsia" w:ascii="宋体" w:hAnsi="宋体" w:eastAsia="宋体" w:cs="宋体"/>
                <w:b/>
                <w:bCs/>
                <w:sz w:val="18"/>
                <w:szCs w:val="18"/>
                <w:lang w:eastAsia="zh-CN"/>
              </w:rPr>
            </w:pPr>
          </w:p>
        </w:tc>
        <w:tc>
          <w:tcPr>
            <w:tcW w:w="4111" w:type="dxa"/>
            <w:gridSpan w:val="3"/>
            <w:tcBorders>
              <w:top w:val="single" w:color="auto" w:sz="4" w:space="0"/>
              <w:left w:val="nil"/>
              <w:bottom w:val="single" w:color="auto" w:sz="4" w:space="0"/>
              <w:right w:val="single" w:color="auto" w:sz="4" w:space="0"/>
            </w:tcBorders>
          </w:tcPr>
          <w:p w14:paraId="55296ED8">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2024年年初预算资金总额105.41万元，其中人员经费85.82万元，公用经费9.59万元，保障部门人员11人，其中在职6人，退休5人，保障办公用房采暖面积652.92平方米，公务用车1辆各项工作及时开展，是业务保障能力得到有效提升；通过资金的使用进一步提高服务部队能力，持续保障部队的粮食供应；2014年进一步提升干部服务水平，是服务对象满意率达到95%以上。</w:t>
            </w:r>
          </w:p>
        </w:tc>
        <w:tc>
          <w:tcPr>
            <w:tcW w:w="4547" w:type="dxa"/>
            <w:gridSpan w:val="4"/>
            <w:tcBorders>
              <w:top w:val="single" w:color="auto" w:sz="4" w:space="0"/>
              <w:left w:val="nil"/>
              <w:bottom w:val="single" w:color="auto" w:sz="4" w:space="0"/>
              <w:right w:val="single" w:color="auto" w:sz="4" w:space="0"/>
            </w:tcBorders>
          </w:tcPr>
          <w:p w14:paraId="318E4A68">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2024年，昌吉市军粮供应站按照上级相关部门的工作要求，严格把好入口关，确保供应的粮食质量完全达标，持续保障部队的粮食供应；走访部队4次，了解实际情况，按照要求做好供应工作，实际按照部队所需的4种粮油完成供应，提高干部服务水平，使服务对象满意度进一步提升。</w:t>
            </w:r>
          </w:p>
        </w:tc>
        <w:tc>
          <w:tcPr>
            <w:tcW w:w="284" w:type="dxa"/>
            <w:tcBorders>
              <w:top w:val="nil"/>
              <w:left w:val="nil"/>
              <w:bottom w:val="nil"/>
              <w:right w:val="nil"/>
            </w:tcBorders>
            <w:noWrap/>
            <w:vAlign w:val="center"/>
          </w:tcPr>
          <w:p w14:paraId="3AC94DE0">
            <w:pPr>
              <w:spacing w:after="0" w:line="240" w:lineRule="auto"/>
              <w:rPr>
                <w:rFonts w:hint="eastAsia" w:ascii="宋体" w:hAnsi="宋体" w:eastAsia="宋体" w:cs="宋体"/>
                <w:sz w:val="18"/>
                <w:szCs w:val="18"/>
                <w:lang w:eastAsia="zh-CN"/>
              </w:rPr>
            </w:pPr>
          </w:p>
        </w:tc>
      </w:tr>
      <w:tr w14:paraId="51D01A78">
        <w:tblPrEx>
          <w:tblCellMar>
            <w:top w:w="0" w:type="dxa"/>
            <w:left w:w="108" w:type="dxa"/>
            <w:bottom w:w="0" w:type="dxa"/>
            <w:right w:w="108" w:type="dxa"/>
          </w:tblCellMar>
        </w:tblPrEx>
        <w:trPr>
          <w:cantSplit/>
          <w:trHeight w:val="716" w:hRule="atLeast"/>
        </w:trPr>
        <w:tc>
          <w:tcPr>
            <w:tcW w:w="993" w:type="dxa"/>
            <w:tcBorders>
              <w:top w:val="single" w:color="auto" w:sz="4" w:space="0"/>
              <w:left w:val="single" w:color="auto" w:sz="4" w:space="0"/>
              <w:bottom w:val="single" w:color="auto" w:sz="4" w:space="0"/>
              <w:right w:val="single" w:color="auto" w:sz="4" w:space="0"/>
            </w:tcBorders>
            <w:vAlign w:val="center"/>
          </w:tcPr>
          <w:p w14:paraId="1608572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一级指标</w:t>
            </w:r>
          </w:p>
        </w:tc>
        <w:tc>
          <w:tcPr>
            <w:tcW w:w="1417" w:type="dxa"/>
            <w:tcBorders>
              <w:top w:val="nil"/>
              <w:left w:val="nil"/>
              <w:bottom w:val="single" w:color="auto" w:sz="4" w:space="0"/>
              <w:right w:val="single" w:color="auto" w:sz="4" w:space="0"/>
            </w:tcBorders>
            <w:vAlign w:val="center"/>
          </w:tcPr>
          <w:p w14:paraId="5905619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二级指标</w:t>
            </w:r>
          </w:p>
        </w:tc>
        <w:tc>
          <w:tcPr>
            <w:tcW w:w="1418" w:type="dxa"/>
            <w:tcBorders>
              <w:top w:val="nil"/>
              <w:left w:val="nil"/>
              <w:bottom w:val="single" w:color="auto" w:sz="4" w:space="0"/>
              <w:right w:val="single" w:color="auto" w:sz="4" w:space="0"/>
            </w:tcBorders>
            <w:vAlign w:val="center"/>
          </w:tcPr>
          <w:p w14:paraId="3E7CDA0F">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三级指标</w:t>
            </w:r>
          </w:p>
        </w:tc>
        <w:tc>
          <w:tcPr>
            <w:tcW w:w="1276" w:type="dxa"/>
            <w:tcBorders>
              <w:top w:val="nil"/>
              <w:left w:val="nil"/>
              <w:bottom w:val="single" w:color="auto" w:sz="4" w:space="0"/>
              <w:right w:val="single" w:color="auto" w:sz="4" w:space="0"/>
            </w:tcBorders>
            <w:vAlign w:val="center"/>
          </w:tcPr>
          <w:p w14:paraId="56C637E1">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预期指标值</w:t>
            </w:r>
          </w:p>
        </w:tc>
        <w:tc>
          <w:tcPr>
            <w:tcW w:w="1842" w:type="dxa"/>
            <w:tcBorders>
              <w:top w:val="nil"/>
              <w:left w:val="nil"/>
              <w:bottom w:val="single" w:color="auto" w:sz="4" w:space="0"/>
              <w:right w:val="single" w:color="auto" w:sz="4" w:space="0"/>
            </w:tcBorders>
            <w:vAlign w:val="center"/>
          </w:tcPr>
          <w:p w14:paraId="0D5AA90E">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指标值设定依据</w:t>
            </w:r>
          </w:p>
        </w:tc>
        <w:tc>
          <w:tcPr>
            <w:tcW w:w="993" w:type="dxa"/>
            <w:tcBorders>
              <w:top w:val="nil"/>
              <w:left w:val="nil"/>
              <w:bottom w:val="single" w:color="auto" w:sz="4" w:space="0"/>
              <w:right w:val="single" w:color="auto" w:sz="4" w:space="0"/>
            </w:tcBorders>
            <w:vAlign w:val="center"/>
          </w:tcPr>
          <w:p w14:paraId="6A142A4B">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分值权重</w:t>
            </w:r>
          </w:p>
        </w:tc>
        <w:tc>
          <w:tcPr>
            <w:tcW w:w="992" w:type="dxa"/>
            <w:tcBorders>
              <w:top w:val="nil"/>
              <w:left w:val="nil"/>
              <w:bottom w:val="single" w:color="auto" w:sz="4" w:space="0"/>
              <w:right w:val="single" w:color="auto" w:sz="4" w:space="0"/>
            </w:tcBorders>
            <w:vAlign w:val="center"/>
          </w:tcPr>
          <w:p w14:paraId="22A75F88">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实际完成指标值</w:t>
            </w:r>
          </w:p>
        </w:tc>
        <w:tc>
          <w:tcPr>
            <w:tcW w:w="720" w:type="dxa"/>
            <w:tcBorders>
              <w:top w:val="nil"/>
              <w:left w:val="nil"/>
              <w:bottom w:val="single" w:color="auto" w:sz="4" w:space="0"/>
              <w:right w:val="single" w:color="auto" w:sz="4" w:space="0"/>
            </w:tcBorders>
            <w:vAlign w:val="center"/>
          </w:tcPr>
          <w:p w14:paraId="0A08A78C">
            <w:pPr>
              <w:spacing w:after="0" w:line="240" w:lineRule="auto"/>
              <w:jc w:val="center"/>
              <w:rPr>
                <w:rFonts w:hint="eastAsia" w:ascii="宋体" w:hAnsi="宋体" w:eastAsia="宋体" w:cs="宋体"/>
                <w:b/>
                <w:bCs/>
                <w:sz w:val="18"/>
                <w:szCs w:val="18"/>
                <w:lang w:eastAsia="zh-CN"/>
              </w:rPr>
            </w:pPr>
            <w:r>
              <w:rPr>
                <w:rFonts w:hint="eastAsia" w:ascii="宋体" w:hAnsi="宋体" w:eastAsia="宋体" w:cs="宋体"/>
                <w:b/>
                <w:bCs/>
                <w:sz w:val="18"/>
                <w:szCs w:val="18"/>
                <w:lang w:eastAsia="zh-CN"/>
              </w:rPr>
              <w:t>得分</w:t>
            </w:r>
          </w:p>
        </w:tc>
        <w:tc>
          <w:tcPr>
            <w:tcW w:w="284" w:type="dxa"/>
            <w:tcBorders>
              <w:top w:val="nil"/>
              <w:left w:val="nil"/>
              <w:bottom w:val="nil"/>
              <w:right w:val="nil"/>
            </w:tcBorders>
            <w:noWrap/>
            <w:vAlign w:val="center"/>
          </w:tcPr>
          <w:p w14:paraId="09104FBF">
            <w:pPr>
              <w:spacing w:after="0" w:line="240" w:lineRule="auto"/>
              <w:rPr>
                <w:rFonts w:hint="eastAsia" w:ascii="宋体" w:hAnsi="宋体" w:eastAsia="宋体" w:cs="宋体"/>
                <w:b/>
                <w:bCs/>
                <w:sz w:val="18"/>
                <w:szCs w:val="18"/>
                <w:lang w:eastAsia="zh-CN"/>
              </w:rPr>
            </w:pPr>
          </w:p>
        </w:tc>
      </w:tr>
      <w:tr w14:paraId="72E7162B">
        <w:tblPrEx>
          <w:tblCellMar>
            <w:top w:w="0" w:type="dxa"/>
            <w:left w:w="108" w:type="dxa"/>
            <w:bottom w:w="0" w:type="dxa"/>
            <w:right w:w="108" w:type="dxa"/>
          </w:tblCellMar>
        </w:tblPrEx>
        <w:trPr>
          <w:cantSplit/>
          <w:trHeight w:val="740" w:hRule="atLeast"/>
        </w:trPr>
        <w:tc>
          <w:tcPr>
            <w:tcW w:w="993" w:type="dxa"/>
            <w:vMerge w:val="restart"/>
            <w:tcBorders>
              <w:top w:val="single" w:color="auto" w:sz="4" w:space="0"/>
              <w:left w:val="single" w:color="auto" w:sz="4" w:space="0"/>
              <w:right w:val="single" w:color="auto" w:sz="4" w:space="0"/>
            </w:tcBorders>
            <w:noWrap/>
            <w:vAlign w:val="center"/>
          </w:tcPr>
          <w:p w14:paraId="37943D65">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履职效能</w:t>
            </w:r>
          </w:p>
        </w:tc>
        <w:tc>
          <w:tcPr>
            <w:tcW w:w="1417" w:type="dxa"/>
            <w:vMerge w:val="restart"/>
            <w:tcBorders>
              <w:top w:val="nil"/>
              <w:left w:val="nil"/>
              <w:right w:val="single" w:color="auto" w:sz="4" w:space="0"/>
            </w:tcBorders>
            <w:noWrap/>
            <w:vAlign w:val="center"/>
          </w:tcPr>
          <w:p w14:paraId="4D04105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数量指标</w:t>
            </w:r>
          </w:p>
        </w:tc>
        <w:tc>
          <w:tcPr>
            <w:tcW w:w="1418" w:type="dxa"/>
            <w:tcBorders>
              <w:top w:val="nil"/>
              <w:left w:val="nil"/>
              <w:bottom w:val="single" w:color="auto" w:sz="4" w:space="0"/>
              <w:right w:val="single" w:color="auto" w:sz="4" w:space="0"/>
            </w:tcBorders>
            <w:noWrap/>
            <w:vAlign w:val="center"/>
          </w:tcPr>
          <w:p w14:paraId="2FF328A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全年走访部队次数</w:t>
            </w:r>
          </w:p>
        </w:tc>
        <w:tc>
          <w:tcPr>
            <w:tcW w:w="1276" w:type="dxa"/>
            <w:tcBorders>
              <w:top w:val="nil"/>
              <w:left w:val="nil"/>
              <w:bottom w:val="single" w:color="auto" w:sz="4" w:space="0"/>
              <w:right w:val="single" w:color="auto" w:sz="4" w:space="0"/>
            </w:tcBorders>
            <w:noWrap/>
            <w:vAlign w:val="center"/>
          </w:tcPr>
          <w:p w14:paraId="1E6C5D9A">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&gt;=4次</w:t>
            </w:r>
          </w:p>
        </w:tc>
        <w:tc>
          <w:tcPr>
            <w:tcW w:w="1842" w:type="dxa"/>
            <w:tcBorders>
              <w:top w:val="nil"/>
              <w:left w:val="nil"/>
              <w:bottom w:val="single" w:color="auto" w:sz="4" w:space="0"/>
              <w:right w:val="single" w:color="auto" w:sz="4" w:space="0"/>
            </w:tcBorders>
            <w:noWrap/>
            <w:vAlign w:val="center"/>
          </w:tcPr>
          <w:p w14:paraId="3E4F8DE0">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昌吉市军粮供应站2023年工作总结</w:t>
            </w:r>
          </w:p>
        </w:tc>
        <w:tc>
          <w:tcPr>
            <w:tcW w:w="993" w:type="dxa"/>
            <w:tcBorders>
              <w:top w:val="nil"/>
              <w:left w:val="nil"/>
              <w:bottom w:val="single" w:color="auto" w:sz="4" w:space="0"/>
              <w:right w:val="single" w:color="auto" w:sz="4" w:space="0"/>
            </w:tcBorders>
            <w:noWrap/>
            <w:vAlign w:val="center"/>
          </w:tcPr>
          <w:p w14:paraId="0D02954F">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992" w:type="dxa"/>
            <w:tcBorders>
              <w:top w:val="nil"/>
              <w:left w:val="nil"/>
              <w:bottom w:val="single" w:color="auto" w:sz="4" w:space="0"/>
              <w:right w:val="single" w:color="auto" w:sz="4" w:space="0"/>
            </w:tcBorders>
            <w:noWrap/>
            <w:vAlign w:val="center"/>
          </w:tcPr>
          <w:p w14:paraId="37269D6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4次</w:t>
            </w:r>
          </w:p>
        </w:tc>
        <w:tc>
          <w:tcPr>
            <w:tcW w:w="720" w:type="dxa"/>
            <w:tcBorders>
              <w:top w:val="nil"/>
              <w:left w:val="nil"/>
              <w:bottom w:val="single" w:color="auto" w:sz="4" w:space="0"/>
              <w:right w:val="single" w:color="auto" w:sz="4" w:space="0"/>
            </w:tcBorders>
            <w:noWrap/>
            <w:vAlign w:val="center"/>
          </w:tcPr>
          <w:p w14:paraId="5F70C6D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04881054">
            <w:pPr>
              <w:spacing w:after="0" w:line="240" w:lineRule="auto"/>
              <w:jc w:val="center"/>
              <w:rPr>
                <w:rFonts w:hint="eastAsia" w:ascii="宋体" w:hAnsi="宋体" w:eastAsia="宋体" w:cs="宋体"/>
                <w:sz w:val="18"/>
                <w:szCs w:val="18"/>
                <w:lang w:eastAsia="zh-CN"/>
              </w:rPr>
            </w:pPr>
          </w:p>
        </w:tc>
      </w:tr>
      <w:tr w14:paraId="250B3881">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right w:val="single" w:color="auto" w:sz="4" w:space="0"/>
            </w:tcBorders>
            <w:noWrap/>
            <w:vAlign w:val="center"/>
          </w:tcPr>
          <w:p w14:paraId="264A5D8B">
            <w:pPr>
              <w:spacing w:after="0" w:line="240" w:lineRule="auto"/>
              <w:jc w:val="center"/>
              <w:rPr>
                <w:rFonts w:hint="eastAsia" w:ascii="宋体" w:hAnsi="宋体" w:eastAsia="宋体" w:cs="宋体"/>
                <w:sz w:val="18"/>
                <w:szCs w:val="18"/>
                <w:lang w:eastAsia="zh-CN"/>
              </w:rPr>
            </w:pPr>
          </w:p>
        </w:tc>
        <w:tc>
          <w:tcPr>
            <w:tcW w:w="1417" w:type="dxa"/>
            <w:vMerge w:val="continue"/>
            <w:tcBorders>
              <w:left w:val="nil"/>
              <w:bottom w:val="single" w:color="auto" w:sz="4" w:space="0"/>
              <w:right w:val="single" w:color="auto" w:sz="4" w:space="0"/>
            </w:tcBorders>
            <w:noWrap/>
            <w:vAlign w:val="center"/>
          </w:tcPr>
          <w:p w14:paraId="0DF362F5">
            <w:pPr>
              <w:spacing w:after="0" w:line="240" w:lineRule="auto"/>
              <w:jc w:val="center"/>
              <w:rPr>
                <w:rFonts w:hint="eastAsia" w:ascii="宋体" w:hAnsi="宋体" w:eastAsia="宋体" w:cs="宋体"/>
                <w:sz w:val="18"/>
                <w:szCs w:val="18"/>
                <w:lang w:eastAsia="zh-CN"/>
              </w:rPr>
            </w:pPr>
          </w:p>
        </w:tc>
        <w:tc>
          <w:tcPr>
            <w:tcW w:w="1418" w:type="dxa"/>
            <w:tcBorders>
              <w:top w:val="nil"/>
              <w:left w:val="nil"/>
              <w:bottom w:val="single" w:color="auto" w:sz="4" w:space="0"/>
              <w:right w:val="single" w:color="auto" w:sz="4" w:space="0"/>
            </w:tcBorders>
            <w:noWrap/>
            <w:vAlign w:val="center"/>
          </w:tcPr>
          <w:p w14:paraId="4D28131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持续保障供应部队粮食品种</w:t>
            </w:r>
          </w:p>
        </w:tc>
        <w:tc>
          <w:tcPr>
            <w:tcW w:w="1276" w:type="dxa"/>
            <w:tcBorders>
              <w:top w:val="nil"/>
              <w:left w:val="nil"/>
              <w:bottom w:val="single" w:color="auto" w:sz="4" w:space="0"/>
              <w:right w:val="single" w:color="auto" w:sz="4" w:space="0"/>
            </w:tcBorders>
            <w:noWrap/>
            <w:vAlign w:val="center"/>
          </w:tcPr>
          <w:p w14:paraId="15713B24">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&gt;=4种</w:t>
            </w:r>
          </w:p>
        </w:tc>
        <w:tc>
          <w:tcPr>
            <w:tcW w:w="1842" w:type="dxa"/>
            <w:tcBorders>
              <w:top w:val="nil"/>
              <w:left w:val="nil"/>
              <w:bottom w:val="single" w:color="auto" w:sz="4" w:space="0"/>
              <w:right w:val="single" w:color="auto" w:sz="4" w:space="0"/>
            </w:tcBorders>
            <w:noWrap/>
            <w:vAlign w:val="center"/>
          </w:tcPr>
          <w:p w14:paraId="33F68921">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昌吉市军粮供应站2023年工作总结</w:t>
            </w:r>
          </w:p>
        </w:tc>
        <w:tc>
          <w:tcPr>
            <w:tcW w:w="993" w:type="dxa"/>
            <w:tcBorders>
              <w:top w:val="nil"/>
              <w:left w:val="nil"/>
              <w:bottom w:val="single" w:color="auto" w:sz="4" w:space="0"/>
              <w:right w:val="single" w:color="auto" w:sz="4" w:space="0"/>
            </w:tcBorders>
            <w:noWrap/>
            <w:vAlign w:val="center"/>
          </w:tcPr>
          <w:p w14:paraId="13F7818C">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992" w:type="dxa"/>
            <w:tcBorders>
              <w:top w:val="nil"/>
              <w:left w:val="nil"/>
              <w:bottom w:val="single" w:color="auto" w:sz="4" w:space="0"/>
              <w:right w:val="single" w:color="auto" w:sz="4" w:space="0"/>
            </w:tcBorders>
            <w:noWrap/>
            <w:vAlign w:val="center"/>
          </w:tcPr>
          <w:p w14:paraId="19318113">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4种</w:t>
            </w:r>
          </w:p>
        </w:tc>
        <w:tc>
          <w:tcPr>
            <w:tcW w:w="720" w:type="dxa"/>
            <w:tcBorders>
              <w:top w:val="nil"/>
              <w:left w:val="nil"/>
              <w:bottom w:val="single" w:color="auto" w:sz="4" w:space="0"/>
              <w:right w:val="single" w:color="auto" w:sz="4" w:space="0"/>
            </w:tcBorders>
            <w:noWrap/>
            <w:vAlign w:val="center"/>
          </w:tcPr>
          <w:p w14:paraId="1B3165A2">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5114C660">
            <w:pPr>
              <w:spacing w:after="0" w:line="240" w:lineRule="auto"/>
              <w:jc w:val="center"/>
              <w:rPr>
                <w:rFonts w:hint="eastAsia" w:ascii="宋体" w:hAnsi="宋体" w:eastAsia="宋体" w:cs="宋体"/>
                <w:sz w:val="18"/>
                <w:szCs w:val="18"/>
                <w:lang w:eastAsia="zh-CN"/>
              </w:rPr>
            </w:pPr>
          </w:p>
        </w:tc>
      </w:tr>
      <w:tr w14:paraId="515A984D">
        <w:tblPrEx>
          <w:tblCellMar>
            <w:top w:w="0" w:type="dxa"/>
            <w:left w:w="108" w:type="dxa"/>
            <w:bottom w:w="0" w:type="dxa"/>
            <w:right w:w="108" w:type="dxa"/>
          </w:tblCellMar>
        </w:tblPrEx>
        <w:trPr>
          <w:cantSplit/>
          <w:trHeight w:val="740" w:hRule="atLeast"/>
        </w:trPr>
        <w:tc>
          <w:tcPr>
            <w:tcW w:w="993" w:type="dxa"/>
            <w:vMerge w:val="continue"/>
            <w:tcBorders>
              <w:left w:val="single" w:color="auto" w:sz="4" w:space="0"/>
              <w:bottom w:val="single" w:color="auto" w:sz="4" w:space="0"/>
              <w:right w:val="single" w:color="auto" w:sz="4" w:space="0"/>
            </w:tcBorders>
            <w:noWrap/>
            <w:vAlign w:val="center"/>
          </w:tcPr>
          <w:p w14:paraId="3A83685B">
            <w:pPr>
              <w:spacing w:after="0" w:line="240" w:lineRule="auto"/>
              <w:jc w:val="center"/>
              <w:rPr>
                <w:rFonts w:hint="eastAsia" w:ascii="宋体" w:hAnsi="宋体" w:eastAsia="宋体" w:cs="宋体"/>
                <w:sz w:val="18"/>
                <w:szCs w:val="18"/>
                <w:lang w:eastAsia="zh-CN"/>
              </w:rPr>
            </w:pPr>
          </w:p>
        </w:tc>
        <w:tc>
          <w:tcPr>
            <w:tcW w:w="1417" w:type="dxa"/>
            <w:tcBorders>
              <w:top w:val="nil"/>
              <w:left w:val="nil"/>
              <w:bottom w:val="single" w:color="auto" w:sz="4" w:space="0"/>
              <w:right w:val="single" w:color="auto" w:sz="4" w:space="0"/>
            </w:tcBorders>
            <w:noWrap/>
            <w:vAlign w:val="center"/>
          </w:tcPr>
          <w:p w14:paraId="5E474D70">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质量指标</w:t>
            </w:r>
          </w:p>
        </w:tc>
        <w:tc>
          <w:tcPr>
            <w:tcW w:w="1418" w:type="dxa"/>
            <w:tcBorders>
              <w:top w:val="nil"/>
              <w:left w:val="nil"/>
              <w:bottom w:val="single" w:color="auto" w:sz="4" w:space="0"/>
              <w:right w:val="single" w:color="auto" w:sz="4" w:space="0"/>
            </w:tcBorders>
            <w:noWrap/>
            <w:vAlign w:val="center"/>
          </w:tcPr>
          <w:p w14:paraId="7072AE7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为驻昌部队供应粮食合格率</w:t>
            </w:r>
          </w:p>
        </w:tc>
        <w:tc>
          <w:tcPr>
            <w:tcW w:w="1276" w:type="dxa"/>
            <w:tcBorders>
              <w:top w:val="nil"/>
              <w:left w:val="nil"/>
              <w:bottom w:val="single" w:color="auto" w:sz="4" w:space="0"/>
              <w:right w:val="single" w:color="auto" w:sz="4" w:space="0"/>
            </w:tcBorders>
            <w:noWrap/>
            <w:vAlign w:val="center"/>
          </w:tcPr>
          <w:p w14:paraId="7A9C9AFE">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1842" w:type="dxa"/>
            <w:tcBorders>
              <w:top w:val="nil"/>
              <w:left w:val="nil"/>
              <w:bottom w:val="single" w:color="auto" w:sz="4" w:space="0"/>
              <w:right w:val="single" w:color="auto" w:sz="4" w:space="0"/>
            </w:tcBorders>
            <w:noWrap/>
            <w:vAlign w:val="center"/>
          </w:tcPr>
          <w:p w14:paraId="64F2FB48">
            <w:pPr>
              <w:spacing w:after="0" w:line="240" w:lineRule="auto"/>
              <w:rPr>
                <w:rFonts w:hint="eastAsia" w:ascii="宋体" w:hAnsi="宋体" w:eastAsia="宋体" w:cs="宋体"/>
                <w:sz w:val="18"/>
                <w:szCs w:val="18"/>
                <w:lang w:eastAsia="zh-CN"/>
              </w:rPr>
            </w:pPr>
            <w:r>
              <w:rPr>
                <w:rFonts w:hint="eastAsia" w:ascii="宋体" w:hAnsi="宋体" w:eastAsia="宋体" w:cs="宋体"/>
                <w:sz w:val="18"/>
                <w:szCs w:val="18"/>
                <w:lang w:eastAsia="zh-CN"/>
              </w:rPr>
              <w:t>昌吉市军粮供应站2023年工作总结</w:t>
            </w:r>
          </w:p>
        </w:tc>
        <w:tc>
          <w:tcPr>
            <w:tcW w:w="993" w:type="dxa"/>
            <w:tcBorders>
              <w:top w:val="nil"/>
              <w:left w:val="nil"/>
              <w:bottom w:val="single" w:color="auto" w:sz="4" w:space="0"/>
              <w:right w:val="single" w:color="auto" w:sz="4" w:space="0"/>
            </w:tcBorders>
            <w:noWrap/>
            <w:vAlign w:val="center"/>
          </w:tcPr>
          <w:p w14:paraId="589EE07B">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992" w:type="dxa"/>
            <w:tcBorders>
              <w:top w:val="nil"/>
              <w:left w:val="nil"/>
              <w:bottom w:val="single" w:color="auto" w:sz="4" w:space="0"/>
              <w:right w:val="single" w:color="auto" w:sz="4" w:space="0"/>
            </w:tcBorders>
            <w:noWrap/>
            <w:vAlign w:val="center"/>
          </w:tcPr>
          <w:p w14:paraId="6216BB07">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100%</w:t>
            </w:r>
          </w:p>
        </w:tc>
        <w:tc>
          <w:tcPr>
            <w:tcW w:w="720" w:type="dxa"/>
            <w:tcBorders>
              <w:top w:val="nil"/>
              <w:left w:val="nil"/>
              <w:bottom w:val="single" w:color="auto" w:sz="4" w:space="0"/>
              <w:right w:val="single" w:color="auto" w:sz="4" w:space="0"/>
            </w:tcBorders>
            <w:noWrap/>
            <w:vAlign w:val="center"/>
          </w:tcPr>
          <w:p w14:paraId="1D11EE69">
            <w:pPr>
              <w:spacing w:after="0" w:line="240" w:lineRule="auto"/>
              <w:jc w:val="center"/>
              <w:rPr>
                <w:rFonts w:hint="eastAsia" w:ascii="宋体" w:hAnsi="宋体" w:eastAsia="宋体" w:cs="宋体"/>
                <w:sz w:val="18"/>
                <w:szCs w:val="18"/>
                <w:lang w:eastAsia="zh-CN"/>
              </w:rPr>
            </w:pPr>
            <w:r>
              <w:rPr>
                <w:rFonts w:hint="eastAsia" w:ascii="宋体" w:hAnsi="宋体" w:eastAsia="宋体" w:cs="宋体"/>
                <w:sz w:val="18"/>
                <w:szCs w:val="18"/>
                <w:lang w:eastAsia="zh-CN"/>
              </w:rPr>
              <w:t>30</w:t>
            </w:r>
          </w:p>
        </w:tc>
        <w:tc>
          <w:tcPr>
            <w:tcW w:w="284" w:type="dxa"/>
            <w:tcBorders>
              <w:top w:val="nil"/>
              <w:left w:val="nil"/>
              <w:bottom w:val="nil"/>
              <w:right w:val="nil"/>
            </w:tcBorders>
            <w:noWrap/>
            <w:vAlign w:val="center"/>
          </w:tcPr>
          <w:p w14:paraId="53F3F714">
            <w:pPr>
              <w:spacing w:after="0" w:line="240" w:lineRule="auto"/>
              <w:jc w:val="center"/>
              <w:rPr>
                <w:rFonts w:hint="eastAsia" w:ascii="宋体" w:hAnsi="宋体" w:eastAsia="宋体" w:cs="宋体"/>
                <w:sz w:val="18"/>
                <w:szCs w:val="18"/>
                <w:lang w:eastAsia="zh-CN"/>
              </w:rPr>
            </w:pPr>
          </w:p>
        </w:tc>
      </w:tr>
    </w:tbl>
    <w:p w14:paraId="1B919A3E">
      <w:pPr>
        <w:rPr>
          <w:rFonts w:ascii="仿宋_GB2312" w:eastAsia="仿宋_GB2312"/>
          <w:sz w:val="32"/>
          <w:szCs w:val="32"/>
        </w:rPr>
      </w:pPr>
      <w:r>
        <w:rPr>
          <w:rFonts w:ascii="仿宋_GB2312" w:eastAsia="仿宋_GB2312"/>
          <w:sz w:val="32"/>
          <w:szCs w:val="32"/>
        </w:rPr>
        <w:br w:type="page"/>
      </w:r>
    </w:p>
    <w:p w14:paraId="3BD6EEF3">
      <w:pPr>
        <w:spacing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3F99C37C">
      <w:pPr>
        <w:spacing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我单位2024年度无政府采购支出，授予中小企业合同金额0.00万元。</w:t>
      </w:r>
    </w:p>
    <w:p w14:paraId="08ED3269">
      <w:pPr>
        <w:rPr>
          <w:lang w:eastAsia="zh-CN"/>
        </w:rPr>
      </w:pPr>
      <w:r>
        <w:rPr>
          <w:sz w:val="0"/>
          <w:szCs w:val="0"/>
          <w:lang w:eastAsia="zh-CN"/>
        </w:rPr>
        <w:br w:type="page"/>
      </w:r>
    </w:p>
    <w:p w14:paraId="0EB388C4">
      <w:pPr>
        <w:spacing w:line="240" w:lineRule="auto"/>
        <w:jc w:val="center"/>
        <w:outlineLvl w:val="0"/>
        <w:rPr>
          <w:rFonts w:ascii="黑体" w:eastAsia="黑体"/>
          <w:sz w:val="32"/>
          <w:szCs w:val="32"/>
          <w:lang w:eastAsia="zh-CN"/>
        </w:rPr>
      </w:pPr>
      <w:r>
        <w:rPr>
          <w:rFonts w:ascii="黑体" w:eastAsia="黑体"/>
          <w:sz w:val="32"/>
          <w:szCs w:val="32"/>
          <w:lang w:eastAsia="zh-CN"/>
        </w:rPr>
        <w:t>第三部分 专业名词解释</w:t>
      </w:r>
    </w:p>
    <w:p w14:paraId="18927789">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46007C50">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1BADF616">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7BC6687B">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05A32342">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5E8C5618">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48CFBC9F">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6483FACC">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639588D">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5106D70A">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E746EDB">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23CD8155">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DE74F15">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DD18AC1">
      <w:pPr>
        <w:spacing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7AC4FBCE">
      <w:pPr>
        <w:rPr>
          <w:lang w:eastAsia="zh-CN"/>
        </w:rPr>
      </w:pPr>
      <w:r>
        <w:rPr>
          <w:sz w:val="0"/>
          <w:szCs w:val="0"/>
          <w:lang w:eastAsia="zh-CN"/>
        </w:rPr>
        <w:br w:type="page"/>
      </w:r>
    </w:p>
    <w:p w14:paraId="71FD0B0A">
      <w:pPr>
        <w:spacing w:line="240" w:lineRule="auto"/>
        <w:jc w:val="center"/>
        <w:outlineLvl w:val="0"/>
        <w:rPr>
          <w:rFonts w:ascii="黑体" w:eastAsia="黑体"/>
          <w:sz w:val="32"/>
          <w:szCs w:val="32"/>
          <w:lang w:eastAsia="zh-CN"/>
        </w:rPr>
      </w:pPr>
      <w:r>
        <w:rPr>
          <w:rFonts w:ascii="黑体" w:eastAsia="黑体"/>
          <w:sz w:val="32"/>
          <w:szCs w:val="32"/>
          <w:lang w:eastAsia="zh-CN"/>
        </w:rPr>
        <w:t>第四部分 部门决算报表（见附表）</w:t>
      </w:r>
    </w:p>
    <w:p w14:paraId="139D6C8E">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195A490C">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37B11372">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1F43DE33">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09AFFF95">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3FEC9B52">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30F685C">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31238DE1">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C06BF57">
      <w:pPr>
        <w:spacing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2"/>
  </w:compat>
  <w:rsids>
    <w:rsidRoot w:val="00E73A99"/>
    <w:rsid w:val="000149AD"/>
    <w:rsid w:val="00376536"/>
    <w:rsid w:val="004C7C08"/>
    <w:rsid w:val="00E73A99"/>
    <w:rsid w:val="00E9621A"/>
    <w:rsid w:val="00EC1A65"/>
    <w:rsid w:val="11D24E50"/>
    <w:rsid w:val="12D33D68"/>
    <w:rsid w:val="148E0DD7"/>
    <w:rsid w:val="195B7C85"/>
    <w:rsid w:val="278C564A"/>
    <w:rsid w:val="2B842021"/>
    <w:rsid w:val="3E5D51F2"/>
    <w:rsid w:val="4F7B17E1"/>
    <w:rsid w:val="5CCE57E1"/>
    <w:rsid w:val="60CA3F26"/>
    <w:rsid w:val="680A2E77"/>
    <w:rsid w:val="68BE670A"/>
    <w:rsid w:val="691602F4"/>
    <w:rsid w:val="7C2B3C5E"/>
    <w:rsid w:val="7E505BF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等线"/>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4"/>
    <w:unhideWhenUsed/>
    <w:uiPriority w:val="99"/>
    <w:pPr>
      <w:tabs>
        <w:tab w:val="center" w:pos="4153"/>
        <w:tab w:val="right" w:pos="8306"/>
      </w:tabs>
      <w:snapToGrid w:val="0"/>
      <w:spacing w:line="240" w:lineRule="auto"/>
    </w:pPr>
    <w:rPr>
      <w:sz w:val="18"/>
      <w:szCs w:val="18"/>
    </w:rPr>
  </w:style>
  <w:style w:type="paragraph" w:styleId="9">
    <w:name w:val="header"/>
    <w:basedOn w:val="1"/>
    <w:link w:val="17"/>
    <w:unhideWhenUsed/>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字符"/>
    <w:basedOn w:val="14"/>
    <w:link w:val="9"/>
    <w:qFormat/>
    <w:uiPriority w:val="99"/>
  </w:style>
  <w:style w:type="character" w:customStyle="1" w:styleId="18">
    <w:name w:val="标题 1 字符"/>
    <w:basedOn w:val="14"/>
    <w:link w:val="2"/>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字符"/>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字符"/>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字符"/>
    <w:basedOn w:val="14"/>
    <w:link w:val="5"/>
    <w:uiPriority w:val="9"/>
    <w:rPr>
      <w:rFonts w:asciiTheme="majorHAnsi" w:hAnsiTheme="majorHAnsi" w:eastAsiaTheme="majorEastAsia" w:cstheme="majorBidi"/>
      <w:b/>
      <w:bCs/>
      <w:i/>
      <w:iCs/>
      <w:color w:val="4F81BD" w:themeColor="accent1"/>
    </w:rPr>
  </w:style>
  <w:style w:type="character" w:customStyle="1" w:styleId="22">
    <w:name w:val="副标题 字符"/>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字符"/>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字符"/>
    <w:basedOn w:val="14"/>
    <w:link w:val="8"/>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P R C</Company>
  <Pages>16</Pages>
  <Words>6439</Words>
  <Characters>7143</Characters>
  <Lines>227</Lines>
  <Paragraphs>199</Paragraphs>
  <TotalTime>18</TotalTime>
  <ScaleCrop>false</ScaleCrop>
  <LinksUpToDate>false</LinksUpToDate>
  <CharactersWithSpaces>7151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2025-09-01T03:02:00Z</dcterms:created>
  <dc:creator>雍虹虹</dc:creator>
  <cp:lastModifiedBy>王佳蕊</cp:lastModifiedBy>
  <dcterms:modified xsi:type="dcterms:W3CDTF">2025-12-16T02:38:47Z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eyJoZGlkIjoiODUwZjdmZmIxNjBiNjcxZDlmZTA0MDdlNTg0ODY4ZWUiLCJ1c2VySWQiOiI0NzU2MDY3NjEifQ==</vt:lpwstr>
  </property>
  <property fmtid="{D5CDD505-2E9C-101B-9397-08002B2CF9AE}" pid="3" name="KSOProductBuildVer">
    <vt:lpwstr>2052-12.1.0.24034</vt:lpwstr>
  </property>
  <property fmtid="{D5CDD505-2E9C-101B-9397-08002B2CF9AE}" pid="4" name="ICV">
    <vt:lpwstr>ED730CFA136C427D835A1AE241F0F411_12</vt:lpwstr>
  </property>
</Properties>
</file>