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5D78C" w14:textId="77777777" w:rsidR="0012632E" w:rsidRDefault="0012632E">
      <w:pPr>
        <w:spacing w:after="0" w:line="240" w:lineRule="auto"/>
        <w:rPr>
          <w:rFonts w:ascii="宋体" w:eastAsia="宋体" w:hint="eastAsia"/>
          <w:sz w:val="32"/>
          <w:szCs w:val="32"/>
        </w:rPr>
      </w:pPr>
    </w:p>
    <w:p w14:paraId="0F1B013C" w14:textId="77777777" w:rsidR="0012632E" w:rsidRDefault="0012632E">
      <w:pPr>
        <w:spacing w:after="0" w:line="240" w:lineRule="auto"/>
        <w:rPr>
          <w:rFonts w:ascii="宋体" w:eastAsia="宋体" w:hint="eastAsia"/>
          <w:sz w:val="44"/>
          <w:szCs w:val="44"/>
        </w:rPr>
      </w:pPr>
    </w:p>
    <w:p w14:paraId="1A0B1971" w14:textId="77777777" w:rsidR="0012632E" w:rsidRDefault="0012632E">
      <w:pPr>
        <w:spacing w:after="0" w:line="240" w:lineRule="auto"/>
        <w:rPr>
          <w:rFonts w:ascii="宋体" w:eastAsia="宋体" w:hint="eastAsia"/>
          <w:sz w:val="44"/>
          <w:szCs w:val="44"/>
        </w:rPr>
      </w:pPr>
    </w:p>
    <w:p w14:paraId="36DBB1D5" w14:textId="77777777" w:rsidR="0012632E" w:rsidRDefault="0012632E">
      <w:pPr>
        <w:spacing w:after="0" w:line="240" w:lineRule="auto"/>
        <w:rPr>
          <w:rFonts w:ascii="宋体" w:eastAsia="宋体" w:hint="eastAsia"/>
          <w:sz w:val="44"/>
          <w:szCs w:val="44"/>
        </w:rPr>
      </w:pPr>
    </w:p>
    <w:p w14:paraId="2542118C" w14:textId="77777777" w:rsidR="0012632E"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昌吉市工商业联合会</w:t>
      </w:r>
    </w:p>
    <w:p w14:paraId="72A7E12D" w14:textId="77777777" w:rsidR="0012632E"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2D7679D4" w14:textId="77777777" w:rsidR="0012632E" w:rsidRDefault="00000000">
      <w:pPr>
        <w:rPr>
          <w:rFonts w:hint="eastAsia"/>
          <w:lang w:eastAsia="zh-CN"/>
        </w:rPr>
      </w:pPr>
      <w:r>
        <w:rPr>
          <w:sz w:val="0"/>
          <w:szCs w:val="0"/>
          <w:lang w:eastAsia="zh-CN"/>
        </w:rPr>
        <w:br w:type="page"/>
      </w:r>
    </w:p>
    <w:p w14:paraId="352C84DF" w14:textId="77777777" w:rsidR="0012632E"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hint="eastAsia"/>
          <w:b/>
          <w:sz w:val="32"/>
          <w:szCs w:val="32"/>
          <w:lang w:eastAsia="zh-CN"/>
        </w:rPr>
        <w:t xml:space="preserve"> </w:t>
      </w:r>
      <w:r>
        <w:rPr>
          <w:rFonts w:ascii="黑体" w:eastAsia="黑体"/>
          <w:b/>
          <w:sz w:val="32"/>
          <w:szCs w:val="32"/>
          <w:lang w:eastAsia="zh-CN"/>
        </w:rPr>
        <w:t xml:space="preserve"> 录</w:t>
      </w:r>
    </w:p>
    <w:p w14:paraId="07F22419" w14:textId="77777777" w:rsidR="0012632E"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6F5F98B0" w14:textId="77777777" w:rsidR="0012632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41718E53" w14:textId="77777777" w:rsidR="0012632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3C6DDFB1" w14:textId="77777777" w:rsidR="0012632E"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5E2B6576" w14:textId="77777777" w:rsidR="0012632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41E049BE" w14:textId="77777777" w:rsidR="0012632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5479CAC0" w14:textId="77777777" w:rsidR="0012632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5F640196" w14:textId="77777777" w:rsidR="0012632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1A9DCF88" w14:textId="77777777" w:rsidR="0012632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332F476F" w14:textId="77777777" w:rsidR="0012632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37D43B8D" w14:textId="77777777" w:rsidR="0012632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63FD5BF9" w14:textId="77777777" w:rsidR="0012632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09BE51CD" w14:textId="77777777" w:rsidR="0012632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6554DFFD" w14:textId="77777777" w:rsidR="0012632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0421E7CC" w14:textId="77777777" w:rsidR="0012632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23C62C64" w14:textId="77777777" w:rsidR="0012632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04A1C369" w14:textId="77777777" w:rsidR="0012632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4CD246C5" w14:textId="77777777" w:rsidR="0012632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39F1D32D" w14:textId="77777777" w:rsidR="0012632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0D3F3680" w14:textId="77777777" w:rsidR="0012632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4D1A751C" w14:textId="77777777" w:rsidR="0012632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0B0B9E3F" w14:textId="77777777" w:rsidR="0012632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57C2A004" w14:textId="77777777" w:rsidR="0012632E"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lastRenderedPageBreak/>
        <w:t>第三部分 专业名词解释</w:t>
      </w:r>
    </w:p>
    <w:p w14:paraId="60819E15" w14:textId="77777777" w:rsidR="0012632E"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679A634B" w14:textId="77777777" w:rsidR="0012632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28E02205" w14:textId="77777777" w:rsidR="0012632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3985D144" w14:textId="77777777" w:rsidR="0012632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5DB9E110" w14:textId="77777777" w:rsidR="0012632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3EFC07F7" w14:textId="77777777" w:rsidR="0012632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65CA70CF" w14:textId="77777777" w:rsidR="0012632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2256AC7D" w14:textId="77777777" w:rsidR="0012632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7223F17A" w14:textId="77777777" w:rsidR="0012632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67F3CCC1" w14:textId="77777777" w:rsidR="0012632E"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0F02F6A3" w14:textId="77777777" w:rsidR="0012632E" w:rsidRDefault="00000000">
      <w:pPr>
        <w:rPr>
          <w:rFonts w:hint="eastAsia"/>
          <w:lang w:eastAsia="zh-CN"/>
        </w:rPr>
      </w:pPr>
      <w:r>
        <w:rPr>
          <w:sz w:val="0"/>
          <w:szCs w:val="0"/>
          <w:lang w:eastAsia="zh-CN"/>
        </w:rPr>
        <w:br w:type="page"/>
      </w:r>
    </w:p>
    <w:p w14:paraId="7FBC7B9D" w14:textId="77777777" w:rsidR="0012632E"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hint="eastAsia"/>
          <w:sz w:val="32"/>
          <w:szCs w:val="32"/>
          <w:lang w:eastAsia="zh-CN"/>
        </w:rPr>
        <w:t xml:space="preserve"> </w:t>
      </w:r>
      <w:r>
        <w:rPr>
          <w:rFonts w:ascii="黑体" w:eastAsia="黑体"/>
          <w:sz w:val="32"/>
          <w:szCs w:val="32"/>
          <w:lang w:eastAsia="zh-CN"/>
        </w:rPr>
        <w:t>单位概况</w:t>
      </w:r>
    </w:p>
    <w:p w14:paraId="7CDF4346" w14:textId="77777777" w:rsidR="0012632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一、主要职能</w:t>
      </w:r>
    </w:p>
    <w:p w14:paraId="1C24BD68" w14:textId="5AF36F21"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w:t>
      </w:r>
      <w:r>
        <w:rPr>
          <w:rFonts w:ascii="仿宋_GB2312" w:eastAsia="仿宋_GB2312" w:hint="eastAsia"/>
          <w:sz w:val="32"/>
          <w:szCs w:val="32"/>
          <w:lang w:eastAsia="zh-CN"/>
        </w:rPr>
        <w:t>.</w:t>
      </w:r>
      <w:r>
        <w:rPr>
          <w:rFonts w:ascii="仿宋_GB2312" w:eastAsia="仿宋_GB2312"/>
          <w:sz w:val="32"/>
          <w:szCs w:val="32"/>
          <w:lang w:eastAsia="zh-CN"/>
        </w:rPr>
        <w:t>依据《中国工商业联合会章程》，贯彻执行昌吉市工商联执委会、常委会决</w:t>
      </w:r>
      <w:r w:rsidR="00B833C6">
        <w:rPr>
          <w:rFonts w:ascii="仿宋_GB2312" w:eastAsia="仿宋_GB2312" w:hint="eastAsia"/>
          <w:sz w:val="32"/>
          <w:szCs w:val="32"/>
          <w:lang w:eastAsia="zh-CN"/>
        </w:rPr>
        <w:t>议</w:t>
      </w:r>
      <w:r>
        <w:rPr>
          <w:rFonts w:ascii="仿宋_GB2312" w:eastAsia="仿宋_GB2312"/>
          <w:sz w:val="32"/>
          <w:szCs w:val="32"/>
          <w:lang w:eastAsia="zh-CN"/>
        </w:rPr>
        <w:t>。</w:t>
      </w:r>
    </w:p>
    <w:p w14:paraId="488304B0" w14:textId="77777777"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w:t>
      </w:r>
      <w:r>
        <w:rPr>
          <w:rFonts w:ascii="仿宋_GB2312" w:eastAsia="仿宋_GB2312" w:hint="eastAsia"/>
          <w:sz w:val="32"/>
          <w:szCs w:val="32"/>
          <w:lang w:eastAsia="zh-CN"/>
        </w:rPr>
        <w:t>.</w:t>
      </w:r>
      <w:r>
        <w:rPr>
          <w:rFonts w:ascii="仿宋_GB2312" w:eastAsia="仿宋_GB2312"/>
          <w:sz w:val="32"/>
          <w:szCs w:val="32"/>
          <w:lang w:eastAsia="zh-CN"/>
        </w:rPr>
        <w:t>做好昌吉市工商联履行政治协商、参政议政、民主监督职能的有关工作。</w:t>
      </w:r>
    </w:p>
    <w:p w14:paraId="6557BFD5" w14:textId="77777777"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3</w:t>
      </w:r>
      <w:r>
        <w:rPr>
          <w:rFonts w:ascii="仿宋_GB2312" w:eastAsia="仿宋_GB2312" w:hint="eastAsia"/>
          <w:sz w:val="32"/>
          <w:szCs w:val="32"/>
          <w:lang w:eastAsia="zh-CN"/>
        </w:rPr>
        <w:t>.</w:t>
      </w:r>
      <w:r>
        <w:rPr>
          <w:rFonts w:ascii="仿宋_GB2312" w:eastAsia="仿宋_GB2312"/>
          <w:sz w:val="32"/>
          <w:szCs w:val="32"/>
          <w:lang w:eastAsia="zh-CN"/>
        </w:rPr>
        <w:t>宣传党和国家的方针政策，开展非公有制</w:t>
      </w:r>
      <w:proofErr w:type="gramStart"/>
      <w:r>
        <w:rPr>
          <w:rFonts w:ascii="仿宋_GB2312" w:eastAsia="仿宋_GB2312"/>
          <w:sz w:val="32"/>
          <w:szCs w:val="32"/>
          <w:lang w:eastAsia="zh-CN"/>
        </w:rPr>
        <w:t>经济人</w:t>
      </w:r>
      <w:proofErr w:type="gramEnd"/>
      <w:r>
        <w:rPr>
          <w:rFonts w:ascii="仿宋_GB2312" w:eastAsia="仿宋_GB2312"/>
          <w:sz w:val="32"/>
          <w:szCs w:val="32"/>
          <w:lang w:eastAsia="zh-CN"/>
        </w:rPr>
        <w:t>士思想政治工作。做好非公有制经济代表人士的日常联系、考察、培养工作，协助做好政治安排推荐的有关工作。</w:t>
      </w:r>
    </w:p>
    <w:p w14:paraId="72673DCB" w14:textId="77777777"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4</w:t>
      </w:r>
      <w:r>
        <w:rPr>
          <w:rFonts w:ascii="仿宋_GB2312" w:eastAsia="仿宋_GB2312" w:hint="eastAsia"/>
          <w:sz w:val="32"/>
          <w:szCs w:val="32"/>
          <w:lang w:eastAsia="zh-CN"/>
        </w:rPr>
        <w:t>.</w:t>
      </w:r>
      <w:r>
        <w:rPr>
          <w:rFonts w:ascii="仿宋_GB2312" w:eastAsia="仿宋_GB2312"/>
          <w:sz w:val="32"/>
          <w:szCs w:val="32"/>
          <w:lang w:eastAsia="zh-CN"/>
        </w:rPr>
        <w:t>负责昌吉市商会具体工作，加强与政府部门及有关经济组织的联系，为会员企业开展经济活动提供服务。</w:t>
      </w:r>
    </w:p>
    <w:p w14:paraId="7DBA98C4" w14:textId="77777777"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5</w:t>
      </w:r>
      <w:r>
        <w:rPr>
          <w:rFonts w:ascii="仿宋_GB2312" w:eastAsia="仿宋_GB2312" w:hint="eastAsia"/>
          <w:sz w:val="32"/>
          <w:szCs w:val="32"/>
          <w:lang w:eastAsia="zh-CN"/>
        </w:rPr>
        <w:t>.</w:t>
      </w:r>
      <w:r>
        <w:rPr>
          <w:rFonts w:ascii="仿宋_GB2312" w:eastAsia="仿宋_GB2312"/>
          <w:sz w:val="32"/>
          <w:szCs w:val="32"/>
          <w:lang w:eastAsia="zh-CN"/>
        </w:rPr>
        <w:t>依照法律和《中国工商业联合会章程》，维护会员的合法权利；反映会员的意见、建议，为会员提供服务，帮助解决生产经营中的实际问题。</w:t>
      </w:r>
    </w:p>
    <w:p w14:paraId="7A839980" w14:textId="77777777"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6</w:t>
      </w:r>
      <w:r>
        <w:rPr>
          <w:rFonts w:ascii="仿宋_GB2312" w:eastAsia="仿宋_GB2312" w:hint="eastAsia"/>
          <w:sz w:val="32"/>
          <w:szCs w:val="32"/>
          <w:lang w:eastAsia="zh-CN"/>
        </w:rPr>
        <w:t>.</w:t>
      </w:r>
      <w:r>
        <w:rPr>
          <w:rFonts w:ascii="仿宋_GB2312" w:eastAsia="仿宋_GB2312"/>
          <w:sz w:val="32"/>
          <w:szCs w:val="32"/>
          <w:lang w:eastAsia="zh-CN"/>
        </w:rPr>
        <w:t>加强对外联系，促进经济、技术和贸易合作，协助引进资金、技术、人才。</w:t>
      </w:r>
    </w:p>
    <w:p w14:paraId="25A4BEE9" w14:textId="77777777"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7</w:t>
      </w:r>
      <w:r>
        <w:rPr>
          <w:rFonts w:ascii="仿宋_GB2312" w:eastAsia="仿宋_GB2312" w:hint="eastAsia"/>
          <w:sz w:val="32"/>
          <w:szCs w:val="32"/>
          <w:lang w:eastAsia="zh-CN"/>
        </w:rPr>
        <w:t>.</w:t>
      </w:r>
      <w:r>
        <w:rPr>
          <w:rFonts w:ascii="仿宋_GB2312" w:eastAsia="仿宋_GB2312"/>
          <w:sz w:val="32"/>
          <w:szCs w:val="32"/>
          <w:lang w:eastAsia="zh-CN"/>
        </w:rPr>
        <w:t>开展工商专业培训，帮助会员改善经营管理，提高生产技术和产品质量。</w:t>
      </w:r>
    </w:p>
    <w:p w14:paraId="3C3CAA6A" w14:textId="77777777"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8</w:t>
      </w:r>
      <w:r>
        <w:rPr>
          <w:rFonts w:ascii="仿宋_GB2312" w:eastAsia="仿宋_GB2312" w:hint="eastAsia"/>
          <w:sz w:val="32"/>
          <w:szCs w:val="32"/>
          <w:lang w:eastAsia="zh-CN"/>
        </w:rPr>
        <w:t>.</w:t>
      </w:r>
      <w:r>
        <w:rPr>
          <w:rFonts w:ascii="仿宋_GB2312" w:eastAsia="仿宋_GB2312"/>
          <w:sz w:val="32"/>
          <w:szCs w:val="32"/>
          <w:lang w:eastAsia="zh-CN"/>
        </w:rPr>
        <w:t>对基层商会、行业商会工作进行业务指导。</w:t>
      </w:r>
    </w:p>
    <w:p w14:paraId="7E628011" w14:textId="77777777"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9</w:t>
      </w:r>
      <w:r>
        <w:rPr>
          <w:rFonts w:ascii="仿宋_GB2312" w:eastAsia="仿宋_GB2312" w:hint="eastAsia"/>
          <w:sz w:val="32"/>
          <w:szCs w:val="32"/>
          <w:lang w:eastAsia="zh-CN"/>
        </w:rPr>
        <w:t>.</w:t>
      </w:r>
      <w:r>
        <w:rPr>
          <w:rFonts w:ascii="仿宋_GB2312" w:eastAsia="仿宋_GB2312"/>
          <w:sz w:val="32"/>
          <w:szCs w:val="32"/>
          <w:lang w:eastAsia="zh-CN"/>
        </w:rPr>
        <w:t>承担昌吉市党委、人民政府授权和交办的其他工作。</w:t>
      </w:r>
    </w:p>
    <w:p w14:paraId="23D80B08" w14:textId="77777777" w:rsidR="0012632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322BF950" w14:textId="77777777"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昌吉市工商业联合会2024年度，实有人数15人，其中：在职人员8人，较上年无变化；离休人员0人，较上年无变化；退休人员7人，较上年无变化</w:t>
      </w:r>
      <w:r>
        <w:rPr>
          <w:rFonts w:ascii="仿宋_GB2312" w:eastAsia="仿宋_GB2312" w:hint="eastAsia"/>
          <w:sz w:val="32"/>
          <w:szCs w:val="32"/>
          <w:lang w:eastAsia="zh-CN"/>
        </w:rPr>
        <w:t>。</w:t>
      </w:r>
    </w:p>
    <w:p w14:paraId="5C084FDF" w14:textId="77777777"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昌吉市工商业联合会无下属预算单位，下设1个科室，分别是：综合办公室。</w:t>
      </w:r>
    </w:p>
    <w:p w14:paraId="45ED07BC" w14:textId="77777777" w:rsidR="0012632E" w:rsidRDefault="00000000">
      <w:pPr>
        <w:rPr>
          <w:rFonts w:hint="eastAsia"/>
          <w:lang w:eastAsia="zh-CN"/>
        </w:rPr>
      </w:pPr>
      <w:r>
        <w:rPr>
          <w:sz w:val="0"/>
          <w:szCs w:val="0"/>
          <w:lang w:eastAsia="zh-CN"/>
        </w:rPr>
        <w:br w:type="page"/>
      </w:r>
    </w:p>
    <w:p w14:paraId="314E9C74" w14:textId="77777777" w:rsidR="0012632E"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2FD4C9DC" w14:textId="77777777" w:rsidR="0012632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1150CDD9" w14:textId="77777777"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2024年度收入总计161.49万元，其中：本年收入合计161.49万元，使用非财政拨款结余（含专用结余）0.00万元，年初结转和结余0.00万元。</w:t>
      </w:r>
    </w:p>
    <w:p w14:paraId="63F5B7E6" w14:textId="77777777"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2024年度支出总计161.49万元，其中：本年支出合计161.49万元，结余分配0.00万元，年末结转和结余0.00万元。</w:t>
      </w:r>
    </w:p>
    <w:p w14:paraId="649CE9FD" w14:textId="16546FC9"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收入支出总体与上年相比，减少6.75万元，下降4.01%，主要原因是：</w:t>
      </w:r>
      <w:r w:rsidR="00637019" w:rsidRPr="00492284">
        <w:rPr>
          <w:rFonts w:ascii="仿宋_GB2312" w:eastAsia="仿宋_GB2312" w:hint="eastAsia"/>
          <w:sz w:val="32"/>
          <w:szCs w:val="32"/>
          <w:lang w:eastAsia="zh-CN"/>
        </w:rPr>
        <w:t>新公招人员缴费基数低于调出人员，缴费基数总额减少，导致</w:t>
      </w:r>
      <w:r w:rsidR="00637019">
        <w:rPr>
          <w:rFonts w:ascii="仿宋_GB2312" w:eastAsia="仿宋_GB2312" w:hint="eastAsia"/>
          <w:sz w:val="32"/>
          <w:szCs w:val="32"/>
          <w:lang w:eastAsia="zh-CN"/>
        </w:rPr>
        <w:t>人员医疗</w:t>
      </w:r>
      <w:r w:rsidR="00637019" w:rsidRPr="00492284">
        <w:rPr>
          <w:rFonts w:ascii="仿宋_GB2312" w:eastAsia="仿宋_GB2312" w:hint="eastAsia"/>
          <w:sz w:val="32"/>
          <w:szCs w:val="32"/>
          <w:lang w:eastAsia="zh-CN"/>
        </w:rPr>
        <w:t>保险缴费减少</w:t>
      </w:r>
      <w:r>
        <w:rPr>
          <w:rFonts w:ascii="仿宋_GB2312" w:eastAsia="仿宋_GB2312"/>
          <w:sz w:val="32"/>
          <w:szCs w:val="32"/>
          <w:lang w:eastAsia="zh-CN"/>
        </w:rPr>
        <w:t>。</w:t>
      </w:r>
    </w:p>
    <w:p w14:paraId="72C97D47" w14:textId="77777777" w:rsidR="0012632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36D7FBFD" w14:textId="77777777"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本年收入161.49万元，其中：财政拨款收入161.49万元,占100.00%；上级补助收入0.00万元,占0.00%；事业收入0.00万元，占0.00%；经营收入0.00万元,占0.00%；附属单位上缴收入0.00万元，占0.00%；其他收入0.00万元，占0.00%。</w:t>
      </w:r>
    </w:p>
    <w:p w14:paraId="16EAE1AB" w14:textId="77777777" w:rsidR="0012632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4BE01EE8" w14:textId="77777777"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本年支出161.49万元，其中：基本支出161.49万元，占100.00%；项目支出0.00万元，占0.00%；上缴上级支出0.00万元，占0.00%；经营支出0.00万元，占0.00%；对附属单位补助支出0.00万元，占0.00%。</w:t>
      </w:r>
    </w:p>
    <w:p w14:paraId="700E968D" w14:textId="77777777" w:rsidR="0012632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7AB28B1E" w14:textId="77777777"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2024年度财政拨款收入总计161.49万元，其中：年初财政拨款结转和结余0.00万元，本年财政拨款收入161.49万元。财政拨款支出总计161.49万元，其中：年末财政拨款结转和结余0.00万元，本年财政拨款支出161.49万元。</w:t>
      </w:r>
    </w:p>
    <w:p w14:paraId="2E8FED51" w14:textId="5D161073"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财政拨款收入支出总体与上年相比，减少6.75万元，下降4.01%，主要原因是：</w:t>
      </w:r>
      <w:r w:rsidR="00637019" w:rsidRPr="00492284">
        <w:rPr>
          <w:rFonts w:ascii="仿宋_GB2312" w:eastAsia="仿宋_GB2312" w:hint="eastAsia"/>
          <w:sz w:val="32"/>
          <w:szCs w:val="32"/>
          <w:lang w:eastAsia="zh-CN"/>
        </w:rPr>
        <w:t>新公招人员缴费基数低于调出人员，缴费基数总额减少，导致</w:t>
      </w:r>
      <w:r w:rsidR="00637019">
        <w:rPr>
          <w:rFonts w:ascii="仿宋_GB2312" w:eastAsia="仿宋_GB2312" w:hint="eastAsia"/>
          <w:sz w:val="32"/>
          <w:szCs w:val="32"/>
          <w:lang w:eastAsia="zh-CN"/>
        </w:rPr>
        <w:t>人员医疗</w:t>
      </w:r>
      <w:r w:rsidR="00637019" w:rsidRPr="00492284">
        <w:rPr>
          <w:rFonts w:ascii="仿宋_GB2312" w:eastAsia="仿宋_GB2312" w:hint="eastAsia"/>
          <w:sz w:val="32"/>
          <w:szCs w:val="32"/>
          <w:lang w:eastAsia="zh-CN"/>
        </w:rPr>
        <w:t>保险缴费减少</w:t>
      </w:r>
      <w:r>
        <w:rPr>
          <w:rFonts w:ascii="仿宋_GB2312" w:eastAsia="仿宋_GB2312"/>
          <w:sz w:val="32"/>
          <w:szCs w:val="32"/>
          <w:lang w:eastAsia="zh-CN"/>
        </w:rPr>
        <w:t>。与年初预算相比，年初预算数152.49万元，决算数161.49万元，预决算差异率5.90%，主要原因是：年中</w:t>
      </w:r>
      <w:r>
        <w:rPr>
          <w:rFonts w:ascii="仿宋_GB2312" w:eastAsia="仿宋_GB2312" w:hint="eastAsia"/>
          <w:sz w:val="32"/>
          <w:szCs w:val="32"/>
          <w:lang w:eastAsia="zh-CN"/>
        </w:rPr>
        <w:t>追加在职</w:t>
      </w:r>
      <w:r>
        <w:rPr>
          <w:rFonts w:ascii="仿宋_GB2312" w:eastAsia="仿宋_GB2312"/>
          <w:sz w:val="32"/>
          <w:szCs w:val="32"/>
          <w:lang w:eastAsia="zh-CN"/>
        </w:rPr>
        <w:t>人员工资</w:t>
      </w:r>
      <w:r>
        <w:rPr>
          <w:rFonts w:ascii="仿宋_GB2312" w:eastAsia="仿宋_GB2312" w:hint="eastAsia"/>
          <w:sz w:val="32"/>
          <w:szCs w:val="32"/>
          <w:lang w:eastAsia="zh-CN"/>
        </w:rPr>
        <w:t>、津贴补贴、奖金等人员经费</w:t>
      </w:r>
      <w:r>
        <w:rPr>
          <w:rFonts w:ascii="仿宋_GB2312" w:eastAsia="仿宋_GB2312"/>
          <w:sz w:val="32"/>
          <w:szCs w:val="32"/>
          <w:lang w:eastAsia="zh-CN"/>
        </w:rPr>
        <w:t>。</w:t>
      </w:r>
    </w:p>
    <w:p w14:paraId="62901A29" w14:textId="77777777" w:rsidR="0012632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4D4879A6" w14:textId="77777777" w:rsidR="0012632E"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（一）一般公共预算财政拨款支出决算总体情况</w:t>
      </w:r>
    </w:p>
    <w:p w14:paraId="706FBE94" w14:textId="7CF07A05"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2024年度一般公共预算财政拨款支出161.49万元，占本年支出合计的100.00%。与上年相比，减少6.75万元，下降4.01%，主要原因是：</w:t>
      </w:r>
      <w:r w:rsidR="00637019" w:rsidRPr="00492284">
        <w:rPr>
          <w:rFonts w:ascii="仿宋_GB2312" w:eastAsia="仿宋_GB2312" w:hint="eastAsia"/>
          <w:sz w:val="32"/>
          <w:szCs w:val="32"/>
          <w:lang w:eastAsia="zh-CN"/>
        </w:rPr>
        <w:t>新公招人员缴费基数低于调出人员，缴费基数总额减少，导致</w:t>
      </w:r>
      <w:r w:rsidR="00637019">
        <w:rPr>
          <w:rFonts w:ascii="仿宋_GB2312" w:eastAsia="仿宋_GB2312" w:hint="eastAsia"/>
          <w:sz w:val="32"/>
          <w:szCs w:val="32"/>
          <w:lang w:eastAsia="zh-CN"/>
        </w:rPr>
        <w:t>人员医疗</w:t>
      </w:r>
      <w:r w:rsidR="00637019" w:rsidRPr="00492284">
        <w:rPr>
          <w:rFonts w:ascii="仿宋_GB2312" w:eastAsia="仿宋_GB2312" w:hint="eastAsia"/>
          <w:sz w:val="32"/>
          <w:szCs w:val="32"/>
          <w:lang w:eastAsia="zh-CN"/>
        </w:rPr>
        <w:t>保险缴费减少</w:t>
      </w:r>
      <w:r>
        <w:rPr>
          <w:rFonts w:ascii="仿宋_GB2312" w:eastAsia="仿宋_GB2312"/>
          <w:sz w:val="32"/>
          <w:szCs w:val="32"/>
          <w:lang w:eastAsia="zh-CN"/>
        </w:rPr>
        <w:t>。与年初预算相比，年初预算数152.49万元，决算数161.49万元，预决算差异率5.90%，主要原因是：年中</w:t>
      </w:r>
      <w:r>
        <w:rPr>
          <w:rFonts w:ascii="仿宋_GB2312" w:eastAsia="仿宋_GB2312" w:hint="eastAsia"/>
          <w:sz w:val="32"/>
          <w:szCs w:val="32"/>
          <w:lang w:eastAsia="zh-CN"/>
        </w:rPr>
        <w:t>追加在职</w:t>
      </w:r>
      <w:r>
        <w:rPr>
          <w:rFonts w:ascii="仿宋_GB2312" w:eastAsia="仿宋_GB2312"/>
          <w:sz w:val="32"/>
          <w:szCs w:val="32"/>
          <w:lang w:eastAsia="zh-CN"/>
        </w:rPr>
        <w:t>人员工资</w:t>
      </w:r>
      <w:r>
        <w:rPr>
          <w:rFonts w:ascii="仿宋_GB2312" w:eastAsia="仿宋_GB2312" w:hint="eastAsia"/>
          <w:sz w:val="32"/>
          <w:szCs w:val="32"/>
          <w:lang w:eastAsia="zh-CN"/>
        </w:rPr>
        <w:t>、津贴补贴、奖金等人员经费</w:t>
      </w:r>
      <w:r>
        <w:rPr>
          <w:rFonts w:ascii="仿宋_GB2312" w:eastAsia="仿宋_GB2312"/>
          <w:sz w:val="32"/>
          <w:szCs w:val="32"/>
          <w:lang w:eastAsia="zh-CN"/>
        </w:rPr>
        <w:t>。</w:t>
      </w:r>
    </w:p>
    <w:p w14:paraId="09EF157A" w14:textId="77777777" w:rsidR="0012632E" w:rsidRDefault="00000000">
      <w:pPr>
        <w:spacing w:after="0" w:line="240" w:lineRule="auto"/>
        <w:ind w:firstLineChars="200" w:firstLine="643"/>
        <w:jc w:val="both"/>
        <w:rPr>
          <w:rFonts w:ascii="黑体" w:eastAsia="黑体" w:hint="eastAsia"/>
          <w:sz w:val="32"/>
          <w:szCs w:val="32"/>
          <w:lang w:eastAsia="zh-CN"/>
        </w:rPr>
      </w:pPr>
      <w:r>
        <w:rPr>
          <w:rFonts w:ascii="黑体" w:eastAsia="黑体"/>
          <w:b/>
          <w:sz w:val="32"/>
          <w:szCs w:val="32"/>
          <w:lang w:eastAsia="zh-CN"/>
        </w:rPr>
        <w:t>（二）一般公共预算财政拨款支出决算结构情况</w:t>
      </w:r>
    </w:p>
    <w:p w14:paraId="34179767" w14:textId="77777777"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一般公共服务支出（类）123.85万元，占76.69%。</w:t>
      </w:r>
    </w:p>
    <w:p w14:paraId="08181919" w14:textId="77777777"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社会保障和就业支出（类）15.49万元，占9.59%。</w:t>
      </w:r>
    </w:p>
    <w:p w14:paraId="1F877CEC" w14:textId="77777777"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卫生健康支出（类）10.44万元，占6.46%。</w:t>
      </w:r>
    </w:p>
    <w:p w14:paraId="2BD01CFD" w14:textId="77777777"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住房保障支出（类）11.71万元，占7.25%。</w:t>
      </w:r>
    </w:p>
    <w:p w14:paraId="69F4D2AD" w14:textId="77777777" w:rsidR="0012632E"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lastRenderedPageBreak/>
        <w:t>（三）一般公共预算财政拨款支出决算具体情况</w:t>
      </w:r>
    </w:p>
    <w:p w14:paraId="70431C99" w14:textId="45648FD2"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1、一般公共服务支出（类）民主党派及工商联事务（款）行政运行（项）：支出决算数为123.85万元，比上年决算增加5.85万元，增长4.96%，主要原因是：</w:t>
      </w:r>
      <w:r>
        <w:rPr>
          <w:rFonts w:ascii="仿宋_GB2312" w:eastAsia="仿宋_GB2312" w:hint="eastAsia"/>
          <w:sz w:val="32"/>
          <w:szCs w:val="32"/>
          <w:lang w:eastAsia="zh-CN"/>
        </w:rPr>
        <w:t>本年单位</w:t>
      </w:r>
      <w:r w:rsidR="00637019">
        <w:rPr>
          <w:rFonts w:ascii="仿宋_GB2312" w:eastAsia="仿宋_GB2312" w:hint="eastAsia"/>
          <w:sz w:val="32"/>
          <w:szCs w:val="32"/>
          <w:lang w:eastAsia="zh-CN"/>
        </w:rPr>
        <w:t>人员</w:t>
      </w:r>
      <w:r>
        <w:rPr>
          <w:rFonts w:ascii="仿宋_GB2312" w:eastAsia="仿宋_GB2312" w:hint="eastAsia"/>
          <w:sz w:val="32"/>
          <w:szCs w:val="32"/>
          <w:lang w:eastAsia="zh-CN"/>
        </w:rPr>
        <w:t>增加</w:t>
      </w:r>
      <w:r w:rsidR="00637019">
        <w:rPr>
          <w:rFonts w:ascii="仿宋_GB2312" w:eastAsia="仿宋_GB2312" w:hint="eastAsia"/>
          <w:sz w:val="32"/>
          <w:szCs w:val="32"/>
          <w:lang w:eastAsia="zh-CN"/>
        </w:rPr>
        <w:t>，</w:t>
      </w:r>
      <w:r>
        <w:rPr>
          <w:rFonts w:ascii="仿宋_GB2312" w:eastAsia="仿宋_GB2312"/>
          <w:sz w:val="32"/>
          <w:szCs w:val="32"/>
          <w:lang w:eastAsia="zh-CN"/>
        </w:rPr>
        <w:t>人员工资</w:t>
      </w:r>
      <w:r>
        <w:rPr>
          <w:rFonts w:ascii="仿宋_GB2312" w:eastAsia="仿宋_GB2312" w:hint="eastAsia"/>
          <w:sz w:val="32"/>
          <w:szCs w:val="32"/>
          <w:lang w:eastAsia="zh-CN"/>
        </w:rPr>
        <w:t>、津贴补贴、奖金等经费</w:t>
      </w:r>
      <w:r w:rsidR="00637019">
        <w:rPr>
          <w:rFonts w:ascii="仿宋_GB2312" w:eastAsia="仿宋_GB2312" w:hint="eastAsia"/>
          <w:sz w:val="32"/>
          <w:szCs w:val="32"/>
          <w:lang w:eastAsia="zh-CN"/>
        </w:rPr>
        <w:t>增加</w:t>
      </w:r>
      <w:r>
        <w:rPr>
          <w:rFonts w:ascii="仿宋_GB2312" w:eastAsia="仿宋_GB2312"/>
          <w:sz w:val="32"/>
          <w:szCs w:val="32"/>
          <w:lang w:eastAsia="zh-CN"/>
        </w:rPr>
        <w:t>。</w:t>
      </w:r>
    </w:p>
    <w:p w14:paraId="59AD0D0C" w14:textId="0584C3D5"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2、一般公共服务支出（类）民主党派及工商联事务（款）其他民主党派及工商联事务支出（项）：支出决算数为0.00万元，比上年决算减少1.40万元，下降100.00%，主要原因是：</w:t>
      </w:r>
      <w:r>
        <w:rPr>
          <w:rFonts w:ascii="仿宋_GB2312" w:eastAsia="仿宋_GB2312" w:hint="eastAsia"/>
          <w:sz w:val="32"/>
          <w:szCs w:val="32"/>
          <w:lang w:eastAsia="zh-CN"/>
        </w:rPr>
        <w:t>本年</w:t>
      </w:r>
      <w:r w:rsidR="00637019">
        <w:rPr>
          <w:rFonts w:ascii="仿宋_GB2312" w:eastAsia="仿宋_GB2312" w:hint="eastAsia"/>
          <w:sz w:val="32"/>
          <w:szCs w:val="32"/>
          <w:lang w:eastAsia="zh-CN"/>
        </w:rPr>
        <w:t>功能科目调整，将</w:t>
      </w:r>
      <w:r w:rsidR="00637019">
        <w:rPr>
          <w:rFonts w:ascii="仿宋_GB2312" w:eastAsia="仿宋_GB2312"/>
          <w:sz w:val="32"/>
          <w:szCs w:val="32"/>
          <w:lang w:eastAsia="zh-CN"/>
        </w:rPr>
        <w:t>其他民主党派及工商联事务支出</w:t>
      </w:r>
      <w:r w:rsidR="00637019">
        <w:rPr>
          <w:rFonts w:ascii="仿宋_GB2312" w:eastAsia="仿宋_GB2312" w:hint="eastAsia"/>
          <w:sz w:val="32"/>
          <w:szCs w:val="32"/>
          <w:lang w:eastAsia="zh-CN"/>
        </w:rPr>
        <w:t>款项中</w:t>
      </w:r>
      <w:r>
        <w:rPr>
          <w:rFonts w:ascii="仿宋_GB2312" w:eastAsia="仿宋_GB2312" w:hint="eastAsia"/>
          <w:sz w:val="32"/>
          <w:szCs w:val="32"/>
          <w:lang w:eastAsia="zh-CN"/>
        </w:rPr>
        <w:t>办公费调整</w:t>
      </w:r>
      <w:proofErr w:type="gramStart"/>
      <w:r>
        <w:rPr>
          <w:rFonts w:ascii="仿宋_GB2312" w:eastAsia="仿宋_GB2312" w:hint="eastAsia"/>
          <w:sz w:val="32"/>
          <w:szCs w:val="32"/>
          <w:lang w:eastAsia="zh-CN"/>
        </w:rPr>
        <w:t>至行政</w:t>
      </w:r>
      <w:proofErr w:type="gramEnd"/>
      <w:r>
        <w:rPr>
          <w:rFonts w:ascii="仿宋_GB2312" w:eastAsia="仿宋_GB2312" w:hint="eastAsia"/>
          <w:sz w:val="32"/>
          <w:szCs w:val="32"/>
          <w:lang w:eastAsia="zh-CN"/>
        </w:rPr>
        <w:t>运行科目</w:t>
      </w:r>
      <w:r w:rsidR="00637019">
        <w:rPr>
          <w:rFonts w:ascii="仿宋_GB2312" w:eastAsia="仿宋_GB2312" w:hint="eastAsia"/>
          <w:sz w:val="32"/>
          <w:szCs w:val="32"/>
          <w:lang w:eastAsia="zh-CN"/>
        </w:rPr>
        <w:t>核算，导致此项经费减少</w:t>
      </w:r>
      <w:r>
        <w:rPr>
          <w:rFonts w:ascii="仿宋_GB2312" w:eastAsia="仿宋_GB2312"/>
          <w:sz w:val="32"/>
          <w:szCs w:val="32"/>
          <w:lang w:eastAsia="zh-CN"/>
        </w:rPr>
        <w:t>。</w:t>
      </w:r>
    </w:p>
    <w:p w14:paraId="5EDA5BC0" w14:textId="77777777" w:rsidR="0012632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3、社会保障和就业支出（类）行政事业单位养老支出（款）机关事业单位基本养老保险缴费支出（项）：支出决算数为15.49万元，比上年决算增加0.64万元，增长4.31%，主要原因是：</w:t>
      </w:r>
      <w:r>
        <w:rPr>
          <w:rFonts w:ascii="仿宋_GB2312" w:eastAsia="仿宋_GB2312" w:hint="eastAsia"/>
          <w:sz w:val="32"/>
          <w:szCs w:val="32"/>
          <w:lang w:eastAsia="zh-CN"/>
        </w:rPr>
        <w:t>本年单位基本养老保险缴费基数调增，机关事业单位基本养老保险缴费支出</w:t>
      </w:r>
      <w:r>
        <w:rPr>
          <w:rFonts w:ascii="仿宋_GB2312" w:eastAsia="仿宋_GB2312"/>
          <w:sz w:val="32"/>
          <w:szCs w:val="32"/>
          <w:lang w:eastAsia="zh-CN"/>
        </w:rPr>
        <w:t>增加。</w:t>
      </w:r>
    </w:p>
    <w:p w14:paraId="79FEBF25" w14:textId="07DD5C90" w:rsidR="0012632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4、卫生健康支出（类）行政事业单位医疗（款）行政单位医疗（项）：支出决算数为9.40万元，比上年决算减少0.73万元，下降7.21%，主要原因是：</w:t>
      </w:r>
      <w:r w:rsidR="00637019" w:rsidRPr="00492284">
        <w:rPr>
          <w:rFonts w:ascii="仿宋_GB2312" w:eastAsia="仿宋_GB2312" w:hint="eastAsia"/>
          <w:sz w:val="32"/>
          <w:szCs w:val="32"/>
          <w:lang w:eastAsia="zh-CN"/>
        </w:rPr>
        <w:t>新公招人员缴费基数低于调出人员，缴费基数</w:t>
      </w:r>
      <w:r w:rsidR="00B833C6">
        <w:rPr>
          <w:rFonts w:ascii="仿宋_GB2312" w:eastAsia="仿宋_GB2312" w:hint="eastAsia"/>
          <w:sz w:val="32"/>
          <w:szCs w:val="32"/>
          <w:lang w:eastAsia="zh-CN"/>
        </w:rPr>
        <w:t>总</w:t>
      </w:r>
      <w:r w:rsidR="00637019" w:rsidRPr="00492284">
        <w:rPr>
          <w:rFonts w:ascii="仿宋_GB2312" w:eastAsia="仿宋_GB2312" w:hint="eastAsia"/>
          <w:sz w:val="32"/>
          <w:szCs w:val="32"/>
          <w:lang w:eastAsia="zh-CN"/>
        </w:rPr>
        <w:t>额减少，导致</w:t>
      </w:r>
      <w:r w:rsidR="00637019">
        <w:rPr>
          <w:rFonts w:ascii="仿宋_GB2312" w:eastAsia="仿宋_GB2312" w:hint="eastAsia"/>
          <w:sz w:val="32"/>
          <w:szCs w:val="32"/>
          <w:lang w:eastAsia="zh-CN"/>
        </w:rPr>
        <w:t>人员医疗</w:t>
      </w:r>
      <w:r w:rsidR="00637019" w:rsidRPr="00492284">
        <w:rPr>
          <w:rFonts w:ascii="仿宋_GB2312" w:eastAsia="仿宋_GB2312" w:hint="eastAsia"/>
          <w:sz w:val="32"/>
          <w:szCs w:val="32"/>
          <w:lang w:eastAsia="zh-CN"/>
        </w:rPr>
        <w:t>保险缴费减少</w:t>
      </w:r>
      <w:r>
        <w:rPr>
          <w:rFonts w:ascii="仿宋_GB2312" w:eastAsia="仿宋_GB2312"/>
          <w:sz w:val="32"/>
          <w:szCs w:val="32"/>
          <w:lang w:eastAsia="zh-CN"/>
        </w:rPr>
        <w:t>。</w:t>
      </w:r>
    </w:p>
    <w:p w14:paraId="3CF7EBF2" w14:textId="2D4641CA" w:rsidR="0012632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5、卫生健康支出（类）行政事业单位医疗（款）公务员医疗补助（项）：支出决算数为0.99万元，比上年决算减少0.09万元，下降8.33%，主要原因是：</w:t>
      </w:r>
      <w:bookmarkStart w:id="0" w:name="_Hlk209810098"/>
      <w:r w:rsidR="00637019" w:rsidRPr="00492284">
        <w:rPr>
          <w:rFonts w:ascii="仿宋_GB2312" w:eastAsia="仿宋_GB2312" w:hint="eastAsia"/>
          <w:sz w:val="32"/>
          <w:szCs w:val="32"/>
          <w:lang w:eastAsia="zh-CN"/>
        </w:rPr>
        <w:t>新公招人员缴费基数</w:t>
      </w:r>
      <w:r w:rsidR="00637019" w:rsidRPr="00492284">
        <w:rPr>
          <w:rFonts w:ascii="仿宋_GB2312" w:eastAsia="仿宋_GB2312" w:hint="eastAsia"/>
          <w:sz w:val="32"/>
          <w:szCs w:val="32"/>
          <w:lang w:eastAsia="zh-CN"/>
        </w:rPr>
        <w:lastRenderedPageBreak/>
        <w:t>低于调出人员，缴费基数总额减少，导致</w:t>
      </w:r>
      <w:r w:rsidR="00637019">
        <w:rPr>
          <w:rFonts w:ascii="仿宋_GB2312" w:eastAsia="仿宋_GB2312" w:hint="eastAsia"/>
          <w:sz w:val="32"/>
          <w:szCs w:val="32"/>
          <w:lang w:eastAsia="zh-CN"/>
        </w:rPr>
        <w:t>人员医疗</w:t>
      </w:r>
      <w:r w:rsidR="00637019" w:rsidRPr="00492284">
        <w:rPr>
          <w:rFonts w:ascii="仿宋_GB2312" w:eastAsia="仿宋_GB2312" w:hint="eastAsia"/>
          <w:sz w:val="32"/>
          <w:szCs w:val="32"/>
          <w:lang w:eastAsia="zh-CN"/>
        </w:rPr>
        <w:t>保险缴费减少</w:t>
      </w:r>
      <w:bookmarkEnd w:id="0"/>
      <w:r>
        <w:rPr>
          <w:rFonts w:ascii="仿宋_GB2312" w:eastAsia="仿宋_GB2312" w:hint="eastAsia"/>
          <w:sz w:val="32"/>
          <w:szCs w:val="32"/>
          <w:lang w:eastAsia="zh-CN"/>
        </w:rPr>
        <w:t>。</w:t>
      </w:r>
    </w:p>
    <w:p w14:paraId="0E238659" w14:textId="7AB5D0ED" w:rsidR="0012632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6、卫生健康支出（类）行政事业单位医疗（款）其他行政事业单位医疗支出（项）：支出决算数为0.05万元，与上年相比无变化，主要原因是：</w:t>
      </w:r>
      <w:r w:rsidR="00637019">
        <w:rPr>
          <w:rFonts w:ascii="仿宋_GB2312" w:eastAsia="仿宋_GB2312" w:hint="eastAsia"/>
          <w:sz w:val="32"/>
          <w:szCs w:val="32"/>
          <w:lang w:eastAsia="zh-CN"/>
        </w:rPr>
        <w:t>单位本年人员大病医疗保险缴费</w:t>
      </w:r>
      <w:r>
        <w:rPr>
          <w:rFonts w:ascii="仿宋_GB2312" w:eastAsia="仿宋_GB2312" w:hint="eastAsia"/>
          <w:sz w:val="32"/>
          <w:szCs w:val="32"/>
          <w:lang w:eastAsia="zh-CN"/>
        </w:rPr>
        <w:t>与上年对比无差异。</w:t>
      </w:r>
    </w:p>
    <w:p w14:paraId="03E5B93C" w14:textId="4A32C5F1" w:rsidR="0012632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7、住房保障支出（类）住房改革支出（款）住房公积金（项）：支出决算数为11.71万元，比上年决算增加0.48万元，增长4.27%，主要原因是：</w:t>
      </w:r>
      <w:r>
        <w:rPr>
          <w:rFonts w:ascii="仿宋_GB2312" w:eastAsia="仿宋_GB2312" w:hint="eastAsia"/>
          <w:sz w:val="32"/>
          <w:szCs w:val="32"/>
          <w:lang w:eastAsia="zh-CN"/>
        </w:rPr>
        <w:t>本年单位住房公积金缴费基数调增，</w:t>
      </w:r>
      <w:r>
        <w:rPr>
          <w:rFonts w:ascii="仿宋_GB2312" w:eastAsia="仿宋_GB2312"/>
          <w:sz w:val="32"/>
          <w:szCs w:val="32"/>
          <w:lang w:eastAsia="zh-CN"/>
        </w:rPr>
        <w:t>住房公积金增加。</w:t>
      </w:r>
    </w:p>
    <w:p w14:paraId="1EFFEF6B" w14:textId="0E387175" w:rsidR="0012632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8、其他支出（类）其他支出（款）其他支出（项）：支出决算数为0.00万元，比上年决算减少11.50万元，下降100.00%，主要原因是：</w:t>
      </w:r>
      <w:r w:rsidR="00637019">
        <w:rPr>
          <w:rFonts w:ascii="仿宋_GB2312" w:eastAsia="仿宋_GB2312" w:hint="eastAsia"/>
          <w:sz w:val="32"/>
          <w:szCs w:val="32"/>
          <w:lang w:eastAsia="zh-CN"/>
        </w:rPr>
        <w:t>本年功能科目调整，将</w:t>
      </w:r>
      <w:r w:rsidR="00637019">
        <w:rPr>
          <w:rFonts w:ascii="仿宋_GB2312" w:eastAsia="仿宋_GB2312"/>
          <w:sz w:val="32"/>
          <w:szCs w:val="32"/>
          <w:lang w:eastAsia="zh-CN"/>
        </w:rPr>
        <w:t>其他支出</w:t>
      </w:r>
      <w:r w:rsidR="00637019">
        <w:rPr>
          <w:rFonts w:ascii="仿宋_GB2312" w:eastAsia="仿宋_GB2312" w:hint="eastAsia"/>
          <w:sz w:val="32"/>
          <w:szCs w:val="32"/>
          <w:lang w:eastAsia="zh-CN"/>
        </w:rPr>
        <w:t>款项中办公费调整</w:t>
      </w:r>
      <w:proofErr w:type="gramStart"/>
      <w:r w:rsidR="00637019">
        <w:rPr>
          <w:rFonts w:ascii="仿宋_GB2312" w:eastAsia="仿宋_GB2312" w:hint="eastAsia"/>
          <w:sz w:val="32"/>
          <w:szCs w:val="32"/>
          <w:lang w:eastAsia="zh-CN"/>
        </w:rPr>
        <w:t>至行政</w:t>
      </w:r>
      <w:proofErr w:type="gramEnd"/>
      <w:r w:rsidR="00637019">
        <w:rPr>
          <w:rFonts w:ascii="仿宋_GB2312" w:eastAsia="仿宋_GB2312" w:hint="eastAsia"/>
          <w:sz w:val="32"/>
          <w:szCs w:val="32"/>
          <w:lang w:eastAsia="zh-CN"/>
        </w:rPr>
        <w:t>运行科目核算，导致此项经费减少</w:t>
      </w:r>
      <w:r>
        <w:rPr>
          <w:rFonts w:ascii="仿宋_GB2312" w:eastAsia="仿宋_GB2312"/>
          <w:sz w:val="32"/>
          <w:szCs w:val="32"/>
          <w:lang w:eastAsia="zh-CN"/>
        </w:rPr>
        <w:t>。</w:t>
      </w:r>
    </w:p>
    <w:p w14:paraId="5B908D53" w14:textId="77777777" w:rsidR="0012632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538A7E7F" w14:textId="77777777"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161.49万元，其中：人员经费156.50万元，包括：基本工资、津贴补贴、奖金、机关事业单位基本养老保险缴费、职工基本医疗保险缴费、公务员医疗补助缴费、其他社会保障缴费、住房公积金、医疗费、退休费和奖励金。</w:t>
      </w:r>
    </w:p>
    <w:p w14:paraId="0323A3B5" w14:textId="77777777"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公用经费5.00万元，包括：办公费、印刷费、咨询费、手续费、邮电费、物业管理费、差旅费、公务用车运行维护费和其他交通费用。</w:t>
      </w:r>
    </w:p>
    <w:p w14:paraId="094C1ADE" w14:textId="77777777" w:rsidR="0012632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47AF6E66" w14:textId="77777777"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本单位本年度无政府性基金预算财政拨款收入、支出及结转和结余，政府性基金预算财政拨款收入支出决算表为空表。</w:t>
      </w:r>
    </w:p>
    <w:p w14:paraId="302B0EEC" w14:textId="77777777" w:rsidR="0012632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7EE8300C" w14:textId="77777777"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2C884508" w14:textId="77777777" w:rsidR="0012632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02CD0360" w14:textId="7756E0D1"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经费支出1.49万元，比上年减少0.68万元，下降31.34%，主要原因是：</w:t>
      </w:r>
      <w:r>
        <w:rPr>
          <w:rFonts w:ascii="仿宋_GB2312" w:eastAsia="仿宋_GB2312" w:hint="eastAsia"/>
          <w:sz w:val="32"/>
          <w:szCs w:val="32"/>
          <w:lang w:eastAsia="zh-CN"/>
        </w:rPr>
        <w:t>我单位减少公务用车</w:t>
      </w:r>
      <w:r w:rsidR="00320A3A">
        <w:rPr>
          <w:rFonts w:ascii="仿宋_GB2312" w:eastAsia="仿宋_GB2312" w:hint="eastAsia"/>
          <w:sz w:val="32"/>
          <w:szCs w:val="32"/>
          <w:lang w:eastAsia="zh-CN"/>
        </w:rPr>
        <w:t>出行</w:t>
      </w:r>
      <w:r>
        <w:rPr>
          <w:rFonts w:ascii="仿宋_GB2312" w:eastAsia="仿宋_GB2312" w:hint="eastAsia"/>
          <w:sz w:val="32"/>
          <w:szCs w:val="32"/>
          <w:lang w:eastAsia="zh-CN"/>
        </w:rPr>
        <w:t>次数，</w:t>
      </w:r>
      <w:r>
        <w:rPr>
          <w:rFonts w:ascii="仿宋_GB2312" w:eastAsia="仿宋_GB2312"/>
          <w:sz w:val="32"/>
          <w:szCs w:val="32"/>
          <w:lang w:eastAsia="zh-CN"/>
        </w:rPr>
        <w:t>车辆保险费、维修费</w:t>
      </w:r>
      <w:r>
        <w:rPr>
          <w:rFonts w:ascii="仿宋_GB2312" w:eastAsia="仿宋_GB2312" w:hint="eastAsia"/>
          <w:sz w:val="32"/>
          <w:szCs w:val="32"/>
          <w:lang w:eastAsia="zh-CN"/>
        </w:rPr>
        <w:t>减少</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w:t>
      </w:r>
      <w:r>
        <w:rPr>
          <w:rFonts w:ascii="仿宋_GB2312" w:eastAsia="仿宋_GB2312"/>
          <w:sz w:val="32"/>
          <w:szCs w:val="32"/>
          <w:lang w:eastAsia="zh-CN"/>
        </w:rPr>
        <w:t>因公出国（境）费；公务用车购置及运行维护费支出1.49万元，占100.00%，比上年减少0.68万元，下降31.34%，主要原因是：</w:t>
      </w:r>
      <w:r>
        <w:rPr>
          <w:rFonts w:ascii="仿宋_GB2312" w:eastAsia="仿宋_GB2312" w:hint="eastAsia"/>
          <w:sz w:val="32"/>
          <w:szCs w:val="32"/>
          <w:lang w:eastAsia="zh-CN"/>
        </w:rPr>
        <w:t>我单位减少公务用车</w:t>
      </w:r>
      <w:r w:rsidR="00320A3A">
        <w:rPr>
          <w:rFonts w:ascii="仿宋_GB2312" w:eastAsia="仿宋_GB2312" w:hint="eastAsia"/>
          <w:sz w:val="32"/>
          <w:szCs w:val="32"/>
          <w:lang w:eastAsia="zh-CN"/>
        </w:rPr>
        <w:t>出行</w:t>
      </w:r>
      <w:r>
        <w:rPr>
          <w:rFonts w:ascii="仿宋_GB2312" w:eastAsia="仿宋_GB2312" w:hint="eastAsia"/>
          <w:sz w:val="32"/>
          <w:szCs w:val="32"/>
          <w:lang w:eastAsia="zh-CN"/>
        </w:rPr>
        <w:t>次数，</w:t>
      </w:r>
      <w:r>
        <w:rPr>
          <w:rFonts w:ascii="仿宋_GB2312" w:eastAsia="仿宋_GB2312"/>
          <w:sz w:val="32"/>
          <w:szCs w:val="32"/>
          <w:lang w:eastAsia="zh-CN"/>
        </w:rPr>
        <w:t>车辆保险费、维修费</w:t>
      </w:r>
      <w:r>
        <w:rPr>
          <w:rFonts w:ascii="仿宋_GB2312" w:eastAsia="仿宋_GB2312" w:hint="eastAsia"/>
          <w:sz w:val="32"/>
          <w:szCs w:val="32"/>
          <w:lang w:eastAsia="zh-CN"/>
        </w:rPr>
        <w:t>减少</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w:t>
      </w:r>
      <w:r>
        <w:rPr>
          <w:rFonts w:ascii="仿宋_GB2312" w:eastAsia="仿宋_GB2312"/>
          <w:sz w:val="32"/>
          <w:szCs w:val="32"/>
          <w:lang w:eastAsia="zh-CN"/>
        </w:rPr>
        <w:t>公务接待费</w:t>
      </w:r>
      <w:r>
        <w:rPr>
          <w:rFonts w:ascii="仿宋_GB2312" w:eastAsia="仿宋_GB2312" w:hint="eastAsia"/>
          <w:sz w:val="32"/>
          <w:szCs w:val="32"/>
          <w:lang w:eastAsia="zh-CN"/>
        </w:rPr>
        <w:t>。</w:t>
      </w:r>
    </w:p>
    <w:p w14:paraId="0E072796" w14:textId="77777777" w:rsidR="0012632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43865154" w14:textId="77777777"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我单位无</w:t>
      </w:r>
      <w:r>
        <w:rPr>
          <w:rFonts w:ascii="仿宋_GB2312" w:eastAsia="仿宋_GB2312"/>
          <w:sz w:val="32"/>
          <w:szCs w:val="32"/>
          <w:lang w:eastAsia="zh-CN"/>
        </w:rPr>
        <w:t>因公出国（境）费。单位全年安排的因公出国（境）团组0个，因公出国（境）0人次。</w:t>
      </w:r>
    </w:p>
    <w:p w14:paraId="12EAD7F6" w14:textId="5187B688"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公务用车购置及运行维护费1.49万元，其中：公务用车购置费0.00万元，公务用车运行维护费1.49万元。公务用车运行维护费开支内容包括</w:t>
      </w:r>
      <w:bookmarkStart w:id="1" w:name="_Hlk207110208"/>
      <w:r w:rsidR="00FF360D" w:rsidRPr="00D6752D">
        <w:rPr>
          <w:rFonts w:ascii="仿宋_GB2312" w:eastAsia="仿宋_GB2312" w:hint="eastAsia"/>
          <w:sz w:val="32"/>
          <w:szCs w:val="32"/>
          <w:lang w:eastAsia="zh-CN"/>
        </w:rPr>
        <w:t>公务用车燃油费、车辆维修维护费、</w:t>
      </w:r>
      <w:r w:rsidR="00FF360D" w:rsidRPr="00D6752D">
        <w:rPr>
          <w:rFonts w:ascii="仿宋_GB2312" w:eastAsia="仿宋_GB2312" w:hint="eastAsia"/>
          <w:sz w:val="32"/>
          <w:szCs w:val="32"/>
          <w:lang w:eastAsia="zh-CN"/>
        </w:rPr>
        <w:lastRenderedPageBreak/>
        <w:t>保险费、过路费等</w:t>
      </w:r>
      <w:bookmarkEnd w:id="1"/>
      <w:r>
        <w:rPr>
          <w:rFonts w:ascii="仿宋_GB2312" w:eastAsia="仿宋_GB2312"/>
          <w:sz w:val="32"/>
          <w:szCs w:val="32"/>
          <w:lang w:eastAsia="zh-CN"/>
        </w:rPr>
        <w:t>。公务用车购置数0辆，公务用车保有量1辆。国有资产占用情况中固定资产车辆1辆，与公务用车保有量差异原因是：</w:t>
      </w:r>
      <w:r>
        <w:rPr>
          <w:rFonts w:ascii="仿宋_GB2312" w:eastAsia="仿宋_GB2312" w:hint="eastAsia"/>
          <w:sz w:val="32"/>
          <w:szCs w:val="32"/>
          <w:lang w:eastAsia="zh-CN"/>
        </w:rPr>
        <w:t>本单位固定资产车辆与公务用车保有量一致</w:t>
      </w:r>
      <w:r>
        <w:rPr>
          <w:rFonts w:ascii="仿宋_GB2312" w:eastAsia="仿宋_GB2312"/>
          <w:sz w:val="32"/>
          <w:szCs w:val="32"/>
          <w:lang w:eastAsia="zh-CN"/>
        </w:rPr>
        <w:t>无差异。</w:t>
      </w:r>
    </w:p>
    <w:p w14:paraId="566BC70A" w14:textId="77777777"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r>
        <w:rPr>
          <w:rFonts w:ascii="仿宋_GB2312" w:eastAsia="仿宋_GB2312" w:hint="eastAsia"/>
          <w:sz w:val="32"/>
          <w:szCs w:val="32"/>
          <w:lang w:eastAsia="zh-CN"/>
        </w:rPr>
        <w:t>我单位无公务接待费</w:t>
      </w:r>
      <w:r>
        <w:rPr>
          <w:rFonts w:ascii="仿宋_GB2312" w:eastAsia="仿宋_GB2312"/>
          <w:sz w:val="32"/>
          <w:szCs w:val="32"/>
          <w:lang w:eastAsia="zh-CN"/>
        </w:rPr>
        <w:t>。单位全年安排的国内公务接待0批次，0人次。</w:t>
      </w:r>
    </w:p>
    <w:p w14:paraId="7FBFC031" w14:textId="3E2F53DD"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经费支出全年预算数2.60万元，决算数1.49万元，预决算差异率-42.69%，主要原因是：</w:t>
      </w:r>
      <w:proofErr w:type="gramStart"/>
      <w:r w:rsidR="00FF360D">
        <w:rPr>
          <w:rFonts w:ascii="仿宋_GB2312" w:eastAsia="仿宋_GB2312" w:hint="eastAsia"/>
          <w:sz w:val="32"/>
          <w:szCs w:val="32"/>
          <w:lang w:eastAsia="zh-CN"/>
        </w:rPr>
        <w:t>较预算</w:t>
      </w:r>
      <w:proofErr w:type="gramEnd"/>
      <w:r w:rsidR="00FF360D">
        <w:rPr>
          <w:rFonts w:ascii="仿宋_GB2312" w:eastAsia="仿宋_GB2312" w:hint="eastAsia"/>
          <w:sz w:val="32"/>
          <w:szCs w:val="32"/>
          <w:lang w:eastAsia="zh-CN"/>
        </w:rPr>
        <w:t>减少</w:t>
      </w:r>
      <w:r w:rsidR="00FF360D" w:rsidRPr="00D6752D">
        <w:rPr>
          <w:rFonts w:ascii="仿宋_GB2312" w:eastAsia="仿宋_GB2312" w:hint="eastAsia"/>
          <w:sz w:val="32"/>
          <w:szCs w:val="32"/>
          <w:lang w:eastAsia="zh-CN"/>
        </w:rPr>
        <w:t>车辆维修维护费、保险费、过路费</w:t>
      </w:r>
      <w:r w:rsidR="00FF360D">
        <w:rPr>
          <w:rFonts w:ascii="仿宋_GB2312" w:eastAsia="仿宋_GB2312" w:hint="eastAsia"/>
          <w:sz w:val="32"/>
          <w:szCs w:val="32"/>
          <w:lang w:eastAsia="zh-CN"/>
        </w:rPr>
        <w:t>等</w:t>
      </w:r>
      <w:r>
        <w:rPr>
          <w:rFonts w:ascii="仿宋_GB2312" w:eastAsia="仿宋_GB2312"/>
          <w:sz w:val="32"/>
          <w:szCs w:val="32"/>
          <w:lang w:eastAsia="zh-CN"/>
        </w:rPr>
        <w:t>。其中：因公出国（境）费全年预算数0.00万元，决算数0.00万元，预决算差异率0.00%，主要原因是：严格</w:t>
      </w:r>
      <w:r>
        <w:rPr>
          <w:rFonts w:ascii="仿宋_GB2312" w:eastAsia="仿宋_GB2312" w:hint="eastAsia"/>
          <w:sz w:val="32"/>
          <w:szCs w:val="32"/>
          <w:lang w:eastAsia="zh-CN"/>
        </w:rPr>
        <w:t>按照预算执行，预决算对比无差异</w:t>
      </w:r>
      <w:r>
        <w:rPr>
          <w:rFonts w:ascii="仿宋_GB2312" w:eastAsia="仿宋_GB2312"/>
          <w:sz w:val="32"/>
          <w:szCs w:val="32"/>
          <w:lang w:eastAsia="zh-CN"/>
        </w:rPr>
        <w:t>；公务用车购置费全年预算数0.00万元，决算数0.00万元，预决算差异率0.00%，主要原因是：严格</w:t>
      </w:r>
      <w:r>
        <w:rPr>
          <w:rFonts w:ascii="仿宋_GB2312" w:eastAsia="仿宋_GB2312" w:hint="eastAsia"/>
          <w:sz w:val="32"/>
          <w:szCs w:val="32"/>
          <w:lang w:eastAsia="zh-CN"/>
        </w:rPr>
        <w:t>按照预算执行，预决算对比无差异</w:t>
      </w:r>
      <w:r>
        <w:rPr>
          <w:rFonts w:ascii="仿宋_GB2312" w:eastAsia="仿宋_GB2312"/>
          <w:sz w:val="32"/>
          <w:szCs w:val="32"/>
          <w:lang w:eastAsia="zh-CN"/>
        </w:rPr>
        <w:t>；公务用车运行维护费全年预算数2.60万元，决算数1.49万元，预决算差异率-42.69%，主要原因是：</w:t>
      </w:r>
      <w:proofErr w:type="gramStart"/>
      <w:r w:rsidR="00FF360D">
        <w:rPr>
          <w:rFonts w:ascii="仿宋_GB2312" w:eastAsia="仿宋_GB2312" w:hint="eastAsia"/>
          <w:sz w:val="32"/>
          <w:szCs w:val="32"/>
          <w:lang w:eastAsia="zh-CN"/>
        </w:rPr>
        <w:t>较预算</w:t>
      </w:r>
      <w:proofErr w:type="gramEnd"/>
      <w:r w:rsidR="00FF360D">
        <w:rPr>
          <w:rFonts w:ascii="仿宋_GB2312" w:eastAsia="仿宋_GB2312" w:hint="eastAsia"/>
          <w:sz w:val="32"/>
          <w:szCs w:val="32"/>
          <w:lang w:eastAsia="zh-CN"/>
        </w:rPr>
        <w:t>减少</w:t>
      </w:r>
      <w:r w:rsidR="00FF360D" w:rsidRPr="00D6752D">
        <w:rPr>
          <w:rFonts w:ascii="仿宋_GB2312" w:eastAsia="仿宋_GB2312" w:hint="eastAsia"/>
          <w:sz w:val="32"/>
          <w:szCs w:val="32"/>
          <w:lang w:eastAsia="zh-CN"/>
        </w:rPr>
        <w:t>车辆维修维护费、保险费、过路费</w:t>
      </w:r>
      <w:r w:rsidR="00FF360D">
        <w:rPr>
          <w:rFonts w:ascii="仿宋_GB2312" w:eastAsia="仿宋_GB2312" w:hint="eastAsia"/>
          <w:sz w:val="32"/>
          <w:szCs w:val="32"/>
          <w:lang w:eastAsia="zh-CN"/>
        </w:rPr>
        <w:t>等</w:t>
      </w:r>
      <w:r>
        <w:rPr>
          <w:rFonts w:ascii="仿宋_GB2312" w:eastAsia="仿宋_GB2312"/>
          <w:sz w:val="32"/>
          <w:szCs w:val="32"/>
          <w:lang w:eastAsia="zh-CN"/>
        </w:rPr>
        <w:t>；公务接待费全年预算数0.00万元，决算数0.00万元，预决算差异率0.00%，主要原因是：严格</w:t>
      </w:r>
      <w:r>
        <w:rPr>
          <w:rFonts w:ascii="仿宋_GB2312" w:eastAsia="仿宋_GB2312" w:hint="eastAsia"/>
          <w:sz w:val="32"/>
          <w:szCs w:val="32"/>
          <w:lang w:eastAsia="zh-CN"/>
        </w:rPr>
        <w:t>按照预算执行，预决算对比无差异</w:t>
      </w:r>
      <w:r>
        <w:rPr>
          <w:rFonts w:ascii="仿宋_GB2312" w:eastAsia="仿宋_GB2312"/>
          <w:sz w:val="32"/>
          <w:szCs w:val="32"/>
          <w:lang w:eastAsia="zh-CN"/>
        </w:rPr>
        <w:t>。</w:t>
      </w:r>
    </w:p>
    <w:p w14:paraId="7A3D17C6" w14:textId="77777777" w:rsidR="0012632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14C6106D" w14:textId="77777777" w:rsidR="0012632E"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（一）机关运行经费及公用经费支出情况</w:t>
      </w:r>
    </w:p>
    <w:p w14:paraId="0D70E511" w14:textId="77777777"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2024年度昌吉市工商业联合会单位（行政单位和参照公务员法管理事业单位）机关运行经费支出5.00万元，比上年</w:t>
      </w:r>
      <w:r>
        <w:rPr>
          <w:rFonts w:ascii="仿宋_GB2312" w:eastAsia="仿宋_GB2312"/>
          <w:sz w:val="32"/>
          <w:szCs w:val="32"/>
          <w:lang w:eastAsia="zh-CN"/>
        </w:rPr>
        <w:lastRenderedPageBreak/>
        <w:t>减少14.12万元，下降73.85%，主要原因是：本年</w:t>
      </w:r>
      <w:r>
        <w:rPr>
          <w:rFonts w:ascii="仿宋_GB2312" w:eastAsia="仿宋_GB2312" w:hint="eastAsia"/>
          <w:sz w:val="32"/>
          <w:szCs w:val="32"/>
          <w:lang w:eastAsia="zh-CN"/>
        </w:rPr>
        <w:t>单位办公费、</w:t>
      </w:r>
      <w:r>
        <w:rPr>
          <w:rFonts w:ascii="仿宋_GB2312" w:eastAsia="仿宋_GB2312"/>
          <w:sz w:val="32"/>
          <w:szCs w:val="32"/>
          <w:lang w:eastAsia="zh-CN"/>
        </w:rPr>
        <w:t>公务用车运行维护费和其他交通费用</w:t>
      </w:r>
      <w:r>
        <w:rPr>
          <w:rFonts w:ascii="仿宋_GB2312" w:eastAsia="仿宋_GB2312" w:hint="eastAsia"/>
          <w:sz w:val="32"/>
          <w:szCs w:val="32"/>
          <w:lang w:eastAsia="zh-CN"/>
        </w:rPr>
        <w:t>等</w:t>
      </w:r>
      <w:r>
        <w:rPr>
          <w:rFonts w:ascii="仿宋_GB2312" w:eastAsia="仿宋_GB2312"/>
          <w:sz w:val="32"/>
          <w:szCs w:val="32"/>
          <w:lang w:eastAsia="zh-CN"/>
        </w:rPr>
        <w:t>减少。</w:t>
      </w:r>
    </w:p>
    <w:p w14:paraId="3F106AE2" w14:textId="77777777" w:rsidR="0012632E"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（二）政府采购情况</w:t>
      </w:r>
    </w:p>
    <w:p w14:paraId="73E1324C" w14:textId="77777777"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2024年度政府采购支出总额4.21万元，其中：政府采购货物支出1.05万元、政府采购工程支出0.00万元、政府采购服务支出3.16万元。</w:t>
      </w:r>
    </w:p>
    <w:p w14:paraId="2153716B" w14:textId="77777777"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授予中小企业合同金额3.42万元，占政府采购支出总额的81.24%，其中：授予小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合同金额3.42万元，占政府采购支出总额的81.24%。</w:t>
      </w:r>
    </w:p>
    <w:p w14:paraId="1932C740" w14:textId="77777777" w:rsidR="0012632E"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（三）国有资产占用情况说明</w:t>
      </w:r>
    </w:p>
    <w:p w14:paraId="4C12B0A0" w14:textId="77777777"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截至2024年12月31日，房屋0.00平方米，价值</w:t>
      </w:r>
      <w:proofErr w:type="gramStart"/>
      <w:r>
        <w:rPr>
          <w:rFonts w:ascii="仿宋_GB2312" w:eastAsia="仿宋_GB2312"/>
          <w:sz w:val="32"/>
          <w:szCs w:val="32"/>
        </w:rPr>
        <w:t>0.00万元。</w:t>
      </w:r>
      <w:r>
        <w:rPr>
          <w:rFonts w:ascii="仿宋_GB2312" w:eastAsia="仿宋_GB2312"/>
          <w:sz w:val="32"/>
          <w:szCs w:val="32"/>
          <w:lang w:eastAsia="zh-CN"/>
        </w:rPr>
        <w:t>车辆</w:t>
      </w:r>
      <w:proofErr w:type="gramEnd"/>
      <w:r>
        <w:rPr>
          <w:rFonts w:ascii="仿宋_GB2312" w:eastAsia="仿宋_GB2312"/>
          <w:sz w:val="32"/>
          <w:szCs w:val="32"/>
          <w:lang w:eastAsia="zh-CN"/>
        </w:rPr>
        <w:t>1辆，价值14.98万元，其中：副部（省）级及以上领导用车0辆、主要负责人用车0辆、机要通信用车0辆、应急保障用车0辆、执法执勤用车0辆、特种专业技术用车0辆、离退休干部服务用车0辆、其他用车1辆，其他用车主要是：</w:t>
      </w:r>
      <w:proofErr w:type="gramStart"/>
      <w:r>
        <w:rPr>
          <w:rFonts w:ascii="仿宋_GB2312" w:eastAsia="仿宋_GB2312" w:hint="eastAsia"/>
          <w:sz w:val="32"/>
          <w:szCs w:val="32"/>
          <w:lang w:eastAsia="zh-CN"/>
        </w:rPr>
        <w:t>单位业务用车</w:t>
      </w:r>
      <w:r>
        <w:rPr>
          <w:rFonts w:ascii="仿宋_GB2312" w:eastAsia="仿宋_GB2312"/>
          <w:sz w:val="32"/>
          <w:szCs w:val="32"/>
          <w:lang w:eastAsia="zh-CN"/>
        </w:rPr>
        <w:t>;单价</w:t>
      </w:r>
      <w:proofErr w:type="gramEnd"/>
      <w:r>
        <w:rPr>
          <w:rFonts w:ascii="仿宋_GB2312" w:eastAsia="仿宋_GB2312"/>
          <w:sz w:val="32"/>
          <w:szCs w:val="32"/>
          <w:lang w:eastAsia="zh-CN"/>
        </w:rPr>
        <w:t>100万元（含）以上设备（不含车辆）0台（套）。</w:t>
      </w:r>
    </w:p>
    <w:p w14:paraId="040EC3D1" w14:textId="77777777" w:rsidR="0012632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457AECA9" w14:textId="77777777"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161</w:t>
      </w:r>
      <w:r>
        <w:rPr>
          <w:rFonts w:ascii="仿宋_GB2312" w:eastAsia="仿宋_GB2312"/>
          <w:sz w:val="32"/>
          <w:szCs w:val="32"/>
          <w:lang w:eastAsia="zh-CN"/>
        </w:rPr>
        <w:t>.49万元，实际执行总额161.49万元；预算绩效评价项目0个，全年预算数0</w:t>
      </w:r>
      <w:r>
        <w:rPr>
          <w:rFonts w:ascii="仿宋_GB2312" w:eastAsia="仿宋_GB2312" w:hint="eastAsia"/>
          <w:sz w:val="32"/>
          <w:szCs w:val="32"/>
          <w:lang w:eastAsia="zh-CN"/>
        </w:rPr>
        <w:t>.00</w:t>
      </w:r>
      <w:r>
        <w:rPr>
          <w:rFonts w:ascii="仿宋_GB2312" w:eastAsia="仿宋_GB2312"/>
          <w:sz w:val="32"/>
          <w:szCs w:val="32"/>
          <w:lang w:eastAsia="zh-CN"/>
        </w:rPr>
        <w:t>万元，全年执行数0</w:t>
      </w:r>
      <w:r>
        <w:rPr>
          <w:rFonts w:ascii="仿宋_GB2312" w:eastAsia="仿宋_GB2312" w:hint="eastAsia"/>
          <w:sz w:val="32"/>
          <w:szCs w:val="32"/>
          <w:lang w:eastAsia="zh-CN"/>
        </w:rPr>
        <w:t>.00</w:t>
      </w:r>
      <w:r>
        <w:rPr>
          <w:rFonts w:ascii="仿宋_GB2312" w:eastAsia="仿宋_GB2312"/>
          <w:sz w:val="32"/>
          <w:szCs w:val="32"/>
          <w:lang w:eastAsia="zh-CN"/>
        </w:rPr>
        <w:t>万元。</w:t>
      </w:r>
      <w:r>
        <w:rPr>
          <w:rFonts w:ascii="仿宋_GB2312" w:eastAsia="仿宋_GB2312" w:hint="eastAsia"/>
          <w:sz w:val="32"/>
          <w:szCs w:val="32"/>
          <w:lang w:eastAsia="zh-CN"/>
        </w:rPr>
        <w:t>预算绩效管理取得的成效：一是通过预算绩效管理，规范了项目资金的使用，不断提高专项资金使用效益，加强了项目资金的管理；二是预算绩</w:t>
      </w:r>
      <w:r>
        <w:rPr>
          <w:rFonts w:ascii="仿宋_GB2312" w:eastAsia="仿宋_GB2312" w:hint="eastAsia"/>
          <w:sz w:val="32"/>
          <w:szCs w:val="32"/>
          <w:lang w:eastAsia="zh-CN"/>
        </w:rPr>
        <w:lastRenderedPageBreak/>
        <w:t>效动态监控成为常态，从资金支付进度、使用方向和具体用途等方面进行定期监控，对预算执行绩效加强监控跟踪，确保预算资金高效安全；三是通过绩效评价的实施，积极反馈科室整改，补齐短板，增强部门绩效责任意识，统一思想认识，有效促进部门履职尽责。发现的问题及原因：一是项目实施中出现进度缓慢的现象，组织实施绩效管理的程序、步骤、方法、原则和要求进行统一的规定；二是资金管理不够规范，项目实施过程中的上报、跟踪、反馈机制尚未真正形成，对本项目资金的使用、实施等监管措施仍然存在改进的空间建议以规章规则的形式，出台绩效管理制度，对绩效管理的目的、意义、性质和特点。下一步改进措施：一是加强业务人员的培训，提高业务能力，继续规范资金管理，全面做好项目绩效预算；二是探索设定项目个性化指标，科学合理地设置评价标准，修订完善评价指标体系，逐步提高评价工作质量</w:t>
      </w:r>
      <w:r>
        <w:rPr>
          <w:rFonts w:ascii="仿宋_GB2312" w:eastAsia="仿宋_GB2312"/>
          <w:sz w:val="32"/>
          <w:szCs w:val="32"/>
          <w:lang w:eastAsia="zh-CN"/>
        </w:rPr>
        <w:t>。具体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w:t>
      </w:r>
    </w:p>
    <w:p w14:paraId="17D5F107" w14:textId="77777777" w:rsidR="0012632E" w:rsidRDefault="0012632E">
      <w:pPr>
        <w:widowControl w:val="0"/>
        <w:spacing w:after="0" w:line="240" w:lineRule="auto"/>
        <w:rPr>
          <w:rFonts w:ascii="宋体" w:eastAsia="宋体" w:hAnsi="宋体" w:cs="Times New Roman" w:hint="eastAsia"/>
          <w:b/>
          <w:bCs/>
          <w:sz w:val="18"/>
          <w:szCs w:val="18"/>
          <w:lang w:eastAsia="zh-CN"/>
        </w:rPr>
      </w:pPr>
    </w:p>
    <w:p w14:paraId="058C6706" w14:textId="77777777" w:rsidR="0012632E"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部门（单位）整体支出绩效目标自评表</w:t>
      </w:r>
    </w:p>
    <w:p w14:paraId="7658FD9C" w14:textId="77777777" w:rsidR="0012632E"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9935" w:type="dxa"/>
        <w:tblInd w:w="-601" w:type="dxa"/>
        <w:tblLayout w:type="fixed"/>
        <w:tblLook w:val="04A0" w:firstRow="1" w:lastRow="0" w:firstColumn="1" w:lastColumn="0" w:noHBand="0" w:noVBand="1"/>
      </w:tblPr>
      <w:tblGrid>
        <w:gridCol w:w="993"/>
        <w:gridCol w:w="1417"/>
        <w:gridCol w:w="1418"/>
        <w:gridCol w:w="1276"/>
        <w:gridCol w:w="1842"/>
        <w:gridCol w:w="993"/>
        <w:gridCol w:w="992"/>
        <w:gridCol w:w="720"/>
        <w:gridCol w:w="284"/>
      </w:tblGrid>
      <w:tr w:rsidR="0012632E" w14:paraId="49D19F2B"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4F063EDC" w14:textId="77777777" w:rsidR="0012632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3DA65B0F" w14:textId="77777777" w:rsidR="0012632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昌吉市工商业联合会</w:t>
            </w:r>
          </w:p>
        </w:tc>
        <w:tc>
          <w:tcPr>
            <w:tcW w:w="284" w:type="dxa"/>
            <w:tcBorders>
              <w:top w:val="nil"/>
              <w:left w:val="nil"/>
              <w:bottom w:val="nil"/>
              <w:right w:val="nil"/>
            </w:tcBorders>
            <w:noWrap/>
            <w:vAlign w:val="center"/>
          </w:tcPr>
          <w:p w14:paraId="32001FD3" w14:textId="77777777" w:rsidR="0012632E" w:rsidRDefault="0012632E">
            <w:pPr>
              <w:spacing w:after="0" w:line="240" w:lineRule="auto"/>
              <w:rPr>
                <w:rFonts w:ascii="宋体" w:eastAsia="宋体" w:hAnsi="宋体" w:cs="Times New Roman" w:hint="eastAsia"/>
                <w:b/>
                <w:bCs/>
                <w:sz w:val="18"/>
                <w:szCs w:val="18"/>
                <w:lang w:eastAsia="zh-CN"/>
              </w:rPr>
            </w:pPr>
          </w:p>
        </w:tc>
      </w:tr>
      <w:tr w:rsidR="0012632E" w14:paraId="3BA05F32" w14:textId="77777777">
        <w:trPr>
          <w:cantSplit/>
          <w:trHeight w:val="570"/>
        </w:trPr>
        <w:tc>
          <w:tcPr>
            <w:tcW w:w="993" w:type="dxa"/>
            <w:vMerge w:val="restart"/>
            <w:tcBorders>
              <w:top w:val="nil"/>
              <w:left w:val="single" w:sz="4" w:space="0" w:color="auto"/>
              <w:bottom w:val="single" w:sz="4" w:space="0" w:color="auto"/>
              <w:right w:val="single" w:sz="4" w:space="0" w:color="auto"/>
            </w:tcBorders>
            <w:vAlign w:val="center"/>
          </w:tcPr>
          <w:p w14:paraId="09D41356" w14:textId="77777777" w:rsidR="0012632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27F66E22" w14:textId="77777777" w:rsidR="0012632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33EBE86B" w14:textId="77777777" w:rsidR="0012632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年初预算数</w:t>
            </w:r>
          </w:p>
        </w:tc>
        <w:tc>
          <w:tcPr>
            <w:tcW w:w="1276" w:type="dxa"/>
            <w:tcBorders>
              <w:top w:val="nil"/>
              <w:left w:val="nil"/>
              <w:bottom w:val="single" w:sz="4" w:space="0" w:color="auto"/>
              <w:right w:val="single" w:sz="4" w:space="0" w:color="auto"/>
            </w:tcBorders>
            <w:vAlign w:val="center"/>
          </w:tcPr>
          <w:p w14:paraId="7C401115" w14:textId="77777777" w:rsidR="0012632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全年预算数</w:t>
            </w:r>
          </w:p>
        </w:tc>
        <w:tc>
          <w:tcPr>
            <w:tcW w:w="1842" w:type="dxa"/>
            <w:tcBorders>
              <w:top w:val="nil"/>
              <w:left w:val="nil"/>
              <w:bottom w:val="single" w:sz="4" w:space="0" w:color="auto"/>
              <w:right w:val="single" w:sz="4" w:space="0" w:color="auto"/>
            </w:tcBorders>
            <w:vAlign w:val="center"/>
          </w:tcPr>
          <w:p w14:paraId="40DC4605" w14:textId="77777777" w:rsidR="0012632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全年执行数</w:t>
            </w:r>
          </w:p>
        </w:tc>
        <w:tc>
          <w:tcPr>
            <w:tcW w:w="993" w:type="dxa"/>
            <w:tcBorders>
              <w:top w:val="nil"/>
              <w:left w:val="nil"/>
              <w:bottom w:val="single" w:sz="4" w:space="0" w:color="auto"/>
              <w:right w:val="single" w:sz="4" w:space="0" w:color="auto"/>
            </w:tcBorders>
            <w:vAlign w:val="center"/>
          </w:tcPr>
          <w:p w14:paraId="5D76FD2A" w14:textId="77777777" w:rsidR="0012632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分值权重</w:t>
            </w:r>
          </w:p>
        </w:tc>
        <w:tc>
          <w:tcPr>
            <w:tcW w:w="992" w:type="dxa"/>
            <w:tcBorders>
              <w:top w:val="nil"/>
              <w:left w:val="nil"/>
              <w:bottom w:val="single" w:sz="4" w:space="0" w:color="auto"/>
              <w:right w:val="single" w:sz="4" w:space="0" w:color="auto"/>
            </w:tcBorders>
            <w:vAlign w:val="center"/>
          </w:tcPr>
          <w:p w14:paraId="38DB1BCF" w14:textId="77777777" w:rsidR="0012632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48C6AF16" w14:textId="77777777" w:rsidR="0012632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得分</w:t>
            </w:r>
          </w:p>
        </w:tc>
        <w:tc>
          <w:tcPr>
            <w:tcW w:w="284" w:type="dxa"/>
            <w:tcBorders>
              <w:top w:val="nil"/>
              <w:left w:val="nil"/>
              <w:bottom w:val="nil"/>
              <w:right w:val="nil"/>
            </w:tcBorders>
            <w:noWrap/>
            <w:vAlign w:val="center"/>
          </w:tcPr>
          <w:p w14:paraId="0937C57F" w14:textId="77777777" w:rsidR="0012632E" w:rsidRDefault="0012632E">
            <w:pPr>
              <w:spacing w:after="0" w:line="240" w:lineRule="auto"/>
              <w:jc w:val="center"/>
              <w:rPr>
                <w:rFonts w:ascii="宋体" w:eastAsia="宋体" w:hAnsi="宋体" w:cs="Times New Roman" w:hint="eastAsia"/>
                <w:b/>
                <w:bCs/>
                <w:sz w:val="18"/>
                <w:szCs w:val="18"/>
                <w:lang w:eastAsia="zh-CN"/>
              </w:rPr>
            </w:pPr>
          </w:p>
        </w:tc>
      </w:tr>
      <w:tr w:rsidR="0012632E" w14:paraId="74783ABC" w14:textId="77777777">
        <w:trPr>
          <w:cantSplit/>
          <w:trHeight w:val="489"/>
        </w:trPr>
        <w:tc>
          <w:tcPr>
            <w:tcW w:w="993" w:type="dxa"/>
            <w:vMerge/>
            <w:tcBorders>
              <w:top w:val="nil"/>
              <w:left w:val="single" w:sz="4" w:space="0" w:color="auto"/>
              <w:bottom w:val="single" w:sz="4" w:space="0" w:color="auto"/>
              <w:right w:val="single" w:sz="4" w:space="0" w:color="auto"/>
            </w:tcBorders>
            <w:vAlign w:val="center"/>
          </w:tcPr>
          <w:p w14:paraId="1270D4A3" w14:textId="77777777" w:rsidR="0012632E" w:rsidRDefault="0012632E">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0D9A3208" w14:textId="77777777" w:rsidR="0012632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6F7E14F3"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0.00</w:t>
            </w:r>
          </w:p>
        </w:tc>
        <w:tc>
          <w:tcPr>
            <w:tcW w:w="1276" w:type="dxa"/>
            <w:tcBorders>
              <w:top w:val="nil"/>
              <w:left w:val="nil"/>
              <w:bottom w:val="single" w:sz="4" w:space="0" w:color="auto"/>
              <w:right w:val="single" w:sz="4" w:space="0" w:color="auto"/>
            </w:tcBorders>
            <w:vAlign w:val="center"/>
          </w:tcPr>
          <w:p w14:paraId="52F6A962"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0.00</w:t>
            </w:r>
          </w:p>
        </w:tc>
        <w:tc>
          <w:tcPr>
            <w:tcW w:w="1842" w:type="dxa"/>
            <w:tcBorders>
              <w:top w:val="nil"/>
              <w:left w:val="nil"/>
              <w:bottom w:val="single" w:sz="4" w:space="0" w:color="auto"/>
              <w:right w:val="single" w:sz="4" w:space="0" w:color="auto"/>
            </w:tcBorders>
            <w:vAlign w:val="center"/>
          </w:tcPr>
          <w:p w14:paraId="5BCCFF39"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0.00</w:t>
            </w:r>
          </w:p>
        </w:tc>
        <w:tc>
          <w:tcPr>
            <w:tcW w:w="993" w:type="dxa"/>
            <w:tcBorders>
              <w:top w:val="nil"/>
              <w:left w:val="nil"/>
              <w:bottom w:val="single" w:sz="4" w:space="0" w:color="auto"/>
              <w:right w:val="single" w:sz="4" w:space="0" w:color="auto"/>
            </w:tcBorders>
            <w:vAlign w:val="center"/>
          </w:tcPr>
          <w:p w14:paraId="626819C0"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992" w:type="dxa"/>
            <w:tcBorders>
              <w:top w:val="nil"/>
              <w:left w:val="nil"/>
              <w:bottom w:val="single" w:sz="4" w:space="0" w:color="auto"/>
              <w:right w:val="single" w:sz="4" w:space="0" w:color="auto"/>
            </w:tcBorders>
            <w:vAlign w:val="center"/>
          </w:tcPr>
          <w:p w14:paraId="4EB0D81B"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100%</w:t>
            </w:r>
          </w:p>
        </w:tc>
        <w:tc>
          <w:tcPr>
            <w:tcW w:w="720" w:type="dxa"/>
            <w:tcBorders>
              <w:top w:val="nil"/>
              <w:left w:val="nil"/>
              <w:bottom w:val="single" w:sz="4" w:space="0" w:color="auto"/>
              <w:right w:val="single" w:sz="4" w:space="0" w:color="auto"/>
            </w:tcBorders>
            <w:vAlign w:val="center"/>
          </w:tcPr>
          <w:p w14:paraId="715F5939"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284" w:type="dxa"/>
            <w:tcBorders>
              <w:top w:val="nil"/>
              <w:left w:val="nil"/>
              <w:bottom w:val="nil"/>
              <w:right w:val="nil"/>
            </w:tcBorders>
            <w:noWrap/>
            <w:vAlign w:val="center"/>
          </w:tcPr>
          <w:p w14:paraId="71EEE29B" w14:textId="77777777" w:rsidR="0012632E" w:rsidRDefault="0012632E">
            <w:pPr>
              <w:spacing w:after="0" w:line="240" w:lineRule="auto"/>
              <w:jc w:val="center"/>
              <w:rPr>
                <w:rFonts w:ascii="宋体" w:eastAsia="宋体" w:hAnsi="宋体" w:cs="Times New Roman" w:hint="eastAsia"/>
                <w:b/>
                <w:bCs/>
                <w:sz w:val="18"/>
                <w:szCs w:val="18"/>
                <w:lang w:eastAsia="zh-CN"/>
              </w:rPr>
            </w:pPr>
          </w:p>
        </w:tc>
      </w:tr>
      <w:tr w:rsidR="0012632E" w14:paraId="3C3765BA" w14:textId="77777777">
        <w:trPr>
          <w:cantSplit/>
          <w:trHeight w:val="425"/>
        </w:trPr>
        <w:tc>
          <w:tcPr>
            <w:tcW w:w="993" w:type="dxa"/>
            <w:vMerge/>
            <w:tcBorders>
              <w:top w:val="nil"/>
              <w:left w:val="single" w:sz="4" w:space="0" w:color="auto"/>
              <w:bottom w:val="single" w:sz="4" w:space="0" w:color="auto"/>
              <w:right w:val="single" w:sz="4" w:space="0" w:color="auto"/>
            </w:tcBorders>
            <w:vAlign w:val="center"/>
          </w:tcPr>
          <w:p w14:paraId="437223D3" w14:textId="77777777" w:rsidR="0012632E" w:rsidRDefault="0012632E">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0CD5344A" w14:textId="77777777" w:rsidR="0012632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6A43BE2B"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152.49</w:t>
            </w:r>
          </w:p>
        </w:tc>
        <w:tc>
          <w:tcPr>
            <w:tcW w:w="1276" w:type="dxa"/>
            <w:tcBorders>
              <w:top w:val="nil"/>
              <w:left w:val="nil"/>
              <w:bottom w:val="single" w:sz="4" w:space="0" w:color="auto"/>
              <w:right w:val="single" w:sz="4" w:space="0" w:color="auto"/>
            </w:tcBorders>
            <w:vAlign w:val="center"/>
          </w:tcPr>
          <w:p w14:paraId="43E355CE"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161.49</w:t>
            </w:r>
          </w:p>
        </w:tc>
        <w:tc>
          <w:tcPr>
            <w:tcW w:w="1842" w:type="dxa"/>
            <w:tcBorders>
              <w:top w:val="nil"/>
              <w:left w:val="nil"/>
              <w:bottom w:val="single" w:sz="4" w:space="0" w:color="auto"/>
              <w:right w:val="single" w:sz="4" w:space="0" w:color="auto"/>
            </w:tcBorders>
            <w:vAlign w:val="center"/>
          </w:tcPr>
          <w:p w14:paraId="035FA60B"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161.49</w:t>
            </w:r>
          </w:p>
        </w:tc>
        <w:tc>
          <w:tcPr>
            <w:tcW w:w="993" w:type="dxa"/>
            <w:tcBorders>
              <w:top w:val="nil"/>
              <w:left w:val="nil"/>
              <w:bottom w:val="single" w:sz="4" w:space="0" w:color="auto"/>
              <w:right w:val="single" w:sz="4" w:space="0" w:color="auto"/>
            </w:tcBorders>
            <w:vAlign w:val="center"/>
          </w:tcPr>
          <w:p w14:paraId="07719E2F"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992" w:type="dxa"/>
            <w:tcBorders>
              <w:top w:val="nil"/>
              <w:left w:val="nil"/>
              <w:bottom w:val="single" w:sz="4" w:space="0" w:color="auto"/>
              <w:right w:val="single" w:sz="4" w:space="0" w:color="auto"/>
            </w:tcBorders>
            <w:vAlign w:val="center"/>
          </w:tcPr>
          <w:p w14:paraId="2CCE2EAB"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720" w:type="dxa"/>
            <w:tcBorders>
              <w:top w:val="nil"/>
              <w:left w:val="nil"/>
              <w:bottom w:val="single" w:sz="4" w:space="0" w:color="auto"/>
              <w:right w:val="single" w:sz="4" w:space="0" w:color="auto"/>
            </w:tcBorders>
            <w:vAlign w:val="center"/>
          </w:tcPr>
          <w:p w14:paraId="7CE1156F"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284" w:type="dxa"/>
            <w:tcBorders>
              <w:top w:val="nil"/>
              <w:left w:val="nil"/>
              <w:bottom w:val="nil"/>
              <w:right w:val="nil"/>
            </w:tcBorders>
            <w:noWrap/>
            <w:vAlign w:val="center"/>
          </w:tcPr>
          <w:p w14:paraId="62002FD2" w14:textId="77777777" w:rsidR="0012632E" w:rsidRDefault="0012632E">
            <w:pPr>
              <w:spacing w:after="0" w:line="240" w:lineRule="auto"/>
              <w:jc w:val="center"/>
              <w:rPr>
                <w:rFonts w:ascii="宋体" w:eastAsia="宋体" w:hAnsi="宋体" w:cs="Times New Roman" w:hint="eastAsia"/>
                <w:sz w:val="18"/>
                <w:szCs w:val="18"/>
                <w:lang w:eastAsia="zh-CN"/>
              </w:rPr>
            </w:pPr>
          </w:p>
        </w:tc>
      </w:tr>
      <w:tr w:rsidR="0012632E" w14:paraId="008CE093" w14:textId="77777777">
        <w:trPr>
          <w:cantSplit/>
          <w:trHeight w:val="416"/>
        </w:trPr>
        <w:tc>
          <w:tcPr>
            <w:tcW w:w="993" w:type="dxa"/>
            <w:vMerge/>
            <w:tcBorders>
              <w:top w:val="nil"/>
              <w:left w:val="single" w:sz="4" w:space="0" w:color="auto"/>
              <w:bottom w:val="single" w:sz="4" w:space="0" w:color="auto"/>
              <w:right w:val="single" w:sz="4" w:space="0" w:color="auto"/>
            </w:tcBorders>
            <w:vAlign w:val="center"/>
          </w:tcPr>
          <w:p w14:paraId="344673A0" w14:textId="77777777" w:rsidR="0012632E" w:rsidRDefault="0012632E">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0DCE9FEA" w14:textId="77777777" w:rsidR="0012632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4AD97EDE"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0.00</w:t>
            </w:r>
          </w:p>
        </w:tc>
        <w:tc>
          <w:tcPr>
            <w:tcW w:w="1276" w:type="dxa"/>
            <w:tcBorders>
              <w:top w:val="nil"/>
              <w:left w:val="nil"/>
              <w:bottom w:val="single" w:sz="4" w:space="0" w:color="auto"/>
              <w:right w:val="single" w:sz="4" w:space="0" w:color="auto"/>
            </w:tcBorders>
            <w:vAlign w:val="center"/>
          </w:tcPr>
          <w:p w14:paraId="14E4E098"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0.00</w:t>
            </w:r>
          </w:p>
        </w:tc>
        <w:tc>
          <w:tcPr>
            <w:tcW w:w="1842" w:type="dxa"/>
            <w:tcBorders>
              <w:top w:val="nil"/>
              <w:left w:val="nil"/>
              <w:bottom w:val="single" w:sz="4" w:space="0" w:color="auto"/>
              <w:right w:val="single" w:sz="4" w:space="0" w:color="auto"/>
            </w:tcBorders>
            <w:vAlign w:val="center"/>
          </w:tcPr>
          <w:p w14:paraId="2B88E7CF"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0.00</w:t>
            </w:r>
          </w:p>
        </w:tc>
        <w:tc>
          <w:tcPr>
            <w:tcW w:w="993" w:type="dxa"/>
            <w:tcBorders>
              <w:top w:val="nil"/>
              <w:left w:val="nil"/>
              <w:bottom w:val="single" w:sz="4" w:space="0" w:color="auto"/>
              <w:right w:val="single" w:sz="4" w:space="0" w:color="auto"/>
            </w:tcBorders>
            <w:vAlign w:val="center"/>
          </w:tcPr>
          <w:p w14:paraId="3E31B9B4"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992" w:type="dxa"/>
            <w:tcBorders>
              <w:top w:val="nil"/>
              <w:left w:val="nil"/>
              <w:bottom w:val="single" w:sz="4" w:space="0" w:color="auto"/>
              <w:right w:val="single" w:sz="4" w:space="0" w:color="auto"/>
            </w:tcBorders>
            <w:vAlign w:val="center"/>
          </w:tcPr>
          <w:p w14:paraId="14AE0F80"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720" w:type="dxa"/>
            <w:tcBorders>
              <w:top w:val="nil"/>
              <w:left w:val="nil"/>
              <w:bottom w:val="single" w:sz="4" w:space="0" w:color="auto"/>
              <w:right w:val="single" w:sz="4" w:space="0" w:color="auto"/>
            </w:tcBorders>
            <w:vAlign w:val="center"/>
          </w:tcPr>
          <w:p w14:paraId="7495648F"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284" w:type="dxa"/>
            <w:tcBorders>
              <w:top w:val="nil"/>
              <w:left w:val="nil"/>
              <w:bottom w:val="nil"/>
              <w:right w:val="nil"/>
            </w:tcBorders>
            <w:noWrap/>
            <w:vAlign w:val="center"/>
          </w:tcPr>
          <w:p w14:paraId="223FB198" w14:textId="77777777" w:rsidR="0012632E" w:rsidRDefault="0012632E">
            <w:pPr>
              <w:spacing w:after="0" w:line="240" w:lineRule="auto"/>
              <w:jc w:val="center"/>
              <w:rPr>
                <w:rFonts w:ascii="宋体" w:eastAsia="宋体" w:hAnsi="宋体" w:cs="Times New Roman" w:hint="eastAsia"/>
                <w:sz w:val="18"/>
                <w:szCs w:val="18"/>
                <w:lang w:eastAsia="zh-CN"/>
              </w:rPr>
            </w:pPr>
          </w:p>
        </w:tc>
      </w:tr>
      <w:tr w:rsidR="0012632E" w14:paraId="412D9BFD" w14:textId="77777777">
        <w:trPr>
          <w:cantSplit/>
          <w:trHeight w:val="415"/>
        </w:trPr>
        <w:tc>
          <w:tcPr>
            <w:tcW w:w="993" w:type="dxa"/>
            <w:vMerge/>
            <w:tcBorders>
              <w:top w:val="nil"/>
              <w:left w:val="single" w:sz="4" w:space="0" w:color="auto"/>
              <w:bottom w:val="single" w:sz="4" w:space="0" w:color="auto"/>
              <w:right w:val="single" w:sz="4" w:space="0" w:color="auto"/>
            </w:tcBorders>
            <w:vAlign w:val="center"/>
          </w:tcPr>
          <w:p w14:paraId="37901E67" w14:textId="77777777" w:rsidR="0012632E" w:rsidRDefault="0012632E">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2EEB1556" w14:textId="77777777" w:rsidR="0012632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0B9E40DD"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152.49</w:t>
            </w:r>
          </w:p>
        </w:tc>
        <w:tc>
          <w:tcPr>
            <w:tcW w:w="1276" w:type="dxa"/>
            <w:tcBorders>
              <w:top w:val="nil"/>
              <w:left w:val="nil"/>
              <w:bottom w:val="single" w:sz="4" w:space="0" w:color="auto"/>
              <w:right w:val="single" w:sz="4" w:space="0" w:color="auto"/>
            </w:tcBorders>
            <w:vAlign w:val="center"/>
          </w:tcPr>
          <w:p w14:paraId="512B0FBD"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161.49</w:t>
            </w:r>
          </w:p>
        </w:tc>
        <w:tc>
          <w:tcPr>
            <w:tcW w:w="1842" w:type="dxa"/>
            <w:tcBorders>
              <w:top w:val="nil"/>
              <w:left w:val="nil"/>
              <w:bottom w:val="single" w:sz="4" w:space="0" w:color="auto"/>
              <w:right w:val="single" w:sz="4" w:space="0" w:color="auto"/>
            </w:tcBorders>
            <w:vAlign w:val="center"/>
          </w:tcPr>
          <w:p w14:paraId="7C079B00"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161.49</w:t>
            </w:r>
          </w:p>
        </w:tc>
        <w:tc>
          <w:tcPr>
            <w:tcW w:w="993" w:type="dxa"/>
            <w:tcBorders>
              <w:top w:val="nil"/>
              <w:left w:val="nil"/>
              <w:bottom w:val="single" w:sz="4" w:space="0" w:color="auto"/>
              <w:right w:val="single" w:sz="4" w:space="0" w:color="auto"/>
            </w:tcBorders>
            <w:vAlign w:val="center"/>
          </w:tcPr>
          <w:p w14:paraId="4AD24AEE"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w:t>
            </w:r>
          </w:p>
        </w:tc>
        <w:tc>
          <w:tcPr>
            <w:tcW w:w="992" w:type="dxa"/>
            <w:tcBorders>
              <w:top w:val="nil"/>
              <w:left w:val="nil"/>
              <w:bottom w:val="single" w:sz="4" w:space="0" w:color="auto"/>
              <w:right w:val="single" w:sz="4" w:space="0" w:color="auto"/>
            </w:tcBorders>
            <w:vAlign w:val="center"/>
          </w:tcPr>
          <w:p w14:paraId="00917717"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67924CAC"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w:t>
            </w:r>
          </w:p>
        </w:tc>
        <w:tc>
          <w:tcPr>
            <w:tcW w:w="284" w:type="dxa"/>
            <w:tcBorders>
              <w:top w:val="nil"/>
              <w:left w:val="nil"/>
              <w:bottom w:val="nil"/>
              <w:right w:val="nil"/>
            </w:tcBorders>
            <w:noWrap/>
            <w:vAlign w:val="center"/>
          </w:tcPr>
          <w:p w14:paraId="72945FD6" w14:textId="77777777" w:rsidR="0012632E" w:rsidRDefault="0012632E">
            <w:pPr>
              <w:spacing w:after="0" w:line="240" w:lineRule="auto"/>
              <w:jc w:val="center"/>
              <w:rPr>
                <w:rFonts w:ascii="宋体" w:eastAsia="宋体" w:hAnsi="宋体" w:cs="Times New Roman" w:hint="eastAsia"/>
                <w:sz w:val="18"/>
                <w:szCs w:val="18"/>
                <w:lang w:eastAsia="zh-CN"/>
              </w:rPr>
            </w:pPr>
          </w:p>
        </w:tc>
      </w:tr>
      <w:tr w:rsidR="0012632E" w14:paraId="789A10B1" w14:textId="77777777">
        <w:trPr>
          <w:cantSplit/>
          <w:trHeight w:val="341"/>
        </w:trPr>
        <w:tc>
          <w:tcPr>
            <w:tcW w:w="993" w:type="dxa"/>
            <w:vMerge w:val="restart"/>
            <w:tcBorders>
              <w:top w:val="nil"/>
              <w:left w:val="single" w:sz="4" w:space="0" w:color="auto"/>
              <w:bottom w:val="single" w:sz="4" w:space="0" w:color="auto"/>
              <w:right w:val="single" w:sz="4" w:space="0" w:color="auto"/>
            </w:tcBorders>
            <w:vAlign w:val="center"/>
          </w:tcPr>
          <w:p w14:paraId="0DC60D82" w14:textId="77777777" w:rsidR="0012632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年度总体目标</w:t>
            </w:r>
          </w:p>
        </w:tc>
        <w:tc>
          <w:tcPr>
            <w:tcW w:w="4111" w:type="dxa"/>
            <w:gridSpan w:val="3"/>
            <w:tcBorders>
              <w:top w:val="single" w:sz="4" w:space="0" w:color="auto"/>
              <w:left w:val="nil"/>
              <w:bottom w:val="single" w:sz="4" w:space="0" w:color="auto"/>
              <w:right w:val="single" w:sz="4" w:space="0" w:color="auto"/>
            </w:tcBorders>
            <w:noWrap/>
            <w:vAlign w:val="center"/>
          </w:tcPr>
          <w:p w14:paraId="0200EA7B" w14:textId="77777777" w:rsidR="0012632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预期目标</w:t>
            </w:r>
          </w:p>
        </w:tc>
        <w:tc>
          <w:tcPr>
            <w:tcW w:w="4547" w:type="dxa"/>
            <w:gridSpan w:val="4"/>
            <w:tcBorders>
              <w:top w:val="single" w:sz="4" w:space="0" w:color="auto"/>
              <w:left w:val="nil"/>
              <w:bottom w:val="single" w:sz="4" w:space="0" w:color="auto"/>
              <w:right w:val="single" w:sz="4" w:space="0" w:color="auto"/>
            </w:tcBorders>
            <w:noWrap/>
            <w:vAlign w:val="center"/>
          </w:tcPr>
          <w:p w14:paraId="78301146" w14:textId="77777777" w:rsidR="0012632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实际完成情况</w:t>
            </w:r>
          </w:p>
        </w:tc>
        <w:tc>
          <w:tcPr>
            <w:tcW w:w="284" w:type="dxa"/>
            <w:tcBorders>
              <w:top w:val="nil"/>
              <w:left w:val="nil"/>
              <w:bottom w:val="nil"/>
              <w:right w:val="nil"/>
            </w:tcBorders>
            <w:noWrap/>
            <w:vAlign w:val="center"/>
          </w:tcPr>
          <w:p w14:paraId="6713AB28" w14:textId="77777777" w:rsidR="0012632E" w:rsidRDefault="0012632E">
            <w:pPr>
              <w:spacing w:after="0" w:line="240" w:lineRule="auto"/>
              <w:rPr>
                <w:rFonts w:ascii="宋体" w:eastAsia="宋体" w:hAnsi="宋体" w:cs="Times New Roman" w:hint="eastAsia"/>
                <w:b/>
                <w:bCs/>
                <w:sz w:val="18"/>
                <w:szCs w:val="18"/>
                <w:lang w:eastAsia="zh-CN"/>
              </w:rPr>
            </w:pPr>
          </w:p>
        </w:tc>
      </w:tr>
      <w:tr w:rsidR="0012632E" w14:paraId="6E261254" w14:textId="77777777">
        <w:trPr>
          <w:cantSplit/>
          <w:trHeight w:val="705"/>
        </w:trPr>
        <w:tc>
          <w:tcPr>
            <w:tcW w:w="993" w:type="dxa"/>
            <w:vMerge/>
            <w:tcBorders>
              <w:top w:val="nil"/>
              <w:left w:val="single" w:sz="4" w:space="0" w:color="auto"/>
              <w:bottom w:val="single" w:sz="4" w:space="0" w:color="auto"/>
              <w:right w:val="single" w:sz="4" w:space="0" w:color="auto"/>
            </w:tcBorders>
            <w:vAlign w:val="center"/>
          </w:tcPr>
          <w:p w14:paraId="497F5D79" w14:textId="77777777" w:rsidR="0012632E" w:rsidRDefault="0012632E">
            <w:pPr>
              <w:spacing w:after="0" w:line="240" w:lineRule="auto"/>
              <w:rPr>
                <w:rFonts w:ascii="宋体" w:eastAsia="宋体" w:hAnsi="宋体" w:cs="Times New Roman" w:hint="eastAsia"/>
                <w:b/>
                <w:bCs/>
                <w:sz w:val="18"/>
                <w:szCs w:val="18"/>
                <w:lang w:eastAsia="zh-CN"/>
              </w:rPr>
            </w:pPr>
          </w:p>
        </w:tc>
        <w:tc>
          <w:tcPr>
            <w:tcW w:w="4111" w:type="dxa"/>
            <w:gridSpan w:val="3"/>
            <w:tcBorders>
              <w:top w:val="single" w:sz="4" w:space="0" w:color="auto"/>
              <w:left w:val="nil"/>
              <w:bottom w:val="single" w:sz="4" w:space="0" w:color="auto"/>
              <w:right w:val="single" w:sz="4" w:space="0" w:color="auto"/>
            </w:tcBorders>
          </w:tcPr>
          <w:p w14:paraId="3631B882" w14:textId="77777777" w:rsidR="0012632E"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目标1：根据工作计划，2024年发展企业会员数量5家，走访调研企业30家，形成调研报告1篇，召开主席会议1次，建立友好商会2家；目标2：开展非公有制</w:t>
            </w:r>
            <w:proofErr w:type="gramStart"/>
            <w:r>
              <w:rPr>
                <w:rFonts w:ascii="宋体" w:eastAsia="宋体" w:hAnsi="宋体" w:cs="Times New Roman" w:hint="eastAsia"/>
                <w:sz w:val="18"/>
                <w:szCs w:val="18"/>
                <w:lang w:eastAsia="zh-CN"/>
              </w:rPr>
              <w:t>经济人</w:t>
            </w:r>
            <w:proofErr w:type="gramEnd"/>
            <w:r>
              <w:rPr>
                <w:rFonts w:ascii="宋体" w:eastAsia="宋体" w:hAnsi="宋体" w:cs="Times New Roman" w:hint="eastAsia"/>
                <w:sz w:val="18"/>
                <w:szCs w:val="18"/>
                <w:lang w:eastAsia="zh-CN"/>
              </w:rPr>
              <w:t>士思想政治工作，深化理想信念教育实践活动；目标3：在非公有制企业和非公有制</w:t>
            </w:r>
            <w:proofErr w:type="gramStart"/>
            <w:r>
              <w:rPr>
                <w:rFonts w:ascii="宋体" w:eastAsia="宋体" w:hAnsi="宋体" w:cs="Times New Roman" w:hint="eastAsia"/>
                <w:sz w:val="18"/>
                <w:szCs w:val="18"/>
                <w:lang w:eastAsia="zh-CN"/>
              </w:rPr>
              <w:t>经济人</w:t>
            </w:r>
            <w:proofErr w:type="gramEnd"/>
            <w:r>
              <w:rPr>
                <w:rFonts w:ascii="宋体" w:eastAsia="宋体" w:hAnsi="宋体" w:cs="Times New Roman" w:hint="eastAsia"/>
                <w:sz w:val="18"/>
                <w:szCs w:val="18"/>
                <w:lang w:eastAsia="zh-CN"/>
              </w:rPr>
              <w:t>士中宣传贯彻党的理论和路线方针政策，及时向政府反映非公有制经济发展动态和非公有制</w:t>
            </w:r>
            <w:proofErr w:type="gramStart"/>
            <w:r>
              <w:rPr>
                <w:rFonts w:ascii="宋体" w:eastAsia="宋体" w:hAnsi="宋体" w:cs="Times New Roman" w:hint="eastAsia"/>
                <w:sz w:val="18"/>
                <w:szCs w:val="18"/>
                <w:lang w:eastAsia="zh-CN"/>
              </w:rPr>
              <w:t>经济人</w:t>
            </w:r>
            <w:proofErr w:type="gramEnd"/>
            <w:r>
              <w:rPr>
                <w:rFonts w:ascii="宋体" w:eastAsia="宋体" w:hAnsi="宋体" w:cs="Times New Roman" w:hint="eastAsia"/>
                <w:sz w:val="18"/>
                <w:szCs w:val="18"/>
                <w:lang w:eastAsia="zh-CN"/>
              </w:rPr>
              <w:t>士利益诉求，为非公有制经济健康发展营造良好环境；目标4：充分发挥在政治协商、参政议政、民主监督中的任用；目标5：引导非公有制</w:t>
            </w:r>
            <w:proofErr w:type="gramStart"/>
            <w:r>
              <w:rPr>
                <w:rFonts w:ascii="宋体" w:eastAsia="宋体" w:hAnsi="宋体" w:cs="Times New Roman" w:hint="eastAsia"/>
                <w:sz w:val="18"/>
                <w:szCs w:val="18"/>
                <w:lang w:eastAsia="zh-CN"/>
              </w:rPr>
              <w:t>经济人</w:t>
            </w:r>
            <w:proofErr w:type="gramEnd"/>
            <w:r>
              <w:rPr>
                <w:rFonts w:ascii="宋体" w:eastAsia="宋体" w:hAnsi="宋体" w:cs="Times New Roman" w:hint="eastAsia"/>
                <w:sz w:val="18"/>
                <w:szCs w:val="18"/>
                <w:lang w:eastAsia="zh-CN"/>
              </w:rPr>
              <w:t>士投身光彩事业和公益慈善事业；目标6：为非公有制企业提供信息、法律、融资、技术、人才等方面服务。</w:t>
            </w:r>
          </w:p>
        </w:tc>
        <w:tc>
          <w:tcPr>
            <w:tcW w:w="4547" w:type="dxa"/>
            <w:gridSpan w:val="4"/>
            <w:tcBorders>
              <w:top w:val="single" w:sz="4" w:space="0" w:color="auto"/>
              <w:left w:val="nil"/>
              <w:bottom w:val="single" w:sz="4" w:space="0" w:color="auto"/>
              <w:right w:val="single" w:sz="4" w:space="0" w:color="auto"/>
            </w:tcBorders>
          </w:tcPr>
          <w:p w14:paraId="2C802CFE" w14:textId="77777777" w:rsidR="0012632E"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2024年我单位全年预算数为161.49万元，全年执行数为161.49万元，总预算执行率为100%。2024年我单位完成以下工作内容：1.完成发展企业会员12家；2.完成走访调研企业44家；3.完成调研报告1篇；4.召开主题会议2次；5.建立友好商会2家。通过以上工作的实施，充分发挥在政治协商、参政议政、民主监督中的任用，为非公有制经济健康发展营造良好的环境。</w:t>
            </w:r>
          </w:p>
        </w:tc>
        <w:tc>
          <w:tcPr>
            <w:tcW w:w="284" w:type="dxa"/>
            <w:tcBorders>
              <w:top w:val="nil"/>
              <w:left w:val="nil"/>
              <w:bottom w:val="nil"/>
              <w:right w:val="nil"/>
            </w:tcBorders>
            <w:noWrap/>
            <w:vAlign w:val="center"/>
          </w:tcPr>
          <w:p w14:paraId="4C4AD6FA" w14:textId="77777777" w:rsidR="0012632E" w:rsidRDefault="0012632E">
            <w:pPr>
              <w:spacing w:after="0" w:line="240" w:lineRule="auto"/>
              <w:rPr>
                <w:rFonts w:ascii="宋体" w:eastAsia="宋体" w:hAnsi="宋体" w:cs="Times New Roman" w:hint="eastAsia"/>
                <w:sz w:val="18"/>
                <w:szCs w:val="18"/>
                <w:lang w:eastAsia="zh-CN"/>
              </w:rPr>
            </w:pPr>
          </w:p>
        </w:tc>
      </w:tr>
      <w:tr w:rsidR="0012632E" w14:paraId="46B2A840"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459A14BB" w14:textId="77777777" w:rsidR="0012632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一级指标</w:t>
            </w:r>
          </w:p>
        </w:tc>
        <w:tc>
          <w:tcPr>
            <w:tcW w:w="1417" w:type="dxa"/>
            <w:tcBorders>
              <w:top w:val="nil"/>
              <w:left w:val="nil"/>
              <w:bottom w:val="single" w:sz="4" w:space="0" w:color="auto"/>
              <w:right w:val="single" w:sz="4" w:space="0" w:color="auto"/>
            </w:tcBorders>
            <w:vAlign w:val="center"/>
          </w:tcPr>
          <w:p w14:paraId="431A1948" w14:textId="77777777" w:rsidR="0012632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5B48C6B5" w14:textId="77777777" w:rsidR="0012632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三级指标</w:t>
            </w:r>
          </w:p>
        </w:tc>
        <w:tc>
          <w:tcPr>
            <w:tcW w:w="1276" w:type="dxa"/>
            <w:tcBorders>
              <w:top w:val="nil"/>
              <w:left w:val="nil"/>
              <w:bottom w:val="single" w:sz="4" w:space="0" w:color="auto"/>
              <w:right w:val="single" w:sz="4" w:space="0" w:color="auto"/>
            </w:tcBorders>
            <w:vAlign w:val="center"/>
          </w:tcPr>
          <w:p w14:paraId="11FBE8A5" w14:textId="77777777" w:rsidR="0012632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预期指标值</w:t>
            </w:r>
          </w:p>
        </w:tc>
        <w:tc>
          <w:tcPr>
            <w:tcW w:w="1842" w:type="dxa"/>
            <w:tcBorders>
              <w:top w:val="nil"/>
              <w:left w:val="nil"/>
              <w:bottom w:val="single" w:sz="4" w:space="0" w:color="auto"/>
              <w:right w:val="single" w:sz="4" w:space="0" w:color="auto"/>
            </w:tcBorders>
            <w:vAlign w:val="center"/>
          </w:tcPr>
          <w:p w14:paraId="0818C215" w14:textId="77777777" w:rsidR="0012632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指标值设定依据</w:t>
            </w:r>
          </w:p>
        </w:tc>
        <w:tc>
          <w:tcPr>
            <w:tcW w:w="993" w:type="dxa"/>
            <w:tcBorders>
              <w:top w:val="nil"/>
              <w:left w:val="nil"/>
              <w:bottom w:val="single" w:sz="4" w:space="0" w:color="auto"/>
              <w:right w:val="single" w:sz="4" w:space="0" w:color="auto"/>
            </w:tcBorders>
            <w:vAlign w:val="center"/>
          </w:tcPr>
          <w:p w14:paraId="38DA65B0" w14:textId="77777777" w:rsidR="0012632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分值权重</w:t>
            </w:r>
          </w:p>
        </w:tc>
        <w:tc>
          <w:tcPr>
            <w:tcW w:w="992" w:type="dxa"/>
            <w:tcBorders>
              <w:top w:val="nil"/>
              <w:left w:val="nil"/>
              <w:bottom w:val="single" w:sz="4" w:space="0" w:color="auto"/>
              <w:right w:val="single" w:sz="4" w:space="0" w:color="auto"/>
            </w:tcBorders>
            <w:vAlign w:val="center"/>
          </w:tcPr>
          <w:p w14:paraId="2D7BE469" w14:textId="77777777" w:rsidR="0012632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04F650F6" w14:textId="77777777" w:rsidR="0012632E"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得分</w:t>
            </w:r>
          </w:p>
        </w:tc>
        <w:tc>
          <w:tcPr>
            <w:tcW w:w="284" w:type="dxa"/>
            <w:tcBorders>
              <w:top w:val="nil"/>
              <w:left w:val="nil"/>
              <w:bottom w:val="nil"/>
              <w:right w:val="nil"/>
            </w:tcBorders>
            <w:noWrap/>
            <w:vAlign w:val="center"/>
          </w:tcPr>
          <w:p w14:paraId="788CA569" w14:textId="77777777" w:rsidR="0012632E" w:rsidRDefault="0012632E">
            <w:pPr>
              <w:spacing w:after="0" w:line="240" w:lineRule="auto"/>
              <w:rPr>
                <w:rFonts w:ascii="宋体" w:eastAsia="宋体" w:hAnsi="宋体" w:cs="Times New Roman" w:hint="eastAsia"/>
                <w:b/>
                <w:bCs/>
                <w:sz w:val="18"/>
                <w:szCs w:val="18"/>
                <w:lang w:eastAsia="zh-CN"/>
              </w:rPr>
            </w:pPr>
          </w:p>
        </w:tc>
      </w:tr>
      <w:tr w:rsidR="0012632E" w14:paraId="3C880766" w14:textId="77777777">
        <w:trPr>
          <w:cantSplit/>
          <w:trHeight w:val="740"/>
        </w:trPr>
        <w:tc>
          <w:tcPr>
            <w:tcW w:w="993" w:type="dxa"/>
            <w:vMerge w:val="restart"/>
            <w:tcBorders>
              <w:top w:val="single" w:sz="4" w:space="0" w:color="auto"/>
              <w:left w:val="single" w:sz="4" w:space="0" w:color="auto"/>
              <w:bottom w:val="nil"/>
              <w:right w:val="single" w:sz="4" w:space="0" w:color="auto"/>
            </w:tcBorders>
            <w:noWrap/>
            <w:vAlign w:val="center"/>
          </w:tcPr>
          <w:p w14:paraId="4EED89DF"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履职效能</w:t>
            </w:r>
          </w:p>
        </w:tc>
        <w:tc>
          <w:tcPr>
            <w:tcW w:w="1417" w:type="dxa"/>
            <w:vMerge w:val="restart"/>
            <w:tcBorders>
              <w:top w:val="single" w:sz="4" w:space="0" w:color="auto"/>
              <w:left w:val="nil"/>
              <w:bottom w:val="nil"/>
              <w:right w:val="single" w:sz="4" w:space="0" w:color="auto"/>
            </w:tcBorders>
            <w:noWrap/>
            <w:vAlign w:val="center"/>
          </w:tcPr>
          <w:p w14:paraId="09CF1C10"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数量指标</w:t>
            </w:r>
          </w:p>
        </w:tc>
        <w:tc>
          <w:tcPr>
            <w:tcW w:w="1418" w:type="dxa"/>
            <w:tcBorders>
              <w:top w:val="single" w:sz="4" w:space="0" w:color="auto"/>
              <w:left w:val="nil"/>
              <w:bottom w:val="single" w:sz="4" w:space="0" w:color="auto"/>
              <w:right w:val="single" w:sz="4" w:space="0" w:color="auto"/>
            </w:tcBorders>
            <w:noWrap/>
            <w:vAlign w:val="center"/>
          </w:tcPr>
          <w:p w14:paraId="69744270"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发展企业会员数量</w:t>
            </w:r>
          </w:p>
        </w:tc>
        <w:tc>
          <w:tcPr>
            <w:tcW w:w="1276" w:type="dxa"/>
            <w:tcBorders>
              <w:top w:val="nil"/>
              <w:left w:val="nil"/>
              <w:bottom w:val="single" w:sz="4" w:space="0" w:color="auto"/>
              <w:right w:val="single" w:sz="4" w:space="0" w:color="auto"/>
            </w:tcBorders>
            <w:noWrap/>
            <w:vAlign w:val="center"/>
          </w:tcPr>
          <w:p w14:paraId="2C25BE78"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=5家</w:t>
            </w:r>
          </w:p>
        </w:tc>
        <w:tc>
          <w:tcPr>
            <w:tcW w:w="1842" w:type="dxa"/>
            <w:tcBorders>
              <w:top w:val="nil"/>
              <w:left w:val="nil"/>
              <w:bottom w:val="single" w:sz="4" w:space="0" w:color="auto"/>
              <w:right w:val="single" w:sz="4" w:space="0" w:color="auto"/>
            </w:tcBorders>
            <w:noWrap/>
            <w:vAlign w:val="center"/>
          </w:tcPr>
          <w:p w14:paraId="3F08DE21" w14:textId="77777777" w:rsidR="0012632E"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2023年工作总结及2024年工作计划情况说明</w:t>
            </w:r>
          </w:p>
        </w:tc>
        <w:tc>
          <w:tcPr>
            <w:tcW w:w="993" w:type="dxa"/>
            <w:tcBorders>
              <w:top w:val="nil"/>
              <w:left w:val="nil"/>
              <w:bottom w:val="single" w:sz="4" w:space="0" w:color="auto"/>
              <w:right w:val="single" w:sz="4" w:space="0" w:color="auto"/>
            </w:tcBorders>
            <w:noWrap/>
            <w:vAlign w:val="center"/>
          </w:tcPr>
          <w:p w14:paraId="523E7E57"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18</w:t>
            </w:r>
          </w:p>
        </w:tc>
        <w:tc>
          <w:tcPr>
            <w:tcW w:w="992" w:type="dxa"/>
            <w:tcBorders>
              <w:top w:val="nil"/>
              <w:left w:val="nil"/>
              <w:bottom w:val="single" w:sz="4" w:space="0" w:color="auto"/>
              <w:right w:val="single" w:sz="4" w:space="0" w:color="auto"/>
            </w:tcBorders>
            <w:noWrap/>
            <w:vAlign w:val="center"/>
          </w:tcPr>
          <w:p w14:paraId="4281AE17"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=12家</w:t>
            </w:r>
          </w:p>
        </w:tc>
        <w:tc>
          <w:tcPr>
            <w:tcW w:w="720" w:type="dxa"/>
            <w:tcBorders>
              <w:top w:val="nil"/>
              <w:left w:val="nil"/>
              <w:bottom w:val="single" w:sz="4" w:space="0" w:color="auto"/>
              <w:right w:val="single" w:sz="4" w:space="0" w:color="auto"/>
            </w:tcBorders>
            <w:noWrap/>
            <w:vAlign w:val="center"/>
          </w:tcPr>
          <w:p w14:paraId="04008412"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18</w:t>
            </w:r>
          </w:p>
        </w:tc>
        <w:tc>
          <w:tcPr>
            <w:tcW w:w="284" w:type="dxa"/>
            <w:tcBorders>
              <w:top w:val="nil"/>
              <w:left w:val="nil"/>
              <w:bottom w:val="nil"/>
              <w:right w:val="nil"/>
            </w:tcBorders>
            <w:noWrap/>
            <w:vAlign w:val="center"/>
          </w:tcPr>
          <w:p w14:paraId="22D7669B" w14:textId="77777777" w:rsidR="0012632E" w:rsidRDefault="0012632E">
            <w:pPr>
              <w:spacing w:after="0" w:line="240" w:lineRule="auto"/>
              <w:jc w:val="center"/>
              <w:rPr>
                <w:rFonts w:ascii="宋体" w:eastAsia="宋体" w:hAnsi="宋体" w:cs="Times New Roman" w:hint="eastAsia"/>
                <w:sz w:val="18"/>
                <w:szCs w:val="18"/>
                <w:lang w:eastAsia="zh-CN"/>
              </w:rPr>
            </w:pPr>
          </w:p>
        </w:tc>
      </w:tr>
      <w:tr w:rsidR="0012632E" w14:paraId="3579169A" w14:textId="77777777">
        <w:trPr>
          <w:cantSplit/>
          <w:trHeight w:val="740"/>
        </w:trPr>
        <w:tc>
          <w:tcPr>
            <w:tcW w:w="993" w:type="dxa"/>
            <w:vMerge/>
            <w:tcBorders>
              <w:top w:val="nil"/>
              <w:left w:val="single" w:sz="4" w:space="0" w:color="auto"/>
              <w:bottom w:val="nil"/>
              <w:right w:val="single" w:sz="4" w:space="0" w:color="auto"/>
            </w:tcBorders>
            <w:vAlign w:val="center"/>
          </w:tcPr>
          <w:p w14:paraId="4990ABA5" w14:textId="77777777" w:rsidR="0012632E" w:rsidRDefault="0012632E">
            <w:pPr>
              <w:spacing w:after="0" w:line="240" w:lineRule="auto"/>
              <w:rPr>
                <w:rFonts w:ascii="宋体" w:eastAsia="宋体" w:hAnsi="宋体" w:cs="Times New Roman" w:hint="eastAsia"/>
                <w:sz w:val="18"/>
                <w:szCs w:val="18"/>
                <w:lang w:eastAsia="zh-CN"/>
              </w:rPr>
            </w:pPr>
          </w:p>
        </w:tc>
        <w:tc>
          <w:tcPr>
            <w:tcW w:w="8658" w:type="dxa"/>
            <w:vMerge/>
            <w:tcBorders>
              <w:top w:val="nil"/>
              <w:left w:val="nil"/>
              <w:bottom w:val="nil"/>
              <w:right w:val="single" w:sz="4" w:space="0" w:color="auto"/>
            </w:tcBorders>
            <w:vAlign w:val="center"/>
          </w:tcPr>
          <w:p w14:paraId="4E15BFBE" w14:textId="77777777" w:rsidR="0012632E" w:rsidRDefault="0012632E">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3369BDF5"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走访调研企业数量</w:t>
            </w:r>
          </w:p>
        </w:tc>
        <w:tc>
          <w:tcPr>
            <w:tcW w:w="1276" w:type="dxa"/>
            <w:tcBorders>
              <w:top w:val="nil"/>
              <w:left w:val="nil"/>
              <w:bottom w:val="single" w:sz="4" w:space="0" w:color="auto"/>
              <w:right w:val="single" w:sz="4" w:space="0" w:color="auto"/>
            </w:tcBorders>
            <w:noWrap/>
            <w:vAlign w:val="center"/>
          </w:tcPr>
          <w:p w14:paraId="7AA922FD"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=30家</w:t>
            </w:r>
          </w:p>
        </w:tc>
        <w:tc>
          <w:tcPr>
            <w:tcW w:w="1842" w:type="dxa"/>
            <w:tcBorders>
              <w:top w:val="nil"/>
              <w:left w:val="nil"/>
              <w:bottom w:val="single" w:sz="4" w:space="0" w:color="auto"/>
              <w:right w:val="single" w:sz="4" w:space="0" w:color="auto"/>
            </w:tcBorders>
            <w:noWrap/>
            <w:vAlign w:val="center"/>
          </w:tcPr>
          <w:p w14:paraId="45B02C96" w14:textId="77777777" w:rsidR="0012632E"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2023年工作总结及2024年工作计划情况说明</w:t>
            </w:r>
          </w:p>
        </w:tc>
        <w:tc>
          <w:tcPr>
            <w:tcW w:w="993" w:type="dxa"/>
            <w:tcBorders>
              <w:top w:val="nil"/>
              <w:left w:val="nil"/>
              <w:bottom w:val="single" w:sz="4" w:space="0" w:color="auto"/>
              <w:right w:val="single" w:sz="4" w:space="0" w:color="auto"/>
            </w:tcBorders>
            <w:noWrap/>
            <w:vAlign w:val="center"/>
          </w:tcPr>
          <w:p w14:paraId="12AB46E5"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18</w:t>
            </w:r>
          </w:p>
        </w:tc>
        <w:tc>
          <w:tcPr>
            <w:tcW w:w="992" w:type="dxa"/>
            <w:tcBorders>
              <w:top w:val="nil"/>
              <w:left w:val="nil"/>
              <w:bottom w:val="single" w:sz="4" w:space="0" w:color="auto"/>
              <w:right w:val="single" w:sz="4" w:space="0" w:color="auto"/>
            </w:tcBorders>
            <w:noWrap/>
            <w:vAlign w:val="center"/>
          </w:tcPr>
          <w:p w14:paraId="4FCB6ED8"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=44家</w:t>
            </w:r>
          </w:p>
        </w:tc>
        <w:tc>
          <w:tcPr>
            <w:tcW w:w="720" w:type="dxa"/>
            <w:tcBorders>
              <w:top w:val="nil"/>
              <w:left w:val="nil"/>
              <w:bottom w:val="single" w:sz="4" w:space="0" w:color="auto"/>
              <w:right w:val="single" w:sz="4" w:space="0" w:color="auto"/>
            </w:tcBorders>
            <w:noWrap/>
            <w:vAlign w:val="center"/>
          </w:tcPr>
          <w:p w14:paraId="4A684263"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18</w:t>
            </w:r>
          </w:p>
        </w:tc>
        <w:tc>
          <w:tcPr>
            <w:tcW w:w="284" w:type="dxa"/>
            <w:tcBorders>
              <w:top w:val="nil"/>
              <w:left w:val="nil"/>
              <w:bottom w:val="nil"/>
              <w:right w:val="nil"/>
            </w:tcBorders>
            <w:noWrap/>
            <w:vAlign w:val="center"/>
          </w:tcPr>
          <w:p w14:paraId="1CC7BBB7" w14:textId="77777777" w:rsidR="0012632E" w:rsidRDefault="0012632E">
            <w:pPr>
              <w:spacing w:after="0" w:line="240" w:lineRule="auto"/>
              <w:jc w:val="center"/>
              <w:rPr>
                <w:rFonts w:ascii="宋体" w:eastAsia="宋体" w:hAnsi="宋体" w:cs="Times New Roman" w:hint="eastAsia"/>
                <w:sz w:val="18"/>
                <w:szCs w:val="18"/>
                <w:lang w:eastAsia="zh-CN"/>
              </w:rPr>
            </w:pPr>
          </w:p>
        </w:tc>
      </w:tr>
      <w:tr w:rsidR="0012632E" w14:paraId="1941B063" w14:textId="77777777">
        <w:trPr>
          <w:cantSplit/>
          <w:trHeight w:val="740"/>
        </w:trPr>
        <w:tc>
          <w:tcPr>
            <w:tcW w:w="993" w:type="dxa"/>
            <w:vMerge/>
            <w:tcBorders>
              <w:top w:val="nil"/>
              <w:left w:val="single" w:sz="4" w:space="0" w:color="auto"/>
              <w:bottom w:val="nil"/>
              <w:right w:val="single" w:sz="4" w:space="0" w:color="auto"/>
            </w:tcBorders>
            <w:vAlign w:val="center"/>
          </w:tcPr>
          <w:p w14:paraId="0164D17D" w14:textId="77777777" w:rsidR="0012632E" w:rsidRDefault="0012632E">
            <w:pPr>
              <w:spacing w:after="0" w:line="240" w:lineRule="auto"/>
              <w:rPr>
                <w:rFonts w:ascii="宋体" w:eastAsia="宋体" w:hAnsi="宋体" w:cs="Times New Roman" w:hint="eastAsia"/>
                <w:sz w:val="18"/>
                <w:szCs w:val="18"/>
                <w:lang w:eastAsia="zh-CN"/>
              </w:rPr>
            </w:pPr>
          </w:p>
        </w:tc>
        <w:tc>
          <w:tcPr>
            <w:tcW w:w="8658" w:type="dxa"/>
            <w:vMerge/>
            <w:tcBorders>
              <w:top w:val="nil"/>
              <w:left w:val="nil"/>
              <w:bottom w:val="nil"/>
              <w:right w:val="single" w:sz="4" w:space="0" w:color="auto"/>
            </w:tcBorders>
            <w:vAlign w:val="center"/>
          </w:tcPr>
          <w:p w14:paraId="13C55D16" w14:textId="77777777" w:rsidR="0012632E" w:rsidRDefault="0012632E">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1590E312"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形成调研报告篇数</w:t>
            </w:r>
          </w:p>
        </w:tc>
        <w:tc>
          <w:tcPr>
            <w:tcW w:w="1276" w:type="dxa"/>
            <w:tcBorders>
              <w:top w:val="nil"/>
              <w:left w:val="nil"/>
              <w:bottom w:val="single" w:sz="4" w:space="0" w:color="auto"/>
              <w:right w:val="single" w:sz="4" w:space="0" w:color="auto"/>
            </w:tcBorders>
            <w:noWrap/>
            <w:vAlign w:val="center"/>
          </w:tcPr>
          <w:p w14:paraId="7263F2DB"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=1篇</w:t>
            </w:r>
          </w:p>
        </w:tc>
        <w:tc>
          <w:tcPr>
            <w:tcW w:w="1842" w:type="dxa"/>
            <w:tcBorders>
              <w:top w:val="nil"/>
              <w:left w:val="nil"/>
              <w:bottom w:val="single" w:sz="4" w:space="0" w:color="auto"/>
              <w:right w:val="single" w:sz="4" w:space="0" w:color="auto"/>
            </w:tcBorders>
            <w:noWrap/>
            <w:vAlign w:val="center"/>
          </w:tcPr>
          <w:p w14:paraId="7F689E6C" w14:textId="77777777" w:rsidR="0012632E"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2023年工作总结及2024年工作计划情况说明</w:t>
            </w:r>
          </w:p>
        </w:tc>
        <w:tc>
          <w:tcPr>
            <w:tcW w:w="993" w:type="dxa"/>
            <w:tcBorders>
              <w:top w:val="nil"/>
              <w:left w:val="nil"/>
              <w:bottom w:val="single" w:sz="4" w:space="0" w:color="auto"/>
              <w:right w:val="single" w:sz="4" w:space="0" w:color="auto"/>
            </w:tcBorders>
            <w:noWrap/>
            <w:vAlign w:val="center"/>
          </w:tcPr>
          <w:p w14:paraId="6B929C2E"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18</w:t>
            </w:r>
          </w:p>
        </w:tc>
        <w:tc>
          <w:tcPr>
            <w:tcW w:w="992" w:type="dxa"/>
            <w:tcBorders>
              <w:top w:val="nil"/>
              <w:left w:val="nil"/>
              <w:bottom w:val="single" w:sz="4" w:space="0" w:color="auto"/>
              <w:right w:val="single" w:sz="4" w:space="0" w:color="auto"/>
            </w:tcBorders>
            <w:noWrap/>
            <w:vAlign w:val="center"/>
          </w:tcPr>
          <w:p w14:paraId="727E6FCB"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=1篇</w:t>
            </w:r>
          </w:p>
        </w:tc>
        <w:tc>
          <w:tcPr>
            <w:tcW w:w="720" w:type="dxa"/>
            <w:tcBorders>
              <w:top w:val="nil"/>
              <w:left w:val="nil"/>
              <w:bottom w:val="single" w:sz="4" w:space="0" w:color="auto"/>
              <w:right w:val="single" w:sz="4" w:space="0" w:color="auto"/>
            </w:tcBorders>
            <w:noWrap/>
            <w:vAlign w:val="center"/>
          </w:tcPr>
          <w:p w14:paraId="7793ABEA"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18</w:t>
            </w:r>
          </w:p>
        </w:tc>
        <w:tc>
          <w:tcPr>
            <w:tcW w:w="284" w:type="dxa"/>
            <w:tcBorders>
              <w:top w:val="nil"/>
              <w:left w:val="nil"/>
              <w:bottom w:val="nil"/>
              <w:right w:val="nil"/>
            </w:tcBorders>
            <w:noWrap/>
            <w:vAlign w:val="center"/>
          </w:tcPr>
          <w:p w14:paraId="773722DF" w14:textId="77777777" w:rsidR="0012632E" w:rsidRDefault="0012632E">
            <w:pPr>
              <w:spacing w:after="0" w:line="240" w:lineRule="auto"/>
              <w:jc w:val="center"/>
              <w:rPr>
                <w:rFonts w:ascii="宋体" w:eastAsia="宋体" w:hAnsi="宋体" w:cs="Times New Roman" w:hint="eastAsia"/>
                <w:sz w:val="18"/>
                <w:szCs w:val="18"/>
                <w:lang w:eastAsia="zh-CN"/>
              </w:rPr>
            </w:pPr>
          </w:p>
        </w:tc>
      </w:tr>
      <w:tr w:rsidR="0012632E" w14:paraId="1AC519A1" w14:textId="77777777">
        <w:trPr>
          <w:cantSplit/>
          <w:trHeight w:val="740"/>
        </w:trPr>
        <w:tc>
          <w:tcPr>
            <w:tcW w:w="993" w:type="dxa"/>
            <w:vMerge/>
            <w:tcBorders>
              <w:top w:val="nil"/>
              <w:left w:val="single" w:sz="4" w:space="0" w:color="auto"/>
              <w:bottom w:val="nil"/>
              <w:right w:val="single" w:sz="4" w:space="0" w:color="auto"/>
            </w:tcBorders>
            <w:vAlign w:val="center"/>
          </w:tcPr>
          <w:p w14:paraId="081884AF" w14:textId="77777777" w:rsidR="0012632E" w:rsidRDefault="0012632E">
            <w:pPr>
              <w:spacing w:after="0" w:line="240" w:lineRule="auto"/>
              <w:rPr>
                <w:rFonts w:ascii="宋体" w:eastAsia="宋体" w:hAnsi="宋体" w:cs="Times New Roman" w:hint="eastAsia"/>
                <w:sz w:val="18"/>
                <w:szCs w:val="18"/>
                <w:lang w:eastAsia="zh-CN"/>
              </w:rPr>
            </w:pPr>
          </w:p>
        </w:tc>
        <w:tc>
          <w:tcPr>
            <w:tcW w:w="8658" w:type="dxa"/>
            <w:vMerge/>
            <w:tcBorders>
              <w:top w:val="nil"/>
              <w:left w:val="nil"/>
              <w:bottom w:val="nil"/>
              <w:right w:val="single" w:sz="4" w:space="0" w:color="auto"/>
            </w:tcBorders>
            <w:vAlign w:val="center"/>
          </w:tcPr>
          <w:p w14:paraId="2FA6E253" w14:textId="77777777" w:rsidR="0012632E" w:rsidRDefault="0012632E">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30455F32"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召开主席会议次数</w:t>
            </w:r>
          </w:p>
        </w:tc>
        <w:tc>
          <w:tcPr>
            <w:tcW w:w="1276" w:type="dxa"/>
            <w:tcBorders>
              <w:top w:val="nil"/>
              <w:left w:val="nil"/>
              <w:bottom w:val="single" w:sz="4" w:space="0" w:color="auto"/>
              <w:right w:val="single" w:sz="4" w:space="0" w:color="auto"/>
            </w:tcBorders>
            <w:noWrap/>
            <w:vAlign w:val="center"/>
          </w:tcPr>
          <w:p w14:paraId="7061E138"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=1次</w:t>
            </w:r>
          </w:p>
        </w:tc>
        <w:tc>
          <w:tcPr>
            <w:tcW w:w="1842" w:type="dxa"/>
            <w:tcBorders>
              <w:top w:val="nil"/>
              <w:left w:val="nil"/>
              <w:bottom w:val="single" w:sz="4" w:space="0" w:color="auto"/>
              <w:right w:val="single" w:sz="4" w:space="0" w:color="auto"/>
            </w:tcBorders>
            <w:noWrap/>
            <w:vAlign w:val="center"/>
          </w:tcPr>
          <w:p w14:paraId="760A1C4C" w14:textId="77777777" w:rsidR="0012632E"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2023年工作总结及2024年工作计划情况说明</w:t>
            </w:r>
          </w:p>
        </w:tc>
        <w:tc>
          <w:tcPr>
            <w:tcW w:w="993" w:type="dxa"/>
            <w:tcBorders>
              <w:top w:val="nil"/>
              <w:left w:val="nil"/>
              <w:bottom w:val="single" w:sz="4" w:space="0" w:color="auto"/>
              <w:right w:val="single" w:sz="4" w:space="0" w:color="auto"/>
            </w:tcBorders>
            <w:noWrap/>
            <w:vAlign w:val="center"/>
          </w:tcPr>
          <w:p w14:paraId="7CEC92A8"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18</w:t>
            </w:r>
          </w:p>
        </w:tc>
        <w:tc>
          <w:tcPr>
            <w:tcW w:w="992" w:type="dxa"/>
            <w:tcBorders>
              <w:top w:val="nil"/>
              <w:left w:val="nil"/>
              <w:bottom w:val="single" w:sz="4" w:space="0" w:color="auto"/>
              <w:right w:val="single" w:sz="4" w:space="0" w:color="auto"/>
            </w:tcBorders>
            <w:noWrap/>
            <w:vAlign w:val="center"/>
          </w:tcPr>
          <w:p w14:paraId="1AC32B66"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=2次</w:t>
            </w:r>
          </w:p>
        </w:tc>
        <w:tc>
          <w:tcPr>
            <w:tcW w:w="720" w:type="dxa"/>
            <w:tcBorders>
              <w:top w:val="nil"/>
              <w:left w:val="nil"/>
              <w:bottom w:val="single" w:sz="4" w:space="0" w:color="auto"/>
              <w:right w:val="single" w:sz="4" w:space="0" w:color="auto"/>
            </w:tcBorders>
            <w:noWrap/>
            <w:vAlign w:val="center"/>
          </w:tcPr>
          <w:p w14:paraId="4C649EFA"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18</w:t>
            </w:r>
          </w:p>
        </w:tc>
        <w:tc>
          <w:tcPr>
            <w:tcW w:w="284" w:type="dxa"/>
            <w:tcBorders>
              <w:top w:val="nil"/>
              <w:left w:val="nil"/>
              <w:bottom w:val="nil"/>
              <w:right w:val="nil"/>
            </w:tcBorders>
            <w:noWrap/>
            <w:vAlign w:val="center"/>
          </w:tcPr>
          <w:p w14:paraId="4B33BC21" w14:textId="77777777" w:rsidR="0012632E" w:rsidRDefault="0012632E">
            <w:pPr>
              <w:spacing w:after="0" w:line="240" w:lineRule="auto"/>
              <w:jc w:val="center"/>
              <w:rPr>
                <w:rFonts w:ascii="宋体" w:eastAsia="宋体" w:hAnsi="宋体" w:cs="Times New Roman" w:hint="eastAsia"/>
                <w:sz w:val="18"/>
                <w:szCs w:val="18"/>
                <w:lang w:eastAsia="zh-CN"/>
              </w:rPr>
            </w:pPr>
          </w:p>
        </w:tc>
      </w:tr>
      <w:tr w:rsidR="0012632E" w14:paraId="4BC8A4F0" w14:textId="77777777">
        <w:trPr>
          <w:cantSplit/>
          <w:trHeight w:val="740"/>
        </w:trPr>
        <w:tc>
          <w:tcPr>
            <w:tcW w:w="993" w:type="dxa"/>
            <w:vMerge/>
            <w:tcBorders>
              <w:top w:val="nil"/>
              <w:left w:val="single" w:sz="4" w:space="0" w:color="auto"/>
              <w:bottom w:val="single" w:sz="4" w:space="0" w:color="auto"/>
              <w:right w:val="single" w:sz="4" w:space="0" w:color="auto"/>
            </w:tcBorders>
            <w:vAlign w:val="center"/>
          </w:tcPr>
          <w:p w14:paraId="1674EE96" w14:textId="77777777" w:rsidR="0012632E" w:rsidRDefault="0012632E">
            <w:pPr>
              <w:spacing w:after="0" w:line="240" w:lineRule="auto"/>
              <w:rPr>
                <w:rFonts w:ascii="宋体" w:eastAsia="宋体" w:hAnsi="宋体" w:cs="Times New Roman" w:hint="eastAsia"/>
                <w:sz w:val="18"/>
                <w:szCs w:val="18"/>
                <w:lang w:eastAsia="zh-CN"/>
              </w:rPr>
            </w:pPr>
          </w:p>
        </w:tc>
        <w:tc>
          <w:tcPr>
            <w:tcW w:w="8658" w:type="dxa"/>
            <w:vMerge/>
            <w:tcBorders>
              <w:top w:val="nil"/>
              <w:left w:val="nil"/>
              <w:bottom w:val="single" w:sz="4" w:space="0" w:color="auto"/>
              <w:right w:val="single" w:sz="4" w:space="0" w:color="auto"/>
            </w:tcBorders>
            <w:vAlign w:val="center"/>
          </w:tcPr>
          <w:p w14:paraId="1EF1B3B5" w14:textId="77777777" w:rsidR="0012632E" w:rsidRDefault="0012632E">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3987D79C"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建立友好商会数量</w:t>
            </w:r>
          </w:p>
        </w:tc>
        <w:tc>
          <w:tcPr>
            <w:tcW w:w="1276" w:type="dxa"/>
            <w:tcBorders>
              <w:top w:val="nil"/>
              <w:left w:val="nil"/>
              <w:bottom w:val="single" w:sz="4" w:space="0" w:color="auto"/>
              <w:right w:val="single" w:sz="4" w:space="0" w:color="auto"/>
            </w:tcBorders>
            <w:noWrap/>
            <w:vAlign w:val="center"/>
          </w:tcPr>
          <w:p w14:paraId="2B673FA2"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=2家</w:t>
            </w:r>
          </w:p>
        </w:tc>
        <w:tc>
          <w:tcPr>
            <w:tcW w:w="1842" w:type="dxa"/>
            <w:tcBorders>
              <w:top w:val="nil"/>
              <w:left w:val="nil"/>
              <w:bottom w:val="single" w:sz="4" w:space="0" w:color="auto"/>
              <w:right w:val="single" w:sz="4" w:space="0" w:color="auto"/>
            </w:tcBorders>
            <w:noWrap/>
            <w:vAlign w:val="center"/>
          </w:tcPr>
          <w:p w14:paraId="3300FA07" w14:textId="77777777" w:rsidR="0012632E"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2023年工作总结及2024年工作计划情况说明</w:t>
            </w:r>
          </w:p>
        </w:tc>
        <w:tc>
          <w:tcPr>
            <w:tcW w:w="993" w:type="dxa"/>
            <w:tcBorders>
              <w:top w:val="nil"/>
              <w:left w:val="nil"/>
              <w:bottom w:val="single" w:sz="4" w:space="0" w:color="auto"/>
              <w:right w:val="single" w:sz="4" w:space="0" w:color="auto"/>
            </w:tcBorders>
            <w:noWrap/>
            <w:vAlign w:val="center"/>
          </w:tcPr>
          <w:p w14:paraId="47849FA8"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18</w:t>
            </w:r>
          </w:p>
        </w:tc>
        <w:tc>
          <w:tcPr>
            <w:tcW w:w="992" w:type="dxa"/>
            <w:tcBorders>
              <w:top w:val="nil"/>
              <w:left w:val="nil"/>
              <w:bottom w:val="single" w:sz="4" w:space="0" w:color="auto"/>
              <w:right w:val="single" w:sz="4" w:space="0" w:color="auto"/>
            </w:tcBorders>
            <w:noWrap/>
            <w:vAlign w:val="center"/>
          </w:tcPr>
          <w:p w14:paraId="45EDC3F3"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=2家</w:t>
            </w:r>
          </w:p>
        </w:tc>
        <w:tc>
          <w:tcPr>
            <w:tcW w:w="720" w:type="dxa"/>
            <w:tcBorders>
              <w:top w:val="nil"/>
              <w:left w:val="nil"/>
              <w:bottom w:val="single" w:sz="4" w:space="0" w:color="auto"/>
              <w:right w:val="single" w:sz="4" w:space="0" w:color="auto"/>
            </w:tcBorders>
            <w:noWrap/>
            <w:vAlign w:val="center"/>
          </w:tcPr>
          <w:p w14:paraId="4D832BE6" w14:textId="77777777" w:rsidR="0012632E"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18</w:t>
            </w:r>
          </w:p>
        </w:tc>
        <w:tc>
          <w:tcPr>
            <w:tcW w:w="284" w:type="dxa"/>
            <w:tcBorders>
              <w:top w:val="nil"/>
              <w:left w:val="nil"/>
              <w:bottom w:val="nil"/>
              <w:right w:val="nil"/>
            </w:tcBorders>
            <w:noWrap/>
            <w:vAlign w:val="center"/>
          </w:tcPr>
          <w:p w14:paraId="3C38029A" w14:textId="77777777" w:rsidR="0012632E" w:rsidRDefault="0012632E">
            <w:pPr>
              <w:spacing w:after="0" w:line="240" w:lineRule="auto"/>
              <w:jc w:val="center"/>
              <w:rPr>
                <w:rFonts w:ascii="宋体" w:eastAsia="宋体" w:hAnsi="宋体" w:cs="Times New Roman" w:hint="eastAsia"/>
                <w:sz w:val="18"/>
                <w:szCs w:val="18"/>
                <w:lang w:eastAsia="zh-CN"/>
              </w:rPr>
            </w:pPr>
          </w:p>
        </w:tc>
      </w:tr>
    </w:tbl>
    <w:p w14:paraId="6B6C609A" w14:textId="77777777" w:rsidR="0012632E"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br w:type="page"/>
      </w:r>
    </w:p>
    <w:p w14:paraId="37C2F6D9" w14:textId="77777777" w:rsidR="0012632E"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lastRenderedPageBreak/>
        <w:t>十二、其他需说明的事项</w:t>
      </w:r>
    </w:p>
    <w:p w14:paraId="4D84A2E5" w14:textId="77777777" w:rsidR="0012632E"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746A10A4" w14:textId="77777777" w:rsidR="0012632E" w:rsidRDefault="0012632E">
      <w:pPr>
        <w:spacing w:after="0" w:line="240" w:lineRule="auto"/>
        <w:ind w:firstLineChars="200" w:firstLine="640"/>
        <w:rPr>
          <w:rFonts w:ascii="仿宋_GB2312" w:eastAsia="仿宋_GB2312" w:hint="eastAsia"/>
          <w:sz w:val="32"/>
          <w:szCs w:val="32"/>
          <w:lang w:eastAsia="zh-CN"/>
        </w:rPr>
      </w:pPr>
    </w:p>
    <w:p w14:paraId="240D6189" w14:textId="77777777" w:rsidR="0012632E" w:rsidRDefault="00000000">
      <w:pPr>
        <w:rPr>
          <w:rFonts w:hint="eastAsia"/>
          <w:lang w:eastAsia="zh-CN"/>
        </w:rPr>
      </w:pPr>
      <w:r>
        <w:rPr>
          <w:sz w:val="0"/>
          <w:szCs w:val="0"/>
          <w:lang w:eastAsia="zh-CN"/>
        </w:rPr>
        <w:br w:type="page"/>
      </w:r>
    </w:p>
    <w:p w14:paraId="30638549" w14:textId="77777777" w:rsidR="0012632E"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74FD040E" w14:textId="77777777" w:rsidR="0012632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29917251" w14:textId="77777777" w:rsidR="0012632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4BDB5030" w14:textId="77777777" w:rsidR="0012632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37A01535" w14:textId="77777777" w:rsidR="0012632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135A6EF1" w14:textId="77777777" w:rsidR="0012632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0F5EE17B" w14:textId="77777777" w:rsidR="0012632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45FCDB90" w14:textId="77777777" w:rsidR="0012632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107FFFC7" w14:textId="77777777" w:rsidR="0012632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9842E51" w14:textId="77777777" w:rsidR="0012632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7EF195AA" w14:textId="77777777" w:rsidR="0012632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lastRenderedPageBreak/>
        <w:t>十、项目支出：</w:t>
      </w:r>
      <w:r>
        <w:rPr>
          <w:rFonts w:ascii="仿宋_GB2312" w:eastAsia="仿宋_GB2312"/>
          <w:sz w:val="32"/>
          <w:szCs w:val="32"/>
          <w:lang w:eastAsia="zh-CN"/>
        </w:rPr>
        <w:t>指在基本支出之外为完成特定行政任务和事业发展目标所发生的支出。</w:t>
      </w:r>
    </w:p>
    <w:p w14:paraId="15079C76" w14:textId="77777777" w:rsidR="0012632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600A1E87" w14:textId="77777777" w:rsidR="0012632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7F41FBB4" w14:textId="77777777" w:rsidR="0012632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2162205A" w14:textId="77777777" w:rsidR="0012632E"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4C7FEF31" w14:textId="77777777" w:rsidR="0012632E" w:rsidRDefault="00000000">
      <w:pPr>
        <w:rPr>
          <w:rFonts w:hint="eastAsia"/>
          <w:lang w:eastAsia="zh-CN"/>
        </w:rPr>
      </w:pPr>
      <w:r>
        <w:rPr>
          <w:sz w:val="0"/>
          <w:szCs w:val="0"/>
          <w:lang w:eastAsia="zh-CN"/>
        </w:rPr>
        <w:br w:type="page"/>
      </w:r>
    </w:p>
    <w:p w14:paraId="6308041D" w14:textId="77777777" w:rsidR="0012632E"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4592BA28" w14:textId="77777777" w:rsidR="0012632E"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28FC6068" w14:textId="77777777" w:rsidR="0012632E"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750B4162" w14:textId="77777777" w:rsidR="0012632E"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4BD83101" w14:textId="77777777" w:rsidR="0012632E"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3FDCDC7D" w14:textId="77777777" w:rsidR="0012632E"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17037B2F" w14:textId="77777777" w:rsidR="0012632E"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7B997065" w14:textId="77777777" w:rsidR="0012632E"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4879C6FB" w14:textId="77777777" w:rsidR="0012632E"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02D3616E" w14:textId="77777777" w:rsidR="0012632E"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12632E">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E22319" w14:textId="77777777" w:rsidR="009129A9" w:rsidRDefault="009129A9">
      <w:pPr>
        <w:spacing w:line="240" w:lineRule="auto"/>
        <w:rPr>
          <w:rFonts w:hint="eastAsia"/>
        </w:rPr>
      </w:pPr>
      <w:r>
        <w:separator/>
      </w:r>
    </w:p>
  </w:endnote>
  <w:endnote w:type="continuationSeparator" w:id="0">
    <w:p w14:paraId="66461843" w14:textId="77777777" w:rsidR="009129A9" w:rsidRDefault="009129A9">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A1720" w14:textId="77777777" w:rsidR="009129A9" w:rsidRDefault="009129A9">
      <w:pPr>
        <w:spacing w:after="0"/>
        <w:rPr>
          <w:rFonts w:hint="eastAsia"/>
        </w:rPr>
      </w:pPr>
      <w:r>
        <w:separator/>
      </w:r>
    </w:p>
  </w:footnote>
  <w:footnote w:type="continuationSeparator" w:id="0">
    <w:p w14:paraId="2A40D07A" w14:textId="77777777" w:rsidR="009129A9" w:rsidRDefault="009129A9">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docVars>
    <w:docVar w:name="commondata" w:val="eyJoZGlkIjoiODViY2JkMjU3NGYzZTEwMzZmMGFkZWViYmNkYWU3NDIifQ=="/>
  </w:docVars>
  <w:rsids>
    <w:rsidRoot w:val="00593C2A"/>
    <w:rsid w:val="0012632E"/>
    <w:rsid w:val="00172E8A"/>
    <w:rsid w:val="001B5613"/>
    <w:rsid w:val="00320A3A"/>
    <w:rsid w:val="00401CD1"/>
    <w:rsid w:val="00593C2A"/>
    <w:rsid w:val="00637019"/>
    <w:rsid w:val="006C221F"/>
    <w:rsid w:val="007608CD"/>
    <w:rsid w:val="00766268"/>
    <w:rsid w:val="007A2B9A"/>
    <w:rsid w:val="007E43DE"/>
    <w:rsid w:val="009129A9"/>
    <w:rsid w:val="00964DE1"/>
    <w:rsid w:val="009E0787"/>
    <w:rsid w:val="00AB7671"/>
    <w:rsid w:val="00B80712"/>
    <w:rsid w:val="00B833C6"/>
    <w:rsid w:val="00C47EDE"/>
    <w:rsid w:val="00D37D82"/>
    <w:rsid w:val="00D741D0"/>
    <w:rsid w:val="00E32FD6"/>
    <w:rsid w:val="00E531F7"/>
    <w:rsid w:val="00EC1A65"/>
    <w:rsid w:val="00FF360D"/>
    <w:rsid w:val="289B62BA"/>
    <w:rsid w:val="28C8235C"/>
    <w:rsid w:val="2A334335"/>
    <w:rsid w:val="4CC00B6E"/>
    <w:rsid w:val="5B1F1C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2D980E"/>
  <w15:docId w15:val="{2B9717E6-33FA-4534-A719-B208FAFBE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pPr>
      <w:ind w:left="720"/>
    </w:pPr>
  </w:style>
  <w:style w:type="paragraph" w:styleId="a4">
    <w:name w:val="caption"/>
    <w:basedOn w:val="a"/>
    <w:next w:val="a"/>
    <w:uiPriority w:val="35"/>
    <w:semiHidden/>
    <w:unhideWhenUsed/>
    <w:qFormat/>
    <w:pPr>
      <w:spacing w:line="240" w:lineRule="auto"/>
    </w:pPr>
    <w:rPr>
      <w:b/>
      <w:bCs/>
      <w:color w:val="4472C4" w:themeColor="accent1"/>
      <w:sz w:val="18"/>
      <w:szCs w:val="18"/>
    </w:rPr>
  </w:style>
  <w:style w:type="paragraph" w:styleId="a5">
    <w:name w:val="footer"/>
    <w:basedOn w:val="a"/>
    <w:link w:val="a6"/>
    <w:uiPriority w:val="99"/>
    <w:unhideWhenUsed/>
    <w:qFormat/>
    <w:pPr>
      <w:tabs>
        <w:tab w:val="center" w:pos="4153"/>
        <w:tab w:val="right" w:pos="8306"/>
      </w:tabs>
      <w:snapToGrid w:val="0"/>
      <w:spacing w:line="240" w:lineRule="auto"/>
    </w:pPr>
    <w:rPr>
      <w:sz w:val="18"/>
      <w:szCs w:val="18"/>
    </w:rPr>
  </w:style>
  <w:style w:type="paragraph" w:styleId="a7">
    <w:name w:val="header"/>
    <w:basedOn w:val="a"/>
    <w:link w:val="a8"/>
    <w:uiPriority w:val="99"/>
    <w:unhideWhenUsed/>
    <w:pPr>
      <w:tabs>
        <w:tab w:val="center" w:pos="4680"/>
        <w:tab w:val="right" w:pos="9360"/>
      </w:tabs>
    </w:pPr>
  </w:style>
  <w:style w:type="paragraph" w:styleId="a9">
    <w:name w:val="Subtitle"/>
    <w:basedOn w:val="a"/>
    <w:next w:val="a"/>
    <w:link w:val="aa"/>
    <w:uiPriority w:val="11"/>
    <w:qFormat/>
    <w:pPr>
      <w:ind w:left="86"/>
    </w:pPr>
    <w:rPr>
      <w:rFonts w:asciiTheme="majorHAnsi" w:eastAsiaTheme="majorEastAsia" w:hAnsiTheme="majorHAnsi" w:cstheme="majorBidi"/>
      <w:i/>
      <w:iCs/>
      <w:color w:val="4472C4" w:themeColor="accent1"/>
      <w:spacing w:val="15"/>
      <w:sz w:val="24"/>
      <w:szCs w:val="24"/>
    </w:rPr>
  </w:style>
  <w:style w:type="paragraph" w:styleId="ab">
    <w:name w:val="Title"/>
    <w:basedOn w:val="a"/>
    <w:next w:val="a"/>
    <w:link w:val="ac"/>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Pr>
      <w:i/>
      <w:iCs/>
    </w:rPr>
  </w:style>
  <w:style w:type="character" w:styleId="af">
    <w:name w:val="Hyperlink"/>
    <w:basedOn w:val="a0"/>
    <w:uiPriority w:val="99"/>
    <w:unhideWhenUsed/>
    <w:qFormat/>
    <w:rPr>
      <w:color w:val="0563C1" w:themeColor="hyperlink"/>
      <w:u w:val="single"/>
    </w:rPr>
  </w:style>
  <w:style w:type="character" w:customStyle="1" w:styleId="a8">
    <w:name w:val="页眉 字符"/>
    <w:basedOn w:val="a0"/>
    <w:link w:val="a7"/>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472C4" w:themeColor="accent1"/>
    </w:rPr>
  </w:style>
  <w:style w:type="character" w:customStyle="1" w:styleId="aa">
    <w:name w:val="副标题 字符"/>
    <w:basedOn w:val="a0"/>
    <w:link w:val="a9"/>
    <w:uiPriority w:val="11"/>
    <w:rPr>
      <w:rFonts w:asciiTheme="majorHAnsi" w:eastAsiaTheme="majorEastAsia" w:hAnsiTheme="majorHAnsi" w:cstheme="majorBidi"/>
      <w:i/>
      <w:iCs/>
      <w:color w:val="4472C4" w:themeColor="accent1"/>
      <w:spacing w:val="15"/>
      <w:sz w:val="24"/>
      <w:szCs w:val="24"/>
    </w:rPr>
  </w:style>
  <w:style w:type="character" w:customStyle="1" w:styleId="ac">
    <w:name w:val="标题 字符"/>
    <w:basedOn w:val="a0"/>
    <w:link w:val="ab"/>
    <w:uiPriority w:val="10"/>
    <w:qFormat/>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18</Pages>
  <Words>1140</Words>
  <Characters>6502</Characters>
  <Application>Microsoft Office Word</Application>
  <DocSecurity>0</DocSecurity>
  <Lines>54</Lines>
  <Paragraphs>15</Paragraphs>
  <ScaleCrop>false</ScaleCrop>
  <Company/>
  <LinksUpToDate>false</LinksUpToDate>
  <CharactersWithSpaces>7627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ldan</dc:creator>
  <cp:lastModifiedBy>Lenovo</cp:lastModifiedBy>
  <cp:revision>7</cp:revision>
  <dcterms:created xsi:type="dcterms:W3CDTF">2025-09-03T03:22:00Z</dcterms:created>
  <dcterms:modified xsi:type="dcterms:W3CDTF">2025-12-16T03:08:00Z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8518B1CBC76146D395F920C282C57F84_12</vt:lpwstr>
  </property>
</Properties>
</file>